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73362">
      <w:pPr>
        <w:spacing w:line="360" w:lineRule="auto"/>
        <w:jc w:val="center"/>
        <w:rPr>
          <w:rFonts w:hint="eastAsia" w:ascii="宋体" w:hAnsi="宋体" w:cs="宋体"/>
          <w:b/>
          <w:color w:val="auto"/>
          <w:sz w:val="36"/>
          <w:szCs w:val="36"/>
        </w:rPr>
      </w:pPr>
      <w:r>
        <w:rPr>
          <w:rFonts w:hint="eastAsia" w:ascii="宋体" w:hAnsi="宋体" w:cs="宋体"/>
          <w:b/>
          <w:color w:val="auto"/>
          <w:sz w:val="36"/>
          <w:szCs w:val="36"/>
        </w:rPr>
        <w:drawing>
          <wp:inline distT="0" distB="0" distL="114300" distR="114300">
            <wp:extent cx="5615940" cy="7491095"/>
            <wp:effectExtent l="0" t="0" r="3810" b="14605"/>
            <wp:docPr id="6" name="图片 6"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封面"/>
                    <pic:cNvPicPr>
                      <a:picLocks noChangeAspect="1"/>
                    </pic:cNvPicPr>
                  </pic:nvPicPr>
                  <pic:blipFill>
                    <a:blip r:embed="rId6"/>
                    <a:stretch>
                      <a:fillRect/>
                    </a:stretch>
                  </pic:blipFill>
                  <pic:spPr>
                    <a:xfrm>
                      <a:off x="0" y="0"/>
                      <a:ext cx="5615940" cy="7491095"/>
                    </a:xfrm>
                    <a:prstGeom prst="rect">
                      <a:avLst/>
                    </a:prstGeom>
                  </pic:spPr>
                </pic:pic>
              </a:graphicData>
            </a:graphic>
          </wp:inline>
        </w:drawing>
      </w:r>
    </w:p>
    <w:p w14:paraId="29D9B2F6">
      <w:pPr>
        <w:spacing w:line="360" w:lineRule="auto"/>
        <w:jc w:val="center"/>
        <w:rPr>
          <w:rFonts w:hint="eastAsia" w:ascii="宋体" w:hAnsi="宋体" w:cs="宋体"/>
          <w:b/>
          <w:color w:val="auto"/>
          <w:sz w:val="36"/>
          <w:szCs w:val="36"/>
        </w:rPr>
      </w:pPr>
    </w:p>
    <w:p w14:paraId="005DFE51">
      <w:pPr>
        <w:spacing w:line="360" w:lineRule="auto"/>
        <w:jc w:val="center"/>
        <w:rPr>
          <w:rFonts w:hint="eastAsia" w:ascii="宋体" w:hAnsi="宋体" w:cs="宋体"/>
          <w:b/>
          <w:color w:val="auto"/>
          <w:sz w:val="36"/>
          <w:szCs w:val="36"/>
        </w:rPr>
      </w:pPr>
    </w:p>
    <w:p w14:paraId="23219FF0">
      <w:pPr>
        <w:spacing w:line="360" w:lineRule="auto"/>
        <w:jc w:val="center"/>
        <w:rPr>
          <w:rFonts w:hint="eastAsia" w:ascii="宋体" w:hAnsi="宋体" w:cs="宋体"/>
          <w:b/>
          <w:color w:val="auto"/>
          <w:sz w:val="36"/>
          <w:szCs w:val="36"/>
        </w:rPr>
      </w:pPr>
    </w:p>
    <w:p w14:paraId="4966CD77">
      <w:pPr>
        <w:spacing w:line="360" w:lineRule="auto"/>
        <w:jc w:val="center"/>
        <w:rPr>
          <w:rFonts w:ascii="宋体" w:hAnsi="宋体" w:cs="宋体"/>
          <w:b/>
          <w:bCs/>
          <w:color w:val="auto"/>
          <w:sz w:val="36"/>
          <w:szCs w:val="36"/>
        </w:rPr>
      </w:pPr>
      <w:r>
        <w:rPr>
          <w:rFonts w:hint="eastAsia" w:ascii="宋体" w:hAnsi="宋体" w:cs="宋体"/>
          <w:b/>
          <w:color w:val="auto"/>
          <w:sz w:val="36"/>
          <w:szCs w:val="36"/>
        </w:rPr>
        <w:t>长招采公字【2025】033号</w:t>
      </w:r>
      <w:bookmarkStart w:id="0" w:name="OLE_LINK18"/>
      <w:r>
        <w:rPr>
          <w:rFonts w:hint="eastAsia" w:ascii="宋体" w:hAnsi="宋体" w:cs="宋体"/>
          <w:b/>
          <w:bCs/>
          <w:color w:val="auto"/>
          <w:sz w:val="36"/>
          <w:szCs w:val="36"/>
        </w:rPr>
        <w:t>长葛市教育体育局</w:t>
      </w:r>
      <w:bookmarkEnd w:id="0"/>
      <w:r>
        <w:rPr>
          <w:rFonts w:hint="eastAsia" w:ascii="宋体" w:hAnsi="宋体" w:cs="宋体"/>
          <w:b/>
          <w:bCs/>
          <w:color w:val="auto"/>
          <w:sz w:val="36"/>
          <w:szCs w:val="36"/>
        </w:rPr>
        <w:t>陈寔路学校第二批教学设备采购（不见面开标）</w:t>
      </w:r>
    </w:p>
    <w:p w14:paraId="4EE24663">
      <w:pPr>
        <w:adjustRightInd w:val="0"/>
        <w:snapToGrid w:val="0"/>
        <w:spacing w:line="273" w:lineRule="auto"/>
        <w:jc w:val="center"/>
        <w:rPr>
          <w:rFonts w:ascii="宋体" w:hAnsi="宋体" w:cs="宋体"/>
          <w:b/>
          <w:bCs/>
          <w:color w:val="auto"/>
          <w:sz w:val="36"/>
          <w:szCs w:val="36"/>
        </w:rPr>
      </w:pPr>
    </w:p>
    <w:p w14:paraId="6798734B">
      <w:pPr>
        <w:pStyle w:val="28"/>
        <w:ind w:firstLine="361"/>
        <w:rPr>
          <w:rFonts w:hAnsi="宋体" w:cs="宋体"/>
          <w:b/>
          <w:bCs/>
          <w:color w:val="auto"/>
          <w:sz w:val="36"/>
          <w:szCs w:val="36"/>
        </w:rPr>
      </w:pPr>
    </w:p>
    <w:p w14:paraId="3C81D926">
      <w:pPr>
        <w:pStyle w:val="29"/>
        <w:ind w:left="420" w:firstLine="400"/>
        <w:rPr>
          <w:color w:val="auto"/>
        </w:rPr>
      </w:pPr>
    </w:p>
    <w:p w14:paraId="0043C07B">
      <w:pPr>
        <w:adjustRightInd w:val="0"/>
        <w:snapToGrid w:val="0"/>
        <w:spacing w:line="273" w:lineRule="auto"/>
        <w:rPr>
          <w:rFonts w:ascii="宋体" w:hAnsi="宋体" w:cs="宋体"/>
          <w:b/>
          <w:color w:val="auto"/>
          <w:sz w:val="36"/>
          <w:szCs w:val="36"/>
        </w:rPr>
      </w:pPr>
    </w:p>
    <w:p w14:paraId="292ACADC">
      <w:pPr>
        <w:adjustRightInd w:val="0"/>
        <w:snapToGrid w:val="0"/>
        <w:spacing w:line="273" w:lineRule="auto"/>
        <w:jc w:val="center"/>
        <w:rPr>
          <w:rFonts w:ascii="宋体" w:hAnsi="宋体" w:cs="宋体"/>
          <w:b/>
          <w:bCs/>
          <w:color w:val="auto"/>
          <w:sz w:val="36"/>
          <w:szCs w:val="36"/>
        </w:rPr>
      </w:pPr>
    </w:p>
    <w:p w14:paraId="3654F0D4">
      <w:pPr>
        <w:jc w:val="center"/>
        <w:rPr>
          <w:rFonts w:ascii="宋体" w:hAnsi="宋体" w:cs="宋体"/>
          <w:color w:val="auto"/>
          <w:sz w:val="36"/>
          <w:szCs w:val="36"/>
        </w:rPr>
      </w:pPr>
    </w:p>
    <w:p w14:paraId="6C47233D">
      <w:pPr>
        <w:pStyle w:val="29"/>
        <w:ind w:left="420" w:firstLine="720"/>
        <w:rPr>
          <w:rFonts w:ascii="宋体" w:hAnsi="宋体" w:cs="宋体"/>
          <w:color w:val="auto"/>
          <w:sz w:val="36"/>
          <w:szCs w:val="36"/>
        </w:rPr>
      </w:pPr>
    </w:p>
    <w:p w14:paraId="79C11061">
      <w:pPr>
        <w:pStyle w:val="19"/>
        <w:ind w:left="5250"/>
        <w:rPr>
          <w:rFonts w:ascii="宋体" w:hAnsi="宋体" w:cs="宋体"/>
          <w:color w:val="auto"/>
          <w:sz w:val="36"/>
          <w:szCs w:val="36"/>
        </w:rPr>
      </w:pPr>
    </w:p>
    <w:p w14:paraId="4179E1B4">
      <w:pPr>
        <w:rPr>
          <w:color w:val="auto"/>
        </w:rPr>
      </w:pPr>
    </w:p>
    <w:p w14:paraId="10063DC3">
      <w:pPr>
        <w:rPr>
          <w:color w:val="auto"/>
        </w:rPr>
      </w:pPr>
    </w:p>
    <w:p w14:paraId="1A57C6CC">
      <w:pPr>
        <w:rPr>
          <w:color w:val="auto"/>
        </w:rPr>
      </w:pPr>
    </w:p>
    <w:p w14:paraId="6C3F004F">
      <w:pPr>
        <w:rPr>
          <w:rFonts w:ascii="宋体" w:hAnsi="宋体" w:cs="宋体"/>
          <w:color w:val="auto"/>
          <w:sz w:val="36"/>
          <w:szCs w:val="36"/>
        </w:rPr>
      </w:pPr>
    </w:p>
    <w:p w14:paraId="3427A0BB">
      <w:pPr>
        <w:adjustRightInd w:val="0"/>
        <w:snapToGrid w:val="0"/>
        <w:spacing w:line="360" w:lineRule="auto"/>
        <w:ind w:firstLine="723" w:firstLineChars="200"/>
        <w:rPr>
          <w:rFonts w:ascii="宋体" w:hAnsi="宋体" w:cs="宋体"/>
          <w:b/>
          <w:color w:val="auto"/>
          <w:sz w:val="36"/>
          <w:szCs w:val="36"/>
        </w:rPr>
      </w:pPr>
    </w:p>
    <w:p w14:paraId="4D151C92">
      <w:pPr>
        <w:adjustRightInd w:val="0"/>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项目编号：长招采公字【2025】033号</w:t>
      </w:r>
    </w:p>
    <w:p w14:paraId="30A0D457">
      <w:pPr>
        <w:adjustRightInd w:val="0"/>
        <w:snapToGrid w:val="0"/>
        <w:spacing w:line="360" w:lineRule="auto"/>
        <w:ind w:firstLine="1807" w:firstLineChars="500"/>
        <w:jc w:val="left"/>
        <w:rPr>
          <w:rFonts w:ascii="宋体" w:hAnsi="宋体" w:cs="宋体"/>
          <w:b/>
          <w:bCs/>
          <w:color w:val="auto"/>
          <w:sz w:val="36"/>
          <w:szCs w:val="36"/>
        </w:rPr>
      </w:pPr>
      <w:r>
        <w:rPr>
          <w:rFonts w:hint="eastAsia" w:ascii="宋体" w:hAnsi="宋体" w:cs="宋体"/>
          <w:b/>
          <w:color w:val="auto"/>
          <w:sz w:val="36"/>
          <w:szCs w:val="36"/>
        </w:rPr>
        <w:t>招标单位：长葛市教育体育局</w:t>
      </w:r>
    </w:p>
    <w:p w14:paraId="44BB3E28">
      <w:pPr>
        <w:adjustRightInd w:val="0"/>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集中采购机构：长葛市公共资源交易中心</w:t>
      </w:r>
    </w:p>
    <w:p w14:paraId="6ED8B193">
      <w:pPr>
        <w:adjustRightInd w:val="0"/>
        <w:snapToGrid w:val="0"/>
        <w:spacing w:line="360" w:lineRule="auto"/>
        <w:ind w:firstLine="1807" w:firstLineChars="500"/>
        <w:jc w:val="left"/>
        <w:rPr>
          <w:rFonts w:ascii="宋体" w:hAnsi="宋体" w:cs="宋体"/>
          <w:color w:val="auto"/>
          <w:sz w:val="36"/>
          <w:szCs w:val="36"/>
        </w:rPr>
      </w:pPr>
      <w:r>
        <w:rPr>
          <w:rFonts w:hint="eastAsia" w:ascii="宋体" w:hAnsi="宋体" w:cs="宋体"/>
          <w:b/>
          <w:color w:val="auto"/>
          <w:sz w:val="36"/>
          <w:szCs w:val="36"/>
        </w:rPr>
        <w:t>日        期：二〇二五年</w:t>
      </w:r>
      <w:r>
        <w:rPr>
          <w:rFonts w:hint="eastAsia" w:ascii="宋体" w:hAnsi="宋体" w:cs="宋体"/>
          <w:b/>
          <w:color w:val="auto"/>
          <w:sz w:val="36"/>
          <w:szCs w:val="36"/>
          <w:lang w:eastAsia="zh-CN"/>
        </w:rPr>
        <w:t>十</w:t>
      </w:r>
      <w:r>
        <w:rPr>
          <w:rFonts w:hint="eastAsia" w:ascii="宋体" w:hAnsi="宋体" w:cs="宋体"/>
          <w:b/>
          <w:color w:val="auto"/>
          <w:sz w:val="36"/>
          <w:szCs w:val="36"/>
        </w:rPr>
        <w:t>月</w:t>
      </w:r>
    </w:p>
    <w:p w14:paraId="569E6F78">
      <w:pPr>
        <w:autoSpaceDE w:val="0"/>
        <w:autoSpaceDN w:val="0"/>
        <w:adjustRightInd w:val="0"/>
        <w:spacing w:line="700" w:lineRule="exact"/>
        <w:jc w:val="left"/>
        <w:rPr>
          <w:rFonts w:ascii="宋体" w:hAnsi="宋体" w:cs="宋体"/>
          <w:b/>
          <w:bCs/>
          <w:color w:val="auto"/>
          <w:sz w:val="36"/>
          <w:szCs w:val="36"/>
        </w:rPr>
        <w:sectPr>
          <w:footerReference r:id="rId3" w:type="default"/>
          <w:pgSz w:w="11906" w:h="16838"/>
          <w:pgMar w:top="1531" w:right="1474" w:bottom="1361" w:left="1587" w:header="851" w:footer="992" w:gutter="0"/>
          <w:cols w:space="720" w:num="1"/>
          <w:docGrid w:type="lines" w:linePitch="324" w:charSpace="0"/>
        </w:sectPr>
      </w:pPr>
    </w:p>
    <w:p w14:paraId="2C746423">
      <w:pPr>
        <w:rPr>
          <w:rFonts w:ascii="宋体" w:hAnsi="宋体"/>
          <w:b/>
          <w:bCs/>
          <w:color w:val="auto"/>
          <w:sz w:val="44"/>
          <w:szCs w:val="44"/>
        </w:rPr>
      </w:pPr>
    </w:p>
    <w:p w14:paraId="2377BD69">
      <w:pPr>
        <w:autoSpaceDE w:val="0"/>
        <w:autoSpaceDN w:val="0"/>
        <w:adjustRightInd w:val="0"/>
        <w:spacing w:line="700" w:lineRule="exact"/>
        <w:jc w:val="center"/>
        <w:outlineLvl w:val="0"/>
        <w:rPr>
          <w:rFonts w:ascii="宋体" w:hAnsi="宋体"/>
          <w:b/>
          <w:bCs/>
          <w:color w:val="auto"/>
          <w:sz w:val="44"/>
          <w:szCs w:val="44"/>
        </w:rPr>
      </w:pPr>
      <w:r>
        <w:rPr>
          <w:rFonts w:hint="eastAsia" w:ascii="宋体" w:hAnsi="宋体"/>
          <w:b/>
          <w:bCs/>
          <w:color w:val="auto"/>
          <w:sz w:val="44"/>
          <w:szCs w:val="44"/>
        </w:rPr>
        <w:t>目    录</w:t>
      </w:r>
    </w:p>
    <w:p w14:paraId="55BF10EF">
      <w:pPr>
        <w:autoSpaceDE w:val="0"/>
        <w:autoSpaceDN w:val="0"/>
        <w:adjustRightInd w:val="0"/>
        <w:spacing w:line="700" w:lineRule="exact"/>
        <w:rPr>
          <w:rFonts w:ascii="宋体" w:hAnsi="宋体"/>
          <w:b/>
          <w:bCs/>
          <w:color w:val="auto"/>
          <w:sz w:val="32"/>
          <w:szCs w:val="32"/>
        </w:rPr>
      </w:pPr>
    </w:p>
    <w:p w14:paraId="634C83A6">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第一章  投标邀请</w:t>
      </w:r>
    </w:p>
    <w:p w14:paraId="442A86F3">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第二章  项目需求</w:t>
      </w:r>
    </w:p>
    <w:p w14:paraId="5F45D3AE">
      <w:pPr>
        <w:autoSpaceDE w:val="0"/>
        <w:autoSpaceDN w:val="0"/>
        <w:adjustRightInd w:val="0"/>
        <w:spacing w:line="700" w:lineRule="exact"/>
        <w:ind w:firstLine="560"/>
        <w:rPr>
          <w:rFonts w:ascii="宋体" w:hAnsi="宋体" w:cs="宋体"/>
          <w:b/>
          <w:color w:val="auto"/>
          <w:kern w:val="0"/>
          <w:sz w:val="32"/>
          <w:szCs w:val="32"/>
        </w:rPr>
      </w:pPr>
      <w:r>
        <w:rPr>
          <w:rFonts w:hint="eastAsia" w:ascii="宋体" w:hAnsi="宋体" w:cs="宋体"/>
          <w:b/>
          <w:bCs/>
          <w:color w:val="auto"/>
          <w:sz w:val="32"/>
          <w:szCs w:val="32"/>
          <w:lang w:val="zh-CN"/>
        </w:rPr>
        <w:t xml:space="preserve">第三章  </w:t>
      </w:r>
      <w:r>
        <w:rPr>
          <w:rFonts w:hint="eastAsia" w:ascii="宋体" w:hAnsi="宋体" w:cs="宋体"/>
          <w:b/>
          <w:color w:val="auto"/>
          <w:kern w:val="0"/>
          <w:sz w:val="32"/>
          <w:szCs w:val="32"/>
        </w:rPr>
        <w:t>供应商须知前附表</w:t>
      </w:r>
    </w:p>
    <w:p w14:paraId="28B81FF6">
      <w:pPr>
        <w:autoSpaceDE w:val="0"/>
        <w:autoSpaceDN w:val="0"/>
        <w:adjustRightInd w:val="0"/>
        <w:spacing w:line="700" w:lineRule="exact"/>
        <w:ind w:firstLine="560"/>
        <w:rPr>
          <w:rFonts w:ascii="宋体" w:hAnsi="宋体" w:cs="宋体"/>
          <w:b/>
          <w:color w:val="auto"/>
          <w:kern w:val="0"/>
          <w:sz w:val="32"/>
          <w:szCs w:val="32"/>
        </w:rPr>
      </w:pPr>
      <w:r>
        <w:rPr>
          <w:rFonts w:hint="eastAsia" w:ascii="宋体" w:hAnsi="宋体" w:cs="宋体"/>
          <w:b/>
          <w:bCs/>
          <w:color w:val="auto"/>
          <w:sz w:val="32"/>
          <w:szCs w:val="32"/>
          <w:lang w:val="zh-CN"/>
        </w:rPr>
        <w:t xml:space="preserve">第四章  </w:t>
      </w:r>
      <w:r>
        <w:rPr>
          <w:rFonts w:hint="eastAsia" w:ascii="宋体" w:hAnsi="宋体" w:cs="宋体"/>
          <w:b/>
          <w:color w:val="auto"/>
          <w:kern w:val="0"/>
          <w:sz w:val="32"/>
          <w:szCs w:val="32"/>
        </w:rPr>
        <w:t>供应商须知</w:t>
      </w:r>
    </w:p>
    <w:p w14:paraId="74BAE0C1">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一、概念释义</w:t>
      </w:r>
    </w:p>
    <w:p w14:paraId="59808FB4">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二、招标文件说明</w:t>
      </w:r>
    </w:p>
    <w:p w14:paraId="320B0B34">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三、投标文件的编制</w:t>
      </w:r>
    </w:p>
    <w:p w14:paraId="054E78DD">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四、投标文件的递交</w:t>
      </w:r>
    </w:p>
    <w:p w14:paraId="08DE1247">
      <w:pPr>
        <w:autoSpaceDE w:val="0"/>
        <w:autoSpaceDN w:val="0"/>
        <w:adjustRightInd w:val="0"/>
        <w:spacing w:line="700" w:lineRule="exact"/>
        <w:ind w:firstLine="560"/>
        <w:rPr>
          <w:rFonts w:ascii="宋体" w:hAnsi="宋体" w:cs="宋体"/>
          <w:color w:val="auto"/>
          <w:sz w:val="32"/>
          <w:szCs w:val="32"/>
          <w:lang w:val="zh-CN"/>
        </w:rPr>
      </w:pPr>
      <w:r>
        <w:rPr>
          <w:rFonts w:hint="eastAsia" w:ascii="宋体" w:hAnsi="宋体" w:cs="宋体"/>
          <w:color w:val="auto"/>
          <w:sz w:val="32"/>
          <w:szCs w:val="32"/>
          <w:lang w:val="zh-CN"/>
        </w:rPr>
        <w:t>五、开标和评标</w:t>
      </w:r>
    </w:p>
    <w:p w14:paraId="6617AC4F">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color w:val="auto"/>
          <w:sz w:val="32"/>
          <w:szCs w:val="32"/>
          <w:lang w:val="zh-CN"/>
        </w:rPr>
        <w:t>六、定标和授予合同</w:t>
      </w:r>
    </w:p>
    <w:p w14:paraId="11AEAEBA">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 xml:space="preserve">第五章  </w:t>
      </w:r>
      <w:r>
        <w:rPr>
          <w:rFonts w:hint="eastAsia" w:ascii="宋体" w:hAnsi="宋体" w:cs="宋体"/>
          <w:b/>
          <w:color w:val="auto"/>
          <w:kern w:val="0"/>
          <w:sz w:val="32"/>
          <w:szCs w:val="32"/>
        </w:rPr>
        <w:t>政府采购政策功能</w:t>
      </w:r>
    </w:p>
    <w:p w14:paraId="3A6CD458">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 xml:space="preserve">第六章  </w:t>
      </w:r>
      <w:r>
        <w:rPr>
          <w:rFonts w:hint="eastAsia" w:ascii="宋体" w:hAnsi="宋体" w:cs="宋体"/>
          <w:b/>
          <w:color w:val="auto"/>
          <w:kern w:val="0"/>
          <w:sz w:val="32"/>
          <w:szCs w:val="32"/>
        </w:rPr>
        <w:t>资格审查与评标</w:t>
      </w:r>
    </w:p>
    <w:p w14:paraId="181AD466">
      <w:pPr>
        <w:autoSpaceDE w:val="0"/>
        <w:autoSpaceDN w:val="0"/>
        <w:adjustRightInd w:val="0"/>
        <w:spacing w:line="700" w:lineRule="exact"/>
        <w:ind w:firstLine="551"/>
        <w:rPr>
          <w:rFonts w:ascii="宋体" w:hAnsi="宋体" w:cs="宋体"/>
          <w:b/>
          <w:bCs/>
          <w:color w:val="auto"/>
          <w:sz w:val="32"/>
          <w:szCs w:val="32"/>
          <w:lang w:val="zh-CN"/>
        </w:rPr>
      </w:pPr>
      <w:r>
        <w:rPr>
          <w:rFonts w:hint="eastAsia" w:ascii="宋体" w:hAnsi="宋体" w:cs="宋体"/>
          <w:b/>
          <w:bCs/>
          <w:color w:val="auto"/>
          <w:sz w:val="32"/>
          <w:szCs w:val="32"/>
          <w:lang w:val="zh-CN"/>
        </w:rPr>
        <w:t xml:space="preserve">第七章  </w:t>
      </w:r>
      <w:r>
        <w:rPr>
          <w:rFonts w:hint="eastAsia" w:ascii="宋体" w:hAnsi="宋体" w:cs="宋体"/>
          <w:b/>
          <w:color w:val="auto"/>
          <w:kern w:val="0"/>
          <w:sz w:val="32"/>
          <w:szCs w:val="32"/>
        </w:rPr>
        <w:t>合同条款及格式</w:t>
      </w:r>
    </w:p>
    <w:p w14:paraId="7901AA14">
      <w:pPr>
        <w:autoSpaceDE w:val="0"/>
        <w:autoSpaceDN w:val="0"/>
        <w:adjustRightInd w:val="0"/>
        <w:spacing w:line="700" w:lineRule="exact"/>
        <w:ind w:firstLine="551"/>
        <w:rPr>
          <w:rFonts w:ascii="宋体" w:hAnsi="宋体" w:cs="宋体"/>
          <w:b/>
          <w:color w:val="auto"/>
          <w:kern w:val="0"/>
          <w:sz w:val="32"/>
          <w:szCs w:val="32"/>
        </w:rPr>
      </w:pPr>
      <w:r>
        <w:rPr>
          <w:rFonts w:hint="eastAsia" w:ascii="宋体" w:hAnsi="宋体" w:cs="宋体"/>
          <w:b/>
          <w:bCs/>
          <w:color w:val="auto"/>
          <w:sz w:val="32"/>
          <w:szCs w:val="32"/>
          <w:lang w:val="zh-CN"/>
        </w:rPr>
        <w:t xml:space="preserve">第八章  </w:t>
      </w:r>
      <w:r>
        <w:rPr>
          <w:rFonts w:hint="eastAsia" w:ascii="宋体" w:hAnsi="宋体" w:cs="宋体"/>
          <w:b/>
          <w:color w:val="auto"/>
          <w:kern w:val="0"/>
          <w:sz w:val="32"/>
          <w:szCs w:val="32"/>
        </w:rPr>
        <w:t>投标文件有关格式</w:t>
      </w:r>
    </w:p>
    <w:p w14:paraId="62CF9991">
      <w:pPr>
        <w:autoSpaceDE w:val="0"/>
        <w:autoSpaceDN w:val="0"/>
        <w:adjustRightInd w:val="0"/>
        <w:spacing w:line="700" w:lineRule="exact"/>
        <w:ind w:firstLine="551"/>
        <w:rPr>
          <w:rFonts w:ascii="宋体" w:hAnsi="宋体"/>
          <w:b/>
          <w:color w:val="auto"/>
          <w:sz w:val="36"/>
          <w:szCs w:val="36"/>
          <w:shd w:val="clear" w:color="auto" w:fill="FFFFFF"/>
        </w:rPr>
      </w:pPr>
    </w:p>
    <w:p w14:paraId="2F10523E">
      <w:pPr>
        <w:rPr>
          <w:color w:val="auto"/>
        </w:rPr>
      </w:pPr>
      <w:r>
        <w:rPr>
          <w:color w:val="auto"/>
        </w:rPr>
        <w:br w:type="page"/>
      </w:r>
    </w:p>
    <w:p w14:paraId="028A692E">
      <w:pPr>
        <w:numPr>
          <w:ilvl w:val="0"/>
          <w:numId w:val="1"/>
        </w:numPr>
        <w:jc w:val="center"/>
        <w:outlineLvl w:val="0"/>
        <w:rPr>
          <w:rFonts w:ascii="宋体" w:hAnsi="宋体"/>
          <w:b/>
          <w:color w:val="auto"/>
          <w:kern w:val="0"/>
          <w:sz w:val="32"/>
          <w:szCs w:val="32"/>
        </w:rPr>
      </w:pPr>
      <w:r>
        <w:rPr>
          <w:rFonts w:hint="eastAsia" w:ascii="宋体" w:hAnsi="宋体"/>
          <w:b/>
          <w:color w:val="auto"/>
          <w:kern w:val="0"/>
          <w:sz w:val="32"/>
          <w:szCs w:val="32"/>
        </w:rPr>
        <w:t>投标邀请</w:t>
      </w:r>
    </w:p>
    <w:p w14:paraId="2E756F9E">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长招采公字【2025】033号长葛市教育体育局陈寔路学校第二批</w:t>
      </w:r>
    </w:p>
    <w:p w14:paraId="30D670C6">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教学设备采购</w:t>
      </w:r>
      <w:r>
        <w:rPr>
          <w:rFonts w:hint="eastAsia" w:ascii="宋体" w:hAnsi="宋体" w:cs="宋体"/>
          <w:b/>
          <w:bCs/>
          <w:color w:val="auto"/>
          <w:sz w:val="28"/>
          <w:szCs w:val="28"/>
          <w:lang w:eastAsia="zh-CN"/>
        </w:rPr>
        <w:t>（不</w:t>
      </w:r>
      <w:r>
        <w:rPr>
          <w:rFonts w:hint="eastAsia" w:ascii="宋体" w:hAnsi="宋体" w:cs="宋体"/>
          <w:b/>
          <w:bCs/>
          <w:color w:val="auto"/>
          <w:sz w:val="28"/>
          <w:szCs w:val="28"/>
        </w:rPr>
        <w:t>见面开标）招标公告</w:t>
      </w:r>
    </w:p>
    <w:p w14:paraId="3B2AF7FF">
      <w:pPr>
        <w:spacing w:line="360" w:lineRule="auto"/>
        <w:ind w:firstLine="360" w:firstLineChars="150"/>
        <w:jc w:val="left"/>
        <w:rPr>
          <w:rFonts w:ascii="宋体" w:hAnsi="宋体"/>
          <w:bCs/>
          <w:color w:val="auto"/>
          <w:kern w:val="0"/>
          <w:sz w:val="24"/>
          <w:szCs w:val="24"/>
        </w:rPr>
      </w:pPr>
      <w:r>
        <w:rPr>
          <w:rFonts w:hint="eastAsia" w:ascii="宋体" w:hAnsi="宋体"/>
          <w:bCs/>
          <w:color w:val="auto"/>
          <w:kern w:val="0"/>
          <w:sz w:val="24"/>
          <w:szCs w:val="24"/>
        </w:rPr>
        <w:t>长葛市公共资源交易中心受长葛市教育体育局的委托，就长葛市教育体育局陈寔路学校第二批教学设备采购项目进行公开招标，欢迎合格的供应商参加。</w:t>
      </w:r>
    </w:p>
    <w:p w14:paraId="5E819F56">
      <w:pPr>
        <w:spacing w:line="360" w:lineRule="auto"/>
        <w:ind w:firstLine="482" w:firstLineChars="200"/>
        <w:jc w:val="left"/>
        <w:rPr>
          <w:rFonts w:ascii="宋体" w:hAnsi="宋体"/>
          <w:b/>
          <w:color w:val="auto"/>
          <w:kern w:val="0"/>
          <w:sz w:val="24"/>
          <w:szCs w:val="24"/>
        </w:rPr>
      </w:pPr>
      <w:r>
        <w:rPr>
          <w:rFonts w:hint="eastAsia" w:ascii="宋体" w:hAnsi="宋体"/>
          <w:b/>
          <w:color w:val="auto"/>
          <w:kern w:val="0"/>
          <w:sz w:val="24"/>
          <w:szCs w:val="24"/>
        </w:rPr>
        <w:t xml:space="preserve">一、项目基本情况 </w:t>
      </w:r>
    </w:p>
    <w:p w14:paraId="3AA828BB">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1.1项目名称：长葛市教育体育局陈寔路学校第二批教学设备采购（</w:t>
      </w:r>
      <w:r>
        <w:rPr>
          <w:rFonts w:ascii="宋体" w:hAnsi="宋体"/>
          <w:bCs/>
          <w:color w:val="auto"/>
          <w:kern w:val="0"/>
          <w:sz w:val="24"/>
          <w:szCs w:val="24"/>
        </w:rPr>
        <w:t>不见面开标）</w:t>
      </w:r>
    </w:p>
    <w:p w14:paraId="05076CED">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1.2项目编号：长招采公字【2025】033号</w:t>
      </w:r>
    </w:p>
    <w:p w14:paraId="4CD0765E">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1.3项目内容：长葛市教育体育局陈寔路学校第二批教学设备采购项目。具体采购需求详见第二章采购需求。</w:t>
      </w:r>
    </w:p>
    <w:p w14:paraId="1A7B1B9A">
      <w:pPr>
        <w:spacing w:line="500" w:lineRule="exact"/>
        <w:ind w:firstLine="480" w:firstLineChars="200"/>
        <w:rPr>
          <w:rFonts w:ascii="宋体" w:hAnsi="宋体"/>
          <w:color w:val="auto"/>
          <w:kern w:val="0"/>
          <w:sz w:val="24"/>
          <w:szCs w:val="24"/>
        </w:rPr>
      </w:pPr>
      <w:r>
        <w:rPr>
          <w:rFonts w:hint="eastAsia" w:ascii="宋体" w:hAnsi="宋体" w:cs="宋体"/>
          <w:color w:val="auto"/>
          <w:kern w:val="0"/>
          <w:sz w:val="24"/>
          <w:szCs w:val="24"/>
        </w:rPr>
        <w:t>1.4招标方式：公开招标</w:t>
      </w:r>
      <w:r>
        <w:rPr>
          <w:rFonts w:hint="eastAsia" w:ascii="宋体" w:hAnsi="宋体"/>
          <w:color w:val="auto"/>
          <w:kern w:val="0"/>
          <w:sz w:val="24"/>
          <w:szCs w:val="24"/>
        </w:rPr>
        <w:tab/>
      </w:r>
      <w:r>
        <w:rPr>
          <w:rFonts w:hint="eastAsia" w:ascii="宋体" w:hAnsi="宋体"/>
          <w:color w:val="auto"/>
          <w:kern w:val="0"/>
          <w:sz w:val="24"/>
          <w:szCs w:val="24"/>
        </w:rPr>
        <w:tab/>
      </w:r>
    </w:p>
    <w:p w14:paraId="463F2C7D">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1.5 标包划分：本项目划分为三个标段，其中：一标段空调机；二标段教学、实验用桌等； 三标段其他信息化设备。</w:t>
      </w:r>
    </w:p>
    <w:p w14:paraId="30BB94C7">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1.6采购预算（最高限价）：一标段419000.00元；二标段451800.00元。三标段 2129200.00元。</w:t>
      </w:r>
    </w:p>
    <w:p w14:paraId="263B775D">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1.7交付（服务、完工）时间：一、二标段合同签订后30日历天；三标段合同签订后40日历天；</w:t>
      </w:r>
    </w:p>
    <w:p w14:paraId="22582DB7">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1.8</w:t>
      </w:r>
      <w:r>
        <w:rPr>
          <w:rFonts w:ascii="宋体" w:hAnsi="宋体"/>
          <w:color w:val="auto"/>
          <w:kern w:val="0"/>
          <w:sz w:val="24"/>
          <w:szCs w:val="24"/>
        </w:rPr>
        <w:t xml:space="preserve"> </w:t>
      </w:r>
      <w:r>
        <w:rPr>
          <w:rFonts w:hint="eastAsia" w:ascii="宋体" w:hAnsi="宋体"/>
          <w:color w:val="auto"/>
          <w:kern w:val="0"/>
          <w:sz w:val="24"/>
          <w:szCs w:val="24"/>
        </w:rPr>
        <w:t>交付（服务、完工）地点：采购人指定交货地点。</w:t>
      </w:r>
    </w:p>
    <w:p w14:paraId="7D83E0A5">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1</w:t>
      </w:r>
      <w:r>
        <w:rPr>
          <w:rFonts w:ascii="宋体" w:hAnsi="宋体"/>
          <w:color w:val="auto"/>
          <w:kern w:val="0"/>
          <w:sz w:val="24"/>
          <w:szCs w:val="24"/>
        </w:rPr>
        <w:t>.</w:t>
      </w:r>
      <w:r>
        <w:rPr>
          <w:rFonts w:hint="eastAsia" w:ascii="宋体" w:hAnsi="宋体"/>
          <w:color w:val="auto"/>
          <w:kern w:val="0"/>
          <w:sz w:val="24"/>
          <w:szCs w:val="24"/>
        </w:rPr>
        <w:t>9资金来源：一般债券资金</w:t>
      </w:r>
    </w:p>
    <w:p w14:paraId="650499D6">
      <w:pPr>
        <w:spacing w:line="360" w:lineRule="auto"/>
        <w:ind w:firstLine="482" w:firstLineChars="200"/>
        <w:jc w:val="left"/>
        <w:rPr>
          <w:rFonts w:ascii="宋体" w:hAnsi="宋体"/>
          <w:b/>
          <w:color w:val="auto"/>
          <w:kern w:val="0"/>
          <w:sz w:val="24"/>
          <w:szCs w:val="24"/>
        </w:rPr>
      </w:pPr>
      <w:r>
        <w:rPr>
          <w:rFonts w:hint="eastAsia" w:ascii="宋体" w:hAnsi="宋体"/>
          <w:b/>
          <w:color w:val="auto"/>
          <w:kern w:val="0"/>
          <w:sz w:val="24"/>
          <w:szCs w:val="24"/>
        </w:rPr>
        <w:t>二、需要落实的政府采购政策</w:t>
      </w:r>
    </w:p>
    <w:p w14:paraId="70B33A5F">
      <w:pPr>
        <w:spacing w:line="500" w:lineRule="exact"/>
        <w:ind w:firstLine="480" w:firstLineChars="200"/>
        <w:rPr>
          <w:rFonts w:ascii="宋体" w:hAnsi="宋体"/>
          <w:color w:val="auto"/>
          <w:kern w:val="0"/>
          <w:sz w:val="24"/>
          <w:szCs w:val="24"/>
        </w:rPr>
      </w:pPr>
      <w:r>
        <w:rPr>
          <w:rFonts w:hint="eastAsia" w:ascii="宋体" w:hAnsi="宋体"/>
          <w:color w:val="auto"/>
          <w:kern w:val="0"/>
          <w:sz w:val="24"/>
          <w:szCs w:val="24"/>
        </w:rPr>
        <w:t>本项目落实节能环保、中小微型企业扶持、支持监狱企业发展、残疾人福利性单位扶持等相关政府采购政策。</w:t>
      </w:r>
    </w:p>
    <w:p w14:paraId="7408D03E">
      <w:pPr>
        <w:spacing w:line="360" w:lineRule="auto"/>
        <w:ind w:firstLine="482" w:firstLineChars="200"/>
        <w:jc w:val="left"/>
        <w:rPr>
          <w:rFonts w:ascii="宋体" w:hAnsi="宋体"/>
          <w:b/>
          <w:color w:val="auto"/>
          <w:kern w:val="0"/>
          <w:sz w:val="24"/>
          <w:szCs w:val="24"/>
        </w:rPr>
      </w:pPr>
      <w:r>
        <w:rPr>
          <w:rFonts w:hint="eastAsia" w:ascii="宋体" w:hAnsi="宋体"/>
          <w:b/>
          <w:color w:val="auto"/>
          <w:kern w:val="0"/>
          <w:sz w:val="24"/>
          <w:szCs w:val="24"/>
        </w:rPr>
        <w:t>三、投标人资格要求</w:t>
      </w:r>
    </w:p>
    <w:p w14:paraId="5235F794">
      <w:pPr>
        <w:spacing w:line="360" w:lineRule="auto"/>
        <w:ind w:firstLine="480" w:firstLineChars="200"/>
        <w:rPr>
          <w:rFonts w:ascii="宋体" w:hAnsi="宋体"/>
          <w:color w:val="auto"/>
          <w:kern w:val="0"/>
          <w:sz w:val="24"/>
          <w:szCs w:val="24"/>
        </w:rPr>
      </w:pPr>
      <w:r>
        <w:rPr>
          <w:rFonts w:hint="eastAsia" w:ascii="宋体" w:hAnsi="宋体"/>
          <w:color w:val="auto"/>
          <w:kern w:val="0"/>
          <w:sz w:val="24"/>
          <w:szCs w:val="24"/>
        </w:rPr>
        <w:t>3.1符合《中华人民共和国政府采购法》第二十二条之规定。</w:t>
      </w:r>
    </w:p>
    <w:p w14:paraId="47EE7A25">
      <w:pPr>
        <w:spacing w:line="360" w:lineRule="auto"/>
        <w:ind w:firstLine="480" w:firstLineChars="200"/>
        <w:rPr>
          <w:rFonts w:ascii="宋体" w:hAnsi="宋体"/>
          <w:color w:val="auto"/>
          <w:kern w:val="0"/>
          <w:sz w:val="24"/>
          <w:szCs w:val="24"/>
        </w:rPr>
      </w:pPr>
      <w:r>
        <w:rPr>
          <w:rFonts w:hint="eastAsia" w:ascii="宋体" w:hAnsi="宋体" w:cs="宋体"/>
          <w:color w:val="auto"/>
          <w:kern w:val="0"/>
          <w:sz w:val="24"/>
          <w:szCs w:val="24"/>
        </w:rPr>
        <w:t>3.2</w:t>
      </w:r>
      <w:r>
        <w:rPr>
          <w:rFonts w:hint="eastAsia" w:ascii="宋体" w:hAnsi="宋体"/>
          <w:color w:val="auto"/>
          <w:kern w:val="0"/>
          <w:sz w:val="24"/>
          <w:szCs w:val="24"/>
        </w:rPr>
        <w:t>本项目特定资格要求：无。</w:t>
      </w:r>
    </w:p>
    <w:p w14:paraId="13B54557">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3.3</w:t>
      </w:r>
      <w:r>
        <w:rPr>
          <w:rFonts w:hint="eastAsia" w:ascii="宋体" w:hAnsi="宋体" w:cs="宋体"/>
          <w:color w:val="auto"/>
          <w:kern w:val="0"/>
          <w:sz w:val="24"/>
          <w:szCs w:val="24"/>
        </w:rPr>
        <w:t>未被列入“信用中国”网站(www.creditchina.gov.cn)失信被执行人、重大税收违法案件当事人名单；“中国政府采购网”(www.ccgp.gov.cn)网站的政府采购严重违法失信行为记录名单的供应商；“中国社会组织公共服务平台”网站（</w:t>
      </w:r>
      <w:r>
        <w:rPr>
          <w:rFonts w:hint="eastAsia" w:ascii="宋体" w:hAnsi="宋体" w:cs="宋体"/>
          <w:bCs/>
          <w:color w:val="auto"/>
          <w:sz w:val="24"/>
          <w:szCs w:val="24"/>
        </w:rPr>
        <w:t>https://chinanpo.mca.gov.cn</w:t>
      </w:r>
      <w:r>
        <w:rPr>
          <w:rFonts w:hint="eastAsia" w:ascii="宋体" w:hAnsi="宋体" w:cs="宋体"/>
          <w:color w:val="auto"/>
          <w:kern w:val="0"/>
          <w:sz w:val="24"/>
          <w:szCs w:val="24"/>
        </w:rPr>
        <w:t>）严重违法失信名单的供应商。</w:t>
      </w:r>
    </w:p>
    <w:p w14:paraId="53D32F3A">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注：1、供应商在投标时，提供《长葛市政府采购供应商信用承诺函》（详见招标文件第八章3.5格式），无需再提交上述证明材料。</w:t>
      </w:r>
    </w:p>
    <w:p w14:paraId="0A7CC26C">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2、采购人有权在签订合同前要求中标供应商提供相关证明材料以核实中标供应商承诺事项的真实性。</w:t>
      </w:r>
    </w:p>
    <w:p w14:paraId="6CCB2DAC">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3、供应商对信用承诺内容的真实性、合法性、有效性负责。如作出虚假信用承诺，视同为“提供虚假材料谋取中标”的违法行为。</w:t>
      </w:r>
    </w:p>
    <w:p w14:paraId="6BF8AB7C">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4、河南省市场主体可通过“信用中国（河南）”网站、河南政务服务网、“豫事办”APP等渠道免费出具专项信用报告。</w:t>
      </w:r>
    </w:p>
    <w:p w14:paraId="034238F3">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3.4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1886B32F">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3.5</w:t>
      </w:r>
      <w:r>
        <w:rPr>
          <w:rFonts w:hint="eastAsia" w:ascii="宋体" w:hAnsi="宋体" w:cs="宋体"/>
          <w:color w:val="auto"/>
          <w:sz w:val="24"/>
          <w:szCs w:val="24"/>
          <w:shd w:val="clear" w:color="auto" w:fill="FFFFFF"/>
        </w:rPr>
        <w:t>本项目接受联合体投标</w:t>
      </w:r>
      <w:r>
        <w:rPr>
          <w:rFonts w:hint="eastAsia" w:ascii="宋体" w:hAnsi="宋体" w:cs="宋体"/>
          <w:color w:val="auto"/>
          <w:kern w:val="0"/>
          <w:sz w:val="24"/>
          <w:szCs w:val="24"/>
        </w:rPr>
        <w:t>。</w:t>
      </w:r>
    </w:p>
    <w:p w14:paraId="0E46BF2C">
      <w:pPr>
        <w:spacing w:line="360" w:lineRule="auto"/>
        <w:ind w:firstLine="480" w:firstLineChars="200"/>
        <w:rPr>
          <w:rFonts w:ascii="宋体" w:hAnsi="宋体"/>
          <w:b/>
          <w:bCs/>
          <w:color w:val="auto"/>
          <w:kern w:val="0"/>
          <w:sz w:val="24"/>
          <w:szCs w:val="24"/>
        </w:rPr>
      </w:pPr>
      <w:r>
        <w:rPr>
          <w:rFonts w:hint="eastAsia" w:ascii="宋体" w:hAnsi="宋体" w:cs="宋体"/>
          <w:color w:val="auto"/>
          <w:kern w:val="0"/>
          <w:sz w:val="24"/>
          <w:szCs w:val="24"/>
        </w:rPr>
        <w:t>3.6</w:t>
      </w:r>
      <w:r>
        <w:rPr>
          <w:rFonts w:hint="eastAsia" w:ascii="宋体" w:hAnsi="宋体" w:cs="宋体"/>
          <w:color w:val="auto"/>
          <w:sz w:val="24"/>
          <w:szCs w:val="24"/>
        </w:rPr>
        <w:t>本项目非专门面向中小企业采购。</w:t>
      </w:r>
    </w:p>
    <w:p w14:paraId="636C5983">
      <w:pPr>
        <w:spacing w:line="360" w:lineRule="auto"/>
        <w:jc w:val="left"/>
        <w:rPr>
          <w:rFonts w:ascii="宋体" w:hAnsi="宋体"/>
          <w:b/>
          <w:color w:val="auto"/>
          <w:kern w:val="0"/>
          <w:sz w:val="24"/>
          <w:szCs w:val="24"/>
        </w:rPr>
      </w:pPr>
      <w:r>
        <w:rPr>
          <w:rFonts w:hint="eastAsia" w:ascii="宋体" w:hAnsi="宋体"/>
          <w:b/>
          <w:color w:val="auto"/>
          <w:kern w:val="0"/>
          <w:sz w:val="24"/>
          <w:szCs w:val="24"/>
        </w:rPr>
        <w:t>四、招标文件的获取</w:t>
      </w:r>
    </w:p>
    <w:p w14:paraId="554D7B8B">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1.时间：2025年</w:t>
      </w:r>
      <w:r>
        <w:rPr>
          <w:rFonts w:hint="eastAsia" w:ascii="宋体" w:hAnsi="宋体" w:cs="宋体"/>
          <w:color w:val="auto"/>
          <w:kern w:val="0"/>
          <w:sz w:val="24"/>
          <w:szCs w:val="24"/>
          <w:lang w:val="en-US" w:eastAsia="zh-CN"/>
        </w:rPr>
        <w:t>10</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15</w:t>
      </w:r>
      <w:r>
        <w:rPr>
          <w:rFonts w:hint="eastAsia" w:ascii="宋体" w:hAnsi="宋体" w:cs="宋体"/>
          <w:color w:val="auto"/>
          <w:kern w:val="0"/>
          <w:sz w:val="24"/>
          <w:szCs w:val="24"/>
        </w:rPr>
        <w:t>日至2025年</w:t>
      </w:r>
      <w:r>
        <w:rPr>
          <w:rFonts w:hint="eastAsia" w:ascii="宋体" w:hAnsi="宋体" w:cs="宋体"/>
          <w:color w:val="auto"/>
          <w:kern w:val="0"/>
          <w:sz w:val="24"/>
          <w:szCs w:val="24"/>
          <w:lang w:val="en-US" w:eastAsia="zh-CN"/>
        </w:rPr>
        <w:t>11</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5</w:t>
      </w:r>
      <w:r>
        <w:rPr>
          <w:rFonts w:hint="eastAsia" w:ascii="宋体" w:hAnsi="宋体" w:cs="宋体"/>
          <w:color w:val="auto"/>
          <w:kern w:val="0"/>
          <w:sz w:val="24"/>
          <w:szCs w:val="24"/>
        </w:rPr>
        <w:t>日，每天上午00:00至12:00，下午12:00至23：59（北京时间，法定节假日除外）</w:t>
      </w:r>
    </w:p>
    <w:p w14:paraId="4817CB78">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2.地点：登录《全国公共资源交易平台（河南省·许昌市）》（https://ggzy.xuchang.gov.cn/）</w:t>
      </w:r>
    </w:p>
    <w:p w14:paraId="1E36D433">
      <w:pPr>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方式：供应商使用CA数字证书或移动数字证书登录《全国公共资源交易平台（河南省·许昌市）》（https://ggzy.xuchang.gov.cn/）的“投标人”登录入口免费获取本项目采购文件，投标人未按规定时间在网上下载招标文件的，其投标将被拒绝。</w:t>
      </w:r>
    </w:p>
    <w:p w14:paraId="43272BD6">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4.售价：0元。</w:t>
      </w:r>
    </w:p>
    <w:p w14:paraId="1C8F4CDB">
      <w:pPr>
        <w:pStyle w:val="27"/>
        <w:spacing w:before="0" w:beforeAutospacing="0" w:after="0" w:afterAutospacing="0" w:line="360" w:lineRule="auto"/>
        <w:ind w:firstLine="482" w:firstLineChars="200"/>
        <w:contextualSpacing/>
        <w:rPr>
          <w:b/>
          <w:bCs/>
          <w:color w:val="auto"/>
          <w:kern w:val="2"/>
        </w:rPr>
      </w:pPr>
      <w:r>
        <w:rPr>
          <w:rFonts w:hint="eastAsia"/>
          <w:b/>
          <w:color w:val="auto"/>
        </w:rPr>
        <w:t>五、</w:t>
      </w:r>
      <w:r>
        <w:rPr>
          <w:rFonts w:hint="eastAsia"/>
          <w:b/>
          <w:bCs/>
          <w:color w:val="auto"/>
          <w:kern w:val="2"/>
        </w:rPr>
        <w:t>投标截止时间及地点</w:t>
      </w:r>
    </w:p>
    <w:p w14:paraId="7668BCCB">
      <w:pPr>
        <w:widowControl/>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1.时间：2025年</w:t>
      </w:r>
      <w:r>
        <w:rPr>
          <w:rFonts w:hint="eastAsia" w:ascii="宋体" w:hAnsi="宋体" w:cs="宋体"/>
          <w:color w:val="auto"/>
          <w:sz w:val="24"/>
          <w:szCs w:val="24"/>
          <w:lang w:val="en-US" w:eastAsia="zh-CN"/>
        </w:rPr>
        <w:t>11</w:t>
      </w:r>
      <w:r>
        <w:rPr>
          <w:rFonts w:hint="eastAsia" w:ascii="宋体" w:hAnsi="宋体" w:cs="宋体"/>
          <w:color w:val="auto"/>
          <w:sz w:val="24"/>
          <w:szCs w:val="24"/>
        </w:rPr>
        <w:t>月</w:t>
      </w:r>
      <w:r>
        <w:rPr>
          <w:rFonts w:hint="eastAsia" w:ascii="宋体" w:hAnsi="宋体" w:cs="宋体"/>
          <w:color w:val="auto"/>
          <w:sz w:val="24"/>
          <w:szCs w:val="24"/>
          <w:lang w:val="en-US" w:eastAsia="zh-CN"/>
        </w:rPr>
        <w:t>5</w:t>
      </w:r>
      <w:r>
        <w:rPr>
          <w:rFonts w:hint="eastAsia" w:ascii="宋体" w:hAnsi="宋体" w:cs="宋体"/>
          <w:color w:val="auto"/>
          <w:sz w:val="24"/>
          <w:szCs w:val="24"/>
        </w:rPr>
        <w:t>日</w:t>
      </w:r>
      <w:r>
        <w:rPr>
          <w:rFonts w:hint="eastAsia" w:ascii="宋体" w:hAnsi="宋体" w:cs="宋体"/>
          <w:color w:val="auto"/>
          <w:sz w:val="24"/>
          <w:szCs w:val="24"/>
          <w:lang w:val="en-US" w:eastAsia="zh-CN"/>
        </w:rPr>
        <w:t>09</w:t>
      </w:r>
      <w:r>
        <w:rPr>
          <w:rFonts w:hint="eastAsia" w:ascii="宋体" w:hAnsi="宋体" w:cs="宋体"/>
          <w:color w:val="auto"/>
          <w:sz w:val="24"/>
          <w:szCs w:val="24"/>
        </w:rPr>
        <w:t>时00分（北京时间）。</w:t>
      </w:r>
    </w:p>
    <w:p w14:paraId="522AB3B0">
      <w:pPr>
        <w:widowControl/>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地点：本项目为全流程电子化交易项目，供应商通过许昌公共资源交易系统下载“新点投标文件制作软件（河南省版）”的最新版本制作并上传加密电子投标文件（后缀格式为.XCSTF）。加密电子投标文件须在投标截止时间前通过《全国公共资源交易平台（河南省·许昌市）》电子交易平台加密上传。逾期上传或者未上传指定地点的电子投标文件，采购人将不予受理。</w:t>
      </w:r>
    </w:p>
    <w:p w14:paraId="469071DA">
      <w:pPr>
        <w:widowControl/>
        <w:adjustRightInd w:val="0"/>
        <w:snapToGrid w:val="0"/>
        <w:spacing w:line="360" w:lineRule="auto"/>
        <w:ind w:firstLine="482" w:firstLineChars="200"/>
        <w:jc w:val="left"/>
        <w:rPr>
          <w:rFonts w:ascii="宋体" w:hAnsi="宋体" w:cs="宋体"/>
          <w:b/>
          <w:bCs/>
          <w:color w:val="auto"/>
          <w:sz w:val="24"/>
          <w:szCs w:val="24"/>
        </w:rPr>
      </w:pPr>
      <w:r>
        <w:rPr>
          <w:rFonts w:hint="eastAsia" w:ascii="宋体" w:hAnsi="宋体" w:cs="宋体"/>
          <w:b/>
          <w:bCs/>
          <w:color w:val="auto"/>
          <w:sz w:val="24"/>
          <w:szCs w:val="24"/>
        </w:rPr>
        <w:t>六、开标时间及地点</w:t>
      </w:r>
    </w:p>
    <w:p w14:paraId="1B4C2DA2">
      <w:pPr>
        <w:widowControl/>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1.时间：2025年</w:t>
      </w:r>
      <w:r>
        <w:rPr>
          <w:rFonts w:hint="eastAsia" w:ascii="宋体" w:hAnsi="宋体" w:cs="宋体"/>
          <w:color w:val="auto"/>
          <w:sz w:val="24"/>
          <w:szCs w:val="24"/>
          <w:lang w:val="en-US" w:eastAsia="zh-CN"/>
        </w:rPr>
        <w:t>11</w:t>
      </w:r>
      <w:r>
        <w:rPr>
          <w:rFonts w:hint="eastAsia" w:ascii="宋体" w:hAnsi="宋体" w:cs="宋体"/>
          <w:color w:val="auto"/>
          <w:sz w:val="24"/>
          <w:szCs w:val="24"/>
        </w:rPr>
        <w:t>月</w:t>
      </w:r>
      <w:r>
        <w:rPr>
          <w:rFonts w:hint="eastAsia" w:ascii="宋体" w:hAnsi="宋体" w:cs="宋体"/>
          <w:color w:val="auto"/>
          <w:sz w:val="24"/>
          <w:szCs w:val="24"/>
          <w:lang w:val="en-US" w:eastAsia="zh-CN"/>
        </w:rPr>
        <w:t>5</w:t>
      </w:r>
      <w:r>
        <w:rPr>
          <w:rFonts w:hint="eastAsia" w:ascii="宋体" w:hAnsi="宋体" w:cs="宋体"/>
          <w:color w:val="auto"/>
          <w:sz w:val="24"/>
          <w:szCs w:val="24"/>
        </w:rPr>
        <w:t>日</w:t>
      </w:r>
      <w:r>
        <w:rPr>
          <w:rFonts w:hint="eastAsia" w:ascii="宋体" w:hAnsi="宋体" w:cs="宋体"/>
          <w:color w:val="auto"/>
          <w:sz w:val="24"/>
          <w:szCs w:val="24"/>
          <w:lang w:val="en-US" w:eastAsia="zh-CN"/>
        </w:rPr>
        <w:t>09</w:t>
      </w:r>
      <w:r>
        <w:rPr>
          <w:rFonts w:hint="eastAsia" w:ascii="宋体" w:hAnsi="宋体" w:cs="宋体"/>
          <w:color w:val="auto"/>
          <w:sz w:val="24"/>
          <w:szCs w:val="24"/>
        </w:rPr>
        <w:t>时00分（北京时间）。</w:t>
      </w:r>
    </w:p>
    <w:p w14:paraId="46ECF527">
      <w:pPr>
        <w:widowControl/>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2.地点：长葛市公共资源交易中心开标</w:t>
      </w:r>
      <w:r>
        <w:rPr>
          <w:rFonts w:hint="eastAsia" w:ascii="宋体" w:hAnsi="宋体" w:cs="宋体"/>
          <w:color w:val="auto"/>
          <w:sz w:val="24"/>
          <w:szCs w:val="24"/>
          <w:lang w:val="en-US" w:eastAsia="zh-CN"/>
        </w:rPr>
        <w:t>四</w:t>
      </w:r>
      <w:bookmarkStart w:id="35" w:name="_GoBack"/>
      <w:bookmarkEnd w:id="35"/>
      <w:r>
        <w:rPr>
          <w:rFonts w:hint="eastAsia" w:ascii="宋体" w:hAnsi="宋体" w:cs="宋体"/>
          <w:color w:val="auto"/>
          <w:sz w:val="24"/>
          <w:szCs w:val="24"/>
        </w:rPr>
        <w:t>室（长葛市葛天大道东段商务区6#楼5  楼507室），本项目采用“远程不见面”开标方式，远程开标大厅网址为（https://ggzy.xuchang.gov.cn/BidOpening），投标人无需到现场参加开标会议。投标人应当在投标截止时间前，登录远程开标大厅，在线准时参加开标活动并进行投标文件解密等，逾期解密或超时解密将被拒绝，流程详见新交易平台使用说明。</w:t>
      </w:r>
    </w:p>
    <w:p w14:paraId="596434C9">
      <w:pPr>
        <w:widowControl/>
        <w:adjustRightInd w:val="0"/>
        <w:snapToGrid w:val="0"/>
        <w:spacing w:line="360" w:lineRule="auto"/>
        <w:ind w:firstLine="422" w:firstLineChars="200"/>
        <w:jc w:val="left"/>
        <w:rPr>
          <w:b/>
          <w:color w:val="auto"/>
        </w:rPr>
      </w:pPr>
      <w:r>
        <w:rPr>
          <w:rFonts w:hint="eastAsia"/>
          <w:b/>
          <w:color w:val="auto"/>
        </w:rPr>
        <w:t>七、发布公告的媒介</w:t>
      </w:r>
    </w:p>
    <w:p w14:paraId="4B09738F">
      <w:pPr>
        <w:pStyle w:val="27"/>
        <w:shd w:val="clear" w:color="auto" w:fill="FFFFFF"/>
        <w:spacing w:before="0" w:beforeAutospacing="0" w:after="0" w:afterAutospacing="0" w:line="360" w:lineRule="auto"/>
        <w:ind w:firstLine="480" w:firstLineChars="200"/>
        <w:contextualSpacing/>
        <w:rPr>
          <w:color w:val="auto"/>
        </w:rPr>
      </w:pPr>
      <w:r>
        <w:rPr>
          <w:rFonts w:hint="eastAsia"/>
          <w:color w:val="auto"/>
        </w:rPr>
        <w:t>本次招标公告同时在《河南省政府采购网》、《全国公共资源交易平台（河南省•许昌市）》、《长葛市人民政府门户网站》发布。</w:t>
      </w:r>
    </w:p>
    <w:p w14:paraId="4AE4E023">
      <w:pPr>
        <w:pStyle w:val="27"/>
        <w:shd w:val="clear" w:color="auto" w:fill="FFFFFF"/>
        <w:spacing w:before="0" w:beforeAutospacing="0" w:after="0" w:afterAutospacing="0" w:line="360" w:lineRule="auto"/>
        <w:ind w:firstLine="482" w:firstLineChars="200"/>
        <w:contextualSpacing/>
        <w:rPr>
          <w:b/>
          <w:bCs/>
          <w:color w:val="auto"/>
        </w:rPr>
      </w:pPr>
      <w:r>
        <w:rPr>
          <w:rFonts w:hint="eastAsia"/>
          <w:b/>
          <w:bCs/>
          <w:color w:val="auto"/>
        </w:rPr>
        <w:t>八、公告期限</w:t>
      </w:r>
    </w:p>
    <w:p w14:paraId="5B5A9B78">
      <w:pPr>
        <w:spacing w:line="360" w:lineRule="auto"/>
        <w:ind w:firstLine="480" w:firstLineChars="200"/>
        <w:contextualSpacing/>
        <w:jc w:val="left"/>
        <w:rPr>
          <w:rFonts w:ascii="宋体" w:hAnsi="宋体"/>
          <w:color w:val="auto"/>
          <w:kern w:val="0"/>
          <w:sz w:val="24"/>
          <w:szCs w:val="24"/>
        </w:rPr>
      </w:pPr>
      <w:r>
        <w:rPr>
          <w:rFonts w:hint="eastAsia" w:ascii="宋体" w:hAnsi="宋体"/>
          <w:color w:val="auto"/>
          <w:kern w:val="0"/>
          <w:sz w:val="24"/>
          <w:szCs w:val="24"/>
        </w:rPr>
        <w:t>自本公告发布之日起5个工作日。</w:t>
      </w:r>
    </w:p>
    <w:p w14:paraId="19AAABC6">
      <w:pPr>
        <w:spacing w:line="360" w:lineRule="auto"/>
        <w:ind w:firstLine="482" w:firstLineChars="200"/>
        <w:contextualSpacing/>
        <w:jc w:val="left"/>
        <w:rPr>
          <w:rFonts w:ascii="宋体" w:hAnsi="宋体" w:cs="宋体"/>
          <w:color w:val="auto"/>
          <w:kern w:val="0"/>
          <w:sz w:val="24"/>
          <w:szCs w:val="24"/>
        </w:rPr>
      </w:pPr>
      <w:r>
        <w:rPr>
          <w:rFonts w:hint="eastAsia" w:ascii="宋体" w:hAnsi="宋体"/>
          <w:b/>
          <w:bCs/>
          <w:color w:val="auto"/>
          <w:kern w:val="0"/>
          <w:sz w:val="24"/>
          <w:szCs w:val="24"/>
        </w:rPr>
        <w:t>九、其他补充事</w:t>
      </w:r>
      <w:r>
        <w:rPr>
          <w:rFonts w:hint="eastAsia" w:ascii="宋体" w:hAnsi="宋体" w:cs="宋体"/>
          <w:color w:val="auto"/>
          <w:kern w:val="0"/>
          <w:sz w:val="24"/>
          <w:szCs w:val="24"/>
        </w:rPr>
        <w:t>宜</w:t>
      </w:r>
    </w:p>
    <w:p w14:paraId="260A961F">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1.本项目采用电子系统进行招投标，请在投标前详细阅读《全国公共资源交易平台（河南省·许昌市）》首页“服务指南”栏目下的《新交易平台使用手册》中的相关内容。</w:t>
      </w:r>
    </w:p>
    <w:p w14:paraId="55E71202">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2.投标供应商在电子系统使用过程中遇到涉及系统使用的问题，可致电0512-58188538、0374-2961598进行咨询。</w:t>
      </w:r>
    </w:p>
    <w:p w14:paraId="408A45B6">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3.本招标公告期限为5个工作日。供应商对招标文件提出质疑的，应在获取招标文件或者招标文件公告期限届满之日起7个工作日内提出（具体解释详见招标文件第一章“温馨提示” 7.1）。</w:t>
      </w:r>
    </w:p>
    <w:p w14:paraId="6CA2730F">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4.质疑、投诉相关事宜</w:t>
      </w:r>
    </w:p>
    <w:p w14:paraId="751E2C2F">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（1）供应商认为采购文件使自己的权益受到损害的，可在法定时间通过许昌市公共资源电子交易系统在线提出或以其他书面形式向采购人、采购代理机构提出质疑。</w:t>
      </w:r>
    </w:p>
    <w:p w14:paraId="325F8FE9">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（2）质疑供应商对采购人、采购代理机构的答复不满意，或者采购人、采购代理机构未在规定时间内作出答复的，可在法定时间以书面形式向监督部门提起投诉。</w:t>
      </w:r>
    </w:p>
    <w:p w14:paraId="6CB6B9D3">
      <w:pPr>
        <w:spacing w:line="360" w:lineRule="auto"/>
        <w:ind w:firstLine="240" w:firstLineChars="100"/>
        <w:jc w:val="left"/>
        <w:rPr>
          <w:rFonts w:ascii="宋体" w:hAnsi="宋体" w:cs="宋体"/>
          <w:color w:val="auto"/>
          <w:kern w:val="0"/>
          <w:sz w:val="24"/>
          <w:szCs w:val="24"/>
        </w:rPr>
      </w:pPr>
      <w:r>
        <w:rPr>
          <w:rFonts w:hint="eastAsia" w:ascii="宋体" w:hAnsi="宋体" w:cs="宋体"/>
          <w:color w:val="auto"/>
          <w:kern w:val="0"/>
          <w:sz w:val="24"/>
          <w:szCs w:val="24"/>
        </w:rPr>
        <w:t>（3）受理质疑的联系人和联系方式见本公告：“十、联系方式1和2”。</w:t>
      </w:r>
    </w:p>
    <w:p w14:paraId="17723F9C">
      <w:pPr>
        <w:spacing w:line="360" w:lineRule="auto"/>
        <w:ind w:firstLine="241" w:firstLineChars="100"/>
        <w:jc w:val="left"/>
        <w:rPr>
          <w:rFonts w:ascii="宋体" w:hAnsi="宋体"/>
          <w:b/>
          <w:bCs/>
          <w:color w:val="auto"/>
          <w:kern w:val="0"/>
          <w:sz w:val="24"/>
          <w:szCs w:val="24"/>
        </w:rPr>
      </w:pPr>
      <w:r>
        <w:rPr>
          <w:rFonts w:hint="eastAsia" w:ascii="宋体" w:hAnsi="宋体"/>
          <w:b/>
          <w:bCs/>
          <w:color w:val="auto"/>
          <w:kern w:val="0"/>
          <w:sz w:val="24"/>
          <w:szCs w:val="24"/>
        </w:rPr>
        <w:t>十、联系方式</w:t>
      </w:r>
    </w:p>
    <w:p w14:paraId="3A087BA6">
      <w:pPr>
        <w:pStyle w:val="27"/>
        <w:shd w:val="clear" w:color="auto" w:fill="FFFFFF"/>
        <w:spacing w:before="0" w:beforeAutospacing="0" w:after="0" w:afterAutospacing="0" w:line="360" w:lineRule="auto"/>
        <w:ind w:firstLine="480" w:firstLineChars="200"/>
        <w:contextualSpacing/>
        <w:rPr>
          <w:color w:val="auto"/>
          <w:kern w:val="2"/>
          <w:shd w:val="clear" w:color="auto" w:fill="FFFFFF"/>
        </w:rPr>
      </w:pPr>
      <w:r>
        <w:rPr>
          <w:rFonts w:hint="eastAsia"/>
          <w:color w:val="auto"/>
          <w:kern w:val="2"/>
          <w:shd w:val="clear" w:color="auto" w:fill="FFFFFF"/>
        </w:rPr>
        <w:t>招 标 人：长葛市教育体育局</w:t>
      </w:r>
    </w:p>
    <w:p w14:paraId="3A6D2D27">
      <w:pPr>
        <w:pStyle w:val="27"/>
        <w:shd w:val="clear" w:color="auto" w:fill="FFFFFF"/>
        <w:spacing w:before="0" w:beforeAutospacing="0" w:after="0" w:afterAutospacing="0" w:line="360" w:lineRule="auto"/>
        <w:ind w:firstLine="480" w:firstLineChars="200"/>
        <w:contextualSpacing/>
        <w:rPr>
          <w:color w:val="auto"/>
          <w:kern w:val="2"/>
          <w:shd w:val="clear" w:color="auto" w:fill="FFFFFF"/>
        </w:rPr>
      </w:pPr>
      <w:r>
        <w:rPr>
          <w:rFonts w:hint="eastAsia"/>
          <w:color w:val="auto"/>
          <w:kern w:val="2"/>
          <w:shd w:val="clear" w:color="auto" w:fill="FFFFFF"/>
        </w:rPr>
        <w:t>联 系 人：石女士</w:t>
      </w:r>
    </w:p>
    <w:p w14:paraId="2E4F671D">
      <w:pPr>
        <w:pStyle w:val="27"/>
        <w:shd w:val="clear" w:color="auto" w:fill="FFFFFF"/>
        <w:spacing w:before="0" w:beforeAutospacing="0" w:after="0" w:afterAutospacing="0" w:line="360" w:lineRule="auto"/>
        <w:ind w:firstLine="480" w:firstLineChars="200"/>
        <w:contextualSpacing/>
        <w:rPr>
          <w:color w:val="auto"/>
          <w:kern w:val="2"/>
          <w:shd w:val="clear" w:color="auto" w:fill="FFFFFF"/>
        </w:rPr>
      </w:pPr>
      <w:r>
        <w:rPr>
          <w:rFonts w:hint="eastAsia"/>
          <w:color w:val="auto"/>
          <w:kern w:val="2"/>
          <w:shd w:val="clear" w:color="auto" w:fill="FFFFFF"/>
        </w:rPr>
        <w:t>联系电话：0374-6110218</w:t>
      </w:r>
    </w:p>
    <w:p w14:paraId="4B6BCF39">
      <w:pPr>
        <w:pStyle w:val="27"/>
        <w:shd w:val="clear" w:color="auto" w:fill="FFFFFF"/>
        <w:spacing w:before="0" w:beforeAutospacing="0" w:after="0" w:afterAutospacing="0" w:line="360" w:lineRule="auto"/>
        <w:ind w:firstLine="480" w:firstLineChars="200"/>
        <w:contextualSpacing/>
        <w:rPr>
          <w:color w:val="auto"/>
          <w:kern w:val="2"/>
          <w:shd w:val="clear" w:color="auto" w:fill="FFFFFF"/>
        </w:rPr>
      </w:pPr>
      <w:r>
        <w:rPr>
          <w:rFonts w:hint="eastAsia"/>
          <w:color w:val="auto"/>
          <w:kern w:val="2"/>
          <w:shd w:val="clear" w:color="auto" w:fill="FFFFFF"/>
        </w:rPr>
        <w:t>地址：长葛市葛天大道商务区10号楼</w:t>
      </w:r>
    </w:p>
    <w:p w14:paraId="11A92A8C">
      <w:pPr>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集采机构：长葛市公共资源交易中心</w:t>
      </w:r>
    </w:p>
    <w:p w14:paraId="7695BE8C">
      <w:pPr>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联系人：</w:t>
      </w:r>
      <w:r>
        <w:rPr>
          <w:rFonts w:hint="eastAsia" w:ascii="宋体" w:hAnsi="宋体"/>
          <w:bCs/>
          <w:color w:val="auto"/>
          <w:sz w:val="24"/>
          <w:szCs w:val="24"/>
        </w:rPr>
        <w:t xml:space="preserve">政府采购交易股 </w:t>
      </w:r>
      <w:r>
        <w:rPr>
          <w:rFonts w:hint="eastAsia" w:ascii="宋体" w:hAnsi="宋体" w:cs="宋体"/>
          <w:color w:val="auto"/>
          <w:kern w:val="0"/>
          <w:sz w:val="24"/>
          <w:szCs w:val="24"/>
        </w:rPr>
        <w:t>联系电话：0374-6189379</w:t>
      </w:r>
    </w:p>
    <w:p w14:paraId="693E2193">
      <w:pPr>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地址：长葛市葛天大道东段商务区6#楼4楼</w:t>
      </w:r>
    </w:p>
    <w:p w14:paraId="07BDE1DD">
      <w:pPr>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sz w:val="24"/>
          <w:szCs w:val="24"/>
          <w:shd w:val="clear" w:color="auto" w:fill="FFFFFF"/>
        </w:rPr>
        <w:t>监督单位：长葛市财政局</w:t>
      </w:r>
    </w:p>
    <w:p w14:paraId="7C42EDB3">
      <w:pPr>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kern w:val="0"/>
          <w:sz w:val="24"/>
          <w:szCs w:val="24"/>
        </w:rPr>
        <w:t>联系人：</w:t>
      </w:r>
      <w:r>
        <w:rPr>
          <w:rFonts w:ascii="宋体" w:hAnsi="宋体" w:cs="宋体"/>
          <w:color w:val="auto"/>
          <w:kern w:val="0"/>
          <w:sz w:val="24"/>
          <w:szCs w:val="24"/>
        </w:rPr>
        <w:t>长葛市财政</w:t>
      </w:r>
      <w:r>
        <w:rPr>
          <w:rFonts w:hint="eastAsia" w:ascii="宋体" w:hAnsi="宋体" w:cs="宋体"/>
          <w:color w:val="auto"/>
          <w:kern w:val="0"/>
          <w:sz w:val="24"/>
          <w:szCs w:val="24"/>
        </w:rPr>
        <w:t>预算评审中心政府采购服务股    联系电话：0374-6189720</w:t>
      </w:r>
    </w:p>
    <w:p w14:paraId="459B7F40">
      <w:pPr>
        <w:spacing w:line="360" w:lineRule="auto"/>
        <w:ind w:firstLine="480" w:firstLineChars="200"/>
        <w:contextualSpacing/>
        <w:jc w:val="left"/>
        <w:rPr>
          <w:rFonts w:ascii="宋体" w:hAnsi="宋体" w:cs="宋体"/>
          <w:color w:val="auto"/>
          <w:kern w:val="0"/>
          <w:sz w:val="24"/>
          <w:szCs w:val="24"/>
        </w:rPr>
      </w:pPr>
      <w:r>
        <w:rPr>
          <w:rFonts w:hint="eastAsia" w:ascii="宋体" w:hAnsi="宋体" w:cs="宋体"/>
          <w:color w:val="auto"/>
          <w:sz w:val="24"/>
          <w:szCs w:val="24"/>
          <w:shd w:val="clear" w:color="auto" w:fill="FFFFFF"/>
        </w:rPr>
        <w:t>地址：长葛市葛天大道1号楼财政局308室</w:t>
      </w:r>
    </w:p>
    <w:p w14:paraId="07D69442">
      <w:pPr>
        <w:widowControl/>
        <w:spacing w:line="360" w:lineRule="auto"/>
        <w:jc w:val="left"/>
        <w:rPr>
          <w:rFonts w:ascii="宋体" w:hAnsi="宋体" w:cs="宋体"/>
          <w:color w:val="auto"/>
          <w:sz w:val="24"/>
          <w:szCs w:val="24"/>
        </w:rPr>
      </w:pPr>
      <w:r>
        <w:rPr>
          <w:rFonts w:hint="eastAsia" w:ascii="宋体" w:hAnsi="宋体" w:cs="宋体"/>
          <w:b/>
          <w:bCs/>
          <w:color w:val="auto"/>
          <w:kern w:val="0"/>
          <w:sz w:val="24"/>
          <w:szCs w:val="24"/>
        </w:rPr>
        <w:t xml:space="preserve">温馨提示：本项目为全流程电子化交易项目，请注意以下事项。 </w:t>
      </w:r>
    </w:p>
    <w:p w14:paraId="6CFA33DC">
      <w:pPr>
        <w:widowControl/>
        <w:spacing w:line="360" w:lineRule="auto"/>
        <w:ind w:firstLine="482" w:firstLineChars="200"/>
        <w:jc w:val="left"/>
        <w:rPr>
          <w:rFonts w:ascii="宋体" w:hAnsi="宋体" w:cs="宋体"/>
          <w:color w:val="auto"/>
          <w:sz w:val="24"/>
          <w:szCs w:val="24"/>
        </w:rPr>
      </w:pPr>
      <w:r>
        <w:rPr>
          <w:rFonts w:hint="eastAsia" w:ascii="宋体" w:hAnsi="宋体" w:cs="宋体"/>
          <w:b/>
          <w:bCs/>
          <w:color w:val="auto"/>
          <w:kern w:val="0"/>
          <w:sz w:val="24"/>
          <w:szCs w:val="24"/>
        </w:rPr>
        <w:t xml:space="preserve">1.供应商参加本项目投标，需提前自行联系 CA 服务机构办理数字认证证书并进行电子签章。 </w:t>
      </w:r>
    </w:p>
    <w:p w14:paraId="79925250">
      <w:pPr>
        <w:widowControl/>
        <w:spacing w:line="360" w:lineRule="auto"/>
        <w:ind w:firstLine="482" w:firstLineChars="200"/>
        <w:jc w:val="left"/>
        <w:rPr>
          <w:rFonts w:ascii="宋体" w:hAnsi="宋体" w:cs="宋体"/>
          <w:color w:val="auto"/>
          <w:sz w:val="24"/>
          <w:szCs w:val="24"/>
        </w:rPr>
      </w:pPr>
      <w:r>
        <w:rPr>
          <w:rFonts w:hint="eastAsia" w:ascii="宋体" w:hAnsi="宋体" w:cs="宋体"/>
          <w:b/>
          <w:bCs/>
          <w:color w:val="auto"/>
          <w:kern w:val="0"/>
          <w:sz w:val="24"/>
          <w:szCs w:val="24"/>
        </w:rPr>
        <w:t xml:space="preserve">2.招标文件下载、投标文件制作、提交、远程不见面开标（电子投标文件的解密）环节，投标人须使用同一个 CA 数字证书（证书须在有效期内并可正常使用）。 </w:t>
      </w:r>
    </w:p>
    <w:p w14:paraId="4E2B4668">
      <w:pPr>
        <w:widowControl/>
        <w:spacing w:line="360" w:lineRule="auto"/>
        <w:ind w:firstLine="482" w:firstLineChars="200"/>
        <w:jc w:val="left"/>
        <w:rPr>
          <w:rFonts w:ascii="宋体" w:hAnsi="宋体" w:cs="宋体"/>
          <w:color w:val="auto"/>
          <w:sz w:val="24"/>
          <w:szCs w:val="24"/>
        </w:rPr>
      </w:pPr>
      <w:r>
        <w:rPr>
          <w:rFonts w:hint="eastAsia" w:ascii="宋体" w:hAnsi="宋体" w:cs="宋体"/>
          <w:b/>
          <w:bCs/>
          <w:color w:val="auto"/>
          <w:kern w:val="0"/>
          <w:sz w:val="24"/>
          <w:szCs w:val="24"/>
        </w:rPr>
        <w:t xml:space="preserve">3.电子投标文件的制作 </w:t>
      </w:r>
    </w:p>
    <w:p w14:paraId="02563954">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3.1 投标人登录《全国公共资源交易平台（河南省·许昌市）》 </w:t>
      </w:r>
    </w:p>
    <w:p w14:paraId="5EEB3DB8">
      <w:pPr>
        <w:widowControl/>
        <w:spacing w:line="360" w:lineRule="auto"/>
        <w:jc w:val="left"/>
        <w:rPr>
          <w:rFonts w:ascii="宋体" w:hAnsi="宋体" w:cs="宋体"/>
          <w:color w:val="auto"/>
          <w:sz w:val="24"/>
          <w:szCs w:val="24"/>
        </w:rPr>
      </w:pPr>
      <w:r>
        <w:rPr>
          <w:rFonts w:hint="eastAsia" w:ascii="宋体" w:hAnsi="宋体" w:cs="宋体"/>
          <w:color w:val="auto"/>
          <w:kern w:val="0"/>
          <w:sz w:val="24"/>
          <w:szCs w:val="24"/>
        </w:rPr>
        <w:t xml:space="preserve">（https://ggzy.xuchang.gov.cn/）下载“新点投标文件制作软件（河南省版）”（在“投标人”登录页面右下方“投标文件制作工具下载”）制作电子投标文件。 </w:t>
      </w:r>
    </w:p>
    <w:p w14:paraId="028FBA5F">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3.2 投标人对同一项目多个标段进行投标的，应分别下载所投标段的招标文件，按标段制作投标文件。一个标段对应生成 2 份电子投标文件（后缀格式为.XCSTF 和.nXCSTF），其中后缀格式为“.XCSTF”的加密电子投标文件用于上传至交易系统中投标，后缀格式为“.nXCSTF”的不加密电子投标文件用于查看投标文件内容或导出 PDF 格式投标文件。 </w:t>
      </w:r>
    </w:p>
    <w:p w14:paraId="6524D740">
      <w:pPr>
        <w:widowControl/>
        <w:spacing w:line="360" w:lineRule="auto"/>
        <w:ind w:firstLine="482" w:firstLineChars="200"/>
        <w:jc w:val="left"/>
        <w:rPr>
          <w:rFonts w:ascii="宋体" w:hAnsi="宋体" w:cs="宋体"/>
          <w:color w:val="auto"/>
          <w:sz w:val="24"/>
          <w:szCs w:val="24"/>
        </w:rPr>
      </w:pPr>
      <w:r>
        <w:rPr>
          <w:rFonts w:hint="eastAsia" w:ascii="宋体" w:hAnsi="宋体" w:cs="宋体"/>
          <w:b/>
          <w:bCs/>
          <w:color w:val="auto"/>
          <w:kern w:val="0"/>
          <w:sz w:val="24"/>
          <w:szCs w:val="24"/>
        </w:rPr>
        <w:t xml:space="preserve">4.加密电子投标文件的提交 </w:t>
      </w:r>
    </w:p>
    <w:p w14:paraId="18AD6DFA">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4.1 投标人对同一项目多个标段进行投标的，加密电子投标文件应按标段分别提交。</w:t>
      </w:r>
    </w:p>
    <w:p w14:paraId="239B2C98">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4.2 加密电子投标文件成功提交后，可登录《全国公共资源交易平台（河南省·许昌市）》（https://ggzy.xuchang.gov.cn/）许昌市公共资源电子交易系统，在上传电子投标文件的页面进行模拟解密，以验证是否能够成功解密。 </w:t>
      </w:r>
    </w:p>
    <w:p w14:paraId="3B3DE98E">
      <w:pPr>
        <w:widowControl/>
        <w:spacing w:line="360" w:lineRule="auto"/>
        <w:ind w:firstLine="482" w:firstLineChars="200"/>
        <w:jc w:val="left"/>
        <w:rPr>
          <w:rFonts w:ascii="宋体" w:hAnsi="宋体" w:cs="宋体"/>
          <w:color w:val="auto"/>
          <w:sz w:val="24"/>
          <w:szCs w:val="24"/>
        </w:rPr>
      </w:pPr>
      <w:r>
        <w:rPr>
          <w:rFonts w:hint="eastAsia" w:ascii="宋体" w:hAnsi="宋体" w:cs="宋体"/>
          <w:b/>
          <w:bCs/>
          <w:color w:val="auto"/>
          <w:kern w:val="0"/>
          <w:sz w:val="24"/>
          <w:szCs w:val="24"/>
        </w:rPr>
        <w:t xml:space="preserve">5.远程不见面开标（电子响应文件的解密） </w:t>
      </w:r>
    </w:p>
    <w:p w14:paraId="63026427">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5.1 本项目采用远程“不见面”开标方式，投标前请详细阅读《全国公共资源交易平台（河南省·许昌市）》（https://ggzy.xuchang.gov.cn/）“服务指南”——“办事指南”栏目下《新交易平台使用说明》中的相关内容。 </w:t>
      </w:r>
    </w:p>
    <w:p w14:paraId="6B6D8C92">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5.2 投标人应按《新交易平台使用说明》提前设置好浏览器，并于开标时间前登录本项目网上开标大厅，按照规定的开标时间准时参加网上开标。 </w:t>
      </w:r>
    </w:p>
    <w:p w14:paraId="7BAF2C9C">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 </w:t>
      </w:r>
    </w:p>
    <w:p w14:paraId="32F3FB01">
      <w:pPr>
        <w:widowControl/>
        <w:spacing w:line="360" w:lineRule="auto"/>
        <w:jc w:val="left"/>
        <w:rPr>
          <w:rFonts w:ascii="宋体" w:hAnsi="宋体" w:cs="宋体"/>
          <w:color w:val="auto"/>
          <w:sz w:val="24"/>
          <w:szCs w:val="24"/>
        </w:rPr>
      </w:pPr>
      <w:r>
        <w:rPr>
          <w:rFonts w:hint="eastAsia" w:ascii="宋体" w:hAnsi="宋体" w:cs="宋体"/>
          <w:color w:val="auto"/>
          <w:kern w:val="0"/>
          <w:sz w:val="24"/>
          <w:szCs w:val="24"/>
        </w:rPr>
        <w:t xml:space="preserve">    5.4 在开标结束环节，投标人应在《开标情况记录表》上进行电子签章。投标人未签章的，视同认可开标结果。 </w:t>
      </w:r>
    </w:p>
    <w:p w14:paraId="531B097A">
      <w:pPr>
        <w:widowControl/>
        <w:spacing w:line="360" w:lineRule="auto"/>
        <w:ind w:firstLine="480" w:firstLineChars="200"/>
        <w:jc w:val="left"/>
        <w:rPr>
          <w:rFonts w:ascii="宋体" w:hAnsi="宋体" w:cs="宋体"/>
          <w:color w:val="auto"/>
          <w:sz w:val="24"/>
          <w:szCs w:val="24"/>
        </w:rPr>
      </w:pPr>
      <w:r>
        <w:rPr>
          <w:rFonts w:hint="eastAsia" w:ascii="宋体" w:hAnsi="宋体" w:cs="宋体"/>
          <w:color w:val="auto"/>
          <w:kern w:val="0"/>
          <w:sz w:val="24"/>
          <w:szCs w:val="24"/>
        </w:rPr>
        <w:t xml:space="preserve">5.5 投标人对开标过程和开标记录如有异议，可在本项目开标大厅界面右下方“发起异议”中在线提出异议。 </w:t>
      </w:r>
    </w:p>
    <w:p w14:paraId="045BD071">
      <w:pPr>
        <w:widowControl/>
        <w:spacing w:line="360" w:lineRule="auto"/>
        <w:ind w:firstLine="482" w:firstLineChars="200"/>
        <w:jc w:val="left"/>
        <w:rPr>
          <w:rFonts w:ascii="宋体" w:hAnsi="宋体" w:cs="宋体"/>
          <w:color w:val="auto"/>
          <w:sz w:val="24"/>
          <w:szCs w:val="24"/>
        </w:rPr>
      </w:pPr>
      <w:r>
        <w:rPr>
          <w:rFonts w:hint="eastAsia" w:ascii="宋体" w:hAnsi="宋体" w:cs="宋体"/>
          <w:b/>
          <w:bCs/>
          <w:color w:val="auto"/>
          <w:kern w:val="0"/>
          <w:sz w:val="24"/>
          <w:szCs w:val="24"/>
        </w:rPr>
        <w:t xml:space="preserve">6.评标依据 </w:t>
      </w:r>
    </w:p>
    <w:p w14:paraId="2313D13B">
      <w:pPr>
        <w:widowControl/>
        <w:spacing w:line="360" w:lineRule="auto"/>
        <w:ind w:firstLine="480" w:firstLineChars="200"/>
        <w:jc w:val="left"/>
        <w:rPr>
          <w:color w:val="auto"/>
        </w:rPr>
      </w:pPr>
      <w:r>
        <w:rPr>
          <w:rFonts w:hint="eastAsia" w:ascii="宋体" w:hAnsi="宋体" w:cs="宋体"/>
          <w:color w:val="auto"/>
          <w:kern w:val="0"/>
          <w:sz w:val="24"/>
          <w:szCs w:val="24"/>
        </w:rPr>
        <w:t xml:space="preserve">6.1 全流程电子化交易（不见面开标）项目，评标委员会以成功上传、解密的电子投标文件为依据评审。 </w:t>
      </w:r>
    </w:p>
    <w:p w14:paraId="7F74D567">
      <w:pPr>
        <w:widowControl/>
        <w:spacing w:line="360" w:lineRule="auto"/>
        <w:ind w:firstLine="480" w:firstLineChars="200"/>
        <w:jc w:val="left"/>
        <w:rPr>
          <w:color w:val="auto"/>
        </w:rPr>
      </w:pPr>
      <w:r>
        <w:rPr>
          <w:rFonts w:hint="eastAsia" w:ascii="宋体" w:hAnsi="宋体" w:cs="宋体"/>
          <w:color w:val="auto"/>
          <w:kern w:val="0"/>
          <w:sz w:val="24"/>
          <w:szCs w:val="24"/>
        </w:rPr>
        <w:t xml:space="preserve">6.2 评标期间，投标人应保持通讯手机畅通。评标委员会如要求投标人作出澄清、说明或者补正等，投标人应在评标委员会要求的评标期间合理的时间内通过《全国公共资源交易平台 （河南省·许昌市）》——“许昌市公共资源电子交易系统”提供（操作流程详见“服务指南 －办事指南－新交易平台使用说明－交易乙方（投标人、供应商等）操作说明”）。 </w:t>
      </w:r>
    </w:p>
    <w:p w14:paraId="4D2E8D83">
      <w:pPr>
        <w:widowControl/>
        <w:spacing w:line="360" w:lineRule="auto"/>
        <w:ind w:firstLine="480" w:firstLineChars="200"/>
        <w:jc w:val="left"/>
        <w:rPr>
          <w:color w:val="auto"/>
        </w:rPr>
      </w:pPr>
      <w:r>
        <w:rPr>
          <w:rFonts w:hint="eastAsia" w:ascii="宋体" w:hAnsi="宋体" w:cs="宋体"/>
          <w:color w:val="auto"/>
          <w:kern w:val="0"/>
          <w:sz w:val="24"/>
          <w:szCs w:val="24"/>
        </w:rPr>
        <w:t xml:space="preserve">6.3 投标人提供的书面说明或相关证明材料应加盖公章，或者由法定代表人或其授权的代表签字。 </w:t>
      </w:r>
    </w:p>
    <w:p w14:paraId="15DB8B3C">
      <w:pPr>
        <w:widowControl/>
        <w:spacing w:line="360" w:lineRule="auto"/>
        <w:ind w:firstLine="482" w:firstLineChars="200"/>
        <w:jc w:val="left"/>
        <w:rPr>
          <w:color w:val="auto"/>
        </w:rPr>
      </w:pPr>
      <w:r>
        <w:rPr>
          <w:rFonts w:hint="eastAsia" w:ascii="宋体" w:hAnsi="宋体" w:cs="宋体"/>
          <w:b/>
          <w:bCs/>
          <w:color w:val="auto"/>
          <w:kern w:val="0"/>
          <w:sz w:val="24"/>
          <w:szCs w:val="24"/>
        </w:rPr>
        <w:t xml:space="preserve">7.相关事项 </w:t>
      </w:r>
    </w:p>
    <w:p w14:paraId="2A7DEEEF">
      <w:pPr>
        <w:widowControl/>
        <w:spacing w:line="360" w:lineRule="auto"/>
        <w:ind w:firstLine="480" w:firstLineChars="200"/>
        <w:jc w:val="left"/>
        <w:rPr>
          <w:color w:val="auto"/>
        </w:rPr>
      </w:pPr>
      <w:r>
        <w:rPr>
          <w:rFonts w:hint="eastAsia" w:ascii="宋体" w:hAnsi="宋体" w:cs="宋体"/>
          <w:color w:val="auto"/>
          <w:kern w:val="0"/>
          <w:sz w:val="24"/>
          <w:szCs w:val="24"/>
        </w:rPr>
        <w:t xml:space="preserve">7.1 为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 </w:t>
      </w:r>
    </w:p>
    <w:p w14:paraId="57B9DB8B">
      <w:pPr>
        <w:widowControl/>
        <w:spacing w:line="360" w:lineRule="auto"/>
        <w:ind w:firstLine="240" w:firstLineChars="100"/>
        <w:jc w:val="left"/>
        <w:rPr>
          <w:color w:val="auto"/>
        </w:rPr>
      </w:pPr>
      <w:r>
        <w:rPr>
          <w:rFonts w:hint="eastAsia" w:ascii="宋体" w:hAnsi="宋体" w:cs="宋体"/>
          <w:color w:val="auto"/>
          <w:kern w:val="0"/>
          <w:sz w:val="24"/>
          <w:szCs w:val="24"/>
        </w:rPr>
        <w:t>7.2《全国公共资源交易平台（河南省·许昌市）》（https://ggzy.xuchang.gov.cn/）采购公告栏提供的招标文件仅供浏览。投标人下载招标文件应使用 CA 数字证书从《全国公共资源交易平台（河南省·许昌市）》（https://ggzy.xuchang.gov.cn/）的“投标人”入口登录后获取。</w:t>
      </w:r>
    </w:p>
    <w:p w14:paraId="537213BF">
      <w:pPr>
        <w:spacing w:line="360" w:lineRule="auto"/>
        <w:ind w:firstLine="480" w:firstLineChars="200"/>
        <w:jc w:val="left"/>
        <w:rPr>
          <w:rFonts w:ascii="宋体" w:hAnsi="宋体" w:cs="宋体"/>
          <w:color w:val="auto"/>
          <w:sz w:val="24"/>
          <w:szCs w:val="24"/>
        </w:rPr>
      </w:pPr>
    </w:p>
    <w:p w14:paraId="0F24FC70">
      <w:pPr>
        <w:rPr>
          <w:rFonts w:ascii="宋体" w:hAnsi="宋体"/>
          <w:b/>
          <w:color w:val="auto"/>
          <w:kern w:val="0"/>
          <w:sz w:val="32"/>
          <w:szCs w:val="32"/>
        </w:rPr>
      </w:pPr>
      <w:r>
        <w:rPr>
          <w:rFonts w:hint="eastAsia" w:ascii="宋体" w:hAnsi="宋体"/>
          <w:b/>
          <w:color w:val="auto"/>
          <w:kern w:val="0"/>
          <w:sz w:val="32"/>
          <w:szCs w:val="32"/>
        </w:rPr>
        <w:br w:type="page"/>
      </w:r>
    </w:p>
    <w:p w14:paraId="624F24E9">
      <w:pPr>
        <w:jc w:val="center"/>
        <w:outlineLvl w:val="0"/>
        <w:rPr>
          <w:rFonts w:ascii="宋体" w:hAnsi="宋体"/>
          <w:b/>
          <w:color w:val="auto"/>
          <w:kern w:val="0"/>
          <w:sz w:val="32"/>
          <w:szCs w:val="32"/>
        </w:rPr>
      </w:pPr>
      <w:r>
        <w:rPr>
          <w:rFonts w:hint="eastAsia" w:ascii="宋体" w:hAnsi="宋体"/>
          <w:b/>
          <w:color w:val="auto"/>
          <w:kern w:val="0"/>
          <w:sz w:val="32"/>
          <w:szCs w:val="32"/>
        </w:rPr>
        <w:t>第二章 采购需求</w:t>
      </w:r>
    </w:p>
    <w:p w14:paraId="4864A3AA">
      <w:pPr>
        <w:jc w:val="left"/>
        <w:outlineLvl w:val="1"/>
        <w:rPr>
          <w:rFonts w:ascii="宋体" w:hAnsi="宋体" w:cs="宋体"/>
          <w:b/>
          <w:bCs/>
          <w:color w:val="auto"/>
          <w:sz w:val="24"/>
          <w:szCs w:val="24"/>
        </w:rPr>
      </w:pPr>
      <w:r>
        <w:rPr>
          <w:rFonts w:hint="eastAsia" w:ascii="宋体" w:hAnsi="宋体" w:cs="宋体"/>
          <w:b/>
          <w:bCs/>
          <w:color w:val="auto"/>
          <w:sz w:val="24"/>
          <w:szCs w:val="24"/>
        </w:rPr>
        <w:t>一、规格及参数</w:t>
      </w:r>
    </w:p>
    <w:p w14:paraId="61A87447">
      <w:pPr>
        <w:ind w:firstLine="2570" w:firstLineChars="800"/>
        <w:outlineLvl w:val="2"/>
        <w:rPr>
          <w:rFonts w:ascii="宋体" w:hAnsi="宋体" w:cs="宋体"/>
          <w:b/>
          <w:bCs/>
          <w:color w:val="auto"/>
          <w:sz w:val="32"/>
          <w:szCs w:val="32"/>
        </w:rPr>
      </w:pPr>
    </w:p>
    <w:p w14:paraId="256B9E78">
      <w:pPr>
        <w:ind w:firstLine="2570" w:firstLineChars="800"/>
        <w:outlineLvl w:val="2"/>
        <w:rPr>
          <w:rFonts w:ascii="宋体" w:hAnsi="宋体"/>
          <w:b/>
          <w:bCs/>
          <w:color w:val="auto"/>
          <w:kern w:val="0"/>
          <w:sz w:val="32"/>
          <w:szCs w:val="32"/>
        </w:rPr>
      </w:pPr>
      <w:r>
        <w:rPr>
          <w:rFonts w:hint="eastAsia" w:ascii="宋体" w:hAnsi="宋体" w:cs="宋体"/>
          <w:b/>
          <w:bCs/>
          <w:color w:val="auto"/>
          <w:sz w:val="32"/>
          <w:szCs w:val="32"/>
        </w:rPr>
        <w:t>一</w:t>
      </w:r>
      <w:r>
        <w:rPr>
          <w:rFonts w:ascii="宋体" w:hAnsi="宋体" w:cs="宋体"/>
          <w:b/>
          <w:bCs/>
          <w:color w:val="auto"/>
          <w:sz w:val="32"/>
          <w:szCs w:val="32"/>
        </w:rPr>
        <w:t>标段：</w:t>
      </w:r>
      <w:r>
        <w:rPr>
          <w:rFonts w:hint="eastAsia" w:ascii="宋体" w:hAnsi="宋体" w:cs="宋体"/>
          <w:b/>
          <w:bCs/>
          <w:color w:val="auto"/>
          <w:sz w:val="32"/>
          <w:szCs w:val="32"/>
        </w:rPr>
        <w:t>空调机</w:t>
      </w:r>
      <w:r>
        <w:rPr>
          <w:rFonts w:hint="eastAsia" w:ascii="宋体" w:hAnsi="宋体"/>
          <w:b/>
          <w:bCs/>
          <w:color w:val="auto"/>
          <w:kern w:val="0"/>
          <w:sz w:val="32"/>
          <w:szCs w:val="32"/>
        </w:rPr>
        <w:t>规格及参数</w:t>
      </w:r>
    </w:p>
    <w:tbl>
      <w:tblPr>
        <w:tblStyle w:val="30"/>
        <w:tblpPr w:leftFromText="180" w:rightFromText="180" w:vertAnchor="text" w:horzAnchor="page" w:tblpX="1417" w:tblpY="637"/>
        <w:tblOverlap w:val="never"/>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
        <w:gridCol w:w="938"/>
        <w:gridCol w:w="6050"/>
        <w:gridCol w:w="687"/>
        <w:gridCol w:w="575"/>
        <w:gridCol w:w="775"/>
      </w:tblGrid>
      <w:tr w14:paraId="2D5F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545" w:type="dxa"/>
            <w:vAlign w:val="center"/>
          </w:tcPr>
          <w:p w14:paraId="2A96171D">
            <w:pPr>
              <w:jc w:val="center"/>
              <w:rPr>
                <w:rFonts w:ascii="宋体" w:hAnsi="宋体" w:cs="宋体"/>
                <w:b/>
                <w:color w:val="auto"/>
                <w:spacing w:val="10"/>
                <w:position w:val="1"/>
                <w:sz w:val="24"/>
                <w:szCs w:val="23"/>
              </w:rPr>
            </w:pPr>
            <w:bookmarkStart w:id="1" w:name="OLE_LINK17"/>
            <w:bookmarkStart w:id="2" w:name="OLE_LINK16"/>
            <w:r>
              <w:rPr>
                <w:rFonts w:hint="eastAsia" w:ascii="宋体" w:hAnsi="宋体" w:cs="宋体"/>
                <w:b/>
                <w:color w:val="auto"/>
                <w:spacing w:val="10"/>
                <w:position w:val="1"/>
                <w:sz w:val="24"/>
                <w:szCs w:val="23"/>
              </w:rPr>
              <w:t>序     号</w:t>
            </w:r>
          </w:p>
        </w:tc>
        <w:tc>
          <w:tcPr>
            <w:tcW w:w="938" w:type="dxa"/>
            <w:vAlign w:val="center"/>
          </w:tcPr>
          <w:p w14:paraId="7C31E362">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名称</w:t>
            </w:r>
          </w:p>
        </w:tc>
        <w:tc>
          <w:tcPr>
            <w:tcW w:w="6050" w:type="dxa"/>
            <w:vAlign w:val="center"/>
          </w:tcPr>
          <w:p w14:paraId="3A461D24">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规格及参数</w:t>
            </w:r>
          </w:p>
        </w:tc>
        <w:tc>
          <w:tcPr>
            <w:tcW w:w="687" w:type="dxa"/>
            <w:vAlign w:val="center"/>
          </w:tcPr>
          <w:p w14:paraId="045B1DDF">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数量</w:t>
            </w:r>
          </w:p>
        </w:tc>
        <w:tc>
          <w:tcPr>
            <w:tcW w:w="575" w:type="dxa"/>
            <w:vAlign w:val="center"/>
          </w:tcPr>
          <w:p w14:paraId="433904A7">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单位</w:t>
            </w:r>
          </w:p>
        </w:tc>
        <w:tc>
          <w:tcPr>
            <w:tcW w:w="775" w:type="dxa"/>
          </w:tcPr>
          <w:p w14:paraId="5BBAAC21">
            <w:pPr>
              <w:jc w:val="center"/>
              <w:rPr>
                <w:rFonts w:ascii="宋体" w:hAnsi="宋体" w:cs="宋体"/>
                <w:b/>
                <w:color w:val="auto"/>
                <w:spacing w:val="10"/>
                <w:position w:val="1"/>
                <w:sz w:val="24"/>
                <w:szCs w:val="23"/>
              </w:rPr>
            </w:pPr>
            <w:r>
              <w:rPr>
                <w:rFonts w:hint="eastAsia" w:ascii="宋体" w:hAnsi="宋体" w:cs="宋体"/>
                <w:b/>
                <w:color w:val="auto"/>
                <w:spacing w:val="10"/>
                <w:position w:val="1"/>
              </w:rPr>
              <w:t>采购标的对应的行业</w:t>
            </w:r>
          </w:p>
        </w:tc>
      </w:tr>
      <w:tr w14:paraId="5C3A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545" w:type="dxa"/>
            <w:vAlign w:val="center"/>
          </w:tcPr>
          <w:p w14:paraId="6E60A020">
            <w:pPr>
              <w:jc w:val="center"/>
              <w:rPr>
                <w:rFonts w:ascii="宋体" w:hAnsi="宋体" w:cs="宋体"/>
                <w:bCs/>
                <w:color w:val="auto"/>
                <w:spacing w:val="10"/>
                <w:position w:val="1"/>
              </w:rPr>
            </w:pPr>
            <w:r>
              <w:rPr>
                <w:rFonts w:hint="eastAsia" w:ascii="宋体" w:hAnsi="宋体" w:cs="宋体"/>
                <w:bCs/>
                <w:color w:val="auto"/>
                <w:spacing w:val="10"/>
                <w:position w:val="1"/>
              </w:rPr>
              <w:t>1</w:t>
            </w:r>
          </w:p>
        </w:tc>
        <w:tc>
          <w:tcPr>
            <w:tcW w:w="938" w:type="dxa"/>
            <w:vAlign w:val="center"/>
          </w:tcPr>
          <w:p w14:paraId="619A21FA">
            <w:pPr>
              <w:jc w:val="center"/>
              <w:rPr>
                <w:rFonts w:ascii="宋体" w:hAnsi="宋体" w:cs="宋体"/>
                <w:bCs/>
                <w:color w:val="auto"/>
                <w:spacing w:val="10"/>
                <w:position w:val="1"/>
              </w:rPr>
            </w:pPr>
            <w:r>
              <w:rPr>
                <w:rFonts w:hint="eastAsia" w:ascii="宋体" w:hAnsi="宋体" w:cs="宋体"/>
                <w:bCs/>
                <w:color w:val="auto"/>
                <w:spacing w:val="10"/>
                <w:position w:val="1"/>
              </w:rPr>
              <w:t>72空调 柜机</w:t>
            </w:r>
          </w:p>
        </w:tc>
        <w:tc>
          <w:tcPr>
            <w:tcW w:w="6050" w:type="dxa"/>
            <w:vAlign w:val="center"/>
          </w:tcPr>
          <w:p w14:paraId="7DA34A63">
            <w:pPr>
              <w:widowControl/>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 xml:space="preserve">空调类型： </w:t>
            </w:r>
            <w:r>
              <w:rPr>
                <w:rFonts w:ascii="仿宋" w:hAnsi="仿宋" w:eastAsia="仿宋" w:cs="仿宋"/>
                <w:color w:val="auto"/>
                <w:kern w:val="0"/>
                <w:sz w:val="18"/>
                <w:szCs w:val="18"/>
                <w:lang w:bidi="ar"/>
              </w:rPr>
              <w:t>变频直流式，具有电辅助加热装</w:t>
            </w:r>
            <w:r>
              <w:rPr>
                <w:rFonts w:hint="eastAsia" w:ascii="仿宋" w:hAnsi="仿宋" w:eastAsia="仿宋" w:cs="仿宋"/>
                <w:color w:val="auto"/>
                <w:kern w:val="0"/>
                <w:sz w:val="18"/>
                <w:szCs w:val="18"/>
                <w:lang w:bidi="ar"/>
              </w:rPr>
              <w:t>置的热泵型。</w:t>
            </w:r>
          </w:p>
          <w:p w14:paraId="5AD9F29B">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规格：3P分体变频柜机。</w:t>
            </w:r>
          </w:p>
          <w:p w14:paraId="41D83931">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1.能效等级：2级及以上。</w:t>
            </w:r>
          </w:p>
          <w:p w14:paraId="2CE6E3EE">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2.额定制冷量（W）： ≧7200W   制冷功率（W）：≦</w:t>
            </w:r>
            <w:r>
              <w:rPr>
                <w:rFonts w:ascii="宋体" w:hAnsi="宋体" w:cs="宋体"/>
                <w:bCs/>
                <w:color w:val="auto"/>
                <w:spacing w:val="10"/>
                <w:position w:val="1"/>
                <w:sz w:val="18"/>
                <w:szCs w:val="18"/>
              </w:rPr>
              <w:t>2200</w:t>
            </w:r>
            <w:r>
              <w:rPr>
                <w:rFonts w:hint="eastAsia" w:ascii="宋体" w:hAnsi="宋体" w:cs="宋体"/>
                <w:bCs/>
                <w:color w:val="auto"/>
                <w:spacing w:val="10"/>
                <w:position w:val="1"/>
                <w:sz w:val="18"/>
                <w:szCs w:val="18"/>
              </w:rPr>
              <w:t>W</w:t>
            </w:r>
          </w:p>
          <w:p w14:paraId="1CA49285">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3.额定制热量（W）：≧9600W    制热功率（W）：≦3</w:t>
            </w:r>
            <w:r>
              <w:rPr>
                <w:rFonts w:ascii="宋体" w:hAnsi="宋体" w:cs="宋体"/>
                <w:bCs/>
                <w:color w:val="auto"/>
                <w:spacing w:val="10"/>
                <w:position w:val="1"/>
                <w:sz w:val="18"/>
                <w:szCs w:val="18"/>
              </w:rPr>
              <w:t>20</w:t>
            </w:r>
            <w:r>
              <w:rPr>
                <w:rFonts w:hint="eastAsia" w:ascii="宋体" w:hAnsi="宋体" w:cs="宋体"/>
                <w:bCs/>
                <w:color w:val="auto"/>
                <w:spacing w:val="10"/>
                <w:position w:val="1"/>
                <w:sz w:val="18"/>
                <w:szCs w:val="18"/>
              </w:rPr>
              <w:t>0W</w:t>
            </w:r>
          </w:p>
          <w:p w14:paraId="24E9EA99">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 xml:space="preserve">4.额定电压：220V </w:t>
            </w:r>
            <w:r>
              <w:rPr>
                <w:rFonts w:ascii="宋体" w:hAnsi="宋体" w:cs="宋体"/>
                <w:bCs/>
                <w:color w:val="auto"/>
                <w:spacing w:val="10"/>
                <w:position w:val="1"/>
                <w:sz w:val="18"/>
                <w:szCs w:val="18"/>
              </w:rPr>
              <w:t>/50HZ</w:t>
            </w:r>
          </w:p>
          <w:p w14:paraId="605F4FF8">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5.电加热功率（W）: ≧2000W</w:t>
            </w:r>
          </w:p>
          <w:p w14:paraId="10944244">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 xml:space="preserve">6.防触电保护类别：I  </w:t>
            </w:r>
          </w:p>
          <w:p w14:paraId="35F3A9D6">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7.含加长冷凝管、室外机空调架、空开空调插座及其他材料。</w:t>
            </w:r>
          </w:p>
          <w:p w14:paraId="67914604">
            <w:pPr>
              <w:widowControl/>
              <w:jc w:val="left"/>
              <w:rPr>
                <w:color w:val="auto"/>
              </w:rPr>
            </w:pPr>
            <w:r>
              <w:rPr>
                <w:rFonts w:hint="eastAsia" w:ascii="仿宋" w:hAnsi="仿宋" w:eastAsia="仿宋" w:cs="仿宋"/>
                <w:color w:val="auto"/>
                <w:kern w:val="0"/>
                <w:lang w:bidi="ar"/>
              </w:rPr>
              <w:t>8</w:t>
            </w:r>
            <w:r>
              <w:rPr>
                <w:rFonts w:ascii="仿宋" w:hAnsi="仿宋" w:eastAsia="仿宋" w:cs="仿宋"/>
                <w:color w:val="auto"/>
                <w:kern w:val="0"/>
                <w:lang w:bidi="ar"/>
              </w:rPr>
              <w:t>.循环风量：</w:t>
            </w:r>
            <w:r>
              <w:rPr>
                <w:rFonts w:hint="eastAsia" w:ascii="仿宋" w:hAnsi="仿宋" w:eastAsia="仿宋" w:cs="仿宋"/>
                <w:color w:val="auto"/>
                <w:kern w:val="0"/>
                <w:lang w:bidi="ar"/>
              </w:rPr>
              <w:t>≧10</w:t>
            </w:r>
            <w:r>
              <w:rPr>
                <w:rFonts w:ascii="仿宋" w:hAnsi="仿宋" w:eastAsia="仿宋" w:cs="仿宋"/>
                <w:color w:val="auto"/>
                <w:kern w:val="0"/>
                <w:lang w:bidi="ar"/>
              </w:rPr>
              <w:t>0</w:t>
            </w:r>
            <w:r>
              <w:rPr>
                <w:rFonts w:hint="eastAsia" w:ascii="仿宋" w:hAnsi="仿宋" w:eastAsia="仿宋" w:cs="仿宋"/>
                <w:color w:val="auto"/>
                <w:kern w:val="0"/>
                <w:lang w:bidi="ar"/>
              </w:rPr>
              <w:t>0m</w:t>
            </w:r>
            <w:r>
              <w:rPr>
                <w:rFonts w:ascii="Calibri" w:hAnsi="Calibri" w:eastAsia="仿宋"/>
                <w:color w:val="auto"/>
                <w:kern w:val="0"/>
                <w:lang w:bidi="ar"/>
              </w:rPr>
              <w:t>³</w:t>
            </w:r>
            <w:r>
              <w:rPr>
                <w:rFonts w:hint="eastAsia" w:ascii="仿宋" w:hAnsi="仿宋" w:eastAsia="仿宋" w:cs="仿宋"/>
                <w:color w:val="auto"/>
                <w:kern w:val="0"/>
                <w:lang w:bidi="ar"/>
              </w:rPr>
              <w:t>/h</w:t>
            </w:r>
          </w:p>
          <w:p w14:paraId="2426A1AD">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9</w:t>
            </w:r>
            <w:r>
              <w:rPr>
                <w:rFonts w:ascii="宋体" w:hAnsi="宋体" w:cs="宋体"/>
                <w:bCs/>
                <w:color w:val="auto"/>
                <w:spacing w:val="10"/>
                <w:position w:val="1"/>
                <w:sz w:val="18"/>
                <w:szCs w:val="18"/>
              </w:rPr>
              <w:t>.</w:t>
            </w:r>
            <w:r>
              <w:rPr>
                <w:rFonts w:hint="eastAsia" w:ascii="宋体" w:hAnsi="宋体" w:cs="宋体"/>
                <w:bCs/>
                <w:color w:val="auto"/>
                <w:spacing w:val="10"/>
                <w:position w:val="1"/>
                <w:sz w:val="18"/>
                <w:szCs w:val="18"/>
              </w:rPr>
              <w:t>噪音控制：室内机：≤46dB(A)，室外机：≤</w:t>
            </w:r>
            <w:r>
              <w:rPr>
                <w:rFonts w:ascii="宋体" w:hAnsi="宋体" w:cs="宋体"/>
                <w:bCs/>
                <w:color w:val="auto"/>
                <w:spacing w:val="10"/>
                <w:position w:val="1"/>
                <w:sz w:val="18"/>
                <w:szCs w:val="18"/>
              </w:rPr>
              <w:t>56dB(A)</w:t>
            </w:r>
          </w:p>
          <w:p w14:paraId="624EE092">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w:t>
            </w:r>
            <w:r>
              <w:rPr>
                <w:rFonts w:ascii="宋体" w:hAnsi="宋体" w:cs="宋体"/>
                <w:bCs/>
                <w:color w:val="auto"/>
                <w:spacing w:val="10"/>
                <w:position w:val="1"/>
                <w:sz w:val="18"/>
                <w:szCs w:val="18"/>
              </w:rPr>
              <w:t>0.</w:t>
            </w:r>
            <w:r>
              <w:rPr>
                <w:rFonts w:hint="eastAsia" w:ascii="宋体" w:hAnsi="宋体" w:cs="宋体"/>
                <w:bCs/>
                <w:color w:val="auto"/>
                <w:spacing w:val="10"/>
                <w:position w:val="1"/>
                <w:sz w:val="18"/>
                <w:szCs w:val="18"/>
              </w:rPr>
              <w:t>运行模式：自动、制冷、制热、除湿、通风、自清洁</w:t>
            </w:r>
          </w:p>
          <w:p w14:paraId="281CAB11">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w:t>
            </w:r>
            <w:r>
              <w:rPr>
                <w:rFonts w:ascii="宋体" w:hAnsi="宋体" w:cs="宋体"/>
                <w:bCs/>
                <w:color w:val="auto"/>
                <w:spacing w:val="10"/>
                <w:position w:val="1"/>
                <w:sz w:val="18"/>
                <w:szCs w:val="18"/>
              </w:rPr>
              <w:t>1.</w:t>
            </w:r>
            <w:r>
              <w:rPr>
                <w:rFonts w:hint="eastAsia" w:ascii="宋体" w:hAnsi="宋体" w:cs="宋体"/>
                <w:bCs/>
                <w:color w:val="auto"/>
                <w:spacing w:val="10"/>
                <w:position w:val="1"/>
                <w:sz w:val="18"/>
                <w:szCs w:val="18"/>
              </w:rPr>
              <w:t>提供管线长度：≥5m</w:t>
            </w:r>
          </w:p>
          <w:p w14:paraId="4C5D7CAE">
            <w:pPr>
              <w:jc w:val="left"/>
              <w:rPr>
                <w:color w:val="auto"/>
              </w:rPr>
            </w:pPr>
            <w:r>
              <w:rPr>
                <w:rFonts w:hint="eastAsia" w:ascii="宋体" w:hAnsi="宋体" w:cs="宋体"/>
                <w:bCs/>
                <w:color w:val="auto"/>
                <w:spacing w:val="10"/>
                <w:position w:val="1"/>
                <w:sz w:val="18"/>
                <w:szCs w:val="18"/>
              </w:rPr>
              <w:t>1</w:t>
            </w:r>
            <w:r>
              <w:rPr>
                <w:rFonts w:ascii="宋体" w:hAnsi="宋体" w:cs="宋体"/>
                <w:bCs/>
                <w:color w:val="auto"/>
                <w:spacing w:val="10"/>
                <w:position w:val="1"/>
                <w:sz w:val="18"/>
                <w:szCs w:val="18"/>
              </w:rPr>
              <w:t>2.</w:t>
            </w:r>
            <w:r>
              <w:rPr>
                <w:rFonts w:hint="eastAsia" w:ascii="宋体" w:hAnsi="宋体" w:cs="宋体"/>
                <w:bCs/>
                <w:color w:val="auto"/>
                <w:spacing w:val="10"/>
                <w:position w:val="1"/>
                <w:sz w:val="18"/>
                <w:szCs w:val="18"/>
              </w:rPr>
              <w:t>全功能遥控器：标配（附带电池）</w:t>
            </w:r>
          </w:p>
        </w:tc>
        <w:tc>
          <w:tcPr>
            <w:tcW w:w="687" w:type="dxa"/>
            <w:vAlign w:val="center"/>
          </w:tcPr>
          <w:p w14:paraId="3ADF513F">
            <w:pPr>
              <w:jc w:val="center"/>
              <w:rPr>
                <w:rFonts w:ascii="宋体" w:hAnsi="宋体" w:cs="宋体"/>
                <w:bCs/>
                <w:color w:val="auto"/>
                <w:spacing w:val="10"/>
                <w:position w:val="1"/>
              </w:rPr>
            </w:pPr>
            <w:r>
              <w:rPr>
                <w:rFonts w:hint="eastAsia" w:ascii="宋体" w:hAnsi="宋体" w:cs="宋体"/>
                <w:bCs/>
                <w:color w:val="auto"/>
                <w:spacing w:val="10"/>
                <w:position w:val="1"/>
              </w:rPr>
              <w:t>7</w:t>
            </w:r>
          </w:p>
        </w:tc>
        <w:tc>
          <w:tcPr>
            <w:tcW w:w="575" w:type="dxa"/>
            <w:vAlign w:val="center"/>
          </w:tcPr>
          <w:p w14:paraId="5710529B">
            <w:pPr>
              <w:jc w:val="center"/>
              <w:rPr>
                <w:rFonts w:ascii="宋体" w:hAnsi="宋体" w:cs="宋体"/>
                <w:bCs/>
                <w:color w:val="auto"/>
                <w:spacing w:val="10"/>
                <w:position w:val="1"/>
              </w:rPr>
            </w:pPr>
            <w:r>
              <w:rPr>
                <w:rFonts w:hint="eastAsia" w:ascii="宋体" w:hAnsi="宋体" w:cs="宋体"/>
                <w:bCs/>
                <w:color w:val="auto"/>
                <w:spacing w:val="10"/>
                <w:position w:val="1"/>
              </w:rPr>
              <w:t>台</w:t>
            </w:r>
          </w:p>
        </w:tc>
        <w:tc>
          <w:tcPr>
            <w:tcW w:w="775" w:type="dxa"/>
            <w:vAlign w:val="center"/>
          </w:tcPr>
          <w:p w14:paraId="4549234A">
            <w:pPr>
              <w:jc w:val="center"/>
              <w:rPr>
                <w:rFonts w:ascii="宋体" w:hAnsi="宋体" w:cs="宋体"/>
                <w:bCs/>
                <w:color w:val="auto"/>
                <w:spacing w:val="10"/>
                <w:position w:val="1"/>
              </w:rPr>
            </w:pPr>
            <w:r>
              <w:rPr>
                <w:rFonts w:hint="eastAsia" w:ascii="宋体" w:hAnsi="宋体" w:cs="宋体"/>
                <w:bCs/>
                <w:color w:val="auto"/>
                <w:spacing w:val="10"/>
                <w:position w:val="1"/>
              </w:rPr>
              <w:t>工业</w:t>
            </w:r>
          </w:p>
        </w:tc>
      </w:tr>
      <w:tr w14:paraId="14C7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45" w:type="dxa"/>
            <w:vAlign w:val="center"/>
          </w:tcPr>
          <w:p w14:paraId="6CA13A81">
            <w:pPr>
              <w:jc w:val="center"/>
              <w:rPr>
                <w:rFonts w:ascii="宋体" w:hAnsi="宋体" w:cs="宋体"/>
                <w:bCs/>
                <w:color w:val="auto"/>
                <w:spacing w:val="10"/>
                <w:position w:val="1"/>
              </w:rPr>
            </w:pPr>
            <w:bookmarkStart w:id="3" w:name="_Hlk208674904"/>
            <w:r>
              <w:rPr>
                <w:rFonts w:hint="eastAsia" w:ascii="宋体" w:hAnsi="宋体" w:cs="宋体"/>
                <w:bCs/>
                <w:color w:val="auto"/>
                <w:spacing w:val="10"/>
                <w:position w:val="1"/>
              </w:rPr>
              <w:t>2</w:t>
            </w:r>
          </w:p>
        </w:tc>
        <w:tc>
          <w:tcPr>
            <w:tcW w:w="938" w:type="dxa"/>
            <w:vAlign w:val="center"/>
          </w:tcPr>
          <w:p w14:paraId="41648062">
            <w:pPr>
              <w:jc w:val="center"/>
              <w:rPr>
                <w:rFonts w:ascii="宋体" w:hAnsi="宋体" w:cs="宋体"/>
                <w:bCs/>
                <w:color w:val="auto"/>
                <w:spacing w:val="10"/>
                <w:position w:val="1"/>
              </w:rPr>
            </w:pPr>
            <w:r>
              <w:rPr>
                <w:rFonts w:hint="eastAsia" w:ascii="宋体" w:hAnsi="宋体" w:cs="宋体"/>
                <w:bCs/>
                <w:color w:val="auto"/>
                <w:spacing w:val="10"/>
                <w:position w:val="1"/>
              </w:rPr>
              <w:t>120空调柜机</w:t>
            </w:r>
          </w:p>
        </w:tc>
        <w:tc>
          <w:tcPr>
            <w:tcW w:w="6050" w:type="dxa"/>
            <w:vAlign w:val="center"/>
          </w:tcPr>
          <w:p w14:paraId="7A0F3CB7">
            <w:pPr>
              <w:widowControl/>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 xml:space="preserve">空调类型： </w:t>
            </w:r>
            <w:r>
              <w:rPr>
                <w:rFonts w:ascii="仿宋" w:hAnsi="仿宋" w:eastAsia="仿宋" w:cs="仿宋"/>
                <w:color w:val="auto"/>
                <w:kern w:val="0"/>
                <w:sz w:val="18"/>
                <w:szCs w:val="18"/>
                <w:lang w:bidi="ar"/>
              </w:rPr>
              <w:t>变频直流式，具有电辅助加热装</w:t>
            </w:r>
            <w:r>
              <w:rPr>
                <w:rFonts w:hint="eastAsia" w:ascii="仿宋" w:hAnsi="仿宋" w:eastAsia="仿宋" w:cs="仿宋"/>
                <w:color w:val="auto"/>
                <w:kern w:val="0"/>
                <w:sz w:val="18"/>
                <w:szCs w:val="18"/>
                <w:lang w:bidi="ar"/>
              </w:rPr>
              <w:t>置的热泵型。</w:t>
            </w:r>
          </w:p>
          <w:p w14:paraId="446F7AC6">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规格：5P分体变频柜机。</w:t>
            </w:r>
          </w:p>
          <w:p w14:paraId="76131E67">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 xml:space="preserve">1.能效等级：1级 </w:t>
            </w:r>
          </w:p>
          <w:p w14:paraId="4E9D74C6">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 xml:space="preserve">2.额定制冷量：≧12000W  制冷功率：≦4300W </w:t>
            </w:r>
          </w:p>
          <w:p w14:paraId="5F7C6A02">
            <w:pPr>
              <w:jc w:val="left"/>
              <w:rPr>
                <w:rFonts w:ascii="宋体" w:hAnsi="宋体" w:cs="宋体"/>
                <w:bCs/>
                <w:color w:val="auto"/>
                <w:spacing w:val="10"/>
                <w:position w:val="1"/>
                <w:sz w:val="18"/>
                <w:szCs w:val="18"/>
              </w:rPr>
            </w:pPr>
            <w:r>
              <w:rPr>
                <w:rFonts w:ascii="宋体" w:hAnsi="宋体" w:cs="宋体"/>
                <w:bCs/>
                <w:color w:val="auto"/>
                <w:spacing w:val="10"/>
                <w:position w:val="1"/>
                <w:sz w:val="18"/>
                <w:szCs w:val="18"/>
              </w:rPr>
              <w:t>3</w:t>
            </w:r>
            <w:r>
              <w:rPr>
                <w:rFonts w:hint="eastAsia" w:ascii="宋体" w:hAnsi="宋体" w:cs="宋体"/>
                <w:bCs/>
                <w:color w:val="auto"/>
                <w:spacing w:val="10"/>
                <w:position w:val="1"/>
                <w:sz w:val="18"/>
                <w:szCs w:val="18"/>
              </w:rPr>
              <w:t xml:space="preserve">.额定制热量：≧14000W 制热功率：≦4400W </w:t>
            </w:r>
          </w:p>
          <w:p w14:paraId="572FE2A1">
            <w:pPr>
              <w:jc w:val="left"/>
              <w:rPr>
                <w:rFonts w:ascii="宋体" w:hAnsi="宋体" w:cs="宋体"/>
                <w:bCs/>
                <w:color w:val="auto"/>
                <w:spacing w:val="10"/>
                <w:position w:val="1"/>
                <w:sz w:val="18"/>
                <w:szCs w:val="18"/>
              </w:rPr>
            </w:pPr>
            <w:r>
              <w:rPr>
                <w:rFonts w:ascii="宋体" w:hAnsi="宋体" w:cs="宋体"/>
                <w:bCs/>
                <w:color w:val="auto"/>
                <w:spacing w:val="10"/>
                <w:position w:val="1"/>
                <w:sz w:val="18"/>
                <w:szCs w:val="18"/>
              </w:rPr>
              <w:t>4</w:t>
            </w:r>
            <w:r>
              <w:rPr>
                <w:rFonts w:hint="eastAsia" w:ascii="宋体" w:hAnsi="宋体" w:cs="宋体"/>
                <w:bCs/>
                <w:color w:val="auto"/>
                <w:spacing w:val="10"/>
                <w:position w:val="1"/>
                <w:sz w:val="18"/>
                <w:szCs w:val="18"/>
              </w:rPr>
              <w:t>.额定电压：220V</w:t>
            </w:r>
            <w:r>
              <w:rPr>
                <w:rFonts w:ascii="宋体" w:hAnsi="宋体" w:cs="宋体"/>
                <w:bCs/>
                <w:color w:val="auto"/>
                <w:spacing w:val="10"/>
                <w:position w:val="1"/>
                <w:sz w:val="18"/>
                <w:szCs w:val="18"/>
              </w:rPr>
              <w:t>/50HZ</w:t>
            </w:r>
            <w:r>
              <w:rPr>
                <w:rFonts w:hint="eastAsia" w:ascii="宋体" w:hAnsi="宋体" w:cs="宋体"/>
                <w:bCs/>
                <w:color w:val="auto"/>
                <w:spacing w:val="10"/>
                <w:position w:val="1"/>
                <w:sz w:val="18"/>
                <w:szCs w:val="18"/>
              </w:rPr>
              <w:t>或380V</w:t>
            </w:r>
            <w:r>
              <w:rPr>
                <w:rFonts w:ascii="宋体" w:hAnsi="宋体" w:cs="宋体"/>
                <w:bCs/>
                <w:color w:val="auto"/>
                <w:spacing w:val="10"/>
                <w:position w:val="1"/>
                <w:sz w:val="18"/>
                <w:szCs w:val="18"/>
              </w:rPr>
              <w:t>/50HZ</w:t>
            </w:r>
            <w:r>
              <w:rPr>
                <w:rFonts w:hint="eastAsia" w:ascii="宋体" w:hAnsi="宋体" w:cs="宋体"/>
                <w:bCs/>
                <w:color w:val="auto"/>
                <w:spacing w:val="10"/>
                <w:position w:val="1"/>
                <w:sz w:val="18"/>
                <w:szCs w:val="18"/>
              </w:rPr>
              <w:t xml:space="preserve">  (380V供电，供应商需考虑自行敷设电源线缆费用）</w:t>
            </w:r>
          </w:p>
          <w:p w14:paraId="61C2C8B3">
            <w:pPr>
              <w:jc w:val="left"/>
              <w:rPr>
                <w:rFonts w:ascii="宋体" w:hAnsi="宋体" w:cs="宋体"/>
                <w:bCs/>
                <w:color w:val="auto"/>
                <w:spacing w:val="10"/>
                <w:position w:val="1"/>
                <w:sz w:val="18"/>
                <w:szCs w:val="18"/>
              </w:rPr>
            </w:pPr>
            <w:r>
              <w:rPr>
                <w:rFonts w:ascii="宋体" w:hAnsi="宋体" w:cs="宋体"/>
                <w:bCs/>
                <w:color w:val="auto"/>
                <w:spacing w:val="10"/>
                <w:position w:val="1"/>
                <w:sz w:val="18"/>
                <w:szCs w:val="18"/>
              </w:rPr>
              <w:t>5</w:t>
            </w:r>
            <w:r>
              <w:rPr>
                <w:rFonts w:hint="eastAsia" w:ascii="宋体" w:hAnsi="宋体" w:cs="宋体"/>
                <w:bCs/>
                <w:color w:val="auto"/>
                <w:spacing w:val="10"/>
                <w:position w:val="1"/>
                <w:sz w:val="18"/>
                <w:szCs w:val="18"/>
              </w:rPr>
              <w:t>.电加热功率：≧2</w:t>
            </w:r>
            <w:r>
              <w:rPr>
                <w:rFonts w:ascii="宋体" w:hAnsi="宋体" w:cs="宋体"/>
                <w:bCs/>
                <w:color w:val="auto"/>
                <w:spacing w:val="10"/>
                <w:position w:val="1"/>
                <w:sz w:val="18"/>
                <w:szCs w:val="18"/>
              </w:rPr>
              <w:t>4</w:t>
            </w:r>
            <w:r>
              <w:rPr>
                <w:rFonts w:hint="eastAsia" w:ascii="宋体" w:hAnsi="宋体" w:cs="宋体"/>
                <w:bCs/>
                <w:color w:val="auto"/>
                <w:spacing w:val="10"/>
                <w:position w:val="1"/>
                <w:sz w:val="18"/>
                <w:szCs w:val="18"/>
              </w:rPr>
              <w:t xml:space="preserve">00W  </w:t>
            </w:r>
          </w:p>
          <w:p w14:paraId="19E08C6A">
            <w:pPr>
              <w:jc w:val="left"/>
              <w:rPr>
                <w:rFonts w:ascii="宋体" w:hAnsi="宋体" w:cs="宋体"/>
                <w:bCs/>
                <w:color w:val="auto"/>
                <w:spacing w:val="10"/>
                <w:position w:val="1"/>
                <w:sz w:val="18"/>
                <w:szCs w:val="18"/>
              </w:rPr>
            </w:pPr>
            <w:r>
              <w:rPr>
                <w:rFonts w:ascii="宋体" w:hAnsi="宋体" w:cs="宋体"/>
                <w:bCs/>
                <w:color w:val="auto"/>
                <w:spacing w:val="10"/>
                <w:position w:val="1"/>
                <w:sz w:val="18"/>
                <w:szCs w:val="18"/>
              </w:rPr>
              <w:t>6</w:t>
            </w:r>
            <w:r>
              <w:rPr>
                <w:rFonts w:hint="eastAsia" w:ascii="宋体" w:hAnsi="宋体" w:cs="宋体"/>
                <w:bCs/>
                <w:color w:val="auto"/>
                <w:spacing w:val="10"/>
                <w:position w:val="1"/>
                <w:sz w:val="18"/>
                <w:szCs w:val="18"/>
              </w:rPr>
              <w:t xml:space="preserve">.防触电保护类别：I  </w:t>
            </w:r>
          </w:p>
          <w:p w14:paraId="2648ED04">
            <w:pPr>
              <w:jc w:val="left"/>
              <w:rPr>
                <w:rFonts w:ascii="宋体" w:hAnsi="宋体" w:cs="宋体"/>
                <w:bCs/>
                <w:color w:val="auto"/>
                <w:spacing w:val="10"/>
                <w:position w:val="1"/>
                <w:sz w:val="18"/>
                <w:szCs w:val="18"/>
              </w:rPr>
            </w:pPr>
            <w:r>
              <w:rPr>
                <w:rFonts w:ascii="宋体" w:hAnsi="宋体" w:cs="宋体"/>
                <w:bCs/>
                <w:color w:val="auto"/>
                <w:spacing w:val="10"/>
                <w:position w:val="1"/>
                <w:sz w:val="18"/>
                <w:szCs w:val="18"/>
              </w:rPr>
              <w:t>7</w:t>
            </w:r>
            <w:r>
              <w:rPr>
                <w:rFonts w:hint="eastAsia" w:ascii="宋体" w:hAnsi="宋体" w:cs="宋体"/>
                <w:bCs/>
                <w:color w:val="auto"/>
                <w:spacing w:val="10"/>
                <w:position w:val="1"/>
                <w:sz w:val="18"/>
                <w:szCs w:val="18"/>
              </w:rPr>
              <w:t>.含加长冷凝管、室外机空调架、空开空调插座及其他配套材料。</w:t>
            </w:r>
          </w:p>
          <w:p w14:paraId="5B02AC60">
            <w:pPr>
              <w:widowControl/>
              <w:jc w:val="left"/>
              <w:rPr>
                <w:color w:val="auto"/>
              </w:rPr>
            </w:pPr>
            <w:r>
              <w:rPr>
                <w:rFonts w:hint="eastAsia" w:ascii="仿宋" w:hAnsi="仿宋" w:eastAsia="仿宋" w:cs="仿宋"/>
                <w:color w:val="auto"/>
                <w:kern w:val="0"/>
                <w:lang w:bidi="ar"/>
              </w:rPr>
              <w:t>8</w:t>
            </w:r>
            <w:r>
              <w:rPr>
                <w:rFonts w:ascii="仿宋" w:hAnsi="仿宋" w:eastAsia="仿宋" w:cs="仿宋"/>
                <w:color w:val="auto"/>
                <w:kern w:val="0"/>
                <w:lang w:bidi="ar"/>
              </w:rPr>
              <w:t>.循环风量：</w:t>
            </w:r>
            <w:r>
              <w:rPr>
                <w:rFonts w:hint="eastAsia" w:ascii="仿宋" w:hAnsi="仿宋" w:eastAsia="仿宋" w:cs="仿宋"/>
                <w:color w:val="auto"/>
                <w:kern w:val="0"/>
                <w:lang w:bidi="ar"/>
              </w:rPr>
              <w:t>≥2</w:t>
            </w:r>
            <w:r>
              <w:rPr>
                <w:rFonts w:ascii="仿宋" w:hAnsi="仿宋" w:eastAsia="仿宋" w:cs="仿宋"/>
                <w:color w:val="auto"/>
                <w:kern w:val="0"/>
                <w:lang w:bidi="ar"/>
              </w:rPr>
              <w:t>10</w:t>
            </w:r>
            <w:r>
              <w:rPr>
                <w:rFonts w:hint="eastAsia" w:ascii="仿宋" w:hAnsi="仿宋" w:eastAsia="仿宋" w:cs="仿宋"/>
                <w:color w:val="auto"/>
                <w:kern w:val="0"/>
                <w:lang w:bidi="ar"/>
              </w:rPr>
              <w:t>0m</w:t>
            </w:r>
            <w:r>
              <w:rPr>
                <w:rFonts w:ascii="Calibri" w:hAnsi="Calibri" w:eastAsia="仿宋"/>
                <w:color w:val="auto"/>
                <w:kern w:val="0"/>
                <w:lang w:bidi="ar"/>
              </w:rPr>
              <w:t>³</w:t>
            </w:r>
            <w:r>
              <w:rPr>
                <w:rFonts w:hint="eastAsia" w:ascii="仿宋" w:hAnsi="仿宋" w:eastAsia="仿宋" w:cs="仿宋"/>
                <w:color w:val="auto"/>
                <w:kern w:val="0"/>
                <w:lang w:bidi="ar"/>
              </w:rPr>
              <w:t>/h</w:t>
            </w:r>
          </w:p>
          <w:p w14:paraId="38D473CC">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9</w:t>
            </w:r>
            <w:r>
              <w:rPr>
                <w:rFonts w:ascii="宋体" w:hAnsi="宋体" w:cs="宋体"/>
                <w:bCs/>
                <w:color w:val="auto"/>
                <w:spacing w:val="10"/>
                <w:position w:val="1"/>
                <w:sz w:val="18"/>
                <w:szCs w:val="18"/>
              </w:rPr>
              <w:t>.</w:t>
            </w:r>
            <w:r>
              <w:rPr>
                <w:rFonts w:hint="eastAsia" w:ascii="宋体" w:hAnsi="宋体" w:cs="宋体"/>
                <w:bCs/>
                <w:color w:val="auto"/>
                <w:spacing w:val="10"/>
                <w:position w:val="1"/>
                <w:sz w:val="18"/>
                <w:szCs w:val="18"/>
              </w:rPr>
              <w:t>噪音控制：室内机：≤52dB(A)，室外机：≤60dB(A)</w:t>
            </w:r>
          </w:p>
          <w:p w14:paraId="606C910F">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w:t>
            </w:r>
            <w:r>
              <w:rPr>
                <w:rFonts w:ascii="宋体" w:hAnsi="宋体" w:cs="宋体"/>
                <w:bCs/>
                <w:color w:val="auto"/>
                <w:spacing w:val="10"/>
                <w:position w:val="1"/>
                <w:sz w:val="18"/>
                <w:szCs w:val="18"/>
              </w:rPr>
              <w:t>0.</w:t>
            </w:r>
            <w:r>
              <w:rPr>
                <w:rFonts w:hint="eastAsia" w:ascii="宋体" w:hAnsi="宋体" w:cs="宋体"/>
                <w:bCs/>
                <w:color w:val="auto"/>
                <w:spacing w:val="10"/>
                <w:position w:val="1"/>
                <w:sz w:val="18"/>
                <w:szCs w:val="18"/>
              </w:rPr>
              <w:t>运行模式：自动、制冷、制热、除湿、通风、自清洁</w:t>
            </w:r>
          </w:p>
          <w:p w14:paraId="1B276314">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w:t>
            </w:r>
            <w:r>
              <w:rPr>
                <w:rFonts w:ascii="宋体" w:hAnsi="宋体" w:cs="宋体"/>
                <w:bCs/>
                <w:color w:val="auto"/>
                <w:spacing w:val="10"/>
                <w:position w:val="1"/>
                <w:sz w:val="18"/>
                <w:szCs w:val="18"/>
              </w:rPr>
              <w:t>1.</w:t>
            </w:r>
            <w:r>
              <w:rPr>
                <w:rFonts w:hint="eastAsia" w:ascii="宋体" w:hAnsi="宋体" w:cs="宋体"/>
                <w:bCs/>
                <w:color w:val="auto"/>
                <w:spacing w:val="10"/>
                <w:position w:val="1"/>
                <w:sz w:val="18"/>
                <w:szCs w:val="18"/>
              </w:rPr>
              <w:t>提供管线长度：≥5m</w:t>
            </w:r>
          </w:p>
          <w:p w14:paraId="1B4AA424">
            <w:pPr>
              <w:jc w:val="left"/>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w:t>
            </w:r>
            <w:r>
              <w:rPr>
                <w:rFonts w:ascii="宋体" w:hAnsi="宋体" w:cs="宋体"/>
                <w:bCs/>
                <w:color w:val="auto"/>
                <w:spacing w:val="10"/>
                <w:position w:val="1"/>
                <w:sz w:val="18"/>
                <w:szCs w:val="18"/>
              </w:rPr>
              <w:t>2.</w:t>
            </w:r>
            <w:r>
              <w:rPr>
                <w:rFonts w:hint="eastAsia" w:ascii="宋体" w:hAnsi="宋体" w:cs="宋体"/>
                <w:bCs/>
                <w:color w:val="auto"/>
                <w:spacing w:val="10"/>
                <w:position w:val="1"/>
                <w:sz w:val="18"/>
                <w:szCs w:val="18"/>
              </w:rPr>
              <w:t>全功能遥控器：标配（附带电池）</w:t>
            </w:r>
          </w:p>
        </w:tc>
        <w:tc>
          <w:tcPr>
            <w:tcW w:w="687" w:type="dxa"/>
            <w:vAlign w:val="center"/>
          </w:tcPr>
          <w:p w14:paraId="58D60AED">
            <w:pPr>
              <w:jc w:val="center"/>
              <w:rPr>
                <w:rFonts w:ascii="宋体" w:hAnsi="宋体" w:cs="宋体"/>
                <w:bCs/>
                <w:color w:val="auto"/>
                <w:spacing w:val="10"/>
                <w:position w:val="1"/>
              </w:rPr>
            </w:pPr>
            <w:r>
              <w:rPr>
                <w:rFonts w:hint="eastAsia" w:ascii="宋体" w:hAnsi="宋体" w:cs="宋体"/>
                <w:bCs/>
                <w:color w:val="auto"/>
                <w:spacing w:val="10"/>
                <w:position w:val="1"/>
              </w:rPr>
              <w:t>35</w:t>
            </w:r>
          </w:p>
        </w:tc>
        <w:tc>
          <w:tcPr>
            <w:tcW w:w="575" w:type="dxa"/>
            <w:vAlign w:val="center"/>
          </w:tcPr>
          <w:p w14:paraId="1A6D2300">
            <w:pPr>
              <w:jc w:val="center"/>
              <w:rPr>
                <w:rFonts w:ascii="宋体" w:hAnsi="宋体" w:cs="宋体"/>
                <w:bCs/>
                <w:color w:val="auto"/>
                <w:spacing w:val="10"/>
                <w:position w:val="1"/>
              </w:rPr>
            </w:pPr>
            <w:r>
              <w:rPr>
                <w:rFonts w:hint="eastAsia" w:ascii="宋体" w:hAnsi="宋体" w:cs="宋体"/>
                <w:bCs/>
                <w:color w:val="auto"/>
                <w:spacing w:val="10"/>
                <w:position w:val="1"/>
              </w:rPr>
              <w:t>台</w:t>
            </w:r>
          </w:p>
        </w:tc>
        <w:tc>
          <w:tcPr>
            <w:tcW w:w="775" w:type="dxa"/>
            <w:vAlign w:val="center"/>
          </w:tcPr>
          <w:p w14:paraId="602558DA">
            <w:pPr>
              <w:jc w:val="center"/>
              <w:rPr>
                <w:rFonts w:ascii="宋体" w:hAnsi="宋体" w:cs="宋体"/>
                <w:bCs/>
                <w:color w:val="auto"/>
                <w:spacing w:val="10"/>
                <w:position w:val="1"/>
              </w:rPr>
            </w:pPr>
            <w:r>
              <w:rPr>
                <w:rFonts w:hint="eastAsia" w:ascii="宋体" w:hAnsi="宋体" w:cs="宋体"/>
                <w:bCs/>
                <w:color w:val="auto"/>
                <w:spacing w:val="10"/>
                <w:position w:val="1"/>
              </w:rPr>
              <w:t>工业</w:t>
            </w:r>
          </w:p>
        </w:tc>
      </w:tr>
      <w:bookmarkEnd w:id="1"/>
      <w:bookmarkEnd w:id="2"/>
      <w:bookmarkEnd w:id="3"/>
    </w:tbl>
    <w:p w14:paraId="56572B6E">
      <w:pPr>
        <w:rPr>
          <w:rFonts w:ascii="宋体" w:hAnsi="宋体" w:cs="宋体"/>
          <w:b/>
          <w:bCs/>
          <w:color w:val="auto"/>
          <w:sz w:val="24"/>
          <w:szCs w:val="24"/>
        </w:rPr>
      </w:pPr>
    </w:p>
    <w:p w14:paraId="46AF2999">
      <w:pPr>
        <w:rPr>
          <w:rFonts w:ascii="宋体" w:hAnsi="宋体" w:cs="宋体"/>
          <w:b/>
          <w:bCs/>
          <w:color w:val="auto"/>
          <w:kern w:val="0"/>
          <w:sz w:val="28"/>
          <w:szCs w:val="28"/>
        </w:rPr>
      </w:pPr>
      <w:r>
        <w:rPr>
          <w:rFonts w:hint="eastAsia" w:ascii="宋体" w:hAnsi="宋体" w:cs="宋体"/>
          <w:b/>
          <w:bCs/>
          <w:color w:val="auto"/>
          <w:sz w:val="24"/>
          <w:szCs w:val="24"/>
        </w:rPr>
        <w:t>备注：一标段核心产品为：序号1（72空调柜机）</w:t>
      </w:r>
    </w:p>
    <w:p w14:paraId="3EA1BC71">
      <w:pPr>
        <w:jc w:val="center"/>
        <w:outlineLvl w:val="2"/>
        <w:rPr>
          <w:rFonts w:ascii="宋体" w:hAnsi="宋体" w:cs="宋体"/>
          <w:b/>
          <w:bCs/>
          <w:color w:val="auto"/>
          <w:sz w:val="30"/>
          <w:szCs w:val="30"/>
        </w:rPr>
      </w:pPr>
    </w:p>
    <w:p w14:paraId="29AB1F4E">
      <w:pPr>
        <w:jc w:val="center"/>
        <w:outlineLvl w:val="2"/>
        <w:rPr>
          <w:rFonts w:ascii="宋体" w:hAnsi="宋体" w:cs="宋体"/>
          <w:b/>
          <w:bCs/>
          <w:color w:val="auto"/>
          <w:sz w:val="30"/>
          <w:szCs w:val="30"/>
        </w:rPr>
      </w:pPr>
      <w:r>
        <w:rPr>
          <w:rFonts w:hint="eastAsia" w:ascii="宋体" w:hAnsi="宋体" w:cs="宋体"/>
          <w:b/>
          <w:bCs/>
          <w:color w:val="auto"/>
          <w:sz w:val="30"/>
          <w:szCs w:val="30"/>
        </w:rPr>
        <w:t>二</w:t>
      </w:r>
      <w:r>
        <w:rPr>
          <w:rFonts w:ascii="宋体" w:hAnsi="宋体" w:cs="宋体"/>
          <w:b/>
          <w:bCs/>
          <w:color w:val="auto"/>
          <w:sz w:val="30"/>
          <w:szCs w:val="30"/>
        </w:rPr>
        <w:t>标段：</w:t>
      </w:r>
      <w:r>
        <w:rPr>
          <w:rFonts w:hint="eastAsia" w:ascii="宋体" w:hAnsi="宋体" w:cs="宋体"/>
          <w:b/>
          <w:bCs/>
          <w:color w:val="auto"/>
          <w:sz w:val="30"/>
          <w:szCs w:val="30"/>
        </w:rPr>
        <w:t>教学、实验用桌等设备规格及参数</w:t>
      </w:r>
    </w:p>
    <w:tbl>
      <w:tblPr>
        <w:tblStyle w:val="30"/>
        <w:tblW w:w="9958"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675"/>
        <w:gridCol w:w="3700"/>
        <w:gridCol w:w="500"/>
        <w:gridCol w:w="425"/>
        <w:gridCol w:w="3287"/>
        <w:gridCol w:w="875"/>
      </w:tblGrid>
      <w:tr w14:paraId="0DE4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496" w:type="dxa"/>
            <w:vAlign w:val="center"/>
          </w:tcPr>
          <w:p w14:paraId="2340C630">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序     号</w:t>
            </w:r>
          </w:p>
        </w:tc>
        <w:tc>
          <w:tcPr>
            <w:tcW w:w="675" w:type="dxa"/>
            <w:vAlign w:val="center"/>
          </w:tcPr>
          <w:p w14:paraId="03783A00">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名称</w:t>
            </w:r>
          </w:p>
        </w:tc>
        <w:tc>
          <w:tcPr>
            <w:tcW w:w="3700" w:type="dxa"/>
            <w:vAlign w:val="center"/>
          </w:tcPr>
          <w:p w14:paraId="0D05F46F">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规格及参数</w:t>
            </w:r>
          </w:p>
        </w:tc>
        <w:tc>
          <w:tcPr>
            <w:tcW w:w="500" w:type="dxa"/>
            <w:vAlign w:val="center"/>
          </w:tcPr>
          <w:p w14:paraId="1466CA6B">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数量</w:t>
            </w:r>
          </w:p>
        </w:tc>
        <w:tc>
          <w:tcPr>
            <w:tcW w:w="425" w:type="dxa"/>
            <w:vAlign w:val="center"/>
          </w:tcPr>
          <w:p w14:paraId="51E81A05">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单位</w:t>
            </w:r>
          </w:p>
        </w:tc>
        <w:tc>
          <w:tcPr>
            <w:tcW w:w="3287" w:type="dxa"/>
            <w:vAlign w:val="center"/>
          </w:tcPr>
          <w:p w14:paraId="5EF94E2E">
            <w:pPr>
              <w:jc w:val="center"/>
              <w:rPr>
                <w:rFonts w:ascii="宋体" w:hAnsi="宋体" w:cs="宋体"/>
                <w:b/>
                <w:color w:val="auto"/>
                <w:spacing w:val="10"/>
                <w:position w:val="1"/>
                <w:sz w:val="24"/>
                <w:szCs w:val="23"/>
              </w:rPr>
            </w:pPr>
            <w:r>
              <w:rPr>
                <w:rFonts w:hint="eastAsia" w:ascii="宋体" w:hAnsi="宋体" w:cs="宋体"/>
                <w:b/>
                <w:color w:val="auto"/>
                <w:spacing w:val="10"/>
                <w:position w:val="1"/>
                <w:sz w:val="24"/>
                <w:szCs w:val="23"/>
              </w:rPr>
              <w:t>参考图片</w:t>
            </w:r>
          </w:p>
        </w:tc>
        <w:tc>
          <w:tcPr>
            <w:tcW w:w="875" w:type="dxa"/>
          </w:tcPr>
          <w:p w14:paraId="6EB8E6D6">
            <w:pPr>
              <w:jc w:val="center"/>
              <w:rPr>
                <w:rFonts w:ascii="宋体" w:hAnsi="宋体" w:cs="宋体"/>
                <w:b/>
                <w:color w:val="auto"/>
                <w:spacing w:val="10"/>
                <w:position w:val="1"/>
                <w:sz w:val="18"/>
                <w:szCs w:val="18"/>
              </w:rPr>
            </w:pPr>
            <w:r>
              <w:rPr>
                <w:rFonts w:hint="eastAsia" w:ascii="宋体" w:hAnsi="宋体" w:cs="宋体"/>
                <w:b/>
                <w:color w:val="auto"/>
                <w:spacing w:val="10"/>
                <w:position w:val="1"/>
                <w:sz w:val="18"/>
                <w:szCs w:val="18"/>
              </w:rPr>
              <w:t>采购标的对应的行业</w:t>
            </w:r>
          </w:p>
        </w:tc>
      </w:tr>
      <w:tr w14:paraId="3866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496" w:type="dxa"/>
            <w:vAlign w:val="center"/>
          </w:tcPr>
          <w:p w14:paraId="2F3CAA0A">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1</w:t>
            </w:r>
          </w:p>
        </w:tc>
        <w:tc>
          <w:tcPr>
            <w:tcW w:w="675" w:type="dxa"/>
            <w:vAlign w:val="center"/>
          </w:tcPr>
          <w:p w14:paraId="4E35D208">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b/>
                <w:bCs/>
                <w:color w:val="auto"/>
                <w:sz w:val="24"/>
                <w:szCs w:val="24"/>
                <w:highlight w:val="none"/>
              </w:rPr>
              <w:t>△</w:t>
            </w:r>
            <w:r>
              <w:rPr>
                <w:rFonts w:hint="eastAsia" w:ascii="宋体" w:hAnsi="宋体" w:cs="宋体"/>
                <w:color w:val="auto"/>
                <w:kern w:val="0"/>
                <w:sz w:val="18"/>
                <w:szCs w:val="18"/>
                <w:highlight w:val="none"/>
                <w:lang w:bidi="ar"/>
              </w:rPr>
              <w:t>教师办公桌</w:t>
            </w:r>
          </w:p>
        </w:tc>
        <w:tc>
          <w:tcPr>
            <w:tcW w:w="3700" w:type="dxa"/>
            <w:vAlign w:val="center"/>
          </w:tcPr>
          <w:p w14:paraId="7F07942F">
            <w:pPr>
              <w:rPr>
                <w:rFonts w:hint="eastAsia" w:ascii="宋体" w:hAnsi="宋体" w:cs="宋体"/>
                <w:color w:val="auto"/>
                <w:sz w:val="18"/>
                <w:szCs w:val="18"/>
                <w:highlight w:val="none"/>
              </w:rPr>
            </w:pPr>
            <w:r>
              <w:rPr>
                <w:rFonts w:hint="eastAsia" w:ascii="宋体" w:hAnsi="宋体" w:cs="宋体"/>
                <w:color w:val="auto"/>
                <w:sz w:val="18"/>
                <w:szCs w:val="18"/>
                <w:highlight w:val="none"/>
              </w:rPr>
              <w:t>1、主台桌面尺寸：≧长1200MM*宽600MM*高750MM±2mm；副台尺寸：≧长1200MM*宽350MM*高1100MM±2mm；</w:t>
            </w:r>
          </w:p>
          <w:p w14:paraId="2685ACA4">
            <w:pPr>
              <w:rPr>
                <w:rFonts w:hint="eastAsia" w:ascii="宋体" w:hAnsi="宋体" w:cs="宋体"/>
                <w:color w:val="auto"/>
                <w:sz w:val="18"/>
                <w:szCs w:val="18"/>
                <w:highlight w:val="none"/>
              </w:rPr>
            </w:pPr>
            <w:r>
              <w:rPr>
                <w:rFonts w:hint="eastAsia" w:ascii="宋体" w:hAnsi="宋体" w:cs="宋体"/>
                <w:color w:val="auto"/>
                <w:sz w:val="18"/>
                <w:szCs w:val="18"/>
                <w:highlight w:val="none"/>
              </w:rPr>
              <w:t>2、由主台、副台、一屉一开门活动推柜构成。桌、柜可自由组合搭配。</w:t>
            </w:r>
          </w:p>
          <w:p w14:paraId="1C3F05B5">
            <w:pPr>
              <w:rPr>
                <w:rFonts w:hint="eastAsia" w:ascii="宋体" w:hAnsi="宋体" w:cs="宋体"/>
                <w:color w:val="auto"/>
                <w:sz w:val="18"/>
                <w:szCs w:val="18"/>
                <w:highlight w:val="none"/>
              </w:rPr>
            </w:pPr>
            <w:r>
              <w:rPr>
                <w:rFonts w:hint="eastAsia" w:ascii="宋体" w:hAnsi="宋体" w:cs="宋体"/>
                <w:color w:val="auto"/>
                <w:sz w:val="18"/>
                <w:szCs w:val="18"/>
                <w:highlight w:val="none"/>
              </w:rPr>
              <w:t>3、主桌台面厚度≥25mm，桌面安排有键盘架、隐藏式走线盒；桌子底部带有微调脚垫。</w:t>
            </w:r>
          </w:p>
          <w:p w14:paraId="0F518CAD">
            <w:pPr>
              <w:rPr>
                <w:rFonts w:hint="eastAsia" w:ascii="宋体" w:hAnsi="宋体" w:cs="宋体"/>
                <w:color w:val="auto"/>
                <w:sz w:val="18"/>
                <w:szCs w:val="18"/>
                <w:highlight w:val="none"/>
              </w:rPr>
            </w:pPr>
            <w:r>
              <w:rPr>
                <w:rFonts w:hint="eastAsia" w:ascii="宋体" w:hAnsi="宋体" w:cs="宋体"/>
                <w:color w:val="auto"/>
                <w:sz w:val="18"/>
                <w:szCs w:val="18"/>
                <w:highlight w:val="none"/>
              </w:rPr>
              <w:t>4、副台配有电脑主机箱空格、单开门柜及多个空格等。桌子底部带有微调脚垫。</w:t>
            </w:r>
          </w:p>
          <w:p w14:paraId="1BCFEFAA">
            <w:pPr>
              <w:rPr>
                <w:rFonts w:hint="eastAsia" w:ascii="宋体" w:hAnsi="宋体" w:cs="宋体"/>
                <w:color w:val="auto"/>
                <w:sz w:val="18"/>
                <w:szCs w:val="18"/>
                <w:highlight w:val="none"/>
              </w:rPr>
            </w:pPr>
            <w:r>
              <w:rPr>
                <w:rFonts w:hint="eastAsia" w:ascii="宋体" w:hAnsi="宋体" w:cs="宋体"/>
                <w:color w:val="auto"/>
                <w:sz w:val="18"/>
                <w:szCs w:val="18"/>
                <w:highlight w:val="none"/>
              </w:rPr>
              <w:t>5、推柜配置三联锁。桌子底部带有微调脚垫。</w:t>
            </w:r>
          </w:p>
          <w:p w14:paraId="55E72C28">
            <w:pPr>
              <w:rPr>
                <w:rFonts w:hint="eastAsia" w:ascii="宋体" w:hAnsi="宋体" w:cs="宋体"/>
                <w:color w:val="auto"/>
                <w:sz w:val="18"/>
                <w:szCs w:val="18"/>
                <w:highlight w:val="none"/>
              </w:rPr>
            </w:pPr>
            <w:r>
              <w:rPr>
                <w:rFonts w:hint="eastAsia" w:ascii="宋体" w:hAnsi="宋体" w:cs="宋体"/>
                <w:color w:val="auto"/>
                <w:sz w:val="18"/>
                <w:szCs w:val="18"/>
                <w:highlight w:val="none"/>
              </w:rPr>
              <w:t>6、五金配件配置阻尼三节轨</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优质导轨</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铰链</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连接件</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优质锁具</w:t>
            </w:r>
            <w:r>
              <w:rPr>
                <w:rFonts w:hint="eastAsia" w:ascii="宋体" w:hAnsi="宋体" w:cs="宋体"/>
                <w:color w:val="auto"/>
                <w:sz w:val="18"/>
                <w:szCs w:val="18"/>
                <w:highlight w:val="none"/>
                <w:lang w:eastAsia="zh-CN"/>
              </w:rPr>
              <w:t>等</w:t>
            </w:r>
            <w:r>
              <w:rPr>
                <w:rFonts w:hint="eastAsia" w:ascii="宋体" w:hAnsi="宋体" w:cs="宋体"/>
                <w:color w:val="auto"/>
                <w:sz w:val="18"/>
                <w:szCs w:val="18"/>
                <w:highlight w:val="none"/>
              </w:rPr>
              <w:t>。</w:t>
            </w:r>
            <w:r>
              <w:rPr>
                <w:rFonts w:hint="eastAsia" w:ascii="宋体" w:hAnsi="宋体" w:cs="宋体"/>
                <w:bCs/>
                <w:color w:val="auto"/>
                <w:spacing w:val="10"/>
                <w:position w:val="1"/>
                <w:sz w:val="18"/>
                <w:szCs w:val="18"/>
                <w:highlight w:val="none"/>
              </w:rPr>
              <w:t>无氧化</w:t>
            </w:r>
            <w:r>
              <w:rPr>
                <w:rFonts w:hint="eastAsia" w:ascii="宋体" w:hAnsi="宋体" w:cs="宋体"/>
                <w:bCs/>
                <w:color w:val="auto"/>
                <w:spacing w:val="10"/>
                <w:position w:val="1"/>
                <w:sz w:val="18"/>
                <w:szCs w:val="18"/>
                <w:highlight w:val="none"/>
                <w:lang w:eastAsia="zh-CN"/>
              </w:rPr>
              <w:t>、</w:t>
            </w:r>
            <w:r>
              <w:rPr>
                <w:rFonts w:hint="eastAsia" w:ascii="宋体" w:hAnsi="宋体" w:cs="宋体"/>
                <w:bCs/>
                <w:color w:val="auto"/>
                <w:spacing w:val="10"/>
                <w:position w:val="1"/>
                <w:sz w:val="18"/>
                <w:szCs w:val="18"/>
                <w:highlight w:val="none"/>
              </w:rPr>
              <w:t>无脏污、划伤、压痕、烧伤</w:t>
            </w:r>
            <w:r>
              <w:rPr>
                <w:rFonts w:hint="eastAsia" w:ascii="宋体" w:hAnsi="宋体" w:cs="宋体"/>
                <w:bCs/>
                <w:color w:val="auto"/>
                <w:spacing w:val="10"/>
                <w:position w:val="1"/>
                <w:sz w:val="18"/>
                <w:szCs w:val="18"/>
                <w:highlight w:val="none"/>
                <w:lang w:eastAsia="zh-CN"/>
              </w:rPr>
              <w:t>、</w:t>
            </w:r>
            <w:r>
              <w:rPr>
                <w:rFonts w:hint="eastAsia" w:ascii="宋体" w:hAnsi="宋体" w:cs="宋体"/>
                <w:bCs/>
                <w:color w:val="auto"/>
                <w:spacing w:val="10"/>
                <w:position w:val="1"/>
                <w:sz w:val="18"/>
                <w:szCs w:val="18"/>
                <w:highlight w:val="none"/>
              </w:rPr>
              <w:t>无镀层不良</w:t>
            </w:r>
            <w:r>
              <w:rPr>
                <w:rFonts w:hint="eastAsia" w:ascii="宋体" w:hAnsi="宋体" w:cs="宋体"/>
                <w:bCs/>
                <w:color w:val="auto"/>
                <w:spacing w:val="10"/>
                <w:position w:val="1"/>
                <w:sz w:val="18"/>
                <w:szCs w:val="18"/>
                <w:highlight w:val="none"/>
                <w:lang w:eastAsia="zh-CN"/>
              </w:rPr>
              <w:t>，</w:t>
            </w:r>
            <w:r>
              <w:rPr>
                <w:rFonts w:hint="eastAsia" w:ascii="宋体" w:hAnsi="宋体" w:cs="宋体"/>
                <w:bCs/>
                <w:color w:val="auto"/>
                <w:spacing w:val="10"/>
                <w:position w:val="1"/>
                <w:sz w:val="18"/>
                <w:szCs w:val="18"/>
                <w:highlight w:val="none"/>
              </w:rPr>
              <w:t>耐盐碱腐蚀。</w:t>
            </w:r>
          </w:p>
          <w:p w14:paraId="3226DD42">
            <w:pPr>
              <w:rPr>
                <w:rFonts w:hint="eastAsia" w:ascii="宋体" w:hAnsi="宋体" w:eastAsia="宋体" w:cs="宋体"/>
                <w:color w:val="auto"/>
                <w:sz w:val="18"/>
                <w:szCs w:val="18"/>
                <w:highlight w:val="none"/>
                <w:lang w:eastAsia="zh-CN"/>
              </w:rPr>
            </w:pPr>
            <w:r>
              <w:rPr>
                <w:rFonts w:ascii="宋体" w:hAnsi="宋体" w:cs="宋体"/>
                <w:color w:val="auto"/>
                <w:sz w:val="18"/>
                <w:szCs w:val="18"/>
                <w:highlight w:val="none"/>
              </w:rPr>
              <w:t>7</w:t>
            </w:r>
            <w:r>
              <w:rPr>
                <w:rFonts w:hint="eastAsia" w:ascii="宋体" w:hAnsi="宋体" w:cs="宋体"/>
                <w:color w:val="auto"/>
                <w:sz w:val="18"/>
                <w:szCs w:val="18"/>
                <w:highlight w:val="none"/>
              </w:rPr>
              <w:t>、板基材</w:t>
            </w:r>
            <w:r>
              <w:rPr>
                <w:rFonts w:hint="eastAsia" w:ascii="宋体" w:hAnsi="宋体" w:cs="宋体"/>
                <w:color w:val="auto"/>
                <w:sz w:val="18"/>
                <w:szCs w:val="18"/>
                <w:highlight w:val="none"/>
                <w:lang w:eastAsia="zh-CN"/>
              </w:rPr>
              <w:t>为</w:t>
            </w:r>
            <w:r>
              <w:rPr>
                <w:rFonts w:hint="eastAsia" w:ascii="宋体" w:hAnsi="宋体" w:cs="宋体"/>
                <w:color w:val="auto"/>
                <w:sz w:val="18"/>
                <w:szCs w:val="18"/>
                <w:highlight w:val="none"/>
              </w:rPr>
              <w:t>刨花板</w:t>
            </w:r>
            <w:r>
              <w:rPr>
                <w:rFonts w:hint="eastAsia" w:ascii="宋体" w:hAnsi="宋体" w:cs="宋体"/>
                <w:color w:val="auto"/>
                <w:sz w:val="18"/>
                <w:szCs w:val="18"/>
                <w:highlight w:val="none"/>
                <w:lang w:eastAsia="zh-CN"/>
              </w:rPr>
              <w:t>，</w:t>
            </w:r>
            <w:r>
              <w:rPr>
                <w:rFonts w:hint="eastAsia" w:ascii="宋体" w:hAnsi="宋体" w:cs="宋体"/>
                <w:color w:val="auto"/>
                <w:sz w:val="18"/>
                <w:szCs w:val="18"/>
                <w:highlight w:val="none"/>
              </w:rPr>
              <w:t>面材</w:t>
            </w:r>
            <w:r>
              <w:rPr>
                <w:rFonts w:hint="eastAsia" w:ascii="宋体" w:hAnsi="宋体" w:cs="宋体"/>
                <w:color w:val="auto"/>
                <w:sz w:val="18"/>
                <w:szCs w:val="18"/>
                <w:highlight w:val="none"/>
                <w:lang w:eastAsia="zh-CN"/>
              </w:rPr>
              <w:t>为</w:t>
            </w:r>
            <w:r>
              <w:rPr>
                <w:rFonts w:hint="eastAsia" w:ascii="宋体" w:hAnsi="宋体" w:cs="宋体"/>
                <w:color w:val="auto"/>
                <w:sz w:val="18"/>
                <w:szCs w:val="18"/>
                <w:highlight w:val="none"/>
              </w:rPr>
              <w:t>浸渍胶膜纸饰面</w:t>
            </w:r>
            <w:r>
              <w:rPr>
                <w:rFonts w:hint="eastAsia" w:ascii="宋体" w:hAnsi="宋体" w:cs="宋体"/>
                <w:color w:val="auto"/>
                <w:sz w:val="18"/>
                <w:szCs w:val="18"/>
                <w:highlight w:val="none"/>
                <w:lang w:eastAsia="zh-CN"/>
              </w:rPr>
              <w:t>，</w:t>
            </w:r>
          </w:p>
          <w:p w14:paraId="739DB5E0">
            <w:pP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8、</w:t>
            </w:r>
            <w:r>
              <w:rPr>
                <w:rFonts w:hint="eastAsia" w:ascii="宋体" w:hAnsi="宋体" w:cs="宋体"/>
                <w:color w:val="auto"/>
                <w:sz w:val="18"/>
                <w:szCs w:val="18"/>
                <w:highlight w:val="none"/>
              </w:rPr>
              <w:t>封边：</w:t>
            </w:r>
            <w:r>
              <w:rPr>
                <w:rFonts w:ascii="宋体" w:hAnsi="宋体" w:cs="宋体"/>
                <w:color w:val="auto"/>
                <w:sz w:val="18"/>
                <w:szCs w:val="18"/>
                <w:highlight w:val="none"/>
              </w:rPr>
              <w:t>PVC</w:t>
            </w:r>
            <w:r>
              <w:rPr>
                <w:rFonts w:hint="eastAsia" w:ascii="宋体" w:hAnsi="宋体" w:cs="宋体"/>
                <w:color w:val="auto"/>
                <w:sz w:val="18"/>
                <w:szCs w:val="18"/>
                <w:highlight w:val="none"/>
              </w:rPr>
              <w:t>（聚氯乙烯树脂）</w:t>
            </w:r>
          </w:p>
          <w:p w14:paraId="09FAC3BD">
            <w:pPr>
              <w:rPr>
                <w:rFonts w:hint="eastAsia" w:ascii="宋体" w:hAnsi="宋体" w:eastAsia="宋体" w:cs="宋体"/>
                <w:color w:val="auto"/>
                <w:sz w:val="18"/>
                <w:szCs w:val="18"/>
                <w:highlight w:val="none"/>
                <w:lang w:eastAsia="zh-CN"/>
              </w:rPr>
            </w:pPr>
            <w:r>
              <w:rPr>
                <w:rFonts w:hint="eastAsia" w:ascii="宋体" w:hAnsi="宋体" w:cs="宋体"/>
                <w:color w:val="auto"/>
                <w:sz w:val="18"/>
                <w:szCs w:val="18"/>
                <w:highlight w:val="none"/>
                <w:lang w:val="en-US" w:eastAsia="zh-CN"/>
              </w:rPr>
              <w:t>9、</w:t>
            </w:r>
            <w:r>
              <w:rPr>
                <w:rFonts w:hint="eastAsia" w:ascii="宋体" w:hAnsi="宋体" w:cs="宋体"/>
                <w:color w:val="auto"/>
                <w:sz w:val="18"/>
                <w:szCs w:val="18"/>
                <w:highlight w:val="none"/>
              </w:rPr>
              <w:t>桌架：木质，甲醛含量标准E1级</w:t>
            </w:r>
            <w:r>
              <w:rPr>
                <w:rFonts w:hint="eastAsia" w:ascii="宋体" w:hAnsi="宋体" w:cs="宋体"/>
                <w:color w:val="auto"/>
                <w:sz w:val="18"/>
                <w:szCs w:val="18"/>
                <w:highlight w:val="none"/>
                <w:lang w:eastAsia="zh-CN"/>
              </w:rPr>
              <w:t>。</w:t>
            </w:r>
          </w:p>
        </w:tc>
        <w:tc>
          <w:tcPr>
            <w:tcW w:w="500" w:type="dxa"/>
            <w:vAlign w:val="center"/>
          </w:tcPr>
          <w:p w14:paraId="4FA31DB3">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74</w:t>
            </w:r>
          </w:p>
        </w:tc>
        <w:tc>
          <w:tcPr>
            <w:tcW w:w="425" w:type="dxa"/>
            <w:vAlign w:val="center"/>
          </w:tcPr>
          <w:p w14:paraId="644D5C1D">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张</w:t>
            </w:r>
          </w:p>
        </w:tc>
        <w:tc>
          <w:tcPr>
            <w:tcW w:w="3287" w:type="dxa"/>
            <w:vAlign w:val="center"/>
          </w:tcPr>
          <w:p w14:paraId="53F34FEC">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1955800" cy="1344295"/>
                  <wp:effectExtent l="0" t="0" r="6350" b="825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7"/>
                          <a:stretch>
                            <a:fillRect/>
                          </a:stretch>
                        </pic:blipFill>
                        <pic:spPr>
                          <a:xfrm>
                            <a:off x="0" y="0"/>
                            <a:ext cx="1955800" cy="1344295"/>
                          </a:xfrm>
                          <a:prstGeom prst="rect">
                            <a:avLst/>
                          </a:prstGeom>
                          <a:noFill/>
                          <a:ln>
                            <a:noFill/>
                          </a:ln>
                        </pic:spPr>
                      </pic:pic>
                    </a:graphicData>
                  </a:graphic>
                </wp:inline>
              </w:drawing>
            </w:r>
          </w:p>
        </w:tc>
        <w:tc>
          <w:tcPr>
            <w:tcW w:w="875" w:type="dxa"/>
            <w:vAlign w:val="center"/>
          </w:tcPr>
          <w:p w14:paraId="14A2039F">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51499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1" w:hRule="atLeast"/>
        </w:trPr>
        <w:tc>
          <w:tcPr>
            <w:tcW w:w="496" w:type="dxa"/>
            <w:vAlign w:val="center"/>
          </w:tcPr>
          <w:p w14:paraId="03EA02B4">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2</w:t>
            </w:r>
          </w:p>
        </w:tc>
        <w:tc>
          <w:tcPr>
            <w:tcW w:w="675" w:type="dxa"/>
            <w:vAlign w:val="center"/>
          </w:tcPr>
          <w:p w14:paraId="595AE12D">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color w:val="auto"/>
                <w:kern w:val="0"/>
                <w:sz w:val="18"/>
                <w:szCs w:val="18"/>
                <w:highlight w:val="none"/>
                <w:lang w:bidi="ar"/>
              </w:rPr>
              <w:t>教师办公椅</w:t>
            </w:r>
          </w:p>
        </w:tc>
        <w:tc>
          <w:tcPr>
            <w:tcW w:w="3700" w:type="dxa"/>
            <w:vAlign w:val="center"/>
          </w:tcPr>
          <w:p w14:paraId="18A1DC51">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1、高背630×630×1225（±35）mm</w:t>
            </w:r>
          </w:p>
          <w:p w14:paraId="631832F2">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2、高背椅含6维双轴颈托，定型海绵坐垫，≧50MM坐深可调，前置式机构具备升降、靠背仰软硬度可自行调节，多段倾仰锁定功能，椅背可后仰≧140度悬停，带隐藏式伸缩搁脚。</w:t>
            </w:r>
          </w:p>
          <w:p w14:paraId="6AF65F7E">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3、具有重力感应底盘，配置可调节可折叠调整腰托，≧三级防爆气杆，≧50MM升降调节、</w:t>
            </w:r>
          </w:p>
          <w:p w14:paraId="7FDEF8E5">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4、最低座面高440mm。</w:t>
            </w:r>
          </w:p>
          <w:p w14:paraId="2DEA1A3D">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5、钢制五星脚，尼龙脚轮。</w:t>
            </w:r>
          </w:p>
          <w:p w14:paraId="34227442">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6、钢制机械扶手。</w:t>
            </w:r>
          </w:p>
        </w:tc>
        <w:tc>
          <w:tcPr>
            <w:tcW w:w="500" w:type="dxa"/>
            <w:vAlign w:val="center"/>
          </w:tcPr>
          <w:p w14:paraId="5B589CAD">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74</w:t>
            </w:r>
          </w:p>
        </w:tc>
        <w:tc>
          <w:tcPr>
            <w:tcW w:w="425" w:type="dxa"/>
            <w:vAlign w:val="center"/>
          </w:tcPr>
          <w:p w14:paraId="757E052F">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把</w:t>
            </w:r>
          </w:p>
        </w:tc>
        <w:tc>
          <w:tcPr>
            <w:tcW w:w="3287" w:type="dxa"/>
            <w:vAlign w:val="center"/>
          </w:tcPr>
          <w:p w14:paraId="253E1D48">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1914525" cy="1811020"/>
                  <wp:effectExtent l="0" t="0" r="9525" b="177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8"/>
                          <a:stretch>
                            <a:fillRect/>
                          </a:stretch>
                        </pic:blipFill>
                        <pic:spPr>
                          <a:xfrm>
                            <a:off x="0" y="0"/>
                            <a:ext cx="1914525" cy="1811020"/>
                          </a:xfrm>
                          <a:prstGeom prst="rect">
                            <a:avLst/>
                          </a:prstGeom>
                          <a:noFill/>
                          <a:ln>
                            <a:noFill/>
                          </a:ln>
                        </pic:spPr>
                      </pic:pic>
                    </a:graphicData>
                  </a:graphic>
                </wp:inline>
              </w:drawing>
            </w:r>
          </w:p>
        </w:tc>
        <w:tc>
          <w:tcPr>
            <w:tcW w:w="875" w:type="dxa"/>
            <w:vAlign w:val="center"/>
          </w:tcPr>
          <w:p w14:paraId="294BEA7A">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3D25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96" w:type="dxa"/>
            <w:vAlign w:val="center"/>
          </w:tcPr>
          <w:p w14:paraId="07228DBE">
            <w:pPr>
              <w:jc w:val="center"/>
              <w:rPr>
                <w:rFonts w:ascii="宋体" w:hAnsi="宋体" w:cs="宋体"/>
                <w:bCs/>
                <w:color w:val="auto"/>
                <w:spacing w:val="10"/>
                <w:position w:val="1"/>
                <w:sz w:val="18"/>
                <w:szCs w:val="18"/>
                <w:highlight w:val="yellow"/>
              </w:rPr>
            </w:pPr>
            <w:r>
              <w:rPr>
                <w:rFonts w:hint="eastAsia" w:ascii="宋体" w:hAnsi="宋体" w:cs="宋体"/>
                <w:bCs/>
                <w:color w:val="auto"/>
                <w:spacing w:val="10"/>
                <w:position w:val="1"/>
                <w:sz w:val="18"/>
                <w:szCs w:val="18"/>
                <w:highlight w:val="none"/>
              </w:rPr>
              <w:t>3</w:t>
            </w:r>
          </w:p>
        </w:tc>
        <w:tc>
          <w:tcPr>
            <w:tcW w:w="675" w:type="dxa"/>
            <w:vAlign w:val="center"/>
          </w:tcPr>
          <w:p w14:paraId="68DA5E0E">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color w:val="auto"/>
                <w:kern w:val="0"/>
                <w:sz w:val="18"/>
                <w:szCs w:val="18"/>
                <w:highlight w:val="none"/>
                <w:lang w:bidi="ar"/>
              </w:rPr>
              <w:t>钢制档案柜</w:t>
            </w:r>
          </w:p>
        </w:tc>
        <w:tc>
          <w:tcPr>
            <w:tcW w:w="3700" w:type="dxa"/>
            <w:vAlign w:val="center"/>
          </w:tcPr>
          <w:p w14:paraId="64654252">
            <w:pPr>
              <w:spacing w:line="360" w:lineRule="exact"/>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1、档案柜整体尺寸：≥1850×900×400（±</w:t>
            </w:r>
            <w:r>
              <w:rPr>
                <w:rFonts w:ascii="宋体" w:hAnsi="宋体" w:cs="宋体"/>
                <w:bCs/>
                <w:color w:val="auto"/>
                <w:spacing w:val="10"/>
                <w:position w:val="1"/>
                <w:sz w:val="18"/>
                <w:szCs w:val="18"/>
                <w:highlight w:val="none"/>
              </w:rPr>
              <w:t>2</w:t>
            </w:r>
            <w:r>
              <w:rPr>
                <w:rFonts w:hint="eastAsia" w:ascii="宋体" w:hAnsi="宋体" w:cs="宋体"/>
                <w:bCs/>
                <w:color w:val="auto"/>
                <w:spacing w:val="10"/>
                <w:position w:val="1"/>
                <w:sz w:val="18"/>
                <w:szCs w:val="18"/>
                <w:highlight w:val="none"/>
              </w:rPr>
              <w:t>）mm（高、长、宽）</w:t>
            </w:r>
          </w:p>
          <w:p w14:paraId="26629509">
            <w:pPr>
              <w:spacing w:line="360" w:lineRule="exact"/>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2、冷轧钢板，钢板厚度≥0.8mm，表面喷塑处理，热转印。</w:t>
            </w:r>
          </w:p>
          <w:p w14:paraId="76A40919">
            <w:pPr>
              <w:spacing w:line="360" w:lineRule="exact"/>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3、上部为玻璃对开门，下部为钢制框对开门，内置不少于4块钢制搁板。</w:t>
            </w:r>
          </w:p>
          <w:p w14:paraId="347D9505">
            <w:pPr>
              <w:spacing w:line="360" w:lineRule="exact"/>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4、柜门配置锁。</w:t>
            </w:r>
          </w:p>
          <w:p w14:paraId="2EB115EC">
            <w:pPr>
              <w:spacing w:line="360" w:lineRule="exact"/>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5、五金配件配置阻尼铰链。无氧化</w:t>
            </w:r>
            <w:r>
              <w:rPr>
                <w:rFonts w:hint="eastAsia" w:ascii="宋体" w:hAnsi="宋体" w:cs="宋体"/>
                <w:bCs/>
                <w:color w:val="auto"/>
                <w:spacing w:val="10"/>
                <w:position w:val="1"/>
                <w:sz w:val="18"/>
                <w:szCs w:val="18"/>
                <w:highlight w:val="none"/>
                <w:lang w:eastAsia="zh-CN"/>
              </w:rPr>
              <w:t>、</w:t>
            </w:r>
            <w:r>
              <w:rPr>
                <w:rFonts w:hint="eastAsia" w:ascii="宋体" w:hAnsi="宋体" w:cs="宋体"/>
                <w:bCs/>
                <w:color w:val="auto"/>
                <w:spacing w:val="10"/>
                <w:position w:val="1"/>
                <w:sz w:val="18"/>
                <w:szCs w:val="18"/>
                <w:highlight w:val="none"/>
              </w:rPr>
              <w:t>无脏污、划伤、压痕、烧伤</w:t>
            </w:r>
            <w:r>
              <w:rPr>
                <w:rFonts w:hint="eastAsia" w:ascii="宋体" w:hAnsi="宋体" w:cs="宋体"/>
                <w:bCs/>
                <w:color w:val="auto"/>
                <w:spacing w:val="10"/>
                <w:position w:val="1"/>
                <w:sz w:val="18"/>
                <w:szCs w:val="18"/>
                <w:highlight w:val="none"/>
                <w:lang w:eastAsia="zh-CN"/>
              </w:rPr>
              <w:t>、</w:t>
            </w:r>
            <w:r>
              <w:rPr>
                <w:rFonts w:hint="eastAsia" w:ascii="宋体" w:hAnsi="宋体" w:cs="宋体"/>
                <w:bCs/>
                <w:color w:val="auto"/>
                <w:spacing w:val="10"/>
                <w:position w:val="1"/>
                <w:sz w:val="18"/>
                <w:szCs w:val="18"/>
                <w:highlight w:val="none"/>
              </w:rPr>
              <w:t>无镀层不良</w:t>
            </w:r>
            <w:r>
              <w:rPr>
                <w:rFonts w:hint="eastAsia" w:ascii="宋体" w:hAnsi="宋体" w:cs="宋体"/>
                <w:bCs/>
                <w:color w:val="auto"/>
                <w:spacing w:val="10"/>
                <w:position w:val="1"/>
                <w:sz w:val="18"/>
                <w:szCs w:val="18"/>
                <w:highlight w:val="none"/>
                <w:lang w:eastAsia="zh-CN"/>
              </w:rPr>
              <w:t>，</w:t>
            </w:r>
            <w:r>
              <w:rPr>
                <w:rFonts w:hint="eastAsia" w:ascii="宋体" w:hAnsi="宋体" w:cs="宋体"/>
                <w:bCs/>
                <w:color w:val="auto"/>
                <w:spacing w:val="10"/>
                <w:position w:val="1"/>
                <w:sz w:val="18"/>
                <w:szCs w:val="18"/>
                <w:highlight w:val="none"/>
              </w:rPr>
              <w:t>耐盐碱腐蚀。</w:t>
            </w:r>
          </w:p>
        </w:tc>
        <w:tc>
          <w:tcPr>
            <w:tcW w:w="500" w:type="dxa"/>
            <w:vAlign w:val="center"/>
          </w:tcPr>
          <w:p w14:paraId="210C4C0E">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30</w:t>
            </w:r>
          </w:p>
        </w:tc>
        <w:tc>
          <w:tcPr>
            <w:tcW w:w="425" w:type="dxa"/>
            <w:vAlign w:val="center"/>
          </w:tcPr>
          <w:p w14:paraId="47F715A4">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个</w:t>
            </w:r>
          </w:p>
        </w:tc>
        <w:tc>
          <w:tcPr>
            <w:tcW w:w="3287" w:type="dxa"/>
            <w:vAlign w:val="center"/>
          </w:tcPr>
          <w:p w14:paraId="78FE5ADB">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992505" cy="1616075"/>
                  <wp:effectExtent l="0" t="0" r="17145" b="317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992505" cy="1616075"/>
                          </a:xfrm>
                          <a:prstGeom prst="rect">
                            <a:avLst/>
                          </a:prstGeom>
                          <a:noFill/>
                          <a:ln>
                            <a:noFill/>
                          </a:ln>
                        </pic:spPr>
                      </pic:pic>
                    </a:graphicData>
                  </a:graphic>
                </wp:inline>
              </w:drawing>
            </w:r>
          </w:p>
        </w:tc>
        <w:tc>
          <w:tcPr>
            <w:tcW w:w="875" w:type="dxa"/>
            <w:vAlign w:val="center"/>
          </w:tcPr>
          <w:p w14:paraId="6A74FB8C">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3B99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496" w:type="dxa"/>
            <w:vAlign w:val="center"/>
          </w:tcPr>
          <w:p w14:paraId="55EA4516">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4</w:t>
            </w:r>
          </w:p>
        </w:tc>
        <w:tc>
          <w:tcPr>
            <w:tcW w:w="675" w:type="dxa"/>
            <w:vAlign w:val="center"/>
          </w:tcPr>
          <w:p w14:paraId="2815893E">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教师讲台</w:t>
            </w:r>
          </w:p>
        </w:tc>
        <w:tc>
          <w:tcPr>
            <w:tcW w:w="3700" w:type="dxa"/>
            <w:vAlign w:val="center"/>
          </w:tcPr>
          <w:p w14:paraId="45862697">
            <w:pPr>
              <w:widowControl/>
              <w:numPr>
                <w:ilvl w:val="0"/>
                <w:numId w:val="2"/>
              </w:numP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水泥砖砌，整体尺寸：长5.1米*宽1.4米*高0.15米±</w:t>
            </w:r>
            <w:r>
              <w:rPr>
                <w:rFonts w:ascii="宋体" w:hAnsi="宋体" w:cs="宋体"/>
                <w:color w:val="auto"/>
                <w:kern w:val="0"/>
                <w:sz w:val="18"/>
                <w:szCs w:val="18"/>
                <w:lang w:bidi="ar"/>
              </w:rPr>
              <w:t>2mm</w:t>
            </w:r>
            <w:r>
              <w:rPr>
                <w:rFonts w:hint="eastAsia" w:ascii="宋体" w:hAnsi="宋体" w:cs="宋体"/>
                <w:color w:val="auto"/>
                <w:kern w:val="0"/>
                <w:sz w:val="18"/>
                <w:szCs w:val="18"/>
                <w:lang w:bidi="ar"/>
              </w:rPr>
              <w:t>；</w:t>
            </w:r>
          </w:p>
          <w:p w14:paraId="24DF1E3B">
            <w:pPr>
              <w:widowControl/>
              <w:numPr>
                <w:ilvl w:val="0"/>
                <w:numId w:val="2"/>
              </w:numP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宜采用圆角设计，台面及侧面铺设净面地板砖。地板砖颜色与教室原地砖协调。</w:t>
            </w:r>
          </w:p>
        </w:tc>
        <w:tc>
          <w:tcPr>
            <w:tcW w:w="500" w:type="dxa"/>
            <w:vAlign w:val="center"/>
          </w:tcPr>
          <w:p w14:paraId="0657B02D">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26</w:t>
            </w:r>
          </w:p>
        </w:tc>
        <w:tc>
          <w:tcPr>
            <w:tcW w:w="425" w:type="dxa"/>
            <w:vAlign w:val="center"/>
          </w:tcPr>
          <w:p w14:paraId="4762096B">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个</w:t>
            </w:r>
          </w:p>
        </w:tc>
        <w:tc>
          <w:tcPr>
            <w:tcW w:w="3287" w:type="dxa"/>
            <w:vAlign w:val="center"/>
          </w:tcPr>
          <w:p w14:paraId="598D514A">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2408555" cy="1092835"/>
                  <wp:effectExtent l="0" t="0" r="10795" b="1206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0"/>
                          <a:stretch>
                            <a:fillRect/>
                          </a:stretch>
                        </pic:blipFill>
                        <pic:spPr>
                          <a:xfrm>
                            <a:off x="0" y="0"/>
                            <a:ext cx="2408555" cy="1092835"/>
                          </a:xfrm>
                          <a:prstGeom prst="rect">
                            <a:avLst/>
                          </a:prstGeom>
                          <a:noFill/>
                          <a:ln>
                            <a:noFill/>
                          </a:ln>
                        </pic:spPr>
                      </pic:pic>
                    </a:graphicData>
                  </a:graphic>
                </wp:inline>
              </w:drawing>
            </w:r>
          </w:p>
        </w:tc>
        <w:tc>
          <w:tcPr>
            <w:tcW w:w="875" w:type="dxa"/>
            <w:vAlign w:val="center"/>
          </w:tcPr>
          <w:p w14:paraId="48F9B94D">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30F0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7" w:hRule="atLeast"/>
        </w:trPr>
        <w:tc>
          <w:tcPr>
            <w:tcW w:w="496" w:type="dxa"/>
            <w:vAlign w:val="center"/>
          </w:tcPr>
          <w:p w14:paraId="07C5D671">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5</w:t>
            </w:r>
          </w:p>
        </w:tc>
        <w:tc>
          <w:tcPr>
            <w:tcW w:w="675" w:type="dxa"/>
            <w:vAlign w:val="center"/>
          </w:tcPr>
          <w:p w14:paraId="314034FD">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b/>
                <w:bCs/>
                <w:color w:val="auto"/>
                <w:sz w:val="24"/>
                <w:szCs w:val="24"/>
                <w:highlight w:val="none"/>
              </w:rPr>
              <w:t>△</w:t>
            </w:r>
            <w:r>
              <w:rPr>
                <w:rFonts w:hint="eastAsia" w:ascii="宋体" w:hAnsi="宋体" w:cs="宋体"/>
                <w:color w:val="auto"/>
                <w:kern w:val="0"/>
                <w:sz w:val="18"/>
                <w:szCs w:val="18"/>
                <w:highlight w:val="none"/>
                <w:lang w:bidi="ar"/>
              </w:rPr>
              <w:t>学生书包柜</w:t>
            </w:r>
          </w:p>
        </w:tc>
        <w:tc>
          <w:tcPr>
            <w:tcW w:w="3700" w:type="dxa"/>
            <w:vAlign w:val="center"/>
          </w:tcPr>
          <w:p w14:paraId="7F84C7B5">
            <w:pPr>
              <w:widowControl/>
              <w:jc w:val="left"/>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1、根据教室尺寸定制。因</w:t>
            </w:r>
            <w:r>
              <w:rPr>
                <w:rFonts w:hint="eastAsia" w:ascii="宋体" w:hAnsi="宋体" w:cs="宋体"/>
                <w:color w:val="auto"/>
                <w:kern w:val="0"/>
                <w:sz w:val="18"/>
                <w:szCs w:val="18"/>
                <w:highlight w:val="none"/>
                <w:lang w:eastAsia="zh-CN" w:bidi="ar"/>
              </w:rPr>
              <w:t>教室</w:t>
            </w:r>
            <w:r>
              <w:rPr>
                <w:rFonts w:hint="eastAsia" w:ascii="宋体" w:hAnsi="宋体" w:cs="宋体"/>
                <w:color w:val="auto"/>
                <w:kern w:val="0"/>
                <w:sz w:val="18"/>
                <w:szCs w:val="18"/>
                <w:highlight w:val="none"/>
                <w:lang w:bidi="ar"/>
              </w:rPr>
              <w:t>墙壁有立柱，立柱两侧分装两组柜子为一套，每套大致尺寸：1.5米x3.3米* 2，具体尺寸根据教师位置可进行微调；每套4层，格数：28格* 2 ；</w:t>
            </w:r>
          </w:p>
          <w:p w14:paraId="33449AE2">
            <w:pPr>
              <w:rPr>
                <w:rFonts w:hint="eastAsia" w:ascii="宋体" w:hAnsi="宋体" w:eastAsia="宋体" w:cs="宋体"/>
                <w:color w:val="auto"/>
                <w:kern w:val="0"/>
                <w:sz w:val="18"/>
                <w:szCs w:val="18"/>
                <w:highlight w:val="none"/>
                <w:lang w:eastAsia="zh-CN" w:bidi="ar"/>
              </w:rPr>
            </w:pPr>
            <w:r>
              <w:rPr>
                <w:rFonts w:ascii="宋体" w:hAnsi="宋体" w:cs="宋体"/>
                <w:color w:val="auto"/>
                <w:kern w:val="0"/>
                <w:sz w:val="18"/>
                <w:szCs w:val="18"/>
                <w:highlight w:val="none"/>
                <w:lang w:bidi="ar"/>
              </w:rPr>
              <w:t>2</w:t>
            </w:r>
            <w:r>
              <w:rPr>
                <w:rFonts w:hint="eastAsia" w:ascii="宋体" w:hAnsi="宋体" w:cs="宋体"/>
                <w:color w:val="auto"/>
                <w:kern w:val="0"/>
                <w:sz w:val="18"/>
                <w:szCs w:val="18"/>
                <w:highlight w:val="none"/>
                <w:lang w:bidi="ar"/>
              </w:rPr>
              <w:t>、板基材</w:t>
            </w:r>
            <w:r>
              <w:rPr>
                <w:rFonts w:hint="eastAsia" w:ascii="宋体" w:hAnsi="宋体" w:cs="宋体"/>
                <w:color w:val="auto"/>
                <w:kern w:val="0"/>
                <w:sz w:val="18"/>
                <w:szCs w:val="18"/>
                <w:highlight w:val="none"/>
                <w:lang w:eastAsia="zh-CN" w:bidi="ar"/>
              </w:rPr>
              <w:t>为刨花板，</w:t>
            </w:r>
            <w:r>
              <w:rPr>
                <w:rFonts w:hint="eastAsia" w:ascii="宋体" w:hAnsi="宋体" w:cs="宋体"/>
                <w:color w:val="auto"/>
                <w:sz w:val="18"/>
                <w:szCs w:val="18"/>
                <w:highlight w:val="none"/>
              </w:rPr>
              <w:t>面材</w:t>
            </w:r>
            <w:r>
              <w:rPr>
                <w:rFonts w:hint="eastAsia" w:ascii="宋体" w:hAnsi="宋体" w:cs="宋体"/>
                <w:color w:val="auto"/>
                <w:sz w:val="18"/>
                <w:szCs w:val="18"/>
                <w:highlight w:val="none"/>
                <w:lang w:eastAsia="zh-CN"/>
              </w:rPr>
              <w:t>为</w:t>
            </w:r>
            <w:r>
              <w:rPr>
                <w:rFonts w:hint="eastAsia" w:ascii="宋体" w:hAnsi="宋体" w:cs="宋体"/>
                <w:color w:val="auto"/>
                <w:sz w:val="18"/>
                <w:szCs w:val="18"/>
                <w:highlight w:val="none"/>
              </w:rPr>
              <w:t>浸渍胶膜纸饰面</w:t>
            </w:r>
            <w:r>
              <w:rPr>
                <w:rFonts w:hint="eastAsia" w:ascii="宋体" w:hAnsi="宋体" w:cs="宋体"/>
                <w:color w:val="auto"/>
                <w:sz w:val="18"/>
                <w:szCs w:val="18"/>
                <w:highlight w:val="none"/>
                <w:lang w:eastAsia="zh-CN"/>
              </w:rPr>
              <w:t>，</w:t>
            </w:r>
          </w:p>
          <w:p w14:paraId="75FE6B85">
            <w:pPr>
              <w:rPr>
                <w:rFonts w:hint="eastAsia" w:ascii="宋体" w:hAnsi="宋体" w:cs="宋体"/>
                <w:color w:val="auto"/>
                <w:kern w:val="0"/>
                <w:sz w:val="18"/>
                <w:szCs w:val="18"/>
                <w:highlight w:val="none"/>
                <w:lang w:bidi="ar"/>
              </w:rPr>
            </w:pPr>
            <w:r>
              <w:rPr>
                <w:rFonts w:hint="eastAsia" w:ascii="宋体" w:hAnsi="宋体" w:cs="宋体"/>
                <w:color w:val="auto"/>
                <w:sz w:val="18"/>
                <w:szCs w:val="18"/>
                <w:highlight w:val="none"/>
                <w:lang w:val="en-US" w:eastAsia="zh-CN"/>
              </w:rPr>
              <w:t>3、</w:t>
            </w:r>
            <w:r>
              <w:rPr>
                <w:rFonts w:hint="eastAsia" w:ascii="宋体" w:hAnsi="宋体" w:cs="宋体"/>
                <w:color w:val="auto"/>
                <w:sz w:val="18"/>
                <w:szCs w:val="18"/>
                <w:highlight w:val="none"/>
              </w:rPr>
              <w:t>封边：</w:t>
            </w:r>
            <w:r>
              <w:rPr>
                <w:rFonts w:ascii="宋体" w:hAnsi="宋体" w:cs="宋体"/>
                <w:color w:val="auto"/>
                <w:sz w:val="18"/>
                <w:szCs w:val="18"/>
                <w:highlight w:val="none"/>
              </w:rPr>
              <w:t>PVC</w:t>
            </w:r>
            <w:r>
              <w:rPr>
                <w:rFonts w:hint="eastAsia" w:ascii="宋体" w:hAnsi="宋体" w:cs="宋体"/>
                <w:color w:val="auto"/>
                <w:sz w:val="18"/>
                <w:szCs w:val="18"/>
                <w:highlight w:val="none"/>
              </w:rPr>
              <w:t>（聚氯乙烯树脂）</w:t>
            </w:r>
          </w:p>
          <w:p w14:paraId="67CD2B5F">
            <w:pPr>
              <w:widowControl/>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、整体材质为木质，甲醛含量标准E1级</w:t>
            </w:r>
            <w:r>
              <w:rPr>
                <w:rFonts w:hint="eastAsia" w:ascii="宋体" w:hAnsi="宋体" w:cs="宋体"/>
                <w:color w:val="auto"/>
                <w:kern w:val="0"/>
                <w:sz w:val="18"/>
                <w:szCs w:val="18"/>
                <w:highlight w:val="none"/>
                <w:lang w:eastAsia="zh-CN" w:bidi="ar"/>
              </w:rPr>
              <w:t>。</w:t>
            </w:r>
          </w:p>
        </w:tc>
        <w:tc>
          <w:tcPr>
            <w:tcW w:w="500" w:type="dxa"/>
            <w:vAlign w:val="center"/>
          </w:tcPr>
          <w:p w14:paraId="621B67A9">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26</w:t>
            </w:r>
          </w:p>
        </w:tc>
        <w:tc>
          <w:tcPr>
            <w:tcW w:w="425" w:type="dxa"/>
            <w:vAlign w:val="center"/>
          </w:tcPr>
          <w:p w14:paraId="7A82F220">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套</w:t>
            </w:r>
          </w:p>
        </w:tc>
        <w:tc>
          <w:tcPr>
            <w:tcW w:w="3287" w:type="dxa"/>
            <w:vAlign w:val="center"/>
          </w:tcPr>
          <w:p w14:paraId="76BBA7A3">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1891665" cy="944880"/>
                  <wp:effectExtent l="0" t="0" r="13335" b="7620"/>
                  <wp:docPr id="3" name="图片 5" descr="微信图片_2020052515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微信图片_20200525151541"/>
                          <pic:cNvPicPr>
                            <a:picLocks noChangeAspect="1"/>
                          </pic:cNvPicPr>
                        </pic:nvPicPr>
                        <pic:blipFill>
                          <a:blip r:embed="rId11"/>
                          <a:stretch>
                            <a:fillRect/>
                          </a:stretch>
                        </pic:blipFill>
                        <pic:spPr>
                          <a:xfrm>
                            <a:off x="0" y="0"/>
                            <a:ext cx="1891665" cy="944880"/>
                          </a:xfrm>
                          <a:prstGeom prst="rect">
                            <a:avLst/>
                          </a:prstGeom>
                          <a:noFill/>
                          <a:ln>
                            <a:noFill/>
                          </a:ln>
                        </pic:spPr>
                      </pic:pic>
                    </a:graphicData>
                  </a:graphic>
                </wp:inline>
              </w:drawing>
            </w:r>
          </w:p>
        </w:tc>
        <w:tc>
          <w:tcPr>
            <w:tcW w:w="875" w:type="dxa"/>
            <w:vAlign w:val="center"/>
          </w:tcPr>
          <w:p w14:paraId="5C2542BF">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57AE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496" w:type="dxa"/>
            <w:vAlign w:val="center"/>
          </w:tcPr>
          <w:p w14:paraId="73A934AE">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6</w:t>
            </w:r>
          </w:p>
        </w:tc>
        <w:tc>
          <w:tcPr>
            <w:tcW w:w="675" w:type="dxa"/>
            <w:vAlign w:val="center"/>
          </w:tcPr>
          <w:p w14:paraId="56E81179">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教师及教师办公室遮光窗帘</w:t>
            </w:r>
          </w:p>
        </w:tc>
        <w:tc>
          <w:tcPr>
            <w:tcW w:w="3700" w:type="dxa"/>
            <w:vAlign w:val="center"/>
          </w:tcPr>
          <w:p w14:paraId="19854BC1">
            <w:pPr>
              <w:widowControl/>
              <w:numPr>
                <w:ilvl w:val="0"/>
                <w:numId w:val="3"/>
              </w:numPr>
              <w:jc w:val="left"/>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根据窗户尺寸定制，其中：一楼窗户尺寸：2.5米x4.2米；二楼以上窗户尺寸：2.6米x3.6米；</w:t>
            </w:r>
          </w:p>
          <w:p w14:paraId="026C67E6">
            <w:pPr>
              <w:widowControl/>
              <w:numPr>
                <w:ilvl w:val="0"/>
                <w:numId w:val="3"/>
              </w:numPr>
              <w:jc w:val="left"/>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颜色：蒂芙尼蓝，</w:t>
            </w:r>
            <w:r>
              <w:rPr>
                <w:rStyle w:val="76"/>
                <w:rFonts w:hint="eastAsia"/>
                <w:color w:val="auto"/>
                <w:sz w:val="18"/>
                <w:szCs w:val="18"/>
                <w:lang w:bidi="ar"/>
              </w:rPr>
              <w:t>布料为遮光加厚布料，</w:t>
            </w:r>
            <w:r>
              <w:rPr>
                <w:rStyle w:val="75"/>
                <w:rFonts w:hint="eastAsia"/>
                <w:color w:val="auto"/>
                <w:sz w:val="18"/>
                <w:szCs w:val="18"/>
                <w:lang w:bidi="ar"/>
              </w:rPr>
              <w:t>无异味，走线工整；</w:t>
            </w:r>
          </w:p>
          <w:p w14:paraId="5C82AFFB">
            <w:pPr>
              <w:widowControl/>
              <w:numPr>
                <w:ilvl w:val="0"/>
                <w:numId w:val="3"/>
              </w:numPr>
              <w:jc w:val="left"/>
              <w:textAlignment w:val="center"/>
              <w:rPr>
                <w:rFonts w:ascii="宋体" w:hAnsi="宋体" w:cs="宋体"/>
                <w:bCs/>
                <w:color w:val="auto"/>
                <w:spacing w:val="10"/>
                <w:position w:val="1"/>
                <w:sz w:val="18"/>
                <w:szCs w:val="18"/>
              </w:rPr>
            </w:pPr>
            <w:r>
              <w:rPr>
                <w:rStyle w:val="75"/>
                <w:rFonts w:hint="eastAsia"/>
                <w:color w:val="auto"/>
                <w:sz w:val="18"/>
                <w:szCs w:val="18"/>
                <w:lang w:bidi="ar"/>
              </w:rPr>
              <w:t>均含窗帘杆及安装。</w:t>
            </w:r>
          </w:p>
        </w:tc>
        <w:tc>
          <w:tcPr>
            <w:tcW w:w="500" w:type="dxa"/>
            <w:vAlign w:val="center"/>
          </w:tcPr>
          <w:p w14:paraId="15BCA8B7">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36</w:t>
            </w:r>
          </w:p>
        </w:tc>
        <w:tc>
          <w:tcPr>
            <w:tcW w:w="425" w:type="dxa"/>
            <w:vAlign w:val="center"/>
          </w:tcPr>
          <w:p w14:paraId="1295D5F6">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套</w:t>
            </w:r>
          </w:p>
        </w:tc>
        <w:tc>
          <w:tcPr>
            <w:tcW w:w="3287" w:type="dxa"/>
            <w:vAlign w:val="center"/>
          </w:tcPr>
          <w:p w14:paraId="7B8EC1B7">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1633855" cy="1402715"/>
                  <wp:effectExtent l="0" t="0" r="4445" b="698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2"/>
                          <a:stretch>
                            <a:fillRect/>
                          </a:stretch>
                        </pic:blipFill>
                        <pic:spPr>
                          <a:xfrm>
                            <a:off x="0" y="0"/>
                            <a:ext cx="1633855" cy="1402715"/>
                          </a:xfrm>
                          <a:prstGeom prst="rect">
                            <a:avLst/>
                          </a:prstGeom>
                          <a:noFill/>
                          <a:ln>
                            <a:noFill/>
                          </a:ln>
                        </pic:spPr>
                      </pic:pic>
                    </a:graphicData>
                  </a:graphic>
                </wp:inline>
              </w:drawing>
            </w:r>
          </w:p>
        </w:tc>
        <w:tc>
          <w:tcPr>
            <w:tcW w:w="875" w:type="dxa"/>
            <w:vAlign w:val="center"/>
          </w:tcPr>
          <w:p w14:paraId="77DBF6F2">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12BC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496" w:type="dxa"/>
            <w:vAlign w:val="center"/>
          </w:tcPr>
          <w:p w14:paraId="7F806980">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7</w:t>
            </w:r>
          </w:p>
        </w:tc>
        <w:tc>
          <w:tcPr>
            <w:tcW w:w="675" w:type="dxa"/>
            <w:vAlign w:val="center"/>
          </w:tcPr>
          <w:p w14:paraId="141A2EC6">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b/>
                <w:bCs/>
                <w:color w:val="auto"/>
                <w:sz w:val="24"/>
                <w:szCs w:val="24"/>
                <w:highlight w:val="none"/>
              </w:rPr>
              <w:t>△</w:t>
            </w:r>
            <w:r>
              <w:rPr>
                <w:rFonts w:hint="eastAsia" w:ascii="宋体" w:hAnsi="宋体" w:cs="宋体"/>
                <w:color w:val="auto"/>
                <w:kern w:val="0"/>
                <w:sz w:val="18"/>
                <w:szCs w:val="18"/>
                <w:highlight w:val="none"/>
                <w:lang w:bidi="ar"/>
              </w:rPr>
              <w:t>四楼教研室会议桌</w:t>
            </w:r>
          </w:p>
        </w:tc>
        <w:tc>
          <w:tcPr>
            <w:tcW w:w="3700" w:type="dxa"/>
            <w:vAlign w:val="center"/>
          </w:tcPr>
          <w:p w14:paraId="748F7076">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1、钢木结合会议桌</w:t>
            </w:r>
          </w:p>
          <w:p w14:paraId="36058B2E">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2、整体尺寸：≥长10米×宽1.8米×高0.76米±</w:t>
            </w:r>
            <w:r>
              <w:rPr>
                <w:rFonts w:ascii="宋体" w:hAnsi="宋体" w:cs="宋体"/>
                <w:bCs/>
                <w:color w:val="auto"/>
                <w:spacing w:val="10"/>
                <w:position w:val="1"/>
                <w:sz w:val="18"/>
                <w:szCs w:val="18"/>
                <w:highlight w:val="none"/>
              </w:rPr>
              <w:t>2mm</w:t>
            </w:r>
          </w:p>
          <w:p w14:paraId="6832F7C7">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3、桌面厚度≥45mm。</w:t>
            </w:r>
          </w:p>
          <w:p w14:paraId="59D243B7">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4、桌面上预留多个多媒体线盒及设备孔。</w:t>
            </w:r>
          </w:p>
          <w:p w14:paraId="5861C8F3">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5、下部采用优质钢架结构，钢架与桌面连接牢固、平滑、无凸起。</w:t>
            </w:r>
          </w:p>
          <w:p w14:paraId="367DBC55">
            <w:pPr>
              <w:widowControl/>
              <w:jc w:val="left"/>
              <w:textAlignment w:val="center"/>
              <w:rPr>
                <w:rFonts w:ascii="宋体" w:hAnsi="宋体" w:cs="宋体"/>
                <w:bCs/>
                <w:color w:val="auto"/>
                <w:spacing w:val="10"/>
                <w:position w:val="1"/>
                <w:sz w:val="18"/>
                <w:szCs w:val="18"/>
                <w:highlight w:val="none"/>
              </w:rPr>
            </w:pPr>
            <w:r>
              <w:rPr>
                <w:rFonts w:ascii="宋体" w:hAnsi="宋体" w:cs="宋体"/>
                <w:bCs/>
                <w:color w:val="auto"/>
                <w:spacing w:val="10"/>
                <w:position w:val="1"/>
                <w:sz w:val="18"/>
                <w:szCs w:val="18"/>
                <w:highlight w:val="none"/>
              </w:rPr>
              <w:t>6</w:t>
            </w:r>
            <w:r>
              <w:rPr>
                <w:rFonts w:hint="eastAsia" w:ascii="宋体" w:hAnsi="宋体" w:cs="宋体"/>
                <w:bCs/>
                <w:color w:val="auto"/>
                <w:spacing w:val="10"/>
                <w:position w:val="1"/>
                <w:sz w:val="18"/>
                <w:szCs w:val="18"/>
                <w:highlight w:val="none"/>
              </w:rPr>
              <w:t>、基材：刨花板</w:t>
            </w:r>
          </w:p>
          <w:p w14:paraId="5B0955D4">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7、</w:t>
            </w:r>
            <w:r>
              <w:rPr>
                <w:rFonts w:hint="eastAsia" w:ascii="宋体" w:hAnsi="宋体" w:cs="宋体"/>
                <w:bCs/>
                <w:color w:val="auto"/>
                <w:spacing w:val="10"/>
                <w:position w:val="1"/>
                <w:sz w:val="18"/>
                <w:szCs w:val="18"/>
                <w:highlight w:val="none"/>
              </w:rPr>
              <w:t>面材：浸渍胶膜纸饰面</w:t>
            </w:r>
          </w:p>
          <w:p w14:paraId="731A663A">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8、</w:t>
            </w:r>
            <w:r>
              <w:rPr>
                <w:rFonts w:hint="eastAsia" w:ascii="宋体" w:hAnsi="宋体" w:cs="宋体"/>
                <w:bCs/>
                <w:color w:val="auto"/>
                <w:spacing w:val="10"/>
                <w:position w:val="1"/>
                <w:sz w:val="18"/>
                <w:szCs w:val="18"/>
                <w:highlight w:val="none"/>
              </w:rPr>
              <w:t>桌架：钢制</w:t>
            </w:r>
          </w:p>
          <w:p w14:paraId="7455A282">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9、</w:t>
            </w:r>
            <w:r>
              <w:rPr>
                <w:rFonts w:hint="eastAsia" w:ascii="宋体" w:hAnsi="宋体" w:cs="宋体"/>
                <w:bCs/>
                <w:color w:val="auto"/>
                <w:spacing w:val="10"/>
                <w:position w:val="1"/>
                <w:sz w:val="18"/>
                <w:szCs w:val="18"/>
                <w:highlight w:val="none"/>
              </w:rPr>
              <w:t>封边：</w:t>
            </w:r>
            <w:r>
              <w:rPr>
                <w:rFonts w:ascii="宋体" w:hAnsi="宋体" w:cs="宋体"/>
                <w:bCs/>
                <w:color w:val="auto"/>
                <w:spacing w:val="10"/>
                <w:position w:val="1"/>
                <w:sz w:val="18"/>
                <w:szCs w:val="18"/>
                <w:highlight w:val="none"/>
              </w:rPr>
              <w:t>PVC</w:t>
            </w:r>
            <w:r>
              <w:rPr>
                <w:rFonts w:hint="eastAsia" w:ascii="宋体" w:hAnsi="宋体" w:cs="宋体"/>
                <w:bCs/>
                <w:color w:val="auto"/>
                <w:spacing w:val="10"/>
                <w:position w:val="1"/>
                <w:sz w:val="18"/>
                <w:szCs w:val="18"/>
                <w:highlight w:val="none"/>
              </w:rPr>
              <w:t>（聚氯乙烯树脂）</w:t>
            </w:r>
          </w:p>
        </w:tc>
        <w:tc>
          <w:tcPr>
            <w:tcW w:w="500" w:type="dxa"/>
            <w:vAlign w:val="center"/>
          </w:tcPr>
          <w:p w14:paraId="688EEB25">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1</w:t>
            </w:r>
          </w:p>
        </w:tc>
        <w:tc>
          <w:tcPr>
            <w:tcW w:w="425" w:type="dxa"/>
            <w:vAlign w:val="center"/>
          </w:tcPr>
          <w:p w14:paraId="01C593A0">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张</w:t>
            </w:r>
          </w:p>
        </w:tc>
        <w:tc>
          <w:tcPr>
            <w:tcW w:w="3287" w:type="dxa"/>
            <w:vAlign w:val="center"/>
          </w:tcPr>
          <w:p w14:paraId="64A2CDA3">
            <w:pPr>
              <w:widowControl/>
              <w:jc w:val="center"/>
              <w:textAlignment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drawing>
                <wp:inline distT="0" distB="0" distL="114300" distR="114300">
                  <wp:extent cx="2027555" cy="1140460"/>
                  <wp:effectExtent l="0" t="0" r="10795" b="2540"/>
                  <wp:docPr id="18" name="图片 7" descr="6362ca39a196c3f23e185fc02b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6362ca39a196c3f23e185fc02b09592"/>
                          <pic:cNvPicPr>
                            <a:picLocks noChangeAspect="1"/>
                          </pic:cNvPicPr>
                        </pic:nvPicPr>
                        <pic:blipFill>
                          <a:blip r:embed="rId13"/>
                          <a:stretch>
                            <a:fillRect/>
                          </a:stretch>
                        </pic:blipFill>
                        <pic:spPr>
                          <a:xfrm>
                            <a:off x="0" y="0"/>
                            <a:ext cx="2027555" cy="1140460"/>
                          </a:xfrm>
                          <a:prstGeom prst="rect">
                            <a:avLst/>
                          </a:prstGeom>
                          <a:noFill/>
                          <a:ln>
                            <a:noFill/>
                          </a:ln>
                        </pic:spPr>
                      </pic:pic>
                    </a:graphicData>
                  </a:graphic>
                </wp:inline>
              </w:drawing>
            </w:r>
          </w:p>
        </w:tc>
        <w:tc>
          <w:tcPr>
            <w:tcW w:w="875" w:type="dxa"/>
            <w:vAlign w:val="center"/>
          </w:tcPr>
          <w:p w14:paraId="4BDC9FA3">
            <w:pPr>
              <w:widowControl/>
              <w:jc w:val="center"/>
              <w:textAlignment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工业</w:t>
            </w:r>
          </w:p>
        </w:tc>
      </w:tr>
      <w:tr w14:paraId="3553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496" w:type="dxa"/>
            <w:vAlign w:val="center"/>
          </w:tcPr>
          <w:p w14:paraId="25E3A464">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8</w:t>
            </w:r>
          </w:p>
        </w:tc>
        <w:tc>
          <w:tcPr>
            <w:tcW w:w="675" w:type="dxa"/>
            <w:vAlign w:val="center"/>
          </w:tcPr>
          <w:p w14:paraId="43CC591E">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b/>
                <w:bCs/>
                <w:color w:val="auto"/>
                <w:sz w:val="24"/>
                <w:szCs w:val="24"/>
                <w:highlight w:val="none"/>
              </w:rPr>
              <w:t>△</w:t>
            </w:r>
            <w:r>
              <w:rPr>
                <w:rFonts w:hint="eastAsia" w:ascii="宋体" w:hAnsi="宋体" w:cs="宋体"/>
                <w:color w:val="auto"/>
                <w:kern w:val="0"/>
                <w:sz w:val="18"/>
                <w:szCs w:val="18"/>
                <w:highlight w:val="none"/>
                <w:lang w:bidi="ar"/>
              </w:rPr>
              <w:t>四楼教研室条形桌</w:t>
            </w:r>
          </w:p>
        </w:tc>
        <w:tc>
          <w:tcPr>
            <w:tcW w:w="3700" w:type="dxa"/>
            <w:vAlign w:val="center"/>
          </w:tcPr>
          <w:p w14:paraId="6F3825DB">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1、木质条形桌。</w:t>
            </w:r>
          </w:p>
          <w:p w14:paraId="1C2395D6">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2、其中8张尺寸：1200*400*760mm±2mm;20张尺寸：1200*350MM±2mm，高度以可放入座椅为标准；</w:t>
            </w:r>
          </w:p>
          <w:p w14:paraId="783C8369">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3</w:t>
            </w:r>
            <w:r>
              <w:rPr>
                <w:rFonts w:hint="eastAsia" w:ascii="宋体" w:hAnsi="宋体" w:cs="宋体"/>
                <w:bCs/>
                <w:color w:val="auto"/>
                <w:spacing w:val="10"/>
                <w:position w:val="1"/>
                <w:sz w:val="18"/>
                <w:szCs w:val="18"/>
                <w:highlight w:val="none"/>
              </w:rPr>
              <w:t>、桌面厚度≥25mm。</w:t>
            </w:r>
          </w:p>
          <w:p w14:paraId="67E1A7BD">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4</w:t>
            </w:r>
            <w:r>
              <w:rPr>
                <w:rFonts w:hint="eastAsia" w:ascii="宋体" w:hAnsi="宋体" w:cs="宋体"/>
                <w:bCs/>
                <w:color w:val="auto"/>
                <w:spacing w:val="10"/>
                <w:position w:val="1"/>
                <w:sz w:val="18"/>
                <w:szCs w:val="18"/>
                <w:highlight w:val="none"/>
              </w:rPr>
              <w:t>、木质结合可拼装单元。</w:t>
            </w:r>
          </w:p>
          <w:p w14:paraId="0CF03B62">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5</w:t>
            </w:r>
            <w:r>
              <w:rPr>
                <w:rFonts w:hint="eastAsia" w:ascii="宋体" w:hAnsi="宋体" w:cs="宋体"/>
                <w:bCs/>
                <w:color w:val="auto"/>
                <w:spacing w:val="10"/>
                <w:position w:val="1"/>
                <w:sz w:val="18"/>
                <w:szCs w:val="18"/>
                <w:highlight w:val="none"/>
              </w:rPr>
              <w:t>、配置前挡板、桌斗、桌面配置挡笔沿。</w:t>
            </w:r>
          </w:p>
          <w:p w14:paraId="517AFBDB">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6</w:t>
            </w:r>
            <w:r>
              <w:rPr>
                <w:rFonts w:hint="eastAsia" w:ascii="宋体" w:hAnsi="宋体" w:cs="宋体"/>
                <w:bCs/>
                <w:color w:val="auto"/>
                <w:spacing w:val="10"/>
                <w:position w:val="1"/>
                <w:sz w:val="18"/>
                <w:szCs w:val="18"/>
                <w:highlight w:val="none"/>
              </w:rPr>
              <w:t>、基材：刨花板</w:t>
            </w:r>
          </w:p>
          <w:p w14:paraId="71AFDE44">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7、</w:t>
            </w:r>
            <w:r>
              <w:rPr>
                <w:rFonts w:hint="eastAsia" w:ascii="宋体" w:hAnsi="宋体" w:cs="宋体"/>
                <w:bCs/>
                <w:color w:val="auto"/>
                <w:spacing w:val="10"/>
                <w:position w:val="1"/>
                <w:sz w:val="18"/>
                <w:szCs w:val="18"/>
                <w:highlight w:val="none"/>
              </w:rPr>
              <w:t>面材：浸渍胶膜纸饰面</w:t>
            </w:r>
          </w:p>
          <w:p w14:paraId="49E526C5">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lang w:val="en-US" w:eastAsia="zh-CN"/>
              </w:rPr>
              <w:t>8、</w:t>
            </w:r>
            <w:r>
              <w:rPr>
                <w:rFonts w:hint="eastAsia" w:ascii="宋体" w:hAnsi="宋体" w:cs="宋体"/>
                <w:bCs/>
                <w:color w:val="auto"/>
                <w:spacing w:val="10"/>
                <w:position w:val="1"/>
                <w:sz w:val="18"/>
                <w:szCs w:val="18"/>
                <w:highlight w:val="none"/>
              </w:rPr>
              <w:t>封边：</w:t>
            </w:r>
            <w:r>
              <w:rPr>
                <w:rFonts w:ascii="宋体" w:hAnsi="宋体" w:cs="宋体"/>
                <w:bCs/>
                <w:color w:val="auto"/>
                <w:spacing w:val="10"/>
                <w:position w:val="1"/>
                <w:sz w:val="18"/>
                <w:szCs w:val="18"/>
                <w:highlight w:val="none"/>
              </w:rPr>
              <w:t>PVC</w:t>
            </w:r>
            <w:r>
              <w:rPr>
                <w:rFonts w:hint="eastAsia" w:ascii="宋体" w:hAnsi="宋体" w:cs="宋体"/>
                <w:bCs/>
                <w:color w:val="auto"/>
                <w:spacing w:val="10"/>
                <w:position w:val="1"/>
                <w:sz w:val="18"/>
                <w:szCs w:val="18"/>
                <w:highlight w:val="none"/>
              </w:rPr>
              <w:t>（聚氯乙烯树脂）</w:t>
            </w:r>
          </w:p>
        </w:tc>
        <w:tc>
          <w:tcPr>
            <w:tcW w:w="500" w:type="dxa"/>
            <w:vAlign w:val="center"/>
          </w:tcPr>
          <w:p w14:paraId="59D6E958">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28</w:t>
            </w:r>
          </w:p>
        </w:tc>
        <w:tc>
          <w:tcPr>
            <w:tcW w:w="425" w:type="dxa"/>
            <w:vAlign w:val="center"/>
          </w:tcPr>
          <w:p w14:paraId="0FCEC2F9">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张</w:t>
            </w:r>
          </w:p>
        </w:tc>
        <w:tc>
          <w:tcPr>
            <w:tcW w:w="3287" w:type="dxa"/>
            <w:vAlign w:val="center"/>
          </w:tcPr>
          <w:p w14:paraId="4A5EDDB4">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sz w:val="18"/>
                <w:szCs w:val="18"/>
              </w:rPr>
              <w:drawing>
                <wp:inline distT="0" distB="0" distL="114300" distR="114300">
                  <wp:extent cx="2102485" cy="1369060"/>
                  <wp:effectExtent l="0" t="0" r="12065" b="25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4"/>
                          <a:stretch>
                            <a:fillRect/>
                          </a:stretch>
                        </pic:blipFill>
                        <pic:spPr>
                          <a:xfrm>
                            <a:off x="0" y="0"/>
                            <a:ext cx="2102485" cy="1369060"/>
                          </a:xfrm>
                          <a:prstGeom prst="rect">
                            <a:avLst/>
                          </a:prstGeom>
                          <a:noFill/>
                          <a:ln>
                            <a:noFill/>
                          </a:ln>
                        </pic:spPr>
                      </pic:pic>
                    </a:graphicData>
                  </a:graphic>
                </wp:inline>
              </w:drawing>
            </w:r>
          </w:p>
        </w:tc>
        <w:tc>
          <w:tcPr>
            <w:tcW w:w="875" w:type="dxa"/>
            <w:vAlign w:val="center"/>
          </w:tcPr>
          <w:p w14:paraId="2D62DFA8">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r w14:paraId="6C6F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0" w:hRule="atLeast"/>
        </w:trPr>
        <w:tc>
          <w:tcPr>
            <w:tcW w:w="496" w:type="dxa"/>
            <w:vAlign w:val="center"/>
          </w:tcPr>
          <w:p w14:paraId="32B5BEFC">
            <w:pPr>
              <w:jc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t>9</w:t>
            </w:r>
          </w:p>
        </w:tc>
        <w:tc>
          <w:tcPr>
            <w:tcW w:w="675" w:type="dxa"/>
            <w:vAlign w:val="center"/>
          </w:tcPr>
          <w:p w14:paraId="76AC965A">
            <w:pPr>
              <w:widowControl/>
              <w:jc w:val="center"/>
              <w:textAlignment w:val="center"/>
              <w:rPr>
                <w:rFonts w:ascii="宋体" w:hAnsi="宋体" w:cs="宋体"/>
                <w:bCs/>
                <w:color w:val="auto"/>
                <w:spacing w:val="10"/>
                <w:position w:val="1"/>
                <w:sz w:val="18"/>
                <w:szCs w:val="18"/>
                <w:highlight w:val="none"/>
              </w:rPr>
            </w:pPr>
            <w:r>
              <w:rPr>
                <w:rFonts w:hint="eastAsia" w:ascii="宋体" w:hAnsi="宋体" w:cs="宋体"/>
                <w:color w:val="auto"/>
                <w:kern w:val="0"/>
                <w:sz w:val="18"/>
                <w:szCs w:val="18"/>
                <w:highlight w:val="none"/>
                <w:lang w:bidi="ar"/>
              </w:rPr>
              <w:t>四楼教研室会议椅</w:t>
            </w:r>
          </w:p>
        </w:tc>
        <w:tc>
          <w:tcPr>
            <w:tcW w:w="3700" w:type="dxa"/>
            <w:vAlign w:val="center"/>
          </w:tcPr>
          <w:p w14:paraId="2BFFA996">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1、整体尺寸:≧116CM*64CM*60CM±</w:t>
            </w:r>
            <w:r>
              <w:rPr>
                <w:rFonts w:ascii="宋体" w:hAnsi="宋体" w:cs="宋体"/>
                <w:bCs/>
                <w:color w:val="auto"/>
                <w:spacing w:val="10"/>
                <w:position w:val="1"/>
                <w:sz w:val="18"/>
                <w:szCs w:val="18"/>
                <w:highlight w:val="none"/>
              </w:rPr>
              <w:t>2mm</w:t>
            </w:r>
            <w:r>
              <w:rPr>
                <w:rFonts w:hint="eastAsia" w:ascii="宋体" w:hAnsi="宋体" w:cs="宋体"/>
                <w:bCs/>
                <w:color w:val="auto"/>
                <w:spacing w:val="10"/>
                <w:position w:val="1"/>
                <w:sz w:val="18"/>
                <w:szCs w:val="18"/>
                <w:highlight w:val="none"/>
              </w:rPr>
              <w:t>。坐深≧50CM；坐高≧45CM；</w:t>
            </w:r>
          </w:p>
          <w:p w14:paraId="4E43668E">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2、弓形结构。</w:t>
            </w:r>
          </w:p>
          <w:p w14:paraId="3FFD20C4">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3、扶手与脚架一体结构。</w:t>
            </w:r>
          </w:p>
          <w:p w14:paraId="7267F45E">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4、PU盖板扶手。</w:t>
            </w:r>
          </w:p>
          <w:p w14:paraId="5B789154">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5、椅架：钢制，主体≧20*40mm扁圆管，壁厚≧20mm，内有≧20mm穿管，表面电镀处理。</w:t>
            </w:r>
          </w:p>
          <w:p w14:paraId="3685ADE5">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6、覆面：超纤皮，坐垫下面有U型底托，承重高，不易变形。</w:t>
            </w:r>
          </w:p>
          <w:p w14:paraId="6207FDF0">
            <w:pPr>
              <w:widowControl/>
              <w:jc w:val="left"/>
              <w:textAlignment w:val="center"/>
              <w:rPr>
                <w:rFonts w:hint="eastAsia"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7、填充：泡棉或海绵与蓬松棉。</w:t>
            </w:r>
          </w:p>
          <w:p w14:paraId="01B9D388">
            <w:pPr>
              <w:widowControl/>
              <w:jc w:val="left"/>
              <w:textAlignment w:val="center"/>
              <w:rPr>
                <w:rFonts w:ascii="宋体" w:hAnsi="宋体" w:cs="宋体"/>
                <w:bCs/>
                <w:color w:val="auto"/>
                <w:spacing w:val="10"/>
                <w:position w:val="1"/>
                <w:sz w:val="18"/>
                <w:szCs w:val="18"/>
                <w:highlight w:val="none"/>
              </w:rPr>
            </w:pPr>
            <w:r>
              <w:rPr>
                <w:rFonts w:hint="eastAsia" w:ascii="宋体" w:hAnsi="宋体" w:cs="宋体"/>
                <w:bCs/>
                <w:color w:val="auto"/>
                <w:spacing w:val="10"/>
                <w:position w:val="1"/>
                <w:sz w:val="18"/>
                <w:szCs w:val="18"/>
                <w:highlight w:val="none"/>
              </w:rPr>
              <w:t>8、衬板：弯曲木胶合板，厚度≥12mm。</w:t>
            </w:r>
          </w:p>
        </w:tc>
        <w:tc>
          <w:tcPr>
            <w:tcW w:w="500" w:type="dxa"/>
            <w:vAlign w:val="center"/>
          </w:tcPr>
          <w:p w14:paraId="372F8E1D">
            <w:pPr>
              <w:widowControl/>
              <w:jc w:val="center"/>
              <w:textAlignment w:val="center"/>
              <w:rPr>
                <w:rFonts w:ascii="宋体" w:hAnsi="宋体" w:cs="宋体"/>
                <w:bCs/>
                <w:color w:val="auto"/>
                <w:spacing w:val="10"/>
                <w:position w:val="1"/>
                <w:sz w:val="18"/>
                <w:szCs w:val="18"/>
              </w:rPr>
            </w:pPr>
            <w:r>
              <w:rPr>
                <w:rFonts w:hint="eastAsia" w:ascii="宋体" w:hAnsi="宋体" w:cs="宋体"/>
                <w:color w:val="auto"/>
                <w:kern w:val="0"/>
                <w:sz w:val="18"/>
                <w:szCs w:val="18"/>
                <w:lang w:bidi="ar"/>
              </w:rPr>
              <w:t>56</w:t>
            </w:r>
          </w:p>
        </w:tc>
        <w:tc>
          <w:tcPr>
            <w:tcW w:w="425" w:type="dxa"/>
            <w:vAlign w:val="center"/>
          </w:tcPr>
          <w:p w14:paraId="5B158A68">
            <w:pPr>
              <w:widowControl/>
              <w:jc w:val="center"/>
              <w:textAlignment w:val="center"/>
              <w:rPr>
                <w:rFonts w:ascii="宋体" w:hAnsi="宋体" w:cs="宋体"/>
                <w:color w:val="auto"/>
                <w:kern w:val="0"/>
                <w:sz w:val="18"/>
                <w:szCs w:val="18"/>
                <w:lang w:bidi="ar"/>
              </w:rPr>
            </w:pPr>
            <w:r>
              <w:rPr>
                <w:rFonts w:hint="eastAsia" w:ascii="宋体" w:hAnsi="宋体" w:cs="宋体"/>
                <w:color w:val="auto"/>
                <w:kern w:val="0"/>
                <w:sz w:val="18"/>
                <w:szCs w:val="18"/>
                <w:lang w:bidi="ar"/>
              </w:rPr>
              <w:t>把</w:t>
            </w:r>
          </w:p>
        </w:tc>
        <w:tc>
          <w:tcPr>
            <w:tcW w:w="3287" w:type="dxa"/>
            <w:vAlign w:val="center"/>
          </w:tcPr>
          <w:p w14:paraId="59458CFC">
            <w:pPr>
              <w:widowControl/>
              <w:jc w:val="center"/>
              <w:textAlignment w:val="center"/>
              <w:rPr>
                <w:rFonts w:ascii="宋体" w:hAnsi="宋体" w:cs="宋体"/>
                <w:bCs/>
                <w:color w:val="auto"/>
                <w:spacing w:val="10"/>
                <w:position w:val="1"/>
                <w:sz w:val="18"/>
                <w:szCs w:val="18"/>
              </w:rPr>
            </w:pPr>
            <w:r>
              <w:rPr>
                <w:rFonts w:hint="eastAsia" w:ascii="宋体" w:hAnsi="宋体" w:cs="宋体"/>
                <w:bCs/>
                <w:color w:val="auto"/>
                <w:spacing w:val="10"/>
                <w:position w:val="1"/>
                <w:sz w:val="18"/>
                <w:szCs w:val="18"/>
              </w:rPr>
              <w:drawing>
                <wp:inline distT="0" distB="0" distL="114300" distR="114300">
                  <wp:extent cx="1948815" cy="1866900"/>
                  <wp:effectExtent l="0" t="0" r="13335" b="0"/>
                  <wp:docPr id="20" name="图片 9" descr="bef3db484b7450adff0349691e7d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bef3db484b7450adff0349691e7ddc5"/>
                          <pic:cNvPicPr>
                            <a:picLocks noChangeAspect="1"/>
                          </pic:cNvPicPr>
                        </pic:nvPicPr>
                        <pic:blipFill>
                          <a:blip r:embed="rId15"/>
                          <a:stretch>
                            <a:fillRect/>
                          </a:stretch>
                        </pic:blipFill>
                        <pic:spPr>
                          <a:xfrm>
                            <a:off x="0" y="0"/>
                            <a:ext cx="1948815" cy="1866900"/>
                          </a:xfrm>
                          <a:prstGeom prst="rect">
                            <a:avLst/>
                          </a:prstGeom>
                          <a:noFill/>
                          <a:ln>
                            <a:noFill/>
                          </a:ln>
                        </pic:spPr>
                      </pic:pic>
                    </a:graphicData>
                  </a:graphic>
                </wp:inline>
              </w:drawing>
            </w:r>
          </w:p>
        </w:tc>
        <w:tc>
          <w:tcPr>
            <w:tcW w:w="875" w:type="dxa"/>
            <w:vAlign w:val="center"/>
          </w:tcPr>
          <w:p w14:paraId="5AFF7A0C">
            <w:pPr>
              <w:widowControl/>
              <w:jc w:val="center"/>
              <w:textAlignment w:val="center"/>
              <w:rPr>
                <w:rFonts w:ascii="宋体" w:hAnsi="宋体" w:cs="宋体"/>
                <w:color w:val="auto"/>
                <w:sz w:val="18"/>
                <w:szCs w:val="18"/>
              </w:rPr>
            </w:pPr>
            <w:r>
              <w:rPr>
                <w:rFonts w:hint="eastAsia" w:ascii="宋体" w:hAnsi="宋体" w:cs="宋体"/>
                <w:color w:val="auto"/>
                <w:sz w:val="18"/>
                <w:szCs w:val="18"/>
              </w:rPr>
              <w:t>工业</w:t>
            </w:r>
          </w:p>
        </w:tc>
      </w:tr>
    </w:tbl>
    <w:p w14:paraId="29439118">
      <w:pPr>
        <w:rPr>
          <w:rFonts w:ascii="宋体" w:hAnsi="宋体" w:cs="宋体"/>
          <w:b/>
          <w:bCs/>
          <w:color w:val="auto"/>
          <w:sz w:val="18"/>
          <w:szCs w:val="18"/>
        </w:rPr>
      </w:pPr>
    </w:p>
    <w:p w14:paraId="7328A58A">
      <w:pPr>
        <w:rPr>
          <w:rFonts w:ascii="宋体" w:hAnsi="宋体" w:cs="宋体"/>
          <w:b/>
          <w:bCs/>
          <w:color w:val="auto"/>
          <w:kern w:val="0"/>
          <w:sz w:val="32"/>
          <w:szCs w:val="32"/>
        </w:rPr>
      </w:pPr>
      <w:r>
        <w:rPr>
          <w:rFonts w:hint="eastAsia" w:ascii="宋体" w:hAnsi="宋体" w:cs="宋体"/>
          <w:b/>
          <w:bCs/>
          <w:color w:val="auto"/>
          <w:sz w:val="28"/>
          <w:szCs w:val="28"/>
        </w:rPr>
        <w:t>备注：二标段核心产品为：序号2教师办公椅。</w:t>
      </w:r>
    </w:p>
    <w:p w14:paraId="50A78FE2">
      <w:pPr>
        <w:widowControl/>
        <w:ind w:firstLine="321" w:firstLineChars="100"/>
        <w:jc w:val="center"/>
        <w:rPr>
          <w:rFonts w:ascii="宋体" w:hAnsi="宋体" w:cs="宋体"/>
          <w:b/>
          <w:bCs/>
          <w:color w:val="auto"/>
          <w:sz w:val="32"/>
          <w:szCs w:val="32"/>
        </w:rPr>
      </w:pPr>
      <w:r>
        <w:rPr>
          <w:rFonts w:hint="eastAsia" w:ascii="宋体" w:hAnsi="宋体" w:cs="宋体"/>
          <w:b/>
          <w:bCs/>
          <w:color w:val="auto"/>
          <w:kern w:val="0"/>
          <w:sz w:val="32"/>
          <w:szCs w:val="32"/>
        </w:rPr>
        <w:t>三标段：其他信息化设备清单及规格参数</w:t>
      </w:r>
    </w:p>
    <w:tbl>
      <w:tblPr>
        <w:tblStyle w:val="30"/>
        <w:tblW w:w="9650"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680"/>
        <w:gridCol w:w="6285"/>
        <w:gridCol w:w="700"/>
        <w:gridCol w:w="632"/>
        <w:gridCol w:w="768"/>
      </w:tblGrid>
      <w:tr w14:paraId="4442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36D970C5">
            <w:pPr>
              <w:widowControl/>
              <w:spacing w:line="280" w:lineRule="exact"/>
              <w:jc w:val="center"/>
              <w:rPr>
                <w:rFonts w:ascii="宋体" w:hAnsi="宋体" w:cs="宋体"/>
                <w:b/>
                <w:bCs/>
                <w:color w:val="auto"/>
                <w:kern w:val="0"/>
                <w:sz w:val="28"/>
                <w:szCs w:val="28"/>
              </w:rPr>
            </w:pPr>
            <w:r>
              <w:rPr>
                <w:rFonts w:hint="eastAsia" w:ascii="宋体" w:hAnsi="宋体" w:cs="宋体"/>
                <w:b/>
                <w:bCs/>
                <w:color w:val="auto"/>
                <w:kern w:val="0"/>
                <w:sz w:val="28"/>
                <w:szCs w:val="28"/>
              </w:rPr>
              <w:t>一、数字化教学设备清单</w:t>
            </w:r>
          </w:p>
        </w:tc>
      </w:tr>
      <w:tr w14:paraId="02CDA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trPr>
        <w:tc>
          <w:tcPr>
            <w:tcW w:w="585" w:type="dxa"/>
            <w:shd w:val="clear" w:color="000000" w:fill="FFFFFF"/>
            <w:vAlign w:val="center"/>
          </w:tcPr>
          <w:p w14:paraId="55468BA5">
            <w:pPr>
              <w:jc w:val="center"/>
              <w:rPr>
                <w:rFonts w:ascii="宋体" w:hAnsi="宋体" w:cs="宋体"/>
                <w:color w:val="auto"/>
                <w:kern w:val="0"/>
                <w:sz w:val="28"/>
                <w:szCs w:val="28"/>
              </w:rPr>
            </w:pPr>
            <w:r>
              <w:rPr>
                <w:rFonts w:hint="eastAsia" w:ascii="宋体" w:hAnsi="宋体" w:cs="宋体"/>
                <w:b/>
                <w:color w:val="auto"/>
                <w:spacing w:val="10"/>
                <w:position w:val="1"/>
                <w:sz w:val="24"/>
                <w:szCs w:val="23"/>
              </w:rPr>
              <w:t>序     号</w:t>
            </w:r>
          </w:p>
        </w:tc>
        <w:tc>
          <w:tcPr>
            <w:tcW w:w="680" w:type="dxa"/>
            <w:shd w:val="clear" w:color="000000" w:fill="FFFFFF"/>
            <w:vAlign w:val="center"/>
          </w:tcPr>
          <w:p w14:paraId="64E2521C">
            <w:pPr>
              <w:jc w:val="center"/>
              <w:rPr>
                <w:rFonts w:ascii="宋体" w:hAnsi="宋体" w:cs="宋体"/>
                <w:color w:val="auto"/>
                <w:kern w:val="0"/>
                <w:sz w:val="28"/>
                <w:szCs w:val="28"/>
              </w:rPr>
            </w:pPr>
            <w:r>
              <w:rPr>
                <w:rFonts w:hint="eastAsia" w:ascii="宋体" w:hAnsi="宋体" w:cs="宋体"/>
                <w:b/>
                <w:color w:val="auto"/>
                <w:spacing w:val="10"/>
                <w:position w:val="1"/>
                <w:sz w:val="24"/>
                <w:szCs w:val="23"/>
              </w:rPr>
              <w:t>名称</w:t>
            </w:r>
          </w:p>
        </w:tc>
        <w:tc>
          <w:tcPr>
            <w:tcW w:w="6285" w:type="dxa"/>
            <w:shd w:val="clear" w:color="000000" w:fill="FFFFFF"/>
            <w:vAlign w:val="center"/>
          </w:tcPr>
          <w:p w14:paraId="56A85D14">
            <w:pPr>
              <w:jc w:val="center"/>
              <w:rPr>
                <w:rFonts w:ascii="宋体" w:hAnsi="宋体" w:cs="宋体"/>
                <w:color w:val="auto"/>
                <w:kern w:val="0"/>
                <w:sz w:val="28"/>
                <w:szCs w:val="28"/>
              </w:rPr>
            </w:pPr>
            <w:r>
              <w:rPr>
                <w:rFonts w:hint="eastAsia" w:ascii="宋体" w:hAnsi="宋体" w:cs="宋体"/>
                <w:b/>
                <w:color w:val="auto"/>
                <w:spacing w:val="10"/>
                <w:position w:val="1"/>
                <w:sz w:val="24"/>
                <w:szCs w:val="23"/>
              </w:rPr>
              <w:t>规格及参数</w:t>
            </w:r>
          </w:p>
        </w:tc>
        <w:tc>
          <w:tcPr>
            <w:tcW w:w="700" w:type="dxa"/>
            <w:shd w:val="clear" w:color="000000" w:fill="FFFFFF"/>
            <w:vAlign w:val="center"/>
          </w:tcPr>
          <w:p w14:paraId="32D9075E">
            <w:pPr>
              <w:jc w:val="center"/>
              <w:rPr>
                <w:rFonts w:ascii="宋体" w:hAnsi="宋体" w:cs="宋体"/>
                <w:color w:val="auto"/>
                <w:kern w:val="0"/>
                <w:sz w:val="28"/>
                <w:szCs w:val="28"/>
              </w:rPr>
            </w:pPr>
            <w:r>
              <w:rPr>
                <w:rFonts w:hint="eastAsia" w:ascii="宋体" w:hAnsi="宋体" w:cs="宋体"/>
                <w:b/>
                <w:color w:val="auto"/>
                <w:spacing w:val="10"/>
                <w:position w:val="1"/>
                <w:sz w:val="24"/>
                <w:szCs w:val="23"/>
              </w:rPr>
              <w:t>单位</w:t>
            </w:r>
          </w:p>
        </w:tc>
        <w:tc>
          <w:tcPr>
            <w:tcW w:w="632" w:type="dxa"/>
            <w:shd w:val="clear" w:color="000000" w:fill="FFFFFF"/>
            <w:vAlign w:val="center"/>
          </w:tcPr>
          <w:p w14:paraId="78365AF0">
            <w:pPr>
              <w:jc w:val="center"/>
              <w:rPr>
                <w:rFonts w:ascii="宋体" w:hAnsi="宋体" w:cs="宋体"/>
                <w:color w:val="auto"/>
                <w:kern w:val="0"/>
                <w:sz w:val="28"/>
                <w:szCs w:val="28"/>
              </w:rPr>
            </w:pPr>
            <w:r>
              <w:rPr>
                <w:rFonts w:hint="eastAsia" w:ascii="宋体" w:hAnsi="宋体" w:cs="宋体"/>
                <w:b/>
                <w:color w:val="auto"/>
                <w:spacing w:val="10"/>
                <w:position w:val="1"/>
                <w:sz w:val="24"/>
                <w:szCs w:val="23"/>
              </w:rPr>
              <w:t>数量</w:t>
            </w:r>
          </w:p>
        </w:tc>
        <w:tc>
          <w:tcPr>
            <w:tcW w:w="768" w:type="dxa"/>
            <w:shd w:val="clear" w:color="000000" w:fill="FFFFFF"/>
          </w:tcPr>
          <w:p w14:paraId="058E7B16">
            <w:pPr>
              <w:jc w:val="center"/>
              <w:rPr>
                <w:rFonts w:ascii="宋体" w:hAnsi="宋体" w:cs="宋体"/>
                <w:color w:val="auto"/>
                <w:kern w:val="0"/>
                <w:sz w:val="28"/>
                <w:szCs w:val="28"/>
              </w:rPr>
            </w:pPr>
            <w:r>
              <w:rPr>
                <w:rFonts w:hint="eastAsia" w:ascii="宋体" w:hAnsi="宋体" w:cs="宋体"/>
                <w:b/>
                <w:color w:val="auto"/>
                <w:spacing w:val="10"/>
                <w:position w:val="1"/>
              </w:rPr>
              <w:t>采购标的对应的行业</w:t>
            </w:r>
          </w:p>
        </w:tc>
      </w:tr>
      <w:tr w14:paraId="0646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85" w:type="dxa"/>
            <w:shd w:val="clear" w:color="000000" w:fill="FFFFFF"/>
            <w:vAlign w:val="center"/>
          </w:tcPr>
          <w:p w14:paraId="239DDCFC">
            <w:pPr>
              <w:widowControl/>
              <w:spacing w:line="280" w:lineRule="exact"/>
              <w:jc w:val="center"/>
              <w:rPr>
                <w:rFonts w:ascii="宋体" w:hAnsi="宋体" w:cs="宋体"/>
                <w:color w:val="auto"/>
                <w:kern w:val="0"/>
                <w:sz w:val="18"/>
                <w:szCs w:val="18"/>
              </w:rPr>
            </w:pPr>
            <w:bookmarkStart w:id="4" w:name="_Hlk206606972"/>
            <w:r>
              <w:rPr>
                <w:rFonts w:hint="eastAsia" w:ascii="宋体" w:hAnsi="宋体" w:cs="宋体"/>
                <w:color w:val="auto"/>
                <w:kern w:val="0"/>
                <w:sz w:val="18"/>
                <w:szCs w:val="18"/>
              </w:rPr>
              <w:t>1</w:t>
            </w:r>
          </w:p>
        </w:tc>
        <w:tc>
          <w:tcPr>
            <w:tcW w:w="680" w:type="dxa"/>
            <w:shd w:val="clear" w:color="000000" w:fill="FFFFFF"/>
            <w:vAlign w:val="center"/>
          </w:tcPr>
          <w:p w14:paraId="7077100A">
            <w:pPr>
              <w:widowControl/>
              <w:spacing w:line="280" w:lineRule="exact"/>
              <w:jc w:val="center"/>
              <w:rPr>
                <w:rFonts w:ascii="宋体" w:hAnsi="宋体" w:cs="宋体"/>
                <w:color w:val="auto"/>
                <w:kern w:val="0"/>
                <w:sz w:val="18"/>
                <w:szCs w:val="18"/>
              </w:rPr>
            </w:pPr>
            <w:bookmarkStart w:id="5" w:name="OLE_LINK11"/>
            <w:bookmarkStart w:id="6" w:name="OLE_LINK12"/>
            <w:r>
              <w:rPr>
                <w:rFonts w:hint="eastAsia" w:ascii="宋体" w:hAnsi="宋体" w:cs="宋体"/>
                <w:color w:val="auto"/>
                <w:kern w:val="0"/>
                <w:sz w:val="18"/>
                <w:szCs w:val="18"/>
              </w:rPr>
              <w:t>一体式教学终端</w:t>
            </w:r>
            <w:bookmarkEnd w:id="5"/>
            <w:bookmarkEnd w:id="6"/>
          </w:p>
        </w:tc>
        <w:tc>
          <w:tcPr>
            <w:tcW w:w="6285" w:type="dxa"/>
            <w:shd w:val="clear" w:color="000000" w:fill="FFFFFF"/>
            <w:vAlign w:val="center"/>
          </w:tcPr>
          <w:p w14:paraId="770E786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硬件内容要求：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 CPU采用Intel十三代 Core i5处理器或以上，处理器核数≧8，线程数≧12，主频≧2.1GHz，三级缓存≧12MB。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Intel集成显卡， GPU处理单元数≧48个，最大主频≧1.4GHz。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内存：≧8GB So-DIMM DDR4 3200MT/s。</w:t>
            </w:r>
            <w:r>
              <w:rPr>
                <w:rFonts w:hint="eastAsia" w:ascii="宋体" w:hAnsi="宋体" w:cs="宋体"/>
                <w:color w:val="auto"/>
                <w:sz w:val="18"/>
                <w:szCs w:val="18"/>
                <w:highlight w:val="none"/>
              </w:rPr>
              <w:t>内存插槽</w:t>
            </w:r>
            <w:r>
              <w:rPr>
                <w:rFonts w:hint="eastAsia" w:ascii="宋体" w:hAnsi="宋体" w:cs="宋体"/>
                <w:color w:val="auto"/>
                <w:kern w:val="0"/>
                <w:sz w:val="18"/>
                <w:szCs w:val="18"/>
                <w:highlight w:val="none"/>
              </w:rPr>
              <w:t>≧2，</w:t>
            </w:r>
            <w:r>
              <w:rPr>
                <w:rFonts w:hint="eastAsia" w:ascii="宋体" w:hAnsi="宋体" w:cs="宋体"/>
                <w:color w:val="auto"/>
                <w:sz w:val="18"/>
                <w:szCs w:val="18"/>
                <w:highlight w:val="none"/>
              </w:rPr>
              <w:t>内存插槽扩展最大容量</w:t>
            </w:r>
            <w:r>
              <w:rPr>
                <w:rFonts w:hint="eastAsia" w:ascii="宋体" w:hAnsi="宋体" w:cs="宋体"/>
                <w:color w:val="auto"/>
                <w:kern w:val="0"/>
                <w:sz w:val="18"/>
                <w:szCs w:val="18"/>
                <w:highlight w:val="none"/>
              </w:rPr>
              <w:t>≧32</w:t>
            </w:r>
            <w:r>
              <w:rPr>
                <w:rFonts w:hint="eastAsia" w:ascii="宋体" w:hAnsi="宋体" w:cs="宋体"/>
                <w:color w:val="auto"/>
                <w:sz w:val="18"/>
                <w:szCs w:val="18"/>
                <w:highlight w:val="none"/>
              </w:rPr>
              <w:t>GB</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rPr>
              <w:t>4. 存储：≧256GB M.2 SSD Nvme硬盘。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网络通信：10/100/1000Mbps自适应网卡。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侧面接口：USB 3.0≧1个；Type C≧1个；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后置接口：USB 3.0≧2个；USB 2.0≧3个。所有USB接口支持关机充电。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接口：3.5mm二合一音频接口≧1个，麦克风输入≧1个，音频输出≧1个。HDMI输出接口≧1，RJ45≧1。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机身机构具备网口锁，可通过配件工具解锁。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机身具有凹槽设计，可定位耳机挂钩安装位置。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≧23.8英寸IPS显示屏幕，屏幕分辨率≧1920*1080，屏幕亮度≧250cd/m2，屏幕比例16：9。</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屏占比≧90%。显示屏幕sRGB色域覆盖率≧99%。</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整机集成2*3W扬声器，双阵列麦克风。</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 整机摄像头分辨率≧1920X1080。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 显示屏幕支持+15°～-5°俯仰调节。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软件内容要求：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1.登录方式多样性：支持账号/密码和手机微信扫码两种登录方式。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2.终端关联设备：支持通过微信扫码进行设备与学校的绑定，设置当前设备类型与归属用户。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3.离线暂存：支持一次发送文件给多个接收端设备；接收端设备离线时文件支 持暂存云端，等接收端设备在线后进行自动下载。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4.▲自动下载：支持接收端设备在线状态下自动接收终端应用软件发送的文件。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自动清理：支持自动清理超过 14 天的文件。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5.发送到班级：支持用户在资料夹中把多个文件发送至班班通设备中，发送的文件不限格式，接收端自动下载该文件。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远程关联：支持学校管理员手机扫描班班通设备上二维码，选择学校并输入设备的名称，班班通设备即可完成关联学校；支持学校管理员对已关联的设备进行修改设备名称。普通老师加入该学校后可在终端应用软件中看到该设备并可远程创建接收夹。</w:t>
            </w:r>
          </w:p>
          <w:p w14:paraId="0279F8A5">
            <w:pPr>
              <w:widowControl/>
              <w:spacing w:line="280" w:lineRule="exact"/>
              <w:jc w:val="left"/>
              <w:rPr>
                <w:rFonts w:ascii="宋体" w:hAnsi="宋体" w:cs="宋体"/>
                <w:color w:val="auto"/>
                <w:kern w:val="0"/>
                <w:sz w:val="18"/>
                <w:szCs w:val="18"/>
              </w:rPr>
            </w:pPr>
            <w:r>
              <w:rPr>
                <w:rFonts w:hint="eastAsia" w:ascii="宋体" w:hAnsi="宋体" w:eastAsia="宋体" w:cs="宋体"/>
                <w:color w:val="auto"/>
                <w:kern w:val="0"/>
                <w:sz w:val="18"/>
                <w:szCs w:val="18"/>
                <w:highlight w:val="none"/>
              </w:rPr>
              <w:t>7</w:t>
            </w:r>
            <w:r>
              <w:rPr>
                <w:rFonts w:hint="eastAsia" w:ascii="宋体" w:hAnsi="宋体" w:eastAsia="宋体" w:cs="宋体"/>
                <w:b w:val="0"/>
                <w:bCs w:val="0"/>
                <w:color w:val="auto"/>
                <w:kern w:val="0"/>
                <w:sz w:val="18"/>
                <w:szCs w:val="18"/>
                <w:highlight w:val="none"/>
              </w:rPr>
              <w:t>.</w:t>
            </w:r>
            <w:r>
              <w:rPr>
                <w:rFonts w:hint="eastAsia" w:ascii="宋体" w:hAnsi="宋体" w:eastAsia="宋体" w:cs="宋体"/>
                <w:b w:val="0"/>
                <w:bCs w:val="0"/>
                <w:color w:val="auto"/>
                <w:sz w:val="18"/>
                <w:szCs w:val="18"/>
                <w:highlight w:val="none"/>
              </w:rPr>
              <w:t>支持产品延保≥3 年，提供备件服务能力≥6 年（自购买之日起），提供供应链稳定承诺书，确保产品的部件在产品服务周期内稳定供货。</w:t>
            </w:r>
          </w:p>
        </w:tc>
        <w:tc>
          <w:tcPr>
            <w:tcW w:w="700" w:type="dxa"/>
            <w:shd w:val="clear" w:color="000000" w:fill="FFFFFF"/>
            <w:vAlign w:val="center"/>
          </w:tcPr>
          <w:p w14:paraId="545809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4B08D1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768" w:type="dxa"/>
            <w:shd w:val="clear" w:color="000000" w:fill="FFFFFF"/>
            <w:vAlign w:val="center"/>
          </w:tcPr>
          <w:p w14:paraId="2BDD9E3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bookmarkEnd w:id="4"/>
      <w:tr w14:paraId="0D53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FFC49A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680" w:type="dxa"/>
            <w:shd w:val="clear" w:color="000000" w:fill="FFFFFF"/>
            <w:vAlign w:val="center"/>
          </w:tcPr>
          <w:p w14:paraId="20E2929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打印机</w:t>
            </w:r>
          </w:p>
        </w:tc>
        <w:tc>
          <w:tcPr>
            <w:tcW w:w="6285" w:type="dxa"/>
            <w:shd w:val="clear" w:color="000000" w:fill="FFFFFF"/>
            <w:vAlign w:val="center"/>
          </w:tcPr>
          <w:p w14:paraId="57A86EB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1.黑白激光多功能一体机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2.打印/复印/扫描 最大处理幅面 ≧A4</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3.支持无线/有线网络打印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4.黑白打印速度 普通模式：40页/分钟，A5横向普通模式：63页/分钟，双面打印：34面/分钟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5.打印分辨率 最佳：精细1200*1200dpi，技术：惠普FastRes1200，普惠ProRes1200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6.首页打印时间 就绪：6.3秒，双面模式：8.8秒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7.月打印负荷 80000页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8.复印速度 40cpm，连续复印 1-999页，缩放范围 25-400%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9.扫描速度 黑白普通：29页/分钟，46面/分钟，扫描尺寸 平板最大：216*297mm。</w:t>
            </w:r>
          </w:p>
        </w:tc>
        <w:tc>
          <w:tcPr>
            <w:tcW w:w="700" w:type="dxa"/>
            <w:shd w:val="clear" w:color="000000" w:fill="FFFFFF"/>
            <w:vAlign w:val="center"/>
          </w:tcPr>
          <w:p w14:paraId="2C8FB91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F73A0B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2CCDF5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817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585" w:type="dxa"/>
            <w:shd w:val="clear" w:color="000000" w:fill="FFFFFF"/>
            <w:vAlign w:val="center"/>
          </w:tcPr>
          <w:p w14:paraId="27A32F0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680" w:type="dxa"/>
            <w:shd w:val="clear" w:color="000000" w:fill="FFFFFF"/>
            <w:vAlign w:val="center"/>
          </w:tcPr>
          <w:p w14:paraId="2CDC562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打印机</w:t>
            </w:r>
          </w:p>
        </w:tc>
        <w:tc>
          <w:tcPr>
            <w:tcW w:w="6285" w:type="dxa"/>
            <w:shd w:val="clear" w:color="000000" w:fill="FFFFFF"/>
            <w:vAlign w:val="center"/>
          </w:tcPr>
          <w:p w14:paraId="66E250A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黑白激光多功能一体机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打印/复印/扫描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最大处理幅面：≧A4</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耗材类型：鼓粉分离</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黑白打印速度：≧18ppm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打印分辨率：600×600dpi。</w:t>
            </w:r>
          </w:p>
        </w:tc>
        <w:tc>
          <w:tcPr>
            <w:tcW w:w="700" w:type="dxa"/>
            <w:shd w:val="clear" w:color="000000" w:fill="FFFFFF"/>
            <w:vAlign w:val="center"/>
          </w:tcPr>
          <w:p w14:paraId="753257B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E2CB0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w:t>
            </w:r>
          </w:p>
        </w:tc>
        <w:tc>
          <w:tcPr>
            <w:tcW w:w="768" w:type="dxa"/>
            <w:shd w:val="clear" w:color="000000" w:fill="FFFFFF"/>
            <w:vAlign w:val="center"/>
          </w:tcPr>
          <w:p w14:paraId="0787F62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5CA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6BE5C1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680" w:type="dxa"/>
            <w:shd w:val="clear" w:color="000000" w:fill="FFFFFF"/>
            <w:vAlign w:val="center"/>
          </w:tcPr>
          <w:p w14:paraId="6C2F175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教学一体机</w:t>
            </w:r>
          </w:p>
        </w:tc>
        <w:tc>
          <w:tcPr>
            <w:tcW w:w="6285" w:type="dxa"/>
            <w:shd w:val="clear" w:color="000000" w:fill="FFFFFF"/>
            <w:vAlign w:val="center"/>
          </w:tcPr>
          <w:p w14:paraId="15AA659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一、屏体内容要求：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1.整机屏幕需采用 UHD 超高清 A 规 LED 液晶屏，屏幕显示尺寸≧86英寸，显示比例 16:9，屏幕图像分辨率≧3840*2160。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2.液晶显示层与钢化玻璃层需采用零贴合设计。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3.整机需支持前置物理接口不少于 5个，所有接口均采用非转接方式，包含 ≧1 路 HDMI 接口、≧2 路双通道 USB3.0 接口(Windows 和 Android 系统均能被识别）、≧1 路 Type-C 接口（支持全功能PD 15W）、≧1 路 USB-Type-B接口（Touch）。</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4.整机后置物理接口需不少于 11 个，包含≧2路HDMI 2.0、≧2路USB2.0、≧1路RS232、≧1路RJ45、≧1路TOUCH  USB(触控输出接口)、≧1路mic in 3.5mm、≧1路LINE out 3.5mm，≧1路Coax，≧1路TF Card</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5.整机需支持内置环境光感传感器，支持根据环境光自动调节整机亮度。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6.整机需自带 Android 操作系统， 系统版本≧Android 14，支持八核处理器，内存≧4GB，存储空间≧32GB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7.需支持通过口语表达快速返回系统桌面、选人和打开白板、亮度调整、声音大小调整、打开资源库和课本、计时器等。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8.整机需内置非独立外扩展麦克风阵列，麦克风数量≧8，可用于对教室环境音频进行采集，整机拾音距离≧12m，拾音角度≧180°。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w:t>
            </w:r>
            <w:r>
              <w:rPr>
                <w:rFonts w:hint="eastAsia"/>
                <w:color w:val="auto"/>
              </w:rPr>
              <w:t xml:space="preserve"> </w:t>
            </w:r>
            <w:r>
              <w:rPr>
                <w:rFonts w:hint="eastAsia" w:ascii="宋体" w:hAnsi="宋体" w:cs="宋体"/>
                <w:color w:val="auto"/>
                <w:kern w:val="0"/>
                <w:sz w:val="18"/>
                <w:szCs w:val="18"/>
              </w:rPr>
              <w:t>整机需内置 2.2 声道扬声器，位于设备下边框出音，总功率 ≧60W，语言清晰度（STI-PA）≧0.75。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10.整机需支持屏体亮度≧350cd/m²，色彩覆盖率≧72%NTSC，对比度≧1200：1。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11.整机屏体需支持无需操作即可实现蓝光防护，具备物理防蓝光（过滤蓝光）功能，有效抗蓝光、防眩光，蓝光占比（有害蓝光 415～455nm 能量综合）/（整体蓝光 400～500 能量综合）＜50%，低蓝光保护显示不偏色、不泛黄。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w:t>
            </w:r>
            <w:r>
              <w:rPr>
                <w:rFonts w:hint="eastAsia"/>
                <w:color w:val="auto"/>
              </w:rPr>
              <w:t xml:space="preserve"> </w:t>
            </w:r>
            <w:r>
              <w:rPr>
                <w:rFonts w:hint="eastAsia" w:ascii="宋体" w:hAnsi="宋体" w:cs="宋体"/>
                <w:color w:val="auto"/>
                <w:kern w:val="0"/>
                <w:sz w:val="18"/>
                <w:szCs w:val="18"/>
              </w:rPr>
              <w:t>▲整机需具备智能书写护眼模式，需支持屏幕书写过程中逐步降低整机背光亮度至 50%，降低色温至 6500K 以下。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13.依据相关国家标准，整机视网膜蓝光危害（蓝光加权辐射亮度 LB）需满足IEC TR 62778：2014 蓝光危害 RG0 级别，蓝光无危害。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14.需具备三合一电源按键，支持整机大屏开关机、OPS 电脑开关机和息屏三合一，息屏后可实现降低功耗不少于 90%。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15.整机需内置高清广角摄像头，结构采用非独立设计。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16.需支持4800万像素，可拍摄8000×6000的照片，对角视场角135°，水平视场角120°，垂直视场角80°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17.整机安卓系统触控需支持40点触控及同时书写，触摸分辨率≧32768×32768</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二、OPS内容要求：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1.CPU采用Intel第12代 I5处理器；内存：≧8G DDR4；硬盘：≧256G SSD；</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2.USB接口要求：USB3.0+USB2.0 ≧6个；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3.其他接口要求：网络接口不少于1个，DP输出接口不少于1个，HDMI不少于1个，耳机不少于1个，麦克风输入接口不少于1个；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4.wi-fi：需支持802.11b/g/n；蓝牙需支持Bluetooth 4.2及以上。</w:t>
            </w:r>
          </w:p>
        </w:tc>
        <w:tc>
          <w:tcPr>
            <w:tcW w:w="700" w:type="dxa"/>
            <w:shd w:val="clear" w:color="000000" w:fill="FFFFFF"/>
            <w:vAlign w:val="center"/>
          </w:tcPr>
          <w:p w14:paraId="707DC10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F5A86D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w:t>
            </w:r>
          </w:p>
        </w:tc>
        <w:tc>
          <w:tcPr>
            <w:tcW w:w="768" w:type="dxa"/>
            <w:shd w:val="clear" w:color="000000" w:fill="FFFFFF"/>
            <w:vAlign w:val="center"/>
          </w:tcPr>
          <w:p w14:paraId="0BB6D28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41A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585" w:type="dxa"/>
            <w:shd w:val="clear" w:color="000000" w:fill="FFFFFF"/>
            <w:vAlign w:val="center"/>
          </w:tcPr>
          <w:p w14:paraId="14EAD8E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w:t>
            </w:r>
          </w:p>
        </w:tc>
        <w:tc>
          <w:tcPr>
            <w:tcW w:w="680" w:type="dxa"/>
            <w:shd w:val="clear" w:color="000000" w:fill="FFFFFF"/>
            <w:vAlign w:val="center"/>
          </w:tcPr>
          <w:p w14:paraId="14027AE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视频展台</w:t>
            </w:r>
          </w:p>
        </w:tc>
        <w:tc>
          <w:tcPr>
            <w:tcW w:w="6285" w:type="dxa"/>
            <w:shd w:val="clear" w:color="000000" w:fill="FFFFFF"/>
            <w:vAlign w:val="center"/>
          </w:tcPr>
          <w:p w14:paraId="3CE5821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1.箱体需采用ABS外壳，四周无锐角无利边设计，安全耐用美观。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2.展台像素：需采用≧800万像素摄像头。1080P动态视频预览达到30帧/秒；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3.需采用USB五伏接口，单根USB线实现数据传输和供电，在超五米远距离传输时可选择辅助供电，确保高清数据和供电传输的稳定性，环保无辐射，箱内USB连线采用隐藏式设计，且USB口下出，有效防止积尘。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4.产品有下出和侧出接口（USB≧2），壁挂主场景为主，同时兼顾桌面摆放的次场景需求。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5.对焦方式：AF自动+MF按需对焦技术，避免画面展示过程中由于纸张移动或阴影变化反复对焦。</w:t>
            </w:r>
          </w:p>
        </w:tc>
        <w:tc>
          <w:tcPr>
            <w:tcW w:w="700" w:type="dxa"/>
            <w:shd w:val="clear" w:color="000000" w:fill="FFFFFF"/>
            <w:vAlign w:val="center"/>
          </w:tcPr>
          <w:p w14:paraId="3410D2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955846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w:t>
            </w:r>
          </w:p>
        </w:tc>
        <w:tc>
          <w:tcPr>
            <w:tcW w:w="768" w:type="dxa"/>
            <w:shd w:val="clear" w:color="000000" w:fill="FFFFFF"/>
            <w:vAlign w:val="center"/>
          </w:tcPr>
          <w:p w14:paraId="62EBFB3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1EF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3D6A89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w:t>
            </w:r>
          </w:p>
        </w:tc>
        <w:tc>
          <w:tcPr>
            <w:tcW w:w="680" w:type="dxa"/>
            <w:shd w:val="clear" w:color="000000" w:fill="FFFFFF"/>
            <w:vAlign w:val="center"/>
          </w:tcPr>
          <w:p w14:paraId="38A670B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教学应用系统</w:t>
            </w:r>
          </w:p>
        </w:tc>
        <w:tc>
          <w:tcPr>
            <w:tcW w:w="6285" w:type="dxa"/>
            <w:shd w:val="clear" w:color="000000" w:fill="FFFFFF"/>
            <w:vAlign w:val="center"/>
          </w:tcPr>
          <w:p w14:paraId="6895EFA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1.支持教师通过二维码扫描、账密输入登录、人脸识别登录方式进入教学应用系统。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2.教学应用系统需支持如下功能：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1）教学应用快捷入口：教学桌面支持教学常用的教学白板软件、文件管理软件、电子课本软件；可自动获取Windows系统桌面已经安装教师应用，无需切换到Windows系统桌面即可运行应用。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2）学科应用入口：教学桌面需预置语文、数学、英语、物理、化学、生物、地理、历史、信息技术共9个学科的学科应用入口，需支持直接下载并按照学科筛选学科应用。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3）活动模板：支持≧5种的教学活动模板，教师可自定义活动标题。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4）文件管理：需支持获取本地磁盘、移动类储存设备、教师个人云资源；支持一键打开本地文件和个人云资源进行教学。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3.需支持≧5种智能手势操作功能，便捷教师应用操作，提升人机交互效率，如调用系统菜单、召唤全局工具栏、窗口最小化、多窗口管理、亮/息屏、降半屏等手势操作功能；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需支持对教师授课主机屏幕进行录制形成课堂授课实录或微课，支持通过二维码分享实录视频，需支持对微课分类管理和按微课名搜索；需支持授课内容（PPT、电子课本、网页、文档）微课进行关键帧提取，需支持通过点击关键帧方式快速精准定位微课内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5.备授课同步：需支持通过云端将备课的资源同步至电子化教材对应章节目录，无需拷贝。支持新建自定义备课本，满足非同步教学场景下的备授课资源存储、同步需求。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1）备课资源：支持从云端、校本资源库、个人网盘获取资源，满足教师个性化备课需求。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添加本地资源：支持教师备课过程中从本地添加教学资源，资源格式支持文本（.txt/.docx/.doc/.pdf）、表格（.xlsx/.xls）、演示胶片（.pptx/.ppt）、图片（.jpg/.png/.dmp/.gif）、视频（.mp4/.avi/.rmvb/.wmv）及音频（.mp3/.wma/.wa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3）备课本管理：系统支持教师在网盘存储与管理个人新建课件、教学互动、课堂活动内容；支持按照章节目录存储备课资源。</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4）备课资源管理：系统支持对备课资源进行导出、保存至个人资料库、分享至校本、删除及找回已删除备课资源。</w:t>
            </w:r>
            <w:r>
              <w:rPr>
                <w:rFonts w:hint="eastAsia" w:ascii="宋体" w:hAnsi="宋体" w:cs="宋体"/>
                <w:color w:val="auto"/>
                <w:kern w:val="0"/>
                <w:sz w:val="18"/>
                <w:szCs w:val="18"/>
              </w:rPr>
              <w:br w:type="textWrapping"/>
            </w:r>
            <w:bookmarkStart w:id="7" w:name="OLE_LINK1"/>
            <w:r>
              <w:rPr>
                <w:rFonts w:hint="eastAsia" w:ascii="宋体" w:hAnsi="宋体" w:cs="宋体"/>
                <w:color w:val="auto"/>
                <w:kern w:val="0"/>
                <w:sz w:val="18"/>
                <w:szCs w:val="18"/>
              </w:rPr>
              <w:t>6.</w:t>
            </w:r>
            <w:r>
              <w:rPr>
                <w:rFonts w:hint="eastAsia"/>
                <w:color w:val="auto"/>
              </w:rPr>
              <w:t xml:space="preserve"> </w:t>
            </w:r>
            <w:r>
              <w:rPr>
                <w:rFonts w:hint="eastAsia" w:ascii="宋体" w:hAnsi="宋体" w:cs="宋体"/>
                <w:color w:val="auto"/>
                <w:kern w:val="0"/>
                <w:sz w:val="18"/>
                <w:szCs w:val="18"/>
              </w:rPr>
              <w:t>※教学资源需覆盖小学、初中、高中全学科的电子版本教材，需支持提供≧2000本电子教材资源；其中语文、英语、音乐学科提供点读功能，支持分句、段、篇章进行点读；授课过程中，支持对课本进行文本批注、画笔标注、擦除、聚焦、翻页操作。（为保障所用数字资源正规，无版权争议，须提供正版数字教材版权方授权证明材料，提供至少三家授权证明材料。）</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7.AI教学工具（需提供产品功能截图证明）</w:t>
            </w:r>
            <w:bookmarkStart w:id="8" w:name="OLE_LINK10"/>
            <w:bookmarkStart w:id="9" w:name="OLE_LINK9"/>
          </w:p>
          <w:p w14:paraId="7644C9D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w:t>
            </w:r>
            <w:r>
              <w:rPr>
                <w:rFonts w:hint="eastAsia" w:ascii="宋体" w:hAnsi="宋体" w:cs="宋体"/>
                <w:b/>
                <w:bCs/>
                <w:color w:val="auto"/>
                <w:kern w:val="0"/>
                <w:sz w:val="18"/>
                <w:szCs w:val="18"/>
              </w:rPr>
              <w:t>※</w:t>
            </w:r>
            <w:r>
              <w:rPr>
                <w:rFonts w:hint="eastAsia" w:ascii="宋体" w:hAnsi="宋体" w:cs="宋体"/>
                <w:color w:val="auto"/>
                <w:kern w:val="0"/>
                <w:sz w:val="18"/>
                <w:szCs w:val="18"/>
              </w:rPr>
              <w:t>中英文识别：支持手写中文或英文转写为印刷体，且识别为印刷体后支持朗读、评测、生成卡片等功能；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w:t>
            </w:r>
            <w:r>
              <w:rPr>
                <w:rFonts w:hint="eastAsia" w:ascii="宋体" w:hAnsi="宋体" w:cs="宋体"/>
                <w:b/>
                <w:bCs/>
                <w:color w:val="auto"/>
                <w:kern w:val="0"/>
                <w:sz w:val="18"/>
                <w:szCs w:val="18"/>
              </w:rPr>
              <w:t>※</w:t>
            </w:r>
            <w:r>
              <w:rPr>
                <w:rFonts w:hint="eastAsia" w:ascii="宋体" w:hAnsi="宋体" w:cs="宋体"/>
                <w:color w:val="auto"/>
                <w:kern w:val="0"/>
                <w:sz w:val="18"/>
                <w:szCs w:val="18"/>
              </w:rPr>
              <w:t>中英文划词：支持对手写中文或英文进行圈画，推荐相关卡片资料，中文卡片包括拼音、笔顺、部首和结构，英文卡片包括发音、翻译和素材等。</w:t>
            </w:r>
            <w:bookmarkEnd w:id="7"/>
            <w:bookmarkEnd w:id="8"/>
            <w:bookmarkEnd w:id="9"/>
          </w:p>
        </w:tc>
        <w:tc>
          <w:tcPr>
            <w:tcW w:w="700" w:type="dxa"/>
            <w:shd w:val="clear" w:color="000000" w:fill="FFFFFF"/>
            <w:vAlign w:val="center"/>
          </w:tcPr>
          <w:p w14:paraId="01D2C8B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0C8E2E1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w:t>
            </w:r>
          </w:p>
        </w:tc>
        <w:tc>
          <w:tcPr>
            <w:tcW w:w="768" w:type="dxa"/>
            <w:shd w:val="clear" w:color="000000" w:fill="FFFFFF"/>
            <w:vAlign w:val="center"/>
          </w:tcPr>
          <w:p w14:paraId="16BE486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2C0AD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shd w:val="clear" w:color="000000" w:fill="FFFFFF"/>
            <w:vAlign w:val="center"/>
          </w:tcPr>
          <w:p w14:paraId="792F358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w:t>
            </w:r>
          </w:p>
        </w:tc>
        <w:tc>
          <w:tcPr>
            <w:tcW w:w="680" w:type="dxa"/>
            <w:shd w:val="clear" w:color="000000" w:fill="FFFFFF"/>
            <w:vAlign w:val="center"/>
          </w:tcPr>
          <w:p w14:paraId="52F9FC6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绿板</w:t>
            </w:r>
          </w:p>
        </w:tc>
        <w:tc>
          <w:tcPr>
            <w:tcW w:w="6285" w:type="dxa"/>
            <w:shd w:val="clear" w:color="000000" w:fill="FFFFFF"/>
            <w:vAlign w:val="center"/>
          </w:tcPr>
          <w:p w14:paraId="4478EF1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面板材质为哑光烤漆钢板。整体尺寸:≧4000mm*1200mm。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经静电喷涂而成，书写流畅，耐磨，不打滑。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面板颜色为墨绿色，缓解学生的视觉疲劳，预防近视，整板无任何拼接。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外框材质为: 香槟色高强度工业电泳铝合金，包角材质为：防老化、抗疲劳的ABS工程塑料，圆形结构，流线型设计，一次成型无尘角，耐磨、抗拉、不变形；背板材质为：优质防锈热镀锌钢板，厚度0.20mm；一次成型，设有加强凹槽，凹槽造型美观、高强度耐用，确保均布承压不低于635N，镀锌含量Z12技术要求不低于国标GB2518-88。</w:t>
            </w:r>
          </w:p>
        </w:tc>
        <w:tc>
          <w:tcPr>
            <w:tcW w:w="700" w:type="dxa"/>
            <w:shd w:val="clear" w:color="000000" w:fill="FFFFFF"/>
            <w:vAlign w:val="center"/>
          </w:tcPr>
          <w:p w14:paraId="3BCA308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63E326A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w:t>
            </w:r>
          </w:p>
        </w:tc>
        <w:tc>
          <w:tcPr>
            <w:tcW w:w="768" w:type="dxa"/>
            <w:shd w:val="clear" w:color="000000" w:fill="FFFFFF"/>
            <w:vAlign w:val="center"/>
          </w:tcPr>
          <w:p w14:paraId="4080D23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6AD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trPr>
        <w:tc>
          <w:tcPr>
            <w:tcW w:w="585" w:type="dxa"/>
            <w:shd w:val="clear" w:color="000000" w:fill="FFFFFF"/>
            <w:vAlign w:val="center"/>
          </w:tcPr>
          <w:p w14:paraId="799C684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8</w:t>
            </w:r>
          </w:p>
        </w:tc>
        <w:tc>
          <w:tcPr>
            <w:tcW w:w="680" w:type="dxa"/>
            <w:shd w:val="clear" w:color="000000" w:fill="FFFFFF"/>
            <w:vAlign w:val="center"/>
          </w:tcPr>
          <w:p w14:paraId="15BC618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推拉绿板</w:t>
            </w:r>
          </w:p>
        </w:tc>
        <w:tc>
          <w:tcPr>
            <w:tcW w:w="6285" w:type="dxa"/>
            <w:shd w:val="clear" w:color="000000" w:fill="FFFFFF"/>
            <w:vAlign w:val="center"/>
          </w:tcPr>
          <w:p w14:paraId="649FAB1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外框材质: 香槟色高强度工业电泳铝合金外框，包角采用防老化、抗疲劳的ABS工程塑料，圆形结构，耐磨、抗拉、不变形，一次成型无尘角。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面板材质: 墨绿色哑光烤漆钢板，面板厚度≧0.4mm，涂层硬度≧6H无痕（莫氏），可吸附磁片，无接缝、表面附着绿色，无裂纹、无流痕、无气泡等缺陷、细腻平整、书写流畅，字迹清晰、擦后无留、耐磨损、耐腐蚀，色调柔和、时尚美观，光泽度≧6﹪，学生任何角度都能正常观看，能有效保护师生的视力健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夹层材质：防潮、吸音高强度瓦楞纸板，采用国际适用工艺，书写手感无咔咔声。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背板：采用优质防锈热镀锌钢板，厚度0.27mm。流水线一次成型，设有加强凹槽，确保均布承压不低于635N，凹槽造型美观、高强度耐用，镀锌含量Z12技术要求不低于国标GB2518-88。</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包角: 采用防老化、抗疲劳的ABS工程塑料，流线型一次成型设计，无尘角。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黑板滑轮：上轨为减震消音双组吊轮，滑轮为高精度轴承，下轨为双组水平轮，保障滑动流畅、噪音小、前后定位精确不晃动、滑动板前后晃动小于0.5mm，经久耐用。数目8组，上下均匀安装，推拉顺畅自如，无卡挤现象和尖锐的摩擦声，稳定性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整体尺寸:黑板整体尺寸为：≧4200mm*1300mm。</w:t>
            </w:r>
          </w:p>
        </w:tc>
        <w:tc>
          <w:tcPr>
            <w:tcW w:w="700" w:type="dxa"/>
            <w:shd w:val="clear" w:color="000000" w:fill="FFFFFF"/>
            <w:vAlign w:val="center"/>
          </w:tcPr>
          <w:p w14:paraId="25D2FD7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7F2E8D4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w:t>
            </w:r>
          </w:p>
        </w:tc>
        <w:tc>
          <w:tcPr>
            <w:tcW w:w="768" w:type="dxa"/>
            <w:shd w:val="clear" w:color="000000" w:fill="FFFFFF"/>
            <w:vAlign w:val="center"/>
          </w:tcPr>
          <w:p w14:paraId="5FD54C4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DDA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39D6B77D">
            <w:pPr>
              <w:widowControl/>
              <w:spacing w:line="280" w:lineRule="exact"/>
              <w:jc w:val="center"/>
              <w:rPr>
                <w:rFonts w:ascii="宋体" w:hAnsi="宋体" w:cs="宋体"/>
                <w:color w:val="auto"/>
                <w:kern w:val="0"/>
                <w:sz w:val="18"/>
                <w:szCs w:val="18"/>
              </w:rPr>
            </w:pPr>
            <w:bookmarkStart w:id="10" w:name="_Hlk206765089"/>
            <w:r>
              <w:rPr>
                <w:rFonts w:hint="eastAsia" w:ascii="宋体" w:hAnsi="宋体" w:cs="宋体"/>
                <w:color w:val="auto"/>
                <w:kern w:val="0"/>
                <w:sz w:val="18"/>
                <w:szCs w:val="18"/>
              </w:rPr>
              <w:t>9</w:t>
            </w:r>
          </w:p>
        </w:tc>
        <w:tc>
          <w:tcPr>
            <w:tcW w:w="680" w:type="dxa"/>
            <w:shd w:val="clear" w:color="000000" w:fill="FFFFFF"/>
            <w:vAlign w:val="center"/>
          </w:tcPr>
          <w:p w14:paraId="7E40873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智慧黑板</w:t>
            </w:r>
          </w:p>
        </w:tc>
        <w:tc>
          <w:tcPr>
            <w:tcW w:w="6285" w:type="dxa"/>
            <w:shd w:val="clear" w:color="000000" w:fill="FFFFFF"/>
            <w:vAlign w:val="center"/>
          </w:tcPr>
          <w:p w14:paraId="4212F15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一、屏体要求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 整机屏幕需采用UHD超高清A规LED液晶屏，屏幕显示尺寸≧86英寸，显示比例16:9，屏幕图像分辨率≧3840*2160，整体尺寸：长度≧4200mm，高度≧1200mm。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液晶显示层与钢化玻璃层需采用零贴合或全贴合设计。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整机需采用内置摄像头、麦克风，需支持无需外接线材连接和任何可见外接线材及模块化拼接痕迹，不占用整机外部设备接口。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整机需支持前置物理接口不少于5个，所有接口均采用非转接方式，包含1路HDMI接口、2路双通道USB接口(Windows和Android系统均能被识别）、1路Type-C接口（支持全功能PD 65W）、1路USB-Type-B接口（Touch）。</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5.Type-C 接口需具备全功能，最大输出功率达到≧65W；支持Type-C 线正反插；支持4K 60Hz视频格式；支持双通道USB。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整机后置物理接口需不少于11个，包含≧2路HDMI、≧2路USB、≧1路RS232、≧1路RJ45、≧1路TOUCH  USB(触控输出接口)、≧1路mic in3.5mm、≧1路LINE out 3.5mm、≧1路Coax、≧1路TF Card。</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整机自带Android操作系统， 系统版本≧Android 14，≧八核处理器，内存≧4GB，存储空间≧32GB。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在整机运行环境下，需支持自适应扩音优化、防啸叫算法能力；支持配套智能教学笔通过整机实现高质量扩音，THD≧1%，啸叫距离≧20cm。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整机需内置 2.2 声道扬声器，位于设备下边框出音，20W全频扬声器≧2个，10W高音扬声器≧2个，额定总功率≧60W，语言清晰度（STI-PA）≧0.75。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整机扬声器需支持在100%音量下，1米处声压级≧90dB，10米处声压级≧84dB，1米到10米距离内响度差距≧6dB，声场覆盖85%区域内响度差异≧6dB。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整机屏体需支持亮度≧350cd/m²，色彩覆盖率≧72%NTSC，对比度≧1200：1。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整机屏体需支持无需操作即可实现蓝光防护，具备物理防蓝光（过滤蓝光）功能，有效抗蓝光、防眩光，蓝光占比（有害蓝光 415～455nm 能量综合）/（整体蓝光 400～500 能量综合）＜50%，低蓝光保护显示不偏色、不泛黄。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钢化玻璃透光率≧88%。</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 整机主屏需采用全物理钢化玻璃，有效保护屏幕显示画面。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 整机需具备智能书写护眼模式，可做到屏幕书写过程中逐步降低整机背光亮度至50%，符合D65标准光源色温值，降低色温≧6500K。</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 依据相关国家标准，整机视网膜蓝光危害（蓝光加权辐射亮度LB）满足IEC TR 62778：2014蓝光危害RG0级别，蓝光无危害。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17. 整机需内置高清广角摄像头，结构采用非独立设计。支持3D降噪算法，图像信噪比≧40db，支持输出MJPG视频格式。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18. 整机需内置非独立外扩展麦克风阵列，麦克风数量≧8个，可用于对教室环境音频进行采集，整机拾音距离≧12m，拾音角度≧180°。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19. 智能降噪麦克风阵列，需支持远场拾音，高信噪比≧65db， 超高灵敏度≧-38db，支持 AGC、AEC、NN 智能AI降噪功能。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20.摄像头需具备下倾设计，下倾角度≧10°，拍摄画面全面。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21. 需支持≧4800万像素，可拍摄8000×6000的照片，支持输出4K图片 ，对角视场角≧135°，水平视场角≧120°，垂直视场角≧89°。</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22. 需采用红外触控技术，触控方式需支持手指或书写笔等非透明物体，支持多点触摸。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二、OPS要求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1.整机OPS 电脑安装结构支持按压式卡扣或螺丝固定模式，插拔式抽屉安装，无需工具就可快速拆卸电脑模块。</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2.整机架构：为降低电脑模块维护成本，接口严格遵循Intel相关规范，针脚数为行业通用80Pin，与大屏无单独接线。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3.USB接口要求：USB3.0+USB2.0 不低于6个，其中高速USB3.0 不低于4个。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4.其他接口配置网络接口不低于1个，DP输出接口不低于1个，HDMI不低于1个，耳机输出接口不低于1个，麦克风输入接口不低于1个。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5.Wi-Fi 6：支持802.11b/g/n/ac/ax。</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6.支持英特尔等处理器：≧8核12线程，主频≧2GHz，内存≧8G，硬盘≧256G SSD。</w:t>
            </w:r>
          </w:p>
        </w:tc>
        <w:tc>
          <w:tcPr>
            <w:tcW w:w="700" w:type="dxa"/>
            <w:shd w:val="clear" w:color="000000" w:fill="FFFFFF"/>
            <w:vAlign w:val="center"/>
          </w:tcPr>
          <w:p w14:paraId="15F4CF0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55F943D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2EB700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bookmarkEnd w:id="10"/>
      <w:tr w14:paraId="2E0A7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585" w:type="dxa"/>
            <w:shd w:val="clear" w:color="000000" w:fill="FFFFFF"/>
            <w:vAlign w:val="center"/>
          </w:tcPr>
          <w:p w14:paraId="4077221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w:t>
            </w:r>
          </w:p>
        </w:tc>
        <w:tc>
          <w:tcPr>
            <w:tcW w:w="680" w:type="dxa"/>
            <w:shd w:val="clear" w:color="000000" w:fill="FFFFFF"/>
            <w:vAlign w:val="center"/>
          </w:tcPr>
          <w:p w14:paraId="67E0BC2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精品录播主机</w:t>
            </w:r>
          </w:p>
        </w:tc>
        <w:tc>
          <w:tcPr>
            <w:tcW w:w="6285" w:type="dxa"/>
            <w:shd w:val="clear" w:color="000000" w:fill="FFFFFF"/>
            <w:vAlign w:val="center"/>
          </w:tcPr>
          <w:p w14:paraId="3217D0E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主机系统内存≧8GB，主机存储容量≧1TB，主机采用≧3颗ARM架构处理器，主处理器采用8核架构，2颗协处理器均采用4核架构。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为保证不影响授课，主机无风扇设计，主机噪声小于20dB（A）</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支持≧2个HDMI高清采集接口，支持分辨率包含：3840×2160p@30Hz并向下兼容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主机能够独立完成视频采集、音频采集、音频编码、视频编码、音频处理、视频处理、直播、录制、互动、专业导播、远程运维参数设置功能。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支持通过主机屏幕实现画面预监，可同时预监≧7路画面。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主机内置扬声器，支持音频检测，通过主机内置扬声器可以播放测试音频，通过主机一体化屏幕进行视频预览时能够同步播放音频，且可控制播放音频音量大小。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支持断电扩声，在主机完全断电的情况下，从主机线路音频通道上输入的音频可以从主机输出通道输出，且≧2个音频输入通道可以支持该功能。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支持≧4个USB类型接口，其中USB-A接口≧3个，Type-C接口≧2个。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支持≧4路高清视频输出，4路视频输出可同一时间输出不同视频源，且输出最大分辨率均可达到4K，其中HDMI信号输出≧3路且UVC信号输出≧1路。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主机采用≧15英寸电容触控屏，屏幕分辨率≧1920*1080。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▲屏幕需满足无蓝光危害，符合IEC 62471:2006要求，即在10000s（约2.8h）内不造成对视网膜蓝光危害（LB）,其LB需达到≧100 W·m-2·sr-1。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可通过IOT物联平台实现对主机的远程升级，可按照行政区域分区升级；支持本地通过U盘进行升级。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支持≧4个RJ45接口，其中≧3个支持POE。</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 支持≧1个阵列麦克风输入接口，可在不接入音频处理器的情况下，通过网线就可以完成≧8个阵列麦克风接入主机，通过网线可以实现≧2个麦克风的供电、音频信号传输、音频参数设置，支持数字音频传输。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 ▲支持标准 USB 音视频信号输出，通过主机 Type-C 接口可以实现图像和声音输出，输出音频可通过主机控制软件实现混音，兼容主流视频会议软件。</w:t>
            </w:r>
          </w:p>
        </w:tc>
        <w:tc>
          <w:tcPr>
            <w:tcW w:w="700" w:type="dxa"/>
            <w:shd w:val="clear" w:color="000000" w:fill="FFFFFF"/>
            <w:vAlign w:val="center"/>
          </w:tcPr>
          <w:p w14:paraId="6EAE495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5378ED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48B830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457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3309B0B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w:t>
            </w:r>
          </w:p>
        </w:tc>
        <w:tc>
          <w:tcPr>
            <w:tcW w:w="680" w:type="dxa"/>
            <w:shd w:val="clear" w:color="000000" w:fill="FFFFFF"/>
            <w:vAlign w:val="center"/>
          </w:tcPr>
          <w:p w14:paraId="74254A2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主机导播系统</w:t>
            </w:r>
          </w:p>
        </w:tc>
        <w:tc>
          <w:tcPr>
            <w:tcW w:w="6285" w:type="dxa"/>
            <w:shd w:val="clear" w:color="000000" w:fill="FFFFFF"/>
            <w:vAlign w:val="center"/>
          </w:tcPr>
          <w:p w14:paraId="3355E63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在导播界面的预览窗口可实时观看教室全景/特写、学生全景/特写、多媒体电脑、板书画面共6路画面，点击可进行画面切换。预监画面可实时推流给资源平台，实现平台直播。</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录播画面比例支持16：9。支持多种画面模式，支持单画面、画中画、左右等分、三画面、四画面多种画面合成模式，支持自动导播、手动导播，可通过互动录播电脑主机一体化触控屏实现模式选择。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支持外接导播台，可通过导播台实现对录播主机的录制控制、画面切换、云台跟踪、预置位设定与调取、音量调节。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支持通过互动录播电脑主机的一体化屏幕实现预置位设置与调用，预置位≧9个。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支持通过U盘导入视频、图片作为片头片尾素材，不少于3种格式；支持单个视频文件≧200MB，单个图片文件≧20MB，可保存≧10个素材；支持设定片头片尾保持时间，保持时间在5s~10s之间可选，片头片尾素材可直接在互动录播电脑主机的一体化屏幕上进行删除。</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支持导入与导出互动录播主机配置文件，进行升级和调试。</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在导播界面的预览窗口可实时观看教室全景/特写、学生全景/特写、多媒体电脑、板书画面共6路画面，点击可进行画面切换。预监画面可实时推流给资源平台，实现平台直播。</w:t>
            </w:r>
          </w:p>
        </w:tc>
        <w:tc>
          <w:tcPr>
            <w:tcW w:w="700" w:type="dxa"/>
            <w:shd w:val="clear" w:color="000000" w:fill="FFFFFF"/>
            <w:vAlign w:val="center"/>
          </w:tcPr>
          <w:p w14:paraId="778CF10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1C9E88B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416D86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09FE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17E7B51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p>
        </w:tc>
        <w:tc>
          <w:tcPr>
            <w:tcW w:w="680" w:type="dxa"/>
            <w:shd w:val="clear" w:color="000000" w:fill="FFFFFF"/>
            <w:vAlign w:val="center"/>
          </w:tcPr>
          <w:p w14:paraId="2EC880F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主机互动系统</w:t>
            </w:r>
          </w:p>
        </w:tc>
        <w:tc>
          <w:tcPr>
            <w:tcW w:w="6285" w:type="dxa"/>
            <w:shd w:val="clear" w:color="000000" w:fill="FFFFFF"/>
            <w:vAlign w:val="center"/>
          </w:tcPr>
          <w:p w14:paraId="6FD754E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支持手动切换发给远端的画面。支持通过互动录播电脑主机一体化触控屏实现音量大小调整、静音。支持互动过程中一键全屏，全屏放大主画面，隐藏所有图标。支持开启和关闭桌面共享功能。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无需通过任何第三方软件即可进行网络监测，并在互动录播电脑主机的一体化触控屏上显示主机网络状态；实现对网络连通性、网络稳定性、上行速度、下行速度、网络追踪性、网卡信息实时检测；在一段时间内，支持以折线图方式实时呈现网络稳定性、上行速度和下行速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支持微信扫码登录，无需单独输入账号，使用微信扫描互动录播电脑主机的一体化触控屏上显示的二维码即可登录互动系统，登录后显示用户头像和用户名。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支持一键结束互动，用户通过互动录播电脑主机一体化触控屏一键结束互动。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支持通过互动录播电脑主机一体化触控屏实现导播控制，过程中可选择自动导播/手动导播；支持通过 PC 客户端软件进行远程导播控制。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支持双流自动发送，设置自动发送后，建立呼叫，主讲教师自动发送双流。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支持课程预约功能，互动录播电脑主机能接收平台下发的互动课表，并显示于互动电脑主机一体化触控屏上，用户点击课表即可立即加入课堂，进行实时互动。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支持三种混流方式，推流端混流、拉流端混流、服务端混流。</w:t>
            </w:r>
          </w:p>
        </w:tc>
        <w:tc>
          <w:tcPr>
            <w:tcW w:w="700" w:type="dxa"/>
            <w:shd w:val="clear" w:color="000000" w:fill="FFFFFF"/>
            <w:vAlign w:val="center"/>
          </w:tcPr>
          <w:p w14:paraId="3B306B1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364AFE5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B1A780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6C8E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585" w:type="dxa"/>
            <w:shd w:val="clear" w:color="000000" w:fill="FFFFFF"/>
            <w:vAlign w:val="center"/>
          </w:tcPr>
          <w:p w14:paraId="6AFCEF9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13</w:t>
            </w:r>
          </w:p>
        </w:tc>
        <w:tc>
          <w:tcPr>
            <w:tcW w:w="680" w:type="dxa"/>
            <w:shd w:val="clear" w:color="000000" w:fill="FFFFFF"/>
            <w:vAlign w:val="center"/>
          </w:tcPr>
          <w:p w14:paraId="615771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主机视频处理系统</w:t>
            </w:r>
          </w:p>
        </w:tc>
        <w:tc>
          <w:tcPr>
            <w:tcW w:w="6285" w:type="dxa"/>
            <w:shd w:val="clear" w:color="000000" w:fill="FFFFFF"/>
            <w:vAlign w:val="center"/>
          </w:tcPr>
          <w:p w14:paraId="15E4AAE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支持合成4K的PGM画面，包含导播画面、教室全景画面、教师特写画面、学生全景画面、学生特写画面、板书画面。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支持多种类型视频信号接入，可支持网络视频信号接入、高速数字信号HDMI接入。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主机可通过rtsp协议接入第三方摄像机视频流。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主机可通过网络实现对接入摄像机的设备信息检索。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支持POE摄像机接入。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HDMI采集通道支持画面缩放，可完成4K图像采集。</w:t>
            </w:r>
          </w:p>
        </w:tc>
        <w:tc>
          <w:tcPr>
            <w:tcW w:w="700" w:type="dxa"/>
            <w:shd w:val="clear" w:color="000000" w:fill="FFFFFF"/>
            <w:vAlign w:val="center"/>
          </w:tcPr>
          <w:p w14:paraId="53C1509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746A3CF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3C2A0B5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713B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AAEE75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14</w:t>
            </w:r>
          </w:p>
        </w:tc>
        <w:tc>
          <w:tcPr>
            <w:tcW w:w="680" w:type="dxa"/>
            <w:shd w:val="clear" w:color="000000" w:fill="FFFFFF"/>
            <w:vAlign w:val="center"/>
          </w:tcPr>
          <w:p w14:paraId="05F1CF0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云台摄像机</w:t>
            </w:r>
          </w:p>
        </w:tc>
        <w:tc>
          <w:tcPr>
            <w:tcW w:w="6285" w:type="dxa"/>
            <w:shd w:val="clear" w:color="000000" w:fill="FFFFFF"/>
            <w:vAlign w:val="center"/>
          </w:tcPr>
          <w:p w14:paraId="5F86BA0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1.采用1/1.8英寸CMOS传感器，传感器有效像素≧800万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2.支持畸变矫正功能，畸变＜1.5%，校正后可实现视觉无畸变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3.支持不少于40倍变焦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4.支持自动白平衡，背光补偿，支持2D、3D数字降噪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5.水平视场角不小于60°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6.云台水平转动范围不小于±170°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8.云台垂直转动范围不小于±30°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9.预置位个数不小于255个。</w:t>
            </w:r>
          </w:p>
        </w:tc>
        <w:tc>
          <w:tcPr>
            <w:tcW w:w="700" w:type="dxa"/>
            <w:shd w:val="clear" w:color="000000" w:fill="FFFFFF"/>
            <w:vAlign w:val="center"/>
          </w:tcPr>
          <w:p w14:paraId="0150E06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5DBBC2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768" w:type="dxa"/>
            <w:shd w:val="clear" w:color="000000" w:fill="FFFFFF"/>
            <w:vAlign w:val="center"/>
          </w:tcPr>
          <w:p w14:paraId="521CEEB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61F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4064336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680" w:type="dxa"/>
            <w:shd w:val="clear" w:color="000000" w:fill="FFFFFF"/>
            <w:vAlign w:val="center"/>
          </w:tcPr>
          <w:p w14:paraId="6B32AAC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云台摄像机图像处理系统</w:t>
            </w:r>
          </w:p>
        </w:tc>
        <w:tc>
          <w:tcPr>
            <w:tcW w:w="6285" w:type="dxa"/>
            <w:shd w:val="clear" w:color="000000" w:fill="FFFFFF"/>
            <w:vAlign w:val="center"/>
          </w:tcPr>
          <w:p w14:paraId="2176DD3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1.设备采用ARM硬件架构，linux操作系统。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2.支持自动白平衡。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3.支持背光补偿功能。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4.支持2D、3D数字降噪。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5.支持设置摄像机分辨率、帧率、码率。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6.支持设置摄像机亮度、饱和度、对比度、锐度、色度、快门速度。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7.图像支持左右镜像、上下翻转，默认不开启。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8.支持对摄像机网络进行管理，包括设置IP地址/网关/DNS等，支持组播协议搜索IP地址，并修改摄像机IP。</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9.支持RTMP推流，RTSP拉流，地址可设置。</w:t>
            </w:r>
          </w:p>
        </w:tc>
        <w:tc>
          <w:tcPr>
            <w:tcW w:w="700" w:type="dxa"/>
            <w:shd w:val="clear" w:color="000000" w:fill="FFFFFF"/>
            <w:vAlign w:val="center"/>
          </w:tcPr>
          <w:p w14:paraId="209352E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71E35EF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768" w:type="dxa"/>
            <w:shd w:val="clear" w:color="000000" w:fill="FFFFFF"/>
            <w:vAlign w:val="center"/>
          </w:tcPr>
          <w:p w14:paraId="53C0205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3B0A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79CB017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16</w:t>
            </w:r>
          </w:p>
        </w:tc>
        <w:tc>
          <w:tcPr>
            <w:tcW w:w="680" w:type="dxa"/>
            <w:shd w:val="clear" w:color="000000" w:fill="FFFFFF"/>
            <w:vAlign w:val="center"/>
          </w:tcPr>
          <w:p w14:paraId="799D7CD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4K教师摄像机</w:t>
            </w:r>
          </w:p>
        </w:tc>
        <w:tc>
          <w:tcPr>
            <w:tcW w:w="6285" w:type="dxa"/>
            <w:shd w:val="clear" w:color="000000" w:fill="FFFFFF"/>
            <w:vAlign w:val="center"/>
          </w:tcPr>
          <w:p w14:paraId="129E76A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1.镜头水平视场角≧40°，传感器尺寸≧CMOS 1/2.8英寸，传感器有效像素≧800万。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2.一体化集成设计，支持4K超高清，最大可提供4K图像编码输出，同时向下兼容1080p，720p等分辨率。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3.内置图像识别跟踪算法，无需物理转动，即可实现平滑自然的跟踪效果，避免干扰课堂教学。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4.全景画面支持畸变矫正功能。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5.全景画面与特写画面必须采用相同图像传感器和图像处理器，确保两者图像输出亮度、颜色、风格等保持一致。</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6.整机接口≧1路RJ45，支持POE有线网络供电，只需要1路网线，即可实现供电及信号传输，支持同时输出特写和全景等多路画面。</w:t>
            </w:r>
          </w:p>
        </w:tc>
        <w:tc>
          <w:tcPr>
            <w:tcW w:w="700" w:type="dxa"/>
            <w:shd w:val="clear" w:color="000000" w:fill="FFFFFF"/>
            <w:vAlign w:val="center"/>
          </w:tcPr>
          <w:p w14:paraId="32FB636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4112B5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057656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179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81A64E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17</w:t>
            </w:r>
          </w:p>
        </w:tc>
        <w:tc>
          <w:tcPr>
            <w:tcW w:w="680" w:type="dxa"/>
            <w:shd w:val="clear" w:color="000000" w:fill="FFFFFF"/>
            <w:vAlign w:val="center"/>
          </w:tcPr>
          <w:p w14:paraId="09A475E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教师摄像机图像处理系统</w:t>
            </w:r>
          </w:p>
        </w:tc>
        <w:tc>
          <w:tcPr>
            <w:tcW w:w="6285" w:type="dxa"/>
            <w:shd w:val="clear" w:color="000000" w:fill="FFFFFF"/>
            <w:vAlign w:val="center"/>
          </w:tcPr>
          <w:p w14:paraId="4FF3523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1.4K</w:t>
            </w:r>
            <w:r>
              <w:rPr>
                <w:rFonts w:hint="eastAsia" w:ascii="宋体" w:hAnsi="宋体" w:cs="宋体"/>
                <w:color w:val="auto"/>
                <w:kern w:val="0"/>
                <w:sz w:val="18"/>
                <w:szCs w:val="18"/>
                <w:lang w:eastAsia="zh-CN"/>
              </w:rPr>
              <w:t>教室</w:t>
            </w:r>
            <w:r>
              <w:rPr>
                <w:rFonts w:hint="eastAsia" w:ascii="宋体" w:hAnsi="宋体" w:cs="宋体"/>
                <w:color w:val="auto"/>
                <w:kern w:val="0"/>
                <w:sz w:val="18"/>
                <w:szCs w:val="18"/>
              </w:rPr>
              <w:t>摄像机内嵌智能跟踪算法，应无需单独安装定位跟踪主机及其他任何辅助拍摄设备，即可实现跟踪定位控制功能。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2.系统应采用智能图像识别算法，高清摄像机同时输出2路场景画面并分析计算，实现1台摄像机的2景位拍摄，通过导播跟踪系统，实现所有画面的自动导播切换：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a.当教师在讲台区域站立授课时，自动切换为教师特写，当教师在讲台区域进行走动时，自动切换到教室全景；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b.当教师切换多媒体授课时，自动切换为多媒体特写画面。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3.支持设置摄像机分辨率、帧率、码率。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4.支持设置摄像机亮度、饱和度、对比度、锐度、色度、快门速度。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5.图像支持左右镜像、上下翻转，默认不开启。</w:t>
            </w:r>
          </w:p>
        </w:tc>
        <w:tc>
          <w:tcPr>
            <w:tcW w:w="700" w:type="dxa"/>
            <w:shd w:val="clear" w:color="000000" w:fill="FFFFFF"/>
            <w:vAlign w:val="center"/>
          </w:tcPr>
          <w:p w14:paraId="0D195C9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3D87F88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3D1F942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4680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85" w:type="dxa"/>
            <w:shd w:val="clear" w:color="000000" w:fill="FFFFFF"/>
            <w:vAlign w:val="center"/>
          </w:tcPr>
          <w:p w14:paraId="260785B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18</w:t>
            </w:r>
          </w:p>
        </w:tc>
        <w:tc>
          <w:tcPr>
            <w:tcW w:w="680" w:type="dxa"/>
            <w:shd w:val="clear" w:color="000000" w:fill="FFFFFF"/>
            <w:vAlign w:val="center"/>
          </w:tcPr>
          <w:p w14:paraId="1A4382B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4K学生摄像机</w:t>
            </w:r>
          </w:p>
        </w:tc>
        <w:tc>
          <w:tcPr>
            <w:tcW w:w="6285" w:type="dxa"/>
            <w:shd w:val="clear" w:color="000000" w:fill="FFFFFF"/>
            <w:vAlign w:val="center"/>
          </w:tcPr>
          <w:p w14:paraId="24B681F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1.镜头水平视场角≧90°，传感器尺寸≧CMOS 1/2.8英寸，传感器有效像素≧800万。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2.一体化集成设计，支持4K超高清，最大可提供4K图像编码输出，同时向下兼容1080p，720p等分辨率。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3.内置图像识别跟踪算法，无需物理转动，即可实现平滑自然的跟踪效果，避免干扰课堂教学。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4.全景画面支持畸变矫正功能。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5.全景画面与特写画面必须采用相同图像传感器和图像处理器，确保两者图像输出亮度、颜色、风格等保持一致。</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6.整机接口≧1路RJ45，支持POE有线网络供电，只需要1路网线，即可实现供电及信号传输，支持同时输出特写和全景等多路画面。</w:t>
            </w:r>
          </w:p>
        </w:tc>
        <w:tc>
          <w:tcPr>
            <w:tcW w:w="700" w:type="dxa"/>
            <w:shd w:val="clear" w:color="000000" w:fill="FFFFFF"/>
            <w:vAlign w:val="center"/>
          </w:tcPr>
          <w:p w14:paraId="439DC41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3EB3538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7DDBE2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4A8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4A50BDC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19</w:t>
            </w:r>
          </w:p>
        </w:tc>
        <w:tc>
          <w:tcPr>
            <w:tcW w:w="680" w:type="dxa"/>
            <w:shd w:val="clear" w:color="000000" w:fill="FFFFFF"/>
            <w:vAlign w:val="center"/>
          </w:tcPr>
          <w:p w14:paraId="5E36551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学生摄像机图像处理系统</w:t>
            </w:r>
          </w:p>
        </w:tc>
        <w:tc>
          <w:tcPr>
            <w:tcW w:w="6285" w:type="dxa"/>
            <w:shd w:val="clear" w:color="000000" w:fill="FFFFFF"/>
            <w:vAlign w:val="center"/>
          </w:tcPr>
          <w:p w14:paraId="302E623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1.4K学生摄像机内嵌智能跟踪算法，应无需单独安装定位跟踪主机及其他任何辅助拍摄设备，即可实现跟踪定位控制功能。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2.系统应采用智能图像识别算法，高清摄像机同时输出2路场景画面并分析计算，实现1台摄像机的2景位拍摄，通过导播跟踪系统，实现所有画面的自动导播切换：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a.学生起立发言时，首先切换为学生全景，再过渡为发言学生的特写画面，当多名学生站立时，自动切换到学生全景；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b.学生跟踪具备人脸检测辅助识别功能。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3.支持设置摄像机分辨率、帧率、码率。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4.支持设置摄像机亮度、饱和度、对比度、锐度、色度、快门速度。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5.图像支持左右镜像、上下翻转，默认不开启。</w:t>
            </w:r>
          </w:p>
        </w:tc>
        <w:tc>
          <w:tcPr>
            <w:tcW w:w="700" w:type="dxa"/>
            <w:shd w:val="clear" w:color="000000" w:fill="FFFFFF"/>
            <w:vAlign w:val="center"/>
          </w:tcPr>
          <w:p w14:paraId="286A324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221BB7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DC0282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0BC5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CBF4B2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w:t>
            </w:r>
          </w:p>
        </w:tc>
        <w:tc>
          <w:tcPr>
            <w:tcW w:w="680" w:type="dxa"/>
            <w:shd w:val="clear" w:color="000000" w:fill="FFFFFF"/>
            <w:vAlign w:val="center"/>
          </w:tcPr>
          <w:p w14:paraId="3A5FDEC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远程互动课堂软件</w:t>
            </w:r>
          </w:p>
        </w:tc>
        <w:tc>
          <w:tcPr>
            <w:tcW w:w="6285" w:type="dxa"/>
            <w:shd w:val="clear" w:color="000000" w:fill="FFFFFF"/>
            <w:vAlign w:val="center"/>
          </w:tcPr>
          <w:p w14:paraId="3492E68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1.支持微信扫码登录，无需输入账号密码即可实现登录，用户可便捷、快速进入课堂。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2.支持显示预约的活动信息，包括直播活动、互动课堂、网络教研的活动类型、活动名称、活动时间、活动状态。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3.支持搭配录播主机，进入录制视频、直播活动、互动课堂、网络教研活动。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4.支持直接创建公网直播，即时生成直播二维码，无需通过平台进行提前预约。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5.支持直接创建网络教研，即时生成教研二维码，扫码可进行查看教研简介、发送点评等。无需通过平台进行提前预约。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6.主持人可以控制锁定房间，保证课堂安全，避免陌生人加入影响课堂。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7.支持用户在云课件中进行远程同步课堂活动，异地教室的学生可同时在大屏上参与活动。支持至少6种类型、50个模板的课堂活动。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生成拍照上传二维码，使用手机微信扫码后，可直接拍照或选择手机相册的照片，实时上传至授课教室大屏，听课成员同步显示照片内容，且分别支持授权授课老师与听课成员的对照片进行拖动、放大、批注操作，实现远程讲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9.提供不少于4个通用工具，8个学科工具，支持语文、数学、英语、美术、地理等学科使用，并支持授课老师与听课成员多方交互触控。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【移动端】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1.为保证APP安全性，需通过官方应用商城进行下载并安装。iOS支持通过官方AppStore下载，安卓端支持通过应用宝进行下载。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2.安卓端或iOS端支持通过手机号或房间号加入互动课堂以及网络教研，支持音视频互动以及文字互动。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安卓端或iOS端支持观看“互动课堂”课后报告，可查看互动数据、直播数据，互动数据包含：可查看互动时长、人均参与时长、参与人数、互动工具使用次数，直播数据包含：观看人次、人气峰值、直播总时长、点评人数、点评条数、点赞总数、签到人数。</w:t>
            </w:r>
          </w:p>
        </w:tc>
        <w:tc>
          <w:tcPr>
            <w:tcW w:w="700" w:type="dxa"/>
            <w:shd w:val="clear" w:color="000000" w:fill="FFFFFF"/>
            <w:vAlign w:val="center"/>
          </w:tcPr>
          <w:p w14:paraId="48BCBBB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6F013E2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DBCEB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4976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79CAC6F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w:t>
            </w:r>
          </w:p>
        </w:tc>
        <w:tc>
          <w:tcPr>
            <w:tcW w:w="680" w:type="dxa"/>
            <w:shd w:val="clear" w:color="000000" w:fill="FFFFFF"/>
            <w:vAlign w:val="center"/>
          </w:tcPr>
          <w:p w14:paraId="1FC6E96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阵列麦克风</w:t>
            </w:r>
          </w:p>
        </w:tc>
        <w:tc>
          <w:tcPr>
            <w:tcW w:w="6285" w:type="dxa"/>
            <w:shd w:val="clear" w:color="000000" w:fill="FFFFFF"/>
            <w:vAlign w:val="center"/>
          </w:tcPr>
          <w:p w14:paraId="046B431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麦克风采用≧4核的国产音频芯片。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麦克风频率响应范围不低于50Hz~16KHz。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麦克风拾音半径≧8m。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麦克风信噪比≧68dB。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麦克风声压级≧130dBSPL，10%THD@1 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麦克风无需额外适配器供电，能够通过网线实现麦克风供电、音频信号传输、参数调整。</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麦克风具备≧1个状态指示灯，可显示麦克风工作状态。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麦克风采用标准1/4吋螺口，适配各种类型标准吊杆。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麦克风支持≧2个数字音频接口，每个接口都具备输入接口和输出接口能力，支持盲插。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麦克风支持≧1个Type-C接口。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麦克风内置≧8个硅麦传感器单元。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麦克风支持在线OTA，可在线对麦克风进行升级，无需人员现场维护。</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麦克风支持降噪、回声抵消、混响抑制、自动增益控制、多麦融合多种音频算法。</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 麦克风支持无损数字音频传输，避免模拟信号传输导致的电流干扰。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 麦克风套件标配2支麦克风和2套安装支架。</w:t>
            </w:r>
          </w:p>
        </w:tc>
        <w:tc>
          <w:tcPr>
            <w:tcW w:w="700" w:type="dxa"/>
            <w:shd w:val="clear" w:color="000000" w:fill="FFFFFF"/>
            <w:vAlign w:val="center"/>
          </w:tcPr>
          <w:p w14:paraId="7F10C88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075BDB3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768" w:type="dxa"/>
            <w:shd w:val="clear" w:color="000000" w:fill="FFFFFF"/>
            <w:vAlign w:val="center"/>
          </w:tcPr>
          <w:p w14:paraId="65CB41D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703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25870E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22</w:t>
            </w:r>
          </w:p>
        </w:tc>
        <w:tc>
          <w:tcPr>
            <w:tcW w:w="680" w:type="dxa"/>
            <w:shd w:val="clear" w:color="000000" w:fill="FFFFFF"/>
            <w:vAlign w:val="center"/>
          </w:tcPr>
          <w:p w14:paraId="29CE828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麦克风音频处理系统</w:t>
            </w:r>
          </w:p>
        </w:tc>
        <w:tc>
          <w:tcPr>
            <w:tcW w:w="6285" w:type="dxa"/>
            <w:shd w:val="clear" w:color="000000" w:fill="FFFFFF"/>
            <w:vAlign w:val="center"/>
          </w:tcPr>
          <w:p w14:paraId="022B842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支持全频带全双工自适应回声消除算法。</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支持全频自适应AI降噪技术，降噪电平≧24dB。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支持自动增益控制。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支持啸叫抑制。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支持智能混音，可智能选择最佳麦克风采集音频。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支持多通道音频矩阵，可根据场景需求进行相应设置。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支持音频参数调节。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支持波束成形。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支持远程OTA升级。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支持连接录播主机作为录播音频输入设备使用，也可连接Windows系统，并为其提供音频输入。</w:t>
            </w:r>
          </w:p>
        </w:tc>
        <w:tc>
          <w:tcPr>
            <w:tcW w:w="700" w:type="dxa"/>
            <w:shd w:val="clear" w:color="000000" w:fill="FFFFFF"/>
            <w:vAlign w:val="center"/>
          </w:tcPr>
          <w:p w14:paraId="3FA27FD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093C2D4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768" w:type="dxa"/>
            <w:shd w:val="clear" w:color="000000" w:fill="FFFFFF"/>
            <w:vAlign w:val="center"/>
          </w:tcPr>
          <w:p w14:paraId="3044E82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70C7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2366C6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23</w:t>
            </w:r>
          </w:p>
        </w:tc>
        <w:tc>
          <w:tcPr>
            <w:tcW w:w="680" w:type="dxa"/>
            <w:shd w:val="clear" w:color="000000" w:fill="FFFFFF"/>
            <w:vAlign w:val="center"/>
          </w:tcPr>
          <w:p w14:paraId="4E093D1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无线麦克风</w:t>
            </w:r>
          </w:p>
        </w:tc>
        <w:tc>
          <w:tcPr>
            <w:tcW w:w="6285" w:type="dxa"/>
            <w:shd w:val="clear" w:color="000000" w:fill="FFFFFF"/>
            <w:vAlign w:val="center"/>
          </w:tcPr>
          <w:p w14:paraId="5D3D465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麦克风支持≧1个3.5mm音频接口，可输入头戴麦音频信号，输出幅值≧2V（RMS）。整机3.5mm音频接口≧2个。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麦克风整机≧1个USB Type-C接口。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麦克风支持≧1个Pogo pin接口，支持通过Pogo pin接口进行充电。整机Pogo pin接口≧2个。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麦克风支持≧1个三合一按键，可控制麦克风的开关机、静音和配对。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麦克风支持≧2个音量控制按钮，可通过音量“+”“—”按钮控制麦克风输出音量。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麦克风单体重量≧30g。</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麦克风标配充电仓，方便快速充电及收纳。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麦克风充电仓支持电量指示，通过灯珠亮灭数量充电仓剩余电量及充电状态。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支持任意两个麦克风放入同一个充电仓完成配对，配对后两个麦克风可同时连接一个接收端。</w:t>
            </w:r>
          </w:p>
        </w:tc>
        <w:tc>
          <w:tcPr>
            <w:tcW w:w="700" w:type="dxa"/>
            <w:shd w:val="clear" w:color="000000" w:fill="FFFFFF"/>
            <w:vAlign w:val="center"/>
          </w:tcPr>
          <w:p w14:paraId="69EC599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3C872B3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0B18B3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F71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585" w:type="dxa"/>
            <w:shd w:val="clear" w:color="000000" w:fill="FFFFFF"/>
            <w:vAlign w:val="center"/>
          </w:tcPr>
          <w:p w14:paraId="25FA2D1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24</w:t>
            </w:r>
          </w:p>
        </w:tc>
        <w:tc>
          <w:tcPr>
            <w:tcW w:w="680" w:type="dxa"/>
            <w:shd w:val="clear" w:color="000000" w:fill="FFFFFF"/>
            <w:vAlign w:val="center"/>
          </w:tcPr>
          <w:p w14:paraId="7EEE6F9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无线麦克风音频处理系统</w:t>
            </w:r>
          </w:p>
        </w:tc>
        <w:tc>
          <w:tcPr>
            <w:tcW w:w="6285" w:type="dxa"/>
            <w:shd w:val="clear" w:color="000000" w:fill="FFFFFF"/>
            <w:vAlign w:val="center"/>
          </w:tcPr>
          <w:p w14:paraId="3BE741F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麦克风应采用基于Bluetooth 5.2的LE Audio技术标准，保证高品质抗干扰、低功耗、低延时传输。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麦克风音频编码方式采用LC3 plus。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支持啸叫抑制算法，当音箱安装在正常高度（2.5m）时，本地扩声教室后排9m距离音量为75dB时，通过算法可实现本地扩声无啸叫现象。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支持全频自适应降噪技术。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支持全频自适应降噪技术。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支持智能混音，支持多通道输入混音。</w:t>
            </w:r>
          </w:p>
        </w:tc>
        <w:tc>
          <w:tcPr>
            <w:tcW w:w="700" w:type="dxa"/>
            <w:shd w:val="clear" w:color="000000" w:fill="FFFFFF"/>
            <w:vAlign w:val="center"/>
          </w:tcPr>
          <w:p w14:paraId="19E5B3A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E725B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475A06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47C7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6685C6A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25</w:t>
            </w:r>
          </w:p>
        </w:tc>
        <w:tc>
          <w:tcPr>
            <w:tcW w:w="680" w:type="dxa"/>
            <w:shd w:val="clear" w:color="000000" w:fill="FFFFFF"/>
            <w:vAlign w:val="center"/>
          </w:tcPr>
          <w:p w14:paraId="4690B1A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音箱</w:t>
            </w:r>
          </w:p>
        </w:tc>
        <w:tc>
          <w:tcPr>
            <w:tcW w:w="6285" w:type="dxa"/>
            <w:shd w:val="clear" w:color="000000" w:fill="FFFFFF"/>
            <w:vAlign w:val="center"/>
          </w:tcPr>
          <w:p w14:paraId="4927FBC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1.采用功放与互动音箱一体化设计，帮助教师实现多媒体扩音以及本地扩声功能。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2.双音箱有线连接，机箱采用塑胶材质，保护设备免受环境影响。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3.输出额定功率≧2*15W。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4.配置独立音频数字信号处理芯片，支持啸叫抑制功能。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5.支持教师扩声和输入音源叠加输出。</w:t>
            </w:r>
          </w:p>
        </w:tc>
        <w:tc>
          <w:tcPr>
            <w:tcW w:w="700" w:type="dxa"/>
            <w:shd w:val="clear" w:color="000000" w:fill="FFFFFF"/>
            <w:vAlign w:val="center"/>
          </w:tcPr>
          <w:p w14:paraId="296EAB8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对</w:t>
            </w:r>
          </w:p>
        </w:tc>
        <w:tc>
          <w:tcPr>
            <w:tcW w:w="632" w:type="dxa"/>
            <w:shd w:val="clear" w:color="000000" w:fill="FFFFFF"/>
            <w:vAlign w:val="center"/>
          </w:tcPr>
          <w:p w14:paraId="26BF03E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579F675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8BE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3B0F8B2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26</w:t>
            </w:r>
          </w:p>
        </w:tc>
        <w:tc>
          <w:tcPr>
            <w:tcW w:w="680" w:type="dxa"/>
            <w:shd w:val="clear" w:color="000000" w:fill="FFFFFF"/>
            <w:vAlign w:val="center"/>
          </w:tcPr>
          <w:p w14:paraId="39FA3BA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显示终端</w:t>
            </w:r>
          </w:p>
        </w:tc>
        <w:tc>
          <w:tcPr>
            <w:tcW w:w="6285" w:type="dxa"/>
            <w:shd w:val="clear" w:color="000000" w:fill="FFFFFF"/>
            <w:vAlign w:val="center"/>
          </w:tcPr>
          <w:p w14:paraId="33275E9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1.屏幕物理尺寸≧55英寸，分辨率≧3840*2160，刷新率≧60Hz，可视角度≧±176度。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2.整机功耗≧120W，待机功耗≧0.5W。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3.内置喇叭个数≧2，喇叭总功率≧16W。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4.USB通道支持不少于12种音视频文件格式，USB接口数量≧2。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5.HDMI输入通道数量≧3、模拟RF接口≧1、AV接口≧1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6.支持HDMI接入检测开机，HDMI有输入信号后，可自动开机，至少有3个HDMI接口支持该功能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7.支持HDMI接入检测关机，HDMI输入信号消失后2分钟，可自动进入关机状态，至少有3个HDMI接口支持该功能</w:t>
            </w:r>
          </w:p>
        </w:tc>
        <w:tc>
          <w:tcPr>
            <w:tcW w:w="700" w:type="dxa"/>
            <w:shd w:val="clear" w:color="000000" w:fill="FFFFFF"/>
            <w:vAlign w:val="center"/>
          </w:tcPr>
          <w:p w14:paraId="632F09E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F436F6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2C9BEEA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9D0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585" w:type="dxa"/>
            <w:shd w:val="clear" w:color="000000" w:fill="FFFFFF"/>
            <w:vAlign w:val="center"/>
          </w:tcPr>
          <w:p w14:paraId="2E9B620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27</w:t>
            </w:r>
          </w:p>
        </w:tc>
        <w:tc>
          <w:tcPr>
            <w:tcW w:w="680" w:type="dxa"/>
            <w:shd w:val="clear" w:color="000000" w:fill="FFFFFF"/>
            <w:vAlign w:val="center"/>
          </w:tcPr>
          <w:p w14:paraId="6574632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Ai课堂分析系统</w:t>
            </w:r>
          </w:p>
        </w:tc>
        <w:tc>
          <w:tcPr>
            <w:tcW w:w="6285" w:type="dxa"/>
            <w:shd w:val="clear" w:color="000000" w:fill="FFFFFF"/>
            <w:vAlign w:val="center"/>
          </w:tcPr>
          <w:p w14:paraId="32EA1C4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系统支持对教室环境的3D还原重建，形成桌椅、讲台、一体机的真实环境建模，采集到的师生互动行为自动对应到具体课桌位置；支持≧5种视角转换，正前方、左前方、右前方、左后方、右后方。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在3D课堂孪生界面中，通过课桌的颜色深浅表示学生参与互动的活跃程度，基于学生上台次数、举手次数、问答次数计算学生活跃程度，颜色越深则代表越活跃。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在3D课堂孪生界面中，支持点击课堂活跃热力图中的学生头像，查看该学生的师生互动视频片段，统计该学生在本节课的上台互动、举手次数、问答次数。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在3D课堂孪生界面中，支持在地面上显示教师的巡堂轨迹，颜色越深代表停留时间越长。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系统根据教学内容自动生成师生问答、课堂互动、新课标落实三个维度的课堂反馈建议，可查看全部提问、符合知识性目标的提问、不合适的提问、提问优化建议、课堂互动建议、基于新课标的亮点和改进建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系统支持统计课程时长、课堂中教师讲授时长、教师讲授字数、教师授课平均语速。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系统自动统计教师授课、师生互动、小组讨论、课堂练习的时间分布情况，支持图形可视化展示不同课堂行为的整体时间占比。</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系统支持点击问答模式柱状图对该类型的提问进行筛选，问答实录中显示对应文字明细，明细会按师生角色区分，并自动进行分段分句，支持跳转到文字段落对应的视频片段。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系统支持通过弗兰德斯编码规则对课堂数据进行每秒1次的打点，自动计算出启发/指导比（I/D）、学生稳态比（PSSR）、教学内容比（CCR）、学生发言比（PIR）、教师提问比（TQR）。</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系统支持将本堂课的弗兰德斯编码数值和标准数值进行对比，通过上下箭头呈现高于或低于标准数值；可查看弗兰德斯矩阵编码打点信息，每1秒为一个点，将课堂的全部过程进行打点标记。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系统支持教师画面、学生画面双窗口显示，小窗口可自由拖动位置和自由切换；视频画面于互动课件一一对应，点击互动课件缩略图，可跳转至对应视频片段。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系统支持以海报、二维码、链接的方式分享给他人。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系统支持在移动端查看报告。</w:t>
            </w:r>
          </w:p>
        </w:tc>
        <w:tc>
          <w:tcPr>
            <w:tcW w:w="700" w:type="dxa"/>
            <w:shd w:val="clear" w:color="000000" w:fill="FFFFFF"/>
            <w:vAlign w:val="center"/>
          </w:tcPr>
          <w:p w14:paraId="262B431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B0E3C9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268EE0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5B71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585" w:type="dxa"/>
            <w:shd w:val="clear" w:color="000000" w:fill="FFFFFF"/>
            <w:vAlign w:val="center"/>
          </w:tcPr>
          <w:p w14:paraId="57ACC2D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28</w:t>
            </w:r>
          </w:p>
        </w:tc>
        <w:tc>
          <w:tcPr>
            <w:tcW w:w="680" w:type="dxa"/>
            <w:shd w:val="clear" w:color="000000" w:fill="FFFFFF"/>
            <w:vAlign w:val="center"/>
          </w:tcPr>
          <w:p w14:paraId="3D5DF63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导播显示器</w:t>
            </w:r>
          </w:p>
        </w:tc>
        <w:tc>
          <w:tcPr>
            <w:tcW w:w="6285" w:type="dxa"/>
            <w:shd w:val="clear" w:color="000000" w:fill="FFFFFF"/>
            <w:vAlign w:val="center"/>
          </w:tcPr>
          <w:p w14:paraId="64415E3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1.屏幕尺寸：≧23.8英寸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2.分辨率：1920*1080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3.VA屏幕比例：16:9</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4.接口：HDMI，VGA</w:t>
            </w:r>
          </w:p>
        </w:tc>
        <w:tc>
          <w:tcPr>
            <w:tcW w:w="700" w:type="dxa"/>
            <w:shd w:val="clear" w:color="000000" w:fill="FFFFFF"/>
            <w:vAlign w:val="center"/>
          </w:tcPr>
          <w:p w14:paraId="7BA148B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BD08E8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F5A336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82E4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7D7507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29</w:t>
            </w:r>
          </w:p>
        </w:tc>
        <w:tc>
          <w:tcPr>
            <w:tcW w:w="680" w:type="dxa"/>
            <w:shd w:val="clear" w:color="000000" w:fill="FFFFFF"/>
            <w:vAlign w:val="center"/>
          </w:tcPr>
          <w:p w14:paraId="2B93D86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导播键盘</w:t>
            </w:r>
          </w:p>
        </w:tc>
        <w:tc>
          <w:tcPr>
            <w:tcW w:w="6285" w:type="dxa"/>
            <w:shd w:val="clear" w:color="000000" w:fill="FFFFFF"/>
            <w:vAlign w:val="center"/>
          </w:tcPr>
          <w:p w14:paraId="1AAD238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1.整机采用纯金属材质，全铝机身，CNC工艺，坚固耐用，质感十足，底部配备≧4个硅胶垫，桌面使用更加稳固；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采用彩色背光按键，按键数量≧29个，背光颜色≧3种，可通过不同颜色表征不同的工作状态，简化老师理解，支持背光亮度调节，可以根据教室光线环境和用户喜好自行调节背光亮度，满足不同场景和用户使用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3.整机配备云台操纵杆，通过整机摇杆操作，支持不少于8个方向的云台控制，可通过操纵杆的倾斜程度实现对云台摄像机的转动速度控制，同时可通过操纵杆实现ZOOM拉近拉远控制，满足精准的拍摄取景；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4.支持一键复位功能，可通过云台操纵杆，快速将摄像机复位到开机预置位画面；</w:t>
            </w:r>
          </w:p>
        </w:tc>
        <w:tc>
          <w:tcPr>
            <w:tcW w:w="700" w:type="dxa"/>
            <w:shd w:val="clear" w:color="000000" w:fill="FFFFFF"/>
            <w:vAlign w:val="center"/>
          </w:tcPr>
          <w:p w14:paraId="017C649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FDE61B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24C8F4A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64E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2165248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w:t>
            </w:r>
          </w:p>
        </w:tc>
        <w:tc>
          <w:tcPr>
            <w:tcW w:w="680" w:type="dxa"/>
            <w:shd w:val="clear" w:color="000000" w:fill="FFFFFF"/>
            <w:vAlign w:val="center"/>
          </w:tcPr>
          <w:p w14:paraId="1D6B847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导播控制台应用系统</w:t>
            </w:r>
          </w:p>
        </w:tc>
        <w:tc>
          <w:tcPr>
            <w:tcW w:w="6285" w:type="dxa"/>
            <w:shd w:val="clear" w:color="000000" w:fill="FFFFFF"/>
            <w:vAlign w:val="center"/>
          </w:tcPr>
          <w:p w14:paraId="22B16FF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整机应支持不少于5个预置位，支持云台预置位设定，预置位设定无需打开其他设置软件，可直接通过键盘完成预置位设定，设定后预置位即刻生效，用户设定预置位过程有灯光提示，减少用户误操作的概率，预置位调用过程中导播键盘提供灯光颜色变化提示+蜂鸣器提示，给用户最准确的操控反馈，用户可直接通过预置位调用控制录制画面切换当前选中的某个预置位，实现对拍摄角度的精准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2.支持云台摄像机控制选择，用户可以通过整机按键操作，支持≧5个摄像机通道选择，通道选择完成后，键盘操控命令仅对选中摄像机生效，不会产生串码；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整机与录播主机操作同步，用户通过导播键盘，可以实现开始、暂停、停止、三种录制状态控制，控制实时性良好，能够做到即点即录，无需等待，控制过程导播键盘提供灯光颜色变化提示+蜂鸣器提示，给用户最准确的操控反馈；</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4.支持导播模式控制，用户可根据使用场景需要，设置当前的导播模式，整机可设置录播主机为自动导播模式和手动导播模式，满足不同场景需求；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5.支持≧6种画面布局，包含单画面、双画面、画中画、三画面、四画面、自定义布局；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6.支持导播控制，用户可通过整机按键操作实现导播画面选择，选中通道能够高亮显示，支持≧6个导播通道控制；</w:t>
            </w:r>
          </w:p>
        </w:tc>
        <w:tc>
          <w:tcPr>
            <w:tcW w:w="700" w:type="dxa"/>
            <w:shd w:val="clear" w:color="000000" w:fill="FFFFFF"/>
            <w:vAlign w:val="center"/>
          </w:tcPr>
          <w:p w14:paraId="2229079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6DA7D9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7EA808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1E964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4118E4B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31</w:t>
            </w:r>
          </w:p>
        </w:tc>
        <w:tc>
          <w:tcPr>
            <w:tcW w:w="680" w:type="dxa"/>
            <w:shd w:val="clear" w:color="000000" w:fill="FFFFFF"/>
            <w:vAlign w:val="center"/>
          </w:tcPr>
          <w:p w14:paraId="1741597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资源管理平台</w:t>
            </w:r>
          </w:p>
        </w:tc>
        <w:tc>
          <w:tcPr>
            <w:tcW w:w="6285" w:type="dxa"/>
            <w:shd w:val="clear" w:color="000000" w:fill="FFFFFF"/>
            <w:vAlign w:val="center"/>
          </w:tcPr>
          <w:p w14:paraId="5AAD6A7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1、平台基础管理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1)系统应采用模块化设计，便于运维管理，采用设计B/S架构，用户可通过浏览器实现数据看板查看、实时巡课、名师示范课点播、用户管理等功能。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系统应至少提供超级管理员、内容管理员、权限管理员、专递课堂管理员四种默认角色，分别具备不同模块的管理权限；在添加区域管理员时，可根据所属的行政地区，为不同层级的管理者设置所管辖的区域权限。</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3)系统应支持管理员根据不同教师的工作需求创建角色，自定义该角色的名称和可使用的功能权限；并可查看各角色的人数，方便管理。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4)教师应可以通过自主账号登录平台，根据教师个人学习需求对全区域的名师示范课等视频课程进行筛选、点播观看、在线学习。</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5)录播主机录制的视频应可以自动上传至平台，支持本校教师或管理员可对视频进行名称编辑、学科学段编辑、下载、删除、发布课程等操作。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6)在课程发布时，应可选择对应的学段、学科、发布模块、示范课分类等，方便用户按不同维度查找课程。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7)系统应支持名师、名校、教研组等认证管理。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8)平台应支持本地视频上传，对上传视频可进行标题描述、课程介绍等设置，可选择默认的视频缩略图封面，也可选择本地图片上传成为封面。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9)在添加课程计划、课程审核通过/被拒绝、认证成功、成功加入教研组等消息可在主页面实时提醒。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10)设备管理功能：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①. 平台需实时显示学校内设备总数、在线设备总数、正在直播或录制的活跃设备数，实时呈现学校录播设备整体情况；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②. 学校管理员应可实时监控校内录播设备的状态，包括设备CPU占用率、网络上下行带宽、磁盘空间情况、内存情况、系统版本，方便远程运维；</w:t>
            </w:r>
            <w:r>
              <w:rPr>
                <w:rFonts w:hint="eastAsia" w:ascii="宋体" w:hAnsi="宋体" w:cs="宋体"/>
                <w:color w:val="auto"/>
                <w:kern w:val="0"/>
                <w:sz w:val="18"/>
                <w:szCs w:val="18"/>
              </w:rPr>
              <w:br w:type="textWrapping"/>
            </w:r>
            <w:r>
              <w:rPr>
                <w:rFonts w:hint="eastAsia" w:ascii="宋体" w:hAnsi="宋体" w:cs="宋体"/>
                <w:color w:val="auto"/>
                <w:kern w:val="0"/>
                <w:sz w:val="18"/>
                <w:szCs w:val="18"/>
              </w:rPr>
              <w:t>③. 平台需支持学校管理员进行远程关机、重启、密码设置等操作。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11)学校管理员可设置录播设备的直播模式为公网直播，自由发起公网直播活动，方便举办公开课、校园培训等活动。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12)支持用户创建直播，提前设置预约直播信息，并获取直播地址及二维码海报，方便提前发布直播信息。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13)可根据直播开始时间和结束时间，分类显示所有直播的当前状态，包括未开始、进行中、已结束；用户可通过状态筛选不同的直播进行编辑管理。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14)应支持模糊搜索，支持输入与直播名称相关的关键字，搜索直播活动。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15)支持设置观众签到的输入信息，可选择仅输入“姓名”或“姓名、班级/学校/单位”。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16)平台应支持临时发起签到，直播开始后，可对所有正在观看直播的用户发起签到；观众会在直播界面收到实时的签到提醒，帮助教师及时收集观众在线情况。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17)平台应支持活动数据导出，支持教师以Excel格式导出签到结果，签到结果包括每次签到用户的姓名、账号等信息。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18)在直播开始后系统应支持查看直播的人气峰值、观看人次、累计点赞、观众发言次数、签到人数等数据，随时掌握直播情况。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19)授课教师可选择直播中各时段生成的回放视频，发布至名校网络课堂/名师示范课，方便其他师生观看。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平台支持数据统计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1)用户应可浏览所管辖的区域数据，包括开通学校总数、加入教师总数、录播教室总数、专递课程总数、课程资源总数、课程观看人次，并可在看板中呈现以上6个数据近一个月的新增数量。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2)平台首页应支持看板功能，看板呈现区域内已加入平台的教室的学段学科分布情况，并支持显示学段教室的占比数据，点击具体学段即可显示对应的学科分布情况。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3)平台系统应支持区域地图看板呈现，通过选定地图看板的任意区域，可直观展示各下辖区域的开通学校数量、加入教室数量、专递课堂数量等数据。点击任意区域可进入并查看该区域的详细数据情况。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4)专递课堂、名师课堂、名校网络课堂等模块数据均支持用户选择不同区域，包含地市、区县等维度进行数据查询，同时也支持时间段包含本学期、本月、本周等维度进行数据查询。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平台支持移动端观看课程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1)在名师网络课堂/名师示范课的课程页面中，平台需支持一键生成分享海报，可一键复制观看链接，方便分享给其他观众，通过移动端打开观看。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2)分享海报中应包括课程名称、主讲人、学校名称及二维码等信息。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平台支持视频在线剪辑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1)平台需支持用户对本地上传或录播机录制的视频，通过浏览器完成在线剪辑，将视频的无效内容删除，保留课堂中的重难点和精彩部分。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2)需支持视频截图功能，支持用户通过拖拽视频起点与终点，快速去除头部或尾部的无效内容，截取保留视频中的重点部分。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平台运维与服务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1)产品需支持多用户高并发使用场景，具备高容错、强容灾能力，保证各项工作的正常进行。</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2)投标产品需定期对技术负责人员、现场建设方的技术、业务人员进行平台运行管理、日常维护、使用操作及资源管理等方面的培训。</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3)应提供7×12小时在线接报服务。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4)建设完成后应培训用户使用三个课堂应用管理平台，并提供相关的使用说明手册。</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5)平台应支持全局负载均衡技术，支持双数据中心部署，即使在单个数据中心故障的极端情况下，依然可以保障服务稳定高可用。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6)平台应可支撑日百万级别用户访问。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7)平台系统应具备根据应用负载情况自动伸缩的能力，实现分钟级别应用部署和扩容。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8)管理后台应支持监控告警机制，对系统各层级具备监控和告警能力。</w:t>
            </w:r>
          </w:p>
        </w:tc>
        <w:tc>
          <w:tcPr>
            <w:tcW w:w="700" w:type="dxa"/>
            <w:shd w:val="clear" w:color="000000" w:fill="FFFFFF"/>
            <w:vAlign w:val="center"/>
          </w:tcPr>
          <w:p w14:paraId="5DA2F7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36B8D6E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A2417F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5B77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0DCAAD4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32</w:t>
            </w:r>
          </w:p>
        </w:tc>
        <w:tc>
          <w:tcPr>
            <w:tcW w:w="680" w:type="dxa"/>
            <w:shd w:val="clear" w:color="000000" w:fill="FFFFFF"/>
            <w:vAlign w:val="center"/>
          </w:tcPr>
          <w:p w14:paraId="351491A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简易空间装饰</w:t>
            </w:r>
          </w:p>
        </w:tc>
        <w:tc>
          <w:tcPr>
            <w:tcW w:w="6285" w:type="dxa"/>
            <w:shd w:val="clear" w:color="000000" w:fill="FFFFFF"/>
            <w:vAlign w:val="center"/>
          </w:tcPr>
          <w:p w14:paraId="45792C4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1、环境要求：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（1）要求整体简装修环境应美观大方协调。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（2）简装修基础部分要求必须阻燃处理。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2、技术需求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（1）顶棚设计：顶棚使用矿棉吸音板吊顶。建议使用标准≧600*600规格的矿棉吸音板。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（2）四周墙壁：四周墙壁使用高性能聚酯纤维吸音棉。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（3）地面装修：地面采用PVC塑胶地板。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（4）观摩室玻璃：8个厚双钢化玻璃（不低于</w:t>
            </w:r>
            <w:r>
              <w:rPr>
                <w:rFonts w:ascii="宋体" w:hAnsi="宋体" w:cs="宋体"/>
                <w:color w:val="auto"/>
                <w:kern w:val="0"/>
                <w:sz w:val="18"/>
                <w:szCs w:val="18"/>
              </w:rPr>
              <w:t>3</w:t>
            </w:r>
            <w:r>
              <w:rPr>
                <w:rFonts w:hint="eastAsia" w:ascii="宋体" w:hAnsi="宋体" w:cs="宋体"/>
                <w:color w:val="auto"/>
                <w:kern w:val="0"/>
                <w:sz w:val="18"/>
                <w:szCs w:val="18"/>
              </w:rPr>
              <w:t>000*1200）单面贴单透膜，观摩墙:轻钢龙骨支架，木工板衬底，石膏板饰面，内外铺吸音板。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3、灯光要求：教室遵循均匀布光原则。主要以下三个方面：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（1）光线的照度：平均照度达到900lux，采用冷光源布光；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（2）灯光的色温：3050±150K；</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（3）灯光的显色指数：显色指数：Ra＞85。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以上尺寸和数量可根据教室实际情况进行调整。</w:t>
            </w:r>
          </w:p>
        </w:tc>
        <w:tc>
          <w:tcPr>
            <w:tcW w:w="700" w:type="dxa"/>
            <w:shd w:val="clear" w:color="000000" w:fill="FFFFFF"/>
            <w:vAlign w:val="center"/>
          </w:tcPr>
          <w:p w14:paraId="0414242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0C4A3BD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34DAF9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建筑业</w:t>
            </w:r>
          </w:p>
        </w:tc>
      </w:tr>
      <w:tr w14:paraId="50FA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585" w:type="dxa"/>
            <w:shd w:val="clear" w:color="000000" w:fill="FFFFFF"/>
            <w:vAlign w:val="center"/>
          </w:tcPr>
          <w:p w14:paraId="77109D8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33</w:t>
            </w:r>
          </w:p>
        </w:tc>
        <w:tc>
          <w:tcPr>
            <w:tcW w:w="680" w:type="dxa"/>
            <w:shd w:val="clear" w:color="000000" w:fill="FFFFFF"/>
            <w:vAlign w:val="center"/>
          </w:tcPr>
          <w:p w14:paraId="217ACE9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学生课桌凳</w:t>
            </w:r>
          </w:p>
        </w:tc>
        <w:tc>
          <w:tcPr>
            <w:tcW w:w="6285" w:type="dxa"/>
            <w:shd w:val="clear" w:color="000000" w:fill="FFFFFF"/>
            <w:vAlign w:val="center"/>
          </w:tcPr>
          <w:p w14:paraId="5938FA9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highlight w:val="none"/>
              </w:rPr>
              <w:t>桌面</w:t>
            </w:r>
            <w:r>
              <w:rPr>
                <w:rFonts w:hint="eastAsia" w:ascii="宋体" w:hAnsi="宋体" w:cs="宋体"/>
                <w:color w:val="auto"/>
                <w:kern w:val="0"/>
                <w:sz w:val="18"/>
                <w:szCs w:val="18"/>
                <w:highlight w:val="none"/>
                <w:lang w:eastAsia="zh-CN"/>
              </w:rPr>
              <w:t>尺寸</w:t>
            </w:r>
            <w:r>
              <w:rPr>
                <w:rFonts w:hint="eastAsia" w:ascii="宋体" w:hAnsi="宋体" w:cs="宋体"/>
                <w:color w:val="auto"/>
                <w:kern w:val="0"/>
                <w:sz w:val="18"/>
                <w:szCs w:val="18"/>
                <w:highlight w:val="none"/>
              </w:rPr>
              <w:t>400✘600±</w:t>
            </w:r>
            <w:r>
              <w:rPr>
                <w:rFonts w:ascii="宋体" w:hAnsi="宋体" w:cs="宋体"/>
                <w:color w:val="auto"/>
                <w:kern w:val="0"/>
                <w:sz w:val="18"/>
                <w:szCs w:val="18"/>
                <w:highlight w:val="none"/>
              </w:rPr>
              <w:t>2mm</w:t>
            </w:r>
            <w:r>
              <w:rPr>
                <w:rFonts w:hint="eastAsia" w:ascii="宋体" w:hAnsi="宋体" w:cs="宋体"/>
                <w:color w:val="auto"/>
                <w:kern w:val="0"/>
                <w:sz w:val="18"/>
                <w:szCs w:val="18"/>
                <w:highlight w:val="none"/>
              </w:rPr>
              <w:t>，桌面pp料，高750可以调节，管材≧1.2厚国标优质钢材，凳面</w:t>
            </w:r>
            <w:r>
              <w:rPr>
                <w:rFonts w:hint="eastAsia" w:ascii="宋体" w:hAnsi="宋体" w:cs="宋体"/>
                <w:color w:val="auto"/>
                <w:kern w:val="0"/>
                <w:sz w:val="18"/>
                <w:szCs w:val="18"/>
                <w:highlight w:val="none"/>
                <w:lang w:eastAsia="zh-CN"/>
              </w:rPr>
              <w:t>尺寸</w:t>
            </w:r>
            <w:r>
              <w:rPr>
                <w:rFonts w:hint="eastAsia" w:ascii="宋体" w:hAnsi="宋体" w:cs="宋体"/>
                <w:color w:val="auto"/>
                <w:kern w:val="0"/>
                <w:sz w:val="18"/>
                <w:szCs w:val="18"/>
                <w:highlight w:val="none"/>
              </w:rPr>
              <w:t>320✘240±</w:t>
            </w:r>
            <w:r>
              <w:rPr>
                <w:rFonts w:ascii="宋体" w:hAnsi="宋体" w:cs="宋体"/>
                <w:color w:val="auto"/>
                <w:kern w:val="0"/>
                <w:sz w:val="18"/>
                <w:szCs w:val="18"/>
                <w:highlight w:val="none"/>
              </w:rPr>
              <w:t>2mm</w:t>
            </w:r>
            <w:r>
              <w:rPr>
                <w:rFonts w:hint="eastAsia" w:ascii="宋体" w:hAnsi="宋体" w:cs="宋体"/>
                <w:color w:val="auto"/>
                <w:kern w:val="0"/>
                <w:sz w:val="18"/>
                <w:szCs w:val="18"/>
                <w:highlight w:val="none"/>
              </w:rPr>
              <w:t>可调节高度。</w:t>
            </w:r>
          </w:p>
        </w:tc>
        <w:tc>
          <w:tcPr>
            <w:tcW w:w="700" w:type="dxa"/>
            <w:shd w:val="clear" w:color="000000" w:fill="FFFFFF"/>
            <w:vAlign w:val="center"/>
          </w:tcPr>
          <w:p w14:paraId="6747179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5155B91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48</w:t>
            </w:r>
          </w:p>
        </w:tc>
        <w:tc>
          <w:tcPr>
            <w:tcW w:w="768" w:type="dxa"/>
            <w:shd w:val="clear" w:color="000000" w:fill="FFFFFF"/>
            <w:vAlign w:val="center"/>
          </w:tcPr>
          <w:p w14:paraId="6ABAEF8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9E0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85" w:type="dxa"/>
            <w:shd w:val="clear" w:color="000000" w:fill="FFFFFF"/>
            <w:vAlign w:val="center"/>
          </w:tcPr>
          <w:p w14:paraId="0D8BF4F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34</w:t>
            </w:r>
          </w:p>
        </w:tc>
        <w:tc>
          <w:tcPr>
            <w:tcW w:w="680" w:type="dxa"/>
            <w:shd w:val="clear" w:color="000000" w:fill="FFFFFF"/>
            <w:vAlign w:val="center"/>
          </w:tcPr>
          <w:p w14:paraId="72652F7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导播桌椅</w:t>
            </w:r>
          </w:p>
        </w:tc>
        <w:tc>
          <w:tcPr>
            <w:tcW w:w="6285" w:type="dxa"/>
            <w:shd w:val="clear" w:color="000000" w:fill="FFFFFF"/>
            <w:vAlign w:val="center"/>
          </w:tcPr>
          <w:p w14:paraId="343C5B15">
            <w:pPr>
              <w:pStyle w:val="111"/>
              <w:widowControl/>
              <w:numPr>
                <w:ilvl w:val="0"/>
                <w:numId w:val="4"/>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桌子</w:t>
            </w:r>
          </w:p>
          <w:p w14:paraId="6D372CF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1：尺寸：L1400×W600×H750</w:t>
            </w:r>
            <w:r>
              <w:rPr>
                <w:rFonts w:ascii="宋体" w:hAnsi="宋体" w:cs="宋体"/>
                <w:color w:val="auto"/>
                <w:kern w:val="0"/>
                <w:sz w:val="18"/>
                <w:szCs w:val="18"/>
              </w:rPr>
              <w:t xml:space="preserve"> </w:t>
            </w:r>
            <w:r>
              <w:rPr>
                <w:rFonts w:hint="eastAsia" w:ascii="宋体" w:hAnsi="宋体" w:cs="宋体"/>
                <w:color w:val="auto"/>
                <w:kern w:val="0"/>
                <w:sz w:val="18"/>
                <w:szCs w:val="18"/>
              </w:rPr>
              <w:t>±</w:t>
            </w:r>
            <w:r>
              <w:rPr>
                <w:rFonts w:ascii="宋体" w:hAnsi="宋体" w:cs="宋体"/>
                <w:color w:val="auto"/>
                <w:kern w:val="0"/>
                <w:sz w:val="18"/>
                <w:szCs w:val="18"/>
              </w:rPr>
              <w:t>5</w:t>
            </w:r>
            <w:r>
              <w:rPr>
                <w:rFonts w:hint="eastAsia" w:ascii="宋体" w:hAnsi="宋体" w:cs="宋体"/>
                <w:color w:val="auto"/>
                <w:kern w:val="0"/>
                <w:sz w:val="18"/>
                <w:szCs w:val="18"/>
              </w:rPr>
              <w:t>mm，钢木结合。</w:t>
            </w:r>
          </w:p>
          <w:p w14:paraId="09E9C93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2：桌面采用25毫米优质三聚氰胺，表面耐酸缄；桌面基材选用环保型实木颗粒板,甲醛释放达到国家E1级环保要求。</w:t>
            </w:r>
          </w:p>
          <w:p w14:paraId="3C9B1D8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3：桌体桌面前沿支撑骨架采用20*40mm冷轧钢管，壁厚≧1.</w:t>
            </w:r>
            <w:r>
              <w:rPr>
                <w:rFonts w:ascii="宋体" w:hAnsi="宋体" w:cs="宋体"/>
                <w:color w:val="auto"/>
                <w:kern w:val="0"/>
                <w:sz w:val="18"/>
                <w:szCs w:val="18"/>
              </w:rPr>
              <w:t>0</w:t>
            </w:r>
            <w:r>
              <w:rPr>
                <w:rFonts w:hint="eastAsia" w:ascii="宋体" w:hAnsi="宋体" w:cs="宋体"/>
                <w:color w:val="auto"/>
                <w:kern w:val="0"/>
                <w:sz w:val="18"/>
                <w:szCs w:val="18"/>
              </w:rPr>
              <w:t>mm，表面经酸洗、磷化防腐防锈处理后静电喷塑。</w:t>
            </w:r>
          </w:p>
          <w:p w14:paraId="7B70659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3：桌腿采用20*40mm钢脚，钢管为≧1.0mm镀锌钢板，底部配有隐形可敲漏50mm进线孔，配有尼龙可调节脚，耐用防滑。后置开放式主机箱（可放置主机和云主机），经过除油、酸洗、磷化、打磨、静电喷塑。</w:t>
            </w:r>
          </w:p>
          <w:p w14:paraId="139791F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二、椅子</w:t>
            </w:r>
          </w:p>
          <w:p w14:paraId="7A1F5BED">
            <w:pPr>
              <w:widowControl/>
              <w:spacing w:line="28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1：整体尺寸:</w:t>
            </w:r>
            <w:bookmarkStart w:id="11" w:name="OLE_LINK24"/>
            <w:r>
              <w:rPr>
                <w:rFonts w:hint="eastAsia" w:ascii="宋体" w:hAnsi="宋体" w:cs="宋体"/>
                <w:color w:val="auto"/>
                <w:kern w:val="0"/>
                <w:sz w:val="18"/>
                <w:szCs w:val="18"/>
              </w:rPr>
              <w:t>≧116CM*64CM*60CM±</w:t>
            </w:r>
            <w:r>
              <w:rPr>
                <w:rFonts w:ascii="宋体" w:hAnsi="宋体" w:cs="宋体"/>
                <w:color w:val="auto"/>
                <w:kern w:val="0"/>
                <w:sz w:val="18"/>
                <w:szCs w:val="18"/>
              </w:rPr>
              <w:t>2mm</w:t>
            </w:r>
            <w:r>
              <w:rPr>
                <w:rFonts w:hint="eastAsia" w:ascii="宋体" w:hAnsi="宋体" w:cs="宋体"/>
                <w:color w:val="auto"/>
                <w:kern w:val="0"/>
                <w:sz w:val="18"/>
                <w:szCs w:val="18"/>
              </w:rPr>
              <w:t>。坐深≧50CM±</w:t>
            </w:r>
            <w:r>
              <w:rPr>
                <w:rFonts w:ascii="宋体" w:hAnsi="宋体" w:cs="宋体"/>
                <w:color w:val="auto"/>
                <w:kern w:val="0"/>
                <w:sz w:val="18"/>
                <w:szCs w:val="18"/>
              </w:rPr>
              <w:t>2mm</w:t>
            </w:r>
            <w:r>
              <w:rPr>
                <w:rFonts w:hint="eastAsia" w:ascii="宋体" w:hAnsi="宋体" w:cs="宋体"/>
                <w:color w:val="auto"/>
                <w:kern w:val="0"/>
                <w:sz w:val="18"/>
                <w:szCs w:val="18"/>
              </w:rPr>
              <w:t>；坐高≧45CM±</w:t>
            </w:r>
            <w:r>
              <w:rPr>
                <w:rFonts w:ascii="宋体" w:hAnsi="宋体" w:cs="宋体"/>
                <w:color w:val="auto"/>
                <w:kern w:val="0"/>
                <w:sz w:val="18"/>
                <w:szCs w:val="18"/>
              </w:rPr>
              <w:t>2mm</w:t>
            </w:r>
            <w:r>
              <w:rPr>
                <w:rFonts w:hint="eastAsia" w:ascii="宋体" w:hAnsi="宋体" w:cs="宋体"/>
                <w:color w:val="auto"/>
                <w:kern w:val="0"/>
                <w:sz w:val="18"/>
                <w:szCs w:val="18"/>
              </w:rPr>
              <w:t>；</w:t>
            </w:r>
            <w:bookmarkEnd w:id="11"/>
          </w:p>
          <w:p w14:paraId="6D00D8F7">
            <w:pPr>
              <w:widowControl/>
              <w:spacing w:line="28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2：弓形结构。</w:t>
            </w:r>
          </w:p>
          <w:p w14:paraId="61983B1D">
            <w:pPr>
              <w:widowControl/>
              <w:spacing w:line="28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3：扶手与脚架一体结构。</w:t>
            </w:r>
          </w:p>
          <w:p w14:paraId="32ECAF65">
            <w:pPr>
              <w:widowControl/>
              <w:spacing w:line="28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4：PU盖板扶手。</w:t>
            </w:r>
          </w:p>
          <w:p w14:paraId="3534C73E">
            <w:pPr>
              <w:widowControl/>
              <w:spacing w:line="28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5：椅架：钢制，主体≧20*40mm扁圆管，壁厚≧20mm，内有≧20mm穿管，表面电镀处理。</w:t>
            </w:r>
          </w:p>
          <w:p w14:paraId="417C5123">
            <w:pPr>
              <w:widowControl/>
              <w:spacing w:line="280" w:lineRule="exact"/>
              <w:jc w:val="left"/>
              <w:rPr>
                <w:rFonts w:hint="eastAsia" w:ascii="宋体" w:hAnsi="宋体" w:cs="宋体"/>
                <w:color w:val="auto"/>
                <w:kern w:val="0"/>
                <w:sz w:val="18"/>
                <w:szCs w:val="18"/>
              </w:rPr>
            </w:pPr>
            <w:r>
              <w:rPr>
                <w:rFonts w:hint="eastAsia" w:ascii="宋体" w:hAnsi="宋体" w:cs="宋体"/>
                <w:color w:val="auto"/>
                <w:kern w:val="0"/>
                <w:sz w:val="18"/>
                <w:szCs w:val="18"/>
              </w:rPr>
              <w:t>6：覆面：超纤皮，坐垫下面有U型底托，承重高，不易变形。</w:t>
            </w:r>
          </w:p>
          <w:p w14:paraId="1DDFDE0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三、</w:t>
            </w:r>
            <w:r>
              <w:rPr>
                <w:rFonts w:hint="eastAsia" w:ascii="宋体" w:hAnsi="宋体" w:cs="宋体"/>
                <w:color w:val="auto"/>
                <w:kern w:val="0"/>
                <w:sz w:val="18"/>
                <w:szCs w:val="18"/>
                <w:highlight w:val="none"/>
              </w:rPr>
              <w:t>≧2</w:t>
            </w:r>
            <w:r>
              <w:rPr>
                <w:rFonts w:ascii="宋体" w:hAnsi="宋体" w:cs="宋体"/>
                <w:color w:val="auto"/>
                <w:kern w:val="0"/>
                <w:sz w:val="18"/>
                <w:szCs w:val="18"/>
                <w:highlight w:val="none"/>
              </w:rPr>
              <w:t>4</w:t>
            </w:r>
            <w:r>
              <w:rPr>
                <w:rFonts w:hint="eastAsia" w:ascii="宋体" w:hAnsi="宋体" w:cs="宋体"/>
                <w:color w:val="auto"/>
                <w:kern w:val="0"/>
                <w:sz w:val="18"/>
                <w:szCs w:val="18"/>
                <w:highlight w:val="none"/>
              </w:rPr>
              <w:t>U机柜一组，承载设备堆叠。材质：钢制，尺寸：</w:t>
            </w:r>
            <w:r>
              <w:rPr>
                <w:rFonts w:ascii="宋体" w:hAnsi="宋体" w:cs="宋体"/>
                <w:color w:val="auto"/>
                <w:kern w:val="0"/>
                <w:sz w:val="18"/>
                <w:szCs w:val="18"/>
                <w:highlight w:val="none"/>
              </w:rPr>
              <w:t>1200*600*600</w:t>
            </w:r>
            <w:r>
              <w:rPr>
                <w:rFonts w:hint="eastAsia" w:ascii="宋体" w:hAnsi="宋体" w:cs="宋体"/>
                <w:color w:val="auto"/>
                <w:kern w:val="0"/>
                <w:sz w:val="18"/>
                <w:szCs w:val="18"/>
                <w:highlight w:val="none"/>
              </w:rPr>
              <w:t>±</w:t>
            </w:r>
            <w:r>
              <w:rPr>
                <w:rFonts w:ascii="宋体" w:hAnsi="宋体" w:cs="宋体"/>
                <w:color w:val="auto"/>
                <w:kern w:val="0"/>
                <w:sz w:val="18"/>
                <w:szCs w:val="18"/>
                <w:highlight w:val="none"/>
              </w:rPr>
              <w:t>2mm</w:t>
            </w:r>
            <w:r>
              <w:rPr>
                <w:rFonts w:hint="eastAsia" w:ascii="宋体" w:hAnsi="宋体" w:cs="宋体"/>
                <w:color w:val="auto"/>
                <w:kern w:val="0"/>
                <w:sz w:val="18"/>
                <w:szCs w:val="18"/>
                <w:highlight w:val="none"/>
              </w:rPr>
              <w:t xml:space="preserve">。  </w:t>
            </w:r>
          </w:p>
        </w:tc>
        <w:tc>
          <w:tcPr>
            <w:tcW w:w="700" w:type="dxa"/>
            <w:shd w:val="clear" w:color="000000" w:fill="FFFFFF"/>
            <w:vAlign w:val="center"/>
          </w:tcPr>
          <w:p w14:paraId="47ABE73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5EF091F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8CB466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3A8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585" w:type="dxa"/>
            <w:shd w:val="clear" w:color="000000" w:fill="FFFFFF"/>
            <w:vAlign w:val="center"/>
          </w:tcPr>
          <w:p w14:paraId="4300640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35</w:t>
            </w:r>
          </w:p>
        </w:tc>
        <w:tc>
          <w:tcPr>
            <w:tcW w:w="680" w:type="dxa"/>
            <w:shd w:val="clear" w:color="000000" w:fill="FFFFFF"/>
            <w:vAlign w:val="center"/>
          </w:tcPr>
          <w:p w14:paraId="468F3100">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5"/>
                <w:szCs w:val="15"/>
                <w:highlight w:val="none"/>
              </w:rPr>
              <w:t>观摩室</w:t>
            </w:r>
            <w:r>
              <w:rPr>
                <w:rFonts w:hint="eastAsia" w:ascii="宋体" w:hAnsi="宋体" w:cs="宋体"/>
                <w:color w:val="auto"/>
                <w:kern w:val="0"/>
                <w:sz w:val="15"/>
                <w:szCs w:val="15"/>
                <w:highlight w:val="none"/>
                <w:lang w:eastAsia="zh-CN"/>
              </w:rPr>
              <w:t>折叠</w:t>
            </w:r>
            <w:r>
              <w:rPr>
                <w:rFonts w:hint="eastAsia" w:ascii="宋体" w:hAnsi="宋体" w:cs="宋体"/>
                <w:color w:val="auto"/>
                <w:kern w:val="0"/>
                <w:sz w:val="15"/>
                <w:szCs w:val="15"/>
                <w:highlight w:val="none"/>
              </w:rPr>
              <w:t>座椅</w:t>
            </w:r>
          </w:p>
        </w:tc>
        <w:tc>
          <w:tcPr>
            <w:tcW w:w="6285" w:type="dxa"/>
            <w:shd w:val="clear" w:color="000000" w:fill="FFFFFF"/>
            <w:vAlign w:val="center"/>
          </w:tcPr>
          <w:p w14:paraId="285E84E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highlight w:val="none"/>
              </w:rPr>
              <w:t>1、整体尺寸：展开≧</w:t>
            </w:r>
            <w:r>
              <w:rPr>
                <w:rFonts w:ascii="宋体" w:hAnsi="宋体" w:cs="宋体"/>
                <w:color w:val="auto"/>
                <w:kern w:val="0"/>
                <w:sz w:val="18"/>
                <w:szCs w:val="18"/>
                <w:highlight w:val="none"/>
              </w:rPr>
              <w:t>85</w:t>
            </w:r>
            <w:r>
              <w:rPr>
                <w:rFonts w:hint="eastAsia" w:ascii="宋体" w:hAnsi="宋体" w:cs="宋体"/>
                <w:color w:val="auto"/>
                <w:kern w:val="0"/>
                <w:sz w:val="18"/>
                <w:szCs w:val="18"/>
                <w:highlight w:val="none"/>
              </w:rPr>
              <w:t>CM*</w:t>
            </w:r>
            <w:r>
              <w:rPr>
                <w:rFonts w:ascii="宋体" w:hAnsi="宋体" w:cs="宋体"/>
                <w:color w:val="auto"/>
                <w:kern w:val="0"/>
                <w:sz w:val="18"/>
                <w:szCs w:val="18"/>
                <w:highlight w:val="none"/>
              </w:rPr>
              <w:t>55</w:t>
            </w:r>
            <w:r>
              <w:rPr>
                <w:rFonts w:hint="eastAsia" w:ascii="宋体" w:hAnsi="宋体" w:cs="宋体"/>
                <w:color w:val="auto"/>
                <w:kern w:val="0"/>
                <w:sz w:val="18"/>
                <w:szCs w:val="18"/>
                <w:highlight w:val="none"/>
              </w:rPr>
              <w:t>CM*</w:t>
            </w:r>
            <w:r>
              <w:rPr>
                <w:rFonts w:ascii="宋体" w:hAnsi="宋体" w:cs="宋体"/>
                <w:color w:val="auto"/>
                <w:kern w:val="0"/>
                <w:sz w:val="18"/>
                <w:szCs w:val="18"/>
                <w:highlight w:val="none"/>
              </w:rPr>
              <w:t>50</w:t>
            </w:r>
            <w:r>
              <w:rPr>
                <w:rFonts w:hint="eastAsia" w:ascii="宋体" w:hAnsi="宋体" w:cs="宋体"/>
                <w:color w:val="auto"/>
                <w:kern w:val="0"/>
                <w:sz w:val="18"/>
                <w:szCs w:val="18"/>
                <w:highlight w:val="none"/>
              </w:rPr>
              <w:t>CM</w:t>
            </w:r>
            <w:r>
              <w:rPr>
                <w:rFonts w:ascii="宋体" w:hAnsi="宋体" w:cs="宋体"/>
                <w:color w:val="auto"/>
                <w:kern w:val="0"/>
                <w:sz w:val="18"/>
                <w:szCs w:val="18"/>
                <w:highlight w:val="none"/>
              </w:rPr>
              <w:t xml:space="preserve"> </w:t>
            </w:r>
            <w:bookmarkStart w:id="12" w:name="OLE_LINK28"/>
            <w:bookmarkStart w:id="13" w:name="OLE_LINK27"/>
            <w:r>
              <w:rPr>
                <w:rFonts w:hint="eastAsia" w:ascii="宋体" w:hAnsi="宋体" w:cs="宋体"/>
                <w:color w:val="auto"/>
                <w:kern w:val="0"/>
                <w:sz w:val="18"/>
                <w:szCs w:val="18"/>
                <w:highlight w:val="none"/>
              </w:rPr>
              <w:t>±</w:t>
            </w:r>
            <w:r>
              <w:rPr>
                <w:rFonts w:ascii="宋体" w:hAnsi="宋体" w:cs="宋体"/>
                <w:color w:val="auto"/>
                <w:kern w:val="0"/>
                <w:sz w:val="18"/>
                <w:szCs w:val="18"/>
                <w:highlight w:val="none"/>
              </w:rPr>
              <w:t>2mm</w:t>
            </w:r>
            <w:bookmarkEnd w:id="12"/>
            <w:bookmarkEnd w:id="13"/>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坐深≧</w:t>
            </w:r>
            <w:r>
              <w:rPr>
                <w:rFonts w:ascii="宋体" w:hAnsi="宋体" w:cs="宋体"/>
                <w:color w:val="auto"/>
                <w:kern w:val="0"/>
                <w:sz w:val="18"/>
                <w:szCs w:val="18"/>
                <w:highlight w:val="none"/>
              </w:rPr>
              <w:t>43</w:t>
            </w:r>
            <w:r>
              <w:rPr>
                <w:rFonts w:hint="eastAsia" w:ascii="宋体" w:hAnsi="宋体" w:cs="宋体"/>
                <w:color w:val="auto"/>
                <w:kern w:val="0"/>
                <w:sz w:val="18"/>
                <w:szCs w:val="18"/>
                <w:highlight w:val="none"/>
              </w:rPr>
              <w:t>CM</w:t>
            </w:r>
            <w:r>
              <w:rPr>
                <w:rFonts w:ascii="宋体" w:hAnsi="宋体" w:cs="宋体"/>
                <w:color w:val="auto"/>
                <w:kern w:val="0"/>
                <w:sz w:val="18"/>
                <w:szCs w:val="18"/>
                <w:highlight w:val="none"/>
              </w:rPr>
              <w:t xml:space="preserve"> </w:t>
            </w:r>
            <w:r>
              <w:rPr>
                <w:rFonts w:hint="eastAsia" w:ascii="宋体" w:hAnsi="宋体" w:cs="宋体"/>
                <w:color w:val="auto"/>
                <w:kern w:val="0"/>
                <w:sz w:val="18"/>
                <w:szCs w:val="18"/>
                <w:highlight w:val="none"/>
              </w:rPr>
              <w:t>±</w:t>
            </w:r>
            <w:r>
              <w:rPr>
                <w:rFonts w:ascii="宋体" w:hAnsi="宋体" w:cs="宋体"/>
                <w:color w:val="auto"/>
                <w:kern w:val="0"/>
                <w:sz w:val="18"/>
                <w:szCs w:val="18"/>
                <w:highlight w:val="none"/>
              </w:rPr>
              <w:t>2mm</w:t>
            </w:r>
            <w:r>
              <w:rPr>
                <w:rFonts w:hint="eastAsia" w:ascii="宋体" w:hAnsi="宋体" w:cs="宋体"/>
                <w:color w:val="auto"/>
                <w:kern w:val="0"/>
                <w:sz w:val="18"/>
                <w:szCs w:val="18"/>
                <w:highlight w:val="none"/>
              </w:rPr>
              <w:t>；坐高≧45CM</w:t>
            </w:r>
            <w:r>
              <w:rPr>
                <w:rFonts w:ascii="宋体" w:hAnsi="宋体" w:cs="宋体"/>
                <w:color w:val="auto"/>
                <w:kern w:val="0"/>
                <w:sz w:val="18"/>
                <w:szCs w:val="18"/>
                <w:highlight w:val="none"/>
              </w:rPr>
              <w:t xml:space="preserve"> </w:t>
            </w:r>
            <w:bookmarkStart w:id="14" w:name="OLE_LINK25"/>
            <w:bookmarkStart w:id="15" w:name="OLE_LINK26"/>
            <w:r>
              <w:rPr>
                <w:rFonts w:hint="eastAsia" w:ascii="宋体" w:hAnsi="宋体" w:cs="宋体"/>
                <w:color w:val="auto"/>
                <w:kern w:val="0"/>
                <w:sz w:val="18"/>
                <w:szCs w:val="18"/>
                <w:highlight w:val="none"/>
              </w:rPr>
              <w:t>±</w:t>
            </w:r>
            <w:r>
              <w:rPr>
                <w:rFonts w:ascii="宋体" w:hAnsi="宋体" w:cs="宋体"/>
                <w:color w:val="auto"/>
                <w:kern w:val="0"/>
                <w:sz w:val="18"/>
                <w:szCs w:val="18"/>
                <w:highlight w:val="none"/>
              </w:rPr>
              <w:t>2mm</w:t>
            </w:r>
            <w:bookmarkEnd w:id="14"/>
            <w:bookmarkEnd w:id="15"/>
            <w:r>
              <w:rPr>
                <w:rFonts w:hint="eastAsia" w:ascii="宋体" w:hAnsi="宋体" w:cs="宋体"/>
                <w:color w:val="auto"/>
                <w:kern w:val="0"/>
                <w:sz w:val="18"/>
                <w:szCs w:val="18"/>
                <w:highlight w:val="none"/>
              </w:rPr>
              <w:t xml:space="preserve">； </w:t>
            </w:r>
            <w:r>
              <w:rPr>
                <w:rFonts w:hint="eastAsia" w:ascii="宋体" w:hAnsi="宋体" w:cs="宋体"/>
                <w:color w:val="auto"/>
                <w:kern w:val="0"/>
                <w:sz w:val="18"/>
                <w:szCs w:val="18"/>
                <w:highlight w:val="yellow"/>
              </w:rPr>
              <w:br w:type="textWrapping"/>
            </w:r>
            <w:r>
              <w:rPr>
                <w:rFonts w:hint="eastAsia" w:ascii="宋体" w:hAnsi="宋体" w:cs="宋体"/>
                <w:color w:val="auto"/>
                <w:kern w:val="0"/>
                <w:sz w:val="18"/>
                <w:szCs w:val="18"/>
                <w:highlight w:val="none"/>
              </w:rPr>
              <w:t>2、</w:t>
            </w:r>
            <w:r>
              <w:rPr>
                <w:rFonts w:hint="eastAsia" w:ascii="宋体" w:hAnsi="宋体" w:cs="宋体"/>
                <w:color w:val="auto"/>
                <w:kern w:val="0"/>
                <w:sz w:val="18"/>
                <w:szCs w:val="18"/>
              </w:rPr>
              <w:t>面料：采用优质黑色阻燃网布；海绵：采用阻燃定型海棉，厚实、弹性好，表面涂防止老化变形的保护膜，达到国家阻燃标准；</w:t>
            </w:r>
          </w:p>
          <w:p w14:paraId="2D7C5041">
            <w:pPr>
              <w:widowControl/>
              <w:spacing w:line="280" w:lineRule="exact"/>
              <w:jc w:val="left"/>
              <w:rPr>
                <w:rFonts w:ascii="宋体" w:hAnsi="宋体" w:cs="宋体"/>
                <w:color w:val="auto"/>
                <w:kern w:val="0"/>
                <w:sz w:val="18"/>
                <w:szCs w:val="18"/>
                <w:highlight w:val="yellow"/>
              </w:rPr>
            </w:pPr>
            <w:r>
              <w:rPr>
                <w:rFonts w:hint="eastAsia" w:ascii="宋体" w:hAnsi="宋体" w:cs="宋体"/>
                <w:color w:val="auto"/>
                <w:kern w:val="0"/>
                <w:sz w:val="18"/>
                <w:szCs w:val="18"/>
                <w:highlight w:val="none"/>
              </w:rPr>
              <w:t>3、椅背：采用优质PVC一次成型包边，使用更长久</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4、含书写板。</w:t>
            </w:r>
          </w:p>
        </w:tc>
        <w:tc>
          <w:tcPr>
            <w:tcW w:w="700" w:type="dxa"/>
            <w:shd w:val="clear" w:color="000000" w:fill="FFFFFF"/>
            <w:vAlign w:val="center"/>
          </w:tcPr>
          <w:p w14:paraId="6CC05F6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0EE475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w:t>
            </w:r>
          </w:p>
        </w:tc>
        <w:tc>
          <w:tcPr>
            <w:tcW w:w="768" w:type="dxa"/>
            <w:shd w:val="clear" w:color="000000" w:fill="FFFFFF"/>
            <w:vAlign w:val="center"/>
          </w:tcPr>
          <w:p w14:paraId="3FE566F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370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85" w:type="dxa"/>
            <w:shd w:val="clear" w:color="000000" w:fill="FFFFFF"/>
            <w:vAlign w:val="center"/>
          </w:tcPr>
          <w:p w14:paraId="7665454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36</w:t>
            </w:r>
          </w:p>
        </w:tc>
        <w:tc>
          <w:tcPr>
            <w:tcW w:w="680" w:type="dxa"/>
            <w:shd w:val="clear" w:color="000000" w:fill="FFFFFF"/>
            <w:vAlign w:val="center"/>
          </w:tcPr>
          <w:p w14:paraId="697B4A6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shd w:val="clear" w:color="000000" w:fill="FFFFFF"/>
            <w:vAlign w:val="center"/>
          </w:tcPr>
          <w:p w14:paraId="20FADF98">
            <w:pPr>
              <w:widowControl/>
              <w:spacing w:line="280" w:lineRule="exact"/>
              <w:jc w:val="left"/>
              <w:rPr>
                <w:rFonts w:ascii="宋体" w:hAnsi="宋体" w:cs="宋体"/>
                <w:color w:val="auto"/>
                <w:kern w:val="0"/>
                <w:sz w:val="18"/>
                <w:szCs w:val="18"/>
              </w:rPr>
            </w:pPr>
            <w:r>
              <w:rPr>
                <w:rFonts w:ascii="宋体" w:hAnsi="宋体" w:cs="宋体"/>
                <w:color w:val="auto"/>
                <w:kern w:val="0"/>
                <w:sz w:val="18"/>
                <w:szCs w:val="18"/>
              </w:rPr>
              <w:t>1</w:t>
            </w:r>
            <w:r>
              <w:rPr>
                <w:rFonts w:hint="eastAsia" w:ascii="宋体" w:hAnsi="宋体" w:cs="宋体"/>
                <w:color w:val="auto"/>
                <w:kern w:val="0"/>
                <w:sz w:val="18"/>
                <w:szCs w:val="18"/>
              </w:rPr>
              <w:t>、HDMI高清音视频信号线、六类网络传输线、RVVP线缆、电视机挂架/吊架、交换机、路由器等网络综合布线等。</w:t>
            </w:r>
          </w:p>
          <w:p w14:paraId="7BA60813">
            <w:pPr>
              <w:widowControl/>
              <w:spacing w:line="280" w:lineRule="exact"/>
              <w:jc w:val="left"/>
              <w:rPr>
                <w:rFonts w:ascii="宋体" w:hAnsi="宋体" w:cs="宋体"/>
                <w:color w:val="auto"/>
                <w:kern w:val="0"/>
                <w:sz w:val="18"/>
                <w:szCs w:val="18"/>
              </w:rPr>
            </w:pPr>
            <w:r>
              <w:rPr>
                <w:rFonts w:ascii="宋体" w:hAnsi="宋体" w:cs="宋体"/>
                <w:color w:val="auto"/>
                <w:kern w:val="0"/>
                <w:sz w:val="18"/>
                <w:szCs w:val="18"/>
              </w:rPr>
              <w:t>2</w:t>
            </w:r>
            <w:r>
              <w:rPr>
                <w:rFonts w:hint="eastAsia" w:ascii="宋体" w:hAnsi="宋体" w:cs="宋体"/>
                <w:color w:val="auto"/>
                <w:kern w:val="0"/>
                <w:sz w:val="18"/>
                <w:szCs w:val="18"/>
              </w:rPr>
              <w:t>、要求安装、调试、服务、管理等。</w:t>
            </w:r>
          </w:p>
        </w:tc>
        <w:tc>
          <w:tcPr>
            <w:tcW w:w="700" w:type="dxa"/>
            <w:shd w:val="clear" w:color="000000" w:fill="FFFFFF"/>
            <w:vAlign w:val="center"/>
          </w:tcPr>
          <w:p w14:paraId="5291542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项</w:t>
            </w:r>
          </w:p>
        </w:tc>
        <w:tc>
          <w:tcPr>
            <w:tcW w:w="632" w:type="dxa"/>
            <w:shd w:val="clear" w:color="000000" w:fill="FFFFFF"/>
            <w:vAlign w:val="center"/>
          </w:tcPr>
          <w:p w14:paraId="1BC3EA2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5ADF70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7EA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trPr>
        <w:tc>
          <w:tcPr>
            <w:tcW w:w="585" w:type="dxa"/>
            <w:shd w:val="clear" w:color="000000" w:fill="FFFFFF"/>
            <w:vAlign w:val="center"/>
          </w:tcPr>
          <w:p w14:paraId="52508FA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37</w:t>
            </w:r>
          </w:p>
        </w:tc>
        <w:tc>
          <w:tcPr>
            <w:tcW w:w="680" w:type="dxa"/>
            <w:shd w:val="clear" w:color="000000" w:fill="FFFFFF"/>
            <w:vAlign w:val="center"/>
          </w:tcPr>
          <w:p w14:paraId="2139EEA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教研会议室室内全彩LED屏</w:t>
            </w:r>
          </w:p>
        </w:tc>
        <w:tc>
          <w:tcPr>
            <w:tcW w:w="6285" w:type="dxa"/>
            <w:shd w:val="clear" w:color="000000" w:fill="FFFFFF"/>
            <w:vAlign w:val="center"/>
          </w:tcPr>
          <w:p w14:paraId="15CB14C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1、尺寸：4.16m*1.92m；像素点间距：≧2.5mm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2、单元板分辨率：≧8192 Dots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3、刷新率：≧3840Hz，支持通过配套控制软件调节刷新率设置选项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4、像素构成：1R、1G、1B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5、封装方式：SMD表贴三合一，灯芯键合线材质为铜线，五面黑灯，表面不反光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6、驱动方式：恒流驱动；控制方式：同步控制系统；维护方式：前后双向维护</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7、整屏平整度≧0.04mm；模组平整度≧0.03mm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8、白平衡亮度：0-700cd/㎡可调；亮度调节：0-100%亮度可调，256级手动/自动调节，屏幕亮度具有随环境照度的变化任意调整功能；亮度均匀性：≧99%</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9、色温800K-18000K可调；白平衡状态下色温在6500K±5%；色温为6500K时，100%75%50%25%档电平白场调节色温误差≧100K</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10、水平视角≧170°；垂直视角≧170°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11、对比度≧9000：1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12、具有H2S宽动态处理技术，解决主控机二次重复播放时的衰减等现象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13、灰度等级≧14bit，红绿蓝各256级，可达16384级；采用EPWM 灰阶控制技术提升低灰视觉效果，100%亮度时，14bit灰度；70%亮度，14bit灰度；50%亮度，14bit灰度；20%亮度，12bit灰度，显示画面无单列或单行像素失控现象；支持0-100%亮度时，8-14bits灰度自定义设置。</w:t>
            </w:r>
          </w:p>
        </w:tc>
        <w:tc>
          <w:tcPr>
            <w:tcW w:w="700" w:type="dxa"/>
            <w:shd w:val="clear" w:color="000000" w:fill="FFFFFF"/>
            <w:vAlign w:val="center"/>
          </w:tcPr>
          <w:p w14:paraId="63A2251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141006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5D15969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ADA5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79029D11">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二、标准化考场设备部分</w:t>
            </w:r>
          </w:p>
        </w:tc>
      </w:tr>
      <w:tr w14:paraId="4097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85" w:type="dxa"/>
            <w:shd w:val="clear" w:color="000000" w:fill="FFFFFF"/>
            <w:vAlign w:val="center"/>
          </w:tcPr>
          <w:p w14:paraId="448B7F1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序号</w:t>
            </w:r>
          </w:p>
        </w:tc>
        <w:tc>
          <w:tcPr>
            <w:tcW w:w="680" w:type="dxa"/>
            <w:shd w:val="clear" w:color="000000" w:fill="FFFFFF"/>
            <w:vAlign w:val="center"/>
          </w:tcPr>
          <w:p w14:paraId="05D85B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设备名称</w:t>
            </w:r>
          </w:p>
        </w:tc>
        <w:tc>
          <w:tcPr>
            <w:tcW w:w="6285" w:type="dxa"/>
            <w:shd w:val="clear" w:color="000000" w:fill="FFFFFF"/>
            <w:vAlign w:val="center"/>
          </w:tcPr>
          <w:p w14:paraId="4C75D1C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技术参数</w:t>
            </w:r>
          </w:p>
        </w:tc>
        <w:tc>
          <w:tcPr>
            <w:tcW w:w="700" w:type="dxa"/>
            <w:shd w:val="clear" w:color="000000" w:fill="FFFFFF"/>
            <w:vAlign w:val="center"/>
          </w:tcPr>
          <w:p w14:paraId="2A1BD7E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单位</w:t>
            </w:r>
          </w:p>
        </w:tc>
        <w:tc>
          <w:tcPr>
            <w:tcW w:w="632" w:type="dxa"/>
            <w:shd w:val="clear" w:color="000000" w:fill="FFFFFF"/>
            <w:vAlign w:val="center"/>
          </w:tcPr>
          <w:p w14:paraId="5A1F404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数量</w:t>
            </w:r>
          </w:p>
        </w:tc>
        <w:tc>
          <w:tcPr>
            <w:tcW w:w="768" w:type="dxa"/>
            <w:shd w:val="clear" w:color="000000" w:fill="FFFFFF"/>
            <w:vAlign w:val="center"/>
          </w:tcPr>
          <w:p w14:paraId="68660F5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采购标的对应的行业</w:t>
            </w:r>
          </w:p>
        </w:tc>
      </w:tr>
      <w:tr w14:paraId="4CCA7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536DB41C">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（一）标准化考场中心设备</w:t>
            </w:r>
          </w:p>
        </w:tc>
      </w:tr>
      <w:tr w14:paraId="6F9E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4C0AC22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1.01</w:t>
            </w:r>
          </w:p>
        </w:tc>
        <w:tc>
          <w:tcPr>
            <w:tcW w:w="680" w:type="dxa"/>
            <w:shd w:val="clear" w:color="000000" w:fill="FFFFFF"/>
            <w:vAlign w:val="center"/>
          </w:tcPr>
          <w:p w14:paraId="0926C4C5">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标考高清SIP管理平台</w:t>
            </w:r>
          </w:p>
        </w:tc>
        <w:tc>
          <w:tcPr>
            <w:tcW w:w="6285" w:type="dxa"/>
            <w:shd w:val="clear" w:color="000000" w:fill="FFFFFF"/>
            <w:vAlign w:val="center"/>
          </w:tcPr>
          <w:p w14:paraId="3419222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1、▲技术规范兼容性：遵循《国家教育考试网上巡查系统视频标准技术规范（2017版）》；</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2、操作系统与安全特性：搭载实时操作系统统信 UOS 1050a，具备强大的抗病毒和抗攻击能力。</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3、注册功能：支持向上级的主动注册与多级注册，增强系统的层级管理能力。</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4、传输协议支持：支持国标 TCP、UDP传输协议，确保数据的稳定性和兼容传输协议，确保数据的稳定性和兼容性。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5、SIP协议支持：全面支持标准SIP2.0协议，保障通信交互的标准化。</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6、网络协议支持：支持 IP、UDP、RTP、RTCP、SIP、TCP/IP、DHCP 等网络协议；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7、域管理：支持域、子域管理，最多支持5级域、子域管理，增强资源分级管理能力。</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8、▲设备组功能检查：支持按设备类型、设备场所对接入设备进行分组管理；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9、角色管理功能：支持自定义添加、删除角色名称，添加角色成员。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10、安全防护功能：支持加密狗防护，防止软件被非法进入和使用。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11、▲穿越功能：支持流媒体的 NAT 穿越功能；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12、云台控制功能：支持客户端对云台进行旋转操作。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13、数据备份功能：支持按周期自动备份平台数据；支持手动立即备份数据。</w:t>
            </w:r>
          </w:p>
        </w:tc>
        <w:tc>
          <w:tcPr>
            <w:tcW w:w="700" w:type="dxa"/>
            <w:shd w:val="clear" w:color="000000" w:fill="FFFFFF"/>
            <w:vAlign w:val="center"/>
          </w:tcPr>
          <w:p w14:paraId="6744061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598EBB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527F56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A5FE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5" w:type="dxa"/>
            <w:shd w:val="clear" w:color="000000" w:fill="FFFFFF"/>
            <w:vAlign w:val="center"/>
          </w:tcPr>
          <w:p w14:paraId="14F85F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1.02</w:t>
            </w:r>
          </w:p>
        </w:tc>
        <w:tc>
          <w:tcPr>
            <w:tcW w:w="680" w:type="dxa"/>
            <w:shd w:val="clear" w:color="000000" w:fill="FFFFFF"/>
            <w:vAlign w:val="center"/>
          </w:tcPr>
          <w:p w14:paraId="7F0CB14F">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 xml:space="preserve">标考高清媒体转发平台 </w:t>
            </w:r>
          </w:p>
        </w:tc>
        <w:tc>
          <w:tcPr>
            <w:tcW w:w="6285" w:type="dxa"/>
            <w:shd w:val="clear" w:color="000000" w:fill="FFFFFF"/>
            <w:vAlign w:val="center"/>
          </w:tcPr>
          <w:p w14:paraId="51EA8B2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1、▲技术规范兼容性：遵循《国家教育考试网上巡查系统视频标准技术规范（2017版）》；</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2、操作系统与安全特性：搭载实时操作系统统信 UOS 1050a，具备强大的抗病毒和抗攻击能力。</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3、数据封装与编码支持：支持PS(Packetized  Stream）和TS (Transport Stream）数据封装，兼容 H.264、H.265、MPEG-4 视频编码格式；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4、网络协议支持：支持 IP、UDP、RTP、RTCP、SIP、TCP/IP、DHCP 等网络协议,确保广泛的网络兼容性。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5、▲媒体流分发功能：支持媒体流分发，提升视频资源的共享效率；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6、视频传输模式：支持点播、组播、广播，满足多样化的视频传输需求。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7、视频多路复用：支持视频多路复用，提升资源利用率。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8、音视频处理：支持音/视频数据的封装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9、远程管理方式：支持远程管理采用 SSH、HTTPS 等安全的远程访问管理手段；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10、▲访问控制功能：支持访问控制功能，关闭不要的服务和端口，设置网络地址范围限制条件等等,限制终端登录；</w:t>
            </w:r>
          </w:p>
        </w:tc>
        <w:tc>
          <w:tcPr>
            <w:tcW w:w="700" w:type="dxa"/>
            <w:shd w:val="clear" w:color="000000" w:fill="FFFFFF"/>
            <w:vAlign w:val="center"/>
          </w:tcPr>
          <w:p w14:paraId="2E85699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0F27835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2E96CB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C23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4458A8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1.03</w:t>
            </w:r>
          </w:p>
        </w:tc>
        <w:tc>
          <w:tcPr>
            <w:tcW w:w="680" w:type="dxa"/>
            <w:shd w:val="clear" w:color="000000" w:fill="FFFFFF"/>
            <w:vAlign w:val="center"/>
          </w:tcPr>
          <w:p w14:paraId="2DE3E83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网络流媒体存储平台</w:t>
            </w:r>
          </w:p>
        </w:tc>
        <w:tc>
          <w:tcPr>
            <w:tcW w:w="6285" w:type="dxa"/>
            <w:shd w:val="clear" w:color="000000" w:fill="FFFFFF"/>
            <w:vAlign w:val="center"/>
          </w:tcPr>
          <w:p w14:paraId="302FABB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1、符合《国家教育考试网上巡查系统视频标准技术规范（2017版）》相关技术规范；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2、支持客户端远程实时预览和回放拉流，支持秒级输出图像画面；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3、支持≧128路网络视频接入，存储码流≧768Mbps；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4、支持鼠标双击搜索列表中的设备进行添加。支持同时选择多个设备进行一键添加。支持手动输入IP地址、端口、用户名、密码等信息的方式对设备进行添加；</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5、支持轮巡功能：预览轮巡及轮巡时间间隔可设置，轮巡结束后回到预览画面；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6、支持集群功能：当主机发生故障时，备机可替换故障主机继续录像，故障恢复后，备机可将存储的录像回传至故障主机；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7、支持回放功能：支持跳转回放、即时回放、常规回放、事件回放、智能回放、切片回放、标签回放、外部文件回放等多种回放方式；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8、支持设置越界侦测、区域入侵、进入区域、离开区域识别目标大小，最大、最小目标可设置；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9、支持≧16个SATA接口（可热插拔），单盘容量支持≧8TB，支持Raid0、Raid1、Raid5、Raid6、Raid10等多种数据模式；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10、支持断网续传功能，接入具有断网续传功能的网络摄像机，网络中断并恢复后，可自动接收摄像机内存储的视频图像；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11、支持通过客户端软件或网络键盘控制云台≧8个方向转动、预览通道的切换、网络摄像机雨刷及补光灯的开关、镜头变倍、聚焦、巡航、预置点调用、3D定位等功能，并可设置网络摄像机的配置信息；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12、支持≧16路报警输入、≧8路报警输出；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支持自动维护功能：可根据时间点启用系统自动维护流程，包括自检、重启、取流、录像、恢复系统运行；支持应急维护功能：在设备假死、宕机状态下，可通过故障诊断修复工具远程重启设备、恢复出厂设置和升级程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14、支持远程预览画面加密，只有密码登录后的客户端才能出现预览画面；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15、支持实时监测并显示系统正在进行的录像备份任务，可查看剩余录像大小、剩余时间、备份进度百分比和进度条。</w:t>
            </w:r>
          </w:p>
        </w:tc>
        <w:tc>
          <w:tcPr>
            <w:tcW w:w="700" w:type="dxa"/>
            <w:shd w:val="clear" w:color="000000" w:fill="FFFFFF"/>
            <w:vAlign w:val="center"/>
          </w:tcPr>
          <w:p w14:paraId="7D774A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404B73E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E55F47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ED4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C300F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1.04</w:t>
            </w:r>
          </w:p>
        </w:tc>
        <w:tc>
          <w:tcPr>
            <w:tcW w:w="680" w:type="dxa"/>
            <w:shd w:val="clear" w:color="000000" w:fill="FFFFFF"/>
            <w:vAlign w:val="center"/>
          </w:tcPr>
          <w:p w14:paraId="7E597B97">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bookmarkStart w:id="16" w:name="OLE_LINK4"/>
            <w:bookmarkStart w:id="17" w:name="OLE_LINK3"/>
            <w:r>
              <w:rPr>
                <w:rFonts w:hint="eastAsia" w:ascii="宋体" w:hAnsi="宋体" w:cs="宋体"/>
                <w:color w:val="auto"/>
                <w:kern w:val="0"/>
                <w:sz w:val="18"/>
                <w:szCs w:val="18"/>
              </w:rPr>
              <w:t>侦测管理平台</w:t>
            </w:r>
            <w:bookmarkEnd w:id="16"/>
            <w:bookmarkEnd w:id="17"/>
          </w:p>
        </w:tc>
        <w:tc>
          <w:tcPr>
            <w:tcW w:w="6285" w:type="dxa"/>
            <w:shd w:val="clear" w:color="000000" w:fill="FFFFFF"/>
            <w:vAlign w:val="center"/>
          </w:tcPr>
          <w:p w14:paraId="5FD1728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 xml:space="preserve">1、侦测频率范围：无缝覆盖30MHz-3000MHz；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2、侦测引导阻断频率范围：30MHz-3000MHz；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3、扩展升级：支持频段扩展，应对将来新型无线电作弊信号；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4、工作模式：支持无人值守式侦测引导阻断工作模式，可完成无线电信号实时侦测、可疑信号自动采集还原和自动引导阻断；支持自动保存捕获信号文件和还原内容生成；</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5、双通道：采用双通道技术，侦测扫描/引导阻断和作弊信号还原并行工作,互不影响；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6、语音信号还原能力：支持对语音类作弊信号的内容还原，包含广播电台、对讲机信号和语音作弊信号等；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7、▲数传信号还原能力：支持对数传类作弊信号的内容还原，包含采用FSK、LoRa等调制方式的数传作弊信号；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8、实时监听监看：能够实时监听音频数据和监看数传信号。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9、背景学习：系统自动进行无线电频谱背景采集分析，并可存储多个无线电频谱背景模板供作弊信号分析使用；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10、频谱显示：可实时显示侦测频率范围内的频谱图，支持频谱显示放大缩小、测量频率与强度等操作；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11、安全加密：支持对音频和数传文件进行加密存储，保证涉密数据安全；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12、黑白名单：可手动设置黑白名单，也可接收考点级管理平台下发的黑白名单库。在黑名单频点/频段上作弊信号出现时优先发射阻断信号；在白名单频点/频段上不主动发射阻断信号，不干扰其正常通信；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13、考试计划：可设置考试计划，在考试计划时间开始时系统自动进入工作状态，考试计划时间结束时系统自动停止工作，提供考前、考中及考后自动工作模式，实现无人值守式管理；也可支持手动操作；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14、故障检测：支持运行过程中故障自动检测并实时反馈至考点级管理平台；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15、数据上报：支持与考点级管理平台连接，支持对可疑作弊信号频点信息的平台上传及管理；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16、远程管理：支持平台远程管理，查看工作状态等；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17、数据接口：RJ-45接口，支持与考点级管理平台及高科技屏蔽终端组网；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18、可靠性：MTBF≧3000小时。</w:t>
            </w:r>
          </w:p>
        </w:tc>
        <w:tc>
          <w:tcPr>
            <w:tcW w:w="700" w:type="dxa"/>
            <w:shd w:val="clear" w:color="000000" w:fill="FFFFFF"/>
            <w:vAlign w:val="center"/>
          </w:tcPr>
          <w:p w14:paraId="352CE47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C782D3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678085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524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1D162B2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1.05</w:t>
            </w:r>
          </w:p>
        </w:tc>
        <w:tc>
          <w:tcPr>
            <w:tcW w:w="680" w:type="dxa"/>
            <w:shd w:val="clear" w:color="000000" w:fill="FFFFFF"/>
            <w:vAlign w:val="center"/>
          </w:tcPr>
          <w:p w14:paraId="6F53ACD8">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作弊防控管理平台</w:t>
            </w:r>
          </w:p>
        </w:tc>
        <w:tc>
          <w:tcPr>
            <w:tcW w:w="6285" w:type="dxa"/>
            <w:shd w:val="clear" w:color="000000" w:fill="FFFFFF"/>
            <w:vAlign w:val="center"/>
          </w:tcPr>
          <w:p w14:paraId="1B3A880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1、作弊信号查看：可对考点作弊信号信息进行查看和回放；</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2、作弊信号展示：可统计本次考试作弊信号频点分布情况并进行展示；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3、设备状态查看：可对系统设备的运行状态、开关状态、网络情况等信息进行查看；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4、日志查询：可记录和管理关键日志，提供日志查询、浏览等管理功能；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5、黑白名单：在专业作弊信号频段内，可任意设置黑白名单频点/频段。在黑名单频点/频段上作弊信号出现时优先发射阻断信号；在白名单频点/频段上不主动发射阻断信号，不干扰其正常通信；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6、黑白名单同步：各级管理平台之间和黑白名单能够进行同步；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7、考试计划：可设置考试计划，在考试计划时间开始时系统自动进入工作状态，考试计划时间结束时系统自动停止工作，提供考前、考中及考后自动工作模式，实现无人值守式管理；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8、考试计划同步：考试计划能够集中管理，各级管理平台之间考试计划能够进行同步；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9、系统自检：可检测当前所辖设备的工作状态并输出自检结果信息；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10、设备升级：可通过平台对侦测服务器、高科技屏蔽终端和作弊防控管理平台相关软件进行集中升级；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11、▲安全加密：作弊信号答案文件存储和传输时均经过加密处理，文件脱离本系统后采用通用播放工具无法正确播放，保证涉密数据安全；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12、集中控制：支持对系统设备进行集中调试、查看和管理；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13、远程控制：支持对高科技屏蔽终端进行远程开关工作模块等操作。支持集中、分组、单台等多种方式对高科技屏蔽终端进行远程控制；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14、与上级对接：可根据上级管理平台（如省级管理平台）的要求，开发数据接口，自动下载考试计划、黑白名单等，并上传作弊信号信息结果；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15、数据接口：RJ-45接口，支持与侦测服务器及高科技屏蔽终端组网；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16、可靠性：MTBF≧3000小时。</w:t>
            </w:r>
          </w:p>
        </w:tc>
        <w:tc>
          <w:tcPr>
            <w:tcW w:w="700" w:type="dxa"/>
            <w:shd w:val="clear" w:color="000000" w:fill="FFFFFF"/>
            <w:vAlign w:val="center"/>
          </w:tcPr>
          <w:p w14:paraId="5A14F04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7D0802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A29657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A493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33925F3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1.06</w:t>
            </w:r>
          </w:p>
        </w:tc>
        <w:tc>
          <w:tcPr>
            <w:tcW w:w="680" w:type="dxa"/>
            <w:shd w:val="clear" w:color="000000" w:fill="FFFFFF"/>
            <w:vAlign w:val="center"/>
          </w:tcPr>
          <w:p w14:paraId="11BE15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身份验证服务器</w:t>
            </w:r>
          </w:p>
        </w:tc>
        <w:tc>
          <w:tcPr>
            <w:tcW w:w="6285" w:type="dxa"/>
            <w:shd w:val="clear" w:color="000000" w:fill="FFFFFF"/>
            <w:vAlign w:val="center"/>
          </w:tcPr>
          <w:p w14:paraId="15E3CFD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标准至少2U机架式；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适配1颗Intel Xeon E5-2609v3(1.9GHz/6c)/6.4GT/15M处理器，最大支持2颗处理器；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适配16GB DDR4内存；采用SAS磁盘控制器，实现RAID0,1,5,10级别；</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适配2块1T SATA 3.5寸热插拔硬盘，支持6个3.5寸SATA/SAS接口硬盘或固态磁盘；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适配2个千兆网络接口；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支持扩展DVD-ROM或DVD-RW光驱；</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适配1+1冗余电源。</w:t>
            </w:r>
          </w:p>
        </w:tc>
        <w:tc>
          <w:tcPr>
            <w:tcW w:w="700" w:type="dxa"/>
            <w:shd w:val="clear" w:color="000000" w:fill="FFFFFF"/>
            <w:vAlign w:val="center"/>
          </w:tcPr>
          <w:p w14:paraId="5537B81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498173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D8AB9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6AD1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4FC0D76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1.07</w:t>
            </w:r>
          </w:p>
        </w:tc>
        <w:tc>
          <w:tcPr>
            <w:tcW w:w="680" w:type="dxa"/>
            <w:shd w:val="clear" w:color="000000" w:fill="FFFFFF"/>
            <w:vAlign w:val="center"/>
          </w:tcPr>
          <w:p w14:paraId="0677E7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录像机</w:t>
            </w:r>
          </w:p>
        </w:tc>
        <w:tc>
          <w:tcPr>
            <w:tcW w:w="6285" w:type="dxa"/>
            <w:shd w:val="clear" w:color="000000" w:fill="FFFFFF"/>
            <w:vAlign w:val="center"/>
          </w:tcPr>
          <w:p w14:paraId="19E6919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支持 WEB 、本地 GUI 界面操作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64 路网络视频接入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≧2 路后智能动检</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≧8 个内置 SATA 接口，单盘最大容量支持 20T。</w:t>
            </w:r>
          </w:p>
        </w:tc>
        <w:tc>
          <w:tcPr>
            <w:tcW w:w="700" w:type="dxa"/>
            <w:shd w:val="clear" w:color="000000" w:fill="FFFFFF"/>
            <w:vAlign w:val="center"/>
          </w:tcPr>
          <w:p w14:paraId="4F70910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5EE332A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D8BC28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EC32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585" w:type="dxa"/>
            <w:shd w:val="clear" w:color="000000" w:fill="FFFFFF"/>
            <w:vAlign w:val="center"/>
          </w:tcPr>
          <w:p w14:paraId="736C55B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1.08</w:t>
            </w:r>
          </w:p>
        </w:tc>
        <w:tc>
          <w:tcPr>
            <w:tcW w:w="680" w:type="dxa"/>
            <w:shd w:val="clear" w:color="000000" w:fill="FFFFFF"/>
            <w:vAlign w:val="center"/>
          </w:tcPr>
          <w:p w14:paraId="50264E3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服务器硬盘</w:t>
            </w:r>
          </w:p>
        </w:tc>
        <w:tc>
          <w:tcPr>
            <w:tcW w:w="6285" w:type="dxa"/>
            <w:shd w:val="clear" w:color="000000" w:fill="FFFFFF"/>
            <w:vAlign w:val="center"/>
          </w:tcPr>
          <w:p w14:paraId="27F7E06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硬盘尺寸 3.5英寸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硬盘容量 ≧6000GB。</w:t>
            </w:r>
          </w:p>
        </w:tc>
        <w:tc>
          <w:tcPr>
            <w:tcW w:w="700" w:type="dxa"/>
            <w:shd w:val="clear" w:color="000000" w:fill="FFFFFF"/>
            <w:vAlign w:val="center"/>
          </w:tcPr>
          <w:p w14:paraId="3526A4F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块</w:t>
            </w:r>
          </w:p>
        </w:tc>
        <w:tc>
          <w:tcPr>
            <w:tcW w:w="632" w:type="dxa"/>
            <w:shd w:val="clear" w:color="000000" w:fill="FFFFFF"/>
            <w:vAlign w:val="center"/>
          </w:tcPr>
          <w:p w14:paraId="4F834A9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16</w:t>
            </w:r>
          </w:p>
        </w:tc>
        <w:tc>
          <w:tcPr>
            <w:tcW w:w="768" w:type="dxa"/>
            <w:shd w:val="clear" w:color="000000" w:fill="FFFFFF"/>
            <w:vAlign w:val="center"/>
          </w:tcPr>
          <w:p w14:paraId="53A473B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640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85" w:type="dxa"/>
            <w:shd w:val="clear" w:color="000000" w:fill="FFFFFF"/>
            <w:vAlign w:val="center"/>
          </w:tcPr>
          <w:p w14:paraId="72F8E66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1.09</w:t>
            </w:r>
          </w:p>
        </w:tc>
        <w:tc>
          <w:tcPr>
            <w:tcW w:w="680" w:type="dxa"/>
            <w:shd w:val="clear" w:color="000000" w:fill="FFFFFF"/>
            <w:vAlign w:val="center"/>
          </w:tcPr>
          <w:p w14:paraId="45D5483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工业级硬盘</w:t>
            </w:r>
          </w:p>
        </w:tc>
        <w:tc>
          <w:tcPr>
            <w:tcW w:w="6285" w:type="dxa"/>
            <w:shd w:val="clear" w:color="000000" w:fill="FFFFFF"/>
            <w:vAlign w:val="center"/>
          </w:tcPr>
          <w:p w14:paraId="3FBA729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硬盘尺寸 3.5英寸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硬盘容量 ≧16000GB。</w:t>
            </w:r>
          </w:p>
        </w:tc>
        <w:tc>
          <w:tcPr>
            <w:tcW w:w="700" w:type="dxa"/>
            <w:shd w:val="clear" w:color="000000" w:fill="FFFFFF"/>
            <w:vAlign w:val="center"/>
          </w:tcPr>
          <w:p w14:paraId="009B279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块</w:t>
            </w:r>
          </w:p>
        </w:tc>
        <w:tc>
          <w:tcPr>
            <w:tcW w:w="632" w:type="dxa"/>
            <w:shd w:val="clear" w:color="000000" w:fill="FFFFFF"/>
            <w:vAlign w:val="center"/>
          </w:tcPr>
          <w:p w14:paraId="76163B2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8</w:t>
            </w:r>
          </w:p>
        </w:tc>
        <w:tc>
          <w:tcPr>
            <w:tcW w:w="768" w:type="dxa"/>
            <w:shd w:val="clear" w:color="000000" w:fill="FFFFFF"/>
            <w:vAlign w:val="center"/>
          </w:tcPr>
          <w:p w14:paraId="7382282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B13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29718D1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1.10</w:t>
            </w:r>
          </w:p>
        </w:tc>
        <w:tc>
          <w:tcPr>
            <w:tcW w:w="680" w:type="dxa"/>
            <w:shd w:val="clear" w:color="000000" w:fill="FFFFFF"/>
            <w:vAlign w:val="center"/>
          </w:tcPr>
          <w:p w14:paraId="4573A0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服务器切换器</w:t>
            </w:r>
          </w:p>
        </w:tc>
        <w:tc>
          <w:tcPr>
            <w:tcW w:w="6285" w:type="dxa"/>
            <w:shd w:val="clear" w:color="000000" w:fill="FFFFFF"/>
            <w:vAlign w:val="center"/>
          </w:tcPr>
          <w:p w14:paraId="5680761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1、显示屏幕：≧17英寸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2、输入接口：≧8路输入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3、输出接口： ≧1路USB,VGA</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4、支持分辨率 ：≧1280×1024</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5、至少1U 高度，适应于19”标准机柜安装，金属结构；切换方式 ：OSD菜单或面板按键或热键。</w:t>
            </w:r>
          </w:p>
        </w:tc>
        <w:tc>
          <w:tcPr>
            <w:tcW w:w="700" w:type="dxa"/>
            <w:shd w:val="clear" w:color="000000" w:fill="FFFFFF"/>
            <w:vAlign w:val="center"/>
          </w:tcPr>
          <w:p w14:paraId="4CD025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0ECDDA0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5EBB1C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94F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0FDF405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1.11</w:t>
            </w:r>
          </w:p>
        </w:tc>
        <w:tc>
          <w:tcPr>
            <w:tcW w:w="680" w:type="dxa"/>
            <w:shd w:val="clear" w:color="000000" w:fill="FFFFFF"/>
            <w:vAlign w:val="center"/>
          </w:tcPr>
          <w:p w14:paraId="653F96C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电源管理器</w:t>
            </w:r>
          </w:p>
        </w:tc>
        <w:tc>
          <w:tcPr>
            <w:tcW w:w="6285" w:type="dxa"/>
            <w:shd w:val="clear" w:color="000000" w:fill="FFFFFF"/>
            <w:vAlign w:val="center"/>
          </w:tcPr>
          <w:p w14:paraId="6179378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1、电力输入条件(单相3线)：AC200-240 50-60Hz；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2、通道数量：≧16路万用插座继电器受控与2路万用插座直通</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3、继电器受控输出最大承受单路功率/总功率(无功功率）：1000W/6000W最大承受无功功率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4、最大可承受10A电流磷铜材质，标准万用插座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5、功能特点：顺序开启逆序关闭、PASS键可全通道同时打开、级联叠机、控外控、精准电压显示、漏电保护与过流保护面板通道独立关闭、带232中控连接；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6、每路开关间隔时间/定时时间：默认1秒；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7、输出继电器触点电流：30A 277VAC；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8、开启类型：按键式轻触开关；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9、单路独立开关功能：支持面板独立控制。</w:t>
            </w:r>
          </w:p>
        </w:tc>
        <w:tc>
          <w:tcPr>
            <w:tcW w:w="700" w:type="dxa"/>
            <w:shd w:val="clear" w:color="000000" w:fill="FFFFFF"/>
            <w:vAlign w:val="center"/>
          </w:tcPr>
          <w:p w14:paraId="1E2BB47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5F45686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73E2E73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3F63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5EB7674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1.12</w:t>
            </w:r>
          </w:p>
        </w:tc>
        <w:tc>
          <w:tcPr>
            <w:tcW w:w="680" w:type="dxa"/>
            <w:shd w:val="clear" w:color="000000" w:fill="FFFFFF"/>
            <w:vAlign w:val="center"/>
          </w:tcPr>
          <w:p w14:paraId="05B72AF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光纤柜</w:t>
            </w:r>
          </w:p>
        </w:tc>
        <w:tc>
          <w:tcPr>
            <w:tcW w:w="6285" w:type="dxa"/>
            <w:shd w:val="clear" w:color="000000" w:fill="FFFFFF"/>
            <w:vAlign w:val="center"/>
          </w:tcPr>
          <w:p w14:paraId="4D262CF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配线架内可容纳不低于24芯及以上尾纤的熔接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保证安装、检查、测试均非常方便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带有涂层的钢结构骨架，坚固耐用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设备具有开创性的设计，确保安装、移动以及未来的变更时，均非常灵活</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19英寸宽度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包含耦合器等所有配件。</w:t>
            </w:r>
          </w:p>
        </w:tc>
        <w:tc>
          <w:tcPr>
            <w:tcW w:w="700" w:type="dxa"/>
            <w:shd w:val="clear" w:color="000000" w:fill="FFFFFF"/>
            <w:vAlign w:val="center"/>
          </w:tcPr>
          <w:p w14:paraId="0E4C154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C36446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40B204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A56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6BA6109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1.13</w:t>
            </w:r>
          </w:p>
        </w:tc>
        <w:tc>
          <w:tcPr>
            <w:tcW w:w="680" w:type="dxa"/>
            <w:shd w:val="clear" w:color="000000" w:fill="FFFFFF"/>
            <w:vAlign w:val="center"/>
          </w:tcPr>
          <w:p w14:paraId="0889655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核心交换机</w:t>
            </w:r>
          </w:p>
        </w:tc>
        <w:tc>
          <w:tcPr>
            <w:tcW w:w="6285" w:type="dxa"/>
            <w:shd w:val="clear" w:color="000000" w:fill="FFFFFF"/>
            <w:vAlign w:val="center"/>
          </w:tcPr>
          <w:p w14:paraId="49C5E28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1、整机独立插槽≧3个，系统电源槽位≧2个；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2、要求适配千兆电口≧48个，万兆光口≧8个。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3、为提高机房空间利用率，节约空间成本，要求采用紧凑型机框设计，设备高度4U。</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4、交换容量：≧20Tbps，包转发性能：≧2880Mpps。</w:t>
            </w:r>
          </w:p>
        </w:tc>
        <w:tc>
          <w:tcPr>
            <w:tcW w:w="700" w:type="dxa"/>
            <w:shd w:val="clear" w:color="000000" w:fill="FFFFFF"/>
            <w:vAlign w:val="center"/>
          </w:tcPr>
          <w:p w14:paraId="0BDEC81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2970CE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2C8B6F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4A7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85" w:type="dxa"/>
            <w:shd w:val="clear" w:color="000000" w:fill="FFFFFF"/>
            <w:vAlign w:val="center"/>
          </w:tcPr>
          <w:p w14:paraId="596E9D5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1.14</w:t>
            </w:r>
          </w:p>
        </w:tc>
        <w:tc>
          <w:tcPr>
            <w:tcW w:w="680" w:type="dxa"/>
            <w:shd w:val="clear" w:color="000000" w:fill="FFFFFF"/>
            <w:vAlign w:val="center"/>
          </w:tcPr>
          <w:p w14:paraId="748BCD4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万兆光模块</w:t>
            </w:r>
          </w:p>
        </w:tc>
        <w:tc>
          <w:tcPr>
            <w:tcW w:w="6285" w:type="dxa"/>
            <w:shd w:val="clear" w:color="000000" w:fill="FFFFFF"/>
            <w:vAlign w:val="center"/>
          </w:tcPr>
          <w:p w14:paraId="63D9BC3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 xml:space="preserve">1、光模块-eSFP-GE-单模模块(1310nm,10km,LC)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2、不低于万兆速率。</w:t>
            </w:r>
          </w:p>
        </w:tc>
        <w:tc>
          <w:tcPr>
            <w:tcW w:w="700" w:type="dxa"/>
            <w:shd w:val="clear" w:color="000000" w:fill="FFFFFF"/>
            <w:vAlign w:val="center"/>
          </w:tcPr>
          <w:p w14:paraId="66E0DB4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块</w:t>
            </w:r>
          </w:p>
        </w:tc>
        <w:tc>
          <w:tcPr>
            <w:tcW w:w="632" w:type="dxa"/>
            <w:shd w:val="clear" w:color="000000" w:fill="FFFFFF"/>
            <w:vAlign w:val="center"/>
          </w:tcPr>
          <w:p w14:paraId="375EC8D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14</w:t>
            </w:r>
          </w:p>
        </w:tc>
        <w:tc>
          <w:tcPr>
            <w:tcW w:w="768" w:type="dxa"/>
            <w:shd w:val="clear" w:color="000000" w:fill="FFFFFF"/>
            <w:vAlign w:val="center"/>
          </w:tcPr>
          <w:p w14:paraId="765314F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7764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120CA2B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1.15</w:t>
            </w:r>
          </w:p>
        </w:tc>
        <w:tc>
          <w:tcPr>
            <w:tcW w:w="680" w:type="dxa"/>
            <w:shd w:val="clear" w:color="000000" w:fill="FFFFFF"/>
            <w:vAlign w:val="center"/>
          </w:tcPr>
          <w:p w14:paraId="5FC9F5E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UPS电源</w:t>
            </w:r>
          </w:p>
        </w:tc>
        <w:tc>
          <w:tcPr>
            <w:tcW w:w="6285" w:type="dxa"/>
            <w:shd w:val="clear" w:color="000000" w:fill="FFFFFF"/>
            <w:vAlign w:val="center"/>
          </w:tcPr>
          <w:p w14:paraId="4CDD075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一、主机内容要求：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1、在线式双转换UPS电源，容量为≧30KVA/27kW 输出功率因数：≧0.9（在0~40℃可达1.0） ，三进单出、三进三出（默认）</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2、效率:高达96%</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3、具备输出过载、短路；电池欠压、过压；充电过温、短路；交流输入电压、频率、相序异常；UPS过温、风机故障等等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4、过载能力：115％以下：长时间运行；115％~130％：10min；130％~155％：1min；＞155%：200ms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5、输入标称电压:380/220VAC；400/230VAC; 415/240VAC，输出电压:380/220VAC；400/230VAC; 415/240VAC；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二、电池技术参数要求：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1、容量：≧12V100AH，标配≧32块；</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2、蓄电池自放电率每月不大于3%。</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3、蓄电池采用嵌入式内螺纹铜端子，以适应瞬间大电流放电。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4、蓄电池电压均衡性满足一组蓄电池中任意两个电池的电压差不超过60mV。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5、两个蓄电池之间连接条的压降， 0.1A-3mV。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6、正常使用温度：-20℃~50℃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7、标配企业级电池机柜，电池托架、侧板等。</w:t>
            </w:r>
          </w:p>
        </w:tc>
        <w:tc>
          <w:tcPr>
            <w:tcW w:w="700" w:type="dxa"/>
            <w:shd w:val="clear" w:color="000000" w:fill="FFFFFF"/>
            <w:vAlign w:val="center"/>
          </w:tcPr>
          <w:p w14:paraId="0A97EB1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66DD3DC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FD9594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9E4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5C7BAEC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1.16</w:t>
            </w:r>
          </w:p>
        </w:tc>
        <w:tc>
          <w:tcPr>
            <w:tcW w:w="680" w:type="dxa"/>
            <w:shd w:val="clear" w:color="000000" w:fill="FFFFFF"/>
            <w:vAlign w:val="center"/>
          </w:tcPr>
          <w:p w14:paraId="28D6556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控制系统柜</w:t>
            </w:r>
          </w:p>
        </w:tc>
        <w:tc>
          <w:tcPr>
            <w:tcW w:w="6285" w:type="dxa"/>
            <w:shd w:val="clear" w:color="000000" w:fill="FFFFFF"/>
            <w:vAlign w:val="center"/>
          </w:tcPr>
          <w:p w14:paraId="6A7A981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交流频率50Hz/60Hz，额定控制电源电压AC380V及以下；</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2、≧2路自动控制电路中，作时间控制，按预定的时间控制电路；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采用八位微处理器，液晶显示；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≧1路120A塑壳空开，≧1路100A塑壳空开，≧13路2P空开分路；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双路输出、智能控制。</w:t>
            </w:r>
          </w:p>
        </w:tc>
        <w:tc>
          <w:tcPr>
            <w:tcW w:w="700" w:type="dxa"/>
            <w:shd w:val="clear" w:color="000000" w:fill="FFFFFF"/>
            <w:vAlign w:val="center"/>
          </w:tcPr>
          <w:p w14:paraId="13D8B1F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D8FB4D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AC896C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D3E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585" w:type="dxa"/>
            <w:shd w:val="clear" w:color="000000" w:fill="FFFFFF"/>
            <w:vAlign w:val="center"/>
          </w:tcPr>
          <w:p w14:paraId="7644447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1.17</w:t>
            </w:r>
          </w:p>
        </w:tc>
        <w:tc>
          <w:tcPr>
            <w:tcW w:w="680" w:type="dxa"/>
            <w:shd w:val="clear" w:color="000000" w:fill="FFFFFF"/>
            <w:vAlign w:val="center"/>
          </w:tcPr>
          <w:p w14:paraId="740A346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主备电源切换箱</w:t>
            </w:r>
          </w:p>
        </w:tc>
        <w:tc>
          <w:tcPr>
            <w:tcW w:w="6285" w:type="dxa"/>
            <w:shd w:val="clear" w:color="000000" w:fill="FFFFFF"/>
            <w:vAlign w:val="center"/>
          </w:tcPr>
          <w:p w14:paraId="056A92F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包含≧2个120A塑壳空开、≧1个双电源转换开关。</w:t>
            </w:r>
          </w:p>
        </w:tc>
        <w:tc>
          <w:tcPr>
            <w:tcW w:w="700" w:type="dxa"/>
            <w:shd w:val="clear" w:color="000000" w:fill="FFFFFF"/>
            <w:vAlign w:val="center"/>
          </w:tcPr>
          <w:p w14:paraId="0C68886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27E7069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235788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B3D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07BA90A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w:t>
            </w:r>
            <w:r>
              <w:rPr>
                <w:rFonts w:ascii="宋体" w:hAnsi="宋体" w:cs="宋体"/>
                <w:color w:val="auto"/>
                <w:kern w:val="0"/>
                <w:sz w:val="18"/>
                <w:szCs w:val="18"/>
              </w:rPr>
              <w:t>8</w:t>
            </w:r>
          </w:p>
        </w:tc>
        <w:tc>
          <w:tcPr>
            <w:tcW w:w="680" w:type="dxa"/>
            <w:shd w:val="clear" w:color="000000" w:fill="FFFFFF"/>
            <w:vAlign w:val="center"/>
          </w:tcPr>
          <w:p w14:paraId="18B546B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机柜</w:t>
            </w:r>
          </w:p>
        </w:tc>
        <w:tc>
          <w:tcPr>
            <w:tcW w:w="6285" w:type="dxa"/>
            <w:shd w:val="clear" w:color="000000" w:fill="FFFFFF"/>
            <w:vAlign w:val="center"/>
          </w:tcPr>
          <w:p w14:paraId="3E629AE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材料：优质冷轧钢板；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执行标准： GB/T1097-1991；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19英寸设计;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机柜采用优质冷轧钢板，钢板经脱脂、酸洗、磷化和静电喷塑；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前后部采用网孔门标准尺寸：≧2000*600*1000mm（高*宽*深）。</w:t>
            </w:r>
          </w:p>
        </w:tc>
        <w:tc>
          <w:tcPr>
            <w:tcW w:w="700" w:type="dxa"/>
            <w:shd w:val="clear" w:color="000000" w:fill="FFFFFF"/>
            <w:vAlign w:val="center"/>
          </w:tcPr>
          <w:p w14:paraId="37B48BD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0F64B28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39D060F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62A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389C3B6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r>
              <w:rPr>
                <w:rFonts w:ascii="宋体" w:hAnsi="宋体" w:cs="宋体"/>
                <w:color w:val="auto"/>
                <w:kern w:val="0"/>
                <w:sz w:val="18"/>
                <w:szCs w:val="18"/>
              </w:rPr>
              <w:t>19</w:t>
            </w:r>
          </w:p>
        </w:tc>
        <w:tc>
          <w:tcPr>
            <w:tcW w:w="680" w:type="dxa"/>
            <w:shd w:val="clear" w:color="000000" w:fill="FFFFFF"/>
            <w:vAlign w:val="center"/>
          </w:tcPr>
          <w:p w14:paraId="2577E28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操作控制台</w:t>
            </w:r>
          </w:p>
        </w:tc>
        <w:tc>
          <w:tcPr>
            <w:tcW w:w="6285" w:type="dxa"/>
            <w:shd w:val="clear" w:color="000000" w:fill="FFFFFF"/>
            <w:vAlign w:val="center"/>
          </w:tcPr>
          <w:p w14:paraId="6455B33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主骨架采用冷轧钢板制作，连接部件和装饰部分采用冷轧钢板制作，经过激光切割，数控折弯加工成型。台面采用钢木结合，持久不变形，优质环保聚酯油漆，品牌面漆、底漆，具备一定的防渗、抗划伤能力。</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表面采用除油、除锈、磷化、钝化后静电喷涂处理，然后经过180°——220°的高温烘烤，使粉末熔化黏附在金属的表面，形成坚硬的涂膜，具有抗老化，抗变形，吸附力强等优点；内部结构件采用镀锌处理，具有防锈、耐磨、抗划伤等优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3、尺寸：≧2*联900*750mm。</w:t>
            </w:r>
          </w:p>
        </w:tc>
        <w:tc>
          <w:tcPr>
            <w:tcW w:w="700" w:type="dxa"/>
            <w:shd w:val="clear" w:color="000000" w:fill="FFFFFF"/>
            <w:vAlign w:val="center"/>
          </w:tcPr>
          <w:p w14:paraId="15DA62F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244BF25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ABAC08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FB9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85" w:type="dxa"/>
            <w:shd w:val="clear" w:color="000000" w:fill="FFFFFF"/>
            <w:vAlign w:val="center"/>
          </w:tcPr>
          <w:p w14:paraId="0082680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0</w:t>
            </w:r>
          </w:p>
        </w:tc>
        <w:tc>
          <w:tcPr>
            <w:tcW w:w="680" w:type="dxa"/>
            <w:shd w:val="clear" w:color="000000" w:fill="FFFFFF"/>
            <w:vAlign w:val="center"/>
          </w:tcPr>
          <w:p w14:paraId="086BE28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浪涌保护器</w:t>
            </w:r>
          </w:p>
        </w:tc>
        <w:tc>
          <w:tcPr>
            <w:tcW w:w="6285" w:type="dxa"/>
            <w:shd w:val="clear" w:color="000000" w:fill="FFFFFF"/>
            <w:vAlign w:val="center"/>
          </w:tcPr>
          <w:p w14:paraId="15A3078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2P电源防雷SPD避雷器。</w:t>
            </w:r>
          </w:p>
        </w:tc>
        <w:tc>
          <w:tcPr>
            <w:tcW w:w="700" w:type="dxa"/>
            <w:shd w:val="clear" w:color="000000" w:fill="FFFFFF"/>
            <w:vAlign w:val="center"/>
          </w:tcPr>
          <w:p w14:paraId="0742D85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250686A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3BC9466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D9F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85" w:type="dxa"/>
            <w:shd w:val="clear" w:color="000000" w:fill="FFFFFF"/>
            <w:vAlign w:val="center"/>
          </w:tcPr>
          <w:p w14:paraId="36FFB43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1</w:t>
            </w:r>
          </w:p>
        </w:tc>
        <w:tc>
          <w:tcPr>
            <w:tcW w:w="680" w:type="dxa"/>
            <w:shd w:val="clear" w:color="000000" w:fill="FFFFFF"/>
            <w:vAlign w:val="center"/>
          </w:tcPr>
          <w:p w14:paraId="7E286DD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天线</w:t>
            </w:r>
          </w:p>
        </w:tc>
        <w:tc>
          <w:tcPr>
            <w:tcW w:w="6285" w:type="dxa"/>
            <w:shd w:val="clear" w:color="000000" w:fill="FFFFFF"/>
            <w:vAlign w:val="center"/>
          </w:tcPr>
          <w:p w14:paraId="68217B3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室外天线，要求安装在考点最高处，并做好防雷措施。</w:t>
            </w:r>
          </w:p>
        </w:tc>
        <w:tc>
          <w:tcPr>
            <w:tcW w:w="700" w:type="dxa"/>
            <w:shd w:val="clear" w:color="000000" w:fill="FFFFFF"/>
            <w:vAlign w:val="center"/>
          </w:tcPr>
          <w:p w14:paraId="04A78EE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0E1839D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E71BB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E24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85" w:type="dxa"/>
            <w:shd w:val="clear" w:color="000000" w:fill="FFFFFF"/>
            <w:vAlign w:val="center"/>
          </w:tcPr>
          <w:p w14:paraId="37BF718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2</w:t>
            </w:r>
          </w:p>
        </w:tc>
        <w:tc>
          <w:tcPr>
            <w:tcW w:w="680" w:type="dxa"/>
            <w:shd w:val="clear" w:color="000000" w:fill="FFFFFF"/>
            <w:vAlign w:val="center"/>
          </w:tcPr>
          <w:p w14:paraId="7B0F333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shd w:val="clear" w:color="000000" w:fill="FFFFFF"/>
            <w:vAlign w:val="center"/>
          </w:tcPr>
          <w:p w14:paraId="339E6BD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要求馈线、天线、支架安装及配件。</w:t>
            </w:r>
          </w:p>
        </w:tc>
        <w:tc>
          <w:tcPr>
            <w:tcW w:w="700" w:type="dxa"/>
            <w:shd w:val="clear" w:color="000000" w:fill="FFFFFF"/>
            <w:vAlign w:val="center"/>
          </w:tcPr>
          <w:p w14:paraId="00F3813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2597227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089CD2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026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85" w:type="dxa"/>
            <w:shd w:val="clear" w:color="000000" w:fill="FFFFFF"/>
            <w:vAlign w:val="center"/>
          </w:tcPr>
          <w:p w14:paraId="334C8B2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3</w:t>
            </w:r>
          </w:p>
        </w:tc>
        <w:tc>
          <w:tcPr>
            <w:tcW w:w="680" w:type="dxa"/>
            <w:shd w:val="clear" w:color="000000" w:fill="FFFFFF"/>
            <w:vAlign w:val="center"/>
          </w:tcPr>
          <w:p w14:paraId="0B634E9B">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标考高清解码矩阵</w:t>
            </w:r>
          </w:p>
        </w:tc>
        <w:tc>
          <w:tcPr>
            <w:tcW w:w="6285" w:type="dxa"/>
            <w:shd w:val="clear" w:color="000000" w:fill="FFFFFF"/>
            <w:vAlign w:val="center"/>
          </w:tcPr>
          <w:p w14:paraId="444D63A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 xml:space="preserve">1、符合《国家教育考试网上巡查系统视频标准技术规范（2017版）》相关技术规范；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2、支持≧4 路本地信号采集，提供≧9 路HDMI解码输出接口；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3、本地采集信号和网络信号在融合屏上墙，整体图像完整，无错位；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4、▲任意一路信号可在整屏的任意位置上与其他信号源拼接漫游缩放叠加显示，图层≧18 层；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5、输出接口支持 3840x2160,2560x1600，1920x1080,1280x1024,1280x720,1024x768 六种显示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分辨率，其中 6 个输出接口最大支持 3840x2160；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6、支持 H.265/ H.264/ MPEG4/ MPEG2 /MJPEG/SVAC 标准网络视频流解码，支持各种码流混合解码显示，H.265解码性能与H.264 相同；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7、▲支持 web 端解码信息显示，包含每个通道的通道状态、分辨率、帧率、数据和解码流量；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8、支持≧144 个通道同时解码，支持通道任意开窗、漫游、图层叠加等功能，支持预案轮巡设置；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9、支持 1/4/6/8/9/16 画面分割；支持 2*2，2*3，3*2，3*3电视墙拼接；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10、支持通过串口控制屏幕开关，亮度，饱和度，对比度调节；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11、支持主动解码模式；支持远程录像文件的解码输出；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12、支持跨浏览器的 WEB 3.0，同时对 WEB 上的配置进行调整；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13、支持底色选择；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14、支持 2 个 10M/100M/1000M 自适应以太网接口；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15、支持远程回放功能，能通过网络获取存储设备的音视频数据并解码输出；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16、采用标准网络协议和标准压缩算法，在各种平台上轻松实现互联互通。</w:t>
            </w:r>
          </w:p>
        </w:tc>
        <w:tc>
          <w:tcPr>
            <w:tcW w:w="700" w:type="dxa"/>
            <w:shd w:val="clear" w:color="000000" w:fill="FFFFFF"/>
            <w:vAlign w:val="center"/>
          </w:tcPr>
          <w:p w14:paraId="3079D06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8078CD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26F9A85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1BF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585" w:type="dxa"/>
            <w:shd w:val="clear" w:color="000000" w:fill="FFFFFF"/>
            <w:vAlign w:val="center"/>
          </w:tcPr>
          <w:p w14:paraId="7DFF20E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4</w:t>
            </w:r>
          </w:p>
        </w:tc>
        <w:tc>
          <w:tcPr>
            <w:tcW w:w="680" w:type="dxa"/>
            <w:shd w:val="clear" w:color="000000" w:fill="FFFFFF"/>
            <w:vAlign w:val="center"/>
          </w:tcPr>
          <w:p w14:paraId="77494BC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电视墙管理软件</w:t>
            </w:r>
          </w:p>
        </w:tc>
        <w:tc>
          <w:tcPr>
            <w:tcW w:w="6285" w:type="dxa"/>
            <w:shd w:val="clear" w:color="000000" w:fill="FFFFFF"/>
            <w:vAlign w:val="center"/>
          </w:tcPr>
          <w:p w14:paraId="7D72051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支持电视墙服务器和电视墙管理平台控制巡查图像以及设置巡查图像轮巡显示和编码通道上墙显示；控制电视墙服务器和电视墙管理平台。支持分屏模式包括1分屏、4分屏、9分屏、16分屏。</w:t>
            </w:r>
          </w:p>
        </w:tc>
        <w:tc>
          <w:tcPr>
            <w:tcW w:w="700" w:type="dxa"/>
            <w:shd w:val="clear" w:color="000000" w:fill="FFFFFF"/>
            <w:vAlign w:val="center"/>
          </w:tcPr>
          <w:p w14:paraId="276C101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76FEE1C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4D840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45F8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85" w:type="dxa"/>
            <w:shd w:val="clear" w:color="000000" w:fill="FFFFFF"/>
            <w:vAlign w:val="center"/>
          </w:tcPr>
          <w:p w14:paraId="46CF62E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5</w:t>
            </w:r>
          </w:p>
        </w:tc>
        <w:tc>
          <w:tcPr>
            <w:tcW w:w="680" w:type="dxa"/>
            <w:shd w:val="clear" w:color="000000" w:fill="FFFFFF"/>
            <w:vAlign w:val="center"/>
          </w:tcPr>
          <w:p w14:paraId="6EB6DE2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液晶拼接单元</w:t>
            </w:r>
          </w:p>
        </w:tc>
        <w:tc>
          <w:tcPr>
            <w:tcW w:w="6285" w:type="dxa"/>
            <w:shd w:val="clear" w:color="000000" w:fill="FFFFFF"/>
            <w:vAlign w:val="center"/>
          </w:tcPr>
          <w:p w14:paraId="77CE9C1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 xml:space="preserve">1、直下式LED背光源，显示单元亮度更加均匀，无边界暗影现象；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2、尺寸：≧55英寸；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3、分辨率：1920 × 1080；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4、输出：RS232(RJ45)*2；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5、输入：HDMI*1、RS232(RJ45)*1、USB（升级和多媒体）；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6、对比度：1200:1；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7、亮度：300cd/㎡；</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8、物理拼缝：≧3.5mm；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9、功耗：≧150 W；待机功耗:≧1W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10、电源要求：AC90~264V(±5%),50/60Hz。</w:t>
            </w:r>
          </w:p>
        </w:tc>
        <w:tc>
          <w:tcPr>
            <w:tcW w:w="700" w:type="dxa"/>
            <w:shd w:val="clear" w:color="000000" w:fill="FFFFFF"/>
            <w:vAlign w:val="center"/>
          </w:tcPr>
          <w:p w14:paraId="544F07D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4F95DA0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w:t>
            </w:r>
          </w:p>
        </w:tc>
        <w:tc>
          <w:tcPr>
            <w:tcW w:w="768" w:type="dxa"/>
            <w:shd w:val="clear" w:color="000000" w:fill="FFFFFF"/>
            <w:vAlign w:val="center"/>
          </w:tcPr>
          <w:p w14:paraId="25FDC92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3E4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73FC0D3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6</w:t>
            </w:r>
          </w:p>
        </w:tc>
        <w:tc>
          <w:tcPr>
            <w:tcW w:w="680" w:type="dxa"/>
            <w:shd w:val="clear" w:color="000000" w:fill="FFFFFF"/>
            <w:vAlign w:val="center"/>
          </w:tcPr>
          <w:p w14:paraId="3AD8DF4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LED单色屏</w:t>
            </w:r>
          </w:p>
        </w:tc>
        <w:tc>
          <w:tcPr>
            <w:tcW w:w="6285" w:type="dxa"/>
            <w:shd w:val="clear" w:color="000000" w:fill="FFFFFF"/>
            <w:vAlign w:val="center"/>
          </w:tcPr>
          <w:p w14:paraId="130A21E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产品规格：Φ4.75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像素密度：44321点/㎡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单元板尺寸：304×152mm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屏体分辨率：64×32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显示基色：单色</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像素组成 1R</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显示颜色：65536色</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亮度：≧900cd/m2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显示模式：同步显示。</w:t>
            </w:r>
          </w:p>
        </w:tc>
        <w:tc>
          <w:tcPr>
            <w:tcW w:w="700" w:type="dxa"/>
            <w:shd w:val="clear" w:color="000000" w:fill="FFFFFF"/>
            <w:vAlign w:val="center"/>
          </w:tcPr>
          <w:p w14:paraId="3A66282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平方</w:t>
            </w:r>
          </w:p>
        </w:tc>
        <w:tc>
          <w:tcPr>
            <w:tcW w:w="632" w:type="dxa"/>
            <w:shd w:val="clear" w:color="000000" w:fill="FFFFFF"/>
            <w:vAlign w:val="center"/>
          </w:tcPr>
          <w:p w14:paraId="2A4D482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F10BA8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1FDA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85" w:type="dxa"/>
            <w:shd w:val="clear" w:color="000000" w:fill="FFFFFF"/>
            <w:vAlign w:val="center"/>
          </w:tcPr>
          <w:p w14:paraId="05BAC7C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7</w:t>
            </w:r>
          </w:p>
        </w:tc>
        <w:tc>
          <w:tcPr>
            <w:tcW w:w="680" w:type="dxa"/>
            <w:shd w:val="clear" w:color="000000" w:fill="FFFFFF"/>
            <w:vAlign w:val="center"/>
          </w:tcPr>
          <w:p w14:paraId="37A1499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拼接墙</w:t>
            </w:r>
          </w:p>
        </w:tc>
        <w:tc>
          <w:tcPr>
            <w:tcW w:w="6285" w:type="dxa"/>
            <w:shd w:val="clear" w:color="000000" w:fill="FFFFFF"/>
            <w:vAlign w:val="center"/>
          </w:tcPr>
          <w:p w14:paraId="3F412FA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1、上部分为显示区域，下部分为箱体，左右两侧各留有一扇门，方便日后的维修，前后深度600mm，立梁采用冷轧钢板1.5mm厚，门体采用冷轧钢板大于等于1.0mm厚。</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2、内折弯，无焦点焊接。前门为旋转铁门，后门为插卸门(后门并冲有双排竖透气孔），后上部分为敞开式，后门下框开有一排进出线孔，屏幕墙下柜两扇门内19英寸机架式，其余门内配一块底板。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3、表面处理：脱脂、磷化、静电喷塑，经酸洗磷化后，静电喷涂，180℃—200℃恒温处理，效果有抗老化，抗变形，吸附力强等优点。</w:t>
            </w:r>
          </w:p>
        </w:tc>
        <w:tc>
          <w:tcPr>
            <w:tcW w:w="700" w:type="dxa"/>
            <w:shd w:val="clear" w:color="000000" w:fill="FFFFFF"/>
            <w:vAlign w:val="center"/>
          </w:tcPr>
          <w:p w14:paraId="004E740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组</w:t>
            </w:r>
          </w:p>
        </w:tc>
        <w:tc>
          <w:tcPr>
            <w:tcW w:w="632" w:type="dxa"/>
            <w:shd w:val="clear" w:color="000000" w:fill="FFFFFF"/>
            <w:vAlign w:val="center"/>
          </w:tcPr>
          <w:p w14:paraId="19BA32F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DAA4A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DBF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85" w:type="dxa"/>
            <w:shd w:val="clear" w:color="000000" w:fill="FFFFFF"/>
            <w:vAlign w:val="center"/>
          </w:tcPr>
          <w:p w14:paraId="4245A34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w:t>
            </w:r>
            <w:r>
              <w:rPr>
                <w:rFonts w:ascii="宋体" w:hAnsi="宋体" w:cs="宋体"/>
                <w:color w:val="auto"/>
                <w:kern w:val="0"/>
                <w:sz w:val="18"/>
                <w:szCs w:val="18"/>
              </w:rPr>
              <w:t>8</w:t>
            </w:r>
          </w:p>
        </w:tc>
        <w:tc>
          <w:tcPr>
            <w:tcW w:w="680" w:type="dxa"/>
            <w:shd w:val="clear" w:color="000000" w:fill="FFFFFF"/>
            <w:vAlign w:val="center"/>
          </w:tcPr>
          <w:p w14:paraId="74C28C5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shd w:val="clear" w:color="000000" w:fill="FFFFFF"/>
            <w:vAlign w:val="center"/>
          </w:tcPr>
          <w:p w14:paraId="76D2429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1、包含屏体连接线缆， HDMI线缆、主电源线缆及网络线缆等；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2、要求安装、调试、服务、管理等，要求设备安装牢固美观。</w:t>
            </w:r>
          </w:p>
        </w:tc>
        <w:tc>
          <w:tcPr>
            <w:tcW w:w="700" w:type="dxa"/>
            <w:shd w:val="clear" w:color="000000" w:fill="FFFFFF"/>
            <w:vAlign w:val="center"/>
          </w:tcPr>
          <w:p w14:paraId="4343D18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项</w:t>
            </w:r>
          </w:p>
        </w:tc>
        <w:tc>
          <w:tcPr>
            <w:tcW w:w="632" w:type="dxa"/>
            <w:shd w:val="clear" w:color="000000" w:fill="FFFFFF"/>
            <w:vAlign w:val="center"/>
          </w:tcPr>
          <w:p w14:paraId="48D14B1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76D318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BE7B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46387A16">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（二）考场（教室）巡查监控前端</w:t>
            </w:r>
          </w:p>
        </w:tc>
      </w:tr>
      <w:tr w14:paraId="37F6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788DC1F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2.01</w:t>
            </w:r>
          </w:p>
        </w:tc>
        <w:tc>
          <w:tcPr>
            <w:tcW w:w="680" w:type="dxa"/>
            <w:shd w:val="clear" w:color="000000" w:fill="FFFFFF"/>
            <w:vAlign w:val="center"/>
          </w:tcPr>
          <w:p w14:paraId="78DF5F2A">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红外高清半球摄像机</w:t>
            </w:r>
          </w:p>
        </w:tc>
        <w:tc>
          <w:tcPr>
            <w:tcW w:w="6285" w:type="dxa"/>
            <w:shd w:val="clear" w:color="000000" w:fill="FFFFFF"/>
            <w:vAlign w:val="center"/>
          </w:tcPr>
          <w:p w14:paraId="7554707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1、▲符合《国家教育考试网上巡查系统视频标准技术规范（2017版）》相关技术规范；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2、采用高性能两百万像素1/2.7英寸CMOS图像传感器，低照度效果好，图像清晰度高；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3、可输出200万(1920*1080)@25fps；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4、支持H.264、H.265、MPEG-4视频编码格式；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5、支持智能红外功能，红外夜视距目标轮廓可达50米；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6、支持走廊模式，宽动态，3D降噪，强光抑制，背光补偿，数字水印，适用不同监控环境；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7、支持ROI，SMART H.264/H.265，灵活编码，适用不同带宽和存储环境；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8、支持虚焦侦测，区域入侵，绊线入侵，场景变更，外部报警,音频检测，电压检测；                                                                         9、支持PS系统流和TS传输流的封装；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10、支持人脸区域自动曝光，根据场景和光照自动调节曝光参数，支持人脸增强功能；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11、支持DC12V/POE电方式，方便工程安装；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12、镜头焦距2.8mm。</w:t>
            </w:r>
          </w:p>
        </w:tc>
        <w:tc>
          <w:tcPr>
            <w:tcW w:w="700" w:type="dxa"/>
            <w:shd w:val="clear" w:color="000000" w:fill="FFFFFF"/>
            <w:vAlign w:val="center"/>
          </w:tcPr>
          <w:p w14:paraId="0CEE755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F1C9A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43CAC04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658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85" w:type="dxa"/>
            <w:shd w:val="clear" w:color="000000" w:fill="FFFFFF"/>
            <w:vAlign w:val="center"/>
          </w:tcPr>
          <w:p w14:paraId="4F6D1FC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2.02</w:t>
            </w:r>
          </w:p>
        </w:tc>
        <w:tc>
          <w:tcPr>
            <w:tcW w:w="680" w:type="dxa"/>
            <w:shd w:val="clear" w:color="000000" w:fill="FFFFFF"/>
            <w:vAlign w:val="center"/>
          </w:tcPr>
          <w:p w14:paraId="4B35870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电源</w:t>
            </w:r>
          </w:p>
        </w:tc>
        <w:tc>
          <w:tcPr>
            <w:tcW w:w="6285" w:type="dxa"/>
            <w:shd w:val="clear" w:color="000000" w:fill="FFFFFF"/>
            <w:vAlign w:val="center"/>
          </w:tcPr>
          <w:p w14:paraId="5DB62E0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1、输出功率：≧24W，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 180-260V。</w:t>
            </w:r>
          </w:p>
        </w:tc>
        <w:tc>
          <w:tcPr>
            <w:tcW w:w="700" w:type="dxa"/>
            <w:shd w:val="clear" w:color="000000" w:fill="FFFFFF"/>
            <w:vAlign w:val="center"/>
          </w:tcPr>
          <w:p w14:paraId="34738F2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107CB85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26FE02E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B66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85" w:type="dxa"/>
            <w:shd w:val="clear" w:color="000000" w:fill="FFFFFF"/>
            <w:vAlign w:val="center"/>
          </w:tcPr>
          <w:p w14:paraId="283DC39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2.03</w:t>
            </w:r>
          </w:p>
        </w:tc>
        <w:tc>
          <w:tcPr>
            <w:tcW w:w="680" w:type="dxa"/>
            <w:shd w:val="clear" w:color="000000" w:fill="FFFFFF"/>
            <w:vAlign w:val="center"/>
          </w:tcPr>
          <w:p w14:paraId="2BBDA0C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支架</w:t>
            </w:r>
          </w:p>
        </w:tc>
        <w:tc>
          <w:tcPr>
            <w:tcW w:w="6285" w:type="dxa"/>
            <w:shd w:val="clear" w:color="000000" w:fill="FFFFFF"/>
            <w:vAlign w:val="center"/>
          </w:tcPr>
          <w:p w14:paraId="2B04C79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材质 ：钢制或PVC,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2、专用壁装半球支架。</w:t>
            </w:r>
          </w:p>
        </w:tc>
        <w:tc>
          <w:tcPr>
            <w:tcW w:w="700" w:type="dxa"/>
            <w:shd w:val="clear" w:color="000000" w:fill="FFFFFF"/>
            <w:vAlign w:val="center"/>
          </w:tcPr>
          <w:p w14:paraId="77B9A5E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563CEBA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75C4AFC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31A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558B515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2.04</w:t>
            </w:r>
          </w:p>
        </w:tc>
        <w:tc>
          <w:tcPr>
            <w:tcW w:w="680" w:type="dxa"/>
            <w:shd w:val="clear" w:color="000000" w:fill="FFFFFF"/>
            <w:vAlign w:val="center"/>
          </w:tcPr>
          <w:p w14:paraId="00390B7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拾音器</w:t>
            </w:r>
          </w:p>
        </w:tc>
        <w:tc>
          <w:tcPr>
            <w:tcW w:w="6285" w:type="dxa"/>
            <w:shd w:val="clear" w:color="000000" w:fill="FFFFFF"/>
            <w:vAlign w:val="center"/>
          </w:tcPr>
          <w:p w14:paraId="448B90C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拾音范围：≧50平方米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灵敏度 ：-35dB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频率响应 ：20Hz ～ 20kHz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指向特性： 全方向性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6、 信噪比 ：65dB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动态范围 ：104dB (1KHz at Max dB SPL)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最大承受音压≧ 120dB SPL (1KHz,THD 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输出阻抗：600欧姆非平衡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输出信号幅度： 2.5Vpp/-25db 。</w:t>
            </w:r>
          </w:p>
        </w:tc>
        <w:tc>
          <w:tcPr>
            <w:tcW w:w="700" w:type="dxa"/>
            <w:shd w:val="clear" w:color="000000" w:fill="FFFFFF"/>
            <w:vAlign w:val="center"/>
          </w:tcPr>
          <w:p w14:paraId="0022BDE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7779AC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1CCC27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551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85" w:type="dxa"/>
            <w:shd w:val="clear" w:color="000000" w:fill="FFFFFF"/>
            <w:vAlign w:val="center"/>
          </w:tcPr>
          <w:p w14:paraId="783623C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2.05</w:t>
            </w:r>
          </w:p>
        </w:tc>
        <w:tc>
          <w:tcPr>
            <w:tcW w:w="680" w:type="dxa"/>
            <w:shd w:val="clear" w:color="000000" w:fill="FFFFFF"/>
            <w:vAlign w:val="center"/>
          </w:tcPr>
          <w:p w14:paraId="143E926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拾音器电源</w:t>
            </w:r>
          </w:p>
        </w:tc>
        <w:tc>
          <w:tcPr>
            <w:tcW w:w="6285" w:type="dxa"/>
            <w:shd w:val="clear" w:color="000000" w:fill="FFFFFF"/>
            <w:vAlign w:val="center"/>
          </w:tcPr>
          <w:p w14:paraId="1898BA9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1、输出功率：≧12W，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2、输入电压：100～240V。</w:t>
            </w:r>
          </w:p>
        </w:tc>
        <w:tc>
          <w:tcPr>
            <w:tcW w:w="700" w:type="dxa"/>
            <w:shd w:val="clear" w:color="000000" w:fill="FFFFFF"/>
            <w:vAlign w:val="center"/>
          </w:tcPr>
          <w:p w14:paraId="7D15C77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00B7D8B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73B0C80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160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585" w:type="dxa"/>
            <w:shd w:val="clear" w:color="000000" w:fill="FFFFFF"/>
            <w:vAlign w:val="center"/>
          </w:tcPr>
          <w:p w14:paraId="6DCEA00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2.06</w:t>
            </w:r>
          </w:p>
        </w:tc>
        <w:tc>
          <w:tcPr>
            <w:tcW w:w="680" w:type="dxa"/>
            <w:shd w:val="clear" w:color="000000" w:fill="FFFFFF"/>
            <w:vAlign w:val="center"/>
          </w:tcPr>
          <w:p w14:paraId="782247F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摄像机存储卡</w:t>
            </w:r>
          </w:p>
        </w:tc>
        <w:tc>
          <w:tcPr>
            <w:tcW w:w="6285" w:type="dxa"/>
            <w:shd w:val="clear" w:color="000000" w:fill="FFFFFF"/>
            <w:vAlign w:val="center"/>
          </w:tcPr>
          <w:p w14:paraId="78F044F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摄像机专用存储卡≧64G。</w:t>
            </w:r>
          </w:p>
        </w:tc>
        <w:tc>
          <w:tcPr>
            <w:tcW w:w="700" w:type="dxa"/>
            <w:shd w:val="clear" w:color="000000" w:fill="FFFFFF"/>
            <w:vAlign w:val="center"/>
          </w:tcPr>
          <w:p w14:paraId="507798C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6F71171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3EF78AA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2A35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585" w:type="dxa"/>
            <w:shd w:val="clear" w:color="000000" w:fill="FFFFFF"/>
            <w:vAlign w:val="center"/>
          </w:tcPr>
          <w:p w14:paraId="1B6471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2.07</w:t>
            </w:r>
          </w:p>
        </w:tc>
        <w:tc>
          <w:tcPr>
            <w:tcW w:w="680" w:type="dxa"/>
            <w:shd w:val="clear" w:color="000000" w:fill="FFFFFF"/>
            <w:vAlign w:val="center"/>
          </w:tcPr>
          <w:p w14:paraId="592B655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教室 挂表</w:t>
            </w:r>
          </w:p>
        </w:tc>
        <w:tc>
          <w:tcPr>
            <w:tcW w:w="6285" w:type="dxa"/>
            <w:shd w:val="clear" w:color="000000" w:fill="FFFFFF"/>
            <w:vAlign w:val="center"/>
          </w:tcPr>
          <w:p w14:paraId="327ABA0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≧14英寸，电波时钟，静音型。</w:t>
            </w:r>
          </w:p>
        </w:tc>
        <w:tc>
          <w:tcPr>
            <w:tcW w:w="700" w:type="dxa"/>
            <w:shd w:val="clear" w:color="000000" w:fill="FFFFFF"/>
            <w:vAlign w:val="center"/>
          </w:tcPr>
          <w:p w14:paraId="0F53F2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13FAAAD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55</w:t>
            </w:r>
          </w:p>
        </w:tc>
        <w:tc>
          <w:tcPr>
            <w:tcW w:w="768" w:type="dxa"/>
            <w:shd w:val="clear" w:color="000000" w:fill="FFFFFF"/>
            <w:vAlign w:val="center"/>
          </w:tcPr>
          <w:p w14:paraId="208D58C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8D0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shd w:val="clear" w:color="000000" w:fill="FFFFFF"/>
            <w:vAlign w:val="center"/>
          </w:tcPr>
          <w:p w14:paraId="23403A0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2.08</w:t>
            </w:r>
          </w:p>
        </w:tc>
        <w:tc>
          <w:tcPr>
            <w:tcW w:w="680" w:type="dxa"/>
            <w:shd w:val="clear" w:color="000000" w:fill="FFFFFF"/>
            <w:vAlign w:val="center"/>
          </w:tcPr>
          <w:p w14:paraId="38DE290B">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高科技屏蔽终端</w:t>
            </w:r>
          </w:p>
        </w:tc>
        <w:tc>
          <w:tcPr>
            <w:tcW w:w="6285" w:type="dxa"/>
            <w:shd w:val="clear" w:color="000000" w:fill="FFFFFF"/>
            <w:vAlign w:val="center"/>
          </w:tcPr>
          <w:p w14:paraId="344C73D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1、阻断工作频率范围：30MHz-5850MHz；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2、侦测引导阻断频率范围：无缝覆盖30MHz-3000MHz（支持扩展）；</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3、手机信号屏蔽：能够屏蔽电信、移动、联通的2G/3G/4G/5G手机信号(视当地环境手机基站＞300米时，可有效屏蔽)；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4、蓝牙/wi-fi信号屏蔽：能够屏蔽2400MHz-2483.5MHz（2.4G）蓝牙信号以及2400MHz-2483.5MHz（2.4G）、5725MHz-5850MHz（5.8G）wi-fi信号；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5、阻断方式：对侦测引导阻断频率范围内的专业作弊信号，采用侦测引导阻断方式，对专业作弊信号实现点对点的精准阻断；对2G/3G/4G/5G各种制式的手机信号和蓝牙/wi-fi信号采用直接阻断方式；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智能绿色阻断控制：根据专业作弊信号的带宽、调制方式及功率等特征自动调整阻断信号带宽和功率，确保对作弊信号的有效阻断。根据作弊信号持续时间，自动调整屏蔽时长，减少非必要辐射，符合节能环保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7、▲并发阻断：专业作弊信号（手机信号/wi-fi/蓝牙信号通道除外）支持不少于22路并发阻断；</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8、点频阻断：支持对专业作弊信号采用瞄准式点频精准阻断方式，阻断信号；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9、阻断信号带宽：0.7倍作弊信号带宽≧阻断信号带宽≧3倍作弊信号带宽，且不超过200KHz（3db）；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10、▲预设频点模式：无需侦测引导，可预置至少22路专业作弊干扰频点（手机信号/wi-fi/蓝牙信号除外）进行实时阻断；</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11、▲欺骗式干扰：具备数传作弊设备接收答案的远程清除功能；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12、批量升级：支持通过考点级管理平台对高科技屏蔽终端软件进行一键式集中批量升级；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考试计划：可根据考点级管理平台的考试计划，在考试计划时间开始时系统自动进入工作状态，考试计划时间结束时系统自动停止工作，提供考前、考中及考后自动工作模式，实现无人值守式管理；也可支持手动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14、温度监控：支持远程对设备的工作温度进行监控；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15、远程管理：支持通过考点级管理平台实现远程集中控制，可根据需要实现分组、单台设备的远程开关控制；可远程对工作模块进行开关控制；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16、状态上报：可向考点级管理平台上报设备工作状态、故障状态等信息；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17、扩展机制：提供有物理扩展槽，支持硬件扩展和升级；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18、安全设计：绝缘外壳，无金属部件裸露，避免触电、烫伤等风险；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19、一体化设计：天线和电源内置，具有漏电保护功能；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20、状态显示：前面板有工作指示灯，可直观指示设备上电、模块开关、网络连通等状态；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21、隐藏式接口设计：设备开关、电源接口、网络接口均采用隐蔽式设计，设备安装完成后可视表面无任何接口、开关，避免学生误动设备对系统造成影响；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22、数据接口：RJ-45接口，支持与考点级管理平台及侦测服务器组网；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23、可靠性：MTBF≧3000小时；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24、符合国家《电磁环境控制限值(GB8702-2014)》标准；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25、符合国家《声环境质量标准（GB3096-2008）》中的零类标准。</w:t>
            </w:r>
          </w:p>
        </w:tc>
        <w:tc>
          <w:tcPr>
            <w:tcW w:w="700" w:type="dxa"/>
            <w:shd w:val="clear" w:color="000000" w:fill="FFFFFF"/>
            <w:vAlign w:val="center"/>
          </w:tcPr>
          <w:p w14:paraId="5D6DA7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142397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w:t>
            </w:r>
          </w:p>
        </w:tc>
        <w:tc>
          <w:tcPr>
            <w:tcW w:w="768" w:type="dxa"/>
            <w:shd w:val="clear" w:color="000000" w:fill="FFFFFF"/>
            <w:vAlign w:val="center"/>
          </w:tcPr>
          <w:p w14:paraId="69059FB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80D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4DE8AA0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2.09</w:t>
            </w:r>
          </w:p>
        </w:tc>
        <w:tc>
          <w:tcPr>
            <w:tcW w:w="680" w:type="dxa"/>
            <w:shd w:val="clear" w:color="000000" w:fill="FFFFFF"/>
            <w:vAlign w:val="center"/>
          </w:tcPr>
          <w:p w14:paraId="43927056">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身份验证移动终端</w:t>
            </w:r>
          </w:p>
        </w:tc>
        <w:tc>
          <w:tcPr>
            <w:tcW w:w="6285" w:type="dxa"/>
            <w:shd w:val="clear" w:color="000000" w:fill="FFFFFF"/>
            <w:vAlign w:val="center"/>
          </w:tcPr>
          <w:p w14:paraId="43F5E64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 xml:space="preserve">1、设备硬件：电池容量6500毫安；处理器4核，2g内存；8英寸IPS硬屏，800x1280。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2、设备接口：内置1个USB接口、1个mini-USB接口、1个RJ45网口、1个TF扩充卡槽，1个3.5mm耳机插口，1个Micro HDMI接口。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3、一体化设计：由居民身份证ID模块、指纹模块、拍照模块，一体化封装、无需外接任何设备即可独立完成验证工作。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4、操作标识：身份证读取区和指纹采集区均采用正面前置设计，身份证读卡区有显著图文标识。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5、工作模式：支持考生和验证数据通过介质和网络（有线和wi-fi）导入、导出和实时上传；支持脱机工作方式即不接PC、不接电源。</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6、指纹模块传感器类型：半导体电容式传感器，符合GA/T-1011-2012标准，支持活体识别，支持360度采集。能有效杜绝指纹膜作弊替考行为。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7、双摄像头：前、后置500万像素摄像头，可切换，便于多种情景下由监考老师拍照或考生自拍。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8、可在验证终端上进行实时人脸比对，通过现场考生人像与其报名采集照片或身份证芯片内照片进行人脸比对。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9、多种调取考生信息方式：刷身份证、输入身份证号、准考证号或者点击考生座次图等方式快速的读取到考生个人信息（包括准考证号、身份证号、姓名、考生身份证照片、报名照片等）。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10、内置数据存储容量：指定的身份信息数据存储格式，可存储大于10000枚指纹信息，可存储大于10000条考生数据（考生基本信息、报名照片、身份证照片等），可存储大于100000条验证记录。</w:t>
            </w:r>
          </w:p>
        </w:tc>
        <w:tc>
          <w:tcPr>
            <w:tcW w:w="700" w:type="dxa"/>
            <w:shd w:val="clear" w:color="000000" w:fill="FFFFFF"/>
            <w:vAlign w:val="center"/>
          </w:tcPr>
          <w:p w14:paraId="0D39FB0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1624D3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6F6EDFA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50FB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083D50E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2.10</w:t>
            </w:r>
          </w:p>
        </w:tc>
        <w:tc>
          <w:tcPr>
            <w:tcW w:w="680" w:type="dxa"/>
            <w:shd w:val="clear" w:color="000000" w:fill="FFFFFF"/>
            <w:vAlign w:val="center"/>
          </w:tcPr>
          <w:p w14:paraId="03819CD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屏蔽终端支架</w:t>
            </w:r>
          </w:p>
        </w:tc>
        <w:tc>
          <w:tcPr>
            <w:tcW w:w="6285" w:type="dxa"/>
            <w:shd w:val="clear" w:color="000000" w:fill="FFFFFF"/>
            <w:vAlign w:val="center"/>
          </w:tcPr>
          <w:p w14:paraId="701D230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1、定制国标专用支架。</w:t>
            </w:r>
          </w:p>
        </w:tc>
        <w:tc>
          <w:tcPr>
            <w:tcW w:w="700" w:type="dxa"/>
            <w:shd w:val="clear" w:color="000000" w:fill="FFFFFF"/>
            <w:vAlign w:val="center"/>
          </w:tcPr>
          <w:p w14:paraId="6CA74CC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5889F15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6CBFF14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365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6E07D5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2.11</w:t>
            </w:r>
          </w:p>
        </w:tc>
        <w:tc>
          <w:tcPr>
            <w:tcW w:w="680" w:type="dxa"/>
            <w:shd w:val="clear" w:color="000000" w:fill="FFFFFF"/>
            <w:vAlign w:val="center"/>
          </w:tcPr>
          <w:p w14:paraId="33EAEF8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耳机探测仪</w:t>
            </w:r>
          </w:p>
        </w:tc>
        <w:tc>
          <w:tcPr>
            <w:tcW w:w="6285" w:type="dxa"/>
            <w:shd w:val="clear" w:color="000000" w:fill="FFFFFF"/>
            <w:vAlign w:val="center"/>
          </w:tcPr>
          <w:p w14:paraId="752C4B0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1、探测频率：100-5800MHz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2、探测距离：3-18米（约20-150平方米）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3、灵敏度：≧6dB</w:t>
            </w:r>
          </w:p>
        </w:tc>
        <w:tc>
          <w:tcPr>
            <w:tcW w:w="700" w:type="dxa"/>
            <w:shd w:val="clear" w:color="000000" w:fill="FFFFFF"/>
            <w:vAlign w:val="center"/>
          </w:tcPr>
          <w:p w14:paraId="00AF5DD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w:t>
            </w:r>
          </w:p>
        </w:tc>
        <w:tc>
          <w:tcPr>
            <w:tcW w:w="632" w:type="dxa"/>
            <w:shd w:val="clear" w:color="000000" w:fill="FFFFFF"/>
            <w:vAlign w:val="center"/>
          </w:tcPr>
          <w:p w14:paraId="4E29B61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5A23025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407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51B04CE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2.12</w:t>
            </w:r>
          </w:p>
        </w:tc>
        <w:tc>
          <w:tcPr>
            <w:tcW w:w="680" w:type="dxa"/>
            <w:shd w:val="clear" w:color="000000" w:fill="FFFFFF"/>
            <w:vAlign w:val="center"/>
          </w:tcPr>
          <w:p w14:paraId="3C3D26A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金属探测仪</w:t>
            </w:r>
          </w:p>
        </w:tc>
        <w:tc>
          <w:tcPr>
            <w:tcW w:w="6285" w:type="dxa"/>
            <w:shd w:val="clear" w:color="000000" w:fill="FFFFFF"/>
            <w:vAlign w:val="center"/>
          </w:tcPr>
          <w:p w14:paraId="000062C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1、频率: 约25KHz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2、电压: 9V (6F22)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3、使用温度: -15℃ to +55℃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4、工作时长：应能连续工作40h而无需更换电池或重新充电。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5、两种报警模式可选：LED声光报警或振动报警。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6、报警声音声强：≧62dB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7、抗干扰性：多台探测器可相隔0.68m同时使用，各自均能正常使用。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8、可外侧调节灵敏度，操作方便，以适应不同检测要求。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9、具有欠压指示灯/充电指示灯。</w:t>
            </w:r>
          </w:p>
        </w:tc>
        <w:tc>
          <w:tcPr>
            <w:tcW w:w="700" w:type="dxa"/>
            <w:shd w:val="clear" w:color="000000" w:fill="FFFFFF"/>
            <w:vAlign w:val="center"/>
          </w:tcPr>
          <w:p w14:paraId="1475529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w:t>
            </w:r>
          </w:p>
        </w:tc>
        <w:tc>
          <w:tcPr>
            <w:tcW w:w="632" w:type="dxa"/>
            <w:shd w:val="clear" w:color="000000" w:fill="FFFFFF"/>
            <w:vAlign w:val="center"/>
          </w:tcPr>
          <w:p w14:paraId="01E3802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56</w:t>
            </w:r>
          </w:p>
        </w:tc>
        <w:tc>
          <w:tcPr>
            <w:tcW w:w="768" w:type="dxa"/>
            <w:shd w:val="clear" w:color="000000" w:fill="FFFFFF"/>
            <w:vAlign w:val="center"/>
          </w:tcPr>
          <w:p w14:paraId="6DCC25B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C71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85" w:type="dxa"/>
            <w:shd w:val="clear" w:color="000000" w:fill="FFFFFF"/>
            <w:vAlign w:val="center"/>
          </w:tcPr>
          <w:p w14:paraId="7CE0DC2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2.13</w:t>
            </w:r>
          </w:p>
        </w:tc>
        <w:tc>
          <w:tcPr>
            <w:tcW w:w="680" w:type="dxa"/>
            <w:shd w:val="clear" w:color="000000" w:fill="FFFFFF"/>
            <w:vAlign w:val="center"/>
          </w:tcPr>
          <w:p w14:paraId="47AB75E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12通道无线信号屏蔽器</w:t>
            </w:r>
          </w:p>
        </w:tc>
        <w:tc>
          <w:tcPr>
            <w:tcW w:w="6285" w:type="dxa"/>
            <w:shd w:val="clear" w:color="000000" w:fill="FFFFFF"/>
            <w:vAlign w:val="center"/>
          </w:tcPr>
          <w:p w14:paraId="60BD4D8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外壳ABS防火材料，环保安全。内置散热铝合金和风扇，工作温度低。</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内置高增益全向天线，屏蔽效果迅速。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产品有显示屏显示产品工作状态，电源，电流，温度以及12个频率工作指示灯。阻断手机通讯2G,3G,4G,5G和wi-fi、2.4G,5.2G,5.8G三频的大功率产品。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 阻断频率技术参数：屏蔽参数GSM：925-960MHz；CDMA870-885MHz；DCS/PHS：1800-1920MHz；3G：2010-2025MHz；2110-2170MHz：4G：2300-2390MHz：5G：2515-2675MHz；3400-3600MHz；4800MHz-4900MHz;wi-fi：2400MHz-2485MHz;5.8G:5725-5850MHz;广电5G:750MHz-790MHz;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5.电源输入：AC110V-240V。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6.天线发射功率：手机频段发射功率平均功率 ≧36dBm。内置高增益全向天线，屏蔽范围5-25米（视现场基站距离和信号强度），电源输入AC110V-240V。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产品工作时，在0.5m距离，声压检测＜30DBA。</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产品符合GB16796-2009规定的45Hz-65Hz交流电压的抗强度试验。以及绝缘电阻试验和漏电电流试验。</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产品符合国家标准GB/T9254-2008+AMD.1-2013《信息技术设备的无线电骚扰限值和测量方法》的限值要求。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10.产品的安装方式符合以下三种安装方式，1壁挂，2桌面摆放，3三角支架。</w:t>
            </w:r>
          </w:p>
        </w:tc>
        <w:tc>
          <w:tcPr>
            <w:tcW w:w="700" w:type="dxa"/>
            <w:shd w:val="clear" w:color="000000" w:fill="FFFFFF"/>
            <w:vAlign w:val="center"/>
          </w:tcPr>
          <w:p w14:paraId="2FAB3D0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D12AE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67</w:t>
            </w:r>
          </w:p>
        </w:tc>
        <w:tc>
          <w:tcPr>
            <w:tcW w:w="768" w:type="dxa"/>
            <w:shd w:val="clear" w:color="000000" w:fill="FFFFFF"/>
            <w:vAlign w:val="center"/>
          </w:tcPr>
          <w:p w14:paraId="4C78484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505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5" w:type="dxa"/>
            <w:shd w:val="clear" w:color="000000" w:fill="FFFFFF"/>
            <w:vAlign w:val="center"/>
          </w:tcPr>
          <w:p w14:paraId="09263A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2.14</w:t>
            </w:r>
          </w:p>
        </w:tc>
        <w:tc>
          <w:tcPr>
            <w:tcW w:w="680" w:type="dxa"/>
            <w:shd w:val="clear" w:color="000000" w:fill="FFFFFF"/>
            <w:vAlign w:val="center"/>
          </w:tcPr>
          <w:p w14:paraId="5CF5E3A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电源盒</w:t>
            </w:r>
          </w:p>
        </w:tc>
        <w:tc>
          <w:tcPr>
            <w:tcW w:w="6285" w:type="dxa"/>
            <w:shd w:val="clear" w:color="000000" w:fill="FFFFFF"/>
            <w:vAlign w:val="center"/>
          </w:tcPr>
          <w:p w14:paraId="5FAF116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1、阻燃PVC;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2、不小于200*200mm。</w:t>
            </w:r>
          </w:p>
        </w:tc>
        <w:tc>
          <w:tcPr>
            <w:tcW w:w="700" w:type="dxa"/>
            <w:shd w:val="clear" w:color="000000" w:fill="FFFFFF"/>
            <w:vAlign w:val="center"/>
          </w:tcPr>
          <w:p w14:paraId="4639E08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6B21C60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60982AD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307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85" w:type="dxa"/>
            <w:shd w:val="clear" w:color="000000" w:fill="FFFFFF"/>
            <w:vAlign w:val="center"/>
          </w:tcPr>
          <w:p w14:paraId="4F423D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2.15</w:t>
            </w:r>
          </w:p>
        </w:tc>
        <w:tc>
          <w:tcPr>
            <w:tcW w:w="680" w:type="dxa"/>
            <w:shd w:val="clear" w:color="000000" w:fill="FFFFFF"/>
            <w:vAlign w:val="center"/>
          </w:tcPr>
          <w:p w14:paraId="580C50C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电源底座</w:t>
            </w:r>
          </w:p>
        </w:tc>
        <w:tc>
          <w:tcPr>
            <w:tcW w:w="6285" w:type="dxa"/>
            <w:shd w:val="clear" w:color="000000" w:fill="FFFFFF"/>
            <w:vAlign w:val="center"/>
          </w:tcPr>
          <w:p w14:paraId="7134F3E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1、孔位数：≧10个，颜色：白色或其他，</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2、额定电流 10~20（A）。</w:t>
            </w:r>
          </w:p>
        </w:tc>
        <w:tc>
          <w:tcPr>
            <w:tcW w:w="700" w:type="dxa"/>
            <w:shd w:val="clear" w:color="000000" w:fill="FFFFFF"/>
            <w:vAlign w:val="center"/>
          </w:tcPr>
          <w:p w14:paraId="4CD7BE6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53DD8E4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w:t>
            </w:r>
          </w:p>
        </w:tc>
        <w:tc>
          <w:tcPr>
            <w:tcW w:w="768" w:type="dxa"/>
            <w:shd w:val="clear" w:color="000000" w:fill="FFFFFF"/>
            <w:vAlign w:val="center"/>
          </w:tcPr>
          <w:p w14:paraId="69DAEBA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680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5" w:type="dxa"/>
            <w:shd w:val="clear" w:color="000000" w:fill="FFFFFF"/>
            <w:vAlign w:val="center"/>
          </w:tcPr>
          <w:p w14:paraId="73DBFA9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2.16</w:t>
            </w:r>
          </w:p>
        </w:tc>
        <w:tc>
          <w:tcPr>
            <w:tcW w:w="680" w:type="dxa"/>
            <w:shd w:val="clear" w:color="000000" w:fill="FFFFFF"/>
            <w:vAlign w:val="center"/>
          </w:tcPr>
          <w:p w14:paraId="45FC724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电源底座</w:t>
            </w:r>
          </w:p>
        </w:tc>
        <w:tc>
          <w:tcPr>
            <w:tcW w:w="6285" w:type="dxa"/>
            <w:shd w:val="clear" w:color="000000" w:fill="FFFFFF"/>
            <w:vAlign w:val="center"/>
          </w:tcPr>
          <w:p w14:paraId="4518118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孔位数：≧5个 颜色：白色或其他，</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2、额定电流 10~20（A）。</w:t>
            </w:r>
          </w:p>
        </w:tc>
        <w:tc>
          <w:tcPr>
            <w:tcW w:w="700" w:type="dxa"/>
            <w:shd w:val="clear" w:color="000000" w:fill="FFFFFF"/>
            <w:vAlign w:val="center"/>
          </w:tcPr>
          <w:p w14:paraId="5EC98E7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15B896C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117</w:t>
            </w:r>
          </w:p>
        </w:tc>
        <w:tc>
          <w:tcPr>
            <w:tcW w:w="768" w:type="dxa"/>
            <w:shd w:val="clear" w:color="000000" w:fill="FFFFFF"/>
            <w:vAlign w:val="center"/>
          </w:tcPr>
          <w:p w14:paraId="6FEB65B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D45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585" w:type="dxa"/>
            <w:shd w:val="clear" w:color="000000" w:fill="FFFFFF"/>
            <w:vAlign w:val="center"/>
          </w:tcPr>
          <w:p w14:paraId="477EDD5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2.17</w:t>
            </w:r>
          </w:p>
        </w:tc>
        <w:tc>
          <w:tcPr>
            <w:tcW w:w="680" w:type="dxa"/>
            <w:shd w:val="clear" w:color="000000" w:fill="FFFFFF"/>
            <w:vAlign w:val="center"/>
          </w:tcPr>
          <w:p w14:paraId="7520DB4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接线排</w:t>
            </w:r>
          </w:p>
        </w:tc>
        <w:tc>
          <w:tcPr>
            <w:tcW w:w="6285" w:type="dxa"/>
            <w:shd w:val="clear" w:color="000000" w:fill="FFFFFF"/>
            <w:vAlign w:val="center"/>
          </w:tcPr>
          <w:p w14:paraId="0CEB74A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国标无氧铜，≧3*3排位，大孔位。</w:t>
            </w:r>
          </w:p>
        </w:tc>
        <w:tc>
          <w:tcPr>
            <w:tcW w:w="700" w:type="dxa"/>
            <w:shd w:val="clear" w:color="000000" w:fill="FFFFFF"/>
            <w:vAlign w:val="center"/>
          </w:tcPr>
          <w:p w14:paraId="3CC8A64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53002D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200</w:t>
            </w:r>
          </w:p>
        </w:tc>
        <w:tc>
          <w:tcPr>
            <w:tcW w:w="768" w:type="dxa"/>
            <w:shd w:val="clear" w:color="000000" w:fill="FFFFFF"/>
            <w:vAlign w:val="center"/>
          </w:tcPr>
          <w:p w14:paraId="5E18EEB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80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85" w:type="dxa"/>
            <w:shd w:val="clear" w:color="000000" w:fill="FFFFFF"/>
            <w:vAlign w:val="center"/>
          </w:tcPr>
          <w:p w14:paraId="7F23FFE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2.18</w:t>
            </w:r>
          </w:p>
        </w:tc>
        <w:tc>
          <w:tcPr>
            <w:tcW w:w="680" w:type="dxa"/>
            <w:shd w:val="clear" w:color="000000" w:fill="FFFFFF"/>
            <w:vAlign w:val="center"/>
          </w:tcPr>
          <w:p w14:paraId="4D28E3E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电源主控箱</w:t>
            </w:r>
          </w:p>
        </w:tc>
        <w:tc>
          <w:tcPr>
            <w:tcW w:w="6285" w:type="dxa"/>
            <w:shd w:val="clear" w:color="000000" w:fill="FFFFFF"/>
            <w:vAlign w:val="center"/>
          </w:tcPr>
          <w:p w14:paraId="205D920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挂墙式电源箱，配备≧4路分控开关，1路备用。</w:t>
            </w:r>
          </w:p>
        </w:tc>
        <w:tc>
          <w:tcPr>
            <w:tcW w:w="700" w:type="dxa"/>
            <w:shd w:val="clear" w:color="000000" w:fill="FFFFFF"/>
            <w:vAlign w:val="center"/>
          </w:tcPr>
          <w:p w14:paraId="3BEB730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1FE1AB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1B3CA1A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520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85" w:type="dxa"/>
            <w:shd w:val="clear" w:color="000000" w:fill="FFFFFF"/>
            <w:vAlign w:val="center"/>
          </w:tcPr>
          <w:p w14:paraId="4B1158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2.19</w:t>
            </w:r>
          </w:p>
        </w:tc>
        <w:tc>
          <w:tcPr>
            <w:tcW w:w="680" w:type="dxa"/>
            <w:shd w:val="clear" w:color="000000" w:fill="FFFFFF"/>
            <w:vAlign w:val="center"/>
          </w:tcPr>
          <w:p w14:paraId="3E56542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shd w:val="clear" w:color="000000" w:fill="FFFFFF"/>
            <w:vAlign w:val="center"/>
          </w:tcPr>
          <w:p w14:paraId="44DB19CA">
            <w:pPr>
              <w:pStyle w:val="111"/>
              <w:widowControl/>
              <w:numPr>
                <w:ilvl w:val="0"/>
                <w:numId w:val="5"/>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阻燃PVC材质；</w:t>
            </w:r>
          </w:p>
          <w:p w14:paraId="50BE4780">
            <w:pPr>
              <w:pStyle w:val="111"/>
              <w:widowControl/>
              <w:numPr>
                <w:ilvl w:val="0"/>
                <w:numId w:val="5"/>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尺寸：≧</w:t>
            </w:r>
            <w:r>
              <w:rPr>
                <w:rFonts w:hint="eastAsia" w:ascii="MS Mincho" w:hAnsi="MS Mincho" w:eastAsia="MS Mincho" w:cs="MS Mincho"/>
                <w:color w:val="auto"/>
                <w:kern w:val="0"/>
                <w:sz w:val="18"/>
                <w:szCs w:val="18"/>
              </w:rPr>
              <w:t>∅</w:t>
            </w:r>
            <w:r>
              <w:rPr>
                <w:rFonts w:hint="eastAsia" w:ascii="宋体" w:hAnsi="宋体" w:cs="宋体"/>
                <w:color w:val="auto"/>
                <w:kern w:val="0"/>
                <w:sz w:val="18"/>
                <w:szCs w:val="18"/>
              </w:rPr>
              <w:t>20；</w:t>
            </w:r>
          </w:p>
          <w:p w14:paraId="2DDC39B8">
            <w:pPr>
              <w:pStyle w:val="111"/>
              <w:widowControl/>
              <w:numPr>
                <w:ilvl w:val="0"/>
                <w:numId w:val="5"/>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线管卡子弯头等辅件。</w:t>
            </w:r>
          </w:p>
          <w:p w14:paraId="6CFC68C2">
            <w:pPr>
              <w:pStyle w:val="111"/>
              <w:widowControl/>
              <w:numPr>
                <w:ilvl w:val="0"/>
                <w:numId w:val="5"/>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要求安装牢固美观。</w:t>
            </w:r>
          </w:p>
        </w:tc>
        <w:tc>
          <w:tcPr>
            <w:tcW w:w="700" w:type="dxa"/>
            <w:shd w:val="clear" w:color="000000" w:fill="FFFFFF"/>
            <w:vAlign w:val="center"/>
          </w:tcPr>
          <w:p w14:paraId="0CA0E43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项</w:t>
            </w:r>
          </w:p>
        </w:tc>
        <w:tc>
          <w:tcPr>
            <w:tcW w:w="632" w:type="dxa"/>
            <w:shd w:val="clear" w:color="000000" w:fill="FFFFFF"/>
            <w:vAlign w:val="center"/>
          </w:tcPr>
          <w:p w14:paraId="69F0AF3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07DD0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561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2F60E2B3">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（三）试卷保管室</w:t>
            </w:r>
          </w:p>
        </w:tc>
      </w:tr>
      <w:tr w14:paraId="1AF3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6" w:hRule="atLeast"/>
        </w:trPr>
        <w:tc>
          <w:tcPr>
            <w:tcW w:w="585" w:type="dxa"/>
            <w:shd w:val="clear" w:color="000000" w:fill="FFFFFF"/>
            <w:vAlign w:val="center"/>
          </w:tcPr>
          <w:p w14:paraId="7950644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3.01</w:t>
            </w:r>
          </w:p>
        </w:tc>
        <w:tc>
          <w:tcPr>
            <w:tcW w:w="680" w:type="dxa"/>
            <w:shd w:val="clear" w:color="000000" w:fill="FFFFFF"/>
            <w:vAlign w:val="center"/>
          </w:tcPr>
          <w:p w14:paraId="0C80098A">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红外高清半球摄像机</w:t>
            </w:r>
          </w:p>
        </w:tc>
        <w:tc>
          <w:tcPr>
            <w:tcW w:w="6285" w:type="dxa"/>
            <w:shd w:val="clear" w:color="000000" w:fill="FFFFFF"/>
            <w:vAlign w:val="center"/>
          </w:tcPr>
          <w:p w14:paraId="421A7F7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1、符合《国家教育考试网上巡查系统视频标准技术规范（2017版）》相关技术规范；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2、采用高性能两百万像素1/2.7英寸CMOS图像传感器，低照度效果好，图像清晰度高；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3、可输出200万(1920*1080)@25fps；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4、支持H.264、H.265、MPEG-4视频编码格式；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5、▲支持智能红外功能，红外夜视距目标轮廓可达50米；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6、支持走廊模式，宽动态，3D降噪，强光抑制，背光补偿，数字水印，适用不同监控环境；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7、支持ROI，SMART H.264/H.265，灵活编码，适用不同带宽和存储环境；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8、支持虚焦侦测，区域入侵，绊线入侵，场景变更，外部报警,音频检测，电压检测；                                                                         9、支持PS系统流和TS传输流的封装；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10、支持人脸区域自动曝光，根据场景和光照自动调节曝光参数，支持人脸增强功能；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11、支持DC12V/POE电方式，方便工程安装；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12、镜头焦距2.8mm。</w:t>
            </w:r>
          </w:p>
        </w:tc>
        <w:tc>
          <w:tcPr>
            <w:tcW w:w="700" w:type="dxa"/>
            <w:shd w:val="clear" w:color="000000" w:fill="FFFFFF"/>
            <w:vAlign w:val="center"/>
          </w:tcPr>
          <w:p w14:paraId="77BD62F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10EBC7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024071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85F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585" w:type="dxa"/>
            <w:shd w:val="clear" w:color="000000" w:fill="FFFFFF"/>
            <w:vAlign w:val="center"/>
          </w:tcPr>
          <w:p w14:paraId="17288DC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3.02</w:t>
            </w:r>
          </w:p>
        </w:tc>
        <w:tc>
          <w:tcPr>
            <w:tcW w:w="680" w:type="dxa"/>
            <w:shd w:val="clear" w:color="000000" w:fill="FFFFFF"/>
            <w:vAlign w:val="center"/>
          </w:tcPr>
          <w:p w14:paraId="0457A9D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w:t>
            </w:r>
          </w:p>
        </w:tc>
        <w:tc>
          <w:tcPr>
            <w:tcW w:w="6285" w:type="dxa"/>
            <w:shd w:val="clear" w:color="000000" w:fill="FFFFFF"/>
            <w:vAlign w:val="center"/>
          </w:tcPr>
          <w:p w14:paraId="0AC2EF8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1、输出功率：≧24W，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 180-260V。</w:t>
            </w:r>
          </w:p>
        </w:tc>
        <w:tc>
          <w:tcPr>
            <w:tcW w:w="700" w:type="dxa"/>
            <w:shd w:val="clear" w:color="000000" w:fill="FFFFFF"/>
            <w:vAlign w:val="center"/>
          </w:tcPr>
          <w:p w14:paraId="4805BC8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04BFF7A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1DE7BB7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EB9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85" w:type="dxa"/>
            <w:shd w:val="clear" w:color="000000" w:fill="FFFFFF"/>
            <w:vAlign w:val="center"/>
          </w:tcPr>
          <w:p w14:paraId="575EC8D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3.03</w:t>
            </w:r>
          </w:p>
        </w:tc>
        <w:tc>
          <w:tcPr>
            <w:tcW w:w="680" w:type="dxa"/>
            <w:shd w:val="clear" w:color="000000" w:fill="FFFFFF"/>
            <w:vAlign w:val="center"/>
          </w:tcPr>
          <w:p w14:paraId="6AEB5DE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支架</w:t>
            </w:r>
          </w:p>
        </w:tc>
        <w:tc>
          <w:tcPr>
            <w:tcW w:w="6285" w:type="dxa"/>
            <w:shd w:val="clear" w:color="000000" w:fill="FFFFFF"/>
            <w:vAlign w:val="center"/>
          </w:tcPr>
          <w:p w14:paraId="28F2C68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材质 ：钢制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2、专用壁装半球支架。</w:t>
            </w:r>
          </w:p>
        </w:tc>
        <w:tc>
          <w:tcPr>
            <w:tcW w:w="700" w:type="dxa"/>
            <w:shd w:val="clear" w:color="000000" w:fill="FFFFFF"/>
            <w:vAlign w:val="center"/>
          </w:tcPr>
          <w:p w14:paraId="29E8D07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100FA35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3E53EF1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54E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5" w:type="dxa"/>
            <w:shd w:val="clear" w:color="000000" w:fill="FFFFFF"/>
            <w:vAlign w:val="center"/>
          </w:tcPr>
          <w:p w14:paraId="3DFB4B8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3.04</w:t>
            </w:r>
          </w:p>
        </w:tc>
        <w:tc>
          <w:tcPr>
            <w:tcW w:w="680" w:type="dxa"/>
            <w:shd w:val="clear" w:color="000000" w:fill="FFFFFF"/>
            <w:vAlign w:val="center"/>
          </w:tcPr>
          <w:p w14:paraId="144EF13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拾音器</w:t>
            </w:r>
          </w:p>
        </w:tc>
        <w:tc>
          <w:tcPr>
            <w:tcW w:w="6285" w:type="dxa"/>
            <w:shd w:val="clear" w:color="000000" w:fill="FFFFFF"/>
            <w:vAlign w:val="center"/>
          </w:tcPr>
          <w:p w14:paraId="30FEF63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拾音范围：≧50平方米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灵敏度 ：-35dB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频率响应 ：20Hz ～ 20kHz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指向特性： 全方向性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6、 信噪比 ：65dB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动态范围 ：104dB (1KHz at Max dB SPL)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最大承受音压≧ 120dB SPL (1KHz,THD 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输出阻抗：600欧姆非平衡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10、 输出信号幅度： 2.5Vpp/-25db。 </w:t>
            </w:r>
          </w:p>
        </w:tc>
        <w:tc>
          <w:tcPr>
            <w:tcW w:w="700" w:type="dxa"/>
            <w:shd w:val="clear" w:color="000000" w:fill="FFFFFF"/>
            <w:vAlign w:val="center"/>
          </w:tcPr>
          <w:p w14:paraId="1C3022A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1F447E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D450C3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A16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85" w:type="dxa"/>
            <w:shd w:val="clear" w:color="000000" w:fill="FFFFFF"/>
            <w:vAlign w:val="center"/>
          </w:tcPr>
          <w:p w14:paraId="15C9458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3.05</w:t>
            </w:r>
          </w:p>
        </w:tc>
        <w:tc>
          <w:tcPr>
            <w:tcW w:w="680" w:type="dxa"/>
            <w:shd w:val="clear" w:color="000000" w:fill="FFFFFF"/>
            <w:vAlign w:val="center"/>
          </w:tcPr>
          <w:p w14:paraId="6C823C0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拾音器电源</w:t>
            </w:r>
          </w:p>
        </w:tc>
        <w:tc>
          <w:tcPr>
            <w:tcW w:w="6285" w:type="dxa"/>
            <w:shd w:val="clear" w:color="000000" w:fill="FFFFFF"/>
            <w:vAlign w:val="center"/>
          </w:tcPr>
          <w:p w14:paraId="620B14E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1、输出功率：≧12W，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2、输入电压：100～240V。</w:t>
            </w:r>
          </w:p>
        </w:tc>
        <w:tc>
          <w:tcPr>
            <w:tcW w:w="700" w:type="dxa"/>
            <w:shd w:val="clear" w:color="000000" w:fill="FFFFFF"/>
            <w:vAlign w:val="center"/>
          </w:tcPr>
          <w:p w14:paraId="44C3225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08DC278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527C5AC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543B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5" w:type="dxa"/>
            <w:shd w:val="clear" w:color="000000" w:fill="FFFFFF"/>
            <w:vAlign w:val="center"/>
          </w:tcPr>
          <w:p w14:paraId="3C1502B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3.06</w:t>
            </w:r>
          </w:p>
        </w:tc>
        <w:tc>
          <w:tcPr>
            <w:tcW w:w="680" w:type="dxa"/>
            <w:shd w:val="clear" w:color="000000" w:fill="FFFFFF"/>
            <w:vAlign w:val="center"/>
          </w:tcPr>
          <w:p w14:paraId="2AB5667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摄像机存储卡</w:t>
            </w:r>
          </w:p>
        </w:tc>
        <w:tc>
          <w:tcPr>
            <w:tcW w:w="6285" w:type="dxa"/>
            <w:shd w:val="clear" w:color="000000" w:fill="FFFFFF"/>
            <w:vAlign w:val="center"/>
          </w:tcPr>
          <w:p w14:paraId="2FC2B6E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摄像机专用存储卡≧64G</w:t>
            </w:r>
          </w:p>
        </w:tc>
        <w:tc>
          <w:tcPr>
            <w:tcW w:w="700" w:type="dxa"/>
            <w:shd w:val="clear" w:color="000000" w:fill="FFFFFF"/>
            <w:vAlign w:val="center"/>
          </w:tcPr>
          <w:p w14:paraId="0E09773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3E24EE9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4B2DF1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030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585" w:type="dxa"/>
            <w:shd w:val="clear" w:color="000000" w:fill="FFFFFF"/>
            <w:vAlign w:val="center"/>
          </w:tcPr>
          <w:p w14:paraId="3EF4FE2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3.07</w:t>
            </w:r>
          </w:p>
        </w:tc>
        <w:tc>
          <w:tcPr>
            <w:tcW w:w="680" w:type="dxa"/>
            <w:shd w:val="clear" w:color="000000" w:fill="FFFFFF"/>
            <w:vAlign w:val="center"/>
          </w:tcPr>
          <w:p w14:paraId="45226AA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电源盒</w:t>
            </w:r>
          </w:p>
        </w:tc>
        <w:tc>
          <w:tcPr>
            <w:tcW w:w="6285" w:type="dxa"/>
            <w:shd w:val="clear" w:color="000000" w:fill="FFFFFF"/>
            <w:vAlign w:val="center"/>
          </w:tcPr>
          <w:p w14:paraId="0B816E0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1、阻燃PVC;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2、至少200mm*</w:t>
            </w:r>
            <w:r>
              <w:rPr>
                <w:rFonts w:ascii="宋体" w:hAnsi="宋体" w:cs="宋体"/>
                <w:color w:val="auto"/>
                <w:kern w:val="0"/>
                <w:sz w:val="18"/>
                <w:szCs w:val="18"/>
              </w:rPr>
              <w:t>180</w:t>
            </w:r>
            <w:r>
              <w:rPr>
                <w:rFonts w:hint="eastAsia" w:ascii="宋体" w:hAnsi="宋体" w:cs="宋体"/>
                <w:color w:val="auto"/>
                <w:kern w:val="0"/>
                <w:sz w:val="18"/>
                <w:szCs w:val="18"/>
              </w:rPr>
              <w:t>mm。</w:t>
            </w:r>
          </w:p>
        </w:tc>
        <w:tc>
          <w:tcPr>
            <w:tcW w:w="700" w:type="dxa"/>
            <w:shd w:val="clear" w:color="000000" w:fill="FFFFFF"/>
            <w:vAlign w:val="center"/>
          </w:tcPr>
          <w:p w14:paraId="060BE7A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50C4FE5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692D441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74C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48D4CAD0">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（四）考务工作室</w:t>
            </w:r>
          </w:p>
        </w:tc>
      </w:tr>
      <w:tr w14:paraId="113C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585" w:type="dxa"/>
            <w:shd w:val="clear" w:color="000000" w:fill="FFFFFF"/>
            <w:vAlign w:val="center"/>
          </w:tcPr>
          <w:p w14:paraId="7FE7BC5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4.01</w:t>
            </w:r>
          </w:p>
        </w:tc>
        <w:tc>
          <w:tcPr>
            <w:tcW w:w="680" w:type="dxa"/>
            <w:shd w:val="clear" w:color="000000" w:fill="FFFFFF"/>
            <w:vAlign w:val="center"/>
          </w:tcPr>
          <w:p w14:paraId="5F06049E">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红外高清半球摄像机</w:t>
            </w:r>
          </w:p>
        </w:tc>
        <w:tc>
          <w:tcPr>
            <w:tcW w:w="6285" w:type="dxa"/>
            <w:shd w:val="clear" w:color="000000" w:fill="FFFFFF"/>
            <w:vAlign w:val="center"/>
          </w:tcPr>
          <w:p w14:paraId="18CF708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1、符合《国家教育考试网上巡查系统视频标准技术规范（2017版）》相关技术规范；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2、采用高性能两百万像素1/2.7英寸CMOS图像传感器，低照度效果好，图像清晰度高；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3、可输出≧200万(1920*1080)@25fps；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4、支持H.264、H.265、MPEG-4视频编码格式；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5、支持智能红外功能，红外夜视距目标轮廓可达50米；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6、支持走廊模式，宽动态，3D降噪，强光抑制，背光补偿，数字水印，适用不同监控环境；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7、支持ROI，SMART H.264/H.265，灵活编码，适用不同带宽和存储环境；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8、支持虚焦侦测，区域入侵，绊线入侵，场景变更，外部报警,音频检测，电压检测；                                                                         9、▲支持PS系统流和TS传输流的封装；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10、支持人脸区域自动曝光，根据场景和光照自动调节曝光参数，支持人脸增强功能；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11、支持DC12V/POE电方式，方便工程安装；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12、镜头焦距2.8mm。</w:t>
            </w:r>
          </w:p>
        </w:tc>
        <w:tc>
          <w:tcPr>
            <w:tcW w:w="700" w:type="dxa"/>
            <w:shd w:val="clear" w:color="000000" w:fill="FFFFFF"/>
            <w:vAlign w:val="center"/>
          </w:tcPr>
          <w:p w14:paraId="281DD9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366DB2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37E60C3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AC0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6468787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4.02</w:t>
            </w:r>
          </w:p>
        </w:tc>
        <w:tc>
          <w:tcPr>
            <w:tcW w:w="680" w:type="dxa"/>
            <w:shd w:val="clear" w:color="000000" w:fill="FFFFFF"/>
            <w:vAlign w:val="center"/>
          </w:tcPr>
          <w:p w14:paraId="4592B10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电源</w:t>
            </w:r>
          </w:p>
        </w:tc>
        <w:tc>
          <w:tcPr>
            <w:tcW w:w="6285" w:type="dxa"/>
            <w:shd w:val="clear" w:color="000000" w:fill="FFFFFF"/>
            <w:vAlign w:val="center"/>
          </w:tcPr>
          <w:p w14:paraId="648D7E2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1、输出功率：≧24W，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 180-260V。</w:t>
            </w:r>
          </w:p>
        </w:tc>
        <w:tc>
          <w:tcPr>
            <w:tcW w:w="700" w:type="dxa"/>
            <w:shd w:val="clear" w:color="000000" w:fill="FFFFFF"/>
            <w:vAlign w:val="center"/>
          </w:tcPr>
          <w:p w14:paraId="2410ADA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4762DC9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4C0FF4F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A71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591AA8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4.03</w:t>
            </w:r>
          </w:p>
        </w:tc>
        <w:tc>
          <w:tcPr>
            <w:tcW w:w="680" w:type="dxa"/>
            <w:shd w:val="clear" w:color="000000" w:fill="FFFFFF"/>
            <w:vAlign w:val="center"/>
          </w:tcPr>
          <w:p w14:paraId="7705FC2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支架</w:t>
            </w:r>
          </w:p>
        </w:tc>
        <w:tc>
          <w:tcPr>
            <w:tcW w:w="6285" w:type="dxa"/>
            <w:shd w:val="clear" w:color="000000" w:fill="FFFFFF"/>
            <w:vAlign w:val="center"/>
          </w:tcPr>
          <w:p w14:paraId="2A2BD7F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材质 ：钢制或PVC,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2、专用壁装半球支架。</w:t>
            </w:r>
          </w:p>
        </w:tc>
        <w:tc>
          <w:tcPr>
            <w:tcW w:w="700" w:type="dxa"/>
            <w:shd w:val="clear" w:color="000000" w:fill="FFFFFF"/>
            <w:vAlign w:val="center"/>
          </w:tcPr>
          <w:p w14:paraId="0482022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38E26B7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4549640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FF1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85" w:type="dxa"/>
            <w:shd w:val="clear" w:color="000000" w:fill="FFFFFF"/>
            <w:vAlign w:val="center"/>
          </w:tcPr>
          <w:p w14:paraId="1DC1A55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4.04</w:t>
            </w:r>
          </w:p>
        </w:tc>
        <w:tc>
          <w:tcPr>
            <w:tcW w:w="680" w:type="dxa"/>
            <w:shd w:val="clear" w:color="000000" w:fill="FFFFFF"/>
            <w:vAlign w:val="center"/>
          </w:tcPr>
          <w:p w14:paraId="4ABEB96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拾音器</w:t>
            </w:r>
          </w:p>
        </w:tc>
        <w:tc>
          <w:tcPr>
            <w:tcW w:w="6285" w:type="dxa"/>
            <w:shd w:val="clear" w:color="000000" w:fill="FFFFFF"/>
            <w:vAlign w:val="center"/>
          </w:tcPr>
          <w:p w14:paraId="2D7E80E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拾音范围：≧50平方米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灵敏度 ：-35dB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频率响应 ：20Hz ～ 20kHz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指向特性： 全方向性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6、 信噪比 ：65dB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动态范围 ：104dB (1KHz at Max dB SPL)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最大承受音压≧ 120dB SPL (1KHz,THD 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输出阻抗：600欧姆非平衡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10、 输出信号幅度： 2.5Vpp/-25db。 </w:t>
            </w:r>
          </w:p>
        </w:tc>
        <w:tc>
          <w:tcPr>
            <w:tcW w:w="700" w:type="dxa"/>
            <w:shd w:val="clear" w:color="000000" w:fill="FFFFFF"/>
            <w:vAlign w:val="center"/>
          </w:tcPr>
          <w:p w14:paraId="679E06E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219DBA9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5A740CC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6DF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585" w:type="dxa"/>
            <w:shd w:val="clear" w:color="000000" w:fill="FFFFFF"/>
            <w:vAlign w:val="center"/>
          </w:tcPr>
          <w:p w14:paraId="6953B4C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4.05</w:t>
            </w:r>
          </w:p>
        </w:tc>
        <w:tc>
          <w:tcPr>
            <w:tcW w:w="680" w:type="dxa"/>
            <w:shd w:val="clear" w:color="000000" w:fill="FFFFFF"/>
            <w:vAlign w:val="center"/>
          </w:tcPr>
          <w:p w14:paraId="667221B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拾音器电源</w:t>
            </w:r>
          </w:p>
        </w:tc>
        <w:tc>
          <w:tcPr>
            <w:tcW w:w="6285" w:type="dxa"/>
            <w:shd w:val="clear" w:color="000000" w:fill="FFFFFF"/>
            <w:vAlign w:val="center"/>
          </w:tcPr>
          <w:p w14:paraId="7543150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1、输出功率：≧12W，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2、输入电压：100～240V。</w:t>
            </w:r>
          </w:p>
        </w:tc>
        <w:tc>
          <w:tcPr>
            <w:tcW w:w="700" w:type="dxa"/>
            <w:shd w:val="clear" w:color="000000" w:fill="FFFFFF"/>
            <w:vAlign w:val="center"/>
          </w:tcPr>
          <w:p w14:paraId="50BED79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5AE548E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459C18A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DE5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85" w:type="dxa"/>
            <w:shd w:val="clear" w:color="000000" w:fill="FFFFFF"/>
            <w:vAlign w:val="center"/>
          </w:tcPr>
          <w:p w14:paraId="5986AA0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4.06</w:t>
            </w:r>
          </w:p>
        </w:tc>
        <w:tc>
          <w:tcPr>
            <w:tcW w:w="680" w:type="dxa"/>
            <w:shd w:val="clear" w:color="000000" w:fill="FFFFFF"/>
            <w:vAlign w:val="center"/>
          </w:tcPr>
          <w:p w14:paraId="160F4C4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摄像机存储卡</w:t>
            </w:r>
          </w:p>
        </w:tc>
        <w:tc>
          <w:tcPr>
            <w:tcW w:w="6285" w:type="dxa"/>
            <w:shd w:val="clear" w:color="000000" w:fill="FFFFFF"/>
            <w:vAlign w:val="center"/>
          </w:tcPr>
          <w:p w14:paraId="0580D05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摄像机专用存储卡≧64G</w:t>
            </w:r>
          </w:p>
        </w:tc>
        <w:tc>
          <w:tcPr>
            <w:tcW w:w="700" w:type="dxa"/>
            <w:shd w:val="clear" w:color="000000" w:fill="FFFFFF"/>
            <w:vAlign w:val="center"/>
          </w:tcPr>
          <w:p w14:paraId="17D6F90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3180DD7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0247D77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4BC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85" w:type="dxa"/>
            <w:shd w:val="clear" w:color="000000" w:fill="FFFFFF"/>
            <w:vAlign w:val="center"/>
          </w:tcPr>
          <w:p w14:paraId="6021D52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4.07</w:t>
            </w:r>
          </w:p>
        </w:tc>
        <w:tc>
          <w:tcPr>
            <w:tcW w:w="680" w:type="dxa"/>
            <w:shd w:val="clear" w:color="000000" w:fill="FFFFFF"/>
            <w:vAlign w:val="center"/>
          </w:tcPr>
          <w:p w14:paraId="1DFC7E8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电源盒</w:t>
            </w:r>
          </w:p>
        </w:tc>
        <w:tc>
          <w:tcPr>
            <w:tcW w:w="6285" w:type="dxa"/>
            <w:shd w:val="clear" w:color="000000" w:fill="FFFFFF"/>
            <w:vAlign w:val="center"/>
          </w:tcPr>
          <w:p w14:paraId="70D12C4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1、阻燃PVC;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2、至少200mm*180mm。</w:t>
            </w:r>
          </w:p>
        </w:tc>
        <w:tc>
          <w:tcPr>
            <w:tcW w:w="700" w:type="dxa"/>
            <w:shd w:val="clear" w:color="000000" w:fill="FFFFFF"/>
            <w:vAlign w:val="center"/>
          </w:tcPr>
          <w:p w14:paraId="62B9047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2E2EAD7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485E840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B64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783332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4.08</w:t>
            </w:r>
          </w:p>
        </w:tc>
        <w:tc>
          <w:tcPr>
            <w:tcW w:w="680" w:type="dxa"/>
            <w:shd w:val="clear" w:color="000000" w:fill="FFFFFF"/>
            <w:vAlign w:val="center"/>
          </w:tcPr>
          <w:p w14:paraId="01CAA07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会议主扩扬声器</w:t>
            </w:r>
          </w:p>
        </w:tc>
        <w:tc>
          <w:tcPr>
            <w:tcW w:w="6285" w:type="dxa"/>
            <w:shd w:val="clear" w:color="000000" w:fill="FFFFFF"/>
            <w:vAlign w:val="center"/>
          </w:tcPr>
          <w:p w14:paraId="2297E58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至少单15寸，二分频，高效能全音域扬声器系统。</w:t>
            </w:r>
            <w:r>
              <w:rPr>
                <w:rFonts w:hint="eastAsia" w:ascii="宋体" w:hAnsi="宋体" w:cs="宋体"/>
                <w:color w:val="auto"/>
                <w:kern w:val="0"/>
                <w:sz w:val="18"/>
                <w:szCs w:val="18"/>
              </w:rPr>
              <w:br w:type="textWrapping"/>
            </w:r>
            <w:r>
              <w:rPr>
                <w:rFonts w:hint="eastAsia" w:ascii="宋体" w:hAnsi="宋体" w:cs="宋体"/>
                <w:color w:val="auto"/>
                <w:kern w:val="0"/>
                <w:sz w:val="18"/>
                <w:szCs w:val="18"/>
                <w:highlight w:val="none"/>
              </w:rPr>
              <w:t>角号</w:t>
            </w:r>
            <w:r>
              <w:rPr>
                <w:rFonts w:hint="eastAsia" w:ascii="宋体" w:hAnsi="宋体" w:cs="宋体"/>
                <w:color w:val="auto"/>
                <w:kern w:val="0"/>
                <w:sz w:val="18"/>
                <w:szCs w:val="18"/>
              </w:rPr>
              <w:t>：至少90°x 60°恒指向号角。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驱动器：至少采用44mm（1.75英寸） 压缩驱动器。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低音单元：采用单65芯170磁15英寸的低频单元。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箱体：多角度梯形箱体, 双边把手设计。底部配支杆安装座，黑色喷漆。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产品参数：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频率范围：45Hz~20KHz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灵敏度：≧99dB SPL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分频模式：被动分频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额定功率：≧350W ，峰值功率：≧1400W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接线座：2个NL4 Neutrik Speakon 接口。</w:t>
            </w:r>
          </w:p>
        </w:tc>
        <w:tc>
          <w:tcPr>
            <w:tcW w:w="700" w:type="dxa"/>
            <w:shd w:val="clear" w:color="000000" w:fill="FFFFFF"/>
            <w:vAlign w:val="center"/>
          </w:tcPr>
          <w:p w14:paraId="7AE7243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2F1F5F8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w:t>
            </w:r>
          </w:p>
        </w:tc>
        <w:tc>
          <w:tcPr>
            <w:tcW w:w="768" w:type="dxa"/>
            <w:shd w:val="clear" w:color="000000" w:fill="FFFFFF"/>
            <w:vAlign w:val="center"/>
          </w:tcPr>
          <w:p w14:paraId="3865A4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A11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FAA523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4.09</w:t>
            </w:r>
          </w:p>
        </w:tc>
        <w:tc>
          <w:tcPr>
            <w:tcW w:w="680" w:type="dxa"/>
            <w:shd w:val="clear" w:color="000000" w:fill="FFFFFF"/>
            <w:vAlign w:val="center"/>
          </w:tcPr>
          <w:p w14:paraId="6762498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功率放大器</w:t>
            </w:r>
          </w:p>
        </w:tc>
        <w:tc>
          <w:tcPr>
            <w:tcW w:w="6285" w:type="dxa"/>
            <w:shd w:val="clear" w:color="000000" w:fill="FFFFFF"/>
            <w:vAlign w:val="center"/>
          </w:tcPr>
          <w:p w14:paraId="6176DD04">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额定输出功率双通道：≧600W/8Ω, ≧890W/4Ω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信号噪声比A计权，额定功率下:≧105dB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总谐波失真(THD)   &lt;0.02%（8Ω/1KHz)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阻尼系数(8Ω) ≧290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分离度（串音）：≧75dB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转换速率：25V/uS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频率响应(8Ω):20Hz-20kHz,±3dB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输入灵敏度: ≧0.775V/1.0V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输入阻抗: ≧10k(balanced)</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保护:直流、短路，超温，开机冲击</w:t>
            </w:r>
            <w:r>
              <w:rPr>
                <w:rFonts w:hint="eastAsia" w:ascii="宋体" w:hAnsi="宋体" w:cs="宋体"/>
                <w:color w:val="auto"/>
                <w:kern w:val="0"/>
                <w:sz w:val="18"/>
                <w:szCs w:val="18"/>
              </w:rPr>
              <w:br w:type="textWrapping"/>
            </w:r>
            <w:r>
              <w:rPr>
                <w:rFonts w:hint="eastAsia" w:ascii="宋体" w:hAnsi="宋体" w:cs="宋体"/>
                <w:color w:val="auto"/>
                <w:kern w:val="0"/>
                <w:sz w:val="18"/>
                <w:szCs w:val="18"/>
              </w:rPr>
              <w:t>AC电源:AC220-240V、50/60 Hz。</w:t>
            </w:r>
          </w:p>
        </w:tc>
        <w:tc>
          <w:tcPr>
            <w:tcW w:w="700" w:type="dxa"/>
            <w:shd w:val="clear" w:color="000000" w:fill="FFFFFF"/>
            <w:vAlign w:val="center"/>
          </w:tcPr>
          <w:p w14:paraId="2D8A2D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DC7287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4894FC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636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85" w:type="dxa"/>
            <w:shd w:val="clear" w:color="000000" w:fill="FFFFFF"/>
            <w:vAlign w:val="center"/>
          </w:tcPr>
          <w:p w14:paraId="1ED571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4.10</w:t>
            </w:r>
          </w:p>
        </w:tc>
        <w:tc>
          <w:tcPr>
            <w:tcW w:w="680" w:type="dxa"/>
            <w:shd w:val="clear" w:color="000000" w:fill="FFFFFF"/>
            <w:vAlign w:val="center"/>
          </w:tcPr>
          <w:p w14:paraId="43FB40A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处理器</w:t>
            </w:r>
          </w:p>
        </w:tc>
        <w:tc>
          <w:tcPr>
            <w:tcW w:w="6285" w:type="dxa"/>
            <w:shd w:val="clear" w:color="000000" w:fill="FFFFFF"/>
            <w:vAlign w:val="center"/>
          </w:tcPr>
          <w:p w14:paraId="78D0C58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自带无线wi-fi控制，外置天线，实现手机无线控制及电脑端无线调音；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采用高速DSP芯片，专业级255KHz主频，48KHz采样频率，24-Bit A/D 及D/A转换，32-Bit浮点运算，高速运算DSP处理器；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≧2英寸显示屏，中文菜单，简单快捷；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音乐≧13段PEQ，麦克风≧13段PEQ调节，外加噪声门，高低通调节；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输入端特设光纤，同轴数字输入接口，音源输入可AUTO直通选择；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≧10组系统记忆功能，开机状态为最后一次机器保存数据；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≧2级设备锁定功能，可根据使用需要自行设定设备锁定级别，防止误操作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啸叫抑制功能：4级反馈抑制设定</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信号混合+极性+压限+增益、中置/环绕/低音Center/SURR /SUB 信号混合+极性+5段 PEQ+低通+高通+增益。</w:t>
            </w:r>
          </w:p>
        </w:tc>
        <w:tc>
          <w:tcPr>
            <w:tcW w:w="700" w:type="dxa"/>
            <w:shd w:val="clear" w:color="000000" w:fill="FFFFFF"/>
            <w:vAlign w:val="center"/>
          </w:tcPr>
          <w:p w14:paraId="1E5C9F4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F670E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7FA3255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FA8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5" w:type="dxa"/>
            <w:shd w:val="clear" w:color="000000" w:fill="FFFFFF"/>
            <w:vAlign w:val="center"/>
          </w:tcPr>
          <w:p w14:paraId="0B0CFB9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4.11</w:t>
            </w:r>
          </w:p>
        </w:tc>
        <w:tc>
          <w:tcPr>
            <w:tcW w:w="680" w:type="dxa"/>
            <w:shd w:val="clear" w:color="000000" w:fill="FFFFFF"/>
            <w:vAlign w:val="center"/>
          </w:tcPr>
          <w:p w14:paraId="1C9E6E9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真分集一拖二无线手持话筒</w:t>
            </w:r>
          </w:p>
        </w:tc>
        <w:tc>
          <w:tcPr>
            <w:tcW w:w="6285" w:type="dxa"/>
            <w:shd w:val="clear" w:color="000000" w:fill="FFFFFF"/>
            <w:vAlign w:val="center"/>
          </w:tcPr>
          <w:p w14:paraId="07772CA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载波频段：UHF640-800MHz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频点数目：200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频率稳定度：±0.005%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动态范围：100dB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最大频偏：±45KHz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音频回应：80Hz-18KHz(±3dB)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综合信噪比：＞105dB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接收机方式：双天线自动选讯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无线接口：BNC/50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灵敏度：12dBuV(80dBS/N)</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灵敏度调节范围：12-32dBuV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杂散抑制：≧75dB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最大输出电平：+10dBV。</w:t>
            </w:r>
          </w:p>
        </w:tc>
        <w:tc>
          <w:tcPr>
            <w:tcW w:w="700" w:type="dxa"/>
            <w:shd w:val="clear" w:color="000000" w:fill="FFFFFF"/>
            <w:vAlign w:val="center"/>
          </w:tcPr>
          <w:p w14:paraId="7DFA7EC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743B15A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418133E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5CD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585" w:type="dxa"/>
            <w:shd w:val="clear" w:color="000000" w:fill="FFFFFF"/>
            <w:vAlign w:val="center"/>
          </w:tcPr>
          <w:p w14:paraId="0F07C9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4.12</w:t>
            </w:r>
          </w:p>
        </w:tc>
        <w:tc>
          <w:tcPr>
            <w:tcW w:w="680" w:type="dxa"/>
            <w:shd w:val="clear" w:color="000000" w:fill="FFFFFF"/>
            <w:vAlign w:val="center"/>
          </w:tcPr>
          <w:p w14:paraId="47C93C6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无线一拖四鹅颈会议话筒</w:t>
            </w:r>
          </w:p>
        </w:tc>
        <w:tc>
          <w:tcPr>
            <w:tcW w:w="6285" w:type="dxa"/>
            <w:shd w:val="clear" w:color="000000" w:fill="FFFFFF"/>
            <w:vAlign w:val="center"/>
          </w:tcPr>
          <w:p w14:paraId="0DB76A7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一拖四鹅颈麦克风：采用高端技术阵列咪芯，拾音≧10CM范围，超心型指向性驻极体；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频率响应：80Hz～16KHz；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麦克风输入阻抗：1KΩ；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灵敏度：-46 dBV/Pa；</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最大SPL：100dB(THD&gt;3%)；</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信噪比：81dB(A)；</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串扰：71dB；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动态范围:180dB；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THD：0.1%；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最大功耗：4 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耳机负载：17Ω；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耳机音量：最大40mW；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耳机接口：3.5mm单声道插口；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遵循规范：IEC60914；</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供电方式 ：电池供电，充电口直供电；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显示屏：2英寸彩屏。</w:t>
            </w:r>
          </w:p>
        </w:tc>
        <w:tc>
          <w:tcPr>
            <w:tcW w:w="700" w:type="dxa"/>
            <w:shd w:val="clear" w:color="000000" w:fill="FFFFFF"/>
            <w:vAlign w:val="center"/>
          </w:tcPr>
          <w:p w14:paraId="01D7E77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0F332F2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73EDDCD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7644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237A84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4.13</w:t>
            </w:r>
          </w:p>
        </w:tc>
        <w:tc>
          <w:tcPr>
            <w:tcW w:w="680" w:type="dxa"/>
            <w:shd w:val="clear" w:color="000000" w:fill="FFFFFF"/>
            <w:vAlign w:val="center"/>
          </w:tcPr>
          <w:p w14:paraId="6F7F10A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机柜</w:t>
            </w:r>
          </w:p>
        </w:tc>
        <w:tc>
          <w:tcPr>
            <w:tcW w:w="6285" w:type="dxa"/>
            <w:shd w:val="clear" w:color="000000" w:fill="FFFFFF"/>
            <w:vAlign w:val="center"/>
          </w:tcPr>
          <w:p w14:paraId="199C72F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航空广播机柜，≧12U,带门。</w:t>
            </w:r>
          </w:p>
        </w:tc>
        <w:tc>
          <w:tcPr>
            <w:tcW w:w="700" w:type="dxa"/>
            <w:shd w:val="clear" w:color="000000" w:fill="FFFFFF"/>
            <w:vAlign w:val="center"/>
          </w:tcPr>
          <w:p w14:paraId="3AD87FF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6BE607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5D2E06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D91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585" w:type="dxa"/>
            <w:shd w:val="clear" w:color="000000" w:fill="FFFFFF"/>
            <w:vAlign w:val="center"/>
          </w:tcPr>
          <w:p w14:paraId="273FF51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4.14</w:t>
            </w:r>
          </w:p>
        </w:tc>
        <w:tc>
          <w:tcPr>
            <w:tcW w:w="680" w:type="dxa"/>
            <w:shd w:val="clear" w:color="000000" w:fill="FFFFFF"/>
            <w:vAlign w:val="center"/>
          </w:tcPr>
          <w:p w14:paraId="67BFA4F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扬声器线缆</w:t>
            </w:r>
          </w:p>
        </w:tc>
        <w:tc>
          <w:tcPr>
            <w:tcW w:w="6285" w:type="dxa"/>
            <w:shd w:val="clear" w:color="000000" w:fill="FFFFFF"/>
            <w:vAlign w:val="center"/>
          </w:tcPr>
          <w:p w14:paraId="674E734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国标无氧铜，≧2*100支音频线。</w:t>
            </w:r>
          </w:p>
        </w:tc>
        <w:tc>
          <w:tcPr>
            <w:tcW w:w="700" w:type="dxa"/>
            <w:shd w:val="clear" w:color="000000" w:fill="FFFFFF"/>
            <w:vAlign w:val="center"/>
          </w:tcPr>
          <w:p w14:paraId="662ECD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2AA6395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200</w:t>
            </w:r>
          </w:p>
        </w:tc>
        <w:tc>
          <w:tcPr>
            <w:tcW w:w="768" w:type="dxa"/>
            <w:shd w:val="clear" w:color="000000" w:fill="FFFFFF"/>
            <w:vAlign w:val="center"/>
          </w:tcPr>
          <w:p w14:paraId="03C7095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893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85" w:type="dxa"/>
            <w:shd w:val="clear" w:color="000000" w:fill="FFFFFF"/>
            <w:vAlign w:val="center"/>
          </w:tcPr>
          <w:p w14:paraId="07A9739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4.15</w:t>
            </w:r>
          </w:p>
        </w:tc>
        <w:tc>
          <w:tcPr>
            <w:tcW w:w="680" w:type="dxa"/>
            <w:shd w:val="clear" w:color="000000" w:fill="FFFFFF"/>
            <w:vAlign w:val="center"/>
          </w:tcPr>
          <w:p w14:paraId="3E5E4CC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辅材辅料</w:t>
            </w:r>
          </w:p>
        </w:tc>
        <w:tc>
          <w:tcPr>
            <w:tcW w:w="6285" w:type="dxa"/>
            <w:shd w:val="clear" w:color="000000" w:fill="FFFFFF"/>
            <w:vAlign w:val="center"/>
          </w:tcPr>
          <w:p w14:paraId="5888BB2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1、包括综合布线、卡农线、大二芯连接线、音频接插件等各种设备连接线。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2、要求安装、调试、服务、管理等。</w:t>
            </w:r>
          </w:p>
        </w:tc>
        <w:tc>
          <w:tcPr>
            <w:tcW w:w="700" w:type="dxa"/>
            <w:shd w:val="clear" w:color="000000" w:fill="FFFFFF"/>
            <w:vAlign w:val="center"/>
          </w:tcPr>
          <w:p w14:paraId="56EEC7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项</w:t>
            </w:r>
          </w:p>
        </w:tc>
        <w:tc>
          <w:tcPr>
            <w:tcW w:w="632" w:type="dxa"/>
            <w:shd w:val="clear" w:color="000000" w:fill="FFFFFF"/>
            <w:vAlign w:val="center"/>
          </w:tcPr>
          <w:p w14:paraId="7A5414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244ED8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69D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4F7BBF96">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（五）视频监考室设备</w:t>
            </w:r>
          </w:p>
        </w:tc>
      </w:tr>
      <w:tr w14:paraId="6F87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5" w:type="dxa"/>
            <w:shd w:val="clear" w:color="000000" w:fill="FFFFFF"/>
            <w:vAlign w:val="center"/>
          </w:tcPr>
          <w:p w14:paraId="5F7086F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5.01</w:t>
            </w:r>
          </w:p>
        </w:tc>
        <w:tc>
          <w:tcPr>
            <w:tcW w:w="680" w:type="dxa"/>
            <w:shd w:val="clear" w:color="000000" w:fill="FFFFFF"/>
            <w:vAlign w:val="center"/>
          </w:tcPr>
          <w:p w14:paraId="369217F6">
            <w:pPr>
              <w:widowControl/>
              <w:spacing w:line="280" w:lineRule="exact"/>
              <w:jc w:val="center"/>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红外高清球型摄像机</w:t>
            </w:r>
          </w:p>
        </w:tc>
        <w:tc>
          <w:tcPr>
            <w:tcW w:w="6285" w:type="dxa"/>
            <w:shd w:val="clear" w:color="000000" w:fill="FFFFFF"/>
            <w:vAlign w:val="center"/>
          </w:tcPr>
          <w:p w14:paraId="63351A7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1、符合《国家教育考试网上巡查系统视频标准技术规范（2017版）》相关技术规范；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2、支持绊线入侵、区域入侵、穿越围栏、徘徊检测、物品遗留、物品搬移、快速移动、停车、人员聚集检测，支持手动跟踪和报警跟踪两种跟踪方式；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3、具备23倍光学变倍，16倍数字变倍；</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4、采用200万像素1/2.8英寸CMOS传感器；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5、支持H.265编码，实现超低码流传输；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6、内置150米红外灯补光，采用倍率与红外灯功率匹配算法，补光效果更均匀；</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7、水平方向360°连续旋转，垂直方向-20°～90°自动翻转180°后连续监视,无监视盲区；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8、不少于128个预置位，8条巡航路径，5条巡迹路径；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9、支持1路音频输入和1路音频输出，内置7路报警输入和2路报警输出，支持报警联动功能；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10、支持AC24V±25%宽电压输入；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11、▲支持网络适应能力，在丢包率设置为5%的网络环境下，可正常显示监视画面；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12、支持在IE浏览器下，具有人脸增强设置选项；</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13、支持分别对在监视画面中进入和离开的人数进行统计，通过IE浏览器可配置进入、离开人数报警阈值，并可在监视画面上显示当前统计人数，并联动抓图、录像。</w:t>
            </w:r>
          </w:p>
        </w:tc>
        <w:tc>
          <w:tcPr>
            <w:tcW w:w="700" w:type="dxa"/>
            <w:shd w:val="clear" w:color="000000" w:fill="FFFFFF"/>
            <w:vAlign w:val="center"/>
          </w:tcPr>
          <w:p w14:paraId="0811E07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0C1A1B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0D7AB08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E6D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C7A9C6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5.02</w:t>
            </w:r>
          </w:p>
        </w:tc>
        <w:tc>
          <w:tcPr>
            <w:tcW w:w="680" w:type="dxa"/>
            <w:shd w:val="clear" w:color="000000" w:fill="FFFFFF"/>
            <w:vAlign w:val="center"/>
          </w:tcPr>
          <w:p w14:paraId="3781D63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支架</w:t>
            </w:r>
          </w:p>
        </w:tc>
        <w:tc>
          <w:tcPr>
            <w:tcW w:w="6285" w:type="dxa"/>
            <w:shd w:val="clear" w:color="000000" w:fill="FFFFFF"/>
            <w:vAlign w:val="center"/>
          </w:tcPr>
          <w:p w14:paraId="0E6EFC2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1、球机专用支架，加厚加重型。</w:t>
            </w:r>
          </w:p>
        </w:tc>
        <w:tc>
          <w:tcPr>
            <w:tcW w:w="700" w:type="dxa"/>
            <w:shd w:val="clear" w:color="000000" w:fill="FFFFFF"/>
            <w:vAlign w:val="center"/>
          </w:tcPr>
          <w:p w14:paraId="3577509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7D68ACC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5EF8359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D980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20DA9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5.03</w:t>
            </w:r>
          </w:p>
        </w:tc>
        <w:tc>
          <w:tcPr>
            <w:tcW w:w="680" w:type="dxa"/>
            <w:shd w:val="clear" w:color="000000" w:fill="FFFFFF"/>
            <w:vAlign w:val="center"/>
          </w:tcPr>
          <w:p w14:paraId="275E83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拾音器</w:t>
            </w:r>
          </w:p>
        </w:tc>
        <w:tc>
          <w:tcPr>
            <w:tcW w:w="6285" w:type="dxa"/>
            <w:shd w:val="clear" w:color="000000" w:fill="FFFFFF"/>
            <w:vAlign w:val="center"/>
          </w:tcPr>
          <w:p w14:paraId="2CBAFFD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拾音范围：≧50平方米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灵敏度 ：-35dB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频率响应 ：20Hz ～ 20kHz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指向特性： 全方向性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6、 信噪比 ：65dB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动态范围 ：104dB (1KHz at Max dB SPL)</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最大承受音压≧ 120dB SPL (1KHz,THD 1%)</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输出阻抗：600欧姆非平衡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10、 输出信号幅度： 2.5Vpp/-25db </w:t>
            </w:r>
          </w:p>
        </w:tc>
        <w:tc>
          <w:tcPr>
            <w:tcW w:w="700" w:type="dxa"/>
            <w:shd w:val="clear" w:color="000000" w:fill="FFFFFF"/>
            <w:vAlign w:val="center"/>
          </w:tcPr>
          <w:p w14:paraId="6D3B48B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663D4AB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51225F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477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85" w:type="dxa"/>
            <w:shd w:val="clear" w:color="000000" w:fill="FFFFFF"/>
            <w:vAlign w:val="center"/>
          </w:tcPr>
          <w:p w14:paraId="72889B3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5.04</w:t>
            </w:r>
          </w:p>
        </w:tc>
        <w:tc>
          <w:tcPr>
            <w:tcW w:w="680" w:type="dxa"/>
            <w:shd w:val="clear" w:color="000000" w:fill="FFFFFF"/>
            <w:vAlign w:val="center"/>
          </w:tcPr>
          <w:p w14:paraId="7537277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拾音器电源</w:t>
            </w:r>
          </w:p>
        </w:tc>
        <w:tc>
          <w:tcPr>
            <w:tcW w:w="6285" w:type="dxa"/>
            <w:shd w:val="clear" w:color="000000" w:fill="FFFFFF"/>
            <w:vAlign w:val="center"/>
          </w:tcPr>
          <w:p w14:paraId="5038454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1、输出功率：≧12W，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2、输入电压：100～240V。</w:t>
            </w:r>
          </w:p>
        </w:tc>
        <w:tc>
          <w:tcPr>
            <w:tcW w:w="700" w:type="dxa"/>
            <w:shd w:val="clear" w:color="000000" w:fill="FFFFFF"/>
            <w:vAlign w:val="center"/>
          </w:tcPr>
          <w:p w14:paraId="575F2B3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shd w:val="clear" w:color="000000" w:fill="FFFFFF"/>
            <w:vAlign w:val="center"/>
          </w:tcPr>
          <w:p w14:paraId="49FC5DB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0CCC673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F9EF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A1D3A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5.05</w:t>
            </w:r>
          </w:p>
        </w:tc>
        <w:tc>
          <w:tcPr>
            <w:tcW w:w="680" w:type="dxa"/>
            <w:shd w:val="clear" w:color="000000" w:fill="FFFFFF"/>
            <w:vAlign w:val="center"/>
          </w:tcPr>
          <w:p w14:paraId="6B62187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电源盒</w:t>
            </w:r>
          </w:p>
        </w:tc>
        <w:tc>
          <w:tcPr>
            <w:tcW w:w="6285" w:type="dxa"/>
            <w:shd w:val="clear" w:color="000000" w:fill="FFFFFF"/>
            <w:vAlign w:val="center"/>
          </w:tcPr>
          <w:p w14:paraId="133F825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1、阻燃PVC;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2、至少200mm*180mm。</w:t>
            </w:r>
          </w:p>
        </w:tc>
        <w:tc>
          <w:tcPr>
            <w:tcW w:w="700" w:type="dxa"/>
            <w:shd w:val="clear" w:color="000000" w:fill="FFFFFF"/>
            <w:vAlign w:val="center"/>
          </w:tcPr>
          <w:p w14:paraId="169F8AD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5307473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028C3B9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750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85" w:type="dxa"/>
            <w:shd w:val="clear" w:color="000000" w:fill="FFFFFF"/>
            <w:vAlign w:val="center"/>
          </w:tcPr>
          <w:p w14:paraId="0FC6159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5.06</w:t>
            </w:r>
          </w:p>
        </w:tc>
        <w:tc>
          <w:tcPr>
            <w:tcW w:w="680" w:type="dxa"/>
            <w:shd w:val="clear" w:color="000000" w:fill="FFFFFF"/>
            <w:vAlign w:val="center"/>
          </w:tcPr>
          <w:p w14:paraId="36874BB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控制系统</w:t>
            </w:r>
          </w:p>
        </w:tc>
        <w:tc>
          <w:tcPr>
            <w:tcW w:w="6285" w:type="dxa"/>
            <w:shd w:val="clear" w:color="000000" w:fill="FFFFFF"/>
            <w:vAlign w:val="center"/>
          </w:tcPr>
          <w:p w14:paraId="79C4977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挂墙式电源箱，配备3路分控开关。</w:t>
            </w:r>
          </w:p>
        </w:tc>
        <w:tc>
          <w:tcPr>
            <w:tcW w:w="700" w:type="dxa"/>
            <w:shd w:val="clear" w:color="000000" w:fill="FFFFFF"/>
            <w:vAlign w:val="center"/>
          </w:tcPr>
          <w:p w14:paraId="572BF77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1C6B43C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B1C9C8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11F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3FC5E0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5.07</w:t>
            </w:r>
          </w:p>
        </w:tc>
        <w:tc>
          <w:tcPr>
            <w:tcW w:w="680" w:type="dxa"/>
            <w:shd w:val="clear" w:color="000000" w:fill="FFFFFF"/>
            <w:vAlign w:val="center"/>
          </w:tcPr>
          <w:p w14:paraId="3689064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视频监考室计算机</w:t>
            </w:r>
          </w:p>
        </w:tc>
        <w:tc>
          <w:tcPr>
            <w:tcW w:w="6285" w:type="dxa"/>
            <w:shd w:val="clear" w:color="000000" w:fill="FFFFFF"/>
            <w:vAlign w:val="center"/>
          </w:tcPr>
          <w:p w14:paraId="4C94663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处理器：采用英特尔第十二代处理器I5-12400（主频≧2.5GHz，CPU核心≧6核）；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主板芯片组：≧Intel B760芯片组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≧8G DDR4  内存，插槽数量≧2个,最大可扩展至64GB。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≧512GB M.2接口NVMe固态硬盘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集成显卡，VGA≧1个，HDMI≧1个，DP≧1个，所有接口非转接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集成7.1声道声卡，提供前2后3共5个音频接口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≧1个集成10/100/1000M自适应以太网卡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插槽≧2 个M.2 Type 2242/2260/2280 固态硬盘插槽(其中1个支持Optane)；≧1个PCI-E*16、≧2个PCI-E*1、≧1个PCI；</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USB接口总数≧10个(其中 前置USB3.2 ≧6个)，支持关机充电功能；主板原生支持至少2个PS/2，原生COM接口数量≧1个；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需具备前置网络故障灯，便于快速诊断网络连接状态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与主机同品牌，≧23.8英寸，分辨率1920*1080， 支持低蓝光护眼模式。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同品牌黑色USB商务有线键鼠</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出厂预装WIN11 操作系统。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 ≧200W电源，机箱≧15L，顶置提手，方便搬运。</w:t>
            </w:r>
          </w:p>
        </w:tc>
        <w:tc>
          <w:tcPr>
            <w:tcW w:w="700" w:type="dxa"/>
            <w:shd w:val="clear" w:color="000000" w:fill="FFFFFF"/>
            <w:vAlign w:val="center"/>
          </w:tcPr>
          <w:p w14:paraId="5BB5E04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5284647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768" w:type="dxa"/>
            <w:shd w:val="clear" w:color="000000" w:fill="FFFFFF"/>
            <w:vAlign w:val="center"/>
          </w:tcPr>
          <w:p w14:paraId="6CC99C1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0A2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52D2638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5.08</w:t>
            </w:r>
          </w:p>
        </w:tc>
        <w:tc>
          <w:tcPr>
            <w:tcW w:w="680" w:type="dxa"/>
            <w:shd w:val="clear" w:color="000000" w:fill="FFFFFF"/>
            <w:vAlign w:val="center"/>
          </w:tcPr>
          <w:p w14:paraId="351E883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总控室计算机</w:t>
            </w:r>
          </w:p>
        </w:tc>
        <w:tc>
          <w:tcPr>
            <w:tcW w:w="6285" w:type="dxa"/>
            <w:shd w:val="clear" w:color="000000" w:fill="FFFFFF"/>
            <w:vAlign w:val="center"/>
          </w:tcPr>
          <w:p w14:paraId="6C077BF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处理器：采用英特尔第十二代处理器I7-12700（主频≧2.1GHz，CPU核心≧12核）；</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主板芯片组：≧Intel B760芯片组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≧8G DDR4  内存，插槽数量≧2个,最大可扩展至64GB。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≧256B M.2接口NVMe固态硬盘,一块2T机械硬盘。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集成显卡，VGA≧1个，HDMI≧1个，DP≧1个，所有接口非转接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集成7.1声道声卡，提供前2后3共5个音频接口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≧1个集成10/100/1000M自适应以太网卡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插槽≧2 个M.2 Type 2242/2260/2280 固态硬盘插槽(其中1个支持Optane)；≧1个PCI-E*16、≧2个PCI-E*1、≧1个PCI；</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 USB接口总数≧10个(其中 前置USB3.2 ≧6个)，支持关机充电功能；主板原生支持至少2个PS/2，原生COM接口数量≧1个；</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 需具备前置网络故障灯，便于快速诊断网络连接状态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 与主机同品牌，≧23.8英寸，分辨率1920*1080， 支持低蓝光护眼模式。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同品牌黑色USB商务有线键鼠。</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 出厂预装WIN11 操作系统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 ≧200W电源，机箱≧15L，顶置提手，方便搬运。</w:t>
            </w:r>
          </w:p>
        </w:tc>
        <w:tc>
          <w:tcPr>
            <w:tcW w:w="700" w:type="dxa"/>
            <w:shd w:val="clear" w:color="000000" w:fill="FFFFFF"/>
            <w:vAlign w:val="center"/>
          </w:tcPr>
          <w:p w14:paraId="078A702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4AE0E01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485D00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D2C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527C85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w:t>
            </w:r>
            <w:r>
              <w:rPr>
                <w:rFonts w:ascii="宋体" w:hAnsi="宋体" w:cs="宋体"/>
                <w:color w:val="auto"/>
                <w:kern w:val="0"/>
                <w:sz w:val="18"/>
                <w:szCs w:val="18"/>
              </w:rPr>
              <w:t>.09</w:t>
            </w:r>
          </w:p>
        </w:tc>
        <w:tc>
          <w:tcPr>
            <w:tcW w:w="680" w:type="dxa"/>
            <w:shd w:val="clear" w:color="000000" w:fill="FFFFFF"/>
            <w:vAlign w:val="center"/>
          </w:tcPr>
          <w:p w14:paraId="1FC7CF2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智能视频监考系统软件</w:t>
            </w:r>
          </w:p>
        </w:tc>
        <w:tc>
          <w:tcPr>
            <w:tcW w:w="6285" w:type="dxa"/>
            <w:shd w:val="clear" w:color="000000" w:fill="FFFFFF"/>
            <w:vAlign w:val="center"/>
          </w:tcPr>
          <w:p w14:paraId="5369895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1、应支持1、4、9分屏巡查、监看，支持用户任意分组、支持普通高招、成人、研究生考试、计算机等级等不同考试</w:t>
            </w:r>
            <w:r>
              <w:rPr>
                <w:rFonts w:hint="eastAsia" w:ascii="宋体" w:hAnsi="宋体" w:cs="宋体"/>
                <w:color w:val="auto"/>
                <w:kern w:val="0"/>
                <w:sz w:val="18"/>
                <w:szCs w:val="18"/>
                <w:lang w:eastAsia="zh-CN"/>
              </w:rPr>
              <w:t>模板</w:t>
            </w:r>
            <w:r>
              <w:rPr>
                <w:rFonts w:hint="eastAsia" w:ascii="宋体" w:hAnsi="宋体" w:cs="宋体"/>
                <w:color w:val="auto"/>
                <w:kern w:val="0"/>
                <w:sz w:val="18"/>
                <w:szCs w:val="18"/>
              </w:rPr>
              <w:t>设定，支持考生定位、考场定位，支持逻辑考场与物理考场对应关系，支持监控老师、考生数据系统管理。</w:t>
            </w:r>
          </w:p>
          <w:p w14:paraId="3E9D95C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2、应支持同时连接学校高清sip管理服务器、河南省综合考务平台，实现智能视频监考。</w:t>
            </w:r>
          </w:p>
          <w:p w14:paraId="402CE5EC">
            <w:pPr>
              <w:widowControl/>
              <w:spacing w:line="280" w:lineRule="exact"/>
              <w:jc w:val="left"/>
              <w:rPr>
                <w:rFonts w:ascii="宋体" w:hAnsi="宋体" w:cs="宋体"/>
                <w:color w:val="auto"/>
                <w:kern w:val="0"/>
                <w:sz w:val="18"/>
                <w:szCs w:val="18"/>
              </w:rPr>
            </w:pPr>
            <w:r>
              <w:rPr>
                <w:rFonts w:hint="eastAsia" w:ascii="宋体" w:hAnsi="宋体" w:cs="宋体"/>
                <w:b/>
                <w:bCs/>
                <w:color w:val="auto"/>
                <w:kern w:val="0"/>
                <w:sz w:val="18"/>
                <w:szCs w:val="18"/>
              </w:rPr>
              <w:t>※</w:t>
            </w:r>
            <w:r>
              <w:rPr>
                <w:rFonts w:hint="eastAsia" w:ascii="宋体" w:hAnsi="宋体" w:cs="宋体"/>
                <w:color w:val="auto"/>
                <w:kern w:val="0"/>
                <w:sz w:val="18"/>
                <w:szCs w:val="18"/>
              </w:rPr>
              <w:t>3、能够覆盖考场全体考生、监考人员和前后门，支持考生3D定位、视频监考、行为引导、摄像机状态上报等考试应用。</w:t>
            </w:r>
          </w:p>
        </w:tc>
        <w:tc>
          <w:tcPr>
            <w:tcW w:w="700" w:type="dxa"/>
            <w:shd w:val="clear" w:color="000000" w:fill="FFFFFF"/>
            <w:vAlign w:val="center"/>
          </w:tcPr>
          <w:p w14:paraId="6053F85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2295B8B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3632DB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4144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585" w:type="dxa"/>
            <w:shd w:val="clear" w:color="000000" w:fill="FFFFFF"/>
            <w:vAlign w:val="center"/>
          </w:tcPr>
          <w:p w14:paraId="2FCC49A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w:t>
            </w:r>
            <w:r>
              <w:rPr>
                <w:rFonts w:ascii="宋体" w:hAnsi="宋体" w:cs="宋体"/>
                <w:color w:val="auto"/>
                <w:kern w:val="0"/>
                <w:sz w:val="18"/>
                <w:szCs w:val="18"/>
              </w:rPr>
              <w:t>10</w:t>
            </w:r>
          </w:p>
        </w:tc>
        <w:tc>
          <w:tcPr>
            <w:tcW w:w="680" w:type="dxa"/>
            <w:shd w:val="clear" w:color="000000" w:fill="FFFFFF"/>
            <w:vAlign w:val="center"/>
          </w:tcPr>
          <w:p w14:paraId="128F50F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接入交换机</w:t>
            </w:r>
          </w:p>
        </w:tc>
        <w:tc>
          <w:tcPr>
            <w:tcW w:w="6285" w:type="dxa"/>
            <w:shd w:val="clear" w:color="000000" w:fill="FFFFFF"/>
            <w:vAlign w:val="center"/>
          </w:tcPr>
          <w:p w14:paraId="63FA08A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三层接入交换机：≧24个10/100/1000M自适应电口，≧4个1G/10G SFP+光口，固化交流电源和风扇。</w:t>
            </w:r>
          </w:p>
        </w:tc>
        <w:tc>
          <w:tcPr>
            <w:tcW w:w="700" w:type="dxa"/>
            <w:shd w:val="clear" w:color="000000" w:fill="FFFFFF"/>
            <w:vAlign w:val="center"/>
          </w:tcPr>
          <w:p w14:paraId="61E49B3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967326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F37E58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FD5D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04996D8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w:t>
            </w:r>
            <w:r>
              <w:rPr>
                <w:rFonts w:ascii="宋体" w:hAnsi="宋体" w:cs="宋体"/>
                <w:color w:val="auto"/>
                <w:kern w:val="0"/>
                <w:sz w:val="18"/>
                <w:szCs w:val="18"/>
              </w:rPr>
              <w:t>11</w:t>
            </w:r>
          </w:p>
        </w:tc>
        <w:tc>
          <w:tcPr>
            <w:tcW w:w="680" w:type="dxa"/>
            <w:shd w:val="clear" w:color="000000" w:fill="FFFFFF"/>
            <w:vAlign w:val="center"/>
          </w:tcPr>
          <w:p w14:paraId="654D96C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机柜</w:t>
            </w:r>
          </w:p>
        </w:tc>
        <w:tc>
          <w:tcPr>
            <w:tcW w:w="6285" w:type="dxa"/>
            <w:shd w:val="clear" w:color="000000" w:fill="FFFFFF"/>
            <w:vAlign w:val="center"/>
          </w:tcPr>
          <w:p w14:paraId="776D154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容量：≧4U。</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外观参数：至少高度(mm)* 宽度(mm)* 深度(mm)/ （450*600*400mm）。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颜色：白、标准：19英寸国际标准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门/门锁：封闭前门，带锁;后门:全封闭后门,侧门:全钢侧门。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材料/工艺：SPCC优质冷轧钢板制作，表面处理:脱脂、酸洗、磷化、静电喷塑。</w:t>
            </w:r>
          </w:p>
        </w:tc>
        <w:tc>
          <w:tcPr>
            <w:tcW w:w="700" w:type="dxa"/>
            <w:shd w:val="clear" w:color="000000" w:fill="FFFFFF"/>
            <w:vAlign w:val="center"/>
          </w:tcPr>
          <w:p w14:paraId="2027C30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B1BA66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2CBBF0A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433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585" w:type="dxa"/>
            <w:shd w:val="clear" w:color="000000" w:fill="FFFFFF"/>
            <w:vAlign w:val="center"/>
          </w:tcPr>
          <w:p w14:paraId="01F1681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5.1</w:t>
            </w:r>
            <w:r>
              <w:rPr>
                <w:rFonts w:ascii="宋体" w:hAnsi="宋体" w:cs="宋体"/>
                <w:color w:val="auto"/>
                <w:kern w:val="0"/>
                <w:sz w:val="18"/>
                <w:szCs w:val="18"/>
              </w:rPr>
              <w:t>2</w:t>
            </w:r>
          </w:p>
        </w:tc>
        <w:tc>
          <w:tcPr>
            <w:tcW w:w="680" w:type="dxa"/>
            <w:shd w:val="clear" w:color="000000" w:fill="FFFFFF"/>
            <w:vAlign w:val="center"/>
          </w:tcPr>
          <w:p w14:paraId="418D5B8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计算机桌椅</w:t>
            </w:r>
          </w:p>
        </w:tc>
        <w:tc>
          <w:tcPr>
            <w:tcW w:w="6285" w:type="dxa"/>
            <w:shd w:val="clear" w:color="000000" w:fill="FFFFFF"/>
            <w:vAlign w:val="center"/>
          </w:tcPr>
          <w:p w14:paraId="18B37CC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 xml:space="preserve">1、 规格尺寸：≧800*600*750mm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 含弓形办公椅：网布一体连接。 </w:t>
            </w:r>
          </w:p>
        </w:tc>
        <w:tc>
          <w:tcPr>
            <w:tcW w:w="700" w:type="dxa"/>
            <w:shd w:val="clear" w:color="000000" w:fill="FFFFFF"/>
            <w:vAlign w:val="center"/>
          </w:tcPr>
          <w:p w14:paraId="16F082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shd w:val="clear" w:color="000000" w:fill="FFFFFF"/>
            <w:vAlign w:val="center"/>
          </w:tcPr>
          <w:p w14:paraId="405143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14</w:t>
            </w:r>
          </w:p>
        </w:tc>
        <w:tc>
          <w:tcPr>
            <w:tcW w:w="768" w:type="dxa"/>
            <w:shd w:val="clear" w:color="000000" w:fill="FFFFFF"/>
            <w:vAlign w:val="center"/>
          </w:tcPr>
          <w:p w14:paraId="0B0EDCB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662F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85" w:type="dxa"/>
            <w:shd w:val="clear" w:color="000000" w:fill="FFFFFF"/>
            <w:vAlign w:val="center"/>
          </w:tcPr>
          <w:p w14:paraId="33858C3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5.1</w:t>
            </w:r>
            <w:r>
              <w:rPr>
                <w:rFonts w:ascii="宋体" w:hAnsi="宋体" w:cs="宋体"/>
                <w:color w:val="auto"/>
                <w:kern w:val="0"/>
                <w:sz w:val="18"/>
                <w:szCs w:val="18"/>
              </w:rPr>
              <w:t>3</w:t>
            </w:r>
          </w:p>
        </w:tc>
        <w:tc>
          <w:tcPr>
            <w:tcW w:w="680" w:type="dxa"/>
            <w:shd w:val="clear" w:color="000000" w:fill="FFFFFF"/>
            <w:vAlign w:val="center"/>
          </w:tcPr>
          <w:p w14:paraId="2DBEB71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多功能一体机</w:t>
            </w:r>
          </w:p>
        </w:tc>
        <w:tc>
          <w:tcPr>
            <w:tcW w:w="6285" w:type="dxa"/>
            <w:shd w:val="clear" w:color="000000" w:fill="FFFFFF"/>
            <w:vAlign w:val="center"/>
          </w:tcPr>
          <w:p w14:paraId="7A26EE6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黑白激光多功能一体机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打印/复印/扫描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最大处理幅面：≧A4</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耗材类型：鼓粉分离</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黑白打印速度：18ppm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打印分辨率：600×600dpi</w:t>
            </w:r>
          </w:p>
        </w:tc>
        <w:tc>
          <w:tcPr>
            <w:tcW w:w="700" w:type="dxa"/>
            <w:shd w:val="clear" w:color="000000" w:fill="FFFFFF"/>
            <w:vAlign w:val="center"/>
          </w:tcPr>
          <w:p w14:paraId="3FC323E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48C847A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304E96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07C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shd w:val="clear" w:color="000000" w:fill="FFFFFF"/>
            <w:vAlign w:val="center"/>
          </w:tcPr>
          <w:p w14:paraId="7C7EEF8C">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（六）区间网络及布线</w:t>
            </w:r>
          </w:p>
        </w:tc>
      </w:tr>
      <w:tr w14:paraId="4A91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585" w:type="dxa"/>
            <w:shd w:val="clear" w:color="000000" w:fill="FFFFFF"/>
            <w:vAlign w:val="center"/>
          </w:tcPr>
          <w:p w14:paraId="75280ED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6.01</w:t>
            </w:r>
          </w:p>
        </w:tc>
        <w:tc>
          <w:tcPr>
            <w:tcW w:w="680" w:type="dxa"/>
            <w:shd w:val="clear" w:color="000000" w:fill="FFFFFF"/>
            <w:vAlign w:val="center"/>
          </w:tcPr>
          <w:p w14:paraId="0F7523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接入交换机</w:t>
            </w:r>
          </w:p>
        </w:tc>
        <w:tc>
          <w:tcPr>
            <w:tcW w:w="6285" w:type="dxa"/>
            <w:shd w:val="clear" w:color="000000" w:fill="FFFFFF"/>
            <w:vAlign w:val="center"/>
          </w:tcPr>
          <w:p w14:paraId="57A6792E">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三层接入交换机，≧24个10/100/1000M自适应电口，≧4个1G/10G SFP+光口，固化交流电源和风扇</w:t>
            </w:r>
          </w:p>
        </w:tc>
        <w:tc>
          <w:tcPr>
            <w:tcW w:w="700" w:type="dxa"/>
            <w:shd w:val="clear" w:color="000000" w:fill="FFFFFF"/>
            <w:vAlign w:val="center"/>
          </w:tcPr>
          <w:p w14:paraId="6D5CB80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F2B650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w:t>
            </w:r>
          </w:p>
        </w:tc>
        <w:tc>
          <w:tcPr>
            <w:tcW w:w="768" w:type="dxa"/>
            <w:shd w:val="clear" w:color="000000" w:fill="FFFFFF"/>
            <w:vAlign w:val="center"/>
          </w:tcPr>
          <w:p w14:paraId="1C41147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AF2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85" w:type="dxa"/>
            <w:shd w:val="clear" w:color="000000" w:fill="FFFFFF"/>
            <w:vAlign w:val="center"/>
          </w:tcPr>
          <w:p w14:paraId="2B47034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6.02</w:t>
            </w:r>
          </w:p>
        </w:tc>
        <w:tc>
          <w:tcPr>
            <w:tcW w:w="680" w:type="dxa"/>
            <w:shd w:val="clear" w:color="000000" w:fill="FFFFFF"/>
            <w:vAlign w:val="center"/>
          </w:tcPr>
          <w:p w14:paraId="1EF903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接入交换机</w:t>
            </w:r>
          </w:p>
        </w:tc>
        <w:tc>
          <w:tcPr>
            <w:tcW w:w="6285" w:type="dxa"/>
            <w:shd w:val="clear" w:color="000000" w:fill="FFFFFF"/>
            <w:vAlign w:val="center"/>
          </w:tcPr>
          <w:p w14:paraId="4C723D2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三层接入交换机，≧48个10/100/1000M自适应电口，≧4个1G/10G SFP+光口，固化交流电源和风扇</w:t>
            </w:r>
          </w:p>
        </w:tc>
        <w:tc>
          <w:tcPr>
            <w:tcW w:w="700" w:type="dxa"/>
            <w:shd w:val="clear" w:color="000000" w:fill="FFFFFF"/>
            <w:vAlign w:val="center"/>
          </w:tcPr>
          <w:p w14:paraId="592A0F6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7E3DDB6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781CC3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800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85" w:type="dxa"/>
            <w:shd w:val="clear" w:color="000000" w:fill="FFFFFF"/>
            <w:vAlign w:val="center"/>
          </w:tcPr>
          <w:p w14:paraId="42E1EA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6.03</w:t>
            </w:r>
          </w:p>
        </w:tc>
        <w:tc>
          <w:tcPr>
            <w:tcW w:w="680" w:type="dxa"/>
            <w:shd w:val="clear" w:color="000000" w:fill="FFFFFF"/>
            <w:vAlign w:val="center"/>
          </w:tcPr>
          <w:p w14:paraId="72877D8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接入交换机</w:t>
            </w:r>
          </w:p>
        </w:tc>
        <w:tc>
          <w:tcPr>
            <w:tcW w:w="6285" w:type="dxa"/>
            <w:shd w:val="clear" w:color="000000" w:fill="FFFFFF"/>
            <w:vAlign w:val="center"/>
          </w:tcPr>
          <w:p w14:paraId="6AD3EF6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≧8个10/100/1000Mbps自适应电口，非网管型交换机。</w:t>
            </w:r>
          </w:p>
        </w:tc>
        <w:tc>
          <w:tcPr>
            <w:tcW w:w="700" w:type="dxa"/>
            <w:shd w:val="clear" w:color="000000" w:fill="FFFFFF"/>
            <w:vAlign w:val="center"/>
          </w:tcPr>
          <w:p w14:paraId="20C9C7C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36724D4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w:t>
            </w:r>
          </w:p>
        </w:tc>
        <w:tc>
          <w:tcPr>
            <w:tcW w:w="768" w:type="dxa"/>
            <w:shd w:val="clear" w:color="000000" w:fill="FFFFFF"/>
            <w:vAlign w:val="center"/>
          </w:tcPr>
          <w:p w14:paraId="13EAD63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B32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34A91D3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6.04</w:t>
            </w:r>
          </w:p>
        </w:tc>
        <w:tc>
          <w:tcPr>
            <w:tcW w:w="680" w:type="dxa"/>
            <w:shd w:val="clear" w:color="000000" w:fill="FFFFFF"/>
            <w:vAlign w:val="center"/>
          </w:tcPr>
          <w:p w14:paraId="552BC4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光纤柜</w:t>
            </w:r>
          </w:p>
        </w:tc>
        <w:tc>
          <w:tcPr>
            <w:tcW w:w="6285" w:type="dxa"/>
            <w:shd w:val="clear" w:color="000000" w:fill="FFFFFF"/>
            <w:vAlign w:val="center"/>
          </w:tcPr>
          <w:p w14:paraId="63493F5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配线架内可容纳至少12芯尾纤的熔接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带有涂层的钢结构骨架，坚固耐用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开创性的设计能确保安装、移动以及未来的变更时，均非常灵活</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19英寸宽度</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 空间合理，保证光纤跳接，熔接的合理弯曲半径</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单模、多模两种光纤均适用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 配线架前端设计有用于固定到机柜的耳朵</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 框架材料选用高级钢板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11、备选件光纤熔接盘可以安装到光纤配线架内部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 包含耦合器等</w:t>
            </w:r>
          </w:p>
        </w:tc>
        <w:tc>
          <w:tcPr>
            <w:tcW w:w="700" w:type="dxa"/>
            <w:shd w:val="clear" w:color="000000" w:fill="FFFFFF"/>
            <w:vAlign w:val="center"/>
          </w:tcPr>
          <w:p w14:paraId="546E07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92D2C2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95CE3E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55E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85" w:type="dxa"/>
            <w:shd w:val="clear" w:color="000000" w:fill="FFFFFF"/>
            <w:vAlign w:val="center"/>
          </w:tcPr>
          <w:p w14:paraId="492299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6.05</w:t>
            </w:r>
          </w:p>
        </w:tc>
        <w:tc>
          <w:tcPr>
            <w:tcW w:w="680" w:type="dxa"/>
            <w:shd w:val="clear" w:color="000000" w:fill="FFFFFF"/>
            <w:vAlign w:val="center"/>
          </w:tcPr>
          <w:p w14:paraId="42EC3FD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光纤</w:t>
            </w:r>
          </w:p>
        </w:tc>
        <w:tc>
          <w:tcPr>
            <w:tcW w:w="6285" w:type="dxa"/>
            <w:shd w:val="clear" w:color="000000" w:fill="FFFFFF"/>
            <w:vAlign w:val="center"/>
          </w:tcPr>
          <w:p w14:paraId="4D81AE27">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1、国标单模千兆光纤，≧12芯。</w:t>
            </w:r>
          </w:p>
        </w:tc>
        <w:tc>
          <w:tcPr>
            <w:tcW w:w="700" w:type="dxa"/>
            <w:shd w:val="clear" w:color="000000" w:fill="FFFFFF"/>
            <w:vAlign w:val="center"/>
          </w:tcPr>
          <w:p w14:paraId="2C1D861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1AF6DA3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300</w:t>
            </w:r>
          </w:p>
        </w:tc>
        <w:tc>
          <w:tcPr>
            <w:tcW w:w="768" w:type="dxa"/>
            <w:shd w:val="clear" w:color="000000" w:fill="FFFFFF"/>
            <w:vAlign w:val="center"/>
          </w:tcPr>
          <w:p w14:paraId="7548518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B6D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585" w:type="dxa"/>
            <w:shd w:val="clear" w:color="000000" w:fill="FFFFFF"/>
            <w:vAlign w:val="center"/>
          </w:tcPr>
          <w:p w14:paraId="6F44854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6.06</w:t>
            </w:r>
          </w:p>
        </w:tc>
        <w:tc>
          <w:tcPr>
            <w:tcW w:w="680" w:type="dxa"/>
            <w:shd w:val="clear" w:color="000000" w:fill="FFFFFF"/>
            <w:vAlign w:val="center"/>
          </w:tcPr>
          <w:p w14:paraId="6BFB844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shd w:val="clear" w:color="000000" w:fill="FFFFFF"/>
            <w:vAlign w:val="center"/>
          </w:tcPr>
          <w:p w14:paraId="0412D068">
            <w:pPr>
              <w:pStyle w:val="111"/>
              <w:widowControl/>
              <w:numPr>
                <w:ilvl w:val="0"/>
                <w:numId w:val="6"/>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要求光端盒、耦合器、尾纤、跳线、熔纤等配件及费用。</w:t>
            </w:r>
          </w:p>
          <w:p w14:paraId="33B528C2">
            <w:pPr>
              <w:pStyle w:val="111"/>
              <w:widowControl/>
              <w:numPr>
                <w:ilvl w:val="0"/>
                <w:numId w:val="6"/>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要求安装测试符合标准。</w:t>
            </w:r>
          </w:p>
        </w:tc>
        <w:tc>
          <w:tcPr>
            <w:tcW w:w="700" w:type="dxa"/>
            <w:shd w:val="clear" w:color="000000" w:fill="FFFFFF"/>
            <w:vAlign w:val="center"/>
          </w:tcPr>
          <w:p w14:paraId="54D4078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项</w:t>
            </w:r>
          </w:p>
        </w:tc>
        <w:tc>
          <w:tcPr>
            <w:tcW w:w="632" w:type="dxa"/>
            <w:shd w:val="clear" w:color="000000" w:fill="FFFFFF"/>
            <w:vAlign w:val="center"/>
          </w:tcPr>
          <w:p w14:paraId="453BFFC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920E08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96E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85" w:type="dxa"/>
            <w:shd w:val="clear" w:color="000000" w:fill="FFFFFF"/>
            <w:vAlign w:val="center"/>
          </w:tcPr>
          <w:p w14:paraId="04167A3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6.07</w:t>
            </w:r>
          </w:p>
        </w:tc>
        <w:tc>
          <w:tcPr>
            <w:tcW w:w="680" w:type="dxa"/>
            <w:shd w:val="clear" w:color="000000" w:fill="FFFFFF"/>
            <w:vAlign w:val="center"/>
          </w:tcPr>
          <w:p w14:paraId="09895B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7FE2157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国标≧16平方铜芯聚氯乙烯绝缘电缆。</w:t>
            </w:r>
          </w:p>
        </w:tc>
        <w:tc>
          <w:tcPr>
            <w:tcW w:w="700" w:type="dxa"/>
            <w:shd w:val="clear" w:color="000000" w:fill="FFFFFF"/>
            <w:vAlign w:val="center"/>
          </w:tcPr>
          <w:p w14:paraId="2A3452F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542C4EF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300</w:t>
            </w:r>
          </w:p>
        </w:tc>
        <w:tc>
          <w:tcPr>
            <w:tcW w:w="768" w:type="dxa"/>
            <w:shd w:val="clear" w:color="000000" w:fill="FFFFFF"/>
            <w:vAlign w:val="center"/>
          </w:tcPr>
          <w:p w14:paraId="0E9B067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D3A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85" w:type="dxa"/>
            <w:shd w:val="clear" w:color="000000" w:fill="FFFFFF"/>
            <w:vAlign w:val="center"/>
          </w:tcPr>
          <w:p w14:paraId="160B864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6.08</w:t>
            </w:r>
          </w:p>
        </w:tc>
        <w:tc>
          <w:tcPr>
            <w:tcW w:w="680" w:type="dxa"/>
            <w:shd w:val="clear" w:color="000000" w:fill="FFFFFF"/>
            <w:vAlign w:val="center"/>
          </w:tcPr>
          <w:p w14:paraId="148F79E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6778ECE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国标≧10平方铜芯聚氯乙烯绝缘电缆。</w:t>
            </w:r>
          </w:p>
        </w:tc>
        <w:tc>
          <w:tcPr>
            <w:tcW w:w="700" w:type="dxa"/>
            <w:shd w:val="clear" w:color="000000" w:fill="FFFFFF"/>
            <w:vAlign w:val="center"/>
          </w:tcPr>
          <w:p w14:paraId="175DD44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00EE576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100</w:t>
            </w:r>
          </w:p>
        </w:tc>
        <w:tc>
          <w:tcPr>
            <w:tcW w:w="768" w:type="dxa"/>
            <w:shd w:val="clear" w:color="000000" w:fill="FFFFFF"/>
            <w:vAlign w:val="center"/>
          </w:tcPr>
          <w:p w14:paraId="0ADA8BD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5C1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85" w:type="dxa"/>
            <w:shd w:val="clear" w:color="000000" w:fill="FFFFFF"/>
            <w:vAlign w:val="center"/>
          </w:tcPr>
          <w:p w14:paraId="38F6AE8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6.09</w:t>
            </w:r>
          </w:p>
        </w:tc>
        <w:tc>
          <w:tcPr>
            <w:tcW w:w="680" w:type="dxa"/>
            <w:shd w:val="clear" w:color="000000" w:fill="FFFFFF"/>
            <w:vAlign w:val="center"/>
          </w:tcPr>
          <w:p w14:paraId="7C550DC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34172BB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国标≧2*6平方铜芯聚氯乙烯绝缘电缆。</w:t>
            </w:r>
          </w:p>
        </w:tc>
        <w:tc>
          <w:tcPr>
            <w:tcW w:w="700" w:type="dxa"/>
            <w:shd w:val="clear" w:color="000000" w:fill="FFFFFF"/>
            <w:vAlign w:val="center"/>
          </w:tcPr>
          <w:p w14:paraId="69FA34E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6707572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1000</w:t>
            </w:r>
          </w:p>
        </w:tc>
        <w:tc>
          <w:tcPr>
            <w:tcW w:w="768" w:type="dxa"/>
            <w:shd w:val="clear" w:color="000000" w:fill="FFFFFF"/>
            <w:vAlign w:val="center"/>
          </w:tcPr>
          <w:p w14:paraId="4DA406D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F31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85" w:type="dxa"/>
            <w:shd w:val="clear" w:color="000000" w:fill="FFFFFF"/>
            <w:vAlign w:val="center"/>
          </w:tcPr>
          <w:p w14:paraId="36AB405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6.10</w:t>
            </w:r>
          </w:p>
        </w:tc>
        <w:tc>
          <w:tcPr>
            <w:tcW w:w="680" w:type="dxa"/>
            <w:shd w:val="clear" w:color="000000" w:fill="FFFFFF"/>
            <w:vAlign w:val="center"/>
          </w:tcPr>
          <w:p w14:paraId="76D96D1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7D13102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国标≧2*4平方铜芯聚氯乙烯绝缘电缆。</w:t>
            </w:r>
          </w:p>
        </w:tc>
        <w:tc>
          <w:tcPr>
            <w:tcW w:w="700" w:type="dxa"/>
            <w:shd w:val="clear" w:color="000000" w:fill="FFFFFF"/>
            <w:vAlign w:val="center"/>
          </w:tcPr>
          <w:p w14:paraId="44C3BF7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3930E8F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1500</w:t>
            </w:r>
          </w:p>
        </w:tc>
        <w:tc>
          <w:tcPr>
            <w:tcW w:w="768" w:type="dxa"/>
            <w:shd w:val="clear" w:color="000000" w:fill="FFFFFF"/>
            <w:vAlign w:val="center"/>
          </w:tcPr>
          <w:p w14:paraId="01D7077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D503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85" w:type="dxa"/>
            <w:shd w:val="clear" w:color="000000" w:fill="FFFFFF"/>
            <w:vAlign w:val="center"/>
          </w:tcPr>
          <w:p w14:paraId="6B84CA0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6.11</w:t>
            </w:r>
          </w:p>
        </w:tc>
        <w:tc>
          <w:tcPr>
            <w:tcW w:w="680" w:type="dxa"/>
            <w:shd w:val="clear" w:color="000000" w:fill="FFFFFF"/>
            <w:vAlign w:val="center"/>
          </w:tcPr>
          <w:p w14:paraId="37BD1A3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5977CC1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国标≧2*2.5平方铜芯聚氯乙烯绝缘电缆。</w:t>
            </w:r>
          </w:p>
        </w:tc>
        <w:tc>
          <w:tcPr>
            <w:tcW w:w="700" w:type="dxa"/>
            <w:shd w:val="clear" w:color="000000" w:fill="FFFFFF"/>
            <w:vAlign w:val="center"/>
          </w:tcPr>
          <w:p w14:paraId="70C6201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6AFA5F6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1000</w:t>
            </w:r>
          </w:p>
        </w:tc>
        <w:tc>
          <w:tcPr>
            <w:tcW w:w="768" w:type="dxa"/>
            <w:shd w:val="clear" w:color="000000" w:fill="FFFFFF"/>
            <w:vAlign w:val="center"/>
          </w:tcPr>
          <w:p w14:paraId="594042F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8C2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85" w:type="dxa"/>
            <w:shd w:val="clear" w:color="000000" w:fill="FFFFFF"/>
            <w:vAlign w:val="center"/>
          </w:tcPr>
          <w:p w14:paraId="18DED7F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6.12</w:t>
            </w:r>
          </w:p>
        </w:tc>
        <w:tc>
          <w:tcPr>
            <w:tcW w:w="680" w:type="dxa"/>
            <w:shd w:val="clear" w:color="000000" w:fill="FFFFFF"/>
            <w:vAlign w:val="center"/>
          </w:tcPr>
          <w:p w14:paraId="3EC8D2E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46C28D5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国标≧2*1.5平方铜芯聚氯乙烯绝缘电缆。</w:t>
            </w:r>
          </w:p>
        </w:tc>
        <w:tc>
          <w:tcPr>
            <w:tcW w:w="700" w:type="dxa"/>
            <w:shd w:val="clear" w:color="000000" w:fill="FFFFFF"/>
            <w:vAlign w:val="center"/>
          </w:tcPr>
          <w:p w14:paraId="073FB55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6F40815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1500</w:t>
            </w:r>
          </w:p>
        </w:tc>
        <w:tc>
          <w:tcPr>
            <w:tcW w:w="768" w:type="dxa"/>
            <w:shd w:val="clear" w:color="000000" w:fill="FFFFFF"/>
            <w:vAlign w:val="center"/>
          </w:tcPr>
          <w:p w14:paraId="0EFF226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163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85" w:type="dxa"/>
            <w:shd w:val="clear" w:color="000000" w:fill="FFFFFF"/>
            <w:vAlign w:val="center"/>
          </w:tcPr>
          <w:p w14:paraId="79966E3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6.13</w:t>
            </w:r>
          </w:p>
        </w:tc>
        <w:tc>
          <w:tcPr>
            <w:tcW w:w="680" w:type="dxa"/>
            <w:shd w:val="clear" w:color="000000" w:fill="FFFFFF"/>
            <w:vAlign w:val="center"/>
          </w:tcPr>
          <w:p w14:paraId="60608E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56DCE6F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国标≧1.5平方铜芯聚氯乙烯绝缘电缆。</w:t>
            </w:r>
          </w:p>
        </w:tc>
        <w:tc>
          <w:tcPr>
            <w:tcW w:w="700" w:type="dxa"/>
            <w:shd w:val="clear" w:color="000000" w:fill="FFFFFF"/>
            <w:vAlign w:val="center"/>
          </w:tcPr>
          <w:p w14:paraId="7A85A5B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219936A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1000</w:t>
            </w:r>
          </w:p>
        </w:tc>
        <w:tc>
          <w:tcPr>
            <w:tcW w:w="768" w:type="dxa"/>
            <w:shd w:val="clear" w:color="000000" w:fill="FFFFFF"/>
            <w:vAlign w:val="center"/>
          </w:tcPr>
          <w:p w14:paraId="0E5EEC0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E95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468F362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6.14</w:t>
            </w:r>
          </w:p>
        </w:tc>
        <w:tc>
          <w:tcPr>
            <w:tcW w:w="680" w:type="dxa"/>
            <w:shd w:val="clear" w:color="000000" w:fill="FFFFFF"/>
            <w:vAlign w:val="center"/>
          </w:tcPr>
          <w:p w14:paraId="672808E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网线</w:t>
            </w:r>
          </w:p>
        </w:tc>
        <w:tc>
          <w:tcPr>
            <w:tcW w:w="6285" w:type="dxa"/>
            <w:shd w:val="clear" w:color="000000" w:fill="FFFFFF"/>
            <w:vAlign w:val="center"/>
          </w:tcPr>
          <w:p w14:paraId="62086D6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1、至少高品质国标六类的水平双绞线电缆。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 Ø阻抗： (f=1-250MHz)100±15%Ω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延迟偏差：45ns/100m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4、 额定传输速率(NVP):68%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5、 电缆直径 ：≧0.55mm±2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操作温度 ：-20~60℃</w:t>
            </w:r>
          </w:p>
        </w:tc>
        <w:tc>
          <w:tcPr>
            <w:tcW w:w="700" w:type="dxa"/>
            <w:shd w:val="clear" w:color="000000" w:fill="FFFFFF"/>
            <w:vAlign w:val="center"/>
          </w:tcPr>
          <w:p w14:paraId="3F67209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箱</w:t>
            </w:r>
          </w:p>
        </w:tc>
        <w:tc>
          <w:tcPr>
            <w:tcW w:w="632" w:type="dxa"/>
            <w:shd w:val="clear" w:color="000000" w:fill="FFFFFF"/>
            <w:vAlign w:val="center"/>
          </w:tcPr>
          <w:p w14:paraId="15680E7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w:t>
            </w:r>
          </w:p>
        </w:tc>
        <w:tc>
          <w:tcPr>
            <w:tcW w:w="768" w:type="dxa"/>
            <w:shd w:val="clear" w:color="000000" w:fill="FFFFFF"/>
            <w:vAlign w:val="center"/>
          </w:tcPr>
          <w:p w14:paraId="51A57EC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FB5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AA2C6D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6.15</w:t>
            </w:r>
          </w:p>
        </w:tc>
        <w:tc>
          <w:tcPr>
            <w:tcW w:w="680" w:type="dxa"/>
            <w:shd w:val="clear" w:color="000000" w:fill="FFFFFF"/>
            <w:vAlign w:val="center"/>
          </w:tcPr>
          <w:p w14:paraId="5B05021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shd w:val="clear" w:color="000000" w:fill="FFFFFF"/>
            <w:vAlign w:val="center"/>
          </w:tcPr>
          <w:p w14:paraId="710F2C4C">
            <w:pPr>
              <w:pStyle w:val="111"/>
              <w:widowControl/>
              <w:numPr>
                <w:ilvl w:val="0"/>
                <w:numId w:val="7"/>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RJ45头；</w:t>
            </w:r>
          </w:p>
          <w:p w14:paraId="39C513BB">
            <w:pPr>
              <w:pStyle w:val="111"/>
              <w:widowControl/>
              <w:numPr>
                <w:ilvl w:val="0"/>
                <w:numId w:val="7"/>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电源插排或插头；</w:t>
            </w:r>
          </w:p>
          <w:p w14:paraId="48F0EE00">
            <w:pPr>
              <w:pStyle w:val="111"/>
              <w:widowControl/>
              <w:numPr>
                <w:ilvl w:val="0"/>
                <w:numId w:val="7"/>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阻燃PVC线管；</w:t>
            </w:r>
          </w:p>
          <w:p w14:paraId="6C83217F">
            <w:pPr>
              <w:pStyle w:val="111"/>
              <w:widowControl/>
              <w:numPr>
                <w:ilvl w:val="0"/>
                <w:numId w:val="7"/>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线卡等辅材。</w:t>
            </w:r>
          </w:p>
          <w:p w14:paraId="2CD8DD8C">
            <w:pPr>
              <w:pStyle w:val="111"/>
              <w:widowControl/>
              <w:numPr>
                <w:ilvl w:val="0"/>
                <w:numId w:val="7"/>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要求安装测试符合标准，牢固美观。</w:t>
            </w:r>
          </w:p>
        </w:tc>
        <w:tc>
          <w:tcPr>
            <w:tcW w:w="700" w:type="dxa"/>
            <w:shd w:val="clear" w:color="000000" w:fill="FFFFFF"/>
            <w:vAlign w:val="center"/>
          </w:tcPr>
          <w:p w14:paraId="54ADBB2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场</w:t>
            </w:r>
          </w:p>
        </w:tc>
        <w:tc>
          <w:tcPr>
            <w:tcW w:w="632" w:type="dxa"/>
            <w:shd w:val="clear" w:color="000000" w:fill="FFFFFF"/>
            <w:vAlign w:val="center"/>
          </w:tcPr>
          <w:p w14:paraId="4574075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6E14B7A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615E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FC8AA1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6.16</w:t>
            </w:r>
          </w:p>
        </w:tc>
        <w:tc>
          <w:tcPr>
            <w:tcW w:w="680" w:type="dxa"/>
            <w:shd w:val="clear" w:color="000000" w:fill="FFFFFF"/>
            <w:vAlign w:val="center"/>
          </w:tcPr>
          <w:p w14:paraId="31059E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网络机柜</w:t>
            </w:r>
          </w:p>
        </w:tc>
        <w:tc>
          <w:tcPr>
            <w:tcW w:w="6285" w:type="dxa"/>
            <w:shd w:val="clear" w:color="000000" w:fill="FFFFFF"/>
            <w:vAlign w:val="center"/>
          </w:tcPr>
          <w:p w14:paraId="36DFFCE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外观参数：至少高度(mm)* 宽度(mm)* 深度(mm)/ （1200*600*400）。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标准：19英寸国际标准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材料/工艺：SPCC优质冷轧钢板制作，表面处理:脱脂、酸洗、磷化、静电喷塑。</w:t>
            </w:r>
          </w:p>
        </w:tc>
        <w:tc>
          <w:tcPr>
            <w:tcW w:w="700" w:type="dxa"/>
            <w:shd w:val="clear" w:color="000000" w:fill="FFFFFF"/>
            <w:vAlign w:val="center"/>
          </w:tcPr>
          <w:p w14:paraId="671FD53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496C7A4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24958DD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3B7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790A79C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6.17</w:t>
            </w:r>
          </w:p>
        </w:tc>
        <w:tc>
          <w:tcPr>
            <w:tcW w:w="680" w:type="dxa"/>
            <w:shd w:val="clear" w:color="000000" w:fill="FFFFFF"/>
            <w:vAlign w:val="center"/>
          </w:tcPr>
          <w:p w14:paraId="6029001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网络机柜</w:t>
            </w:r>
          </w:p>
        </w:tc>
        <w:tc>
          <w:tcPr>
            <w:tcW w:w="6285" w:type="dxa"/>
            <w:shd w:val="clear" w:color="000000" w:fill="FFFFFF"/>
            <w:vAlign w:val="center"/>
          </w:tcPr>
          <w:p w14:paraId="1B6ED29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外观参数：至少高度(mm)* 宽度(mm)* 深度(mm)/ （450*600*400）。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颜色：白、标准：19英寸国际标准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材料/工艺：SPCC优质冷轧钢板制作，表面处理:脱脂、酸洗、磷化、静电喷塑。</w:t>
            </w:r>
          </w:p>
        </w:tc>
        <w:tc>
          <w:tcPr>
            <w:tcW w:w="700" w:type="dxa"/>
            <w:shd w:val="clear" w:color="000000" w:fill="FFFFFF"/>
            <w:vAlign w:val="center"/>
          </w:tcPr>
          <w:p w14:paraId="167A245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18959A5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38D048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2B0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vAlign w:val="center"/>
          </w:tcPr>
          <w:p w14:paraId="678E355D">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（七）试卷通道</w:t>
            </w:r>
          </w:p>
        </w:tc>
      </w:tr>
      <w:tr w14:paraId="1FA8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585" w:type="dxa"/>
            <w:shd w:val="clear" w:color="000000" w:fill="FFFFFF"/>
            <w:vAlign w:val="center"/>
          </w:tcPr>
          <w:p w14:paraId="3E70BF1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7.01</w:t>
            </w:r>
          </w:p>
        </w:tc>
        <w:tc>
          <w:tcPr>
            <w:tcW w:w="680" w:type="dxa"/>
            <w:shd w:val="clear" w:color="000000" w:fill="FFFFFF"/>
            <w:vAlign w:val="center"/>
          </w:tcPr>
          <w:p w14:paraId="7211A55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400万双光定焦枪型网络摄像机</w:t>
            </w:r>
          </w:p>
        </w:tc>
        <w:tc>
          <w:tcPr>
            <w:tcW w:w="6285" w:type="dxa"/>
            <w:shd w:val="clear" w:color="000000" w:fill="FFFFFF"/>
            <w:vAlign w:val="center"/>
          </w:tcPr>
          <w:p w14:paraId="2DB97C6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支持智能动检（人形）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采用高性能 ≧400 万像素 1/2.9 英寸 CMOS 图像传感器，低照度效果好，图像清晰度高，最大可输出 ≧400 万（ 2560 × 1440 ））@25fps 支持 H.265 编码，压缩比高，实现超低码流传输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内置高效暖光灯，红外补光灯，最大红外监控距离 ≧60 米，暖光监控距离 ≧30米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支持宽动态， 3D 降噪，强光抑制，背光补偿，数字水印，适用不同监控环境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ROI SMART H.264/H.265 ，灵活编码，适用不同带宽和存储环境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内置 1 个麦克风</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DC12V/PoE 供电方式；方便工程安装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IP67 防护等级。</w:t>
            </w:r>
          </w:p>
        </w:tc>
        <w:tc>
          <w:tcPr>
            <w:tcW w:w="700" w:type="dxa"/>
            <w:shd w:val="clear" w:color="000000" w:fill="FFFFFF"/>
            <w:vAlign w:val="center"/>
          </w:tcPr>
          <w:p w14:paraId="5A09AEA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58212CB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w:t>
            </w:r>
          </w:p>
        </w:tc>
        <w:tc>
          <w:tcPr>
            <w:tcW w:w="768" w:type="dxa"/>
            <w:shd w:val="clear" w:color="000000" w:fill="FFFFFF"/>
            <w:vAlign w:val="center"/>
          </w:tcPr>
          <w:p w14:paraId="2D0290A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2B3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85" w:type="dxa"/>
            <w:shd w:val="clear" w:color="000000" w:fill="FFFFFF"/>
            <w:vAlign w:val="center"/>
          </w:tcPr>
          <w:p w14:paraId="2688290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7.02</w:t>
            </w:r>
          </w:p>
        </w:tc>
        <w:tc>
          <w:tcPr>
            <w:tcW w:w="680" w:type="dxa"/>
            <w:shd w:val="clear" w:color="000000" w:fill="FFFFFF"/>
            <w:vAlign w:val="center"/>
          </w:tcPr>
          <w:p w14:paraId="5BAEB6B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400万双光定焦海螺网络摄像机</w:t>
            </w:r>
          </w:p>
        </w:tc>
        <w:tc>
          <w:tcPr>
            <w:tcW w:w="6285" w:type="dxa"/>
            <w:shd w:val="clear" w:color="000000" w:fill="FFFFFF"/>
            <w:vAlign w:val="center"/>
          </w:tcPr>
          <w:p w14:paraId="637B7C5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支持智能动检（人形）</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采用高性能 ≧400 万像素 1/2.9 英寸 CMOS 图像传感器，低照度效果好，图像清晰度高。最大可输出 ≧400 万（ 2560 × 1440 ））@25fps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H.265 编码，压缩比高，实现超低码流传输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内置高效暖光灯，红外补光灯，最大红外监控距离 ≧50 米，暖光监控距离 ≧30米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支持宽动态，3D 降噪，强光抑制，背光补偿，数字水印，适用不同监控环境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ROI SMART H.264/H.265 ，灵活编码，适用不同带宽和存储环境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内置 1 个麦克风</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DC12V/PoE 供电方式；方便工程安装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支持 IP67 防护等级。</w:t>
            </w:r>
          </w:p>
        </w:tc>
        <w:tc>
          <w:tcPr>
            <w:tcW w:w="700" w:type="dxa"/>
            <w:shd w:val="clear" w:color="000000" w:fill="FFFFFF"/>
            <w:vAlign w:val="center"/>
          </w:tcPr>
          <w:p w14:paraId="18490C4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33F7F92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w:t>
            </w:r>
          </w:p>
        </w:tc>
        <w:tc>
          <w:tcPr>
            <w:tcW w:w="768" w:type="dxa"/>
            <w:shd w:val="clear" w:color="000000" w:fill="FFFFFF"/>
            <w:vAlign w:val="center"/>
          </w:tcPr>
          <w:p w14:paraId="05C517B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34F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85" w:type="dxa"/>
            <w:shd w:val="clear" w:color="000000" w:fill="FFFFFF"/>
            <w:vAlign w:val="center"/>
          </w:tcPr>
          <w:p w14:paraId="442ED9C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7.03</w:t>
            </w:r>
          </w:p>
        </w:tc>
        <w:tc>
          <w:tcPr>
            <w:tcW w:w="680" w:type="dxa"/>
            <w:shd w:val="clear" w:color="000000" w:fill="FFFFFF"/>
            <w:vAlign w:val="center"/>
          </w:tcPr>
          <w:p w14:paraId="28AFDC1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交换机</w:t>
            </w:r>
          </w:p>
        </w:tc>
        <w:tc>
          <w:tcPr>
            <w:tcW w:w="6285" w:type="dxa"/>
            <w:shd w:val="clear" w:color="000000" w:fill="FFFFFF"/>
            <w:vAlign w:val="center"/>
          </w:tcPr>
          <w:p w14:paraId="454D1E3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≧5口百兆非网管POE交换机；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机架式；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≧4个百兆POE电口；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 ≧1个千兆电口。</w:t>
            </w:r>
          </w:p>
        </w:tc>
        <w:tc>
          <w:tcPr>
            <w:tcW w:w="700" w:type="dxa"/>
            <w:shd w:val="clear" w:color="000000" w:fill="FFFFFF"/>
            <w:vAlign w:val="center"/>
          </w:tcPr>
          <w:p w14:paraId="43C5C3D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337BA6E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2877353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341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85" w:type="dxa"/>
            <w:shd w:val="clear" w:color="000000" w:fill="FFFFFF"/>
            <w:vAlign w:val="center"/>
          </w:tcPr>
          <w:p w14:paraId="044300A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7.04</w:t>
            </w:r>
          </w:p>
        </w:tc>
        <w:tc>
          <w:tcPr>
            <w:tcW w:w="680" w:type="dxa"/>
            <w:shd w:val="clear" w:color="000000" w:fill="FFFFFF"/>
            <w:vAlign w:val="center"/>
          </w:tcPr>
          <w:p w14:paraId="71D053C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交换机</w:t>
            </w:r>
          </w:p>
        </w:tc>
        <w:tc>
          <w:tcPr>
            <w:tcW w:w="6285" w:type="dxa"/>
            <w:shd w:val="clear" w:color="000000" w:fill="FFFFFF"/>
            <w:vAlign w:val="center"/>
          </w:tcPr>
          <w:p w14:paraId="33548D9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≧9口百兆非网管POE交换机；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 ≧8个百兆POE电口；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 ≧2个千兆电口。</w:t>
            </w:r>
          </w:p>
        </w:tc>
        <w:tc>
          <w:tcPr>
            <w:tcW w:w="700" w:type="dxa"/>
            <w:shd w:val="clear" w:color="000000" w:fill="FFFFFF"/>
            <w:vAlign w:val="center"/>
          </w:tcPr>
          <w:p w14:paraId="49E9E1F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62A48B7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w:t>
            </w:r>
          </w:p>
        </w:tc>
        <w:tc>
          <w:tcPr>
            <w:tcW w:w="768" w:type="dxa"/>
            <w:shd w:val="clear" w:color="000000" w:fill="FFFFFF"/>
            <w:vAlign w:val="center"/>
          </w:tcPr>
          <w:p w14:paraId="37E594C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BFB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85" w:type="dxa"/>
            <w:shd w:val="clear" w:color="000000" w:fill="FFFFFF"/>
            <w:vAlign w:val="center"/>
          </w:tcPr>
          <w:p w14:paraId="5B30681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7.05</w:t>
            </w:r>
          </w:p>
        </w:tc>
        <w:tc>
          <w:tcPr>
            <w:tcW w:w="680" w:type="dxa"/>
            <w:shd w:val="clear" w:color="000000" w:fill="FFFFFF"/>
            <w:vAlign w:val="center"/>
          </w:tcPr>
          <w:p w14:paraId="0F924EC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机柜</w:t>
            </w:r>
          </w:p>
        </w:tc>
        <w:tc>
          <w:tcPr>
            <w:tcW w:w="6285" w:type="dxa"/>
            <w:shd w:val="clear" w:color="000000" w:fill="FFFFFF"/>
            <w:vAlign w:val="center"/>
          </w:tcPr>
          <w:p w14:paraId="51328C0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至少400*300</w:t>
            </w:r>
            <w:r>
              <w:rPr>
                <w:rFonts w:ascii="宋体" w:hAnsi="宋体" w:cs="宋体"/>
                <w:color w:val="auto"/>
                <w:kern w:val="0"/>
                <w:sz w:val="18"/>
                <w:szCs w:val="18"/>
              </w:rPr>
              <w:t>*100</w:t>
            </w:r>
            <w:r>
              <w:rPr>
                <w:rFonts w:hint="eastAsia" w:ascii="宋体" w:hAnsi="宋体" w:cs="宋体"/>
                <w:color w:val="auto"/>
                <w:kern w:val="0"/>
                <w:sz w:val="18"/>
                <w:szCs w:val="18"/>
              </w:rPr>
              <w:t>MM，钢制壁挂。</w:t>
            </w:r>
          </w:p>
        </w:tc>
        <w:tc>
          <w:tcPr>
            <w:tcW w:w="700" w:type="dxa"/>
            <w:shd w:val="clear" w:color="000000" w:fill="FFFFFF"/>
            <w:vAlign w:val="center"/>
          </w:tcPr>
          <w:p w14:paraId="23347EA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shd w:val="clear" w:color="000000" w:fill="FFFFFF"/>
            <w:vAlign w:val="center"/>
          </w:tcPr>
          <w:p w14:paraId="2CD8016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w:t>
            </w:r>
          </w:p>
        </w:tc>
        <w:tc>
          <w:tcPr>
            <w:tcW w:w="768" w:type="dxa"/>
            <w:shd w:val="clear" w:color="000000" w:fill="FFFFFF"/>
            <w:vAlign w:val="center"/>
          </w:tcPr>
          <w:p w14:paraId="6D8A774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8A9D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6B4B88E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7.06</w:t>
            </w:r>
          </w:p>
        </w:tc>
        <w:tc>
          <w:tcPr>
            <w:tcW w:w="680" w:type="dxa"/>
            <w:shd w:val="clear" w:color="000000" w:fill="FFFFFF"/>
            <w:vAlign w:val="center"/>
          </w:tcPr>
          <w:p w14:paraId="64E332B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支架</w:t>
            </w:r>
          </w:p>
        </w:tc>
        <w:tc>
          <w:tcPr>
            <w:tcW w:w="6285" w:type="dxa"/>
            <w:shd w:val="clear" w:color="000000" w:fill="FFFFFF"/>
            <w:vAlign w:val="center"/>
          </w:tcPr>
          <w:p w14:paraId="136B69D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材质 ：钢制或PVC,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2、专用壁装半球支架。</w:t>
            </w:r>
          </w:p>
        </w:tc>
        <w:tc>
          <w:tcPr>
            <w:tcW w:w="700" w:type="dxa"/>
            <w:shd w:val="clear" w:color="000000" w:fill="FFFFFF"/>
            <w:vAlign w:val="center"/>
          </w:tcPr>
          <w:p w14:paraId="407C386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6E20354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11</w:t>
            </w:r>
          </w:p>
        </w:tc>
        <w:tc>
          <w:tcPr>
            <w:tcW w:w="768" w:type="dxa"/>
            <w:shd w:val="clear" w:color="000000" w:fill="FFFFFF"/>
            <w:vAlign w:val="center"/>
          </w:tcPr>
          <w:p w14:paraId="61AC37A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FDA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5933F8F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7.07</w:t>
            </w:r>
          </w:p>
        </w:tc>
        <w:tc>
          <w:tcPr>
            <w:tcW w:w="680" w:type="dxa"/>
            <w:shd w:val="clear" w:color="000000" w:fill="FFFFFF"/>
            <w:vAlign w:val="center"/>
          </w:tcPr>
          <w:p w14:paraId="7BA7A85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支架</w:t>
            </w:r>
          </w:p>
        </w:tc>
        <w:tc>
          <w:tcPr>
            <w:tcW w:w="6285" w:type="dxa"/>
            <w:shd w:val="clear" w:color="000000" w:fill="FFFFFF"/>
            <w:vAlign w:val="center"/>
          </w:tcPr>
          <w:p w14:paraId="3DEF1913">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材质 ：钢制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2、专用壁装枪机支架。</w:t>
            </w:r>
          </w:p>
        </w:tc>
        <w:tc>
          <w:tcPr>
            <w:tcW w:w="700" w:type="dxa"/>
            <w:shd w:val="clear" w:color="000000" w:fill="FFFFFF"/>
            <w:vAlign w:val="center"/>
          </w:tcPr>
          <w:p w14:paraId="3CE74E5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103883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41</w:t>
            </w:r>
          </w:p>
        </w:tc>
        <w:tc>
          <w:tcPr>
            <w:tcW w:w="768" w:type="dxa"/>
            <w:shd w:val="clear" w:color="000000" w:fill="FFFFFF"/>
            <w:vAlign w:val="center"/>
          </w:tcPr>
          <w:p w14:paraId="567753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A73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7ED7BEC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7.08</w:t>
            </w:r>
          </w:p>
        </w:tc>
        <w:tc>
          <w:tcPr>
            <w:tcW w:w="680" w:type="dxa"/>
            <w:shd w:val="clear" w:color="000000" w:fill="FFFFFF"/>
            <w:vAlign w:val="center"/>
          </w:tcPr>
          <w:p w14:paraId="6E23521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电源盒</w:t>
            </w:r>
          </w:p>
        </w:tc>
        <w:tc>
          <w:tcPr>
            <w:tcW w:w="6285" w:type="dxa"/>
            <w:shd w:val="clear" w:color="000000" w:fill="FFFFFF"/>
            <w:vAlign w:val="center"/>
          </w:tcPr>
          <w:p w14:paraId="72EF516B">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1、阻燃PVC;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2、至少100mm*70mm。</w:t>
            </w:r>
          </w:p>
        </w:tc>
        <w:tc>
          <w:tcPr>
            <w:tcW w:w="700" w:type="dxa"/>
            <w:shd w:val="clear" w:color="000000" w:fill="FFFFFF"/>
            <w:vAlign w:val="center"/>
          </w:tcPr>
          <w:p w14:paraId="0970398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shd w:val="clear" w:color="000000" w:fill="FFFFFF"/>
            <w:vAlign w:val="center"/>
          </w:tcPr>
          <w:p w14:paraId="0E6C214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52</w:t>
            </w:r>
          </w:p>
        </w:tc>
        <w:tc>
          <w:tcPr>
            <w:tcW w:w="768" w:type="dxa"/>
            <w:shd w:val="clear" w:color="000000" w:fill="FFFFFF"/>
            <w:vAlign w:val="center"/>
          </w:tcPr>
          <w:p w14:paraId="1A752C4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1DE9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vAlign w:val="center"/>
          </w:tcPr>
          <w:p w14:paraId="6E8C153D">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（八）智能安检门</w:t>
            </w:r>
          </w:p>
        </w:tc>
      </w:tr>
      <w:tr w14:paraId="47CE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3651539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8.01</w:t>
            </w:r>
          </w:p>
        </w:tc>
        <w:tc>
          <w:tcPr>
            <w:tcW w:w="680" w:type="dxa"/>
            <w:shd w:val="clear" w:color="000000" w:fill="FFFFFF"/>
            <w:vAlign w:val="center"/>
          </w:tcPr>
          <w:p w14:paraId="254B859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智能安检门</w:t>
            </w:r>
          </w:p>
        </w:tc>
        <w:tc>
          <w:tcPr>
            <w:tcW w:w="6285" w:type="dxa"/>
            <w:shd w:val="clear" w:color="000000" w:fill="FFFFFF"/>
            <w:vAlign w:val="center"/>
          </w:tcPr>
          <w:p w14:paraId="0DD56F4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1、屏幕：安检门双面配备不小于29寸显示屏；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2、外形尺寸：长≧880，宽≧800，高≧2420；</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3、接口：双向电源及网络接入，左右门板均具有电源及网络接入口，方便实施安装；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4、配置高清巡查协议摄像头，符合《国家教育考试网上巡查系统视频标准技术规范（2017 版）》相关技术规范；采用高性能 200 万像素 1/2.8 英寸 CMOS 图像传感器，低照度效果好，图像清晰度高，支持H.265编码；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5、双路小型电子产品探测模块，一体化封装，内嵌在门体内；</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探测区位：支持36区位探测，根椐人体基本结构划分安检门的探测区域采用相互重叠的左中右、正面、背面网状探测方式,多区位报警,准确判断物品的位置。包含左小腿、右小腿、左大腿、右大腿、左腰部、右腰部、左胸部、右胸部、头部，以及物品在身体的前后位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探测功能：全金属探测：全金属探测模式下灵敏度应可调，人员以标准姿势通过安检门时，正常着装上的硬币、钥匙、金属纽扣、皮带扣等小金属及违禁品通过时均应报警并提示违禁品的藏匿位置。电子产品探测模式：电子产品探测模式下灵敏度可调，人员以标准姿势通过安检门时，正常着装上的机械手表、金属纽扣、项链、打火机、钥匙、硬币、皮带扣、金属肩章、警帽帽徽、制服金属标牌、钥匙、钢笔、折叠雨伞、不锈钢水杯等小金属通过时系统应不报警，当携带以下电子产品通过时，系统应有声光报警，并以图形和文字的形式提示，应能提示藏匿位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8、小型电子产品探测功能：可检测通行人员携带的小型电子产品，包括蓝牙耳机、智能眼镜，防止考生带入考场用于作弊。</w:t>
            </w:r>
          </w:p>
        </w:tc>
        <w:tc>
          <w:tcPr>
            <w:tcW w:w="700" w:type="dxa"/>
            <w:noWrap/>
            <w:vAlign w:val="center"/>
          </w:tcPr>
          <w:p w14:paraId="349217A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noWrap/>
            <w:vAlign w:val="center"/>
          </w:tcPr>
          <w:p w14:paraId="589DDB8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B1AC16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A21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shd w:val="clear" w:color="000000" w:fill="FFFFFF"/>
            <w:vAlign w:val="center"/>
          </w:tcPr>
          <w:p w14:paraId="10AF938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8.02</w:t>
            </w:r>
          </w:p>
        </w:tc>
        <w:tc>
          <w:tcPr>
            <w:tcW w:w="680" w:type="dxa"/>
            <w:shd w:val="clear" w:color="000000" w:fill="FFFFFF"/>
            <w:vAlign w:val="center"/>
          </w:tcPr>
          <w:p w14:paraId="0A66DFF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线缆</w:t>
            </w:r>
          </w:p>
        </w:tc>
        <w:tc>
          <w:tcPr>
            <w:tcW w:w="6285" w:type="dxa"/>
            <w:shd w:val="clear" w:color="000000" w:fill="FFFFFF"/>
            <w:vAlign w:val="center"/>
          </w:tcPr>
          <w:p w14:paraId="1090748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国标≧2.5平方铜芯聚氯乙烯绝缘电缆.</w:t>
            </w:r>
          </w:p>
        </w:tc>
        <w:tc>
          <w:tcPr>
            <w:tcW w:w="700" w:type="dxa"/>
            <w:shd w:val="clear" w:color="000000" w:fill="FFFFFF"/>
            <w:vAlign w:val="center"/>
          </w:tcPr>
          <w:p w14:paraId="6D09B03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1F37A56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60</w:t>
            </w:r>
          </w:p>
        </w:tc>
        <w:tc>
          <w:tcPr>
            <w:tcW w:w="768" w:type="dxa"/>
            <w:shd w:val="clear" w:color="000000" w:fill="FFFFFF"/>
            <w:vAlign w:val="center"/>
          </w:tcPr>
          <w:p w14:paraId="34212CB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935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650" w:type="dxa"/>
            <w:gridSpan w:val="6"/>
            <w:vAlign w:val="center"/>
          </w:tcPr>
          <w:p w14:paraId="15AB17F9">
            <w:pPr>
              <w:widowControl/>
              <w:spacing w:line="280" w:lineRule="exact"/>
              <w:jc w:val="center"/>
              <w:rPr>
                <w:rFonts w:ascii="宋体" w:hAnsi="宋体" w:cs="宋体"/>
                <w:b/>
                <w:bCs/>
                <w:color w:val="auto"/>
                <w:kern w:val="0"/>
                <w:sz w:val="18"/>
                <w:szCs w:val="18"/>
              </w:rPr>
            </w:pPr>
            <w:r>
              <w:rPr>
                <w:rFonts w:hint="eastAsia" w:ascii="宋体" w:hAnsi="宋体" w:cs="宋体"/>
                <w:b/>
                <w:bCs/>
                <w:color w:val="auto"/>
                <w:kern w:val="0"/>
                <w:sz w:val="18"/>
                <w:szCs w:val="18"/>
              </w:rPr>
              <w:t>（九）听力广播系统</w:t>
            </w:r>
          </w:p>
        </w:tc>
      </w:tr>
      <w:tr w14:paraId="1310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85" w:type="dxa"/>
            <w:noWrap/>
            <w:vAlign w:val="center"/>
          </w:tcPr>
          <w:p w14:paraId="48B9CCD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9.01</w:t>
            </w:r>
          </w:p>
        </w:tc>
        <w:tc>
          <w:tcPr>
            <w:tcW w:w="680" w:type="dxa"/>
            <w:vAlign w:val="center"/>
          </w:tcPr>
          <w:p w14:paraId="5F3CD79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数字IP网络广播服务器</w:t>
            </w:r>
          </w:p>
        </w:tc>
        <w:tc>
          <w:tcPr>
            <w:tcW w:w="6285" w:type="dxa"/>
            <w:vAlign w:val="center"/>
          </w:tcPr>
          <w:p w14:paraId="203D035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1.采用工控机机箱设计，具有LED液晶显示屏，支持触摸控制屏；服务器运载Windows Server 2008 R2 Standard(x64),Windows Server 2012 R2 Standard(x64)及以上操作系统。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2.支持≧1路短路触发开机接口，用于实现定时驱动开机运行。</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3.具有≧8×USB接口、≧6×串口接口、≧2×千兆网口。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4.采用的处理器配置≧4核 ≧4线程 ≧3.2GHz主频。内存：≧8G。硬盘：≧128G mSATA。</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5.设备支持≧1路VGA、≧1路HDMI输出接口。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6.支持操作系统配置通电自动开机、定时自动开机，定时自动关机功能。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7.内置抽拉键盘、内置触控鼠标面板+左右按键设计，支持通过USB接口外接鼠标键盘。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8.支持录音存储功能，可在后台自定义设置录音文件保存路径。</w:t>
            </w:r>
          </w:p>
        </w:tc>
        <w:tc>
          <w:tcPr>
            <w:tcW w:w="700" w:type="dxa"/>
            <w:vAlign w:val="center"/>
          </w:tcPr>
          <w:p w14:paraId="3C198DE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4759927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9BB20E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8A2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85" w:type="dxa"/>
            <w:noWrap/>
            <w:vAlign w:val="center"/>
          </w:tcPr>
          <w:p w14:paraId="5B0E250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9.02</w:t>
            </w:r>
          </w:p>
        </w:tc>
        <w:tc>
          <w:tcPr>
            <w:tcW w:w="680" w:type="dxa"/>
            <w:vAlign w:val="center"/>
          </w:tcPr>
          <w:p w14:paraId="43B5994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智慧广播管理平台</w:t>
            </w:r>
          </w:p>
        </w:tc>
        <w:tc>
          <w:tcPr>
            <w:tcW w:w="6285" w:type="dxa"/>
            <w:vAlign w:val="center"/>
          </w:tcPr>
          <w:p w14:paraId="766C1AB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1.软件是整个系统的运行核心，统一管理系统内所有音频终端，包括寻呼话筒、对讲终端、广播终端和消防接口设备，实时显示音频终端的IP地址、在线状态、任务状态、音量运行状态。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支撑各音频终端的运行，负责音频流传输管理，响应各音频终端播放请求和音频全双工交换，支持B/S架构，通过网页登录可进行终端管理、用户管理、节目播放管理、音频文件管理、录音存贮、内部通讯调度处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3.管理节目库资源，为所有音频终端器提供定时播放和实时点播媒体服务，响应各终端的节目播放请求，为各音频工作站提供数据接口服务。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4.提供全双工语音数据交换，响应各对讲终端的呼叫和通话请求，支持一键呼叫、一键对讲、一键求助、一键报警通话模式，支持自动接听、手动接听，支持自定义接听提示音。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6.支持终端短路输入联动触发，可任意设置联动触发方案和触发终端数量，触发方案包括短路输出、音乐播放、巡更警报。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7.编程定时任务，支持编程多套定时方案，支持选择任意终端和设置任意时间；支持定时任务执行测试、设置重复周期。支持定时任务多种音源选择（音乐播放、声卡采集、终端采集）。</w:t>
            </w:r>
            <w:r>
              <w:rPr>
                <w:rFonts w:hint="eastAsia" w:ascii="宋体" w:hAnsi="宋体" w:cs="宋体"/>
                <w:color w:val="auto"/>
                <w:kern w:val="0"/>
                <w:sz w:val="18"/>
                <w:szCs w:val="18"/>
              </w:rPr>
              <w:br w:type="textWrapping"/>
            </w:r>
            <w:r>
              <w:rPr>
                <w:rFonts w:hint="eastAsia" w:ascii="宋体" w:hAnsi="宋体" w:cs="宋体"/>
                <w:b/>
                <w:bCs/>
                <w:color w:val="auto"/>
                <w:kern w:val="0"/>
                <w:sz w:val="18"/>
                <w:szCs w:val="18"/>
              </w:rPr>
              <w:t>※</w:t>
            </w:r>
            <w:r>
              <w:rPr>
                <w:rFonts w:hint="eastAsia" w:ascii="宋体" w:hAnsi="宋体" w:cs="宋体"/>
                <w:color w:val="auto"/>
                <w:kern w:val="0"/>
                <w:sz w:val="18"/>
                <w:szCs w:val="18"/>
              </w:rPr>
              <w:t>8.支持多套定时打铃方案同时启用，每套定时打铃方案支持多套任务同时进行，支持一键启用/停用所有方案。支持定时打铃功能，支持打铃方案克隆，任务执行与停止控制、定时任务禁用与启用功能。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9.支持定时巡更功能，支持自定义巡更任务的执行时间及重复周期，可自定义指示灯闪烁间隔时间0-30s。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10.支持今日任务列表查看，管理今日执行的所有定时任务信息和执行状态。</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11.日志记录系统运行状态，实时记录系统运行及终端工作状态，每次呼叫、通话和广播操作均有记录。</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12.支持对≧8路功率分区终端进行功率控制分区设置，通过web页面后台或分控客户端均可设置分区。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13.支持对终端设置时间显示配置，可设置1-6级别亮度值，可设置断网后不显示时间模式。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14.支持对终端设置不同的灯光模式，可分别自定义设置红灯亮、红灯灭、绿灯/蓝灯亮、绿灯/蓝灯灭时间0-10S。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15.支持配置终端冻结时间，在终端被冻结期间禁止终端执行任务。</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16.支持广播、对讲、实时采集、终端监听进行录音；支持文本广播功能，可实现将文本转成语音，支持后台调整语速。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17.支持后台换肤功能，可根据喜好自由切换皮肤主题。</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18.支持终端明细导出功能，支持通过表格方式导出当前系统终端的配置详情。支持批量修改定时任务的时间、执行终端。</w:t>
            </w:r>
            <w:r>
              <w:rPr>
                <w:rFonts w:hint="eastAsia" w:ascii="宋体" w:hAnsi="宋体" w:cs="宋体"/>
                <w:color w:val="auto"/>
                <w:kern w:val="0"/>
                <w:sz w:val="18"/>
                <w:szCs w:val="18"/>
              </w:rPr>
              <w:br w:type="textWrapping"/>
            </w:r>
            <w:r>
              <w:rPr>
                <w:rFonts w:hint="eastAsia" w:ascii="宋体" w:hAnsi="宋体" w:cs="宋体"/>
                <w:b/>
                <w:bCs/>
                <w:color w:val="auto"/>
                <w:kern w:val="0"/>
                <w:sz w:val="18"/>
                <w:szCs w:val="18"/>
              </w:rPr>
              <w:t>※</w:t>
            </w:r>
            <w:r>
              <w:rPr>
                <w:rFonts w:hint="eastAsia" w:ascii="宋体" w:hAnsi="宋体" w:cs="宋体"/>
                <w:color w:val="auto"/>
                <w:kern w:val="0"/>
                <w:sz w:val="18"/>
                <w:szCs w:val="18"/>
              </w:rPr>
              <w:t>19.后台功能管理模块自定义；首页快捷入口配置，入口数量提供2*3、3*3、2*4、3*4的排列布局显示。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※20.支持4x100级自定义配置任务优先级(服务器优先级、任务优先级、用户优先级,终端优先级），满足各种优先级任务自动调度。</w:t>
            </w:r>
          </w:p>
        </w:tc>
        <w:tc>
          <w:tcPr>
            <w:tcW w:w="700" w:type="dxa"/>
            <w:vAlign w:val="center"/>
          </w:tcPr>
          <w:p w14:paraId="3669BE6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2DCE66F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40FC23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1BC2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73D67EB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9.03</w:t>
            </w:r>
          </w:p>
        </w:tc>
        <w:tc>
          <w:tcPr>
            <w:tcW w:w="680" w:type="dxa"/>
            <w:vAlign w:val="center"/>
          </w:tcPr>
          <w:p w14:paraId="54A8D9A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校时控制器</w:t>
            </w:r>
          </w:p>
        </w:tc>
        <w:tc>
          <w:tcPr>
            <w:tcW w:w="6285" w:type="dxa"/>
            <w:vAlign w:val="center"/>
          </w:tcPr>
          <w:p w14:paraId="00FCFF8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1.设备采用机柜式设计，自动实现卫星自动校时，使用地球同步卫星作为校时基准，与格林威治时间误差≧0.1秒。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2.LCD显示屏显示当前时间、信号和卫星信息。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3.支持与公共广播系统对接作为校时系统。</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4.产品标配BDS（北斗卫星）校时系统。</w:t>
            </w:r>
          </w:p>
        </w:tc>
        <w:tc>
          <w:tcPr>
            <w:tcW w:w="700" w:type="dxa"/>
            <w:vAlign w:val="center"/>
          </w:tcPr>
          <w:p w14:paraId="0E1B374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21A967B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596AFC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691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02FAC49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9.04</w:t>
            </w:r>
          </w:p>
        </w:tc>
        <w:tc>
          <w:tcPr>
            <w:tcW w:w="680" w:type="dxa"/>
            <w:vAlign w:val="center"/>
          </w:tcPr>
          <w:p w14:paraId="53EA660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解码终端</w:t>
            </w:r>
          </w:p>
        </w:tc>
        <w:tc>
          <w:tcPr>
            <w:tcW w:w="6285" w:type="dxa"/>
            <w:vAlign w:val="center"/>
          </w:tcPr>
          <w:p w14:paraId="565C510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1.机架式≧2U合金面板</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2.TCP/IP高品质的数字音频传输</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3.内置≧50W立体声功率放大器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4.内设2路音频输入1路音频信号输出，≧2路麦克风输入，外扩功率放大</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5.内置控制功放电源，可接受1000W以下的广播音频功放，6.定时开关广播音频功放</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7.组播断电、断自动重启恢复时间：小于3秒</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8.电源：220V/50Hz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9.网络接口：标准RJ45</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10.支持协议：TCP/IP，UDPIGMP（组播）</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11.音频格式：MP3/MP2</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12.采样：8K-48KHz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13.传输速率：100Mbps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14.音频模式：立体声CD音质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15.保护：直流输出、过载、过温、短路保护。</w:t>
            </w:r>
          </w:p>
        </w:tc>
        <w:tc>
          <w:tcPr>
            <w:tcW w:w="700" w:type="dxa"/>
            <w:vAlign w:val="center"/>
          </w:tcPr>
          <w:p w14:paraId="3672F9A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2393D16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27FE88A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C6D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85" w:type="dxa"/>
            <w:noWrap/>
            <w:vAlign w:val="center"/>
          </w:tcPr>
          <w:p w14:paraId="5F32F93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9.05</w:t>
            </w:r>
          </w:p>
        </w:tc>
        <w:tc>
          <w:tcPr>
            <w:tcW w:w="680" w:type="dxa"/>
            <w:vAlign w:val="center"/>
          </w:tcPr>
          <w:p w14:paraId="27FCDD9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IP数字网络广播软件</w:t>
            </w:r>
          </w:p>
        </w:tc>
        <w:tc>
          <w:tcPr>
            <w:tcW w:w="6285" w:type="dxa"/>
            <w:vAlign w:val="center"/>
          </w:tcPr>
          <w:p w14:paraId="284EF0B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1.应具备终端与外设集中配置管理功能。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2.应具备频道歌曲配置管理功能。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3.应具备服务器定时任务编辑管理功能。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4.具备终端本地定时任务编辑管理功能。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5.具备终端SD节目文件下载管理功能。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6.具备即时广播控制管理功能。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7.具备频道广播控制管理功能。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8.具备设备控制管理功能。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9.具备媒体资源节目库管理功能。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10.具备服务器与设备校时功能。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11.具备节目制作和文件上传与下载管理功能。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12.具备系统用户与权限分配管理功能。</w:t>
            </w:r>
          </w:p>
        </w:tc>
        <w:tc>
          <w:tcPr>
            <w:tcW w:w="700" w:type="dxa"/>
            <w:vAlign w:val="center"/>
          </w:tcPr>
          <w:p w14:paraId="4A5A8A0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74EC95F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1D3BA6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7031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792A43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9.06</w:t>
            </w:r>
          </w:p>
        </w:tc>
        <w:tc>
          <w:tcPr>
            <w:tcW w:w="680" w:type="dxa"/>
            <w:vAlign w:val="center"/>
          </w:tcPr>
          <w:p w14:paraId="5085061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IP音频采集器</w:t>
            </w:r>
          </w:p>
        </w:tc>
        <w:tc>
          <w:tcPr>
            <w:tcW w:w="6285" w:type="dxa"/>
            <w:vAlign w:val="center"/>
          </w:tcPr>
          <w:p w14:paraId="3D65811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1.采集设备支持将模拟音频采集编码成数字音频，具有≧1路RJ45网络接口，支持定时采播任务、临时采播任务功能。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2.具有≧2组RCA音频输入接口，支持音量调节功能。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3.采播任务支持≧3种采集音质可选，支持普通、中级、高级音质选择模式。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4.支持声压触发采集外部音源，智能识别音频,自动建立采集任务,可自定义执行区域,可自定义延时关闭时间。</w:t>
            </w:r>
          </w:p>
        </w:tc>
        <w:tc>
          <w:tcPr>
            <w:tcW w:w="700" w:type="dxa"/>
            <w:vAlign w:val="center"/>
          </w:tcPr>
          <w:p w14:paraId="5CC8F29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46BAA31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1EE2476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D85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66D879B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9.07</w:t>
            </w:r>
          </w:p>
        </w:tc>
        <w:tc>
          <w:tcPr>
            <w:tcW w:w="680" w:type="dxa"/>
            <w:vAlign w:val="center"/>
          </w:tcPr>
          <w:p w14:paraId="646F3A9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IP终端</w:t>
            </w:r>
          </w:p>
        </w:tc>
        <w:tc>
          <w:tcPr>
            <w:tcW w:w="6285" w:type="dxa"/>
            <w:vAlign w:val="center"/>
          </w:tcPr>
          <w:p w14:paraId="1F55F76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1.设备采用≧19英寸机架设计，带有LCD显示屏。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2.具有≧1路线路输入接口和≧1路话筒输入接口，可独立调节音量；支持高低音调节电位器控制。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3.具有≧1路EMC输入接口，具有最高优先级；具有≧1路音频输出接口。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4.具有≧2路三线制强切输出接口，无需强切电源。</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5.支持≧2路电源输出插座，内置智能电源管理，无音乐或呼叫时，自动切断输出座电源，有信号时自动打开输出座电源。</w:t>
            </w:r>
          </w:p>
        </w:tc>
        <w:tc>
          <w:tcPr>
            <w:tcW w:w="700" w:type="dxa"/>
            <w:vAlign w:val="center"/>
          </w:tcPr>
          <w:p w14:paraId="645EBA7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13C9B71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111A4D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07B7C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4AB8CA8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9.08</w:t>
            </w:r>
          </w:p>
        </w:tc>
        <w:tc>
          <w:tcPr>
            <w:tcW w:w="680" w:type="dxa"/>
            <w:vAlign w:val="center"/>
          </w:tcPr>
          <w:p w14:paraId="32674E3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处理器</w:t>
            </w:r>
          </w:p>
        </w:tc>
        <w:tc>
          <w:tcPr>
            <w:tcW w:w="6285" w:type="dxa"/>
            <w:vAlign w:val="center"/>
          </w:tcPr>
          <w:p w14:paraId="28E7C88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自带无线wi-fi控制，外置天线，实现手机无线控制及电脑端无线调音；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采用高速DSP芯片，专业级255KHz主频，48KHz采样频率，24-Bit A/D 及D/A转换，32-Bit浮点运算，高速运算DSP处理器；</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2寸显示屏，中文菜单，简单快捷；</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音乐13段PEQ，麦克风13段PEQ调节，外加噪声门，高低通调节；</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输入端特设光纤，同轴数字输入接口，音源输入可AUTO直通选择；</w:t>
            </w:r>
            <w:r>
              <w:rPr>
                <w:rFonts w:hint="eastAsia" w:ascii="宋体" w:hAnsi="宋体" w:cs="宋体"/>
                <w:color w:val="auto"/>
                <w:kern w:val="0"/>
                <w:sz w:val="18"/>
                <w:szCs w:val="18"/>
              </w:rPr>
              <w:br w:type="textWrapping"/>
            </w:r>
            <w:r>
              <w:rPr>
                <w:rFonts w:hint="eastAsia" w:ascii="宋体" w:hAnsi="宋体" w:cs="宋体"/>
                <w:color w:val="auto"/>
                <w:kern w:val="0"/>
                <w:sz w:val="18"/>
                <w:szCs w:val="18"/>
              </w:rPr>
              <w:t>10组系统记忆功能，开机状态为最后一次机器保存数据；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2级设备锁定功能，可根据使用需要自行设定设备锁定级别，防止误操作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啸叫抑制功能：4级反馈抑制设定</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信号混合+极性+压限+增益、中置/环绕/低音Center/SURR /SUB 信号混合+极性+5段 PEQ+低通+高通+增益</w:t>
            </w:r>
          </w:p>
        </w:tc>
        <w:tc>
          <w:tcPr>
            <w:tcW w:w="700" w:type="dxa"/>
            <w:vAlign w:val="center"/>
          </w:tcPr>
          <w:p w14:paraId="163E4A0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3B15C64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A144CD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87D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85" w:type="dxa"/>
            <w:noWrap/>
            <w:vAlign w:val="center"/>
          </w:tcPr>
          <w:p w14:paraId="2DA54AF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9.09</w:t>
            </w:r>
          </w:p>
        </w:tc>
        <w:tc>
          <w:tcPr>
            <w:tcW w:w="680" w:type="dxa"/>
            <w:vAlign w:val="center"/>
          </w:tcPr>
          <w:p w14:paraId="2C50C36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IP广播网络寻呼话筒</w:t>
            </w:r>
          </w:p>
        </w:tc>
        <w:tc>
          <w:tcPr>
            <w:tcW w:w="6285" w:type="dxa"/>
            <w:vAlign w:val="center"/>
          </w:tcPr>
          <w:p w14:paraId="159219B8">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1.桌面式设计，带有≧7英寸显示屏。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2.自带数字键，功能键界面。支持呼叫分区及多个分区，呼叫全区广播；支持操作呼叫或对讲任意终端。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2.内置≧1路网络硬件音频解码模块。</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4.具有≧1路3.5耳机接口，具有≧1路3.5话筒输入接口，具有≧1路短路输出接口，具有≧1路短路输入接口，具有≧1路音频线路输入接口，具有≧1路音频线路输出接口。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5.支持≧10个按键自定义一键呼叫广播功能。</w:t>
            </w:r>
          </w:p>
        </w:tc>
        <w:tc>
          <w:tcPr>
            <w:tcW w:w="700" w:type="dxa"/>
            <w:vAlign w:val="center"/>
          </w:tcPr>
          <w:p w14:paraId="29745A0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3286A78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622938B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5A8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85" w:type="dxa"/>
            <w:noWrap/>
            <w:vAlign w:val="center"/>
          </w:tcPr>
          <w:p w14:paraId="3B143C7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9.10</w:t>
            </w:r>
          </w:p>
        </w:tc>
        <w:tc>
          <w:tcPr>
            <w:tcW w:w="680" w:type="dxa"/>
            <w:vAlign w:val="center"/>
          </w:tcPr>
          <w:p w14:paraId="6B6D56F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话筒</w:t>
            </w:r>
          </w:p>
        </w:tc>
        <w:tc>
          <w:tcPr>
            <w:tcW w:w="6285" w:type="dxa"/>
            <w:vAlign w:val="center"/>
          </w:tcPr>
          <w:p w14:paraId="66E0EA8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换能方式:电容式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频率响应:40Hz-16KHz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指向性:心形指向</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输出阻抗:200Ω</w:t>
            </w:r>
            <w:r>
              <w:rPr>
                <w:rFonts w:hint="eastAsia" w:ascii="宋体" w:hAnsi="宋体" w:cs="宋体"/>
                <w:color w:val="auto"/>
                <w:kern w:val="0"/>
                <w:sz w:val="18"/>
                <w:szCs w:val="18"/>
              </w:rPr>
              <w:br w:type="textWrapping"/>
            </w:r>
            <w:r>
              <w:rPr>
                <w:rFonts w:hint="eastAsia" w:ascii="宋体" w:hAnsi="宋体" w:cs="宋体"/>
                <w:color w:val="auto"/>
                <w:kern w:val="0"/>
                <w:sz w:val="18"/>
                <w:szCs w:val="18"/>
              </w:rPr>
              <w:t>灵敏度:-42db±2db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话筒线长:标注500CM</w:t>
            </w:r>
            <w:r>
              <w:rPr>
                <w:rFonts w:hint="eastAsia" w:ascii="宋体" w:hAnsi="宋体" w:cs="宋体"/>
                <w:color w:val="auto"/>
                <w:kern w:val="0"/>
                <w:sz w:val="18"/>
                <w:szCs w:val="18"/>
              </w:rPr>
              <w:br w:type="textWrapping"/>
            </w:r>
            <w:r>
              <w:rPr>
                <w:rFonts w:hint="eastAsia" w:ascii="宋体" w:hAnsi="宋体" w:cs="宋体"/>
                <w:color w:val="auto"/>
                <w:kern w:val="0"/>
                <w:sz w:val="18"/>
                <w:szCs w:val="18"/>
              </w:rPr>
              <w:t>供电电源：DC9V/220V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拾音距离：20-50cm。</w:t>
            </w:r>
          </w:p>
        </w:tc>
        <w:tc>
          <w:tcPr>
            <w:tcW w:w="700" w:type="dxa"/>
            <w:vAlign w:val="center"/>
          </w:tcPr>
          <w:p w14:paraId="3F9D06F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6D9D001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w:t>
            </w:r>
          </w:p>
        </w:tc>
        <w:tc>
          <w:tcPr>
            <w:tcW w:w="768" w:type="dxa"/>
            <w:shd w:val="clear" w:color="000000" w:fill="FFFFFF"/>
            <w:vAlign w:val="center"/>
          </w:tcPr>
          <w:p w14:paraId="16AF112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756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85" w:type="dxa"/>
            <w:noWrap/>
            <w:vAlign w:val="center"/>
          </w:tcPr>
          <w:p w14:paraId="1DDFE4B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9.11</w:t>
            </w:r>
          </w:p>
        </w:tc>
        <w:tc>
          <w:tcPr>
            <w:tcW w:w="680" w:type="dxa"/>
            <w:vAlign w:val="center"/>
          </w:tcPr>
          <w:p w14:paraId="6AC55FB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IP网络音箱</w:t>
            </w:r>
          </w:p>
        </w:tc>
        <w:tc>
          <w:tcPr>
            <w:tcW w:w="6285" w:type="dxa"/>
            <w:vAlign w:val="center"/>
          </w:tcPr>
          <w:p w14:paraId="317386B5">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1.网络接口：标准RJ45输入，音频格式：MP3。</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2.内置≧2x20W（MAX）的双通道数字功率放大器，≧1路接主音箱，≧1路外接到副音箱；具有网络音量设置。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3.具备≧1路线路（AUX）输入接口，具有独立的音量电位器控制，可扩展2.4G无线音频模块，实现2.4G无线麦克风进行本地扩音；支持断网本地寻呼功能；同时支持缄默强度预置减少功能，支持背景伴奏预置功能。</w:t>
            </w:r>
          </w:p>
        </w:tc>
        <w:tc>
          <w:tcPr>
            <w:tcW w:w="700" w:type="dxa"/>
            <w:vAlign w:val="center"/>
          </w:tcPr>
          <w:p w14:paraId="5871E85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vAlign w:val="center"/>
          </w:tcPr>
          <w:p w14:paraId="05CBD9F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6F143D9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314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85" w:type="dxa"/>
            <w:noWrap/>
            <w:vAlign w:val="center"/>
          </w:tcPr>
          <w:p w14:paraId="02BE364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9.12</w:t>
            </w:r>
          </w:p>
        </w:tc>
        <w:tc>
          <w:tcPr>
            <w:tcW w:w="680" w:type="dxa"/>
            <w:vAlign w:val="center"/>
          </w:tcPr>
          <w:p w14:paraId="4AB9AC9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IP网络音箱</w:t>
            </w:r>
          </w:p>
        </w:tc>
        <w:tc>
          <w:tcPr>
            <w:tcW w:w="6285" w:type="dxa"/>
            <w:vAlign w:val="center"/>
          </w:tcPr>
          <w:p w14:paraId="171ABB8D">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1.网络接口：标准RJ45输入，音频格式：MP3。</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2.内置≧2x20W（MAX）的双通道数字功率放大器，≧1路接主音箱，≧1路外接到副音箱；具有网络音量设置。</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3.具备≧1路线路（AUX）输入接口，具有独立的音量电位器控制，可扩展2.4G无线音频模块，实现2.4G无线麦克风进行本地扩音；支持断网本地寻呼功能；同时支持缄默强度预置减少功能，支持背景伴奏预置功能。</w:t>
            </w:r>
          </w:p>
        </w:tc>
        <w:tc>
          <w:tcPr>
            <w:tcW w:w="700" w:type="dxa"/>
            <w:vAlign w:val="center"/>
          </w:tcPr>
          <w:p w14:paraId="1B7E83C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6BAA66D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42A7A85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9555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585" w:type="dxa"/>
            <w:noWrap/>
            <w:vAlign w:val="center"/>
          </w:tcPr>
          <w:p w14:paraId="14DD012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9.13</w:t>
            </w:r>
          </w:p>
        </w:tc>
        <w:tc>
          <w:tcPr>
            <w:tcW w:w="680" w:type="dxa"/>
            <w:vAlign w:val="center"/>
          </w:tcPr>
          <w:p w14:paraId="471C0D0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数字化IP网络终端嵌入软件</w:t>
            </w:r>
          </w:p>
        </w:tc>
        <w:tc>
          <w:tcPr>
            <w:tcW w:w="6285" w:type="dxa"/>
            <w:vAlign w:val="center"/>
          </w:tcPr>
          <w:p w14:paraId="5E085A90">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1.软件应内嵌于数字化IP网络终端设备，支撑设备各项基本功能的运行。</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2.嵌入DSP音频处理技术，高保真解码音频文件；支持远程点播功能，支持节目播放。</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3.支持新配置注册智能语音提示功能。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4.支持播放背景音乐功能，支持单独调节音量。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5.支持播放本地服务器的MP3文件；支持单独播放或分区/全区播放。</w:t>
            </w:r>
          </w:p>
        </w:tc>
        <w:tc>
          <w:tcPr>
            <w:tcW w:w="700" w:type="dxa"/>
            <w:vAlign w:val="center"/>
          </w:tcPr>
          <w:p w14:paraId="620DE3B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4B3260D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51</w:t>
            </w:r>
          </w:p>
        </w:tc>
        <w:tc>
          <w:tcPr>
            <w:tcW w:w="768" w:type="dxa"/>
            <w:shd w:val="clear" w:color="000000" w:fill="FFFFFF"/>
            <w:vAlign w:val="center"/>
          </w:tcPr>
          <w:p w14:paraId="34998FA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软件和信息技术服务业</w:t>
            </w:r>
          </w:p>
        </w:tc>
      </w:tr>
      <w:tr w14:paraId="2DB54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43890E1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9.14</w:t>
            </w:r>
          </w:p>
        </w:tc>
        <w:tc>
          <w:tcPr>
            <w:tcW w:w="680" w:type="dxa"/>
            <w:vAlign w:val="center"/>
          </w:tcPr>
          <w:p w14:paraId="67F567E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室外防水声柱</w:t>
            </w:r>
          </w:p>
        </w:tc>
        <w:tc>
          <w:tcPr>
            <w:tcW w:w="6285" w:type="dxa"/>
            <w:vAlign w:val="center"/>
          </w:tcPr>
          <w:p w14:paraId="4120FFC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1.单元组成 Unit Form：≧5" x6</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2.输入功率Input Power：不低于60W</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3.灵敏度S.P.L(1w/1m)：100dB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4.频率响应Frequency Response：100Hz～18KHz</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5.输入电压Input voltage ：100V/120V。</w:t>
            </w:r>
          </w:p>
        </w:tc>
        <w:tc>
          <w:tcPr>
            <w:tcW w:w="700" w:type="dxa"/>
            <w:vAlign w:val="center"/>
          </w:tcPr>
          <w:p w14:paraId="751EE8D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vAlign w:val="center"/>
          </w:tcPr>
          <w:p w14:paraId="184887B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8</w:t>
            </w:r>
          </w:p>
        </w:tc>
        <w:tc>
          <w:tcPr>
            <w:tcW w:w="768" w:type="dxa"/>
            <w:shd w:val="clear" w:color="000000" w:fill="FFFFFF"/>
            <w:vAlign w:val="center"/>
          </w:tcPr>
          <w:p w14:paraId="743FFE1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417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1E0C763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9.15</w:t>
            </w:r>
          </w:p>
        </w:tc>
        <w:tc>
          <w:tcPr>
            <w:tcW w:w="680" w:type="dxa"/>
            <w:vAlign w:val="center"/>
          </w:tcPr>
          <w:p w14:paraId="3D85A85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壁挂音箱</w:t>
            </w:r>
          </w:p>
        </w:tc>
        <w:tc>
          <w:tcPr>
            <w:tcW w:w="6285" w:type="dxa"/>
            <w:vAlign w:val="center"/>
          </w:tcPr>
          <w:p w14:paraId="279075E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1.喇叭单元:≧6寸+2寸小高音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2.定压输入:70-100v</w:t>
            </w:r>
          </w:p>
        </w:tc>
        <w:tc>
          <w:tcPr>
            <w:tcW w:w="700" w:type="dxa"/>
            <w:vAlign w:val="center"/>
          </w:tcPr>
          <w:p w14:paraId="0A3F418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只</w:t>
            </w:r>
          </w:p>
        </w:tc>
        <w:tc>
          <w:tcPr>
            <w:tcW w:w="632" w:type="dxa"/>
            <w:vAlign w:val="center"/>
          </w:tcPr>
          <w:p w14:paraId="42FEBDE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50</w:t>
            </w:r>
          </w:p>
        </w:tc>
        <w:tc>
          <w:tcPr>
            <w:tcW w:w="768" w:type="dxa"/>
            <w:shd w:val="clear" w:color="000000" w:fill="FFFFFF"/>
            <w:vAlign w:val="center"/>
          </w:tcPr>
          <w:p w14:paraId="1607EBE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98E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1E0D4C4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9.16</w:t>
            </w:r>
          </w:p>
        </w:tc>
        <w:tc>
          <w:tcPr>
            <w:tcW w:w="680" w:type="dxa"/>
            <w:vAlign w:val="center"/>
          </w:tcPr>
          <w:p w14:paraId="1DE9555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话筒采集器</w:t>
            </w:r>
          </w:p>
        </w:tc>
        <w:tc>
          <w:tcPr>
            <w:tcW w:w="6285" w:type="dxa"/>
            <w:vAlign w:val="center"/>
          </w:tcPr>
          <w:p w14:paraId="089EB7C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1.终端主机采用机柜式设计；采用UHF双真分集接收，并采用PLL锁相环多信道频率合成技术。</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2.提供共≧300个信道选择，真正分集式接收。</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3.带≧8级射频电平显示，≧8级音频电平显示，频道菜单显示，静音显示；主机具有LCD液晶显示屏，支持显示信道号/工作频率。</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4.主机具有平衡和非平衡两种选择输出端口。</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5.无线话筒频率范围：等同或优于640-690MHz、等同或优于807-830MHz；无线话筒使用距离可达≧200米。</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▲6.系统平台可预设配置≧20组任务，可实现任意时间、任意数量终端、任意音量的任意音乐播放或实时呼叫。</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7.主手持话筒自带功能按键和LED显示屏，可对实现任务确认执行、暂停/恢复、停止、上一曲、下一曲、音量加、音量减操作。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8.内置音频采集编码模块，音频采集延时≧200ms</w:t>
            </w:r>
            <w:r>
              <w:rPr>
                <w:rFonts w:hint="eastAsia" w:ascii="宋体" w:hAnsi="宋体" w:cs="宋体"/>
                <w:color w:val="auto"/>
                <w:kern w:val="0"/>
                <w:sz w:val="18"/>
                <w:szCs w:val="18"/>
              </w:rPr>
              <w:br w:type="textWrapping"/>
            </w:r>
            <w:r>
              <w:rPr>
                <w:rFonts w:hint="eastAsia" w:ascii="宋体" w:hAnsi="宋体" w:cs="宋体"/>
                <w:color w:val="auto"/>
                <w:kern w:val="0"/>
                <w:sz w:val="18"/>
                <w:szCs w:val="18"/>
              </w:rPr>
              <w:t>9.带有≧两个手持话筒。</w:t>
            </w:r>
          </w:p>
        </w:tc>
        <w:tc>
          <w:tcPr>
            <w:tcW w:w="700" w:type="dxa"/>
            <w:vAlign w:val="center"/>
          </w:tcPr>
          <w:p w14:paraId="53DB517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4C29EDA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143C37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394A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63C62E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9.17</w:t>
            </w:r>
          </w:p>
        </w:tc>
        <w:tc>
          <w:tcPr>
            <w:tcW w:w="680" w:type="dxa"/>
            <w:vAlign w:val="center"/>
          </w:tcPr>
          <w:p w14:paraId="60E515F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天线分配器</w:t>
            </w:r>
          </w:p>
        </w:tc>
        <w:tc>
          <w:tcPr>
            <w:tcW w:w="6285" w:type="dxa"/>
            <w:vAlign w:val="center"/>
          </w:tcPr>
          <w:p w14:paraId="6B619EEC">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1.可支持为≧4台一拖二真分集话筒自动选讯接收机的多频道系统共用一对天线和一个电源。</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2.频带范围等同或优于470-960MHz，输出/入增益+1.0dB(频段中心)，输出/入阻抗：≧50Ω，频宽：≧320MHz。</w:t>
            </w:r>
          </w:p>
        </w:tc>
        <w:tc>
          <w:tcPr>
            <w:tcW w:w="700" w:type="dxa"/>
            <w:vAlign w:val="center"/>
          </w:tcPr>
          <w:p w14:paraId="47D1AA3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574CF68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7344B7E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2C34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77F8BDDA">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9.18</w:t>
            </w:r>
          </w:p>
        </w:tc>
        <w:tc>
          <w:tcPr>
            <w:tcW w:w="680" w:type="dxa"/>
            <w:vAlign w:val="center"/>
          </w:tcPr>
          <w:p w14:paraId="763E0C2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话筒天线</w:t>
            </w:r>
          </w:p>
        </w:tc>
        <w:tc>
          <w:tcPr>
            <w:tcW w:w="6285" w:type="dxa"/>
            <w:vAlign w:val="center"/>
          </w:tcPr>
          <w:p w14:paraId="7F0CF45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1.宽频定向天线等同或优于680-960MHz；适用于GSM,CDMA,WCDMA,WLAN,LTE网络。</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2.水平面波源宽度：≧60°、垂直面波源宽度：≧ 50°。</w:t>
            </w:r>
          </w:p>
        </w:tc>
        <w:tc>
          <w:tcPr>
            <w:tcW w:w="700" w:type="dxa"/>
            <w:vAlign w:val="center"/>
          </w:tcPr>
          <w:p w14:paraId="6A8242C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007A604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41382B2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4F7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2116F4B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9.19</w:t>
            </w:r>
          </w:p>
        </w:tc>
        <w:tc>
          <w:tcPr>
            <w:tcW w:w="680" w:type="dxa"/>
            <w:vAlign w:val="center"/>
          </w:tcPr>
          <w:p w14:paraId="26B1B22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天线放大器</w:t>
            </w:r>
          </w:p>
        </w:tc>
        <w:tc>
          <w:tcPr>
            <w:tcW w:w="6285" w:type="dxa"/>
            <w:vAlign w:val="center"/>
          </w:tcPr>
          <w:p w14:paraId="1784BB96">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1.工作频率等同或优于470-960M段内所有频率，增益：≧12dB。</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2.阻抗：≧50Ω，端口形式： 连接BNC输入端。</w:t>
            </w:r>
          </w:p>
        </w:tc>
        <w:tc>
          <w:tcPr>
            <w:tcW w:w="700" w:type="dxa"/>
            <w:vAlign w:val="center"/>
          </w:tcPr>
          <w:p w14:paraId="0A94247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套</w:t>
            </w:r>
          </w:p>
        </w:tc>
        <w:tc>
          <w:tcPr>
            <w:tcW w:w="632" w:type="dxa"/>
            <w:vAlign w:val="center"/>
          </w:tcPr>
          <w:p w14:paraId="2DA9C03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54A815B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EB2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20066DA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9.20</w:t>
            </w:r>
          </w:p>
        </w:tc>
        <w:tc>
          <w:tcPr>
            <w:tcW w:w="680" w:type="dxa"/>
            <w:vAlign w:val="center"/>
          </w:tcPr>
          <w:p w14:paraId="720F11D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纯后级功放</w:t>
            </w:r>
          </w:p>
        </w:tc>
        <w:tc>
          <w:tcPr>
            <w:tcW w:w="6285" w:type="dxa"/>
            <w:vAlign w:val="center"/>
          </w:tcPr>
          <w:p w14:paraId="0FCB273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1.不低于1000W,输出电压:120V/240V</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2.双声道输入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3.4单元LED电平指示</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4.RCA插口和XLR插口供方便地连接</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5.有输出短路、过载、过热、抗雷击和饱和失真报警保护装置。</w:t>
            </w:r>
          </w:p>
        </w:tc>
        <w:tc>
          <w:tcPr>
            <w:tcW w:w="700" w:type="dxa"/>
            <w:vAlign w:val="center"/>
          </w:tcPr>
          <w:p w14:paraId="3318390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326B006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0C595F7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784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6A71E2C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9.21</w:t>
            </w:r>
          </w:p>
        </w:tc>
        <w:tc>
          <w:tcPr>
            <w:tcW w:w="680" w:type="dxa"/>
            <w:vAlign w:val="center"/>
          </w:tcPr>
          <w:p w14:paraId="29B5E892">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 xml:space="preserve">定压功放 </w:t>
            </w:r>
          </w:p>
        </w:tc>
        <w:tc>
          <w:tcPr>
            <w:tcW w:w="6285" w:type="dxa"/>
            <w:vAlign w:val="center"/>
          </w:tcPr>
          <w:p w14:paraId="509C5B69">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1.不低于2000W,带有前置放大器，具有3路2.话筒输入，其中M1C1话筒带默音强插功能。便于紧急广播，高低音可调。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3.三路线路输入，两路线路输出，可接CD/音源及电话。</w:t>
            </w:r>
            <w:r>
              <w:rPr>
                <w:rFonts w:hint="eastAsia" w:ascii="宋体" w:hAnsi="宋体" w:cs="宋体"/>
                <w:color w:val="auto"/>
                <w:kern w:val="0"/>
                <w:sz w:val="18"/>
                <w:szCs w:val="18"/>
              </w:rPr>
              <w:br w:type="textWrapping"/>
            </w:r>
            <w:r>
              <w:rPr>
                <w:rFonts w:hint="eastAsia" w:ascii="宋体" w:hAnsi="宋体" w:cs="宋体"/>
                <w:color w:val="auto"/>
                <w:kern w:val="0"/>
                <w:sz w:val="18"/>
                <w:szCs w:val="18"/>
              </w:rPr>
              <w:t>4.话筒及线路、Mp3音量均可独立可调。</w:t>
            </w:r>
            <w:r>
              <w:rPr>
                <w:rFonts w:hint="eastAsia" w:ascii="宋体" w:hAnsi="宋体" w:cs="宋体"/>
                <w:color w:val="auto"/>
                <w:kern w:val="0"/>
                <w:sz w:val="18"/>
                <w:szCs w:val="18"/>
              </w:rPr>
              <w:br w:type="textWrapping"/>
            </w:r>
            <w:r>
              <w:rPr>
                <w:rFonts w:hint="eastAsia" w:ascii="宋体" w:hAnsi="宋体" w:cs="宋体"/>
                <w:color w:val="auto"/>
                <w:kern w:val="0"/>
                <w:sz w:val="18"/>
                <w:szCs w:val="18"/>
              </w:rPr>
              <w:t>5.有短路、过载、过热、等保护</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6.八分区独控输出，每路分区可以控制开关音乐，USB数码显示屏，带收音机功能，USB和SD卡槽。</w:t>
            </w:r>
            <w:r>
              <w:rPr>
                <w:rFonts w:hint="eastAsia" w:ascii="宋体" w:hAnsi="宋体" w:cs="宋体"/>
                <w:color w:val="auto"/>
                <w:kern w:val="0"/>
                <w:sz w:val="18"/>
                <w:szCs w:val="18"/>
              </w:rPr>
              <w:br w:type="textWrapping"/>
            </w:r>
            <w:r>
              <w:rPr>
                <w:rFonts w:hint="eastAsia" w:ascii="宋体" w:hAnsi="宋体" w:cs="宋体"/>
                <w:color w:val="auto"/>
                <w:kern w:val="0"/>
                <w:sz w:val="18"/>
                <w:szCs w:val="18"/>
              </w:rPr>
              <w:t>7.带蓝牙功能，带混响功能，旋钮式分区独立控制为继电器吸合方式。</w:t>
            </w:r>
            <w:r>
              <w:rPr>
                <w:rFonts w:hint="eastAsia" w:ascii="宋体" w:hAnsi="宋体" w:cs="宋体"/>
                <w:color w:val="auto"/>
                <w:kern w:val="0"/>
                <w:sz w:val="18"/>
                <w:szCs w:val="18"/>
              </w:rPr>
              <w:br w:type="textWrapping"/>
            </w:r>
            <w:r>
              <w:rPr>
                <w:rFonts w:hint="eastAsia" w:ascii="宋体" w:hAnsi="宋体" w:cs="宋体"/>
                <w:color w:val="auto"/>
                <w:kern w:val="0"/>
                <w:sz w:val="18"/>
                <w:szCs w:val="18"/>
              </w:rPr>
              <w:t>8.八分区旋钮式开关，工作状态一目了然。</w:t>
            </w:r>
          </w:p>
        </w:tc>
        <w:tc>
          <w:tcPr>
            <w:tcW w:w="700" w:type="dxa"/>
            <w:vAlign w:val="center"/>
          </w:tcPr>
          <w:p w14:paraId="0BBDD8C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台</w:t>
            </w:r>
          </w:p>
        </w:tc>
        <w:tc>
          <w:tcPr>
            <w:tcW w:w="632" w:type="dxa"/>
            <w:vAlign w:val="center"/>
          </w:tcPr>
          <w:p w14:paraId="53C3EE3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3F33DB7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3DC8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2BFA224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9.22</w:t>
            </w:r>
          </w:p>
        </w:tc>
        <w:tc>
          <w:tcPr>
            <w:tcW w:w="680" w:type="dxa"/>
            <w:vAlign w:val="center"/>
          </w:tcPr>
          <w:p w14:paraId="0A42469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电源盒</w:t>
            </w:r>
          </w:p>
        </w:tc>
        <w:tc>
          <w:tcPr>
            <w:tcW w:w="6285" w:type="dxa"/>
            <w:vAlign w:val="center"/>
          </w:tcPr>
          <w:p w14:paraId="6DC931F2">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1、阻燃PVC;</w:t>
            </w:r>
            <w:r>
              <w:rPr>
                <w:rFonts w:hint="eastAsia" w:ascii="宋体" w:hAnsi="宋体" w:cs="宋体"/>
                <w:color w:val="auto"/>
                <w:kern w:val="0"/>
                <w:sz w:val="18"/>
                <w:szCs w:val="18"/>
              </w:rPr>
              <w:br w:type="textWrapping"/>
            </w:r>
            <w:r>
              <w:rPr>
                <w:rFonts w:hint="eastAsia" w:ascii="宋体" w:hAnsi="宋体" w:cs="宋体"/>
                <w:color w:val="auto"/>
                <w:kern w:val="0"/>
                <w:sz w:val="18"/>
                <w:szCs w:val="18"/>
              </w:rPr>
              <w:t>2、至少200mm*180mm。</w:t>
            </w:r>
          </w:p>
        </w:tc>
        <w:tc>
          <w:tcPr>
            <w:tcW w:w="700" w:type="dxa"/>
            <w:vAlign w:val="center"/>
          </w:tcPr>
          <w:p w14:paraId="362D3973">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个</w:t>
            </w:r>
          </w:p>
        </w:tc>
        <w:tc>
          <w:tcPr>
            <w:tcW w:w="632" w:type="dxa"/>
            <w:vAlign w:val="center"/>
          </w:tcPr>
          <w:p w14:paraId="502651C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51</w:t>
            </w:r>
          </w:p>
        </w:tc>
        <w:tc>
          <w:tcPr>
            <w:tcW w:w="768" w:type="dxa"/>
            <w:shd w:val="clear" w:color="000000" w:fill="FFFFFF"/>
            <w:vAlign w:val="center"/>
          </w:tcPr>
          <w:p w14:paraId="399592B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5564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1E7B7ED9">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9.23</w:t>
            </w:r>
          </w:p>
        </w:tc>
        <w:tc>
          <w:tcPr>
            <w:tcW w:w="680" w:type="dxa"/>
            <w:vAlign w:val="center"/>
          </w:tcPr>
          <w:p w14:paraId="39336DC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网线</w:t>
            </w:r>
          </w:p>
        </w:tc>
        <w:tc>
          <w:tcPr>
            <w:tcW w:w="6285" w:type="dxa"/>
            <w:vAlign w:val="center"/>
          </w:tcPr>
          <w:p w14:paraId="42B9278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1、 至少高品质国标六类的水平双绞线电缆。</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2、 Ø阻抗： (f=1-250MHz)100±15%Ω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3、 延迟偏差：45ns/100m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4、 额定传输速率(NVP):：68%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 xml:space="preserve">5、 电缆直径 ：≧0.55mm±2  </w:t>
            </w:r>
            <w:r>
              <w:rPr>
                <w:rFonts w:hint="eastAsia" w:ascii="宋体" w:hAnsi="宋体" w:cs="宋体"/>
                <w:color w:val="auto"/>
                <w:kern w:val="0"/>
                <w:sz w:val="18"/>
                <w:szCs w:val="18"/>
              </w:rPr>
              <w:br w:type="textWrapping"/>
            </w:r>
            <w:r>
              <w:rPr>
                <w:rFonts w:hint="eastAsia" w:ascii="宋体" w:hAnsi="宋体" w:cs="宋体"/>
                <w:color w:val="auto"/>
                <w:kern w:val="0"/>
                <w:sz w:val="18"/>
                <w:szCs w:val="18"/>
              </w:rPr>
              <w:t>6、 操作温度 ：-20~60℃</w:t>
            </w:r>
          </w:p>
        </w:tc>
        <w:tc>
          <w:tcPr>
            <w:tcW w:w="700" w:type="dxa"/>
            <w:vAlign w:val="center"/>
          </w:tcPr>
          <w:p w14:paraId="12DACB31">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箱</w:t>
            </w:r>
          </w:p>
        </w:tc>
        <w:tc>
          <w:tcPr>
            <w:tcW w:w="632" w:type="dxa"/>
            <w:vAlign w:val="center"/>
          </w:tcPr>
          <w:p w14:paraId="245B931D">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768" w:type="dxa"/>
            <w:shd w:val="clear" w:color="000000" w:fill="FFFFFF"/>
            <w:vAlign w:val="center"/>
          </w:tcPr>
          <w:p w14:paraId="1BDBE836">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7812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4007383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9.24</w:t>
            </w:r>
          </w:p>
        </w:tc>
        <w:tc>
          <w:tcPr>
            <w:tcW w:w="680" w:type="dxa"/>
            <w:shd w:val="clear" w:color="000000" w:fill="FFFFFF"/>
            <w:vAlign w:val="center"/>
          </w:tcPr>
          <w:p w14:paraId="6F8D3277">
            <w:pPr>
              <w:widowControl/>
              <w:spacing w:line="280" w:lineRule="exact"/>
              <w:jc w:val="center"/>
              <w:rPr>
                <w:rFonts w:ascii="宋体" w:hAnsi="宋体" w:cs="宋体"/>
                <w:color w:val="auto"/>
                <w:kern w:val="0"/>
                <w:sz w:val="15"/>
                <w:szCs w:val="15"/>
              </w:rPr>
            </w:pPr>
            <w:r>
              <w:rPr>
                <w:rFonts w:hint="eastAsia" w:ascii="宋体" w:hAnsi="宋体" w:cs="宋体"/>
                <w:color w:val="auto"/>
                <w:kern w:val="0"/>
                <w:sz w:val="15"/>
                <w:szCs w:val="15"/>
              </w:rPr>
              <w:t>线缆</w:t>
            </w:r>
          </w:p>
        </w:tc>
        <w:tc>
          <w:tcPr>
            <w:tcW w:w="6285" w:type="dxa"/>
            <w:shd w:val="clear" w:color="000000" w:fill="FFFFFF"/>
            <w:vAlign w:val="center"/>
          </w:tcPr>
          <w:p w14:paraId="476833DF">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国标≧2*2.5平方铜芯聚氯乙烯绝缘电缆。</w:t>
            </w:r>
          </w:p>
        </w:tc>
        <w:tc>
          <w:tcPr>
            <w:tcW w:w="700" w:type="dxa"/>
            <w:shd w:val="clear" w:color="000000" w:fill="FFFFFF"/>
            <w:vAlign w:val="center"/>
          </w:tcPr>
          <w:p w14:paraId="6D942C7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7F4563FC">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400</w:t>
            </w:r>
          </w:p>
        </w:tc>
        <w:tc>
          <w:tcPr>
            <w:tcW w:w="768" w:type="dxa"/>
            <w:shd w:val="clear" w:color="000000" w:fill="FFFFFF"/>
            <w:vAlign w:val="center"/>
          </w:tcPr>
          <w:p w14:paraId="2E9C442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2EE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50C52B6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9.25</w:t>
            </w:r>
          </w:p>
        </w:tc>
        <w:tc>
          <w:tcPr>
            <w:tcW w:w="680" w:type="dxa"/>
            <w:shd w:val="clear" w:color="000000" w:fill="FFFFFF"/>
            <w:vAlign w:val="center"/>
          </w:tcPr>
          <w:p w14:paraId="38565233">
            <w:pPr>
              <w:widowControl/>
              <w:spacing w:line="280" w:lineRule="exact"/>
              <w:jc w:val="center"/>
              <w:rPr>
                <w:rFonts w:ascii="宋体" w:hAnsi="宋体" w:cs="宋体"/>
                <w:color w:val="auto"/>
                <w:kern w:val="0"/>
                <w:sz w:val="15"/>
                <w:szCs w:val="15"/>
              </w:rPr>
            </w:pPr>
            <w:r>
              <w:rPr>
                <w:rFonts w:hint="eastAsia" w:ascii="宋体" w:hAnsi="宋体" w:cs="宋体"/>
                <w:color w:val="auto"/>
                <w:kern w:val="0"/>
                <w:sz w:val="15"/>
                <w:szCs w:val="15"/>
              </w:rPr>
              <w:t>线缆</w:t>
            </w:r>
          </w:p>
        </w:tc>
        <w:tc>
          <w:tcPr>
            <w:tcW w:w="6285" w:type="dxa"/>
            <w:shd w:val="clear" w:color="000000" w:fill="FFFFFF"/>
            <w:vAlign w:val="center"/>
          </w:tcPr>
          <w:p w14:paraId="3DAA35B1">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国标≧2*1.5平方铜芯聚氯乙烯绝缘电缆。</w:t>
            </w:r>
          </w:p>
        </w:tc>
        <w:tc>
          <w:tcPr>
            <w:tcW w:w="700" w:type="dxa"/>
            <w:shd w:val="clear" w:color="000000" w:fill="FFFFFF"/>
            <w:vAlign w:val="center"/>
          </w:tcPr>
          <w:p w14:paraId="507E60E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shd w:val="clear" w:color="000000" w:fill="FFFFFF"/>
            <w:vAlign w:val="center"/>
          </w:tcPr>
          <w:p w14:paraId="4D24B965">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700</w:t>
            </w:r>
          </w:p>
        </w:tc>
        <w:tc>
          <w:tcPr>
            <w:tcW w:w="768" w:type="dxa"/>
            <w:shd w:val="clear" w:color="000000" w:fill="FFFFFF"/>
            <w:vAlign w:val="center"/>
          </w:tcPr>
          <w:p w14:paraId="64840784">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476D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3758290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9.26</w:t>
            </w:r>
          </w:p>
        </w:tc>
        <w:tc>
          <w:tcPr>
            <w:tcW w:w="680" w:type="dxa"/>
            <w:vAlign w:val="center"/>
          </w:tcPr>
          <w:p w14:paraId="0801A63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辅材辅料</w:t>
            </w:r>
          </w:p>
        </w:tc>
        <w:tc>
          <w:tcPr>
            <w:tcW w:w="6285" w:type="dxa"/>
            <w:vAlign w:val="center"/>
          </w:tcPr>
          <w:p w14:paraId="69668178">
            <w:pPr>
              <w:pStyle w:val="111"/>
              <w:widowControl/>
              <w:numPr>
                <w:ilvl w:val="0"/>
                <w:numId w:val="8"/>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国标≧PVC-25软线管和P</w:t>
            </w:r>
            <w:r>
              <w:rPr>
                <w:rFonts w:ascii="宋体" w:hAnsi="宋体" w:cs="宋体"/>
                <w:color w:val="auto"/>
                <w:kern w:val="0"/>
                <w:sz w:val="18"/>
                <w:szCs w:val="18"/>
              </w:rPr>
              <w:t>VC20</w:t>
            </w:r>
            <w:r>
              <w:rPr>
                <w:rFonts w:hint="eastAsia" w:ascii="宋体" w:hAnsi="宋体" w:cs="宋体"/>
                <w:color w:val="auto"/>
                <w:kern w:val="0"/>
                <w:sz w:val="18"/>
                <w:szCs w:val="18"/>
              </w:rPr>
              <w:t>线管；桥架锁扣等。</w:t>
            </w:r>
          </w:p>
          <w:p w14:paraId="2D83DDAE">
            <w:pPr>
              <w:pStyle w:val="111"/>
              <w:widowControl/>
              <w:numPr>
                <w:ilvl w:val="0"/>
                <w:numId w:val="8"/>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至少</w:t>
            </w:r>
            <w:r>
              <w:rPr>
                <w:rFonts w:ascii="宋体" w:hAnsi="宋体" w:cs="宋体"/>
                <w:color w:val="auto"/>
                <w:kern w:val="0"/>
                <w:sz w:val="18"/>
                <w:szCs w:val="18"/>
              </w:rPr>
              <w:t>8</w:t>
            </w:r>
            <w:r>
              <w:rPr>
                <w:rFonts w:hint="eastAsia" w:ascii="宋体" w:hAnsi="宋体" w:cs="宋体"/>
                <w:color w:val="auto"/>
                <w:kern w:val="0"/>
                <w:sz w:val="18"/>
                <w:szCs w:val="18"/>
              </w:rPr>
              <w:t>0mm*60mm线槽及安装材料等。</w:t>
            </w:r>
          </w:p>
          <w:p w14:paraId="7196BBD4">
            <w:pPr>
              <w:pStyle w:val="111"/>
              <w:widowControl/>
              <w:numPr>
                <w:ilvl w:val="0"/>
                <w:numId w:val="8"/>
              </w:numPr>
              <w:spacing w:line="280" w:lineRule="exact"/>
              <w:ind w:firstLineChars="0"/>
              <w:jc w:val="left"/>
              <w:rPr>
                <w:rFonts w:ascii="宋体" w:hAnsi="宋体" w:cs="宋体"/>
                <w:color w:val="auto"/>
                <w:kern w:val="0"/>
                <w:sz w:val="18"/>
                <w:szCs w:val="18"/>
              </w:rPr>
            </w:pPr>
            <w:r>
              <w:rPr>
                <w:rFonts w:hint="eastAsia" w:ascii="宋体" w:hAnsi="宋体" w:cs="宋体"/>
                <w:color w:val="auto"/>
                <w:kern w:val="0"/>
                <w:sz w:val="18"/>
                <w:szCs w:val="18"/>
              </w:rPr>
              <w:t>要求安装牢固美观。</w:t>
            </w:r>
          </w:p>
        </w:tc>
        <w:tc>
          <w:tcPr>
            <w:tcW w:w="700" w:type="dxa"/>
            <w:vAlign w:val="center"/>
          </w:tcPr>
          <w:p w14:paraId="3370B6D8">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米</w:t>
            </w:r>
          </w:p>
        </w:tc>
        <w:tc>
          <w:tcPr>
            <w:tcW w:w="632" w:type="dxa"/>
            <w:vAlign w:val="center"/>
          </w:tcPr>
          <w:p w14:paraId="67401CB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200</w:t>
            </w:r>
          </w:p>
        </w:tc>
        <w:tc>
          <w:tcPr>
            <w:tcW w:w="768" w:type="dxa"/>
            <w:shd w:val="clear" w:color="000000" w:fill="FFFFFF"/>
            <w:vAlign w:val="center"/>
          </w:tcPr>
          <w:p w14:paraId="43933227">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r w14:paraId="63BDC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85" w:type="dxa"/>
            <w:noWrap/>
            <w:vAlign w:val="center"/>
          </w:tcPr>
          <w:p w14:paraId="4E818A7E">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9.27</w:t>
            </w:r>
          </w:p>
        </w:tc>
        <w:tc>
          <w:tcPr>
            <w:tcW w:w="680" w:type="dxa"/>
            <w:vAlign w:val="center"/>
          </w:tcPr>
          <w:p w14:paraId="20DDFBA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5"/>
                <w:szCs w:val="15"/>
              </w:rPr>
              <w:t>安装调试</w:t>
            </w:r>
          </w:p>
        </w:tc>
        <w:tc>
          <w:tcPr>
            <w:tcW w:w="6285" w:type="dxa"/>
            <w:vAlign w:val="center"/>
          </w:tcPr>
          <w:p w14:paraId="0B7D8E8A">
            <w:pPr>
              <w:widowControl/>
              <w:spacing w:line="280" w:lineRule="exact"/>
              <w:jc w:val="left"/>
              <w:rPr>
                <w:rFonts w:ascii="宋体" w:hAnsi="宋体" w:cs="宋体"/>
                <w:color w:val="auto"/>
                <w:kern w:val="0"/>
                <w:sz w:val="18"/>
                <w:szCs w:val="18"/>
              </w:rPr>
            </w:pPr>
            <w:r>
              <w:rPr>
                <w:rFonts w:hint="eastAsia" w:ascii="宋体" w:hAnsi="宋体" w:cs="宋体"/>
                <w:color w:val="auto"/>
                <w:kern w:val="0"/>
                <w:sz w:val="18"/>
                <w:szCs w:val="18"/>
              </w:rPr>
              <w:t>应包含服务、管理、安装、调试、培训等。</w:t>
            </w:r>
          </w:p>
        </w:tc>
        <w:tc>
          <w:tcPr>
            <w:tcW w:w="700" w:type="dxa"/>
            <w:vAlign w:val="center"/>
          </w:tcPr>
          <w:p w14:paraId="33C6AB8B">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项</w:t>
            </w:r>
          </w:p>
        </w:tc>
        <w:tc>
          <w:tcPr>
            <w:tcW w:w="632" w:type="dxa"/>
            <w:vAlign w:val="center"/>
          </w:tcPr>
          <w:p w14:paraId="40DC857F">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1</w:t>
            </w:r>
          </w:p>
        </w:tc>
        <w:tc>
          <w:tcPr>
            <w:tcW w:w="768" w:type="dxa"/>
            <w:shd w:val="clear" w:color="000000" w:fill="FFFFFF"/>
            <w:vAlign w:val="center"/>
          </w:tcPr>
          <w:p w14:paraId="22809010">
            <w:pPr>
              <w:widowControl/>
              <w:spacing w:line="280" w:lineRule="exact"/>
              <w:jc w:val="center"/>
              <w:rPr>
                <w:rFonts w:ascii="宋体" w:hAnsi="宋体" w:cs="宋体"/>
                <w:color w:val="auto"/>
                <w:kern w:val="0"/>
                <w:sz w:val="18"/>
                <w:szCs w:val="18"/>
              </w:rPr>
            </w:pPr>
            <w:r>
              <w:rPr>
                <w:rFonts w:hint="eastAsia" w:ascii="宋体" w:hAnsi="宋体" w:cs="宋体"/>
                <w:color w:val="auto"/>
                <w:kern w:val="0"/>
                <w:sz w:val="18"/>
                <w:szCs w:val="18"/>
              </w:rPr>
              <w:t>工业</w:t>
            </w:r>
          </w:p>
        </w:tc>
      </w:tr>
    </w:tbl>
    <w:p w14:paraId="76B6D87A">
      <w:pPr>
        <w:spacing w:line="360" w:lineRule="auto"/>
        <w:ind w:firstLine="402" w:firstLineChars="200"/>
        <w:jc w:val="left"/>
        <w:outlineLvl w:val="1"/>
        <w:rPr>
          <w:rFonts w:ascii="宋体" w:hAnsi="宋体" w:cs="宋体"/>
          <w:b/>
          <w:bCs/>
          <w:color w:val="auto"/>
          <w:kern w:val="0"/>
          <w:sz w:val="24"/>
          <w:szCs w:val="24"/>
        </w:rPr>
      </w:pPr>
      <w:r>
        <w:rPr>
          <w:rFonts w:hint="eastAsia" w:ascii="宋体" w:hAnsi="宋体" w:cs="宋体"/>
          <w:b/>
          <w:bCs/>
          <w:color w:val="auto"/>
          <w:kern w:val="0"/>
          <w:sz w:val="20"/>
          <w:szCs w:val="20"/>
        </w:rPr>
        <w:t xml:space="preserve"> </w:t>
      </w:r>
      <w:r>
        <w:rPr>
          <w:rFonts w:hint="eastAsia" w:ascii="宋体" w:hAnsi="宋体" w:cs="宋体"/>
          <w:b/>
          <w:bCs/>
          <w:color w:val="auto"/>
          <w:kern w:val="0"/>
          <w:sz w:val="24"/>
          <w:szCs w:val="24"/>
        </w:rPr>
        <w:t>备注：三标段核心产品为：数字化教学设备清单序号1“一体式教学终端</w:t>
      </w:r>
      <w:r>
        <w:rPr>
          <w:rFonts w:ascii="宋体" w:hAnsi="宋体" w:cs="宋体"/>
          <w:b/>
          <w:bCs/>
          <w:color w:val="auto"/>
          <w:kern w:val="0"/>
          <w:sz w:val="24"/>
          <w:szCs w:val="24"/>
        </w:rPr>
        <w:t>”</w:t>
      </w:r>
      <w:r>
        <w:rPr>
          <w:rFonts w:hint="eastAsia" w:ascii="宋体" w:hAnsi="宋体" w:cs="宋体"/>
          <w:b/>
          <w:bCs/>
          <w:color w:val="auto"/>
          <w:kern w:val="0"/>
          <w:sz w:val="24"/>
          <w:szCs w:val="24"/>
        </w:rPr>
        <w:t>；标准化考场设备清单序号1.03“网络流媒体存储平台”。</w:t>
      </w:r>
    </w:p>
    <w:p w14:paraId="5ED45271">
      <w:pPr>
        <w:keepNext w:val="0"/>
        <w:keepLines w:val="0"/>
        <w:pageBreakBefore w:val="0"/>
        <w:widowControl/>
        <w:kinsoku/>
        <w:wordWrap/>
        <w:overflowPunct/>
        <w:topLinePunct w:val="0"/>
        <w:autoSpaceDE/>
        <w:autoSpaceDN/>
        <w:bidi w:val="0"/>
        <w:adjustRightInd/>
        <w:snapToGrid/>
        <w:spacing w:line="360" w:lineRule="auto"/>
        <w:ind w:firstLine="482" w:firstLineChars="200"/>
        <w:jc w:val="left"/>
        <w:textAlignment w:val="auto"/>
        <w:rPr>
          <w:rFonts w:ascii="仿宋" w:hAnsi="仿宋" w:eastAsia="仿宋" w:cs="仿宋"/>
          <w:color w:val="auto"/>
          <w:kern w:val="0"/>
          <w:sz w:val="28"/>
          <w:szCs w:val="28"/>
          <w:shd w:val="clear" w:color="auto" w:fill="FFFFFF"/>
        </w:rPr>
      </w:pPr>
      <w:r>
        <w:rPr>
          <w:rFonts w:hint="eastAsia" w:ascii="宋体" w:hAnsi="宋体" w:eastAsia="宋体" w:cs="仿宋_GB2312"/>
          <w:b/>
          <w:color w:val="auto"/>
          <w:sz w:val="24"/>
          <w:szCs w:val="24"/>
          <w:highlight w:val="none"/>
          <w:lang w:val="zh-CN"/>
        </w:rPr>
        <w:t>二、</w:t>
      </w:r>
      <w:r>
        <w:rPr>
          <w:rFonts w:hint="eastAsia" w:ascii="宋体" w:hAnsi="宋体" w:eastAsia="宋体" w:cs="宋体"/>
          <w:b/>
          <w:bCs/>
          <w:color w:val="auto"/>
          <w:kern w:val="0"/>
          <w:sz w:val="24"/>
          <w:szCs w:val="24"/>
          <w:shd w:val="clear" w:color="auto" w:fill="FFFFFF"/>
          <w:lang w:val="zh-CN"/>
        </w:rPr>
        <w:t>二标段</w:t>
      </w:r>
      <w:r>
        <w:rPr>
          <w:rFonts w:hint="eastAsia" w:ascii="宋体" w:hAnsi="宋体" w:eastAsia="宋体" w:cs="宋体"/>
          <w:b/>
          <w:bCs/>
          <w:color w:val="auto"/>
          <w:kern w:val="0"/>
          <w:sz w:val="24"/>
          <w:szCs w:val="24"/>
          <w:shd w:val="clear" w:color="auto" w:fill="FFFFFF"/>
        </w:rPr>
        <w:t>采购标的执行标准（</w:t>
      </w:r>
      <w:r>
        <w:rPr>
          <w:rFonts w:hint="eastAsia" w:ascii="宋体" w:hAnsi="宋体" w:eastAsia="宋体" w:cs="宋体"/>
          <w:b/>
          <w:bCs/>
          <w:color w:val="auto"/>
          <w:kern w:val="0"/>
          <w:sz w:val="24"/>
          <w:szCs w:val="24"/>
          <w:shd w:val="clear" w:color="auto" w:fill="FFFFFF"/>
          <w:lang w:val="en-US" w:eastAsia="zh-CN"/>
        </w:rPr>
        <w:t>包括但不限于以下内容</w:t>
      </w:r>
      <w:r>
        <w:rPr>
          <w:rFonts w:hint="eastAsia" w:ascii="宋体" w:hAnsi="宋体" w:eastAsia="宋体" w:cs="宋体"/>
          <w:b/>
          <w:bCs/>
          <w:color w:val="auto"/>
          <w:kern w:val="0"/>
          <w:sz w:val="24"/>
          <w:szCs w:val="24"/>
          <w:shd w:val="clear" w:color="auto" w:fill="FFFFFF"/>
        </w:rPr>
        <w:t>）</w:t>
      </w:r>
    </w:p>
    <w:p w14:paraId="053E92D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rPr>
        <w:t>GB/T 3325-2024《金属家具通用技术条件》</w:t>
      </w:r>
      <w:r>
        <w:rPr>
          <w:rFonts w:hint="eastAsia" w:ascii="宋体" w:hAnsi="宋体" w:eastAsia="宋体" w:cs="宋体"/>
          <w:color w:val="auto"/>
          <w:kern w:val="0"/>
          <w:sz w:val="24"/>
          <w:szCs w:val="24"/>
          <w:highlight w:val="none"/>
          <w:shd w:val="clear" w:color="auto" w:fill="FFFFFF"/>
          <w:lang w:eastAsia="zh-CN"/>
        </w:rPr>
        <w:t>；</w:t>
      </w:r>
    </w:p>
    <w:p w14:paraId="7ED6980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rPr>
        <w:t>GB/T3324-20</w:t>
      </w:r>
      <w:r>
        <w:rPr>
          <w:rFonts w:hint="eastAsia" w:ascii="宋体" w:hAnsi="宋体" w:eastAsia="宋体" w:cs="宋体"/>
          <w:color w:val="auto"/>
          <w:kern w:val="0"/>
          <w:sz w:val="24"/>
          <w:szCs w:val="24"/>
          <w:highlight w:val="none"/>
          <w:shd w:val="clear" w:color="auto" w:fill="FFFFFF"/>
          <w:lang w:val="en-US" w:eastAsia="zh-CN"/>
        </w:rPr>
        <w:t>24</w:t>
      </w:r>
      <w:r>
        <w:rPr>
          <w:rFonts w:hint="eastAsia" w:ascii="宋体" w:hAnsi="宋体" w:eastAsia="宋体" w:cs="宋体"/>
          <w:color w:val="auto"/>
          <w:kern w:val="0"/>
          <w:sz w:val="24"/>
          <w:szCs w:val="24"/>
          <w:highlight w:val="none"/>
          <w:shd w:val="clear" w:color="auto" w:fill="FFFFFF"/>
        </w:rPr>
        <w:t>《木家具通用技术条件》</w:t>
      </w:r>
      <w:r>
        <w:rPr>
          <w:rFonts w:hint="eastAsia" w:ascii="宋体" w:hAnsi="宋体" w:eastAsia="宋体" w:cs="宋体"/>
          <w:color w:val="auto"/>
          <w:kern w:val="0"/>
          <w:sz w:val="24"/>
          <w:szCs w:val="24"/>
          <w:highlight w:val="none"/>
          <w:shd w:val="clear" w:color="auto" w:fill="FFFFFF"/>
          <w:lang w:eastAsia="zh-CN"/>
        </w:rPr>
        <w:t>；</w:t>
      </w:r>
    </w:p>
    <w:p w14:paraId="44F251DC">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rPr>
        <w:t>QB/3328-2016《家具 床类主要尺寸》</w:t>
      </w:r>
      <w:r>
        <w:rPr>
          <w:rFonts w:hint="eastAsia" w:ascii="宋体" w:hAnsi="宋体" w:eastAsia="宋体" w:cs="宋体"/>
          <w:color w:val="auto"/>
          <w:kern w:val="0"/>
          <w:sz w:val="24"/>
          <w:szCs w:val="24"/>
          <w:highlight w:val="none"/>
          <w:shd w:val="clear" w:color="auto" w:fill="FFFFFF"/>
          <w:lang w:eastAsia="zh-CN"/>
        </w:rPr>
        <w:t>；</w:t>
      </w:r>
    </w:p>
    <w:p w14:paraId="31CC424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4、</w:t>
      </w:r>
      <w:r>
        <w:rPr>
          <w:rFonts w:hint="eastAsia" w:ascii="宋体" w:hAnsi="宋体" w:eastAsia="宋体" w:cs="宋体"/>
          <w:color w:val="auto"/>
          <w:kern w:val="0"/>
          <w:sz w:val="24"/>
          <w:szCs w:val="24"/>
          <w:highlight w:val="none"/>
          <w:shd w:val="clear" w:color="auto" w:fill="FFFFFF"/>
        </w:rPr>
        <w:t>HJ2547-2016《环境标志产品技术要求家具》</w:t>
      </w:r>
      <w:r>
        <w:rPr>
          <w:rFonts w:hint="eastAsia" w:ascii="宋体" w:hAnsi="宋体" w:eastAsia="宋体" w:cs="宋体"/>
          <w:color w:val="auto"/>
          <w:kern w:val="0"/>
          <w:sz w:val="24"/>
          <w:szCs w:val="24"/>
          <w:highlight w:val="none"/>
          <w:shd w:val="clear" w:color="auto" w:fill="FFFFFF"/>
          <w:lang w:eastAsia="zh-CN"/>
        </w:rPr>
        <w:t>；</w:t>
      </w:r>
    </w:p>
    <w:p w14:paraId="22BE437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5、</w:t>
      </w:r>
      <w:r>
        <w:rPr>
          <w:rFonts w:hint="eastAsia" w:ascii="宋体" w:hAnsi="宋体" w:eastAsia="宋体" w:cs="宋体"/>
          <w:color w:val="auto"/>
          <w:kern w:val="0"/>
          <w:sz w:val="24"/>
          <w:szCs w:val="24"/>
          <w:highlight w:val="none"/>
          <w:shd w:val="clear" w:color="auto" w:fill="FFFFFF"/>
        </w:rPr>
        <w:t>GB/T39257-2020《绿色制造 制造企业绿色供应链管理评价规范》</w:t>
      </w:r>
      <w:r>
        <w:rPr>
          <w:rFonts w:hint="eastAsia" w:ascii="宋体" w:hAnsi="宋体" w:eastAsia="宋体" w:cs="宋体"/>
          <w:color w:val="auto"/>
          <w:kern w:val="0"/>
          <w:sz w:val="24"/>
          <w:szCs w:val="24"/>
          <w:highlight w:val="none"/>
          <w:shd w:val="clear" w:color="auto" w:fill="FFFFFF"/>
          <w:lang w:eastAsia="zh-CN"/>
        </w:rPr>
        <w:t>；</w:t>
      </w:r>
    </w:p>
    <w:p w14:paraId="5C57E02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6、</w:t>
      </w:r>
      <w:r>
        <w:rPr>
          <w:rFonts w:hint="eastAsia" w:ascii="宋体" w:hAnsi="宋体" w:eastAsia="宋体" w:cs="宋体"/>
          <w:color w:val="auto"/>
          <w:kern w:val="0"/>
          <w:sz w:val="24"/>
          <w:szCs w:val="24"/>
          <w:highlight w:val="none"/>
          <w:shd w:val="clear" w:color="auto" w:fill="FFFFFF"/>
        </w:rPr>
        <w:t>GB/T39600-2021《人造板及其制品甲醛释放量分级》</w:t>
      </w:r>
      <w:r>
        <w:rPr>
          <w:rFonts w:hint="eastAsia" w:ascii="宋体" w:hAnsi="宋体" w:eastAsia="宋体" w:cs="宋体"/>
          <w:color w:val="auto"/>
          <w:kern w:val="0"/>
          <w:sz w:val="24"/>
          <w:szCs w:val="24"/>
          <w:highlight w:val="none"/>
          <w:shd w:val="clear" w:color="auto" w:fill="FFFFFF"/>
          <w:lang w:eastAsia="zh-CN"/>
        </w:rPr>
        <w:t>；</w:t>
      </w:r>
    </w:p>
    <w:p w14:paraId="4B2D50D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7、</w:t>
      </w:r>
      <w:r>
        <w:rPr>
          <w:rFonts w:hint="eastAsia" w:ascii="宋体" w:hAnsi="宋体" w:eastAsia="宋体" w:cs="宋体"/>
          <w:color w:val="auto"/>
          <w:kern w:val="0"/>
          <w:sz w:val="24"/>
          <w:szCs w:val="24"/>
          <w:highlight w:val="none"/>
          <w:shd w:val="clear" w:color="auto" w:fill="FFFFFF"/>
        </w:rPr>
        <w:t>GB18580-20</w:t>
      </w:r>
      <w:r>
        <w:rPr>
          <w:rFonts w:hint="eastAsia" w:ascii="宋体" w:hAnsi="宋体" w:eastAsia="宋体" w:cs="宋体"/>
          <w:color w:val="auto"/>
          <w:kern w:val="0"/>
          <w:sz w:val="24"/>
          <w:szCs w:val="24"/>
          <w:highlight w:val="none"/>
          <w:shd w:val="clear" w:color="auto" w:fill="FFFFFF"/>
          <w:lang w:val="en-US" w:eastAsia="zh-CN"/>
        </w:rPr>
        <w:t>25</w:t>
      </w:r>
      <w:r>
        <w:rPr>
          <w:rFonts w:hint="eastAsia" w:ascii="宋体" w:hAnsi="宋体" w:eastAsia="宋体" w:cs="宋体"/>
          <w:color w:val="auto"/>
          <w:kern w:val="0"/>
          <w:sz w:val="24"/>
          <w:szCs w:val="24"/>
          <w:highlight w:val="none"/>
          <w:shd w:val="clear" w:color="auto" w:fill="FFFFFF"/>
        </w:rPr>
        <w:t>《室内装饰装修材料 人造板及其制品中甲醛释放量》</w:t>
      </w:r>
      <w:r>
        <w:rPr>
          <w:rFonts w:hint="eastAsia" w:ascii="宋体" w:hAnsi="宋体" w:eastAsia="宋体" w:cs="宋体"/>
          <w:color w:val="auto"/>
          <w:kern w:val="0"/>
          <w:sz w:val="24"/>
          <w:szCs w:val="24"/>
          <w:highlight w:val="none"/>
          <w:shd w:val="clear" w:color="auto" w:fill="FFFFFF"/>
          <w:lang w:eastAsia="zh-CN"/>
        </w:rPr>
        <w:t>；</w:t>
      </w:r>
    </w:p>
    <w:p w14:paraId="440B224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8、</w:t>
      </w:r>
      <w:r>
        <w:rPr>
          <w:rFonts w:hint="eastAsia" w:ascii="宋体" w:hAnsi="宋体" w:eastAsia="宋体" w:cs="宋体"/>
          <w:color w:val="auto"/>
          <w:kern w:val="0"/>
          <w:sz w:val="24"/>
          <w:szCs w:val="24"/>
          <w:highlight w:val="none"/>
          <w:shd w:val="clear" w:color="auto" w:fill="FFFFFF"/>
        </w:rPr>
        <w:t>GB18584-2024《家具中有害物质限量》</w:t>
      </w:r>
      <w:r>
        <w:rPr>
          <w:rFonts w:hint="eastAsia" w:ascii="宋体" w:hAnsi="宋体" w:eastAsia="宋体" w:cs="宋体"/>
          <w:color w:val="auto"/>
          <w:kern w:val="0"/>
          <w:sz w:val="24"/>
          <w:szCs w:val="24"/>
          <w:highlight w:val="none"/>
          <w:shd w:val="clear" w:color="auto" w:fill="FFFFFF"/>
          <w:lang w:eastAsia="zh-CN"/>
        </w:rPr>
        <w:t>；</w:t>
      </w:r>
    </w:p>
    <w:p w14:paraId="6F4C817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val="en-US" w:eastAsia="zh-CN"/>
        </w:rPr>
      </w:pPr>
      <w:r>
        <w:rPr>
          <w:rFonts w:hint="eastAsia" w:ascii="宋体" w:hAnsi="宋体" w:eastAsia="宋体" w:cs="宋体"/>
          <w:color w:val="auto"/>
          <w:kern w:val="0"/>
          <w:sz w:val="24"/>
          <w:szCs w:val="24"/>
          <w:highlight w:val="none"/>
          <w:shd w:val="clear" w:color="auto" w:fill="FFFFFF"/>
          <w:lang w:val="en-US" w:eastAsia="zh-CN"/>
        </w:rPr>
        <w:t>9、</w:t>
      </w:r>
      <w:r>
        <w:rPr>
          <w:rFonts w:hint="eastAsia" w:ascii="宋体" w:hAnsi="宋体" w:eastAsia="宋体" w:cs="宋体"/>
          <w:color w:val="auto"/>
          <w:kern w:val="0"/>
          <w:sz w:val="24"/>
          <w:szCs w:val="24"/>
          <w:highlight w:val="none"/>
          <w:shd w:val="clear" w:color="auto" w:fill="FFFFFF"/>
        </w:rPr>
        <w:t>GB/T15102-20</w:t>
      </w:r>
      <w:r>
        <w:rPr>
          <w:rFonts w:hint="eastAsia" w:ascii="宋体" w:hAnsi="宋体" w:eastAsia="宋体" w:cs="宋体"/>
          <w:color w:val="auto"/>
          <w:kern w:val="0"/>
          <w:sz w:val="24"/>
          <w:szCs w:val="24"/>
          <w:highlight w:val="none"/>
          <w:shd w:val="clear" w:color="auto" w:fill="FFFFFF"/>
          <w:lang w:val="en-US" w:eastAsia="zh-CN"/>
        </w:rPr>
        <w:t>24</w:t>
      </w:r>
      <w:r>
        <w:rPr>
          <w:rFonts w:hint="eastAsia" w:ascii="宋体" w:hAnsi="宋体" w:eastAsia="宋体" w:cs="宋体"/>
          <w:color w:val="auto"/>
          <w:kern w:val="0"/>
          <w:sz w:val="24"/>
          <w:szCs w:val="24"/>
          <w:highlight w:val="none"/>
          <w:shd w:val="clear" w:color="auto" w:fill="FFFFFF"/>
        </w:rPr>
        <w:t>《浸渍胶膜纸饰面纤维板和刨花板》</w:t>
      </w:r>
      <w:r>
        <w:rPr>
          <w:rFonts w:hint="eastAsia" w:ascii="宋体" w:hAnsi="宋体" w:eastAsia="宋体" w:cs="宋体"/>
          <w:color w:val="auto"/>
          <w:kern w:val="0"/>
          <w:sz w:val="24"/>
          <w:szCs w:val="24"/>
          <w:highlight w:val="none"/>
          <w:shd w:val="clear" w:color="auto" w:fill="FFFFFF"/>
          <w:lang w:val="en-US" w:eastAsia="zh-CN"/>
        </w:rPr>
        <w:t>；</w:t>
      </w:r>
    </w:p>
    <w:p w14:paraId="773C77B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10、</w:t>
      </w:r>
      <w:r>
        <w:rPr>
          <w:rFonts w:hint="eastAsia" w:ascii="宋体" w:hAnsi="宋体" w:eastAsia="宋体" w:cs="宋体"/>
          <w:color w:val="auto"/>
          <w:kern w:val="0"/>
          <w:sz w:val="24"/>
          <w:szCs w:val="24"/>
          <w:highlight w:val="none"/>
          <w:shd w:val="clear" w:color="auto" w:fill="FFFFFF"/>
        </w:rPr>
        <w:t>GB/T35607-2</w:t>
      </w:r>
      <w:r>
        <w:rPr>
          <w:rFonts w:hint="eastAsia" w:ascii="宋体" w:hAnsi="宋体" w:eastAsia="宋体" w:cs="宋体"/>
          <w:color w:val="auto"/>
          <w:kern w:val="0"/>
          <w:sz w:val="24"/>
          <w:szCs w:val="24"/>
          <w:highlight w:val="none"/>
          <w:shd w:val="clear" w:color="auto" w:fill="FFFFFF"/>
          <w:lang w:val="en-US" w:eastAsia="zh-CN"/>
        </w:rPr>
        <w:t>024</w:t>
      </w:r>
      <w:r>
        <w:rPr>
          <w:rFonts w:hint="eastAsia" w:ascii="宋体" w:hAnsi="宋体" w:eastAsia="宋体" w:cs="宋体"/>
          <w:color w:val="auto"/>
          <w:kern w:val="0"/>
          <w:sz w:val="24"/>
          <w:szCs w:val="24"/>
          <w:highlight w:val="none"/>
          <w:shd w:val="clear" w:color="auto" w:fill="FFFFFF"/>
        </w:rPr>
        <w:t>《绿色产品评价 家具》</w:t>
      </w:r>
      <w:r>
        <w:rPr>
          <w:rFonts w:hint="eastAsia" w:ascii="宋体" w:hAnsi="宋体" w:eastAsia="宋体" w:cs="宋体"/>
          <w:color w:val="auto"/>
          <w:kern w:val="0"/>
          <w:sz w:val="24"/>
          <w:szCs w:val="24"/>
          <w:highlight w:val="none"/>
          <w:shd w:val="clear" w:color="auto" w:fill="FFFFFF"/>
          <w:lang w:eastAsia="zh-CN"/>
        </w:rPr>
        <w:t>；</w:t>
      </w:r>
    </w:p>
    <w:p w14:paraId="514D037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11、</w:t>
      </w:r>
      <w:r>
        <w:rPr>
          <w:rFonts w:hint="eastAsia" w:ascii="宋体" w:hAnsi="宋体" w:eastAsia="宋体" w:cs="宋体"/>
          <w:color w:val="auto"/>
          <w:kern w:val="0"/>
          <w:sz w:val="24"/>
          <w:szCs w:val="24"/>
          <w:highlight w:val="none"/>
          <w:shd w:val="clear" w:color="auto" w:fill="FFFFFF"/>
        </w:rPr>
        <w:t>GB</w:t>
      </w:r>
      <w:r>
        <w:rPr>
          <w:rFonts w:hint="eastAsia" w:ascii="宋体" w:hAnsi="宋体" w:eastAsia="宋体" w:cs="宋体"/>
          <w:color w:val="auto"/>
          <w:kern w:val="0"/>
          <w:sz w:val="24"/>
          <w:szCs w:val="24"/>
          <w:highlight w:val="none"/>
          <w:shd w:val="clear" w:color="auto" w:fill="FFFFFF"/>
          <w:lang w:val="en-US" w:eastAsia="zh-CN"/>
        </w:rPr>
        <w:t>18584-2024</w:t>
      </w:r>
      <w:r>
        <w:rPr>
          <w:rFonts w:hint="eastAsia" w:ascii="宋体" w:hAnsi="宋体" w:eastAsia="宋体" w:cs="宋体"/>
          <w:color w:val="auto"/>
          <w:kern w:val="0"/>
          <w:sz w:val="24"/>
          <w:szCs w:val="24"/>
          <w:highlight w:val="none"/>
          <w:shd w:val="clear" w:color="auto" w:fill="FFFFFF"/>
        </w:rPr>
        <w:t>《塑料家具中有害物质限量》</w:t>
      </w:r>
      <w:r>
        <w:rPr>
          <w:rFonts w:hint="eastAsia" w:ascii="宋体" w:hAnsi="宋体" w:eastAsia="宋体" w:cs="宋体"/>
          <w:color w:val="auto"/>
          <w:kern w:val="0"/>
          <w:sz w:val="24"/>
          <w:szCs w:val="24"/>
          <w:highlight w:val="none"/>
          <w:shd w:val="clear" w:color="auto" w:fill="FFFFFF"/>
          <w:lang w:eastAsia="zh-CN"/>
        </w:rPr>
        <w:t>；</w:t>
      </w:r>
    </w:p>
    <w:p w14:paraId="0BFD9CD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12、与本项目标的相关的</w:t>
      </w:r>
      <w:r>
        <w:rPr>
          <w:rFonts w:hint="eastAsia" w:ascii="宋体" w:hAnsi="宋体" w:eastAsia="宋体" w:cs="宋体"/>
          <w:color w:val="auto"/>
          <w:kern w:val="0"/>
          <w:sz w:val="24"/>
          <w:szCs w:val="24"/>
          <w:highlight w:val="none"/>
          <w:shd w:val="clear" w:color="auto" w:fill="FFFFFF"/>
        </w:rPr>
        <w:t>国家</w:t>
      </w:r>
      <w:r>
        <w:rPr>
          <w:rFonts w:hint="eastAsia" w:ascii="宋体" w:hAnsi="宋体" w:eastAsia="宋体" w:cs="宋体"/>
          <w:color w:val="auto"/>
          <w:kern w:val="0"/>
          <w:sz w:val="24"/>
          <w:szCs w:val="24"/>
          <w:highlight w:val="none"/>
          <w:shd w:val="clear" w:color="auto" w:fill="FFFFFF"/>
          <w:lang w:val="en-US" w:eastAsia="zh-CN"/>
        </w:rPr>
        <w:t>现行</w:t>
      </w:r>
      <w:r>
        <w:rPr>
          <w:rFonts w:hint="eastAsia" w:ascii="宋体" w:hAnsi="宋体" w:eastAsia="宋体" w:cs="宋体"/>
          <w:color w:val="auto"/>
          <w:kern w:val="0"/>
          <w:sz w:val="24"/>
          <w:szCs w:val="24"/>
          <w:highlight w:val="none"/>
          <w:shd w:val="clear" w:color="auto" w:fill="FFFFFF"/>
        </w:rPr>
        <w:t>标准、行业标准、地方标准或者其他标准、规范</w:t>
      </w: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同有标准的以高者为准</w:t>
      </w:r>
      <w:r>
        <w:rPr>
          <w:rFonts w:hint="eastAsia" w:ascii="宋体" w:hAnsi="宋体" w:eastAsia="宋体" w:cs="宋体"/>
          <w:color w:val="auto"/>
          <w:kern w:val="0"/>
          <w:sz w:val="24"/>
          <w:szCs w:val="24"/>
          <w:highlight w:val="none"/>
          <w:shd w:val="clear" w:color="auto" w:fill="FFFFFF"/>
          <w:lang w:eastAsia="zh-CN"/>
        </w:rPr>
        <w:t>。</w:t>
      </w:r>
    </w:p>
    <w:p w14:paraId="52805565">
      <w:pPr>
        <w:spacing w:line="360" w:lineRule="auto"/>
        <w:ind w:firstLine="482" w:firstLineChars="200"/>
        <w:jc w:val="left"/>
        <w:outlineLvl w:val="1"/>
        <w:rPr>
          <w:rFonts w:ascii="宋体" w:hAnsi="宋体" w:cs="宋体"/>
          <w:b/>
          <w:bCs/>
          <w:color w:val="auto"/>
          <w:kern w:val="0"/>
          <w:sz w:val="24"/>
          <w:szCs w:val="24"/>
        </w:rPr>
      </w:pPr>
      <w:r>
        <w:rPr>
          <w:rFonts w:hint="eastAsia" w:ascii="宋体" w:hAnsi="宋体" w:cs="宋体"/>
          <w:b/>
          <w:bCs/>
          <w:color w:val="auto"/>
          <w:kern w:val="0"/>
          <w:sz w:val="24"/>
          <w:szCs w:val="24"/>
          <w:lang w:eastAsia="zh-CN"/>
        </w:rPr>
        <w:t>三</w:t>
      </w:r>
      <w:r>
        <w:rPr>
          <w:rFonts w:hint="eastAsia" w:ascii="宋体" w:hAnsi="宋体" w:cs="宋体"/>
          <w:b/>
          <w:bCs/>
          <w:color w:val="auto"/>
          <w:kern w:val="0"/>
          <w:sz w:val="24"/>
          <w:szCs w:val="24"/>
        </w:rPr>
        <w:t>、相关要求：</w:t>
      </w:r>
    </w:p>
    <w:p w14:paraId="71BEB4FE">
      <w:pPr>
        <w:ind w:firstLine="480" w:firstLineChars="200"/>
        <w:rPr>
          <w:rFonts w:ascii="宋体" w:hAnsi="宋体" w:cs="宋体"/>
          <w:color w:val="auto"/>
          <w:kern w:val="0"/>
          <w:sz w:val="24"/>
          <w:szCs w:val="24"/>
          <w:highlight w:val="yellow"/>
        </w:rPr>
      </w:pPr>
      <w:r>
        <w:rPr>
          <w:rFonts w:hint="eastAsia" w:ascii="宋体" w:hAnsi="宋体" w:cs="宋体"/>
          <w:color w:val="auto"/>
          <w:kern w:val="0"/>
          <w:sz w:val="24"/>
          <w:szCs w:val="24"/>
        </w:rPr>
        <w:t>1、一标段和二标段投标人须明确投标产品的厂家、产地、品牌、型号、详细参数，否则为无效投标；</w:t>
      </w:r>
      <w:r>
        <w:rPr>
          <w:rFonts w:hint="eastAsia" w:ascii="宋体" w:hAnsi="宋体" w:cs="宋体"/>
          <w:color w:val="auto"/>
          <w:sz w:val="24"/>
          <w:szCs w:val="24"/>
          <w:highlight w:val="none"/>
        </w:rPr>
        <w:t>三标段</w:t>
      </w:r>
      <w:r>
        <w:rPr>
          <w:rFonts w:hint="eastAsia" w:ascii="宋体" w:hAnsi="宋体" w:cs="宋体"/>
          <w:color w:val="auto"/>
          <w:kern w:val="0"/>
          <w:sz w:val="24"/>
          <w:szCs w:val="24"/>
          <w:highlight w:val="none"/>
        </w:rPr>
        <w:t>投标人</w:t>
      </w:r>
      <w:r>
        <w:rPr>
          <w:rFonts w:hint="eastAsia" w:ascii="宋体" w:hAnsi="宋体" w:cs="宋体"/>
          <w:color w:val="auto"/>
          <w:sz w:val="24"/>
          <w:szCs w:val="24"/>
          <w:highlight w:val="none"/>
        </w:rPr>
        <w:t>须明确投标产品厂家、产地、品牌、型号、详细参数（其中简易空间装饰、辅材辅料、安装调试项除外），否则为无效投标</w:t>
      </w:r>
    </w:p>
    <w:p w14:paraId="52B72701">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2、三个标段投标人分别承诺就对应标段完整投标，招标文件中所列产品参数均为最低要求，不允许负偏离，否则将承担其响应被视为非实质性响应的风险，为无效投标。</w:t>
      </w:r>
    </w:p>
    <w:p w14:paraId="67A16A92">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3、本次招标采购产品若属于《节能产品政府采购品目清单》</w:t>
      </w:r>
      <w:r>
        <w:rPr>
          <w:rFonts w:hint="eastAsia" w:ascii="宋体" w:hAnsi="宋体" w:cs="宋体"/>
          <w:color w:val="auto"/>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color w:val="auto"/>
          <w:kern w:val="0"/>
          <w:sz w:val="24"/>
          <w:szCs w:val="24"/>
        </w:rPr>
        <w:t>；若属于优先采购产品，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应提供具有国家确定的认证机构出具的、处于有效期之内的节能产品认证证书，评标委员会根据本项目评标标准予以判定并赋分。</w:t>
      </w:r>
    </w:p>
    <w:p w14:paraId="5F72B6C6">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4、本次招标采购产品若属于《环境标志产品政府采购品目清单》内产品，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应提供具有国家确定的认证机构出具的、处于有效期之内的环境标志产品认证证书，评标委员会根据本项目评标标准予以判定并赋分。</w:t>
      </w:r>
    </w:p>
    <w:p w14:paraId="28F4B52D">
      <w:pPr>
        <w:tabs>
          <w:tab w:val="left" w:pos="7095"/>
        </w:tabs>
        <w:spacing w:line="360" w:lineRule="auto"/>
        <w:ind w:firstLine="480" w:firstLineChars="200"/>
        <w:rPr>
          <w:rFonts w:ascii="宋体" w:hAnsi="宋体" w:cs="宋体"/>
          <w:color w:val="auto"/>
          <w:kern w:val="0"/>
          <w:sz w:val="24"/>
          <w:szCs w:val="24"/>
        </w:rPr>
      </w:pPr>
      <w:bookmarkStart w:id="18" w:name="OLE_LINK52"/>
      <w:r>
        <w:rPr>
          <w:rFonts w:hint="eastAsia" w:ascii="宋体" w:hAnsi="宋体" w:cs="宋体"/>
          <w:color w:val="auto"/>
          <w:kern w:val="0"/>
          <w:sz w:val="24"/>
          <w:szCs w:val="24"/>
        </w:rPr>
        <w:t>5、</w:t>
      </w:r>
      <w:bookmarkEnd w:id="18"/>
      <w:r>
        <w:rPr>
          <w:rFonts w:hint="eastAsia" w:ascii="宋体" w:hAnsi="宋体" w:cs="宋体"/>
          <w:color w:val="auto"/>
          <w:kern w:val="0"/>
          <w:sz w:val="24"/>
          <w:szCs w:val="24"/>
        </w:rPr>
        <w:t>本次招标采购产品若属于“中国强制性产品认证”（3C认证）产品的,</w:t>
      </w:r>
      <w:r>
        <w:rPr>
          <w:rFonts w:hint="eastAsia" w:ascii="宋体" w:hAnsi="宋体" w:cs="宋体"/>
          <w:color w:val="auto"/>
          <w:kern w:val="0"/>
          <w:sz w:val="24"/>
          <w:szCs w:val="24"/>
          <w:lang w:val="zh-CN"/>
        </w:rPr>
        <w:t>投标供应商投标文件</w:t>
      </w:r>
      <w:r>
        <w:rPr>
          <w:rFonts w:hint="eastAsia" w:ascii="宋体" w:hAnsi="宋体" w:cs="宋体"/>
          <w:color w:val="auto"/>
          <w:kern w:val="0"/>
          <w:sz w:val="24"/>
          <w:szCs w:val="24"/>
        </w:rPr>
        <w:t>须提供国家确定的认证机构出具的、处于有效期之内的强制性产品认证证书，</w:t>
      </w:r>
      <w:r>
        <w:rPr>
          <w:rFonts w:hint="eastAsia" w:ascii="宋体" w:hAnsi="宋体" w:cs="宋体"/>
          <w:color w:val="auto"/>
          <w:kern w:val="0"/>
          <w:sz w:val="24"/>
          <w:szCs w:val="24"/>
          <w:lang w:val="zh-CN"/>
        </w:rPr>
        <w:t>否则投标无效</w:t>
      </w:r>
      <w:r>
        <w:rPr>
          <w:rFonts w:hint="eastAsia" w:ascii="宋体" w:hAnsi="宋体" w:cs="宋体"/>
          <w:color w:val="auto"/>
          <w:kern w:val="0"/>
          <w:sz w:val="24"/>
          <w:szCs w:val="24"/>
        </w:rPr>
        <w:t>。</w:t>
      </w:r>
    </w:p>
    <w:p w14:paraId="154B89A9">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6、三个标段投标人均应具有完善的售后服务，免费培训操作及维修人员，免费负责设备的安装及调试。不响应者为无效投标。</w:t>
      </w:r>
      <w:r>
        <w:rPr>
          <w:rFonts w:hint="eastAsia" w:ascii="宋体" w:hAnsi="宋体" w:cs="宋体"/>
          <w:color w:val="auto"/>
          <w:sz w:val="24"/>
          <w:szCs w:val="24"/>
        </w:rPr>
        <w:t>其中三标段因具有以下特点：一是项目较复杂。包括设备安装、线路、软件的调试、数据维护、系统对接和人员培训等；二是项目要求专业性强、技术性高，三是管理服务涉及保密信息。所以三标段还要求供应商应具有需要熟悉国家教育考试业务流程、熟悉标准化考点系统维护与操作、有国家教育考试管理服务经验的公司提供系统化、专业化的服务，特别是高考、学业水平考试期间一段时间内大数据量、大设备量和大网络量的应急处理有较高要求，且标准化考场组织的考试工作，各种数据信息属绝密级或机密级，命题期间通过网络上传的视频数据属涉密信息，需要有较强的保密意识和严密的保密措施，不响应者为无效投标。</w:t>
      </w:r>
    </w:p>
    <w:p w14:paraId="67F21D63">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7、本项目三个标段投标承诺报价分别为总包价，包含货物招标、包装、运输、装卸、备品备件、质保、税金、调试和使用培训等一切费用，如有招标文件中没有明确，而本项目必需的各种材料，均应包括在本项目中，招标人不再另行进行支付有关款项。投标供货商投标时应考虑安装、运输等诸多因素及费用问题应包含在内，不响应者为无效投标。</w:t>
      </w:r>
    </w:p>
    <w:p w14:paraId="21056E02">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8、多家投标人提供的主要核心产品品牌相同且通过资格审查、符合性审查的不同投标人，参加同一合同项下投标的，按一家投标人计算，评审后得分最高的同品牌投标人获得中标人推荐资格；评审得分相同的，同品牌投标价格最低的获得中标人推荐资格，其他同品牌投标人不作为中标候选人。</w:t>
      </w:r>
    </w:p>
    <w:p w14:paraId="130BA7E5">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9、交货期：一标段和二标段合同签订后30日历天；三标段合同签订后40日历天，不响应者为无效投标。</w:t>
      </w:r>
    </w:p>
    <w:p w14:paraId="64CD59C0">
      <w:pPr>
        <w:ind w:firstLine="480" w:firstLineChars="200"/>
        <w:rPr>
          <w:rFonts w:ascii="宋体" w:hAnsi="宋体" w:cs="宋体"/>
          <w:color w:val="auto"/>
          <w:kern w:val="0"/>
          <w:sz w:val="24"/>
          <w:szCs w:val="24"/>
        </w:rPr>
      </w:pPr>
      <w:r>
        <w:rPr>
          <w:rFonts w:hint="eastAsia" w:ascii="宋体" w:hAnsi="宋体" w:cs="宋体"/>
          <w:color w:val="auto"/>
          <w:kern w:val="0"/>
          <w:sz w:val="24"/>
          <w:szCs w:val="24"/>
        </w:rPr>
        <w:t>10、一标段空调设备售后服务期限为6年，质保整机、压缩机及关键零部件包修6年；二标段自货物完成验收之日起，质保期一年，免费售后服务期限三年。中标供应商应在质保期满前7天对所供货物免费进行一次全面的检查、维护，如发现潜在问题，应负责解决排除；三标段所有设备售后服务及质保期限最低为一年</w:t>
      </w:r>
      <w:bookmarkStart w:id="19" w:name="OLE_LINK8"/>
      <w:bookmarkStart w:id="20" w:name="OLE_LINK15"/>
      <w:r>
        <w:rPr>
          <w:rFonts w:hint="eastAsia" w:ascii="宋体" w:hAnsi="宋体" w:cs="宋体"/>
          <w:color w:val="auto"/>
          <w:kern w:val="0"/>
          <w:sz w:val="24"/>
          <w:szCs w:val="24"/>
        </w:rPr>
        <w:t>，不响应者为无效投标。</w:t>
      </w:r>
      <w:bookmarkEnd w:id="19"/>
      <w:bookmarkEnd w:id="20"/>
    </w:p>
    <w:p w14:paraId="0771D671">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三个标段供应商均须单独明确免费保修期限，同时应提出故障响应时间，在免费保修期内，同一质量问题连续两次维修仍无法正常使用，供应商必须予以更换同品牌、同型号的全新产品，超过保修期发生故障，用户可自由选择维修单位，如委托给供应商，供应商不得借故推诿，并且维修费不能超过市场平均价格，不响应者为无效投标。</w:t>
      </w:r>
    </w:p>
    <w:p w14:paraId="4737DF72">
      <w:pPr>
        <w:tabs>
          <w:tab w:val="left" w:pos="7095"/>
        </w:tabs>
        <w:spacing w:line="360" w:lineRule="auto"/>
        <w:ind w:firstLine="480" w:firstLineChars="200"/>
        <w:rPr>
          <w:rFonts w:ascii="宋体" w:hAnsi="宋体" w:cs="宋体"/>
          <w:color w:val="auto"/>
          <w:sz w:val="24"/>
          <w:szCs w:val="24"/>
        </w:rPr>
      </w:pPr>
      <w:r>
        <w:rPr>
          <w:rFonts w:hint="eastAsia" w:ascii="宋体" w:hAnsi="宋体" w:cs="宋体"/>
          <w:color w:val="auto"/>
          <w:kern w:val="0"/>
          <w:sz w:val="24"/>
          <w:szCs w:val="24"/>
        </w:rPr>
        <w:t>11、三标段</w:t>
      </w:r>
      <w:r>
        <w:rPr>
          <w:rFonts w:hint="eastAsia" w:ascii="宋体" w:hAnsi="宋体" w:cs="宋体"/>
          <w:color w:val="auto"/>
          <w:sz w:val="24"/>
          <w:szCs w:val="24"/>
        </w:rPr>
        <w:t>项目投标人投标时需承诺：一是严格按照河南省招生办公室关于转发教育部考试中心《关于印发《国家教育考试网上巡查系统视频标准技术规范（2017版）》的通知》以及《国家教育考试网上巡查系统视频标准技术规范（2017版）</w:t>
      </w:r>
      <w:r>
        <w:rPr>
          <w:rFonts w:hint="eastAsia" w:ascii="宋体" w:hAnsi="宋体" w:cs="宋体"/>
          <w:color w:val="auto"/>
          <w:sz w:val="24"/>
          <w:szCs w:val="24"/>
          <w:lang w:eastAsia="zh-CN"/>
        </w:rPr>
        <w:t>》等</w:t>
      </w:r>
      <w:r>
        <w:rPr>
          <w:rFonts w:hint="eastAsia" w:ascii="宋体" w:hAnsi="宋体" w:cs="宋体"/>
          <w:color w:val="auto"/>
          <w:sz w:val="24"/>
          <w:szCs w:val="24"/>
        </w:rPr>
        <w:t>相关文件要求进行建设，以确保此次建设的标准化考场系统能与教育部、省、市网上巡查平台，与河南省考务管理平台互联互通，无缝对接，确保系统与教育部、省、市之间数据信息传输的稳定、安全和通畅，否则为无效投标。二</w:t>
      </w:r>
      <w:r>
        <w:rPr>
          <w:rFonts w:hint="eastAsia" w:ascii="宋体" w:hAnsi="宋体" w:cs="宋体"/>
          <w:color w:val="auto"/>
          <w:kern w:val="0"/>
          <w:sz w:val="24"/>
          <w:szCs w:val="24"/>
        </w:rPr>
        <w:t>是</w:t>
      </w:r>
      <w:r>
        <w:rPr>
          <w:rFonts w:hint="eastAsia" w:ascii="宋体" w:hAnsi="宋体" w:cs="宋体"/>
          <w:color w:val="auto"/>
          <w:sz w:val="24"/>
          <w:szCs w:val="24"/>
        </w:rPr>
        <w:t>在长葛举办的高考、成招、教师资格等国考及中招、学业水平考试等省考，需提供免费技术服务；考前一周均要派出技术人员，配合考点对设备进行维护检查；考试期间需派出不少于2名技术人员，听从招生考试中心安排驻守考点，提供技术支持。</w:t>
      </w:r>
      <w:r>
        <w:rPr>
          <w:rFonts w:hint="eastAsia" w:ascii="宋体" w:hAnsi="宋体" w:cs="宋体"/>
          <w:color w:val="auto"/>
          <w:sz w:val="24"/>
          <w:szCs w:val="24"/>
          <w:highlight w:val="none"/>
        </w:rPr>
        <w:t>三是所投设备生产厂商</w:t>
      </w:r>
      <w:r>
        <w:rPr>
          <w:rFonts w:hint="eastAsia" w:ascii="宋体" w:hAnsi="宋体" w:cs="宋体"/>
          <w:color w:val="auto"/>
          <w:sz w:val="24"/>
          <w:szCs w:val="24"/>
          <w:highlight w:val="none"/>
          <w:lang w:eastAsia="zh-CN"/>
        </w:rPr>
        <w:t>提供</w:t>
      </w:r>
      <w:r>
        <w:rPr>
          <w:rFonts w:hint="eastAsia" w:ascii="宋体" w:hAnsi="宋体" w:cs="宋体"/>
          <w:color w:val="auto"/>
          <w:sz w:val="24"/>
          <w:szCs w:val="24"/>
          <w:highlight w:val="none"/>
        </w:rPr>
        <w:t>“无条件接入现有省、市级国家教育考试网上巡查系统”技术承诺函。</w:t>
      </w:r>
      <w:r>
        <w:rPr>
          <w:rFonts w:hint="eastAsia" w:ascii="宋体" w:hAnsi="宋体" w:cs="宋体"/>
          <w:color w:val="auto"/>
          <w:sz w:val="24"/>
          <w:szCs w:val="24"/>
        </w:rPr>
        <w:t>以保障需求清单中加△号项能与现有河南省、许昌市、长葛市级巡查系统无缝对接、互联互通。上述承诺书，未提供的视为不满足，为无效投标。</w:t>
      </w:r>
    </w:p>
    <w:p w14:paraId="1E207A17">
      <w:pPr>
        <w:spacing w:line="360" w:lineRule="auto"/>
        <w:ind w:firstLine="482" w:firstLineChars="200"/>
        <w:jc w:val="left"/>
        <w:outlineLvl w:val="1"/>
        <w:rPr>
          <w:rFonts w:ascii="宋体" w:hAnsi="宋体" w:cs="宋体"/>
          <w:b/>
          <w:bCs/>
          <w:color w:val="auto"/>
          <w:kern w:val="0"/>
          <w:sz w:val="24"/>
          <w:szCs w:val="24"/>
        </w:rPr>
      </w:pPr>
      <w:r>
        <w:rPr>
          <w:rFonts w:hint="eastAsia" w:ascii="宋体" w:hAnsi="宋体" w:cs="宋体"/>
          <w:b/>
          <w:bCs/>
          <w:color w:val="auto"/>
          <w:kern w:val="0"/>
          <w:sz w:val="24"/>
          <w:szCs w:val="24"/>
          <w:lang w:eastAsia="zh-CN"/>
        </w:rPr>
        <w:t>四</w:t>
      </w:r>
      <w:r>
        <w:rPr>
          <w:rFonts w:hint="eastAsia" w:ascii="宋体" w:hAnsi="宋体" w:cs="宋体"/>
          <w:b/>
          <w:bCs/>
          <w:color w:val="auto"/>
          <w:kern w:val="0"/>
          <w:sz w:val="24"/>
          <w:szCs w:val="24"/>
        </w:rPr>
        <w:t>、验收标准</w:t>
      </w:r>
    </w:p>
    <w:p w14:paraId="24940283">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sz w:val="24"/>
          <w:szCs w:val="24"/>
        </w:rPr>
        <w:t>1.</w:t>
      </w:r>
      <w:r>
        <w:rPr>
          <w:rFonts w:hint="eastAsia" w:ascii="宋体" w:hAnsi="宋体" w:cs="宋体"/>
          <w:color w:val="auto"/>
          <w:kern w:val="0"/>
          <w:sz w:val="24"/>
          <w:szCs w:val="24"/>
        </w:rPr>
        <w:t>由招标人成立验收小组或委托第三方</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按照招标合同的约定对中标人履约情况进行验收。验收时,按照招标合同的约定对每一项技术、服务、安全标准的履约情况进行确认。验收结束后,出具验收报告,列明各项标准的验收情况及项目总体评价,由验收双方共同签署。</w:t>
      </w:r>
    </w:p>
    <w:p w14:paraId="69763EBC">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2.按照招标文件要求、投标文件响应和承诺验收。</w:t>
      </w:r>
    </w:p>
    <w:p w14:paraId="72F14DF4">
      <w:pPr>
        <w:spacing w:line="360" w:lineRule="auto"/>
        <w:ind w:firstLine="482" w:firstLineChars="200"/>
        <w:jc w:val="left"/>
        <w:outlineLvl w:val="1"/>
        <w:rPr>
          <w:rFonts w:ascii="宋体" w:hAnsi="宋体" w:cs="宋体"/>
          <w:b/>
          <w:bCs/>
          <w:color w:val="auto"/>
          <w:kern w:val="0"/>
          <w:sz w:val="24"/>
          <w:szCs w:val="24"/>
        </w:rPr>
      </w:pPr>
      <w:r>
        <w:rPr>
          <w:rFonts w:hint="eastAsia" w:ascii="宋体" w:hAnsi="宋体" w:cs="宋体"/>
          <w:b/>
          <w:bCs/>
          <w:color w:val="auto"/>
          <w:kern w:val="0"/>
          <w:sz w:val="24"/>
          <w:szCs w:val="24"/>
          <w:lang w:eastAsia="zh-CN"/>
        </w:rPr>
        <w:t>五</w:t>
      </w:r>
      <w:r>
        <w:rPr>
          <w:rFonts w:hint="eastAsia" w:ascii="宋体" w:hAnsi="宋体" w:cs="宋体"/>
          <w:b/>
          <w:bCs/>
          <w:color w:val="auto"/>
          <w:kern w:val="0"/>
          <w:sz w:val="24"/>
          <w:szCs w:val="24"/>
        </w:rPr>
        <w:t>、资金支付</w:t>
      </w:r>
    </w:p>
    <w:p w14:paraId="6869E494">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1.支付方式：银行转账。</w:t>
      </w:r>
    </w:p>
    <w:p w14:paraId="5C1137DB">
      <w:pPr>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2.支付时间及条件：</w:t>
      </w:r>
      <w:r>
        <w:rPr>
          <w:rFonts w:hint="eastAsia" w:ascii="宋体" w:hAnsi="宋体" w:cs="宋体"/>
          <w:color w:val="auto"/>
          <w:spacing w:val="7"/>
          <w:sz w:val="24"/>
          <w:szCs w:val="24"/>
        </w:rPr>
        <w:t>采取“分批分次”付款方式，首付款比例不低于合同金额的50%。</w:t>
      </w:r>
    </w:p>
    <w:p w14:paraId="6BE0C126">
      <w:pPr>
        <w:spacing w:line="360" w:lineRule="auto"/>
        <w:ind w:firstLine="480" w:firstLineChars="200"/>
        <w:jc w:val="left"/>
        <w:rPr>
          <w:rFonts w:ascii="宋体" w:hAnsi="宋体" w:cs="宋体"/>
          <w:color w:val="auto"/>
          <w:kern w:val="0"/>
          <w:sz w:val="24"/>
          <w:szCs w:val="24"/>
        </w:rPr>
      </w:pPr>
    </w:p>
    <w:p w14:paraId="42ED0A27">
      <w:pPr>
        <w:rPr>
          <w:rFonts w:ascii="宋体" w:hAnsi="宋体"/>
          <w:b/>
          <w:color w:val="auto"/>
          <w:kern w:val="0"/>
          <w:sz w:val="32"/>
          <w:szCs w:val="32"/>
        </w:rPr>
      </w:pPr>
      <w:r>
        <w:rPr>
          <w:rFonts w:hint="eastAsia" w:ascii="宋体" w:hAnsi="宋体"/>
          <w:b/>
          <w:color w:val="auto"/>
          <w:kern w:val="0"/>
          <w:sz w:val="32"/>
          <w:szCs w:val="32"/>
        </w:rPr>
        <w:br w:type="page"/>
      </w:r>
    </w:p>
    <w:p w14:paraId="214FD4B8">
      <w:pPr>
        <w:widowControl/>
        <w:spacing w:line="360" w:lineRule="auto"/>
        <w:jc w:val="center"/>
        <w:outlineLvl w:val="0"/>
        <w:rPr>
          <w:rFonts w:ascii="宋体" w:hAnsi="宋体"/>
          <w:b/>
          <w:color w:val="auto"/>
          <w:kern w:val="0"/>
          <w:sz w:val="32"/>
          <w:szCs w:val="32"/>
        </w:rPr>
      </w:pPr>
      <w:r>
        <w:rPr>
          <w:rFonts w:hint="eastAsia" w:ascii="宋体" w:hAnsi="宋体"/>
          <w:b/>
          <w:color w:val="auto"/>
          <w:kern w:val="0"/>
          <w:sz w:val="32"/>
          <w:szCs w:val="32"/>
        </w:rPr>
        <w:t>第三章  供应商须知前附表</w:t>
      </w:r>
    </w:p>
    <w:p w14:paraId="472A184C">
      <w:pPr>
        <w:widowControl/>
        <w:spacing w:line="360" w:lineRule="auto"/>
        <w:rPr>
          <w:rFonts w:ascii="宋体" w:hAnsi="宋体"/>
          <w:b/>
          <w:color w:val="auto"/>
          <w:kern w:val="0"/>
          <w:sz w:val="22"/>
          <w:szCs w:val="22"/>
        </w:rPr>
      </w:pPr>
      <w:r>
        <w:rPr>
          <w:rFonts w:hint="eastAsia" w:ascii="宋体" w:hAnsi="宋体"/>
          <w:b/>
          <w:color w:val="auto"/>
          <w:sz w:val="22"/>
          <w:szCs w:val="22"/>
        </w:rPr>
        <w:t>采购</w:t>
      </w:r>
      <w:r>
        <w:rPr>
          <w:rFonts w:hint="eastAsia" w:ascii="宋体" w:hAnsi="宋体" w:cs="微软雅黑"/>
          <w:b/>
          <w:color w:val="auto"/>
          <w:sz w:val="22"/>
          <w:szCs w:val="22"/>
        </w:rPr>
        <w:t>文件中凡标有★条款均为实质性要求条款，投标文件须完全响应，未实质响应的，按照无效投标处理。</w:t>
      </w:r>
    </w:p>
    <w:tbl>
      <w:tblPr>
        <w:tblStyle w:val="30"/>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881"/>
        <w:gridCol w:w="6902"/>
      </w:tblGrid>
      <w:tr w14:paraId="106B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0461E78">
            <w:pPr>
              <w:autoSpaceDE w:val="0"/>
              <w:autoSpaceDN w:val="0"/>
              <w:adjustRightInd w:val="0"/>
              <w:snapToGrid w:val="0"/>
              <w:spacing w:line="400" w:lineRule="exact"/>
              <w:jc w:val="center"/>
              <w:rPr>
                <w:rFonts w:ascii="宋体" w:hAnsi="宋体" w:cs="宋体"/>
                <w:b/>
                <w:color w:val="auto"/>
                <w:sz w:val="24"/>
                <w:szCs w:val="24"/>
              </w:rPr>
            </w:pPr>
            <w:r>
              <w:rPr>
                <w:rFonts w:hint="eastAsia" w:ascii="宋体" w:hAnsi="宋体" w:cs="宋体"/>
                <w:b/>
                <w:color w:val="auto"/>
                <w:sz w:val="24"/>
                <w:szCs w:val="24"/>
              </w:rPr>
              <w:t>序号</w:t>
            </w:r>
          </w:p>
        </w:tc>
        <w:tc>
          <w:tcPr>
            <w:tcW w:w="1881" w:type="dxa"/>
            <w:tcBorders>
              <w:top w:val="single" w:color="auto" w:sz="4" w:space="0"/>
              <w:left w:val="nil"/>
              <w:bottom w:val="single" w:color="auto" w:sz="4" w:space="0"/>
              <w:right w:val="single" w:color="auto" w:sz="4" w:space="0"/>
            </w:tcBorders>
            <w:vAlign w:val="center"/>
          </w:tcPr>
          <w:p w14:paraId="74A5266E">
            <w:pPr>
              <w:autoSpaceDE w:val="0"/>
              <w:autoSpaceDN w:val="0"/>
              <w:adjustRightInd w:val="0"/>
              <w:snapToGrid w:val="0"/>
              <w:spacing w:line="400" w:lineRule="exact"/>
              <w:jc w:val="center"/>
              <w:rPr>
                <w:rFonts w:ascii="宋体" w:hAnsi="宋体" w:cs="宋体"/>
                <w:b/>
                <w:color w:val="auto"/>
                <w:sz w:val="24"/>
                <w:szCs w:val="24"/>
              </w:rPr>
            </w:pPr>
            <w:r>
              <w:rPr>
                <w:rFonts w:hint="eastAsia" w:ascii="宋体" w:hAnsi="宋体" w:cs="宋体"/>
                <w:b/>
                <w:color w:val="auto"/>
                <w:sz w:val="24"/>
                <w:szCs w:val="24"/>
              </w:rPr>
              <w:t>条款名称</w:t>
            </w:r>
          </w:p>
        </w:tc>
        <w:tc>
          <w:tcPr>
            <w:tcW w:w="6902" w:type="dxa"/>
            <w:tcBorders>
              <w:top w:val="single" w:color="auto" w:sz="4" w:space="0"/>
              <w:left w:val="nil"/>
              <w:bottom w:val="single" w:color="auto" w:sz="4" w:space="0"/>
              <w:right w:val="single" w:color="auto" w:sz="4" w:space="0"/>
            </w:tcBorders>
            <w:vAlign w:val="center"/>
          </w:tcPr>
          <w:p w14:paraId="26E8393F">
            <w:pPr>
              <w:autoSpaceDE w:val="0"/>
              <w:autoSpaceDN w:val="0"/>
              <w:adjustRightInd w:val="0"/>
              <w:snapToGrid w:val="0"/>
              <w:spacing w:line="400" w:lineRule="exact"/>
              <w:jc w:val="center"/>
              <w:rPr>
                <w:rFonts w:ascii="宋体" w:hAnsi="宋体" w:cs="宋体"/>
                <w:b/>
                <w:color w:val="auto"/>
                <w:sz w:val="24"/>
                <w:szCs w:val="24"/>
              </w:rPr>
            </w:pPr>
            <w:r>
              <w:rPr>
                <w:rFonts w:hint="eastAsia" w:ascii="宋体" w:hAnsi="宋体" w:cs="宋体"/>
                <w:b/>
                <w:color w:val="auto"/>
                <w:sz w:val="24"/>
                <w:szCs w:val="24"/>
              </w:rPr>
              <w:t>说明和要求</w:t>
            </w:r>
          </w:p>
        </w:tc>
      </w:tr>
      <w:tr w14:paraId="358F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6993EBA">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w:t>
            </w:r>
          </w:p>
        </w:tc>
        <w:tc>
          <w:tcPr>
            <w:tcW w:w="1881" w:type="dxa"/>
            <w:tcBorders>
              <w:top w:val="single" w:color="auto" w:sz="4" w:space="0"/>
              <w:left w:val="nil"/>
              <w:bottom w:val="single" w:color="auto" w:sz="4" w:space="0"/>
              <w:right w:val="single" w:color="auto" w:sz="4" w:space="0"/>
            </w:tcBorders>
            <w:vAlign w:val="center"/>
          </w:tcPr>
          <w:p w14:paraId="2BCD5A61">
            <w:pPr>
              <w:adjustRightInd w:val="0"/>
              <w:snapToGrid w:val="0"/>
              <w:spacing w:line="400" w:lineRule="exact"/>
              <w:jc w:val="center"/>
              <w:rPr>
                <w:rFonts w:ascii="宋体" w:hAnsi="宋体" w:cs="宋体"/>
                <w:bCs/>
                <w:color w:val="auto"/>
                <w:sz w:val="24"/>
                <w:szCs w:val="24"/>
              </w:rPr>
            </w:pPr>
            <w:r>
              <w:rPr>
                <w:rFonts w:hint="eastAsia" w:ascii="宋体" w:hAnsi="宋体" w:cs="宋体"/>
                <w:color w:val="auto"/>
                <w:sz w:val="24"/>
                <w:szCs w:val="24"/>
              </w:rPr>
              <w:t>采购项目</w:t>
            </w:r>
          </w:p>
        </w:tc>
        <w:tc>
          <w:tcPr>
            <w:tcW w:w="6902" w:type="dxa"/>
            <w:tcBorders>
              <w:top w:val="single" w:color="auto" w:sz="4" w:space="0"/>
              <w:left w:val="nil"/>
              <w:bottom w:val="single" w:color="auto" w:sz="4" w:space="0"/>
              <w:right w:val="single" w:color="auto" w:sz="4" w:space="0"/>
            </w:tcBorders>
          </w:tcPr>
          <w:p w14:paraId="64ED6D92">
            <w:pPr>
              <w:autoSpaceDE w:val="0"/>
              <w:autoSpaceDN w:val="0"/>
              <w:adjustRightInd w:val="0"/>
              <w:snapToGrid w:val="0"/>
              <w:spacing w:line="400" w:lineRule="exact"/>
              <w:jc w:val="left"/>
              <w:rPr>
                <w:rFonts w:ascii="宋体" w:hAnsi="宋体" w:cs="宋体"/>
                <w:color w:val="auto"/>
                <w:sz w:val="24"/>
                <w:szCs w:val="24"/>
              </w:rPr>
            </w:pPr>
            <w:r>
              <w:rPr>
                <w:rFonts w:hint="eastAsia" w:ascii="宋体" w:hAnsi="宋体" w:cs="宋体"/>
                <w:color w:val="auto"/>
                <w:sz w:val="24"/>
                <w:szCs w:val="24"/>
              </w:rPr>
              <w:t>项目名称：陈寔路学校第二批教学设备采购不见面开标</w:t>
            </w:r>
          </w:p>
          <w:p w14:paraId="571C1D63">
            <w:pPr>
              <w:autoSpaceDE w:val="0"/>
              <w:autoSpaceDN w:val="0"/>
              <w:adjustRightInd w:val="0"/>
              <w:snapToGrid w:val="0"/>
              <w:spacing w:line="400" w:lineRule="exact"/>
              <w:jc w:val="left"/>
              <w:rPr>
                <w:rFonts w:ascii="宋体" w:hAnsi="宋体" w:cs="宋体"/>
                <w:color w:val="auto"/>
                <w:sz w:val="24"/>
                <w:szCs w:val="24"/>
              </w:rPr>
            </w:pPr>
            <w:r>
              <w:rPr>
                <w:rFonts w:hint="eastAsia" w:ascii="宋体" w:hAnsi="宋体" w:cs="宋体"/>
                <w:color w:val="auto"/>
                <w:sz w:val="24"/>
                <w:szCs w:val="24"/>
              </w:rPr>
              <w:t>项目编号：长招采公字【2025】033号</w:t>
            </w:r>
          </w:p>
        </w:tc>
      </w:tr>
      <w:tr w14:paraId="0782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E2FC9CD">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w:t>
            </w:r>
          </w:p>
        </w:tc>
        <w:tc>
          <w:tcPr>
            <w:tcW w:w="1881" w:type="dxa"/>
            <w:tcBorders>
              <w:top w:val="single" w:color="auto" w:sz="4" w:space="0"/>
              <w:left w:val="nil"/>
              <w:bottom w:val="single" w:color="auto" w:sz="4" w:space="0"/>
              <w:right w:val="single" w:color="auto" w:sz="4" w:space="0"/>
            </w:tcBorders>
            <w:vAlign w:val="center"/>
          </w:tcPr>
          <w:p w14:paraId="2FB42262">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采购人</w:t>
            </w:r>
          </w:p>
        </w:tc>
        <w:tc>
          <w:tcPr>
            <w:tcW w:w="6902" w:type="dxa"/>
            <w:tcBorders>
              <w:top w:val="single" w:color="auto" w:sz="4" w:space="0"/>
              <w:left w:val="nil"/>
              <w:bottom w:val="single" w:color="auto" w:sz="4" w:space="0"/>
              <w:right w:val="single" w:color="auto" w:sz="4" w:space="0"/>
            </w:tcBorders>
          </w:tcPr>
          <w:p w14:paraId="3BF37207">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采购单位：长葛市教育体育局</w:t>
            </w:r>
          </w:p>
          <w:p w14:paraId="2E0AAD8F">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联系人： 石女士</w:t>
            </w:r>
          </w:p>
          <w:p w14:paraId="6AB3360E">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 xml:space="preserve">电话： 0374-6110218 </w:t>
            </w:r>
          </w:p>
          <w:p w14:paraId="4B27A195">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地址：长葛市葛天大道商务区10号楼</w:t>
            </w:r>
          </w:p>
        </w:tc>
      </w:tr>
      <w:tr w14:paraId="4FB4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81AA193">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3</w:t>
            </w:r>
          </w:p>
        </w:tc>
        <w:tc>
          <w:tcPr>
            <w:tcW w:w="1881" w:type="dxa"/>
            <w:tcBorders>
              <w:top w:val="single" w:color="auto" w:sz="4" w:space="0"/>
              <w:left w:val="nil"/>
              <w:bottom w:val="single" w:color="auto" w:sz="4" w:space="0"/>
              <w:right w:val="single" w:color="auto" w:sz="4" w:space="0"/>
            </w:tcBorders>
            <w:vAlign w:val="center"/>
          </w:tcPr>
          <w:p w14:paraId="7684D179">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集采机构</w:t>
            </w:r>
          </w:p>
        </w:tc>
        <w:tc>
          <w:tcPr>
            <w:tcW w:w="6902" w:type="dxa"/>
            <w:tcBorders>
              <w:top w:val="single" w:color="auto" w:sz="4" w:space="0"/>
              <w:left w:val="nil"/>
              <w:bottom w:val="single" w:color="auto" w:sz="4" w:space="0"/>
              <w:right w:val="single" w:color="auto" w:sz="4" w:space="0"/>
            </w:tcBorders>
          </w:tcPr>
          <w:p w14:paraId="615B88B5">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集采机构：长葛市公共资源交易中心</w:t>
            </w:r>
          </w:p>
          <w:p w14:paraId="561BBA13">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地  址：长葛市葛天大道东段商务区6#楼4楼</w:t>
            </w:r>
          </w:p>
          <w:p w14:paraId="29B7CB22">
            <w:pPr>
              <w:widowControl/>
              <w:spacing w:before="31" w:line="360" w:lineRule="auto"/>
              <w:jc w:val="left"/>
              <w:rPr>
                <w:rFonts w:ascii="宋体" w:hAnsi="宋体" w:cs="宋体"/>
                <w:bCs/>
                <w:color w:val="auto"/>
                <w:sz w:val="24"/>
                <w:szCs w:val="24"/>
              </w:rPr>
            </w:pPr>
            <w:r>
              <w:rPr>
                <w:rFonts w:hint="eastAsia" w:ascii="宋体" w:hAnsi="宋体" w:cs="宋体"/>
                <w:bCs/>
                <w:color w:val="auto"/>
                <w:sz w:val="24"/>
                <w:szCs w:val="24"/>
              </w:rPr>
              <w:t xml:space="preserve">联系人：政府采购交易股 </w:t>
            </w:r>
          </w:p>
          <w:p w14:paraId="7EF2248D">
            <w:pPr>
              <w:widowControl/>
              <w:spacing w:before="31" w:line="360" w:lineRule="auto"/>
              <w:jc w:val="left"/>
              <w:rPr>
                <w:rFonts w:ascii="宋体" w:hAnsi="宋体" w:cs="宋体"/>
                <w:color w:val="auto"/>
                <w:sz w:val="24"/>
                <w:szCs w:val="24"/>
              </w:rPr>
            </w:pPr>
            <w:r>
              <w:rPr>
                <w:rFonts w:hint="eastAsia" w:ascii="宋体" w:hAnsi="宋体" w:cs="宋体"/>
                <w:bCs/>
                <w:color w:val="auto"/>
                <w:sz w:val="24"/>
                <w:szCs w:val="24"/>
              </w:rPr>
              <w:t>联系电话：0374-6189379</w:t>
            </w:r>
          </w:p>
        </w:tc>
      </w:tr>
      <w:tr w14:paraId="2F6C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6790C16">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4</w:t>
            </w:r>
          </w:p>
        </w:tc>
        <w:tc>
          <w:tcPr>
            <w:tcW w:w="1881" w:type="dxa"/>
            <w:tcBorders>
              <w:top w:val="single" w:color="auto" w:sz="4" w:space="0"/>
              <w:left w:val="nil"/>
              <w:bottom w:val="single" w:color="auto" w:sz="4" w:space="0"/>
              <w:right w:val="single" w:color="auto" w:sz="4" w:space="0"/>
            </w:tcBorders>
            <w:vAlign w:val="center"/>
          </w:tcPr>
          <w:p w14:paraId="53161A13">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b/>
                <w:color w:val="auto"/>
                <w:sz w:val="24"/>
                <w:szCs w:val="24"/>
              </w:rPr>
              <w:t>★</w:t>
            </w:r>
            <w:r>
              <w:rPr>
                <w:rFonts w:hint="eastAsia" w:ascii="宋体" w:hAnsi="宋体" w:cs="宋体"/>
                <w:bCs/>
                <w:color w:val="auto"/>
                <w:sz w:val="24"/>
                <w:szCs w:val="24"/>
              </w:rPr>
              <w:t>供应商资</w:t>
            </w:r>
            <w:r>
              <w:rPr>
                <w:rFonts w:hint="eastAsia" w:ascii="宋体" w:hAnsi="宋体" w:cs="宋体"/>
                <w:color w:val="auto"/>
                <w:sz w:val="24"/>
                <w:szCs w:val="24"/>
              </w:rPr>
              <w:t>格</w:t>
            </w:r>
          </w:p>
        </w:tc>
        <w:tc>
          <w:tcPr>
            <w:tcW w:w="6902" w:type="dxa"/>
            <w:tcBorders>
              <w:top w:val="single" w:color="auto" w:sz="4" w:space="0"/>
              <w:left w:val="nil"/>
              <w:bottom w:val="single" w:color="auto" w:sz="4" w:space="0"/>
              <w:right w:val="single" w:color="auto" w:sz="4" w:space="0"/>
            </w:tcBorders>
            <w:vAlign w:val="center"/>
          </w:tcPr>
          <w:p w14:paraId="3449FA69">
            <w:pPr>
              <w:spacing w:line="360" w:lineRule="auto"/>
              <w:ind w:firstLine="482" w:firstLineChars="200"/>
              <w:rPr>
                <w:rFonts w:ascii="宋体" w:hAnsi="宋体" w:cs="宋体"/>
                <w:color w:val="auto"/>
                <w:kern w:val="0"/>
                <w:sz w:val="24"/>
                <w:szCs w:val="24"/>
              </w:rPr>
            </w:pPr>
            <w:r>
              <w:rPr>
                <w:rFonts w:hint="eastAsia" w:ascii="宋体" w:hAnsi="宋体" w:cs="宋体"/>
                <w:b/>
                <w:bCs/>
                <w:color w:val="auto"/>
                <w:kern w:val="0"/>
                <w:sz w:val="24"/>
                <w:szCs w:val="24"/>
              </w:rPr>
              <w:t>一、</w:t>
            </w:r>
            <w:r>
              <w:rPr>
                <w:rFonts w:hint="eastAsia" w:ascii="宋体" w:hAnsi="宋体" w:cs="宋体"/>
                <w:color w:val="auto"/>
                <w:kern w:val="0"/>
                <w:sz w:val="24"/>
                <w:szCs w:val="24"/>
              </w:rPr>
              <w:t>符合《中华人民共和国政府采购法》第二十二条之规定。</w:t>
            </w:r>
          </w:p>
          <w:p w14:paraId="68A8D31B">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二、本项目特定资格要求：无。</w:t>
            </w:r>
          </w:p>
          <w:p w14:paraId="2B7FFA3E">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三、</w:t>
            </w:r>
            <w:r>
              <w:rPr>
                <w:rFonts w:hint="eastAsia" w:ascii="宋体" w:hAnsi="宋体" w:cs="宋体"/>
                <w:color w:val="auto"/>
                <w:kern w:val="0"/>
                <w:sz w:val="24"/>
                <w:szCs w:val="24"/>
              </w:rPr>
              <w:t>未被列入“信用中国”网站(www.creditchina.gov.cn)失信被执行人、重大税收违法案件当事人名单；“中国政府采购网”(www.ccgp.gov.cn)网站的政府采购严重违法失信行为记录名单的供应商；“中国社会组织公共服务平台”网站（www.chinanpo.gov.cn）严重违法失信名单的供应商。</w:t>
            </w:r>
          </w:p>
          <w:p w14:paraId="3CDC8DAB">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注：1、供应商在投标时，提供《长葛市政府采购供应商信用承诺函》（详见招标文件第八章3.5格式），无需再提交上述证明材料。</w:t>
            </w:r>
          </w:p>
          <w:p w14:paraId="095CACD6">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2、采购人有权在签订合同前要求中标供应商提供相关证明材料以核实中标供应商承诺事项的真实性。</w:t>
            </w:r>
          </w:p>
          <w:p w14:paraId="62546687">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3、供应商对信用承诺内容的真实性、合法性、有效性负责。如作出虚假信用承诺，视同为“提供虚假材料谋取中标”的违法行为。</w:t>
            </w:r>
          </w:p>
          <w:p w14:paraId="0037105C">
            <w:pPr>
              <w:spacing w:line="360" w:lineRule="auto"/>
              <w:ind w:firstLine="482" w:firstLineChars="200"/>
              <w:rPr>
                <w:rFonts w:ascii="宋体" w:hAnsi="宋体" w:cs="宋体"/>
                <w:b/>
                <w:bCs/>
                <w:color w:val="auto"/>
                <w:kern w:val="0"/>
                <w:sz w:val="24"/>
                <w:szCs w:val="24"/>
              </w:rPr>
            </w:pPr>
            <w:r>
              <w:rPr>
                <w:rFonts w:hint="eastAsia" w:ascii="宋体" w:hAnsi="宋体" w:cs="宋体"/>
                <w:b/>
                <w:bCs/>
                <w:color w:val="auto"/>
                <w:kern w:val="0"/>
                <w:sz w:val="24"/>
                <w:szCs w:val="24"/>
              </w:rPr>
              <w:t>4、河南省市场主体可通过“信用中国（河南）”网站、河南政务服务网、“豫事办”APP等渠道免费出具专项信用报告。</w:t>
            </w:r>
          </w:p>
          <w:p w14:paraId="1C234961">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四、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7BA17A4F">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五、本项目接受联合体投标。</w:t>
            </w:r>
          </w:p>
          <w:p w14:paraId="039E791D">
            <w:pPr>
              <w:spacing w:line="360" w:lineRule="auto"/>
              <w:ind w:firstLine="480" w:firstLineChars="200"/>
              <w:rPr>
                <w:rFonts w:ascii="宋体" w:hAnsi="宋体" w:cs="宋体"/>
                <w:color w:val="auto"/>
                <w:sz w:val="24"/>
                <w:szCs w:val="24"/>
              </w:rPr>
            </w:pPr>
            <w:r>
              <w:rPr>
                <w:rFonts w:hint="eastAsia" w:ascii="宋体" w:hAnsi="宋体" w:cs="宋体"/>
                <w:color w:val="auto"/>
                <w:kern w:val="0"/>
                <w:sz w:val="24"/>
                <w:szCs w:val="24"/>
              </w:rPr>
              <w:t>六、本项目非专门面向中小企业采购。</w:t>
            </w:r>
          </w:p>
        </w:tc>
      </w:tr>
      <w:tr w14:paraId="199F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7052F182">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5</w:t>
            </w:r>
          </w:p>
        </w:tc>
        <w:tc>
          <w:tcPr>
            <w:tcW w:w="1881" w:type="dxa"/>
            <w:tcBorders>
              <w:top w:val="single" w:color="auto" w:sz="4" w:space="0"/>
              <w:left w:val="nil"/>
              <w:bottom w:val="single" w:color="auto" w:sz="4" w:space="0"/>
              <w:right w:val="single" w:color="auto" w:sz="4" w:space="0"/>
            </w:tcBorders>
            <w:vAlign w:val="center"/>
          </w:tcPr>
          <w:p w14:paraId="0A197AB3">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
                <w:color w:val="auto"/>
                <w:sz w:val="24"/>
                <w:szCs w:val="24"/>
              </w:rPr>
              <w:t>★</w:t>
            </w:r>
            <w:r>
              <w:rPr>
                <w:rFonts w:hint="eastAsia" w:ascii="宋体" w:hAnsi="宋体" w:cs="宋体"/>
                <w:bCs/>
                <w:color w:val="auto"/>
                <w:sz w:val="24"/>
                <w:szCs w:val="24"/>
              </w:rPr>
              <w:t>联合体投标</w:t>
            </w:r>
          </w:p>
        </w:tc>
        <w:tc>
          <w:tcPr>
            <w:tcW w:w="6902" w:type="dxa"/>
            <w:tcBorders>
              <w:top w:val="single" w:color="auto" w:sz="4" w:space="0"/>
              <w:left w:val="nil"/>
              <w:bottom w:val="single" w:color="auto" w:sz="4" w:space="0"/>
              <w:right w:val="single" w:color="auto" w:sz="4" w:space="0"/>
            </w:tcBorders>
            <w:vAlign w:val="center"/>
          </w:tcPr>
          <w:p w14:paraId="5A22A97C">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color w:val="auto"/>
                <w:sz w:val="24"/>
                <w:szCs w:val="24"/>
              </w:rPr>
              <w:t>本项目</w:t>
            </w:r>
            <w:r>
              <w:rPr>
                <w:rFonts w:hint="eastAsia" w:ascii="宋体" w:hAnsi="宋体" w:cs="宋体"/>
                <w:color w:val="auto"/>
                <w:sz w:val="24"/>
                <w:szCs w:val="24"/>
                <w:lang w:val="zh-CN"/>
              </w:rPr>
              <w:t>□</w:t>
            </w:r>
            <w:r>
              <w:rPr>
                <w:rFonts w:hint="eastAsia" w:ascii="宋体" w:hAnsi="宋体" w:cs="宋体"/>
                <w:color w:val="auto"/>
                <w:sz w:val="24"/>
                <w:szCs w:val="24"/>
              </w:rPr>
              <w:t xml:space="preserve">不接受   </w:t>
            </w:r>
            <w:r>
              <w:rPr>
                <w:rFonts w:hint="eastAsia" w:ascii="宋体" w:hAnsi="宋体" w:cs="宋体"/>
                <w:color w:val="auto"/>
                <w:position w:val="2"/>
                <w:sz w:val="24"/>
                <w:szCs w:val="24"/>
                <w:lang w:val="zh-CN"/>
              </w:rPr>
              <w:fldChar w:fldCharType="begin"/>
            </w:r>
            <w:r>
              <w:rPr>
                <w:rFonts w:hint="eastAsia" w:ascii="宋体" w:hAnsi="宋体" w:cs="宋体"/>
                <w:color w:val="auto"/>
                <w:position w:val="2"/>
                <w:sz w:val="24"/>
                <w:szCs w:val="24"/>
                <w:lang w:val="zh-CN"/>
              </w:rPr>
              <w:instrText xml:space="preserve">eq \o\ac(</w:instrText>
            </w:r>
            <w:r>
              <w:rPr>
                <w:rFonts w:hint="eastAsia" w:ascii="宋体" w:hAnsi="宋体" w:cs="宋体"/>
                <w:color w:val="auto"/>
                <w:sz w:val="24"/>
                <w:szCs w:val="24"/>
                <w:lang w:val="zh-CN"/>
              </w:rPr>
              <w:instrText xml:space="preserve">□</w:instrText>
            </w:r>
            <w:r>
              <w:rPr>
                <w:rFonts w:hint="eastAsia" w:ascii="宋体" w:hAnsi="宋体" w:cs="宋体"/>
                <w:color w:val="auto"/>
                <w:position w:val="2"/>
                <w:sz w:val="24"/>
                <w:szCs w:val="24"/>
                <w:lang w:val="zh-CN"/>
              </w:rPr>
              <w:instrText xml:space="preserve">,√)</w:instrText>
            </w:r>
            <w:r>
              <w:rPr>
                <w:rFonts w:hint="eastAsia" w:ascii="宋体" w:hAnsi="宋体" w:cs="宋体"/>
                <w:color w:val="auto"/>
                <w:position w:val="2"/>
                <w:sz w:val="24"/>
                <w:szCs w:val="24"/>
                <w:lang w:val="zh-CN"/>
              </w:rPr>
              <w:fldChar w:fldCharType="end"/>
            </w:r>
            <w:r>
              <w:rPr>
                <w:rFonts w:hint="eastAsia" w:ascii="宋体" w:hAnsi="宋体" w:cs="宋体"/>
                <w:color w:val="auto"/>
                <w:sz w:val="24"/>
                <w:szCs w:val="24"/>
                <w:lang w:val="zh-CN"/>
              </w:rPr>
              <w:t>接受</w:t>
            </w:r>
            <w:r>
              <w:rPr>
                <w:rFonts w:hint="eastAsia" w:ascii="宋体" w:hAnsi="宋体" w:cs="宋体"/>
                <w:color w:val="auto"/>
                <w:sz w:val="24"/>
                <w:szCs w:val="24"/>
              </w:rPr>
              <w:t>联合体响应</w:t>
            </w:r>
          </w:p>
        </w:tc>
      </w:tr>
      <w:tr w14:paraId="5016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E813A46">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6</w:t>
            </w:r>
          </w:p>
        </w:tc>
        <w:tc>
          <w:tcPr>
            <w:tcW w:w="1881" w:type="dxa"/>
            <w:tcBorders>
              <w:top w:val="single" w:color="auto" w:sz="4" w:space="0"/>
              <w:left w:val="nil"/>
              <w:bottom w:val="single" w:color="auto" w:sz="4" w:space="0"/>
              <w:right w:val="single" w:color="auto" w:sz="4" w:space="0"/>
            </w:tcBorders>
            <w:vAlign w:val="center"/>
          </w:tcPr>
          <w:p w14:paraId="5B672995">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
                <w:color w:val="auto"/>
                <w:sz w:val="24"/>
                <w:szCs w:val="24"/>
              </w:rPr>
              <w:t>★</w:t>
            </w:r>
            <w:r>
              <w:rPr>
                <w:rFonts w:hint="eastAsia" w:ascii="宋体" w:hAnsi="宋体" w:cs="宋体"/>
                <w:bCs/>
                <w:color w:val="auto"/>
                <w:sz w:val="24"/>
                <w:szCs w:val="24"/>
              </w:rPr>
              <w:t>预算金额</w:t>
            </w:r>
          </w:p>
        </w:tc>
        <w:tc>
          <w:tcPr>
            <w:tcW w:w="6902" w:type="dxa"/>
            <w:tcBorders>
              <w:top w:val="single" w:color="auto" w:sz="4" w:space="0"/>
              <w:left w:val="nil"/>
              <w:bottom w:val="single" w:color="auto" w:sz="4" w:space="0"/>
              <w:right w:val="single" w:color="auto" w:sz="4" w:space="0"/>
            </w:tcBorders>
            <w:vAlign w:val="center"/>
          </w:tcPr>
          <w:p w14:paraId="6035DB16">
            <w:pPr>
              <w:autoSpaceDE w:val="0"/>
              <w:autoSpaceDN w:val="0"/>
              <w:adjustRightInd w:val="0"/>
              <w:snapToGrid w:val="0"/>
              <w:spacing w:line="400" w:lineRule="exact"/>
              <w:rPr>
                <w:rFonts w:ascii="宋体" w:hAnsi="宋体" w:cs="宋体"/>
                <w:b/>
                <w:color w:val="auto"/>
                <w:sz w:val="24"/>
                <w:szCs w:val="24"/>
              </w:rPr>
            </w:pPr>
            <w:r>
              <w:rPr>
                <w:rFonts w:hint="eastAsia" w:ascii="宋体" w:hAnsi="宋体" w:cs="宋体"/>
                <w:b/>
                <w:color w:val="auto"/>
                <w:sz w:val="24"/>
                <w:szCs w:val="24"/>
              </w:rPr>
              <w:t>招标控制价：3000000.00元，其中一标段419000.00元；二标段 451800.00元；三标段2129200.00元。投标报价不得超过预算金额（最高限价），否则为无效报价。</w:t>
            </w:r>
          </w:p>
        </w:tc>
      </w:tr>
      <w:tr w14:paraId="06B7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DC9531D">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7</w:t>
            </w:r>
          </w:p>
        </w:tc>
        <w:tc>
          <w:tcPr>
            <w:tcW w:w="1881" w:type="dxa"/>
            <w:tcBorders>
              <w:top w:val="single" w:color="auto" w:sz="4" w:space="0"/>
              <w:left w:val="nil"/>
              <w:bottom w:val="single" w:color="auto" w:sz="4" w:space="0"/>
              <w:right w:val="single" w:color="auto" w:sz="4" w:space="0"/>
            </w:tcBorders>
            <w:vAlign w:val="center"/>
          </w:tcPr>
          <w:p w14:paraId="191A78AE">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Cs/>
                <w:color w:val="auto"/>
                <w:sz w:val="24"/>
                <w:szCs w:val="24"/>
              </w:rPr>
              <w:t>现场考察</w:t>
            </w:r>
          </w:p>
        </w:tc>
        <w:tc>
          <w:tcPr>
            <w:tcW w:w="6902" w:type="dxa"/>
            <w:tcBorders>
              <w:top w:val="single" w:color="auto" w:sz="4" w:space="0"/>
              <w:left w:val="nil"/>
              <w:bottom w:val="single" w:color="auto" w:sz="4" w:space="0"/>
              <w:right w:val="single" w:color="auto" w:sz="4" w:space="0"/>
            </w:tcBorders>
            <w:vAlign w:val="center"/>
          </w:tcPr>
          <w:p w14:paraId="77081545">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eq \o\ac(□,√)</w:instrText>
            </w:r>
            <w:r>
              <w:rPr>
                <w:rFonts w:hint="eastAsia" w:ascii="宋体" w:hAnsi="宋体" w:cs="宋体"/>
                <w:color w:val="auto"/>
                <w:sz w:val="24"/>
                <w:szCs w:val="24"/>
                <w:lang w:val="zh-CN"/>
              </w:rPr>
              <w:fldChar w:fldCharType="end"/>
            </w:r>
            <w:r>
              <w:rPr>
                <w:rFonts w:hint="eastAsia" w:ascii="宋体" w:hAnsi="宋体" w:cs="宋体"/>
                <w:color w:val="auto"/>
                <w:sz w:val="24"/>
                <w:szCs w:val="24"/>
              </w:rPr>
              <w:t>不组织</w:t>
            </w:r>
          </w:p>
        </w:tc>
      </w:tr>
      <w:tr w14:paraId="0A05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9F694F1">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8</w:t>
            </w:r>
          </w:p>
        </w:tc>
        <w:tc>
          <w:tcPr>
            <w:tcW w:w="1881" w:type="dxa"/>
            <w:tcBorders>
              <w:top w:val="single" w:color="auto" w:sz="4" w:space="0"/>
              <w:left w:val="nil"/>
              <w:bottom w:val="single" w:color="auto" w:sz="4" w:space="0"/>
              <w:right w:val="single" w:color="auto" w:sz="4" w:space="0"/>
            </w:tcBorders>
            <w:vAlign w:val="center"/>
          </w:tcPr>
          <w:p w14:paraId="29A7B72D">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Cs/>
                <w:color w:val="auto"/>
                <w:sz w:val="24"/>
                <w:szCs w:val="24"/>
              </w:rPr>
              <w:t>开标前答疑会</w:t>
            </w:r>
          </w:p>
        </w:tc>
        <w:tc>
          <w:tcPr>
            <w:tcW w:w="6902" w:type="dxa"/>
            <w:tcBorders>
              <w:top w:val="single" w:color="auto" w:sz="4" w:space="0"/>
              <w:left w:val="nil"/>
              <w:bottom w:val="single" w:color="auto" w:sz="4" w:space="0"/>
              <w:right w:val="single" w:color="auto" w:sz="4" w:space="0"/>
            </w:tcBorders>
            <w:vAlign w:val="center"/>
          </w:tcPr>
          <w:p w14:paraId="5821033E">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eq \o\ac(□,√)</w:instrText>
            </w:r>
            <w:r>
              <w:rPr>
                <w:rFonts w:hint="eastAsia" w:ascii="宋体" w:hAnsi="宋体" w:cs="宋体"/>
                <w:color w:val="auto"/>
                <w:sz w:val="24"/>
                <w:szCs w:val="24"/>
                <w:lang w:val="zh-CN"/>
              </w:rPr>
              <w:fldChar w:fldCharType="end"/>
            </w:r>
            <w:r>
              <w:rPr>
                <w:rFonts w:hint="eastAsia" w:ascii="宋体" w:hAnsi="宋体" w:cs="宋体"/>
                <w:color w:val="auto"/>
                <w:sz w:val="24"/>
                <w:szCs w:val="24"/>
              </w:rPr>
              <w:t>不召开</w:t>
            </w:r>
          </w:p>
        </w:tc>
      </w:tr>
      <w:tr w14:paraId="23DC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E5AA760">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9</w:t>
            </w:r>
          </w:p>
        </w:tc>
        <w:tc>
          <w:tcPr>
            <w:tcW w:w="1881" w:type="dxa"/>
            <w:tcBorders>
              <w:top w:val="single" w:color="auto" w:sz="4" w:space="0"/>
              <w:left w:val="nil"/>
              <w:bottom w:val="single" w:color="auto" w:sz="4" w:space="0"/>
              <w:right w:val="single" w:color="auto" w:sz="4" w:space="0"/>
            </w:tcBorders>
            <w:vAlign w:val="center"/>
          </w:tcPr>
          <w:p w14:paraId="5A414467">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进口产品参与</w:t>
            </w:r>
          </w:p>
        </w:tc>
        <w:tc>
          <w:tcPr>
            <w:tcW w:w="6902" w:type="dxa"/>
            <w:tcBorders>
              <w:top w:val="single" w:color="auto" w:sz="4" w:space="0"/>
              <w:left w:val="nil"/>
              <w:bottom w:val="single" w:color="auto" w:sz="4" w:space="0"/>
              <w:right w:val="single" w:color="auto" w:sz="4" w:space="0"/>
            </w:tcBorders>
            <w:vAlign w:val="center"/>
          </w:tcPr>
          <w:p w14:paraId="3C5C1794">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eq \o\ac(□,√)</w:instrText>
            </w:r>
            <w:r>
              <w:rPr>
                <w:rFonts w:hint="eastAsia" w:ascii="宋体" w:hAnsi="宋体" w:cs="宋体"/>
                <w:color w:val="auto"/>
                <w:sz w:val="24"/>
                <w:szCs w:val="24"/>
                <w:lang w:val="zh-CN"/>
              </w:rPr>
              <w:fldChar w:fldCharType="end"/>
            </w:r>
            <w:r>
              <w:rPr>
                <w:rFonts w:hint="eastAsia" w:ascii="宋体" w:hAnsi="宋体" w:cs="宋体"/>
                <w:color w:val="auto"/>
                <w:sz w:val="24"/>
                <w:szCs w:val="24"/>
              </w:rPr>
              <w:t>不允许    □允许</w:t>
            </w:r>
          </w:p>
        </w:tc>
      </w:tr>
      <w:tr w14:paraId="56AA1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FEA6A94">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10</w:t>
            </w:r>
          </w:p>
        </w:tc>
        <w:tc>
          <w:tcPr>
            <w:tcW w:w="1881" w:type="dxa"/>
            <w:tcBorders>
              <w:top w:val="single" w:color="auto" w:sz="4" w:space="0"/>
              <w:left w:val="nil"/>
              <w:bottom w:val="single" w:color="auto" w:sz="4" w:space="0"/>
              <w:right w:val="single" w:color="auto" w:sz="4" w:space="0"/>
            </w:tcBorders>
            <w:vAlign w:val="center"/>
          </w:tcPr>
          <w:p w14:paraId="386817A1">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b/>
                <w:color w:val="auto"/>
                <w:sz w:val="24"/>
                <w:szCs w:val="24"/>
              </w:rPr>
              <w:t>★</w:t>
            </w:r>
            <w:r>
              <w:rPr>
                <w:rFonts w:hint="eastAsia" w:ascii="宋体" w:hAnsi="宋体" w:cs="宋体"/>
                <w:color w:val="auto"/>
                <w:sz w:val="24"/>
                <w:szCs w:val="24"/>
              </w:rPr>
              <w:t>投标有效期</w:t>
            </w:r>
          </w:p>
        </w:tc>
        <w:tc>
          <w:tcPr>
            <w:tcW w:w="6902" w:type="dxa"/>
            <w:tcBorders>
              <w:top w:val="single" w:color="auto" w:sz="4" w:space="0"/>
              <w:left w:val="nil"/>
              <w:bottom w:val="single" w:color="auto" w:sz="4" w:space="0"/>
              <w:right w:val="single" w:color="auto" w:sz="4" w:space="0"/>
            </w:tcBorders>
            <w:vAlign w:val="center"/>
          </w:tcPr>
          <w:p w14:paraId="2B303F73">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rPr>
              <w:t>60天（自提交投标文件的截止之日起算）</w:t>
            </w:r>
          </w:p>
        </w:tc>
      </w:tr>
      <w:tr w14:paraId="3E82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318068B">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11</w:t>
            </w:r>
          </w:p>
        </w:tc>
        <w:tc>
          <w:tcPr>
            <w:tcW w:w="1881" w:type="dxa"/>
            <w:tcBorders>
              <w:top w:val="single" w:color="auto" w:sz="4" w:space="0"/>
              <w:left w:val="nil"/>
              <w:bottom w:val="single" w:color="auto" w:sz="4" w:space="0"/>
              <w:right w:val="single" w:color="auto" w:sz="4" w:space="0"/>
            </w:tcBorders>
            <w:vAlign w:val="center"/>
          </w:tcPr>
          <w:p w14:paraId="682C1BC5">
            <w:pPr>
              <w:autoSpaceDE w:val="0"/>
              <w:autoSpaceDN w:val="0"/>
              <w:adjustRightInd w:val="0"/>
              <w:snapToGrid w:val="0"/>
              <w:spacing w:line="400" w:lineRule="exact"/>
              <w:rPr>
                <w:rFonts w:ascii="宋体" w:hAnsi="宋体" w:cs="宋体"/>
                <w:color w:val="auto"/>
                <w:sz w:val="24"/>
                <w:szCs w:val="24"/>
              </w:rPr>
            </w:pPr>
            <w:r>
              <w:rPr>
                <w:rFonts w:hint="eastAsia" w:ascii="宋体" w:hAnsi="宋体" w:cs="宋体"/>
                <w:bCs/>
                <w:color w:val="auto"/>
                <w:sz w:val="24"/>
                <w:szCs w:val="24"/>
              </w:rPr>
              <w:t>中标人将本项目非主体、非关键性工作分包</w:t>
            </w:r>
          </w:p>
        </w:tc>
        <w:tc>
          <w:tcPr>
            <w:tcW w:w="6902" w:type="dxa"/>
            <w:tcBorders>
              <w:top w:val="single" w:color="auto" w:sz="4" w:space="0"/>
              <w:left w:val="nil"/>
              <w:bottom w:val="single" w:color="auto" w:sz="4" w:space="0"/>
              <w:right w:val="single" w:color="auto" w:sz="4" w:space="0"/>
            </w:tcBorders>
            <w:vAlign w:val="center"/>
          </w:tcPr>
          <w:p w14:paraId="0411707A">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eq \o\ac(□,√)</w:instrText>
            </w:r>
            <w:r>
              <w:rPr>
                <w:rFonts w:hint="eastAsia" w:ascii="宋体" w:hAnsi="宋体" w:cs="宋体"/>
                <w:color w:val="auto"/>
                <w:sz w:val="24"/>
                <w:szCs w:val="24"/>
                <w:lang w:val="zh-CN"/>
              </w:rPr>
              <w:fldChar w:fldCharType="end"/>
            </w:r>
            <w:r>
              <w:rPr>
                <w:rFonts w:hint="eastAsia" w:ascii="宋体" w:hAnsi="宋体" w:cs="宋体"/>
                <w:color w:val="auto"/>
                <w:sz w:val="24"/>
                <w:szCs w:val="24"/>
              </w:rPr>
              <w:t>不允许   □允许</w:t>
            </w:r>
          </w:p>
        </w:tc>
      </w:tr>
      <w:tr w14:paraId="32BF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AB8AF9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12</w:t>
            </w:r>
          </w:p>
        </w:tc>
        <w:tc>
          <w:tcPr>
            <w:tcW w:w="1881" w:type="dxa"/>
            <w:tcBorders>
              <w:top w:val="single" w:color="auto" w:sz="4" w:space="0"/>
              <w:left w:val="nil"/>
              <w:bottom w:val="single" w:color="auto" w:sz="4" w:space="0"/>
              <w:right w:val="single" w:color="auto" w:sz="4" w:space="0"/>
            </w:tcBorders>
            <w:vAlign w:val="center"/>
          </w:tcPr>
          <w:p w14:paraId="7446D464">
            <w:pPr>
              <w:autoSpaceDE w:val="0"/>
              <w:autoSpaceDN w:val="0"/>
              <w:adjustRightInd w:val="0"/>
              <w:snapToGrid w:val="0"/>
              <w:spacing w:line="400" w:lineRule="exact"/>
              <w:rPr>
                <w:rFonts w:ascii="宋体" w:hAnsi="宋体" w:cs="宋体"/>
                <w:color w:val="auto"/>
                <w:sz w:val="24"/>
                <w:szCs w:val="24"/>
              </w:rPr>
            </w:pPr>
            <w:r>
              <w:rPr>
                <w:rFonts w:hint="eastAsia" w:ascii="宋体" w:hAnsi="宋体" w:cs="宋体"/>
                <w:color w:val="auto"/>
                <w:sz w:val="24"/>
                <w:szCs w:val="24"/>
              </w:rPr>
              <w:t>投标截止及开标时间</w:t>
            </w:r>
          </w:p>
        </w:tc>
        <w:tc>
          <w:tcPr>
            <w:tcW w:w="6902" w:type="dxa"/>
            <w:tcBorders>
              <w:top w:val="single" w:color="auto" w:sz="4" w:space="0"/>
              <w:left w:val="nil"/>
              <w:bottom w:val="single" w:color="auto" w:sz="4" w:space="0"/>
              <w:right w:val="single" w:color="auto" w:sz="4" w:space="0"/>
            </w:tcBorders>
            <w:vAlign w:val="center"/>
          </w:tcPr>
          <w:p w14:paraId="507CCEA0">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rPr>
              <w:t>2025年</w:t>
            </w:r>
            <w:r>
              <w:rPr>
                <w:rFonts w:hint="eastAsia" w:ascii="宋体" w:hAnsi="宋体" w:cs="宋体"/>
                <w:color w:val="auto"/>
                <w:sz w:val="24"/>
                <w:szCs w:val="24"/>
                <w:lang w:val="en-US" w:eastAsia="zh-CN"/>
              </w:rPr>
              <w:t>11</w:t>
            </w:r>
            <w:r>
              <w:rPr>
                <w:rFonts w:hint="eastAsia" w:ascii="宋体" w:hAnsi="宋体" w:cs="宋体"/>
                <w:color w:val="auto"/>
                <w:sz w:val="24"/>
                <w:szCs w:val="24"/>
              </w:rPr>
              <w:t>月</w:t>
            </w:r>
            <w:r>
              <w:rPr>
                <w:rFonts w:hint="eastAsia" w:ascii="宋体" w:hAnsi="宋体" w:cs="宋体"/>
                <w:color w:val="auto"/>
                <w:sz w:val="24"/>
                <w:szCs w:val="24"/>
                <w:lang w:val="en-US" w:eastAsia="zh-CN"/>
              </w:rPr>
              <w:t>5</w:t>
            </w:r>
            <w:r>
              <w:rPr>
                <w:rFonts w:hint="eastAsia" w:ascii="宋体" w:hAnsi="宋体" w:cs="宋体"/>
                <w:color w:val="auto"/>
                <w:sz w:val="24"/>
                <w:szCs w:val="24"/>
              </w:rPr>
              <w:t>日9时00分（北京时间）</w:t>
            </w:r>
          </w:p>
        </w:tc>
      </w:tr>
      <w:tr w14:paraId="12AB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4FA12A99">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13</w:t>
            </w:r>
          </w:p>
        </w:tc>
        <w:tc>
          <w:tcPr>
            <w:tcW w:w="1881" w:type="dxa"/>
            <w:tcBorders>
              <w:top w:val="single" w:color="auto" w:sz="4" w:space="0"/>
              <w:left w:val="nil"/>
              <w:bottom w:val="single" w:color="auto" w:sz="4" w:space="0"/>
              <w:right w:val="single" w:color="auto" w:sz="4" w:space="0"/>
            </w:tcBorders>
            <w:vAlign w:val="center"/>
          </w:tcPr>
          <w:p w14:paraId="233BB1E4">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开标地点</w:t>
            </w:r>
          </w:p>
        </w:tc>
        <w:tc>
          <w:tcPr>
            <w:tcW w:w="6902" w:type="dxa"/>
            <w:tcBorders>
              <w:top w:val="single" w:color="auto" w:sz="4" w:space="0"/>
              <w:left w:val="nil"/>
              <w:bottom w:val="single" w:color="auto" w:sz="4" w:space="0"/>
              <w:right w:val="single" w:color="auto" w:sz="4" w:space="0"/>
            </w:tcBorders>
            <w:vAlign w:val="center"/>
          </w:tcPr>
          <w:p w14:paraId="15238D42">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rPr>
              <w:t>长葛市公共资源交易中心开标四室（长葛市葛天大道东段商务区6#楼5楼507室）（本项目采用远程不见面开标，投标人无须到交易中心现场）</w:t>
            </w:r>
          </w:p>
        </w:tc>
      </w:tr>
      <w:tr w14:paraId="7BB2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668EF8F">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14</w:t>
            </w:r>
          </w:p>
        </w:tc>
        <w:tc>
          <w:tcPr>
            <w:tcW w:w="1881" w:type="dxa"/>
            <w:tcBorders>
              <w:top w:val="single" w:color="auto" w:sz="4" w:space="0"/>
              <w:left w:val="nil"/>
              <w:bottom w:val="single" w:color="auto" w:sz="4" w:space="0"/>
              <w:right w:val="single" w:color="auto" w:sz="4" w:space="0"/>
            </w:tcBorders>
            <w:vAlign w:val="center"/>
          </w:tcPr>
          <w:p w14:paraId="1712089E">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color w:val="auto"/>
                <w:kern w:val="0"/>
                <w:sz w:val="24"/>
                <w:szCs w:val="24"/>
              </w:rPr>
              <w:t>投标保证金</w:t>
            </w:r>
          </w:p>
        </w:tc>
        <w:tc>
          <w:tcPr>
            <w:tcW w:w="6902" w:type="dxa"/>
            <w:tcBorders>
              <w:top w:val="single" w:color="auto" w:sz="4" w:space="0"/>
              <w:left w:val="nil"/>
              <w:bottom w:val="single" w:color="auto" w:sz="4" w:space="0"/>
              <w:right w:val="single" w:color="auto" w:sz="4" w:space="0"/>
            </w:tcBorders>
            <w:vAlign w:val="center"/>
          </w:tcPr>
          <w:p w14:paraId="0AB9C488">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color w:val="auto"/>
                <w:sz w:val="24"/>
                <w:szCs w:val="24"/>
              </w:rPr>
              <w:t>按照河南省《关于优化政府采购营商环境有关问题的通知》（豫财购（2019）4号文）的要求，</w:t>
            </w:r>
            <w:r>
              <w:rPr>
                <w:rFonts w:hint="eastAsia" w:ascii="宋体" w:hAnsi="宋体" w:cs="宋体"/>
                <w:b/>
                <w:bCs/>
                <w:color w:val="auto"/>
                <w:sz w:val="24"/>
                <w:szCs w:val="24"/>
              </w:rPr>
              <w:t>不收取投标保证金。</w:t>
            </w:r>
            <w:r>
              <w:rPr>
                <w:rFonts w:hint="eastAsia" w:ascii="宋体" w:hAnsi="宋体" w:cs="宋体"/>
                <w:color w:val="auto"/>
                <w:sz w:val="24"/>
                <w:szCs w:val="24"/>
                <w:lang w:val="zh-CN"/>
              </w:rPr>
              <w:t>供应商应提供投标承诺函（按照招标文件第八章</w:t>
            </w:r>
            <w:r>
              <w:rPr>
                <w:rFonts w:hint="eastAsia" w:ascii="宋体" w:hAnsi="宋体" w:cs="宋体"/>
                <w:color w:val="auto"/>
                <w:sz w:val="24"/>
                <w:szCs w:val="24"/>
              </w:rPr>
              <w:t>3.4格式填写</w:t>
            </w:r>
            <w:r>
              <w:rPr>
                <w:rFonts w:hint="eastAsia" w:ascii="宋体" w:hAnsi="宋体" w:cs="宋体"/>
                <w:color w:val="auto"/>
                <w:sz w:val="24"/>
                <w:szCs w:val="24"/>
                <w:lang w:val="zh-CN"/>
              </w:rPr>
              <w:t>）。</w:t>
            </w:r>
          </w:p>
        </w:tc>
      </w:tr>
      <w:tr w14:paraId="4E22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3D7EC5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15</w:t>
            </w:r>
          </w:p>
        </w:tc>
        <w:tc>
          <w:tcPr>
            <w:tcW w:w="1881" w:type="dxa"/>
            <w:tcBorders>
              <w:top w:val="single" w:color="auto" w:sz="4" w:space="0"/>
              <w:left w:val="nil"/>
              <w:bottom w:val="single" w:color="auto" w:sz="4" w:space="0"/>
              <w:right w:val="single" w:color="auto" w:sz="4" w:space="0"/>
            </w:tcBorders>
            <w:vAlign w:val="center"/>
          </w:tcPr>
          <w:p w14:paraId="35D7B28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公告发布</w:t>
            </w:r>
          </w:p>
        </w:tc>
        <w:tc>
          <w:tcPr>
            <w:tcW w:w="6902" w:type="dxa"/>
            <w:tcBorders>
              <w:top w:val="single" w:color="auto" w:sz="4" w:space="0"/>
              <w:left w:val="nil"/>
              <w:bottom w:val="single" w:color="auto" w:sz="4" w:space="0"/>
              <w:right w:val="single" w:color="auto" w:sz="4" w:space="0"/>
            </w:tcBorders>
            <w:vAlign w:val="center"/>
          </w:tcPr>
          <w:p w14:paraId="11F873CD">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bCs/>
                <w:color w:val="auto"/>
                <w:sz w:val="24"/>
                <w:szCs w:val="24"/>
              </w:rPr>
              <w:t>招标公告、中标公告、变更（更正）公告、现场勘察答复等相关信息同时在以下网站发布：《河南省政府采购网》、《全国公共资源交易平台（河南省·许昌市）》、《长葛市人民政府门户网站》</w:t>
            </w:r>
          </w:p>
        </w:tc>
      </w:tr>
      <w:tr w14:paraId="1C5C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B84A317">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16</w:t>
            </w:r>
          </w:p>
        </w:tc>
        <w:tc>
          <w:tcPr>
            <w:tcW w:w="1881" w:type="dxa"/>
            <w:tcBorders>
              <w:top w:val="single" w:color="auto" w:sz="4" w:space="0"/>
              <w:left w:val="nil"/>
              <w:bottom w:val="single" w:color="auto" w:sz="4" w:space="0"/>
              <w:right w:val="single" w:color="auto" w:sz="4" w:space="0"/>
            </w:tcBorders>
            <w:vAlign w:val="center"/>
          </w:tcPr>
          <w:p w14:paraId="757BCA68">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采购人澄清或修改采购文件时间</w:t>
            </w:r>
          </w:p>
        </w:tc>
        <w:tc>
          <w:tcPr>
            <w:tcW w:w="6902" w:type="dxa"/>
            <w:tcBorders>
              <w:top w:val="single" w:color="auto" w:sz="4" w:space="0"/>
              <w:left w:val="nil"/>
              <w:bottom w:val="single" w:color="auto" w:sz="4" w:space="0"/>
              <w:right w:val="single" w:color="auto" w:sz="4" w:space="0"/>
            </w:tcBorders>
            <w:vAlign w:val="center"/>
          </w:tcPr>
          <w:p w14:paraId="10824589">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bCs/>
                <w:color w:val="auto"/>
                <w:sz w:val="24"/>
                <w:szCs w:val="24"/>
              </w:rPr>
              <w:t>在投标截止时间至少15日前，通过全国公共资源交易平台（河南省.许昌市）交易系统电子平台发出；不足15日的，采购人或者采购代理机构应当顺延提交投标文件的截止时间。</w:t>
            </w:r>
          </w:p>
        </w:tc>
      </w:tr>
      <w:tr w14:paraId="535F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31B9BB0">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17</w:t>
            </w:r>
          </w:p>
        </w:tc>
        <w:tc>
          <w:tcPr>
            <w:tcW w:w="1881" w:type="dxa"/>
            <w:tcBorders>
              <w:top w:val="single" w:color="auto" w:sz="4" w:space="0"/>
              <w:left w:val="nil"/>
              <w:bottom w:val="single" w:color="auto" w:sz="4" w:space="0"/>
              <w:right w:val="single" w:color="auto" w:sz="4" w:space="0"/>
            </w:tcBorders>
            <w:vAlign w:val="center"/>
          </w:tcPr>
          <w:p w14:paraId="16D7878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供应商对采购文件质疑截止时间</w:t>
            </w:r>
          </w:p>
        </w:tc>
        <w:tc>
          <w:tcPr>
            <w:tcW w:w="6902" w:type="dxa"/>
            <w:tcBorders>
              <w:top w:val="single" w:color="auto" w:sz="4" w:space="0"/>
              <w:left w:val="nil"/>
              <w:bottom w:val="single" w:color="auto" w:sz="4" w:space="0"/>
              <w:right w:val="single" w:color="auto" w:sz="4" w:space="0"/>
            </w:tcBorders>
            <w:vAlign w:val="center"/>
          </w:tcPr>
          <w:p w14:paraId="0960CDD9">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bCs/>
                <w:color w:val="auto"/>
                <w:sz w:val="24"/>
                <w:szCs w:val="24"/>
              </w:rPr>
              <w:t>应当在获取采购文件或者采购文件公告期限届满之日起七个工作日内</w:t>
            </w:r>
          </w:p>
        </w:tc>
      </w:tr>
      <w:tr w14:paraId="2565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9A1D1BA">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18</w:t>
            </w:r>
          </w:p>
        </w:tc>
        <w:tc>
          <w:tcPr>
            <w:tcW w:w="1881" w:type="dxa"/>
            <w:tcBorders>
              <w:top w:val="single" w:color="auto" w:sz="4" w:space="0"/>
              <w:left w:val="nil"/>
              <w:bottom w:val="single" w:color="auto" w:sz="4" w:space="0"/>
              <w:right w:val="single" w:color="auto" w:sz="4" w:space="0"/>
            </w:tcBorders>
            <w:vAlign w:val="center"/>
          </w:tcPr>
          <w:p w14:paraId="7A70D331">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投标文件份数</w:t>
            </w:r>
          </w:p>
        </w:tc>
        <w:tc>
          <w:tcPr>
            <w:tcW w:w="6902" w:type="dxa"/>
            <w:tcBorders>
              <w:top w:val="single" w:color="auto" w:sz="4" w:space="0"/>
              <w:left w:val="nil"/>
              <w:bottom w:val="single" w:color="auto" w:sz="4" w:space="0"/>
              <w:right w:val="single" w:color="auto" w:sz="4" w:space="0"/>
            </w:tcBorders>
            <w:vAlign w:val="center"/>
          </w:tcPr>
          <w:p w14:paraId="5106E313">
            <w:pPr>
              <w:autoSpaceDE w:val="0"/>
              <w:autoSpaceDN w:val="0"/>
              <w:adjustRightInd w:val="0"/>
              <w:snapToGrid w:val="0"/>
              <w:spacing w:line="400" w:lineRule="exact"/>
              <w:rPr>
                <w:rFonts w:ascii="宋体" w:hAnsi="宋体" w:cs="宋体"/>
                <w:bCs/>
                <w:color w:val="auto"/>
                <w:sz w:val="24"/>
                <w:szCs w:val="24"/>
                <w:lang w:val="zh-CN"/>
              </w:rPr>
            </w:pPr>
            <w:r>
              <w:rPr>
                <w:rFonts w:hint="eastAsia" w:ascii="宋体" w:hAnsi="宋体" w:cs="宋体"/>
                <w:bCs/>
                <w:color w:val="auto"/>
                <w:sz w:val="24"/>
                <w:szCs w:val="24"/>
              </w:rPr>
              <w:fldChar w:fldCharType="begin"/>
            </w:r>
            <w:r>
              <w:rPr>
                <w:rFonts w:hint="eastAsia" w:ascii="宋体" w:hAnsi="宋体" w:cs="宋体"/>
                <w:bCs/>
                <w:color w:val="auto"/>
                <w:sz w:val="24"/>
                <w:szCs w:val="24"/>
              </w:rPr>
              <w:instrText xml:space="preserve">eq \o\ac(□,√)</w:instrText>
            </w:r>
            <w:r>
              <w:rPr>
                <w:rFonts w:hint="eastAsia" w:ascii="宋体" w:hAnsi="宋体" w:cs="宋体"/>
                <w:bCs/>
                <w:color w:val="auto"/>
                <w:sz w:val="24"/>
                <w:szCs w:val="24"/>
              </w:rPr>
              <w:fldChar w:fldCharType="end"/>
            </w:r>
            <w:r>
              <w:rPr>
                <w:rFonts w:hint="eastAsia" w:ascii="宋体" w:hAnsi="宋体" w:cs="宋体"/>
                <w:bCs/>
                <w:color w:val="auto"/>
                <w:sz w:val="24"/>
                <w:szCs w:val="24"/>
              </w:rPr>
              <w:t>电子响应文件：成功上传至“全国公共资源交易平台（河南省·许昌市）”公共资源交易系统加密电子响应文件1份</w:t>
            </w:r>
            <w:r>
              <w:rPr>
                <w:rFonts w:hint="eastAsia" w:ascii="宋体" w:hAnsi="宋体" w:cs="宋体"/>
                <w:bCs/>
                <w:color w:val="auto"/>
                <w:sz w:val="24"/>
                <w:szCs w:val="24"/>
                <w:lang w:val="zh-CN"/>
              </w:rPr>
              <w:t>（</w:t>
            </w:r>
            <w:r>
              <w:rPr>
                <w:rFonts w:hint="eastAsia" w:ascii="宋体" w:hAnsi="宋体" w:cs="宋体"/>
                <w:bCs/>
                <w:color w:val="auto"/>
                <w:sz w:val="24"/>
                <w:szCs w:val="24"/>
              </w:rPr>
              <w:t>后缀格式为.XCSTF</w:t>
            </w:r>
            <w:r>
              <w:rPr>
                <w:rFonts w:hint="eastAsia" w:ascii="宋体" w:hAnsi="宋体" w:cs="宋体"/>
                <w:bCs/>
                <w:color w:val="auto"/>
                <w:sz w:val="24"/>
                <w:szCs w:val="24"/>
                <w:lang w:val="zh-CN"/>
              </w:rPr>
              <w:t>）。</w:t>
            </w:r>
          </w:p>
          <w:p w14:paraId="44F06288">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bCs/>
                <w:color w:val="auto"/>
                <w:sz w:val="24"/>
                <w:szCs w:val="24"/>
                <w:lang w:val="zh-CN"/>
              </w:rPr>
              <w:t>电子投标文件和纸质投标文件的内容、格式、水印码、签章应一致。</w:t>
            </w:r>
          </w:p>
        </w:tc>
      </w:tr>
      <w:tr w14:paraId="36CC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E26C35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19</w:t>
            </w:r>
          </w:p>
        </w:tc>
        <w:tc>
          <w:tcPr>
            <w:tcW w:w="1881" w:type="dxa"/>
            <w:tcBorders>
              <w:top w:val="single" w:color="auto" w:sz="4" w:space="0"/>
              <w:left w:val="nil"/>
              <w:bottom w:val="single" w:color="auto" w:sz="4" w:space="0"/>
              <w:right w:val="single" w:color="auto" w:sz="4" w:space="0"/>
            </w:tcBorders>
            <w:vAlign w:val="center"/>
          </w:tcPr>
          <w:p w14:paraId="78FFE575">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投标文件的</w:t>
            </w:r>
          </w:p>
          <w:p w14:paraId="05A807D6">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签署盖章</w:t>
            </w:r>
          </w:p>
        </w:tc>
        <w:tc>
          <w:tcPr>
            <w:tcW w:w="6902" w:type="dxa"/>
            <w:tcBorders>
              <w:top w:val="single" w:color="auto" w:sz="4" w:space="0"/>
              <w:left w:val="nil"/>
              <w:bottom w:val="single" w:color="auto" w:sz="4" w:space="0"/>
              <w:right w:val="single" w:color="auto" w:sz="4" w:space="0"/>
            </w:tcBorders>
            <w:vAlign w:val="center"/>
          </w:tcPr>
          <w:p w14:paraId="20B1B177">
            <w:pPr>
              <w:autoSpaceDE w:val="0"/>
              <w:autoSpaceDN w:val="0"/>
              <w:adjustRightInd w:val="0"/>
              <w:snapToGrid w:val="0"/>
              <w:spacing w:line="400" w:lineRule="exact"/>
              <w:rPr>
                <w:rFonts w:ascii="宋体" w:hAnsi="宋体" w:cs="宋体"/>
                <w:color w:val="auto"/>
                <w:sz w:val="24"/>
                <w:szCs w:val="24"/>
              </w:rPr>
            </w:pPr>
            <w:r>
              <w:rPr>
                <w:rFonts w:hint="eastAsia" w:ascii="宋体" w:hAnsi="宋体" w:cs="宋体"/>
                <w:b/>
                <w:color w:val="auto"/>
                <w:sz w:val="24"/>
                <w:szCs w:val="24"/>
              </w:rPr>
              <w:fldChar w:fldCharType="begin"/>
            </w:r>
            <w:r>
              <w:rPr>
                <w:rFonts w:hint="eastAsia" w:ascii="宋体" w:hAnsi="宋体" w:cs="宋体"/>
                <w:b/>
                <w:color w:val="auto"/>
                <w:sz w:val="24"/>
                <w:szCs w:val="24"/>
              </w:rPr>
              <w:instrText xml:space="preserve">eq \o\ac(</w:instrText>
            </w:r>
            <w:r>
              <w:rPr>
                <w:rFonts w:hint="eastAsia" w:ascii="宋体" w:hAnsi="宋体" w:cs="宋体"/>
                <w:b/>
                <w:color w:val="auto"/>
                <w:position w:val="-4"/>
                <w:sz w:val="24"/>
                <w:szCs w:val="24"/>
              </w:rPr>
              <w:instrText xml:space="preserve">□</w:instrText>
            </w:r>
            <w:r>
              <w:rPr>
                <w:rFonts w:hint="eastAsia" w:ascii="宋体" w:hAnsi="宋体" w:cs="宋体"/>
                <w:b/>
                <w:color w:val="auto"/>
                <w:sz w:val="24"/>
                <w:szCs w:val="24"/>
              </w:rPr>
              <w:instrText xml:space="preserve">,√)</w:instrText>
            </w:r>
            <w:r>
              <w:rPr>
                <w:rFonts w:hint="eastAsia" w:ascii="宋体" w:hAnsi="宋体" w:cs="宋体"/>
                <w:b/>
                <w:color w:val="auto"/>
                <w:sz w:val="24"/>
                <w:szCs w:val="24"/>
              </w:rPr>
              <w:fldChar w:fldCharType="end"/>
            </w:r>
            <w:r>
              <w:rPr>
                <w:rFonts w:hint="eastAsia" w:ascii="宋体" w:hAnsi="宋体" w:cs="宋体"/>
                <w:color w:val="auto"/>
                <w:sz w:val="24"/>
                <w:szCs w:val="24"/>
              </w:rPr>
              <w:t>电子投标文件：按采购文件要求加盖供应商电子印章和法人电子印章。</w:t>
            </w:r>
          </w:p>
        </w:tc>
      </w:tr>
      <w:tr w14:paraId="25E8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FDAE168">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20</w:t>
            </w:r>
          </w:p>
        </w:tc>
        <w:tc>
          <w:tcPr>
            <w:tcW w:w="1881" w:type="dxa"/>
            <w:tcBorders>
              <w:top w:val="single" w:color="auto" w:sz="4" w:space="0"/>
              <w:left w:val="nil"/>
              <w:bottom w:val="single" w:color="auto" w:sz="4" w:space="0"/>
              <w:right w:val="single" w:color="auto" w:sz="4" w:space="0"/>
            </w:tcBorders>
            <w:vAlign w:val="center"/>
          </w:tcPr>
          <w:p w14:paraId="10356407">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评标委员会组建</w:t>
            </w:r>
          </w:p>
        </w:tc>
        <w:tc>
          <w:tcPr>
            <w:tcW w:w="6902" w:type="dxa"/>
            <w:tcBorders>
              <w:top w:val="single" w:color="auto" w:sz="4" w:space="0"/>
              <w:left w:val="nil"/>
              <w:bottom w:val="single" w:color="auto" w:sz="4" w:space="0"/>
              <w:right w:val="single" w:color="auto" w:sz="4" w:space="0"/>
            </w:tcBorders>
            <w:vAlign w:val="center"/>
          </w:tcPr>
          <w:p w14:paraId="031E6FD7">
            <w:pPr>
              <w:autoSpaceDE w:val="0"/>
              <w:autoSpaceDN w:val="0"/>
              <w:adjustRightInd w:val="0"/>
              <w:spacing w:line="360" w:lineRule="auto"/>
              <w:rPr>
                <w:rFonts w:ascii="宋体" w:hAnsi="宋体" w:cs="宋体"/>
                <w:color w:val="auto"/>
                <w:sz w:val="24"/>
                <w:szCs w:val="24"/>
                <w:lang w:val="zh-CN"/>
              </w:rPr>
            </w:pPr>
            <w:r>
              <w:rPr>
                <w:rFonts w:hint="eastAsia" w:ascii="宋体" w:hAnsi="宋体" w:cs="宋体"/>
                <w:b/>
                <w:color w:val="auto"/>
                <w:sz w:val="24"/>
                <w:szCs w:val="24"/>
              </w:rPr>
              <w:fldChar w:fldCharType="begin"/>
            </w:r>
            <w:r>
              <w:rPr>
                <w:rFonts w:hint="eastAsia" w:ascii="宋体" w:hAnsi="宋体" w:cs="宋体"/>
                <w:b/>
                <w:color w:val="auto"/>
                <w:sz w:val="24"/>
                <w:szCs w:val="24"/>
              </w:rPr>
              <w:instrText xml:space="preserve">eq \o\ac(</w:instrText>
            </w:r>
            <w:r>
              <w:rPr>
                <w:rFonts w:hint="eastAsia" w:ascii="宋体" w:hAnsi="宋体" w:cs="宋体"/>
                <w:b/>
                <w:color w:val="auto"/>
                <w:position w:val="-4"/>
                <w:sz w:val="24"/>
                <w:szCs w:val="24"/>
              </w:rPr>
              <w:instrText xml:space="preserve">□</w:instrText>
            </w:r>
            <w:r>
              <w:rPr>
                <w:rFonts w:hint="eastAsia" w:ascii="宋体" w:hAnsi="宋体" w:cs="宋体"/>
                <w:b/>
                <w:color w:val="auto"/>
                <w:sz w:val="24"/>
                <w:szCs w:val="24"/>
              </w:rPr>
              <w:instrText xml:space="preserve">,√)</w:instrText>
            </w:r>
            <w:r>
              <w:rPr>
                <w:rFonts w:hint="eastAsia" w:ascii="宋体" w:hAnsi="宋体" w:cs="宋体"/>
                <w:b/>
                <w:color w:val="auto"/>
                <w:sz w:val="24"/>
                <w:szCs w:val="24"/>
              </w:rPr>
              <w:fldChar w:fldCharType="end"/>
            </w:r>
            <w:r>
              <w:rPr>
                <w:rFonts w:hint="eastAsia" w:ascii="宋体" w:hAnsi="宋体" w:cs="宋体"/>
                <w:color w:val="auto"/>
                <w:sz w:val="24"/>
                <w:szCs w:val="24"/>
                <w:lang w:val="zh-CN"/>
              </w:rPr>
              <w:t>由采购人代表</w:t>
            </w:r>
            <w:r>
              <w:rPr>
                <w:rFonts w:hint="eastAsia" w:ascii="宋体" w:hAnsi="宋体" w:cs="宋体"/>
                <w:color w:val="auto"/>
                <w:sz w:val="24"/>
                <w:szCs w:val="24"/>
              </w:rPr>
              <w:t>1人</w:t>
            </w:r>
            <w:r>
              <w:rPr>
                <w:rFonts w:hint="eastAsia" w:ascii="宋体" w:hAnsi="宋体" w:cs="宋体"/>
                <w:color w:val="auto"/>
                <w:sz w:val="24"/>
                <w:szCs w:val="24"/>
                <w:lang w:val="zh-CN"/>
              </w:rPr>
              <w:t>和评审专家</w:t>
            </w:r>
            <w:r>
              <w:rPr>
                <w:rFonts w:hint="eastAsia" w:ascii="宋体" w:hAnsi="宋体" w:cs="宋体"/>
                <w:color w:val="auto"/>
                <w:sz w:val="24"/>
                <w:szCs w:val="24"/>
              </w:rPr>
              <w:t>4人</w:t>
            </w:r>
            <w:r>
              <w:rPr>
                <w:rFonts w:hint="eastAsia" w:ascii="宋体" w:hAnsi="宋体" w:cs="宋体"/>
                <w:color w:val="auto"/>
                <w:sz w:val="24"/>
                <w:szCs w:val="24"/>
                <w:lang w:val="zh-CN"/>
              </w:rPr>
              <w:t>组成，其中评审专家的人数不少于采购小组成员总数的三分之二。评审专家从政府采购评审专家库中随机抽取。评审委员会应当推选组长，但采购人代表不得担任组长。与供应商有利害关系的人不得进入评标委员会。</w:t>
            </w:r>
          </w:p>
          <w:p w14:paraId="34214A40">
            <w:pPr>
              <w:autoSpaceDE w:val="0"/>
              <w:autoSpaceDN w:val="0"/>
              <w:adjustRightInd w:val="0"/>
              <w:snapToGrid w:val="0"/>
              <w:spacing w:line="400" w:lineRule="exact"/>
              <w:rPr>
                <w:rFonts w:ascii="宋体" w:hAnsi="宋体" w:cs="宋体"/>
                <w:bCs/>
                <w:color w:val="auto"/>
                <w:sz w:val="24"/>
                <w:szCs w:val="24"/>
              </w:rPr>
            </w:pPr>
            <w:r>
              <w:rPr>
                <w:rFonts w:hint="eastAsia" w:ascii="宋体" w:hAnsi="宋体" w:cs="宋体"/>
                <w:color w:val="auto"/>
                <w:sz w:val="24"/>
                <w:szCs w:val="24"/>
                <w:lang w:val="zh-CN"/>
              </w:rPr>
              <w:t>□由评审专家组成。评审专家从政府采购评审专家库中随机抽取。</w:t>
            </w:r>
          </w:p>
        </w:tc>
      </w:tr>
      <w:tr w14:paraId="3BD98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6972419">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21</w:t>
            </w:r>
          </w:p>
        </w:tc>
        <w:tc>
          <w:tcPr>
            <w:tcW w:w="1881" w:type="dxa"/>
            <w:tcBorders>
              <w:top w:val="single" w:color="auto" w:sz="4" w:space="0"/>
              <w:left w:val="nil"/>
              <w:bottom w:val="single" w:color="auto" w:sz="4" w:space="0"/>
              <w:right w:val="single" w:color="auto" w:sz="4" w:space="0"/>
            </w:tcBorders>
            <w:vAlign w:val="center"/>
          </w:tcPr>
          <w:p w14:paraId="537CD986">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评标方法</w:t>
            </w:r>
          </w:p>
        </w:tc>
        <w:tc>
          <w:tcPr>
            <w:tcW w:w="6902" w:type="dxa"/>
            <w:tcBorders>
              <w:top w:val="single" w:color="auto" w:sz="4" w:space="0"/>
              <w:left w:val="nil"/>
              <w:bottom w:val="single" w:color="auto" w:sz="4" w:space="0"/>
              <w:right w:val="single" w:color="auto" w:sz="4" w:space="0"/>
            </w:tcBorders>
            <w:vAlign w:val="center"/>
          </w:tcPr>
          <w:p w14:paraId="3F01C8DB">
            <w:pPr>
              <w:autoSpaceDE w:val="0"/>
              <w:autoSpaceDN w:val="0"/>
              <w:adjustRightInd w:val="0"/>
              <w:snapToGrid w:val="0"/>
              <w:spacing w:line="400" w:lineRule="exact"/>
              <w:rPr>
                <w:rFonts w:ascii="宋体" w:hAnsi="宋体" w:cs="宋体"/>
                <w:color w:val="auto"/>
                <w:sz w:val="24"/>
                <w:szCs w:val="24"/>
              </w:rPr>
            </w:pPr>
            <w:r>
              <w:rPr>
                <w:rFonts w:hint="eastAsia" w:ascii="宋体" w:hAnsi="宋体" w:cs="宋体"/>
                <w:b/>
                <w:color w:val="auto"/>
                <w:kern w:val="0"/>
                <w:sz w:val="24"/>
                <w:szCs w:val="24"/>
                <w:lang w:val="zh-CN"/>
              </w:rPr>
              <w:fldChar w:fldCharType="begin"/>
            </w:r>
            <w:r>
              <w:rPr>
                <w:rFonts w:hint="eastAsia" w:ascii="宋体" w:hAnsi="宋体" w:cs="宋体"/>
                <w:b/>
                <w:color w:val="auto"/>
                <w:kern w:val="0"/>
                <w:sz w:val="24"/>
                <w:szCs w:val="24"/>
                <w:lang w:val="zh-CN"/>
              </w:rPr>
              <w:instrText xml:space="preserve">eq \o\ac(</w:instrText>
            </w:r>
            <w:r>
              <w:rPr>
                <w:rFonts w:hint="eastAsia" w:ascii="宋体" w:hAnsi="宋体" w:cs="宋体"/>
                <w:b/>
                <w:color w:val="auto"/>
                <w:kern w:val="0"/>
                <w:position w:val="-4"/>
                <w:sz w:val="24"/>
                <w:szCs w:val="24"/>
                <w:lang w:val="zh-CN"/>
              </w:rPr>
              <w:instrText xml:space="preserve">□</w:instrText>
            </w:r>
            <w:r>
              <w:rPr>
                <w:rFonts w:hint="eastAsia" w:ascii="宋体" w:hAnsi="宋体" w:cs="宋体"/>
                <w:b/>
                <w:color w:val="auto"/>
                <w:kern w:val="0"/>
                <w:sz w:val="24"/>
                <w:szCs w:val="24"/>
                <w:lang w:val="zh-CN"/>
              </w:rPr>
              <w:instrText xml:space="preserve">,√)</w:instrText>
            </w:r>
            <w:r>
              <w:rPr>
                <w:rFonts w:hint="eastAsia" w:ascii="宋体" w:hAnsi="宋体" w:cs="宋体"/>
                <w:b/>
                <w:color w:val="auto"/>
                <w:kern w:val="0"/>
                <w:sz w:val="24"/>
                <w:szCs w:val="24"/>
                <w:lang w:val="zh-CN"/>
              </w:rPr>
              <w:fldChar w:fldCharType="end"/>
            </w:r>
            <w:r>
              <w:rPr>
                <w:rFonts w:hint="eastAsia" w:ascii="宋体" w:hAnsi="宋体" w:cs="宋体"/>
                <w:color w:val="auto"/>
                <w:sz w:val="24"/>
                <w:szCs w:val="24"/>
              </w:rPr>
              <w:t>综合评分法□最低评标价法</w:t>
            </w:r>
          </w:p>
        </w:tc>
      </w:tr>
      <w:tr w14:paraId="22BD8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EC86AA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22</w:t>
            </w:r>
          </w:p>
        </w:tc>
        <w:tc>
          <w:tcPr>
            <w:tcW w:w="1881" w:type="dxa"/>
            <w:tcBorders>
              <w:top w:val="single" w:color="auto" w:sz="4" w:space="0"/>
              <w:left w:val="nil"/>
              <w:bottom w:val="single" w:color="auto" w:sz="4" w:space="0"/>
              <w:right w:val="single" w:color="auto" w:sz="4" w:space="0"/>
            </w:tcBorders>
            <w:vAlign w:val="center"/>
          </w:tcPr>
          <w:p w14:paraId="4DBEAF51">
            <w:pPr>
              <w:adjustRightInd w:val="0"/>
              <w:snapToGrid w:val="0"/>
              <w:spacing w:line="400" w:lineRule="exact"/>
              <w:ind w:right="-23" w:rightChars="-11"/>
              <w:jc w:val="center"/>
              <w:rPr>
                <w:rFonts w:ascii="宋体" w:hAnsi="宋体" w:cs="宋体"/>
                <w:bCs/>
                <w:color w:val="auto"/>
                <w:sz w:val="24"/>
                <w:szCs w:val="24"/>
                <w:lang w:val="zh-CN"/>
              </w:rPr>
            </w:pPr>
            <w:r>
              <w:rPr>
                <w:rFonts w:hint="eastAsia" w:ascii="宋体" w:hAnsi="宋体" w:cs="宋体"/>
                <w:bCs/>
                <w:color w:val="auto"/>
                <w:sz w:val="24"/>
                <w:szCs w:val="24"/>
                <w:lang w:val="zh-CN"/>
              </w:rPr>
              <w:t>履约担保</w:t>
            </w:r>
          </w:p>
        </w:tc>
        <w:tc>
          <w:tcPr>
            <w:tcW w:w="6902" w:type="dxa"/>
            <w:tcBorders>
              <w:top w:val="single" w:color="auto" w:sz="4" w:space="0"/>
              <w:left w:val="nil"/>
              <w:bottom w:val="single" w:color="auto" w:sz="4" w:space="0"/>
              <w:right w:val="single" w:color="auto" w:sz="4" w:space="0"/>
            </w:tcBorders>
            <w:vAlign w:val="center"/>
          </w:tcPr>
          <w:p w14:paraId="3B6E6A21">
            <w:pPr>
              <w:adjustRightInd w:val="0"/>
              <w:snapToGrid w:val="0"/>
              <w:spacing w:line="400" w:lineRule="exact"/>
              <w:ind w:right="-23" w:rightChars="-11"/>
              <w:jc w:val="left"/>
              <w:rPr>
                <w:rFonts w:ascii="宋体" w:hAnsi="宋体" w:cs="宋体"/>
                <w:bCs/>
                <w:color w:val="auto"/>
                <w:sz w:val="24"/>
                <w:szCs w:val="24"/>
                <w:lang w:val="zh-CN"/>
              </w:rPr>
            </w:pPr>
            <w:r>
              <w:rPr>
                <w:rFonts w:hint="eastAsia" w:ascii="宋体" w:hAnsi="宋体" w:cs="宋体"/>
                <w:b/>
                <w:color w:val="auto"/>
                <w:kern w:val="0"/>
                <w:sz w:val="24"/>
                <w:szCs w:val="24"/>
                <w:lang w:val="zh-CN"/>
              </w:rPr>
              <w:fldChar w:fldCharType="begin"/>
            </w:r>
            <w:r>
              <w:rPr>
                <w:rFonts w:hint="eastAsia" w:ascii="宋体" w:hAnsi="宋体" w:cs="宋体"/>
                <w:b/>
                <w:color w:val="auto"/>
                <w:kern w:val="0"/>
                <w:sz w:val="24"/>
                <w:szCs w:val="24"/>
                <w:lang w:val="zh-CN"/>
              </w:rPr>
              <w:instrText xml:space="preserve">eq \o\ac(</w:instrText>
            </w:r>
            <w:r>
              <w:rPr>
                <w:rFonts w:hint="eastAsia" w:ascii="宋体" w:hAnsi="宋体" w:cs="宋体"/>
                <w:b/>
                <w:color w:val="auto"/>
                <w:kern w:val="0"/>
                <w:position w:val="-4"/>
                <w:sz w:val="24"/>
                <w:szCs w:val="24"/>
                <w:lang w:val="zh-CN"/>
              </w:rPr>
              <w:instrText xml:space="preserve">□</w:instrText>
            </w:r>
            <w:r>
              <w:rPr>
                <w:rFonts w:hint="eastAsia" w:ascii="宋体" w:hAnsi="宋体" w:cs="宋体"/>
                <w:b/>
                <w:color w:val="auto"/>
                <w:kern w:val="0"/>
                <w:sz w:val="24"/>
                <w:szCs w:val="24"/>
                <w:lang w:val="zh-CN"/>
              </w:rPr>
              <w:instrText xml:space="preserve">,√)</w:instrText>
            </w:r>
            <w:r>
              <w:rPr>
                <w:rFonts w:hint="eastAsia" w:ascii="宋体" w:hAnsi="宋体" w:cs="宋体"/>
                <w:b/>
                <w:color w:val="auto"/>
                <w:kern w:val="0"/>
                <w:sz w:val="24"/>
                <w:szCs w:val="24"/>
                <w:lang w:val="zh-CN"/>
              </w:rPr>
              <w:fldChar w:fldCharType="end"/>
            </w:r>
            <w:r>
              <w:rPr>
                <w:rFonts w:hint="eastAsia" w:ascii="宋体" w:hAnsi="宋体" w:cs="宋体"/>
                <w:bCs/>
                <w:color w:val="auto"/>
                <w:sz w:val="24"/>
                <w:szCs w:val="24"/>
              </w:rPr>
              <w:t>无要求 按照《许昌市财政局关于加大政府采购支持中小企业力度有关事项的通知》(许财购【2022】5号）文的要求，不收取履约保证金。</w:t>
            </w:r>
          </w:p>
        </w:tc>
      </w:tr>
      <w:tr w14:paraId="6C1E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34459CED">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23</w:t>
            </w:r>
          </w:p>
        </w:tc>
        <w:tc>
          <w:tcPr>
            <w:tcW w:w="1881" w:type="dxa"/>
            <w:tcBorders>
              <w:top w:val="single" w:color="auto" w:sz="4" w:space="0"/>
              <w:left w:val="nil"/>
              <w:bottom w:val="single" w:color="auto" w:sz="4" w:space="0"/>
              <w:right w:val="single" w:color="auto" w:sz="4" w:space="0"/>
            </w:tcBorders>
            <w:vAlign w:val="center"/>
          </w:tcPr>
          <w:p w14:paraId="772F60EB">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Cs/>
                <w:color w:val="auto"/>
                <w:sz w:val="24"/>
                <w:szCs w:val="24"/>
              </w:rPr>
              <w:t>代理服务费</w:t>
            </w:r>
          </w:p>
        </w:tc>
        <w:tc>
          <w:tcPr>
            <w:tcW w:w="6902" w:type="dxa"/>
            <w:tcBorders>
              <w:top w:val="single" w:color="auto" w:sz="4" w:space="0"/>
              <w:left w:val="nil"/>
              <w:bottom w:val="single" w:color="auto" w:sz="4" w:space="0"/>
              <w:right w:val="single" w:color="auto" w:sz="4" w:space="0"/>
            </w:tcBorders>
            <w:vAlign w:val="center"/>
          </w:tcPr>
          <w:p w14:paraId="77303CDA">
            <w:pPr>
              <w:widowControl/>
              <w:jc w:val="left"/>
              <w:rPr>
                <w:rFonts w:ascii="宋体" w:hAnsi="宋体" w:cs="宋体"/>
                <w:bCs/>
                <w:color w:val="auto"/>
                <w:sz w:val="24"/>
                <w:szCs w:val="24"/>
              </w:rPr>
            </w:pPr>
            <w:r>
              <w:rPr>
                <w:rFonts w:hint="eastAsia" w:ascii="宋体" w:hAnsi="宋体" w:cs="宋体"/>
                <w:color w:val="auto"/>
                <w:position w:val="2"/>
                <w:sz w:val="24"/>
                <w:szCs w:val="24"/>
                <w:lang w:val="zh-CN"/>
              </w:rPr>
              <w:fldChar w:fldCharType="begin"/>
            </w:r>
            <w:r>
              <w:rPr>
                <w:rFonts w:hint="eastAsia" w:ascii="宋体" w:hAnsi="宋体" w:cs="宋体"/>
                <w:color w:val="auto"/>
                <w:position w:val="2"/>
                <w:sz w:val="24"/>
                <w:szCs w:val="24"/>
                <w:lang w:val="zh-CN"/>
              </w:rPr>
              <w:instrText xml:space="preserve">eq \o\ac(</w:instrText>
            </w:r>
            <w:r>
              <w:rPr>
                <w:rFonts w:hint="eastAsia" w:ascii="宋体" w:hAnsi="宋体" w:cs="宋体"/>
                <w:color w:val="auto"/>
                <w:sz w:val="24"/>
                <w:szCs w:val="24"/>
                <w:lang w:val="zh-CN"/>
              </w:rPr>
              <w:instrText xml:space="preserve">□</w:instrText>
            </w:r>
            <w:r>
              <w:rPr>
                <w:rFonts w:hint="eastAsia" w:ascii="宋体" w:hAnsi="宋体" w:cs="宋体"/>
                <w:color w:val="auto"/>
                <w:position w:val="2"/>
                <w:sz w:val="24"/>
                <w:szCs w:val="24"/>
                <w:lang w:val="zh-CN"/>
              </w:rPr>
              <w:instrText xml:space="preserve">,√)</w:instrText>
            </w:r>
            <w:r>
              <w:rPr>
                <w:rFonts w:hint="eastAsia" w:ascii="宋体" w:hAnsi="宋体" w:cs="宋体"/>
                <w:color w:val="auto"/>
                <w:position w:val="2"/>
                <w:sz w:val="24"/>
                <w:szCs w:val="24"/>
                <w:lang w:val="zh-CN"/>
              </w:rPr>
              <w:fldChar w:fldCharType="end"/>
            </w:r>
            <w:r>
              <w:rPr>
                <w:rFonts w:hint="eastAsia" w:ascii="宋体" w:hAnsi="宋体" w:cs="宋体"/>
                <w:color w:val="auto"/>
                <w:sz w:val="24"/>
                <w:szCs w:val="24"/>
                <w:lang w:val="zh-CN"/>
              </w:rPr>
              <w:t>不收取。</w:t>
            </w:r>
            <w:r>
              <w:rPr>
                <w:rFonts w:hint="eastAsia" w:ascii="宋体" w:hAnsi="宋体" w:cs="宋体"/>
                <w:color w:val="auto"/>
                <w:sz w:val="24"/>
                <w:szCs w:val="24"/>
                <w:lang w:val="zh-CN"/>
              </w:rPr>
              <w:tab/>
            </w:r>
          </w:p>
        </w:tc>
      </w:tr>
      <w:tr w14:paraId="596B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6F5D061B">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24</w:t>
            </w:r>
          </w:p>
        </w:tc>
        <w:tc>
          <w:tcPr>
            <w:tcW w:w="1881" w:type="dxa"/>
            <w:tcBorders>
              <w:top w:val="single" w:color="auto" w:sz="4" w:space="0"/>
              <w:left w:val="nil"/>
              <w:bottom w:val="single" w:color="auto" w:sz="4" w:space="0"/>
              <w:right w:val="single" w:color="auto" w:sz="4" w:space="0"/>
            </w:tcBorders>
            <w:vAlign w:val="center"/>
          </w:tcPr>
          <w:p w14:paraId="08173325">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Cs/>
                <w:color w:val="auto"/>
                <w:sz w:val="24"/>
                <w:szCs w:val="24"/>
              </w:rPr>
              <w:t>中标人资格核验</w:t>
            </w:r>
          </w:p>
        </w:tc>
        <w:tc>
          <w:tcPr>
            <w:tcW w:w="6902" w:type="dxa"/>
            <w:tcBorders>
              <w:top w:val="single" w:color="auto" w:sz="4" w:space="0"/>
              <w:left w:val="nil"/>
              <w:bottom w:val="single" w:color="auto" w:sz="4" w:space="0"/>
              <w:right w:val="single" w:color="auto" w:sz="4" w:space="0"/>
            </w:tcBorders>
            <w:vAlign w:val="center"/>
          </w:tcPr>
          <w:p w14:paraId="2650D238">
            <w:pPr>
              <w:spacing w:line="500" w:lineRule="exact"/>
              <w:rPr>
                <w:rFonts w:ascii="宋体" w:hAnsi="宋体" w:cs="宋体"/>
                <w:bCs/>
                <w:color w:val="auto"/>
                <w:sz w:val="24"/>
                <w:szCs w:val="24"/>
              </w:rPr>
            </w:pPr>
            <w:r>
              <w:rPr>
                <w:rFonts w:hint="eastAsia" w:ascii="宋体" w:hAnsi="宋体" w:cs="宋体"/>
                <w:bCs/>
                <w:color w:val="auto"/>
                <w:sz w:val="24"/>
                <w:szCs w:val="24"/>
              </w:rPr>
              <w:t>供应商在成交后，应将由《长葛市政府采购供应商信用承诺函》替代的证明材料提交采购人核验，经核验无误后，发出成交通知书。</w:t>
            </w:r>
          </w:p>
          <w:p w14:paraId="6D0874D6">
            <w:pPr>
              <w:spacing w:line="500" w:lineRule="exact"/>
              <w:rPr>
                <w:rFonts w:ascii="宋体" w:hAnsi="宋体" w:cs="宋体"/>
                <w:bCs/>
                <w:color w:val="auto"/>
                <w:sz w:val="24"/>
                <w:szCs w:val="24"/>
              </w:rPr>
            </w:pPr>
            <w:r>
              <w:rPr>
                <w:rFonts w:hint="eastAsia" w:ascii="宋体" w:hAnsi="宋体" w:cs="宋体"/>
                <w:bCs/>
                <w:color w:val="auto"/>
                <w:sz w:val="24"/>
                <w:szCs w:val="24"/>
              </w:rPr>
              <w:t>一、法人或者其他组织的营业执照等证明文件，自然人的身份证明</w:t>
            </w:r>
          </w:p>
          <w:p w14:paraId="3A46ED3A">
            <w:pPr>
              <w:spacing w:line="500" w:lineRule="exact"/>
              <w:rPr>
                <w:rFonts w:ascii="宋体" w:hAnsi="宋体" w:cs="宋体"/>
                <w:bCs/>
                <w:color w:val="auto"/>
                <w:sz w:val="24"/>
                <w:szCs w:val="24"/>
              </w:rPr>
            </w:pPr>
            <w:r>
              <w:rPr>
                <w:rFonts w:hint="eastAsia" w:ascii="宋体" w:hAnsi="宋体" w:cs="宋体"/>
                <w:bCs/>
                <w:color w:val="auto"/>
                <w:sz w:val="24"/>
                <w:szCs w:val="24"/>
              </w:rPr>
              <w:t>1、企业法人营业执照或营业执照。（企业投标响应提供）</w:t>
            </w:r>
          </w:p>
          <w:p w14:paraId="1E675F8C">
            <w:pPr>
              <w:spacing w:line="500" w:lineRule="exact"/>
              <w:rPr>
                <w:rFonts w:ascii="宋体" w:hAnsi="宋体" w:cs="宋体"/>
                <w:bCs/>
                <w:color w:val="auto"/>
                <w:sz w:val="24"/>
                <w:szCs w:val="24"/>
              </w:rPr>
            </w:pPr>
            <w:r>
              <w:rPr>
                <w:rFonts w:hint="eastAsia" w:ascii="宋体" w:hAnsi="宋体" w:cs="宋体"/>
                <w:bCs/>
                <w:color w:val="auto"/>
                <w:sz w:val="24"/>
                <w:szCs w:val="24"/>
              </w:rPr>
              <w:t>2、事业单位法人证书。（事业单位投标响应提供）</w:t>
            </w:r>
          </w:p>
          <w:p w14:paraId="0BCE8889">
            <w:pPr>
              <w:spacing w:line="500" w:lineRule="exact"/>
              <w:rPr>
                <w:rFonts w:ascii="宋体" w:hAnsi="宋体" w:cs="宋体"/>
                <w:bCs/>
                <w:color w:val="auto"/>
                <w:sz w:val="24"/>
                <w:szCs w:val="24"/>
              </w:rPr>
            </w:pPr>
            <w:r>
              <w:rPr>
                <w:rFonts w:hint="eastAsia" w:ascii="宋体" w:hAnsi="宋体" w:cs="宋体"/>
                <w:bCs/>
                <w:color w:val="auto"/>
                <w:sz w:val="24"/>
                <w:szCs w:val="24"/>
              </w:rPr>
              <w:t>3、执业许可证。（非企业专业服务机构投标响应提供）</w:t>
            </w:r>
          </w:p>
          <w:p w14:paraId="32ADEEA3">
            <w:pPr>
              <w:spacing w:line="500" w:lineRule="exact"/>
              <w:rPr>
                <w:rFonts w:ascii="宋体" w:hAnsi="宋体" w:cs="宋体"/>
                <w:bCs/>
                <w:color w:val="auto"/>
                <w:sz w:val="24"/>
                <w:szCs w:val="24"/>
              </w:rPr>
            </w:pPr>
            <w:r>
              <w:rPr>
                <w:rFonts w:hint="eastAsia" w:ascii="宋体" w:hAnsi="宋体" w:cs="宋体"/>
                <w:bCs/>
                <w:color w:val="auto"/>
                <w:sz w:val="24"/>
                <w:szCs w:val="24"/>
              </w:rPr>
              <w:t>4、个体工商户营业执照。（个体工商户投标响应提供）</w:t>
            </w:r>
          </w:p>
          <w:p w14:paraId="0F8288FA">
            <w:pPr>
              <w:spacing w:line="500" w:lineRule="exact"/>
              <w:rPr>
                <w:rFonts w:ascii="宋体" w:hAnsi="宋体" w:cs="宋体"/>
                <w:bCs/>
                <w:color w:val="auto"/>
                <w:sz w:val="24"/>
                <w:szCs w:val="24"/>
              </w:rPr>
            </w:pPr>
            <w:r>
              <w:rPr>
                <w:rFonts w:hint="eastAsia" w:ascii="宋体" w:hAnsi="宋体" w:cs="宋体"/>
                <w:bCs/>
                <w:color w:val="auto"/>
                <w:sz w:val="24"/>
                <w:szCs w:val="24"/>
              </w:rPr>
              <w:t>5、自然人身份证明。（自然人投标响应提供）</w:t>
            </w:r>
          </w:p>
          <w:p w14:paraId="12524D51">
            <w:pPr>
              <w:spacing w:line="500" w:lineRule="exact"/>
              <w:rPr>
                <w:rFonts w:ascii="宋体" w:hAnsi="宋体" w:cs="宋体"/>
                <w:bCs/>
                <w:color w:val="auto"/>
                <w:sz w:val="24"/>
                <w:szCs w:val="24"/>
              </w:rPr>
            </w:pPr>
            <w:r>
              <w:rPr>
                <w:rFonts w:hint="eastAsia" w:ascii="宋体" w:hAnsi="宋体" w:cs="宋体"/>
                <w:bCs/>
                <w:color w:val="auto"/>
                <w:sz w:val="24"/>
                <w:szCs w:val="24"/>
              </w:rPr>
              <w:t>6、民办非企业单位登记证书。（民办非企业单位投标响应提供）</w:t>
            </w:r>
          </w:p>
          <w:p w14:paraId="1A7B56DE">
            <w:pPr>
              <w:spacing w:line="500" w:lineRule="exact"/>
              <w:rPr>
                <w:rFonts w:ascii="宋体" w:hAnsi="宋体" w:cs="宋体"/>
                <w:bCs/>
                <w:color w:val="auto"/>
                <w:sz w:val="24"/>
                <w:szCs w:val="24"/>
              </w:rPr>
            </w:pPr>
            <w:r>
              <w:rPr>
                <w:rFonts w:hint="eastAsia" w:ascii="宋体" w:hAnsi="宋体" w:cs="宋体"/>
                <w:bCs/>
                <w:color w:val="auto"/>
                <w:sz w:val="24"/>
                <w:szCs w:val="24"/>
              </w:rPr>
              <w:t>二、财务状况报告相关材料</w:t>
            </w:r>
          </w:p>
          <w:p w14:paraId="03D98F11">
            <w:pPr>
              <w:spacing w:line="500" w:lineRule="exact"/>
              <w:rPr>
                <w:rFonts w:ascii="宋体" w:hAnsi="宋体" w:cs="宋体"/>
                <w:bCs/>
                <w:color w:val="auto"/>
                <w:sz w:val="24"/>
                <w:szCs w:val="24"/>
              </w:rPr>
            </w:pPr>
            <w:r>
              <w:rPr>
                <w:rFonts w:hint="eastAsia" w:ascii="宋体" w:hAnsi="宋体" w:cs="宋体"/>
                <w:bCs/>
                <w:color w:val="auto"/>
                <w:sz w:val="24"/>
                <w:szCs w:val="24"/>
              </w:rPr>
              <w:t>1、供应商是法人（法人包括企业法人、机关法人、事业单位法人和社会团体法人），提供本单位：</w:t>
            </w:r>
          </w:p>
          <w:p w14:paraId="20636E0B">
            <w:pPr>
              <w:spacing w:line="500" w:lineRule="exact"/>
              <w:rPr>
                <w:rFonts w:ascii="宋体" w:hAnsi="宋体" w:cs="宋体"/>
                <w:bCs/>
                <w:color w:val="auto"/>
                <w:sz w:val="24"/>
                <w:szCs w:val="24"/>
              </w:rPr>
            </w:pPr>
            <w:r>
              <w:rPr>
                <w:rFonts w:hint="eastAsia" w:ascii="宋体" w:hAnsi="宋体" w:cs="宋体"/>
                <w:bCs/>
                <w:color w:val="auto"/>
                <w:sz w:val="24"/>
                <w:szCs w:val="24"/>
              </w:rPr>
              <w:t>①2024年度经审计的财务报告，包括资产负债表、利润表、现金流量表、所有者权益变动表及其附注；</w:t>
            </w:r>
          </w:p>
          <w:p w14:paraId="6D3AF7F6">
            <w:pPr>
              <w:spacing w:line="500" w:lineRule="exact"/>
              <w:rPr>
                <w:rFonts w:ascii="宋体" w:hAnsi="宋体" w:cs="宋体"/>
                <w:bCs/>
                <w:color w:val="auto"/>
                <w:sz w:val="24"/>
                <w:szCs w:val="24"/>
              </w:rPr>
            </w:pPr>
            <w:r>
              <w:rPr>
                <w:rFonts w:hint="eastAsia" w:ascii="宋体" w:hAnsi="宋体" w:cs="宋体"/>
                <w:bCs/>
                <w:color w:val="auto"/>
                <w:sz w:val="24"/>
                <w:szCs w:val="24"/>
              </w:rPr>
              <w:t>②基本开户银行出具的资信证明；</w:t>
            </w:r>
          </w:p>
          <w:p w14:paraId="0DB49005">
            <w:pPr>
              <w:spacing w:line="500" w:lineRule="exact"/>
              <w:rPr>
                <w:rFonts w:ascii="宋体" w:hAnsi="宋体" w:cs="宋体"/>
                <w:bCs/>
                <w:color w:val="auto"/>
                <w:sz w:val="24"/>
                <w:szCs w:val="24"/>
              </w:rPr>
            </w:pPr>
            <w:r>
              <w:rPr>
                <w:rFonts w:hint="eastAsia" w:ascii="宋体" w:hAnsi="宋体" w:cs="宋体"/>
                <w:bCs/>
                <w:color w:val="auto"/>
                <w:sz w:val="24"/>
                <w:szCs w:val="24"/>
              </w:rPr>
              <w:t>③财政部门认可的政府采购专业担保机构的证明文件和担保机构出具的投标响应担保函。</w:t>
            </w:r>
          </w:p>
          <w:p w14:paraId="7E1313A4">
            <w:pPr>
              <w:spacing w:line="500" w:lineRule="exact"/>
              <w:rPr>
                <w:rFonts w:ascii="宋体" w:hAnsi="宋体" w:cs="宋体"/>
                <w:bCs/>
                <w:color w:val="auto"/>
                <w:sz w:val="24"/>
                <w:szCs w:val="24"/>
              </w:rPr>
            </w:pPr>
            <w:r>
              <w:rPr>
                <w:rFonts w:hint="eastAsia" w:ascii="宋体" w:hAnsi="宋体" w:cs="宋体"/>
                <w:bCs/>
                <w:color w:val="auto"/>
                <w:sz w:val="24"/>
                <w:szCs w:val="24"/>
              </w:rPr>
              <w:t>注：仅需提供序号①～③其中之一即可。</w:t>
            </w:r>
          </w:p>
          <w:p w14:paraId="48E0402D">
            <w:pPr>
              <w:spacing w:line="500" w:lineRule="exact"/>
              <w:rPr>
                <w:rFonts w:ascii="宋体" w:hAnsi="宋体" w:cs="宋体"/>
                <w:bCs/>
                <w:color w:val="auto"/>
                <w:sz w:val="24"/>
                <w:szCs w:val="24"/>
              </w:rPr>
            </w:pPr>
            <w:r>
              <w:rPr>
                <w:rFonts w:hint="eastAsia" w:ascii="宋体" w:hAnsi="宋体" w:cs="宋体"/>
                <w:bCs/>
                <w:color w:val="auto"/>
                <w:sz w:val="24"/>
                <w:szCs w:val="24"/>
              </w:rPr>
              <w:t>2、供应商（其他组织和自然人）提供本单位：</w:t>
            </w:r>
          </w:p>
          <w:p w14:paraId="6E7FC8BF">
            <w:pPr>
              <w:spacing w:line="500" w:lineRule="exact"/>
              <w:rPr>
                <w:rFonts w:ascii="宋体" w:hAnsi="宋体" w:cs="宋体"/>
                <w:bCs/>
                <w:color w:val="auto"/>
                <w:sz w:val="24"/>
                <w:szCs w:val="24"/>
              </w:rPr>
            </w:pPr>
            <w:r>
              <w:rPr>
                <w:rFonts w:hint="eastAsia" w:ascii="宋体" w:hAnsi="宋体" w:cs="宋体"/>
                <w:bCs/>
                <w:color w:val="auto"/>
                <w:sz w:val="24"/>
                <w:szCs w:val="24"/>
              </w:rPr>
              <w:t>①2024年度经审计的财务报告，包括资产负债表、利润表、现金流量表、所有者权益变动表及其附注；</w:t>
            </w:r>
          </w:p>
          <w:p w14:paraId="50569585">
            <w:pPr>
              <w:spacing w:line="500" w:lineRule="exact"/>
              <w:rPr>
                <w:rFonts w:ascii="宋体" w:hAnsi="宋体" w:cs="宋体"/>
                <w:bCs/>
                <w:color w:val="auto"/>
                <w:sz w:val="24"/>
                <w:szCs w:val="24"/>
              </w:rPr>
            </w:pPr>
            <w:r>
              <w:rPr>
                <w:rFonts w:hint="eastAsia" w:ascii="宋体" w:hAnsi="宋体" w:cs="宋体"/>
                <w:bCs/>
                <w:color w:val="auto"/>
                <w:sz w:val="24"/>
                <w:szCs w:val="24"/>
              </w:rPr>
              <w:t>②银行出具的资信证明；</w:t>
            </w:r>
          </w:p>
          <w:p w14:paraId="5CFC5F59">
            <w:pPr>
              <w:spacing w:line="500" w:lineRule="exact"/>
              <w:rPr>
                <w:rFonts w:ascii="宋体" w:hAnsi="宋体" w:cs="宋体"/>
                <w:bCs/>
                <w:color w:val="auto"/>
                <w:sz w:val="24"/>
                <w:szCs w:val="24"/>
              </w:rPr>
            </w:pPr>
            <w:r>
              <w:rPr>
                <w:rFonts w:hint="eastAsia" w:ascii="宋体" w:hAnsi="宋体" w:cs="宋体"/>
                <w:bCs/>
                <w:color w:val="auto"/>
                <w:sz w:val="24"/>
                <w:szCs w:val="24"/>
              </w:rPr>
              <w:t>③财政部门认可的政府采购专业担保机构的证明文件和担保机构出具的投标响应担保函。</w:t>
            </w:r>
          </w:p>
          <w:p w14:paraId="6A81046F">
            <w:pPr>
              <w:spacing w:line="500" w:lineRule="exact"/>
              <w:rPr>
                <w:rFonts w:ascii="宋体" w:hAnsi="宋体" w:cs="宋体"/>
                <w:bCs/>
                <w:color w:val="auto"/>
                <w:sz w:val="24"/>
                <w:szCs w:val="24"/>
              </w:rPr>
            </w:pPr>
            <w:r>
              <w:rPr>
                <w:rFonts w:hint="eastAsia" w:ascii="宋体" w:hAnsi="宋体" w:cs="宋体"/>
                <w:bCs/>
                <w:color w:val="auto"/>
                <w:sz w:val="24"/>
                <w:szCs w:val="24"/>
              </w:rPr>
              <w:t>注：仅需提供序号①～③其中之一即可。</w:t>
            </w:r>
          </w:p>
          <w:p w14:paraId="7ED44EB4">
            <w:pPr>
              <w:spacing w:line="500" w:lineRule="exact"/>
              <w:rPr>
                <w:rFonts w:ascii="宋体" w:hAnsi="宋体" w:cs="宋体"/>
                <w:bCs/>
                <w:color w:val="auto"/>
                <w:sz w:val="24"/>
                <w:szCs w:val="24"/>
              </w:rPr>
            </w:pPr>
            <w:r>
              <w:rPr>
                <w:rFonts w:hint="eastAsia" w:ascii="宋体" w:hAnsi="宋体" w:cs="宋体"/>
                <w:bCs/>
                <w:color w:val="auto"/>
                <w:sz w:val="24"/>
                <w:szCs w:val="24"/>
              </w:rPr>
              <w:t>三、依法缴纳税收相关材料</w:t>
            </w:r>
          </w:p>
          <w:p w14:paraId="51165510">
            <w:pPr>
              <w:spacing w:line="500" w:lineRule="exact"/>
              <w:rPr>
                <w:rFonts w:ascii="宋体" w:hAnsi="宋体" w:cs="宋体"/>
                <w:bCs/>
                <w:color w:val="auto"/>
                <w:sz w:val="24"/>
                <w:szCs w:val="24"/>
              </w:rPr>
            </w:pPr>
            <w:r>
              <w:rPr>
                <w:rFonts w:hint="eastAsia" w:ascii="宋体" w:hAnsi="宋体" w:cs="宋体"/>
                <w:bCs/>
                <w:color w:val="auto"/>
                <w:sz w:val="24"/>
                <w:szCs w:val="24"/>
              </w:rPr>
              <w:t>参加本次政府采购项目投标响应截止时间前一年内任意一个月缴纳税收凭据（依法免税的供应商，应提供相应文件证明依法免税）</w:t>
            </w:r>
          </w:p>
          <w:p w14:paraId="573FF615">
            <w:pPr>
              <w:spacing w:line="500" w:lineRule="exact"/>
              <w:rPr>
                <w:rFonts w:ascii="宋体" w:hAnsi="宋体" w:cs="宋体"/>
                <w:bCs/>
                <w:color w:val="auto"/>
                <w:sz w:val="24"/>
                <w:szCs w:val="24"/>
              </w:rPr>
            </w:pPr>
            <w:r>
              <w:rPr>
                <w:rFonts w:hint="eastAsia" w:ascii="宋体" w:hAnsi="宋体" w:cs="宋体"/>
                <w:bCs/>
                <w:color w:val="auto"/>
                <w:sz w:val="24"/>
                <w:szCs w:val="24"/>
              </w:rPr>
              <w:t>四、依法缴纳社会保障资金的证明材料</w:t>
            </w:r>
          </w:p>
          <w:p w14:paraId="360FA4DB">
            <w:pPr>
              <w:spacing w:line="500" w:lineRule="exact"/>
              <w:rPr>
                <w:rFonts w:ascii="宋体" w:hAnsi="宋体" w:cs="宋体"/>
                <w:bCs/>
                <w:color w:val="auto"/>
                <w:sz w:val="24"/>
                <w:szCs w:val="24"/>
              </w:rPr>
            </w:pPr>
            <w:r>
              <w:rPr>
                <w:rFonts w:hint="eastAsia" w:ascii="宋体" w:hAnsi="宋体" w:cs="宋体"/>
                <w:bCs/>
                <w:color w:val="auto"/>
                <w:sz w:val="24"/>
                <w:szCs w:val="24"/>
              </w:rPr>
              <w:t>参加本次政府采购项目投标响应截止时间前一年内任意一个月缴纳社会保险凭据。（依法不需要缴纳社会保障资金的供应商，应提供相应文件证明依法不需要缴纳社会保障资金）</w:t>
            </w:r>
          </w:p>
          <w:p w14:paraId="6A605F17">
            <w:pPr>
              <w:spacing w:line="500" w:lineRule="exact"/>
              <w:rPr>
                <w:rFonts w:ascii="宋体" w:hAnsi="宋体" w:cs="宋体"/>
                <w:bCs/>
                <w:color w:val="auto"/>
                <w:sz w:val="24"/>
                <w:szCs w:val="24"/>
              </w:rPr>
            </w:pPr>
            <w:r>
              <w:rPr>
                <w:rFonts w:hint="eastAsia" w:ascii="宋体" w:hAnsi="宋体" w:cs="宋体"/>
                <w:bCs/>
                <w:color w:val="auto"/>
                <w:sz w:val="24"/>
                <w:szCs w:val="24"/>
              </w:rPr>
              <w:t>五、履行合同所必需的设备和专业技术能力的证明材料</w:t>
            </w:r>
          </w:p>
          <w:p w14:paraId="66FC7851">
            <w:pPr>
              <w:spacing w:line="500" w:lineRule="exact"/>
              <w:rPr>
                <w:rFonts w:ascii="宋体" w:hAnsi="宋体" w:cs="宋体"/>
                <w:bCs/>
                <w:color w:val="auto"/>
                <w:sz w:val="24"/>
                <w:szCs w:val="24"/>
              </w:rPr>
            </w:pPr>
            <w:r>
              <w:rPr>
                <w:rFonts w:hint="eastAsia" w:ascii="宋体" w:hAnsi="宋体" w:cs="宋体"/>
                <w:bCs/>
                <w:color w:val="auto"/>
                <w:sz w:val="24"/>
                <w:szCs w:val="24"/>
              </w:rPr>
              <w:t>1、相关设备的购置发票、专业技术人员职称证书、用工合同等；</w:t>
            </w:r>
          </w:p>
          <w:p w14:paraId="781AC228">
            <w:pPr>
              <w:spacing w:line="500" w:lineRule="exact"/>
              <w:rPr>
                <w:rFonts w:ascii="宋体" w:hAnsi="宋体" w:cs="宋体"/>
                <w:bCs/>
                <w:color w:val="auto"/>
                <w:sz w:val="24"/>
                <w:szCs w:val="24"/>
              </w:rPr>
            </w:pPr>
            <w:r>
              <w:rPr>
                <w:rFonts w:hint="eastAsia" w:ascii="宋体" w:hAnsi="宋体" w:cs="宋体"/>
                <w:bCs/>
                <w:color w:val="auto"/>
                <w:sz w:val="24"/>
                <w:szCs w:val="24"/>
              </w:rPr>
              <w:t>2、供应商具备履行合同所必需的设备和专业技术能力承诺函或声明（承诺函或声明格式自拟）。</w:t>
            </w:r>
          </w:p>
          <w:p w14:paraId="6D123D84">
            <w:pPr>
              <w:spacing w:line="500" w:lineRule="exact"/>
              <w:rPr>
                <w:rFonts w:ascii="宋体" w:hAnsi="宋体" w:cs="宋体"/>
                <w:bCs/>
                <w:color w:val="auto"/>
                <w:sz w:val="24"/>
                <w:szCs w:val="24"/>
              </w:rPr>
            </w:pPr>
            <w:r>
              <w:rPr>
                <w:rFonts w:hint="eastAsia" w:ascii="宋体" w:hAnsi="宋体" w:cs="宋体"/>
                <w:bCs/>
                <w:color w:val="auto"/>
                <w:sz w:val="24"/>
                <w:szCs w:val="24"/>
              </w:rPr>
              <w:t>注：仅需提供序号1～2其中之一即可。</w:t>
            </w:r>
          </w:p>
          <w:p w14:paraId="083773E6">
            <w:pPr>
              <w:spacing w:line="500" w:lineRule="exact"/>
              <w:rPr>
                <w:rFonts w:ascii="宋体" w:hAnsi="宋体" w:cs="宋体"/>
                <w:bCs/>
                <w:color w:val="auto"/>
                <w:sz w:val="24"/>
                <w:szCs w:val="24"/>
              </w:rPr>
            </w:pPr>
            <w:r>
              <w:rPr>
                <w:rFonts w:hint="eastAsia" w:ascii="宋体" w:hAnsi="宋体" w:cs="宋体"/>
                <w:bCs/>
                <w:color w:val="auto"/>
                <w:sz w:val="24"/>
                <w:szCs w:val="24"/>
              </w:rPr>
              <w:t>六、参加政府采购活动前3年内在经营活动中没有重大违法记录的声明</w:t>
            </w:r>
          </w:p>
          <w:p w14:paraId="0C067E33">
            <w:pPr>
              <w:spacing w:line="500" w:lineRule="exact"/>
              <w:rPr>
                <w:rFonts w:ascii="宋体" w:hAnsi="宋体" w:cs="宋体"/>
                <w:bCs/>
                <w:color w:val="auto"/>
                <w:sz w:val="24"/>
                <w:szCs w:val="24"/>
              </w:rPr>
            </w:pPr>
            <w:r>
              <w:rPr>
                <w:rFonts w:hint="eastAsia" w:ascii="宋体" w:hAnsi="宋体" w:cs="宋体"/>
                <w:bCs/>
                <w:color w:val="auto"/>
                <w:sz w:val="24"/>
                <w:szCs w:val="24"/>
              </w:rPr>
              <w:t>供应商“参加政府采购活动前3年内在经营活动中没有重大违法记录的书面声明”。重大违法记录，是指供应商因违法经营受到刑事处罚或者责令停产停业、吊销许可证或者执照、较大数额罚款等行政处罚。</w:t>
            </w:r>
          </w:p>
          <w:p w14:paraId="50BB1557">
            <w:pPr>
              <w:spacing w:line="500" w:lineRule="exact"/>
              <w:rPr>
                <w:rFonts w:ascii="宋体" w:hAnsi="宋体" w:cs="宋体"/>
                <w:bCs/>
                <w:color w:val="auto"/>
                <w:sz w:val="24"/>
                <w:szCs w:val="24"/>
              </w:rPr>
            </w:pPr>
            <w:r>
              <w:rPr>
                <w:rFonts w:hint="eastAsia" w:ascii="宋体" w:hAnsi="宋体" w:cs="宋体"/>
                <w:bCs/>
                <w:color w:val="auto"/>
                <w:sz w:val="24"/>
                <w:szCs w:val="24"/>
              </w:rPr>
              <w:t>七、未被列入“信用中国”网站（www.creditchina.gov.cn）失信被执行人、税收违法黑名单的供应商；“中国政府采购网”(www.ccgp.gov.cn)政府采购严重违法失信行为记录名单的供应商；“中国社会组织政务服务平台”网站（https://chinanpo.mca.gov.cn）严重违法失信社会组织（联合体形式响应的，联合体成员存在不良信用记录，视同联合体存在不良信用记录）。</w:t>
            </w:r>
          </w:p>
          <w:p w14:paraId="6398A048">
            <w:pPr>
              <w:spacing w:line="500" w:lineRule="exact"/>
              <w:rPr>
                <w:rFonts w:ascii="宋体" w:hAnsi="宋体" w:cs="宋体"/>
                <w:bCs/>
                <w:color w:val="auto"/>
                <w:sz w:val="24"/>
                <w:szCs w:val="24"/>
              </w:rPr>
            </w:pPr>
            <w:r>
              <w:rPr>
                <w:rFonts w:hint="eastAsia" w:ascii="宋体" w:hAnsi="宋体" w:cs="宋体"/>
                <w:bCs/>
                <w:color w:val="auto"/>
                <w:sz w:val="24"/>
                <w:szCs w:val="24"/>
              </w:rPr>
              <w:t>1、查询渠道：</w:t>
            </w:r>
          </w:p>
          <w:p w14:paraId="7A794311">
            <w:pPr>
              <w:spacing w:line="500" w:lineRule="exact"/>
              <w:rPr>
                <w:rFonts w:ascii="宋体" w:hAnsi="宋体" w:cs="宋体"/>
                <w:bCs/>
                <w:color w:val="auto"/>
                <w:sz w:val="24"/>
                <w:szCs w:val="24"/>
              </w:rPr>
            </w:pPr>
            <w:r>
              <w:rPr>
                <w:rFonts w:hint="eastAsia" w:ascii="宋体" w:hAnsi="宋体" w:cs="宋体"/>
                <w:bCs/>
                <w:color w:val="auto"/>
                <w:sz w:val="24"/>
                <w:szCs w:val="24"/>
              </w:rPr>
              <w:t>①“信用中国”网站（www.creditchina.gov.cn）</w:t>
            </w:r>
          </w:p>
          <w:p w14:paraId="53B0E393">
            <w:pPr>
              <w:spacing w:line="500" w:lineRule="exact"/>
              <w:rPr>
                <w:rFonts w:ascii="宋体" w:hAnsi="宋体" w:cs="宋体"/>
                <w:bCs/>
                <w:color w:val="auto"/>
                <w:sz w:val="24"/>
                <w:szCs w:val="24"/>
              </w:rPr>
            </w:pPr>
            <w:r>
              <w:rPr>
                <w:rFonts w:hint="eastAsia" w:ascii="宋体" w:hAnsi="宋体" w:cs="宋体"/>
                <w:bCs/>
                <w:color w:val="auto"/>
                <w:sz w:val="24"/>
                <w:szCs w:val="24"/>
              </w:rPr>
              <w:t>②“中国政府采购网”（www.ccgp.gov.cn）</w:t>
            </w:r>
          </w:p>
          <w:p w14:paraId="21D2BF1D">
            <w:pPr>
              <w:spacing w:line="500" w:lineRule="exact"/>
              <w:rPr>
                <w:rFonts w:ascii="宋体" w:hAnsi="宋体" w:cs="宋体"/>
                <w:bCs/>
                <w:color w:val="auto"/>
                <w:sz w:val="24"/>
                <w:szCs w:val="24"/>
              </w:rPr>
            </w:pPr>
            <w:r>
              <w:rPr>
                <w:rFonts w:hint="eastAsia" w:ascii="宋体" w:hAnsi="宋体" w:cs="宋体"/>
                <w:bCs/>
                <w:color w:val="auto"/>
                <w:sz w:val="24"/>
                <w:szCs w:val="24"/>
              </w:rPr>
              <w:t>③“中国社会组织政务服务平台”网站（https://chinanpo.mca.gov.cn）（仅查询社会组织）；</w:t>
            </w:r>
          </w:p>
          <w:p w14:paraId="00B3B42B">
            <w:pPr>
              <w:spacing w:line="500" w:lineRule="exact"/>
              <w:rPr>
                <w:rFonts w:ascii="宋体" w:hAnsi="宋体" w:cs="宋体"/>
                <w:bCs/>
                <w:color w:val="auto"/>
                <w:sz w:val="24"/>
                <w:szCs w:val="24"/>
              </w:rPr>
            </w:pPr>
            <w:r>
              <w:rPr>
                <w:rFonts w:hint="eastAsia" w:ascii="宋体" w:hAnsi="宋体" w:cs="宋体"/>
                <w:bCs/>
                <w:color w:val="auto"/>
                <w:sz w:val="24"/>
                <w:szCs w:val="24"/>
              </w:rPr>
              <w:t>2、截止时间：同投标响应截止时间；</w:t>
            </w:r>
          </w:p>
          <w:p w14:paraId="4AA4A873">
            <w:pPr>
              <w:spacing w:line="500" w:lineRule="exact"/>
              <w:rPr>
                <w:rFonts w:ascii="宋体" w:hAnsi="宋体" w:cs="宋体"/>
                <w:bCs/>
                <w:color w:val="auto"/>
                <w:sz w:val="24"/>
                <w:szCs w:val="24"/>
              </w:rPr>
            </w:pPr>
            <w:r>
              <w:rPr>
                <w:rFonts w:hint="eastAsia" w:ascii="宋体" w:hAnsi="宋体" w:cs="宋体"/>
                <w:bCs/>
                <w:color w:val="auto"/>
                <w:sz w:val="24"/>
                <w:szCs w:val="24"/>
              </w:rPr>
              <w:t>3、信用信息的使用原则：经采购人认定的被列入失信被执行人、税收违法黑名单、政府采购严重违法失信行为记录名单的供应商、严重违法失信社会组织，将拒绝其参与本次政府采购活动</w:t>
            </w:r>
          </w:p>
        </w:tc>
      </w:tr>
      <w:tr w14:paraId="4891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FA8DB3A">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25</w:t>
            </w:r>
          </w:p>
        </w:tc>
        <w:tc>
          <w:tcPr>
            <w:tcW w:w="1881" w:type="dxa"/>
            <w:tcBorders>
              <w:top w:val="single" w:color="auto" w:sz="4" w:space="0"/>
              <w:left w:val="nil"/>
              <w:bottom w:val="single" w:color="auto" w:sz="4" w:space="0"/>
              <w:right w:val="single" w:color="auto" w:sz="4" w:space="0"/>
            </w:tcBorders>
            <w:vAlign w:val="center"/>
          </w:tcPr>
          <w:p w14:paraId="6C93757E">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Cs/>
                <w:color w:val="auto"/>
                <w:sz w:val="24"/>
                <w:szCs w:val="24"/>
              </w:rPr>
              <w:t>电子化采购模式</w:t>
            </w:r>
          </w:p>
        </w:tc>
        <w:tc>
          <w:tcPr>
            <w:tcW w:w="6902" w:type="dxa"/>
            <w:tcBorders>
              <w:top w:val="single" w:color="auto" w:sz="4" w:space="0"/>
              <w:left w:val="nil"/>
              <w:bottom w:val="single" w:color="auto" w:sz="4" w:space="0"/>
              <w:right w:val="single" w:color="auto" w:sz="4" w:space="0"/>
            </w:tcBorders>
            <w:vAlign w:val="center"/>
          </w:tcPr>
          <w:p w14:paraId="3223B150">
            <w:pPr>
              <w:autoSpaceDE w:val="0"/>
              <w:autoSpaceDN w:val="0"/>
              <w:adjustRightInd w:val="0"/>
              <w:snapToGrid w:val="0"/>
              <w:spacing w:line="360" w:lineRule="auto"/>
              <w:rPr>
                <w:rFonts w:ascii="宋体" w:hAnsi="宋体" w:cs="宋体"/>
                <w:color w:val="auto"/>
                <w:sz w:val="24"/>
                <w:szCs w:val="24"/>
              </w:rPr>
            </w:pPr>
            <w:r>
              <w:rPr>
                <w:rFonts w:hint="eastAsia" w:ascii="宋体" w:hAnsi="宋体" w:cs="宋体"/>
                <w:b/>
                <w:color w:val="auto"/>
                <w:kern w:val="0"/>
                <w:sz w:val="24"/>
                <w:szCs w:val="24"/>
                <w:lang w:val="zh-CN"/>
              </w:rPr>
              <w:fldChar w:fldCharType="begin"/>
            </w:r>
            <w:r>
              <w:rPr>
                <w:rFonts w:hint="eastAsia" w:ascii="宋体" w:hAnsi="宋体" w:cs="宋体"/>
                <w:b/>
                <w:color w:val="auto"/>
                <w:kern w:val="0"/>
                <w:sz w:val="24"/>
                <w:szCs w:val="24"/>
                <w:lang w:val="zh-CN"/>
              </w:rPr>
              <w:instrText xml:space="preserve">eq \o\ac(</w:instrText>
            </w:r>
            <w:r>
              <w:rPr>
                <w:rFonts w:hint="eastAsia" w:ascii="宋体" w:hAnsi="宋体" w:cs="宋体"/>
                <w:b/>
                <w:color w:val="auto"/>
                <w:kern w:val="0"/>
                <w:position w:val="-4"/>
                <w:sz w:val="24"/>
                <w:szCs w:val="24"/>
                <w:lang w:val="zh-CN"/>
              </w:rPr>
              <w:instrText xml:space="preserve">□</w:instrText>
            </w:r>
            <w:r>
              <w:rPr>
                <w:rFonts w:hint="eastAsia" w:ascii="宋体" w:hAnsi="宋体" w:cs="宋体"/>
                <w:b/>
                <w:color w:val="auto"/>
                <w:kern w:val="0"/>
                <w:sz w:val="24"/>
                <w:szCs w:val="24"/>
                <w:lang w:val="zh-CN"/>
              </w:rPr>
              <w:instrText xml:space="preserve">,√)</w:instrText>
            </w:r>
            <w:r>
              <w:rPr>
                <w:rFonts w:hint="eastAsia" w:ascii="宋体" w:hAnsi="宋体" w:cs="宋体"/>
                <w:b/>
                <w:color w:val="auto"/>
                <w:kern w:val="0"/>
                <w:sz w:val="24"/>
                <w:szCs w:val="24"/>
                <w:lang w:val="zh-CN"/>
              </w:rPr>
              <w:fldChar w:fldCharType="end"/>
            </w:r>
            <w:r>
              <w:rPr>
                <w:rFonts w:hint="eastAsia" w:ascii="宋体" w:hAnsi="宋体" w:cs="宋体"/>
                <w:bCs/>
                <w:color w:val="auto"/>
                <w:sz w:val="24"/>
                <w:szCs w:val="24"/>
              </w:rPr>
              <w:t>是。投标人投标时须成功上传、解密电子投标文件。投标人资质、业绩、荣誉及相关人员证明材料等资料原件不再提交（本招标文件第六章另有要求提供原件的除外）。</w:t>
            </w:r>
          </w:p>
        </w:tc>
      </w:tr>
      <w:tr w14:paraId="1304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5EA7746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26</w:t>
            </w:r>
          </w:p>
        </w:tc>
        <w:tc>
          <w:tcPr>
            <w:tcW w:w="1881" w:type="dxa"/>
            <w:tcBorders>
              <w:top w:val="single" w:color="auto" w:sz="4" w:space="0"/>
              <w:left w:val="nil"/>
              <w:bottom w:val="single" w:color="auto" w:sz="4" w:space="0"/>
              <w:right w:val="single" w:color="auto" w:sz="4" w:space="0"/>
            </w:tcBorders>
            <w:vAlign w:val="center"/>
          </w:tcPr>
          <w:p w14:paraId="369B2FB3">
            <w:pPr>
              <w:autoSpaceDE w:val="0"/>
              <w:autoSpaceDN w:val="0"/>
              <w:adjustRightInd w:val="0"/>
              <w:snapToGrid w:val="0"/>
              <w:spacing w:line="400" w:lineRule="exact"/>
              <w:jc w:val="center"/>
              <w:rPr>
                <w:rFonts w:ascii="宋体" w:hAnsi="宋体" w:cs="宋体"/>
                <w:bCs/>
                <w:color w:val="auto"/>
                <w:sz w:val="24"/>
                <w:szCs w:val="24"/>
              </w:rPr>
            </w:pPr>
            <w:r>
              <w:rPr>
                <w:rFonts w:hint="eastAsia" w:ascii="宋体" w:hAnsi="宋体" w:cs="宋体"/>
                <w:bCs/>
                <w:color w:val="auto"/>
                <w:sz w:val="24"/>
                <w:szCs w:val="24"/>
              </w:rPr>
              <w:t>供应商代表出席开标会</w:t>
            </w:r>
          </w:p>
        </w:tc>
        <w:tc>
          <w:tcPr>
            <w:tcW w:w="6902" w:type="dxa"/>
            <w:tcBorders>
              <w:top w:val="single" w:color="auto" w:sz="4" w:space="0"/>
              <w:left w:val="nil"/>
              <w:bottom w:val="single" w:color="auto" w:sz="4" w:space="0"/>
              <w:right w:val="single" w:color="auto" w:sz="4" w:space="0"/>
            </w:tcBorders>
            <w:vAlign w:val="center"/>
          </w:tcPr>
          <w:p w14:paraId="6361923F">
            <w:pPr>
              <w:autoSpaceDE w:val="0"/>
              <w:autoSpaceDN w:val="0"/>
              <w:adjustRightInd w:val="0"/>
              <w:snapToGrid w:val="0"/>
              <w:spacing w:line="400" w:lineRule="exact"/>
              <w:ind w:right="-11"/>
              <w:rPr>
                <w:rFonts w:ascii="宋体" w:hAnsi="宋体" w:cs="宋体"/>
                <w:color w:val="auto"/>
                <w:sz w:val="24"/>
                <w:szCs w:val="24"/>
              </w:rPr>
            </w:pPr>
            <w:r>
              <w:rPr>
                <w:rFonts w:hint="eastAsia" w:ascii="宋体" w:hAnsi="宋体" w:cs="宋体"/>
                <w:color w:val="auto"/>
                <w:sz w:val="24"/>
                <w:szCs w:val="24"/>
              </w:rPr>
              <w:t>供应商准时在网上参加投标、开标活动。</w:t>
            </w:r>
          </w:p>
        </w:tc>
      </w:tr>
      <w:tr w14:paraId="3DE7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078AFE32">
            <w:pPr>
              <w:autoSpaceDE w:val="0"/>
              <w:autoSpaceDN w:val="0"/>
              <w:adjustRightInd w:val="0"/>
              <w:snapToGrid w:val="0"/>
              <w:spacing w:line="400" w:lineRule="exact"/>
              <w:jc w:val="center"/>
              <w:rPr>
                <w:rFonts w:ascii="黑体" w:hAnsi="黑体" w:eastAsia="黑体" w:cs="黑体"/>
                <w:color w:val="auto"/>
                <w:sz w:val="24"/>
                <w:szCs w:val="24"/>
              </w:rPr>
            </w:pPr>
            <w:r>
              <w:rPr>
                <w:rFonts w:hint="eastAsia" w:ascii="黑体" w:hAnsi="黑体" w:eastAsia="黑体" w:cs="黑体"/>
                <w:color w:val="auto"/>
                <w:sz w:val="24"/>
                <w:szCs w:val="24"/>
              </w:rPr>
              <w:t>27</w:t>
            </w:r>
          </w:p>
        </w:tc>
        <w:tc>
          <w:tcPr>
            <w:tcW w:w="1881" w:type="dxa"/>
            <w:tcBorders>
              <w:top w:val="single" w:color="auto" w:sz="4" w:space="0"/>
              <w:left w:val="nil"/>
              <w:bottom w:val="single" w:color="auto" w:sz="4" w:space="0"/>
              <w:right w:val="single" w:color="auto" w:sz="4" w:space="0"/>
            </w:tcBorders>
            <w:vAlign w:val="center"/>
          </w:tcPr>
          <w:p w14:paraId="6D5671A9">
            <w:pPr>
              <w:autoSpaceDE w:val="0"/>
              <w:autoSpaceDN w:val="0"/>
              <w:adjustRightInd w:val="0"/>
              <w:snapToGrid w:val="0"/>
              <w:spacing w:line="400" w:lineRule="exact"/>
              <w:jc w:val="center"/>
              <w:rPr>
                <w:rFonts w:ascii="宋体" w:hAnsi="宋体" w:cs="宋体"/>
                <w:b/>
                <w:bCs/>
                <w:color w:val="auto"/>
                <w:sz w:val="24"/>
                <w:szCs w:val="24"/>
              </w:rPr>
            </w:pPr>
            <w:r>
              <w:rPr>
                <w:rFonts w:hint="eastAsia" w:ascii="宋体" w:hAnsi="宋体" w:cs="宋体"/>
                <w:b/>
                <w:bCs/>
                <w:color w:val="auto"/>
                <w:sz w:val="24"/>
                <w:szCs w:val="24"/>
              </w:rPr>
              <w:t>特别提示</w:t>
            </w:r>
          </w:p>
        </w:tc>
        <w:tc>
          <w:tcPr>
            <w:tcW w:w="6902" w:type="dxa"/>
            <w:tcBorders>
              <w:top w:val="single" w:color="auto" w:sz="4" w:space="0"/>
              <w:left w:val="nil"/>
              <w:bottom w:val="single" w:color="auto" w:sz="4" w:space="0"/>
              <w:right w:val="single" w:color="auto" w:sz="4" w:space="0"/>
            </w:tcBorders>
            <w:vAlign w:val="center"/>
          </w:tcPr>
          <w:p w14:paraId="390AE5F6">
            <w:pPr>
              <w:autoSpaceDE w:val="0"/>
              <w:autoSpaceDN w:val="0"/>
              <w:adjustRightInd w:val="0"/>
              <w:snapToGrid w:val="0"/>
              <w:spacing w:line="360" w:lineRule="auto"/>
              <w:ind w:firstLine="482" w:firstLineChars="200"/>
              <w:rPr>
                <w:rFonts w:ascii="宋体" w:hAnsi="宋体" w:cs="宋体"/>
                <w:b/>
                <w:color w:val="auto"/>
                <w:kern w:val="0"/>
                <w:sz w:val="24"/>
                <w:szCs w:val="24"/>
                <w:lang w:val="zh-CN"/>
              </w:rPr>
            </w:pPr>
            <w:r>
              <w:rPr>
                <w:rFonts w:hint="eastAsia" w:ascii="宋体" w:hAnsi="宋体" w:cs="宋体"/>
                <w:b/>
                <w:color w:val="auto"/>
                <w:kern w:val="0"/>
                <w:sz w:val="24"/>
                <w:szCs w:val="24"/>
                <w:lang w:val="zh-CN"/>
              </w:rPr>
              <w:t>按照《关于推进全流程电子化交易和在线监管工作有关问题的通知》（许公管办[2019]3号）规定：不同投标人电子投标文件的文件制作机器码(即许公管办[2019]3号文中的投标文件制作“硬件特征码”，其由网卡MAC地址、CPU序列号、硬盘序列号等组成，以下均称为“文件制作机器码”)均一致时，视为‘不同投标人电子投标文件由同一单位或者个人编制’或‘不同投标人委托同一单位或者个人办理响应事宜’，其投标无效。</w:t>
            </w:r>
          </w:p>
          <w:p w14:paraId="5EB1C9AE">
            <w:pPr>
              <w:autoSpaceDE w:val="0"/>
              <w:autoSpaceDN w:val="0"/>
              <w:adjustRightInd w:val="0"/>
              <w:snapToGrid w:val="0"/>
              <w:spacing w:line="360" w:lineRule="auto"/>
              <w:rPr>
                <w:rFonts w:ascii="宋体" w:hAnsi="宋体" w:cs="宋体"/>
                <w:b/>
                <w:color w:val="auto"/>
                <w:kern w:val="0"/>
                <w:sz w:val="24"/>
                <w:szCs w:val="24"/>
              </w:rPr>
            </w:pPr>
            <w:r>
              <w:rPr>
                <w:rFonts w:hint="eastAsia" w:ascii="宋体" w:hAnsi="宋体" w:cs="宋体"/>
                <w:b/>
                <w:color w:val="auto"/>
                <w:kern w:val="0"/>
                <w:sz w:val="24"/>
                <w:szCs w:val="24"/>
              </w:rPr>
              <w:t xml:space="preserve">   </w:t>
            </w:r>
            <w:r>
              <w:rPr>
                <w:rFonts w:hint="eastAsia" w:ascii="宋体" w:hAnsi="宋体" w:cs="宋体"/>
                <w:b/>
                <w:color w:val="auto"/>
                <w:kern w:val="0"/>
                <w:sz w:val="24"/>
                <w:szCs w:val="24"/>
                <w:lang w:val="zh-CN"/>
              </w:rPr>
              <w:t>评审专家应严格按照要求查看“文件制作机器码”相关信息并进行评审，在评审报告中显示“不同投标人电子投标文件的文件制作机器码”是否雷同的分析及判定结果</w:t>
            </w:r>
          </w:p>
        </w:tc>
      </w:tr>
      <w:tr w14:paraId="5E66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412C121">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28</w:t>
            </w:r>
          </w:p>
        </w:tc>
        <w:tc>
          <w:tcPr>
            <w:tcW w:w="1881" w:type="dxa"/>
            <w:tcBorders>
              <w:top w:val="single" w:color="auto" w:sz="4" w:space="0"/>
              <w:left w:val="nil"/>
              <w:bottom w:val="single" w:color="auto" w:sz="4" w:space="0"/>
              <w:right w:val="single" w:color="auto" w:sz="4" w:space="0"/>
            </w:tcBorders>
            <w:vAlign w:val="center"/>
          </w:tcPr>
          <w:p w14:paraId="784DE532">
            <w:pPr>
              <w:autoSpaceDE w:val="0"/>
              <w:autoSpaceDN w:val="0"/>
              <w:adjustRightInd w:val="0"/>
              <w:snapToGrid w:val="0"/>
              <w:spacing w:line="400" w:lineRule="exact"/>
              <w:jc w:val="center"/>
              <w:rPr>
                <w:rFonts w:ascii="宋体" w:hAnsi="宋体" w:cs="宋体"/>
                <w:b/>
                <w:bCs/>
                <w:color w:val="auto"/>
                <w:sz w:val="24"/>
                <w:szCs w:val="24"/>
              </w:rPr>
            </w:pPr>
            <w:r>
              <w:rPr>
                <w:rFonts w:hint="eastAsia" w:ascii="宋体" w:hAnsi="宋体" w:cs="宋体"/>
                <w:color w:val="auto"/>
                <w:sz w:val="24"/>
              </w:rPr>
              <w:t>中小企业有关政策</w:t>
            </w:r>
          </w:p>
        </w:tc>
        <w:tc>
          <w:tcPr>
            <w:tcW w:w="6902" w:type="dxa"/>
            <w:tcBorders>
              <w:top w:val="single" w:color="auto" w:sz="4" w:space="0"/>
              <w:left w:val="nil"/>
              <w:bottom w:val="single" w:color="auto" w:sz="4" w:space="0"/>
              <w:right w:val="single" w:color="auto" w:sz="4" w:space="0"/>
            </w:tcBorders>
            <w:vAlign w:val="center"/>
          </w:tcPr>
          <w:p w14:paraId="457C77F3">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1、本项目非专门面向中小企业采购。</w:t>
            </w:r>
          </w:p>
          <w:p w14:paraId="5686D46C">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2、根据工信部等部委发布的《关于印发中小企业划型标准规定的通知》（工信部联企业〔2011〕300号），按照本次采购标的所属行业的划型标准，符合条件的中小企业应按照采购文件格式要求提供《中小企业声明函》，否则不得享受相关中小企业扶持政策。</w:t>
            </w:r>
          </w:p>
          <w:p w14:paraId="26A9A1C1">
            <w:pPr>
              <w:autoSpaceDE w:val="0"/>
              <w:autoSpaceDN w:val="0"/>
              <w:adjustRightInd w:val="0"/>
              <w:snapToGrid w:val="0"/>
              <w:spacing w:line="360" w:lineRule="auto"/>
              <w:ind w:firstLine="480" w:firstLineChars="200"/>
              <w:jc w:val="left"/>
              <w:rPr>
                <w:rFonts w:ascii="宋体" w:hAnsi="宋体" w:cs="宋体"/>
                <w:b/>
                <w:bCs/>
                <w:color w:val="auto"/>
                <w:sz w:val="24"/>
                <w:szCs w:val="24"/>
              </w:rPr>
            </w:pPr>
            <w:r>
              <w:rPr>
                <w:rFonts w:hint="eastAsia" w:ascii="宋体" w:hAnsi="宋体" w:cs="宋体"/>
                <w:bCs/>
                <w:color w:val="auto"/>
                <w:sz w:val="24"/>
                <w:szCs w:val="24"/>
              </w:rPr>
              <w:t>3、本次采购标的对应的中小企业划分标准所属行业：</w:t>
            </w:r>
            <w:r>
              <w:rPr>
                <w:rFonts w:hint="eastAsia" w:ascii="宋体" w:hAnsi="宋体" w:cs="宋体"/>
                <w:b/>
                <w:bCs/>
                <w:color w:val="auto"/>
                <w:sz w:val="24"/>
                <w:szCs w:val="24"/>
              </w:rPr>
              <w:t>详见采购内容中标的对应的中小企业划分标准所属行业。</w:t>
            </w:r>
          </w:p>
          <w:p w14:paraId="00B28344">
            <w:pPr>
              <w:autoSpaceDE w:val="0"/>
              <w:autoSpaceDN w:val="0"/>
              <w:adjustRightInd w:val="0"/>
              <w:snapToGrid w:val="0"/>
              <w:spacing w:line="360" w:lineRule="auto"/>
              <w:rPr>
                <w:rFonts w:ascii="黑体" w:hAnsi="黑体" w:eastAsia="黑体" w:cs="黑体"/>
                <w:b/>
                <w:color w:val="auto"/>
                <w:sz w:val="24"/>
                <w:szCs w:val="24"/>
              </w:rPr>
            </w:pPr>
          </w:p>
          <w:p w14:paraId="2C5EDE88">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4、以联合体形式参加政府采购活动，联合体各方均为中小企业的，联合体视同中小企业。其中，联合体各方均为小微企业的，联合体视同小微企业。</w:t>
            </w:r>
          </w:p>
          <w:p w14:paraId="7F7E1FE5">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5、提供由省级以上监狱管理局、戒毒管理局（含新疆生产建设兵团）出具的属于监狱企业证明文件的，视同为小型和微型企业。</w:t>
            </w:r>
          </w:p>
          <w:p w14:paraId="629D7572">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6、符合享受政府采购支持政策的残疾人福利性单位条件且提供《残疾人福利性单位声明函》的，视同为小型和微型企业。</w:t>
            </w:r>
          </w:p>
          <w:p w14:paraId="7A40EE2E">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享受政府采购支持政策的残疾人福利性单位应当同时满足以下条件：</w:t>
            </w:r>
          </w:p>
          <w:p w14:paraId="237FDEB3">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（一）安置的残疾人占本单位在职职工人数的比例不低于25%（含25%），并且安置的残疾人人数不少于10人（含10人）；</w:t>
            </w:r>
          </w:p>
          <w:p w14:paraId="68B3BD60">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（二）依法与安置的每位残疾人签订了一年以上（含一年）的劳动合同或服务协议；</w:t>
            </w:r>
          </w:p>
          <w:p w14:paraId="5FB0C8C0">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（三）为安置的每位残疾人按月足额缴纳了基本养老保险、基本医疗保险、失业保险、工伤保险和生育保险等社会保险费；</w:t>
            </w:r>
          </w:p>
          <w:p w14:paraId="6AF7E76D">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（四）通过银行等金融机构向安置的每位残疾人，按月支付了不低于单位所在区县适用的经省级人民政府批准的月最低工资标准的工资；</w:t>
            </w:r>
          </w:p>
          <w:p w14:paraId="5714CF2E">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（五）提供本单位制造的货物、承担的工程或者服务（以下简称产品），或者提供其他残疾人福利性单位制造的货物（不包括使用非残疾人福利性单位注册商标的货物）。</w:t>
            </w:r>
          </w:p>
          <w:p w14:paraId="5ADA0DA6">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2904D05">
            <w:pPr>
              <w:autoSpaceDE w:val="0"/>
              <w:autoSpaceDN w:val="0"/>
              <w:adjustRightInd w:val="0"/>
              <w:snapToGrid w:val="0"/>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7、小型和微型企业不包括民办非企业单位。</w:t>
            </w:r>
          </w:p>
          <w:p w14:paraId="6700650B">
            <w:pPr>
              <w:autoSpaceDE w:val="0"/>
              <w:autoSpaceDN w:val="0"/>
              <w:adjustRightInd w:val="0"/>
              <w:snapToGrid w:val="0"/>
              <w:spacing w:line="360" w:lineRule="auto"/>
              <w:ind w:firstLine="480" w:firstLineChars="200"/>
              <w:jc w:val="left"/>
              <w:rPr>
                <w:rFonts w:ascii="黑体" w:hAnsi="黑体" w:eastAsia="黑体" w:cs="黑体"/>
                <w:b/>
                <w:color w:val="auto"/>
                <w:sz w:val="24"/>
                <w:szCs w:val="24"/>
              </w:rPr>
            </w:pPr>
            <w:r>
              <w:rPr>
                <w:rFonts w:hint="eastAsia" w:ascii="宋体" w:hAnsi="宋体" w:cs="宋体"/>
                <w:color w:val="auto"/>
                <w:sz w:val="24"/>
                <w:szCs w:val="24"/>
              </w:rPr>
              <w:t>8、符合中小企业划分标准的个体工商户，在政府采购活动中视同中小企业。</w:t>
            </w:r>
          </w:p>
        </w:tc>
      </w:tr>
      <w:tr w14:paraId="1D0F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1DB9B3B6">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29</w:t>
            </w:r>
          </w:p>
        </w:tc>
        <w:tc>
          <w:tcPr>
            <w:tcW w:w="1881" w:type="dxa"/>
            <w:tcBorders>
              <w:top w:val="single" w:color="auto" w:sz="4" w:space="0"/>
              <w:left w:val="nil"/>
              <w:bottom w:val="single" w:color="auto" w:sz="4" w:space="0"/>
              <w:right w:val="single" w:color="auto" w:sz="4" w:space="0"/>
            </w:tcBorders>
            <w:vAlign w:val="center"/>
          </w:tcPr>
          <w:p w14:paraId="7434D3EE">
            <w:pPr>
              <w:autoSpaceDE w:val="0"/>
              <w:autoSpaceDN w:val="0"/>
              <w:adjustRightInd w:val="0"/>
              <w:snapToGrid w:val="0"/>
              <w:spacing w:line="400" w:lineRule="exact"/>
              <w:jc w:val="center"/>
              <w:rPr>
                <w:rFonts w:ascii="宋体" w:hAnsi="宋体" w:cs="宋体"/>
                <w:b/>
                <w:bCs/>
                <w:color w:val="auto"/>
                <w:sz w:val="24"/>
                <w:szCs w:val="24"/>
              </w:rPr>
            </w:pPr>
            <w:r>
              <w:rPr>
                <w:rFonts w:hint="eastAsia" w:ascii="宋体" w:hAnsi="宋体" w:cs="宋体"/>
                <w:color w:val="auto"/>
                <w:sz w:val="24"/>
              </w:rPr>
              <w:t>节能环保要求</w:t>
            </w:r>
          </w:p>
        </w:tc>
        <w:tc>
          <w:tcPr>
            <w:tcW w:w="6902" w:type="dxa"/>
            <w:tcBorders>
              <w:top w:val="single" w:color="auto" w:sz="4" w:space="0"/>
              <w:left w:val="nil"/>
              <w:bottom w:val="single" w:color="auto" w:sz="4" w:space="0"/>
              <w:right w:val="single" w:color="auto" w:sz="4" w:space="0"/>
            </w:tcBorders>
            <w:vAlign w:val="center"/>
          </w:tcPr>
          <w:p w14:paraId="6239F648">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sz w:val="24"/>
                <w:szCs w:val="24"/>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w:t>
            </w:r>
            <w:r>
              <w:rPr>
                <w:rFonts w:hint="eastAsia" w:ascii="宋体" w:hAnsi="宋体" w:cs="宋体"/>
                <w:color w:val="auto"/>
                <w:kern w:val="0"/>
                <w:sz w:val="24"/>
                <w:szCs w:val="24"/>
              </w:rPr>
              <w:t>本次招标采购产品若属于《节能产品政府采购品目清单》</w:t>
            </w:r>
            <w:r>
              <w:rPr>
                <w:rFonts w:hint="eastAsia" w:ascii="宋体" w:hAnsi="宋体" w:cs="宋体"/>
                <w:color w:val="auto"/>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color w:val="auto"/>
                <w:kern w:val="0"/>
                <w:sz w:val="24"/>
                <w:szCs w:val="24"/>
              </w:rPr>
              <w:t>；若属于优先采购产品，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应提供具有国家确定的认证机构出具的、处于有效期之内的节能产品认证证书，评标委员会根据本项目评标标准予以判定并赋分。</w:t>
            </w:r>
          </w:p>
          <w:p w14:paraId="747174A3">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本次招标采购产品若属于《环境标志产品政府采购品目清单》内产品，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应提供具有国家确定的认证机构出具的、处于有效期之内的环境标志产品认证证书，评标委员会根据本项目评标标准予以判定并赋分。</w:t>
            </w:r>
          </w:p>
          <w:p w14:paraId="2578FB8F">
            <w:pPr>
              <w:autoSpaceDE w:val="0"/>
              <w:autoSpaceDN w:val="0"/>
              <w:adjustRightInd w:val="0"/>
              <w:snapToGrid w:val="0"/>
              <w:spacing w:line="360" w:lineRule="auto"/>
              <w:ind w:firstLine="482" w:firstLineChars="200"/>
              <w:jc w:val="left"/>
              <w:rPr>
                <w:rFonts w:ascii="黑体" w:hAnsi="黑体" w:eastAsia="黑体" w:cs="黑体"/>
                <w:b/>
                <w:color w:val="auto"/>
                <w:sz w:val="24"/>
                <w:szCs w:val="24"/>
              </w:rPr>
            </w:pPr>
          </w:p>
        </w:tc>
      </w:tr>
      <w:tr w14:paraId="1BB0F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14:paraId="28DA1D3E">
            <w:pPr>
              <w:autoSpaceDE w:val="0"/>
              <w:autoSpaceDN w:val="0"/>
              <w:adjustRightInd w:val="0"/>
              <w:snapToGrid w:val="0"/>
              <w:spacing w:line="400" w:lineRule="exact"/>
              <w:jc w:val="center"/>
              <w:rPr>
                <w:rFonts w:ascii="宋体" w:hAnsi="宋体" w:cs="宋体"/>
                <w:color w:val="auto"/>
                <w:sz w:val="24"/>
                <w:szCs w:val="24"/>
              </w:rPr>
            </w:pPr>
            <w:r>
              <w:rPr>
                <w:rFonts w:hint="eastAsia" w:ascii="宋体" w:hAnsi="宋体" w:cs="宋体"/>
                <w:color w:val="auto"/>
                <w:sz w:val="24"/>
                <w:szCs w:val="24"/>
              </w:rPr>
              <w:t>30</w:t>
            </w:r>
          </w:p>
        </w:tc>
        <w:tc>
          <w:tcPr>
            <w:tcW w:w="1881" w:type="dxa"/>
            <w:tcBorders>
              <w:top w:val="single" w:color="auto" w:sz="4" w:space="0"/>
              <w:left w:val="nil"/>
              <w:bottom w:val="single" w:color="auto" w:sz="4" w:space="0"/>
              <w:right w:val="single" w:color="auto" w:sz="4" w:space="0"/>
            </w:tcBorders>
            <w:vAlign w:val="center"/>
          </w:tcPr>
          <w:p w14:paraId="25EF0E28">
            <w:pPr>
              <w:autoSpaceDE w:val="0"/>
              <w:autoSpaceDN w:val="0"/>
              <w:adjustRightInd w:val="0"/>
              <w:snapToGrid w:val="0"/>
              <w:spacing w:line="360" w:lineRule="auto"/>
              <w:rPr>
                <w:rFonts w:ascii="宋体" w:hAnsi="宋体" w:cs="宋体"/>
                <w:color w:val="auto"/>
                <w:sz w:val="24"/>
              </w:rPr>
            </w:pPr>
            <w:r>
              <w:rPr>
                <w:rFonts w:hint="eastAsia" w:ascii="宋体" w:hAnsi="宋体" w:cs="宋体"/>
                <w:color w:val="auto"/>
                <w:sz w:val="24"/>
                <w:lang w:val="zh-CN"/>
              </w:rPr>
              <w:t>网络关键设备、网络安全专用产品要求</w:t>
            </w:r>
          </w:p>
        </w:tc>
        <w:tc>
          <w:tcPr>
            <w:tcW w:w="6902" w:type="dxa"/>
            <w:tcBorders>
              <w:top w:val="single" w:color="auto" w:sz="4" w:space="0"/>
              <w:left w:val="nil"/>
              <w:bottom w:val="single" w:color="auto" w:sz="4" w:space="0"/>
              <w:right w:val="single" w:color="auto" w:sz="4" w:space="0"/>
            </w:tcBorders>
            <w:vAlign w:val="center"/>
          </w:tcPr>
          <w:p w14:paraId="402280C3">
            <w:pPr>
              <w:autoSpaceDE w:val="0"/>
              <w:autoSpaceDN w:val="0"/>
              <w:adjustRightInd w:val="0"/>
              <w:snapToGrid w:val="0"/>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1、本项目网络关键设备：无</w:t>
            </w:r>
          </w:p>
          <w:p w14:paraId="4073DEB9">
            <w:pPr>
              <w:autoSpaceDE w:val="0"/>
              <w:autoSpaceDN w:val="0"/>
              <w:adjustRightInd w:val="0"/>
              <w:snapToGrid w:val="0"/>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0825E703">
            <w:pPr>
              <w:autoSpaceDE w:val="0"/>
              <w:autoSpaceDN w:val="0"/>
              <w:adjustRightInd w:val="0"/>
              <w:snapToGrid w:val="0"/>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3、提供资料（下列资料任意一项）</w:t>
            </w:r>
          </w:p>
          <w:p w14:paraId="7DDF6498">
            <w:pPr>
              <w:autoSpaceDE w:val="0"/>
              <w:autoSpaceDN w:val="0"/>
              <w:adjustRightInd w:val="0"/>
              <w:snapToGrid w:val="0"/>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 = 1 \* GB3 </w:instrText>
            </w:r>
            <w:r>
              <w:rPr>
                <w:rFonts w:hint="eastAsia" w:ascii="宋体" w:hAnsi="宋体" w:cs="宋体"/>
                <w:color w:val="auto"/>
                <w:sz w:val="24"/>
                <w:szCs w:val="24"/>
                <w:lang w:val="zh-CN"/>
              </w:rPr>
              <w:fldChar w:fldCharType="separate"/>
            </w:r>
            <w:r>
              <w:rPr>
                <w:rFonts w:hint="eastAsia" w:ascii="宋体" w:hAnsi="宋体" w:cs="宋体"/>
                <w:color w:val="auto"/>
                <w:sz w:val="24"/>
                <w:szCs w:val="24"/>
                <w:lang w:val="zh-CN"/>
              </w:rPr>
              <w:t>①</w:t>
            </w:r>
            <w:r>
              <w:rPr>
                <w:rFonts w:hint="eastAsia" w:ascii="宋体" w:hAnsi="宋体" w:cs="宋体"/>
                <w:color w:val="auto"/>
                <w:sz w:val="24"/>
                <w:szCs w:val="24"/>
                <w:lang w:val="zh-CN"/>
              </w:rPr>
              <w:fldChar w:fldCharType="end"/>
            </w:r>
            <w:r>
              <w:rPr>
                <w:rFonts w:hint="eastAsia" w:ascii="宋体" w:hAnsi="宋体" w:cs="宋体"/>
                <w:color w:val="auto"/>
                <w:sz w:val="24"/>
                <w:szCs w:val="24"/>
                <w:lang w:val="zh-CN"/>
              </w:rPr>
              <w:t>网络关键设备和网络安全专用产品安全认证证书；</w:t>
            </w:r>
          </w:p>
          <w:p w14:paraId="4D922BA1">
            <w:pPr>
              <w:autoSpaceDE w:val="0"/>
              <w:autoSpaceDN w:val="0"/>
              <w:adjustRightInd w:val="0"/>
              <w:snapToGrid w:val="0"/>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 = 2 \* GB3 </w:instrText>
            </w:r>
            <w:r>
              <w:rPr>
                <w:rFonts w:hint="eastAsia" w:ascii="宋体" w:hAnsi="宋体" w:cs="宋体"/>
                <w:color w:val="auto"/>
                <w:sz w:val="24"/>
                <w:szCs w:val="24"/>
                <w:lang w:val="zh-CN"/>
              </w:rPr>
              <w:fldChar w:fldCharType="separate"/>
            </w:r>
            <w:r>
              <w:rPr>
                <w:rFonts w:hint="eastAsia" w:ascii="宋体" w:hAnsi="宋体" w:cs="宋体"/>
                <w:color w:val="auto"/>
                <w:sz w:val="24"/>
                <w:szCs w:val="24"/>
                <w:lang w:val="zh-CN"/>
              </w:rPr>
              <w:t>②</w:t>
            </w:r>
            <w:r>
              <w:rPr>
                <w:rFonts w:hint="eastAsia" w:ascii="宋体" w:hAnsi="宋体" w:cs="宋体"/>
                <w:color w:val="auto"/>
                <w:sz w:val="24"/>
                <w:szCs w:val="24"/>
                <w:lang w:val="zh-CN"/>
              </w:rPr>
              <w:fldChar w:fldCharType="end"/>
            </w:r>
            <w:r>
              <w:rPr>
                <w:rFonts w:hint="eastAsia" w:ascii="宋体" w:hAnsi="宋体" w:cs="宋体"/>
                <w:color w:val="auto"/>
                <w:sz w:val="24"/>
                <w:szCs w:val="24"/>
                <w:lang w:val="zh-CN"/>
              </w:rPr>
              <w:t>网络关键设备安全检测证书、网络安全专用产品安全检测证书；</w:t>
            </w:r>
          </w:p>
          <w:p w14:paraId="704B95B3">
            <w:pPr>
              <w:autoSpaceDE w:val="0"/>
              <w:autoSpaceDN w:val="0"/>
              <w:adjustRightInd w:val="0"/>
              <w:snapToGrid w:val="0"/>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 = 3 \* GB3 </w:instrText>
            </w:r>
            <w:r>
              <w:rPr>
                <w:rFonts w:hint="eastAsia" w:ascii="宋体" w:hAnsi="宋体" w:cs="宋体"/>
                <w:color w:val="auto"/>
                <w:sz w:val="24"/>
                <w:szCs w:val="24"/>
                <w:lang w:val="zh-CN"/>
              </w:rPr>
              <w:fldChar w:fldCharType="separate"/>
            </w:r>
            <w:r>
              <w:rPr>
                <w:rFonts w:hint="eastAsia" w:ascii="宋体" w:hAnsi="宋体" w:cs="宋体"/>
                <w:color w:val="auto"/>
                <w:sz w:val="24"/>
                <w:szCs w:val="24"/>
                <w:lang w:val="zh-CN"/>
              </w:rPr>
              <w:t>③</w:t>
            </w:r>
            <w:r>
              <w:rPr>
                <w:rFonts w:hint="eastAsia" w:ascii="宋体" w:hAnsi="宋体" w:cs="宋体"/>
                <w:color w:val="auto"/>
                <w:sz w:val="24"/>
                <w:szCs w:val="24"/>
                <w:lang w:val="zh-CN"/>
              </w:rPr>
              <w:fldChar w:fldCharType="end"/>
            </w:r>
            <w:r>
              <w:rPr>
                <w:rFonts w:hint="eastAsia" w:ascii="宋体" w:hAnsi="宋体" w:cs="宋体"/>
                <w:color w:val="auto"/>
                <w:sz w:val="24"/>
                <w:szCs w:val="24"/>
                <w:lang w:val="zh-CN"/>
              </w:rPr>
              <w:t>计算机信息系统安全专用产品销售许可证；</w:t>
            </w:r>
          </w:p>
          <w:p w14:paraId="5D5AAAB4">
            <w:pPr>
              <w:autoSpaceDE w:val="0"/>
              <w:autoSpaceDN w:val="0"/>
              <w:adjustRightInd w:val="0"/>
              <w:snapToGrid w:val="0"/>
              <w:spacing w:line="360" w:lineRule="auto"/>
              <w:ind w:firstLine="480" w:firstLineChars="200"/>
              <w:jc w:val="left"/>
              <w:rPr>
                <w:rFonts w:ascii="黑体" w:hAnsi="黑体" w:eastAsia="黑体" w:cs="黑体"/>
                <w:color w:val="auto"/>
                <w:sz w:val="24"/>
              </w:rPr>
            </w:pPr>
            <w:r>
              <w:rPr>
                <w:rFonts w:hint="eastAsia" w:ascii="宋体" w:hAnsi="宋体" w:cs="宋体"/>
                <w:color w:val="auto"/>
                <w:sz w:val="24"/>
                <w:szCs w:val="24"/>
                <w:lang w:val="zh-CN"/>
              </w:rPr>
              <w:fldChar w:fldCharType="begin"/>
            </w:r>
            <w:r>
              <w:rPr>
                <w:rFonts w:hint="eastAsia" w:ascii="宋体" w:hAnsi="宋体" w:cs="宋体"/>
                <w:color w:val="auto"/>
                <w:sz w:val="24"/>
                <w:szCs w:val="24"/>
                <w:lang w:val="zh-CN"/>
              </w:rPr>
              <w:instrText xml:space="preserve"> = 4 \* GB3 </w:instrText>
            </w:r>
            <w:r>
              <w:rPr>
                <w:rFonts w:hint="eastAsia" w:ascii="宋体" w:hAnsi="宋体" w:cs="宋体"/>
                <w:color w:val="auto"/>
                <w:sz w:val="24"/>
                <w:szCs w:val="24"/>
                <w:lang w:val="zh-CN"/>
              </w:rPr>
              <w:fldChar w:fldCharType="separate"/>
            </w:r>
            <w:r>
              <w:rPr>
                <w:rFonts w:hint="eastAsia" w:ascii="宋体" w:hAnsi="宋体" w:cs="宋体"/>
                <w:color w:val="auto"/>
                <w:sz w:val="24"/>
                <w:szCs w:val="24"/>
                <w:lang w:val="zh-CN"/>
              </w:rPr>
              <w:t>④</w:t>
            </w:r>
            <w:r>
              <w:rPr>
                <w:rFonts w:hint="eastAsia" w:ascii="宋体" w:hAnsi="宋体" w:cs="宋体"/>
                <w:color w:val="auto"/>
                <w:sz w:val="24"/>
                <w:szCs w:val="24"/>
                <w:lang w:val="zh-CN"/>
              </w:rPr>
              <w:fldChar w:fldCharType="end"/>
            </w:r>
            <w:r>
              <w:rPr>
                <w:rFonts w:hint="eastAsia" w:ascii="宋体" w:hAnsi="宋体" w:cs="宋体"/>
                <w:color w:val="auto"/>
                <w:sz w:val="24"/>
                <w:szCs w:val="24"/>
                <w:lang w:val="zh-CN"/>
              </w:rPr>
              <w:t>中国网信网或工业和信息化部网站或公安部网站或国家认证认可监督管理委员会网站公布的认证、检测结果（提供公布安全认证、安全检测结果页面网址和安全认证、检测结果截图）。</w:t>
            </w:r>
          </w:p>
        </w:tc>
      </w:tr>
      <w:tr w14:paraId="3516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vAlign w:val="center"/>
          </w:tcPr>
          <w:p w14:paraId="6AB55B61">
            <w:pPr>
              <w:autoSpaceDE w:val="0"/>
              <w:autoSpaceDN w:val="0"/>
              <w:adjustRightInd w:val="0"/>
              <w:snapToGrid w:val="0"/>
              <w:spacing w:line="400" w:lineRule="exact"/>
              <w:rPr>
                <w:rFonts w:ascii="黑体" w:hAnsi="黑体" w:eastAsia="黑体" w:cs="黑体"/>
                <w:color w:val="auto"/>
                <w:sz w:val="24"/>
                <w:szCs w:val="24"/>
              </w:rPr>
            </w:pPr>
            <w:r>
              <w:rPr>
                <w:rFonts w:hint="eastAsia" w:ascii="宋体" w:hAnsi="宋体" w:cs="宋体"/>
                <w:color w:val="auto"/>
                <w:position w:val="6"/>
                <w:sz w:val="24"/>
                <w:szCs w:val="24"/>
              </w:rPr>
              <w:t>未尽事宜，按国家有关规定执行。</w:t>
            </w:r>
          </w:p>
        </w:tc>
      </w:tr>
    </w:tbl>
    <w:p w14:paraId="188674E1">
      <w:pPr>
        <w:rPr>
          <w:b/>
          <w:color w:val="auto"/>
          <w:kern w:val="0"/>
          <w:sz w:val="40"/>
        </w:rPr>
      </w:pPr>
    </w:p>
    <w:p w14:paraId="17E57317">
      <w:pPr>
        <w:rPr>
          <w:b/>
          <w:color w:val="auto"/>
          <w:kern w:val="0"/>
          <w:sz w:val="40"/>
        </w:rPr>
      </w:pPr>
      <w:r>
        <w:rPr>
          <w:rFonts w:hint="eastAsia"/>
          <w:b/>
          <w:color w:val="auto"/>
          <w:kern w:val="0"/>
          <w:sz w:val="40"/>
        </w:rPr>
        <w:br w:type="page"/>
      </w:r>
    </w:p>
    <w:p w14:paraId="59A1BCA6">
      <w:pPr>
        <w:autoSpaceDE w:val="0"/>
        <w:autoSpaceDN w:val="0"/>
        <w:adjustRightInd w:val="0"/>
        <w:spacing w:line="360" w:lineRule="auto"/>
        <w:contextualSpacing/>
        <w:jc w:val="center"/>
        <w:outlineLvl w:val="0"/>
        <w:rPr>
          <w:rFonts w:ascii="宋体" w:hAnsi="宋体"/>
          <w:b/>
          <w:color w:val="auto"/>
          <w:kern w:val="0"/>
          <w:sz w:val="56"/>
          <w:szCs w:val="32"/>
        </w:rPr>
      </w:pPr>
      <w:r>
        <w:rPr>
          <w:rFonts w:hint="eastAsia"/>
          <w:b/>
          <w:color w:val="auto"/>
          <w:kern w:val="0"/>
          <w:sz w:val="40"/>
        </w:rPr>
        <w:t>第四章 供应商须知</w:t>
      </w:r>
    </w:p>
    <w:p w14:paraId="0C4A0E06">
      <w:pPr>
        <w:tabs>
          <w:tab w:val="left" w:pos="1260"/>
        </w:tabs>
        <w:autoSpaceDE w:val="0"/>
        <w:autoSpaceDN w:val="0"/>
        <w:adjustRightInd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一、概念释义</w:t>
      </w:r>
    </w:p>
    <w:p w14:paraId="576EA812">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1、适用范围</w:t>
      </w:r>
    </w:p>
    <w:p w14:paraId="694ED241">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1.1 本采购文件仅适用于本次“采购邀请”</w:t>
      </w:r>
      <w:r>
        <w:rPr>
          <w:rFonts w:hint="eastAsia" w:ascii="宋体" w:hAnsi="宋体"/>
          <w:color w:val="auto"/>
          <w:sz w:val="24"/>
          <w:szCs w:val="24"/>
        </w:rPr>
        <w:t xml:space="preserve"> 和“供应商须知前附表”中所述采购项目的采购。</w:t>
      </w:r>
    </w:p>
    <w:p w14:paraId="5C63879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1.2 本采购文件解释权属于“采购邀请”</w:t>
      </w:r>
      <w:r>
        <w:rPr>
          <w:rFonts w:hint="eastAsia" w:ascii="宋体" w:hAnsi="宋体"/>
          <w:color w:val="auto"/>
          <w:sz w:val="24"/>
          <w:szCs w:val="24"/>
        </w:rPr>
        <w:t xml:space="preserve"> 和“供应商须知前附表”</w:t>
      </w:r>
      <w:r>
        <w:rPr>
          <w:rFonts w:hint="eastAsia" w:ascii="宋体" w:hAnsi="宋体" w:cs="宋体"/>
          <w:color w:val="auto"/>
          <w:kern w:val="0"/>
          <w:sz w:val="24"/>
          <w:szCs w:val="24"/>
        </w:rPr>
        <w:t>所述的采购人、采购代理公司。</w:t>
      </w:r>
    </w:p>
    <w:p w14:paraId="386ACB2A">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2、定义</w:t>
      </w:r>
    </w:p>
    <w:p w14:paraId="2AEDC27F">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2.1“采购项目”：</w:t>
      </w:r>
      <w:r>
        <w:rPr>
          <w:rFonts w:hint="eastAsia" w:ascii="宋体" w:hAnsi="宋体"/>
          <w:color w:val="auto"/>
          <w:sz w:val="24"/>
          <w:szCs w:val="24"/>
        </w:rPr>
        <w:t>系指</w:t>
      </w:r>
      <w:r>
        <w:rPr>
          <w:rFonts w:hint="eastAsia" w:ascii="宋体" w:hAnsi="宋体" w:cs="宋体"/>
          <w:color w:val="auto"/>
          <w:kern w:val="0"/>
          <w:sz w:val="24"/>
          <w:szCs w:val="24"/>
        </w:rPr>
        <w:t>“供应商须知前附表”中所述的采购项目。</w:t>
      </w:r>
    </w:p>
    <w:p w14:paraId="58B2C20B">
      <w:pPr>
        <w:pStyle w:val="48"/>
        <w:autoSpaceDE w:val="0"/>
        <w:autoSpaceDN w:val="0"/>
        <w:spacing w:line="360" w:lineRule="auto"/>
        <w:ind w:left="420" w:firstLine="0" w:firstLineChars="0"/>
        <w:contextualSpacing/>
        <w:rPr>
          <w:rFonts w:ascii="宋体" w:hAnsi="宋体" w:cs="宋体"/>
          <w:color w:val="auto"/>
          <w:kern w:val="0"/>
          <w:sz w:val="24"/>
          <w:szCs w:val="24"/>
        </w:rPr>
      </w:pPr>
      <w:r>
        <w:rPr>
          <w:rFonts w:hint="eastAsia" w:ascii="宋体" w:hAnsi="宋体" w:cs="宋体"/>
          <w:color w:val="auto"/>
          <w:kern w:val="0"/>
          <w:sz w:val="24"/>
          <w:szCs w:val="24"/>
        </w:rPr>
        <w:t>2.2“采购人、 采购代理机构”：</w:t>
      </w:r>
      <w:r>
        <w:rPr>
          <w:rFonts w:hint="eastAsia" w:ascii="宋体" w:hAnsi="宋体"/>
          <w:color w:val="auto"/>
          <w:sz w:val="24"/>
          <w:szCs w:val="24"/>
        </w:rPr>
        <w:t>系指“供应商须知前附表”中所述的组织本次采购的代理公司和采购人。</w:t>
      </w:r>
    </w:p>
    <w:p w14:paraId="14A4112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olor w:val="auto"/>
          <w:sz w:val="24"/>
          <w:szCs w:val="24"/>
        </w:rPr>
        <w:t>2.3“供应商”系指从采购人、代理机构处按规定获取采购文件，并按照采购文件向采购人、代理公司提交投标文件的供应商。</w:t>
      </w:r>
    </w:p>
    <w:p w14:paraId="6E90697F">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olor w:val="auto"/>
          <w:sz w:val="24"/>
          <w:szCs w:val="24"/>
        </w:rPr>
        <w:t>2.4“成交供应商”系指成交的供应商。</w:t>
      </w:r>
    </w:p>
    <w:p w14:paraId="098C7E22">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olor w:val="auto"/>
          <w:sz w:val="24"/>
          <w:szCs w:val="24"/>
        </w:rPr>
        <w:t>2.5“甲方”系指采购人。</w:t>
      </w:r>
    </w:p>
    <w:p w14:paraId="7DBC29A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olor w:val="auto"/>
          <w:sz w:val="24"/>
          <w:szCs w:val="24"/>
        </w:rPr>
        <w:t>2.6“乙方”系指成交并向采购人提供服务的供应商。</w:t>
      </w:r>
    </w:p>
    <w:p w14:paraId="36301358">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olor w:val="auto"/>
          <w:sz w:val="24"/>
          <w:szCs w:val="24"/>
        </w:rPr>
        <w:t>2.7“服务”系指磋商文件规定的供应商为完成采购项目所需承担的全部义务。</w:t>
      </w:r>
    </w:p>
    <w:p w14:paraId="359BD76F">
      <w:pPr>
        <w:pStyle w:val="48"/>
        <w:autoSpaceDE w:val="0"/>
        <w:autoSpaceDN w:val="0"/>
        <w:spacing w:line="360" w:lineRule="auto"/>
        <w:ind w:left="420" w:firstLine="0" w:firstLineChars="0"/>
        <w:contextualSpacing/>
        <w:rPr>
          <w:rFonts w:ascii="宋体" w:hAnsi="宋体" w:cs="宋体"/>
          <w:color w:val="auto"/>
          <w:kern w:val="0"/>
          <w:sz w:val="24"/>
          <w:szCs w:val="24"/>
        </w:rPr>
      </w:pPr>
      <w:r>
        <w:rPr>
          <w:rFonts w:hint="eastAsia" w:ascii="宋体" w:hAnsi="宋体" w:cs="宋体"/>
          <w:color w:val="auto"/>
          <w:kern w:val="0"/>
          <w:sz w:val="24"/>
          <w:szCs w:val="24"/>
        </w:rPr>
        <w:t>2.8“进口产品”：是指通过中国海关报关验放进入中国境内且产自关境外的产品，包括已经进入中国境内的进口产品。详见《</w:t>
      </w:r>
      <w:r>
        <w:rPr>
          <w:rFonts w:ascii="宋体" w:hAnsi="宋体" w:cs="宋体"/>
          <w:color w:val="auto"/>
          <w:kern w:val="0"/>
          <w:sz w:val="24"/>
          <w:szCs w:val="24"/>
        </w:rPr>
        <w:t>关于政府采购进口产品管理有关问题的通知</w:t>
      </w:r>
      <w:r>
        <w:rPr>
          <w:rFonts w:hint="eastAsia" w:ascii="宋体" w:hAnsi="宋体" w:cs="宋体"/>
          <w:color w:val="auto"/>
          <w:kern w:val="0"/>
          <w:sz w:val="24"/>
          <w:szCs w:val="24"/>
        </w:rPr>
        <w:t>》(财库[2007]119号)、《关于政府采购进口产品管理有关问题的通知》（财办库〔2008〕</w:t>
      </w:r>
      <w:r>
        <w:rPr>
          <w:rFonts w:ascii="宋体" w:hAnsi="宋体" w:cs="宋体"/>
          <w:color w:val="auto"/>
          <w:kern w:val="0"/>
          <w:sz w:val="24"/>
          <w:szCs w:val="24"/>
        </w:rPr>
        <w:t xml:space="preserve">248 </w:t>
      </w:r>
      <w:r>
        <w:rPr>
          <w:rFonts w:hint="eastAsia" w:ascii="宋体" w:hAnsi="宋体" w:cs="宋体"/>
          <w:color w:val="auto"/>
          <w:kern w:val="0"/>
          <w:sz w:val="24"/>
          <w:szCs w:val="24"/>
        </w:rPr>
        <w:t>号）。</w:t>
      </w:r>
    </w:p>
    <w:p w14:paraId="5D09397A">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2.8.1采购文件</w:t>
      </w:r>
      <w:r>
        <w:rPr>
          <w:rFonts w:ascii="宋体" w:hAnsi="宋体" w:cs="宋体"/>
          <w:color w:val="auto"/>
          <w:kern w:val="0"/>
          <w:sz w:val="24"/>
          <w:szCs w:val="24"/>
        </w:rPr>
        <w:t>列明不允许或未列明允许进口产品参加</w:t>
      </w:r>
      <w:r>
        <w:rPr>
          <w:rFonts w:hint="eastAsia" w:ascii="宋体" w:hAnsi="宋体" w:cs="宋体"/>
          <w:color w:val="auto"/>
          <w:kern w:val="0"/>
          <w:sz w:val="24"/>
          <w:szCs w:val="24"/>
        </w:rPr>
        <w:t>响应</w:t>
      </w:r>
      <w:r>
        <w:rPr>
          <w:rFonts w:ascii="宋体" w:hAnsi="宋体" w:cs="宋体"/>
          <w:color w:val="auto"/>
          <w:kern w:val="0"/>
          <w:sz w:val="24"/>
          <w:szCs w:val="24"/>
        </w:rPr>
        <w:t>的，均视为拒绝进口产品参加</w:t>
      </w:r>
      <w:r>
        <w:rPr>
          <w:rFonts w:hint="eastAsia" w:ascii="宋体" w:hAnsi="宋体" w:cs="宋体"/>
          <w:color w:val="auto"/>
          <w:kern w:val="0"/>
          <w:sz w:val="24"/>
          <w:szCs w:val="24"/>
        </w:rPr>
        <w:t>响应</w:t>
      </w:r>
      <w:r>
        <w:rPr>
          <w:rFonts w:ascii="宋体" w:hAnsi="宋体" w:cs="宋体"/>
          <w:color w:val="auto"/>
          <w:kern w:val="0"/>
          <w:sz w:val="24"/>
          <w:szCs w:val="24"/>
        </w:rPr>
        <w:t>。</w:t>
      </w:r>
    </w:p>
    <w:p w14:paraId="00DB9583">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2.8.2</w:t>
      </w:r>
      <w:r>
        <w:rPr>
          <w:rFonts w:ascii="宋体" w:hAnsi="宋体" w:cs="宋体"/>
          <w:color w:val="auto"/>
          <w:kern w:val="0"/>
          <w:sz w:val="24"/>
          <w:szCs w:val="24"/>
        </w:rPr>
        <w:t>如</w:t>
      </w:r>
      <w:r>
        <w:rPr>
          <w:rFonts w:hint="eastAsia" w:ascii="宋体" w:hAnsi="宋体" w:cs="宋体"/>
          <w:color w:val="auto"/>
          <w:kern w:val="0"/>
          <w:sz w:val="24"/>
          <w:szCs w:val="24"/>
        </w:rPr>
        <w:t>投标文件</w:t>
      </w:r>
      <w:r>
        <w:rPr>
          <w:rFonts w:ascii="宋体" w:hAnsi="宋体" w:cs="宋体"/>
          <w:color w:val="auto"/>
          <w:kern w:val="0"/>
          <w:sz w:val="24"/>
          <w:szCs w:val="24"/>
        </w:rPr>
        <w:t>中已说明，经财政部门审核同意，允许部分或全部产品采购进口产品，</w:t>
      </w:r>
      <w:r>
        <w:rPr>
          <w:rFonts w:hint="eastAsia" w:ascii="宋体" w:hAnsi="宋体" w:cs="宋体"/>
          <w:color w:val="auto"/>
          <w:kern w:val="0"/>
          <w:sz w:val="24"/>
          <w:szCs w:val="24"/>
        </w:rPr>
        <w:t>供应商</w:t>
      </w:r>
      <w:r>
        <w:rPr>
          <w:rFonts w:ascii="宋体" w:hAnsi="宋体" w:cs="宋体"/>
          <w:color w:val="auto"/>
          <w:kern w:val="0"/>
          <w:sz w:val="24"/>
          <w:szCs w:val="24"/>
        </w:rPr>
        <w:t>既可提供本国产品，也可以提供进口产品。</w:t>
      </w:r>
    </w:p>
    <w:p w14:paraId="3D4A910D">
      <w:pPr>
        <w:pStyle w:val="48"/>
        <w:autoSpaceDE w:val="0"/>
        <w:autoSpaceDN w:val="0"/>
        <w:spacing w:line="360" w:lineRule="auto"/>
        <w:ind w:firstLine="482"/>
        <w:contextualSpacing/>
        <w:rPr>
          <w:rFonts w:ascii="宋体" w:hAnsi="宋体" w:cs="宋体"/>
          <w:b/>
          <w:color w:val="auto"/>
          <w:kern w:val="0"/>
          <w:sz w:val="24"/>
          <w:szCs w:val="24"/>
        </w:rPr>
      </w:pPr>
      <w:r>
        <w:rPr>
          <w:rFonts w:hint="eastAsia" w:ascii="宋体" w:hAnsi="宋体" w:cs="宋体"/>
          <w:b/>
          <w:color w:val="auto"/>
          <w:kern w:val="0"/>
          <w:sz w:val="24"/>
          <w:szCs w:val="24"/>
        </w:rPr>
        <w:t xml:space="preserve"> 3、合格的供应商</w:t>
      </w:r>
    </w:p>
    <w:p w14:paraId="3398A75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3.1具有本项目生产、制造、供应或实施能力，符合、承认并承诺履行本采购文件各项规定的法人、其他组织或者自然人。</w:t>
      </w:r>
    </w:p>
    <w:p w14:paraId="568F3373">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3.2符合本项目“采购邀请”和“供应商须知前附表”中规定的合格供应商所必须具备的条件。</w:t>
      </w:r>
    </w:p>
    <w:p w14:paraId="1C8A3AD8">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3.3政府采购活动中查询及使用供应商信用记录的具体要求为：供应商未被列入失信被执行人、税收违法黑名单、政府采购严重违法失信行为记录名单、严重违法失信社会组织名单（联合体形式投标的，联合体成员存在不良信用记录，视同联合体存在不良信用记录）。</w:t>
      </w:r>
    </w:p>
    <w:p w14:paraId="65457C83">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3.4单位负责人为同一人或者存在直接控股、管理关系的不同供应商，不得参加同一合同项下的政府采购活动。违反规定的，相关投标均无效。</w:t>
      </w:r>
    </w:p>
    <w:p w14:paraId="068313C7">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3.5除单一来源外，为采购项目提供整体设计、规范编制或者项目管理、监理、检测等服务的供应商，不得再参加该采购项目的其他采购活动。</w:t>
      </w:r>
    </w:p>
    <w:p w14:paraId="317BB3DB">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3.6“采购邀请”和“供应商须知前附表”规定接受联合体响应的，除应符合本章第</w:t>
      </w:r>
      <w:r>
        <w:rPr>
          <w:rFonts w:ascii="宋体" w:hAnsi="宋体" w:cs="宋体"/>
          <w:color w:val="auto"/>
          <w:kern w:val="0"/>
          <w:sz w:val="24"/>
          <w:szCs w:val="24"/>
        </w:rPr>
        <w:t>3.1</w:t>
      </w:r>
      <w:r>
        <w:rPr>
          <w:rFonts w:hint="eastAsia" w:ascii="宋体" w:hAnsi="宋体" w:cs="宋体"/>
          <w:color w:val="auto"/>
          <w:kern w:val="0"/>
          <w:sz w:val="24"/>
          <w:szCs w:val="24"/>
        </w:rPr>
        <w:t>项和3.2项要求外，还应遵守以下规定：</w:t>
      </w:r>
    </w:p>
    <w:p w14:paraId="6489C0DE">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3.6.1在投标文件中向采购人提交联合体协议书，明确联合体各方承担的工作和义务；</w:t>
      </w:r>
    </w:p>
    <w:p w14:paraId="2C79A5D7">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3.6.2联合体中有同类资质的供应商按联合体分工承担相同工作的，应当按照资质等级较低的供应商确定资质等级；</w:t>
      </w:r>
    </w:p>
    <w:p w14:paraId="2D2E2F4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3.6.3采购人根据采购项目的特殊要求规定供应商特定条件的，联合体各方中至少应当有一方符合采购规定的特定条件。</w:t>
      </w:r>
    </w:p>
    <w:p w14:paraId="6241B267">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3.6.4联合体各方不得再单独参加或者与其他供应商另外组成联合体参加同一合同项下的政府采购活动。</w:t>
      </w:r>
    </w:p>
    <w:p w14:paraId="1B47BCD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3.6.5</w:t>
      </w:r>
      <w:r>
        <w:rPr>
          <w:rFonts w:ascii="宋体" w:hAnsi="宋体" w:cs="宋体"/>
          <w:color w:val="auto"/>
          <w:kern w:val="0"/>
          <w:sz w:val="24"/>
          <w:szCs w:val="24"/>
        </w:rPr>
        <w:t>联合体各方应当共同与采购人签订采购合同，就采购合同约定的事项对采购人</w:t>
      </w:r>
      <w:r>
        <w:rPr>
          <w:color w:val="auto"/>
        </w:rPr>
        <w:fldChar w:fldCharType="begin"/>
      </w:r>
      <w:r>
        <w:rPr>
          <w:color w:val="auto"/>
        </w:rPr>
        <w:instrText xml:space="preserve"> HYPERLINK "https://baike.baidu.com/item/%E6%89%BF%E6%8B%85%E8%BF%9E%E5%B8%A6%E8%B4%A3%E4%BB%BB" </w:instrText>
      </w:r>
      <w:r>
        <w:rPr>
          <w:color w:val="auto"/>
        </w:rPr>
        <w:fldChar w:fldCharType="separate"/>
      </w:r>
      <w:r>
        <w:rPr>
          <w:rFonts w:ascii="宋体" w:hAnsi="宋体" w:cs="宋体"/>
          <w:color w:val="auto"/>
          <w:kern w:val="0"/>
          <w:sz w:val="24"/>
          <w:szCs w:val="24"/>
        </w:rPr>
        <w:t>承担连带责任</w:t>
      </w:r>
      <w:r>
        <w:rPr>
          <w:rFonts w:ascii="宋体" w:hAnsi="宋体" w:cs="宋体"/>
          <w:color w:val="auto"/>
          <w:kern w:val="0"/>
          <w:sz w:val="24"/>
          <w:szCs w:val="24"/>
        </w:rPr>
        <w:fldChar w:fldCharType="end"/>
      </w:r>
      <w:r>
        <w:rPr>
          <w:rFonts w:ascii="宋体" w:hAnsi="宋体" w:cs="宋体"/>
          <w:color w:val="auto"/>
          <w:kern w:val="0"/>
          <w:sz w:val="24"/>
          <w:szCs w:val="24"/>
        </w:rPr>
        <w:t>。</w:t>
      </w:r>
    </w:p>
    <w:p w14:paraId="6C6B247C">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3.7法律、行政法规规定的其他条件。</w:t>
      </w:r>
    </w:p>
    <w:p w14:paraId="023A42EC">
      <w:pPr>
        <w:pStyle w:val="48"/>
        <w:autoSpaceDE w:val="0"/>
        <w:autoSpaceDN w:val="0"/>
        <w:spacing w:line="360" w:lineRule="auto"/>
        <w:ind w:firstLine="482"/>
        <w:contextualSpacing/>
        <w:rPr>
          <w:rFonts w:ascii="宋体" w:hAnsi="宋体" w:cs="宋体"/>
          <w:b/>
          <w:color w:val="auto"/>
          <w:kern w:val="0"/>
          <w:sz w:val="24"/>
          <w:szCs w:val="24"/>
        </w:rPr>
      </w:pPr>
      <w:r>
        <w:rPr>
          <w:rFonts w:hint="eastAsia" w:ascii="宋体" w:hAnsi="宋体" w:cs="宋体"/>
          <w:b/>
          <w:color w:val="auto"/>
          <w:kern w:val="0"/>
          <w:sz w:val="24"/>
          <w:szCs w:val="24"/>
        </w:rPr>
        <w:t>4、合格的货物和服务</w:t>
      </w:r>
    </w:p>
    <w:p w14:paraId="4DE8EA2D">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14:paraId="6814AD4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4.2供应商须承诺所提供的服务应当没有侵犯任何第三方的知识产权、技术秘密等合法权利。否则视为非实质性响应。</w:t>
      </w:r>
    </w:p>
    <w:p w14:paraId="2347F8B3">
      <w:pPr>
        <w:pStyle w:val="48"/>
        <w:autoSpaceDE w:val="0"/>
        <w:autoSpaceDN w:val="0"/>
        <w:spacing w:line="360" w:lineRule="auto"/>
        <w:ind w:firstLine="480"/>
        <w:contextualSpacing/>
        <w:rPr>
          <w:rFonts w:ascii="宋体" w:hAnsi="宋体" w:cs="宋体"/>
          <w:color w:val="auto"/>
          <w:kern w:val="0"/>
          <w:sz w:val="24"/>
          <w:szCs w:val="24"/>
        </w:rPr>
      </w:pPr>
      <w:r>
        <w:rPr>
          <w:rFonts w:hint="eastAsia" w:ascii="宋体" w:hAnsi="宋体" w:cs="宋体"/>
          <w:color w:val="auto"/>
          <w:kern w:val="0"/>
          <w:sz w:val="24"/>
          <w:szCs w:val="24"/>
        </w:rPr>
        <w:t>4.3如供应商所投产品被列入</w:t>
      </w:r>
      <w:r>
        <w:rPr>
          <w:rFonts w:ascii="宋体" w:hAnsi="宋体" w:cs="宋体"/>
          <w:color w:val="auto"/>
          <w:kern w:val="0"/>
          <w:sz w:val="24"/>
          <w:szCs w:val="24"/>
        </w:rPr>
        <w:t>《中华人民共和国实施强制性产品认证的产品目录》，</w:t>
      </w:r>
      <w:r>
        <w:rPr>
          <w:rFonts w:hint="eastAsia" w:ascii="宋体" w:hAnsi="宋体" w:cs="宋体"/>
          <w:color w:val="auto"/>
          <w:kern w:val="0"/>
          <w:sz w:val="24"/>
          <w:szCs w:val="24"/>
        </w:rPr>
        <w:t>则该产品应具备国家认监委指定强制性产品认证机构颁发的《中国国家强制性产品认证证书》（CCC认证）。供应商不能提供超出此目录范畴外的替代品。</w:t>
      </w:r>
    </w:p>
    <w:p w14:paraId="4F0E1BEE">
      <w:pPr>
        <w:pStyle w:val="48"/>
        <w:autoSpaceDE w:val="0"/>
        <w:autoSpaceDN w:val="0"/>
        <w:spacing w:line="360" w:lineRule="auto"/>
        <w:ind w:firstLine="480"/>
        <w:contextualSpacing/>
        <w:rPr>
          <w:rFonts w:ascii="宋体" w:hAnsi="宋体" w:cs="宋体"/>
          <w:b/>
          <w:bCs/>
          <w:color w:val="auto"/>
          <w:kern w:val="0"/>
          <w:sz w:val="24"/>
          <w:szCs w:val="24"/>
        </w:rPr>
      </w:pPr>
      <w:r>
        <w:rPr>
          <w:rFonts w:hint="eastAsia" w:ascii="宋体" w:hAnsi="宋体" w:cs="宋体"/>
          <w:color w:val="auto"/>
          <w:kern w:val="0"/>
          <w:sz w:val="24"/>
          <w:szCs w:val="24"/>
        </w:rPr>
        <w:t>4.4根据国家互联网信息办公室、工业和信息化部、公安部和国家认证认可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测符合要求；二是已获得《计算机信息系统安全专用产品销售许可证》，且在有效期内。</w:t>
      </w:r>
    </w:p>
    <w:p w14:paraId="410E8832">
      <w:pPr>
        <w:pStyle w:val="48"/>
        <w:autoSpaceDE w:val="0"/>
        <w:autoSpaceDN w:val="0"/>
        <w:spacing w:line="360" w:lineRule="auto"/>
        <w:ind w:firstLine="482"/>
        <w:contextualSpacing/>
        <w:rPr>
          <w:rFonts w:ascii="宋体" w:hAnsi="宋体" w:cs="宋体"/>
          <w:b/>
          <w:color w:val="auto"/>
          <w:kern w:val="0"/>
          <w:sz w:val="24"/>
          <w:szCs w:val="24"/>
        </w:rPr>
      </w:pPr>
      <w:r>
        <w:rPr>
          <w:rFonts w:hint="eastAsia" w:ascii="宋体" w:hAnsi="宋体" w:cs="宋体"/>
          <w:b/>
          <w:color w:val="auto"/>
          <w:kern w:val="0"/>
          <w:sz w:val="24"/>
          <w:szCs w:val="24"/>
        </w:rPr>
        <w:t>5、投标费用</w:t>
      </w:r>
    </w:p>
    <w:p w14:paraId="7C322DF7">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不论采购的结果如何，供应商均应自行承担所有与采购有关的全部费用，采购人、采购代理公司在任何情况下均无义务和责任承担这些费用。</w:t>
      </w:r>
    </w:p>
    <w:p w14:paraId="1405EC56">
      <w:pPr>
        <w:pStyle w:val="48"/>
        <w:autoSpaceDE w:val="0"/>
        <w:autoSpaceDN w:val="0"/>
        <w:spacing w:line="360" w:lineRule="auto"/>
        <w:ind w:firstLine="482"/>
        <w:contextualSpacing/>
        <w:rPr>
          <w:rFonts w:ascii="宋体" w:hAnsi="宋体" w:cs="宋体"/>
          <w:b/>
          <w:color w:val="auto"/>
          <w:kern w:val="0"/>
          <w:sz w:val="24"/>
          <w:szCs w:val="24"/>
        </w:rPr>
      </w:pPr>
      <w:r>
        <w:rPr>
          <w:rFonts w:hint="eastAsia" w:ascii="宋体" w:hAnsi="宋体" w:cs="宋体"/>
          <w:b/>
          <w:color w:val="auto"/>
          <w:kern w:val="0"/>
          <w:sz w:val="24"/>
          <w:szCs w:val="24"/>
        </w:rPr>
        <w:t>6、信息发布</w:t>
      </w:r>
    </w:p>
    <w:p w14:paraId="0F45F0B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本采购项目需要公开的有关信息，包括招标公告、采购文件澄清或修改公告、成交公告以及延长投标文件提交截止时间等与采购活动有关的通知，采购人、采购代理机构均将通过在 《河南省政府采购网》、《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14:paraId="6E1F72A6">
      <w:pPr>
        <w:pStyle w:val="48"/>
        <w:autoSpaceDE w:val="0"/>
        <w:autoSpaceDN w:val="0"/>
        <w:spacing w:line="360" w:lineRule="auto"/>
        <w:ind w:left="420" w:hanging="420" w:firstLineChars="0"/>
        <w:contextualSpacing/>
        <w:rPr>
          <w:rFonts w:ascii="宋体" w:hAnsi="宋体" w:cs="宋体"/>
          <w:color w:val="auto"/>
          <w:kern w:val="0"/>
          <w:sz w:val="24"/>
          <w:szCs w:val="24"/>
        </w:rPr>
      </w:pPr>
      <w:r>
        <w:rPr>
          <w:rFonts w:hint="eastAsia" w:ascii="宋体" w:hAnsi="宋体" w:cs="宋体"/>
          <w:color w:val="auto"/>
          <w:kern w:val="0"/>
          <w:sz w:val="24"/>
          <w:szCs w:val="24"/>
        </w:rPr>
        <w:t>7</w:t>
      </w:r>
      <w:r>
        <w:rPr>
          <w:rFonts w:hint="eastAsia" w:ascii="宋体" w:hAnsi="宋体" w:cs="宋体"/>
          <w:b/>
          <w:color w:val="auto"/>
          <w:kern w:val="0"/>
          <w:sz w:val="24"/>
          <w:szCs w:val="24"/>
        </w:rPr>
        <w:t>、代理费用</w:t>
      </w:r>
      <w:r>
        <w:rPr>
          <w:rFonts w:hint="eastAsia" w:ascii="宋体" w:hAnsi="宋体" w:cs="宋体"/>
          <w:color w:val="auto"/>
          <w:kern w:val="0"/>
          <w:sz w:val="24"/>
          <w:szCs w:val="24"/>
        </w:rPr>
        <w:t>：不收取。</w:t>
      </w:r>
    </w:p>
    <w:p w14:paraId="3E1A01F6">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8、其他</w:t>
      </w:r>
    </w:p>
    <w:p w14:paraId="0241B3BA">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14:paraId="4836A0D7">
      <w:pPr>
        <w:rPr>
          <w:color w:val="auto"/>
        </w:rPr>
      </w:pPr>
    </w:p>
    <w:p w14:paraId="6BC34A1E">
      <w:pPr>
        <w:pStyle w:val="12"/>
        <w:rPr>
          <w:color w:val="auto"/>
        </w:rPr>
      </w:pPr>
    </w:p>
    <w:p w14:paraId="254715BE">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二、采购文件说明</w:t>
      </w:r>
    </w:p>
    <w:p w14:paraId="74732326">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9、采购文件构成</w:t>
      </w:r>
    </w:p>
    <w:p w14:paraId="67869AF8">
      <w:pPr>
        <w:pStyle w:val="48"/>
        <w:numPr>
          <w:ilvl w:val="0"/>
          <w:numId w:val="9"/>
        </w:numPr>
        <w:autoSpaceDE w:val="0"/>
        <w:autoSpaceDN w:val="0"/>
        <w:spacing w:line="360" w:lineRule="auto"/>
        <w:ind w:firstLineChars="0"/>
        <w:contextualSpacing/>
        <w:rPr>
          <w:rFonts w:ascii="宋体" w:hAnsi="宋体" w:cs="宋体"/>
          <w:color w:val="auto"/>
          <w:kern w:val="0"/>
          <w:sz w:val="24"/>
          <w:szCs w:val="24"/>
        </w:rPr>
      </w:pPr>
      <w:r>
        <w:rPr>
          <w:rFonts w:hint="eastAsia" w:ascii="宋体" w:hAnsi="宋体" w:cs="宋体"/>
          <w:color w:val="auto"/>
          <w:kern w:val="0"/>
          <w:sz w:val="24"/>
          <w:szCs w:val="24"/>
        </w:rPr>
        <w:t>采购文件由以下部分组成：</w:t>
      </w:r>
    </w:p>
    <w:p w14:paraId="3F4F5474">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第一章 投标邀请</w:t>
      </w:r>
    </w:p>
    <w:p w14:paraId="2BE1478E">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第二章 采购需求</w:t>
      </w:r>
    </w:p>
    <w:p w14:paraId="41BE8910">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第三章 供应商须知前附表</w:t>
      </w:r>
    </w:p>
    <w:p w14:paraId="0F1FC9DC">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第四章 供应商须知</w:t>
      </w:r>
    </w:p>
    <w:p w14:paraId="2F0E950B">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第五章 政府采购政策功能</w:t>
      </w:r>
    </w:p>
    <w:p w14:paraId="4FE1C4DC">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第六章 资格审查与评审</w:t>
      </w:r>
    </w:p>
    <w:p w14:paraId="066AEF15">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第七章 合同书格式及合同条款</w:t>
      </w:r>
    </w:p>
    <w:p w14:paraId="5B0AF9E2">
      <w:pPr>
        <w:autoSpaceDE w:val="0"/>
        <w:autoSpaceDN w:val="0"/>
        <w:spacing w:line="360" w:lineRule="auto"/>
        <w:ind w:left="964"/>
        <w:contextualSpacing/>
        <w:rPr>
          <w:rFonts w:ascii="宋体" w:hAnsi="宋体" w:cs="宋体"/>
          <w:color w:val="auto"/>
          <w:kern w:val="0"/>
          <w:sz w:val="24"/>
          <w:szCs w:val="24"/>
        </w:rPr>
      </w:pPr>
      <w:r>
        <w:rPr>
          <w:rFonts w:hint="eastAsia" w:ascii="宋体" w:hAnsi="宋体" w:cs="宋体"/>
          <w:color w:val="auto"/>
          <w:kern w:val="0"/>
          <w:sz w:val="24"/>
          <w:szCs w:val="24"/>
        </w:rPr>
        <w:t>第八章 投标文件有关格式</w:t>
      </w:r>
    </w:p>
    <w:p w14:paraId="1D9A26A0">
      <w:pPr>
        <w:pStyle w:val="48"/>
        <w:autoSpaceDE w:val="0"/>
        <w:autoSpaceDN w:val="0"/>
        <w:spacing w:line="360" w:lineRule="auto"/>
        <w:ind w:firstLine="480"/>
        <w:contextualSpacing/>
        <w:rPr>
          <w:rFonts w:ascii="宋体" w:hAnsi="宋体" w:cs="宋体"/>
          <w:color w:val="auto"/>
          <w:kern w:val="0"/>
          <w:sz w:val="24"/>
          <w:szCs w:val="24"/>
        </w:rPr>
      </w:pPr>
      <w:r>
        <w:rPr>
          <w:rFonts w:hint="eastAsia" w:ascii="宋体" w:hAnsi="宋体" w:cs="宋体"/>
          <w:color w:val="auto"/>
          <w:kern w:val="0"/>
          <w:sz w:val="24"/>
          <w:szCs w:val="24"/>
        </w:rPr>
        <w:t>9.2供应商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供应商自行承担。</w:t>
      </w:r>
    </w:p>
    <w:p w14:paraId="75B8578D">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14:paraId="4BA5663B">
      <w:pPr>
        <w:autoSpaceDE w:val="0"/>
        <w:autoSpaceDN w:val="0"/>
        <w:spacing w:line="360" w:lineRule="auto"/>
        <w:ind w:left="420" w:hanging="420"/>
        <w:contextualSpacing/>
        <w:rPr>
          <w:rFonts w:ascii="宋体" w:hAnsi="宋体" w:cs="宋体"/>
          <w:b/>
          <w:color w:val="auto"/>
          <w:kern w:val="0"/>
          <w:sz w:val="24"/>
        </w:rPr>
      </w:pPr>
      <w:r>
        <w:rPr>
          <w:rFonts w:hint="eastAsia" w:ascii="宋体" w:hAnsi="宋体" w:cs="宋体"/>
          <w:b/>
          <w:color w:val="auto"/>
          <w:kern w:val="0"/>
          <w:sz w:val="24"/>
        </w:rPr>
        <w:t>10</w:t>
      </w:r>
      <w:r>
        <w:rPr>
          <w:rFonts w:hint="eastAsia" w:ascii="宋体" w:hAnsi="宋体" w:cs="宋体"/>
          <w:b/>
          <w:color w:val="auto"/>
          <w:kern w:val="0"/>
          <w:sz w:val="24"/>
          <w:szCs w:val="24"/>
        </w:rPr>
        <w:t>、</w:t>
      </w:r>
      <w:r>
        <w:rPr>
          <w:rFonts w:hint="eastAsia" w:ascii="宋体" w:hAnsi="宋体" w:cs="宋体"/>
          <w:b/>
          <w:color w:val="auto"/>
          <w:kern w:val="0"/>
          <w:sz w:val="24"/>
        </w:rPr>
        <w:t>现场考察、开标前答疑会</w:t>
      </w:r>
    </w:p>
    <w:p w14:paraId="08CB425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10.1 招标人根据采购项目的具体情况，可以在招标文件公告期满后，组织已获取招标文件的潜在投标人现场考察或者召开开标前答疑会。</w:t>
      </w:r>
    </w:p>
    <w:p w14:paraId="35908B99">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4B05C5F5">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10.2 招标人组织现场考察或者召开答疑会的，应当在招标文件中载明，或者在招标文件公告期满后在财政部门指定的政府采购信息发布媒体和《全国公共资源交易平台（河南省·许昌市）》发布更正公告。</w:t>
      </w:r>
    </w:p>
    <w:p w14:paraId="3D12087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0508B75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10.4 现场考察及参加开标前答疑会所发生的费用及一切责任由投标人自行承担。</w:t>
      </w:r>
    </w:p>
    <w:p w14:paraId="16056FBD">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11、采购文件的澄清或修改</w:t>
      </w:r>
    </w:p>
    <w:p w14:paraId="0ABF82D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11.1在投标截止期前，无论出于何种原因，采购人可主动地或在解答供应商提出的澄清问题时对采购文件进行修改。</w:t>
      </w:r>
    </w:p>
    <w:p w14:paraId="3B4142C1">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11.2采购人、集中采购机构可以对已发出的采购文件进行必要的澄清或者修改。澄清或者修改的内容可能影响投标文件编制的，采购人将在投标文件提交截止之日</w:t>
      </w:r>
      <w:r>
        <w:rPr>
          <w:rFonts w:ascii="宋体" w:hAnsi="宋体" w:cs="宋体"/>
          <w:color w:val="auto"/>
          <w:kern w:val="0"/>
          <w:sz w:val="24"/>
          <w:szCs w:val="24"/>
        </w:rPr>
        <w:t>15</w:t>
      </w:r>
      <w:r>
        <w:rPr>
          <w:rFonts w:hint="eastAsia" w:ascii="宋体" w:hAnsi="宋体" w:cs="宋体"/>
          <w:color w:val="auto"/>
          <w:kern w:val="0"/>
          <w:sz w:val="24"/>
          <w:szCs w:val="24"/>
        </w:rPr>
        <w:t>日前，在财政部门指定的政府采购信息发布媒体和《全国公共资源交易平台（河南省·许昌市）》发布更正公告。</w:t>
      </w:r>
    </w:p>
    <w:p w14:paraId="303502E4">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11.3澄清或修改公告的内容为采购文件的组成部分，并对供应商具有约束力。当采购文件与澄清或修改公告就同一内容的表述不一致时，以最后发出的文件内容为准。</w:t>
      </w:r>
    </w:p>
    <w:p w14:paraId="53845AD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11.4如果澄清或者修改发出的时间距规定的投标截止时间不足</w:t>
      </w:r>
      <w:r>
        <w:rPr>
          <w:rFonts w:ascii="宋体" w:hAnsi="宋体" w:cs="宋体"/>
          <w:color w:val="auto"/>
          <w:kern w:val="0"/>
          <w:sz w:val="24"/>
          <w:szCs w:val="24"/>
        </w:rPr>
        <w:t>15</w:t>
      </w:r>
      <w:r>
        <w:rPr>
          <w:rFonts w:hint="eastAsia" w:ascii="宋体" w:hAnsi="宋体" w:cs="宋体"/>
          <w:color w:val="auto"/>
          <w:kern w:val="0"/>
          <w:sz w:val="24"/>
          <w:szCs w:val="24"/>
        </w:rPr>
        <w:t>日的，采购人、采购代理公司将顺延提交投标文件的截止时间。</w:t>
      </w:r>
    </w:p>
    <w:p w14:paraId="3C443BED">
      <w:pPr>
        <w:rPr>
          <w:color w:val="auto"/>
        </w:rPr>
      </w:pPr>
    </w:p>
    <w:p w14:paraId="450EA617">
      <w:pPr>
        <w:rPr>
          <w:rFonts w:ascii="宋体" w:hAnsi="宋体" w:cs="宋体"/>
          <w:color w:val="auto"/>
          <w:kern w:val="0"/>
          <w:sz w:val="24"/>
          <w:szCs w:val="24"/>
        </w:rPr>
      </w:pPr>
    </w:p>
    <w:p w14:paraId="1828CD4C">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三、投标文件的编制</w:t>
      </w:r>
    </w:p>
    <w:p w14:paraId="2C12EE89">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12、投标文件的语言及计量单位</w:t>
      </w:r>
    </w:p>
    <w:p w14:paraId="1C39733F">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12.1供应商提交的投标文件以及供应商与采购人、 采购代理公司就有关采购事宜的所有来往书面文件均应使用中文。除签名、盖章、专用名称等特殊情形外，以中文以外的文字表述的投标文件视同未提供。</w:t>
      </w:r>
    </w:p>
    <w:p w14:paraId="758177C8">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12.2投标文件计量单位，采购文件已有明确规定的，使用采购文件规定的计量单位；采购文件没有规定的，一律采用中华人民共和国法定计量单位。</w:t>
      </w:r>
    </w:p>
    <w:p w14:paraId="14B51C3C">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13、报价</w:t>
      </w:r>
    </w:p>
    <w:p w14:paraId="1B90F1E9">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13.1本次采购项目的报价均以人民币为计算单位。</w:t>
      </w:r>
    </w:p>
    <w:p w14:paraId="2651D43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13.2采购人不得向供应商索要或者接受其给予的赠品、回扣或者与采购无关的其他商品、服务。</w:t>
      </w:r>
    </w:p>
    <w:p w14:paraId="69D33113">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13.3供应商应对项目要求的全部内容进行报价，少报漏报将导致其投标为非实质性响应予以拒绝。</w:t>
      </w:r>
    </w:p>
    <w:p w14:paraId="2AF0B848">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14:paraId="0A10E09E">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13.5本项目所涉及的运输、施工、安装、集成、调试、验收、备品和工具等费用均包含在响应报价中。</w:t>
      </w:r>
      <w:r>
        <w:rPr>
          <w:rFonts w:hint="eastAsia" w:ascii="宋体" w:hAnsi="宋体" w:cs="宋体"/>
          <w:color w:val="auto"/>
          <w:sz w:val="24"/>
          <w:szCs w:val="24"/>
        </w:rPr>
        <w:t>中标人提供的设备经采购人验货，无质量问题后方可施工，承诺不因资金问题影响项目进度，否则为无效投标。</w:t>
      </w:r>
    </w:p>
    <w:p w14:paraId="1F18E121">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13.6本次招标不接受可选择或可调整的投标方案和报价，任何有选择的或可调整的投标方案和报价将被视为非实质性响应投标而作无效投标处理。</w:t>
      </w:r>
    </w:p>
    <w:p w14:paraId="502DC173">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3.7</w:t>
      </w:r>
      <w:r>
        <w:rPr>
          <w:rFonts w:hint="eastAsia" w:ascii="宋体" w:hAnsi="宋体" w:cs="宋体"/>
          <w:color w:val="auto"/>
          <w:kern w:val="0"/>
          <w:sz w:val="24"/>
          <w:szCs w:val="24"/>
        </w:rPr>
        <w:t>报价不得高于本项目预算金额，且不低于成本价。供应商的响应报价高于预算金额（项目控制金额上限）的，该供应商的投标文件将被视为非实质性响应予以拒绝。</w:t>
      </w:r>
    </w:p>
    <w:p w14:paraId="4EC80AA6">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13.</w:t>
      </w:r>
      <w:r>
        <w:rPr>
          <w:rFonts w:ascii="宋体" w:hAnsi="宋体" w:cs="宋体"/>
          <w:color w:val="auto"/>
          <w:kern w:val="0"/>
          <w:sz w:val="24"/>
          <w:szCs w:val="24"/>
        </w:rPr>
        <w:t>8</w:t>
      </w:r>
      <w:r>
        <w:rPr>
          <w:rFonts w:hint="eastAsia" w:ascii="宋体" w:hAnsi="宋体" w:cs="宋体"/>
          <w:color w:val="auto"/>
          <w:kern w:val="0"/>
          <w:sz w:val="24"/>
          <w:szCs w:val="24"/>
        </w:rPr>
        <w:t>最低报价不能作为成交的保证。</w:t>
      </w:r>
    </w:p>
    <w:p w14:paraId="58857FC2">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14、投标文件有效期</w:t>
      </w:r>
    </w:p>
    <w:p w14:paraId="4ABEBF6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14:paraId="71D5A737">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14.2投标有效期内投标人撤销投标文件的，供应商将承担违背投标承诺函的责任追究。</w:t>
      </w:r>
    </w:p>
    <w:p w14:paraId="271D061F">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w:t>
      </w:r>
      <w:r>
        <w:rPr>
          <w:rFonts w:ascii="宋体" w:hAnsi="宋体" w:cs="宋体"/>
          <w:color w:val="auto"/>
          <w:kern w:val="0"/>
          <w:sz w:val="24"/>
          <w:szCs w:val="24"/>
        </w:rPr>
        <w:t>4.3</w:t>
      </w:r>
      <w:r>
        <w:rPr>
          <w:rFonts w:hint="eastAsia" w:ascii="宋体" w:hAnsi="宋体" w:cs="宋体"/>
          <w:color w:val="auto"/>
          <w:kern w:val="0"/>
          <w:sz w:val="24"/>
          <w:szCs w:val="24"/>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延长的有效期内继续有效。同意延期的供应商在原投标有效期内应享之权利及应负之责任也相应延续。</w:t>
      </w:r>
    </w:p>
    <w:p w14:paraId="2F947542">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14.</w:t>
      </w:r>
      <w:r>
        <w:rPr>
          <w:rFonts w:ascii="宋体" w:hAnsi="宋体" w:cs="宋体"/>
          <w:color w:val="auto"/>
          <w:kern w:val="0"/>
          <w:sz w:val="24"/>
          <w:szCs w:val="24"/>
        </w:rPr>
        <w:t>4</w:t>
      </w:r>
      <w:r>
        <w:rPr>
          <w:rFonts w:hint="eastAsia" w:ascii="宋体" w:hAnsi="宋体" w:cs="宋体"/>
          <w:color w:val="auto"/>
          <w:kern w:val="0"/>
          <w:sz w:val="24"/>
          <w:szCs w:val="24"/>
        </w:rPr>
        <w:t>成交供应商的投标文件作为项目合同的附件，其有效期至成交供应商全部合同义务履行完毕为止。</w:t>
      </w:r>
    </w:p>
    <w:p w14:paraId="2C074C27">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15、投标文件构成</w:t>
      </w:r>
    </w:p>
    <w:p w14:paraId="530B262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15.1投标文件的构成应符合法律法规及采购文件的要求。</w:t>
      </w:r>
    </w:p>
    <w:p w14:paraId="21A40870">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15.2供应商应当按照采购文件的要求编制投标文件。投标文件应当对采购文件提出的要求和条件作出明确响应。</w:t>
      </w:r>
    </w:p>
    <w:p w14:paraId="25D1A7E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15.3投标文件由资格证明材料、符合性证明材料、其他材料等组成。</w:t>
      </w:r>
    </w:p>
    <w:p w14:paraId="0AEC6FF5">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15.4供应商根据采购文件的规定和采购项目的实际情况，拟在成交后将成交项目的非主体、非关键性工作分包的，应当在投标文件中载明分包承担主体，分包承担主体应当具备相应资质条件且不得再次分包。</w:t>
      </w:r>
    </w:p>
    <w:p w14:paraId="0634AD3D">
      <w:pP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15.5供应商登录“全国公共资源交易平台（河南省·许昌市）”下载“新点投标文件制作软件（河南省版）”的最新版本，按所响应标段采购文件的要求制作电子响应文件。一个标段对应生成2份电子响应文件（后缀格式为.XCSTF和.nXCSTF）,其中后缀格式为“.XCSTF”的加密电子响应文件用于上传至交易系统中投标。</w:t>
      </w:r>
    </w:p>
    <w:p w14:paraId="09B15F33">
      <w:pPr>
        <w:autoSpaceDE w:val="0"/>
        <w:autoSpaceDN w:val="0"/>
        <w:spacing w:line="360" w:lineRule="auto"/>
        <w:ind w:firstLine="482" w:firstLineChars="200"/>
        <w:jc w:val="left"/>
        <w:rPr>
          <w:rFonts w:ascii="宋体" w:hAnsi="宋体"/>
          <w:color w:val="auto"/>
          <w:sz w:val="24"/>
          <w:szCs w:val="24"/>
        </w:rPr>
      </w:pPr>
      <w:r>
        <w:rPr>
          <w:rFonts w:hint="eastAsia" w:ascii="宋体" w:hAnsi="宋体" w:cs="宋体"/>
          <w:b/>
          <w:bCs/>
          <w:color w:val="auto"/>
          <w:kern w:val="0"/>
          <w:sz w:val="24"/>
          <w:szCs w:val="24"/>
        </w:rPr>
        <w:t>15.6电子响应文件制作技术咨询：0374-2961598；清单技术支持：18236016896（如涉及）；</w:t>
      </w:r>
    </w:p>
    <w:p w14:paraId="6B4EE9BA">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16、投标文件格式</w:t>
      </w:r>
    </w:p>
    <w:p w14:paraId="74CC415F">
      <w:pPr>
        <w:autoSpaceDE w:val="0"/>
        <w:autoSpaceDN w:val="0"/>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16.1</w:t>
      </w:r>
      <w:r>
        <w:rPr>
          <w:rStyle w:val="70"/>
          <w:rFonts w:hint="eastAsia" w:ascii="宋体" w:hAnsi="宋体"/>
          <w:color w:val="auto"/>
          <w:sz w:val="24"/>
          <w:szCs w:val="24"/>
        </w:rPr>
        <w:t>投标文件应参照招标文</w:t>
      </w:r>
      <w:r>
        <w:rPr>
          <w:rFonts w:hint="eastAsia" w:ascii="宋体" w:hAnsi="宋体" w:cs="宋体"/>
          <w:color w:val="auto"/>
          <w:kern w:val="0"/>
          <w:sz w:val="24"/>
          <w:szCs w:val="24"/>
        </w:rPr>
        <w:t>件第八章（投标文件有关格式）的内容要求、编排顺序和格式要求，投标人应按照以上要求以A4幅将投标文件编上唯一的连贯页码，并在投标文件封面上注明：所投项目名称、项目编号、投标人名称、日期等字样。</w:t>
      </w:r>
    </w:p>
    <w:p w14:paraId="05BE5F48">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16.2供应商应按采购文件提供的格式编写投标文件。采购文件未提供标准格式的供应商可自行拟定。</w:t>
      </w:r>
    </w:p>
    <w:p w14:paraId="7196BB27">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17、投标保证金：</w:t>
      </w:r>
      <w:r>
        <w:rPr>
          <w:rFonts w:hint="eastAsia" w:ascii="宋体" w:hAnsi="宋体" w:cs="仿宋_GB2312"/>
          <w:color w:val="auto"/>
          <w:sz w:val="24"/>
          <w:szCs w:val="24"/>
        </w:rPr>
        <w:t>按照河南省《关于优化政府采购营商环境有关问题的通知》（豫财购（2019）4号文）的要求，</w:t>
      </w:r>
      <w:r>
        <w:rPr>
          <w:rFonts w:hint="eastAsia" w:ascii="宋体" w:hAnsi="宋体" w:cs="仿宋_GB2312"/>
          <w:b/>
          <w:bCs/>
          <w:color w:val="auto"/>
          <w:sz w:val="24"/>
          <w:szCs w:val="24"/>
        </w:rPr>
        <w:t>不收取投标保证金。</w:t>
      </w:r>
      <w:r>
        <w:rPr>
          <w:rFonts w:hint="eastAsia" w:ascii="宋体" w:hAnsi="宋体" w:cs="仿宋_GB2312"/>
          <w:color w:val="auto"/>
          <w:sz w:val="24"/>
          <w:szCs w:val="24"/>
          <w:lang w:val="zh-CN"/>
        </w:rPr>
        <w:t>供应商应提供投标承诺函（按照招标文件第八章</w:t>
      </w:r>
      <w:r>
        <w:rPr>
          <w:rFonts w:hint="eastAsia" w:ascii="宋体" w:hAnsi="宋体" w:cs="仿宋_GB2312"/>
          <w:color w:val="auto"/>
          <w:sz w:val="24"/>
          <w:szCs w:val="24"/>
        </w:rPr>
        <w:t>3.4格式填写</w:t>
      </w:r>
      <w:r>
        <w:rPr>
          <w:rFonts w:hint="eastAsia" w:ascii="宋体" w:hAnsi="宋体" w:cs="仿宋_GB2312"/>
          <w:color w:val="auto"/>
          <w:sz w:val="24"/>
          <w:szCs w:val="24"/>
          <w:lang w:val="zh-CN"/>
        </w:rPr>
        <w:t>）。</w:t>
      </w:r>
    </w:p>
    <w:p w14:paraId="10B0AF26">
      <w:pPr>
        <w:pStyle w:val="48"/>
        <w:autoSpaceDE w:val="0"/>
        <w:autoSpaceDN w:val="0"/>
        <w:spacing w:line="360" w:lineRule="auto"/>
        <w:ind w:left="420" w:hanging="420" w:firstLineChars="0"/>
        <w:contextualSpacing/>
        <w:rPr>
          <w:rFonts w:ascii="宋体" w:hAnsi="宋体" w:cs="宋体"/>
          <w:b/>
          <w:color w:val="auto"/>
          <w:kern w:val="0"/>
          <w:sz w:val="24"/>
          <w:szCs w:val="24"/>
        </w:rPr>
      </w:pPr>
      <w:r>
        <w:rPr>
          <w:rFonts w:hint="eastAsia" w:ascii="宋体" w:hAnsi="宋体" w:cs="宋体"/>
          <w:b/>
          <w:color w:val="auto"/>
          <w:kern w:val="0"/>
          <w:sz w:val="24"/>
          <w:szCs w:val="24"/>
        </w:rPr>
        <w:t>18、采购文件的数量和签署盖章</w:t>
      </w:r>
    </w:p>
    <w:p w14:paraId="14192448">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18.1供应商应提交投标文件份数见“供应商须知前附表”。</w:t>
      </w:r>
    </w:p>
    <w:p w14:paraId="1C7A6A6D">
      <w:pPr>
        <w:pStyle w:val="48"/>
        <w:autoSpaceDE w:val="0"/>
        <w:autoSpaceDN w:val="0"/>
        <w:spacing w:line="360" w:lineRule="auto"/>
        <w:ind w:firstLine="420" w:firstLineChars="0"/>
        <w:contextualSpacing/>
        <w:rPr>
          <w:rFonts w:ascii="宋体" w:hAnsi="宋体" w:cs="宋体"/>
          <w:color w:val="auto"/>
          <w:kern w:val="0"/>
          <w:sz w:val="24"/>
          <w:szCs w:val="24"/>
        </w:rPr>
      </w:pPr>
      <w:r>
        <w:rPr>
          <w:rFonts w:hint="eastAsia" w:ascii="宋体" w:hAnsi="宋体" w:cs="宋体"/>
          <w:color w:val="auto"/>
          <w:kern w:val="0"/>
          <w:sz w:val="24"/>
          <w:szCs w:val="24"/>
        </w:rPr>
        <w:t>18.2在采购文件中已明示需盖章及签名之处，电子投标文件应按采购文件要求加盖供应商电子印章和法人电子印章或授权代表电子印章。</w:t>
      </w:r>
    </w:p>
    <w:p w14:paraId="1735A23F">
      <w:pPr>
        <w:tabs>
          <w:tab w:val="left" w:pos="1260"/>
        </w:tabs>
        <w:autoSpaceDE w:val="0"/>
        <w:autoSpaceDN w:val="0"/>
        <w:spacing w:line="360" w:lineRule="auto"/>
        <w:contextualSpacing/>
        <w:jc w:val="center"/>
        <w:rPr>
          <w:rFonts w:ascii="宋体" w:hAnsi="宋体" w:cs="宋体"/>
          <w:b/>
          <w:color w:val="auto"/>
          <w:kern w:val="0"/>
          <w:sz w:val="24"/>
          <w:szCs w:val="24"/>
        </w:rPr>
      </w:pPr>
    </w:p>
    <w:p w14:paraId="62D7C595">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四、投标文件的提交</w:t>
      </w:r>
    </w:p>
    <w:p w14:paraId="5B444620">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19</w:t>
      </w:r>
      <w:r>
        <w:rPr>
          <w:rFonts w:hint="eastAsia" w:ascii="宋体" w:hAnsi="宋体" w:cs="宋体"/>
          <w:b/>
          <w:color w:val="auto"/>
          <w:kern w:val="0"/>
          <w:sz w:val="24"/>
          <w:szCs w:val="24"/>
        </w:rPr>
        <w:t>、投标截止时间</w:t>
      </w:r>
    </w:p>
    <w:p w14:paraId="02D81C3D">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19.1</w:t>
      </w:r>
      <w:r>
        <w:rPr>
          <w:rFonts w:hint="eastAsia" w:ascii="宋体" w:hAnsi="宋体" w:cs="宋体"/>
          <w:color w:val="auto"/>
          <w:kern w:val="0"/>
          <w:sz w:val="24"/>
          <w:szCs w:val="24"/>
        </w:rPr>
        <w:t>供应商必须在“投标邀请”和“供应商须知前附表”中规定的响应截止时间前，将加密电子响应文件（后缀格式为.XCSTF）通过“全国公共资源交易平台（河南省·许昌市）”公共资源交易系统成功上传。</w:t>
      </w:r>
    </w:p>
    <w:p w14:paraId="1829CC7A">
      <w:pPr>
        <w:autoSpaceDE w:val="0"/>
        <w:autoSpaceDN w:val="0"/>
        <w:spacing w:line="360" w:lineRule="auto"/>
        <w:ind w:left="198" w:firstLine="240" w:firstLineChars="100"/>
        <w:contextualSpacing/>
        <w:rPr>
          <w:rFonts w:ascii="宋体" w:hAnsi="宋体" w:cs="宋体"/>
          <w:color w:val="auto"/>
          <w:kern w:val="0"/>
          <w:sz w:val="24"/>
          <w:szCs w:val="24"/>
        </w:rPr>
      </w:pPr>
      <w:r>
        <w:rPr>
          <w:rFonts w:ascii="宋体" w:hAnsi="宋体" w:cs="宋体"/>
          <w:color w:val="auto"/>
          <w:kern w:val="0"/>
          <w:sz w:val="24"/>
          <w:szCs w:val="24"/>
        </w:rPr>
        <w:t>19.2</w:t>
      </w:r>
      <w:r>
        <w:rPr>
          <w:rFonts w:hint="eastAsia" w:ascii="宋体" w:hAnsi="宋体" w:cs="宋体"/>
          <w:color w:val="auto"/>
          <w:kern w:val="0"/>
          <w:sz w:val="24"/>
          <w:szCs w:val="24"/>
        </w:rPr>
        <w:t>招标人可以按本须知第10条规定，通过修改招标文件自行决定酌情延长投标截止期。在此情况下，招标人和供应商受投标截止期制约的所有权利和义务均应延长至新的截止日期和时间。供应商按招标人修改通知规定的时间提交投标文件。</w:t>
      </w:r>
    </w:p>
    <w:p w14:paraId="6FD525B4">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0</w:t>
      </w:r>
      <w:r>
        <w:rPr>
          <w:rFonts w:hint="eastAsia" w:ascii="宋体" w:hAnsi="宋体" w:cs="宋体"/>
          <w:b/>
          <w:color w:val="auto"/>
          <w:kern w:val="0"/>
          <w:sz w:val="24"/>
          <w:szCs w:val="24"/>
        </w:rPr>
        <w:t>、迟交的投标文件</w:t>
      </w:r>
    </w:p>
    <w:p w14:paraId="2DF08770">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投标截止时间之后上传的投标文件，招标人将拒绝接收。</w:t>
      </w:r>
    </w:p>
    <w:p w14:paraId="0C231B51">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1</w:t>
      </w:r>
      <w:r>
        <w:rPr>
          <w:rFonts w:hint="eastAsia" w:ascii="宋体" w:hAnsi="宋体" w:cs="宋体"/>
          <w:b/>
          <w:color w:val="auto"/>
          <w:kern w:val="0"/>
          <w:sz w:val="24"/>
          <w:szCs w:val="24"/>
        </w:rPr>
        <w:t>、投标文件的修改和撤回</w:t>
      </w:r>
    </w:p>
    <w:p w14:paraId="6FE616B8">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1</w:t>
      </w:r>
      <w:r>
        <w:rPr>
          <w:rFonts w:hint="eastAsia" w:ascii="宋体" w:hAnsi="宋体" w:cs="宋体"/>
          <w:color w:val="auto"/>
          <w:kern w:val="0"/>
          <w:sz w:val="24"/>
          <w:szCs w:val="24"/>
        </w:rPr>
        <w:t>.1</w:t>
      </w:r>
      <w:r>
        <w:rPr>
          <w:rFonts w:ascii="宋体" w:hAnsi="宋体" w:cs="宋体"/>
          <w:color w:val="auto"/>
          <w:kern w:val="0"/>
          <w:sz w:val="24"/>
          <w:szCs w:val="24"/>
        </w:rPr>
        <w:t>.</w:t>
      </w:r>
      <w:r>
        <w:rPr>
          <w:rFonts w:hint="eastAsia" w:ascii="宋体" w:hAnsi="宋体" w:cs="宋体"/>
          <w:color w:val="auto"/>
          <w:kern w:val="0"/>
          <w:sz w:val="24"/>
          <w:szCs w:val="24"/>
        </w:rPr>
        <w:t>供应商应当在投标截止时间前完成电子投标文件的提交，可以补充、修改或撤回。投标截止时间前未完成电子投标文件提交、取得“投标文件提交回执单”的，视为撤回投标文件。</w:t>
      </w:r>
    </w:p>
    <w:p w14:paraId="59B3D152">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21.2.</w:t>
      </w:r>
      <w:r>
        <w:rPr>
          <w:rFonts w:hint="eastAsia" w:ascii="宋体" w:hAnsi="宋体" w:cs="宋体"/>
          <w:color w:val="auto"/>
          <w:kern w:val="0"/>
          <w:sz w:val="24"/>
          <w:szCs w:val="24"/>
        </w:rPr>
        <w:t>投标人补充、修改的内容并作为投标文件的组成部分。补充或修改应当按招标文件要求签署、盖章、提交，并应注明“修改”或“补充”字样。</w:t>
      </w:r>
    </w:p>
    <w:p w14:paraId="7A408711">
      <w:pPr>
        <w:autoSpaceDE w:val="0"/>
        <w:autoSpaceDN w:val="0"/>
        <w:spacing w:line="360" w:lineRule="auto"/>
        <w:ind w:firstLine="480" w:firstLineChars="200"/>
        <w:jc w:val="left"/>
        <w:rPr>
          <w:rFonts w:ascii="宋体" w:hAnsi="宋体" w:cs="仿宋_GB2312"/>
          <w:color w:val="auto"/>
          <w:sz w:val="24"/>
          <w:szCs w:val="24"/>
          <w:lang w:val="zh-CN"/>
        </w:rPr>
      </w:pPr>
      <w:r>
        <w:rPr>
          <w:rFonts w:ascii="宋体" w:hAnsi="宋体" w:cs="宋体"/>
          <w:color w:val="auto"/>
          <w:kern w:val="0"/>
          <w:sz w:val="24"/>
          <w:szCs w:val="24"/>
        </w:rPr>
        <w:t>21.</w:t>
      </w:r>
      <w:r>
        <w:rPr>
          <w:rFonts w:hint="eastAsia" w:ascii="宋体" w:hAnsi="宋体" w:cs="宋体"/>
          <w:color w:val="auto"/>
          <w:kern w:val="0"/>
          <w:sz w:val="24"/>
          <w:szCs w:val="24"/>
        </w:rPr>
        <w:t>3</w:t>
      </w:r>
      <w:r>
        <w:rPr>
          <w:rFonts w:ascii="宋体" w:hAnsi="宋体" w:cs="宋体"/>
          <w:color w:val="auto"/>
          <w:kern w:val="0"/>
          <w:sz w:val="24"/>
          <w:szCs w:val="24"/>
        </w:rPr>
        <w:t>.</w:t>
      </w:r>
      <w:r>
        <w:rPr>
          <w:rFonts w:hint="eastAsia" w:ascii="宋体" w:hAnsi="宋体" w:cs="宋体"/>
          <w:color w:val="auto"/>
          <w:kern w:val="0"/>
          <w:sz w:val="24"/>
          <w:szCs w:val="24"/>
        </w:rPr>
        <w:t>投标人不得在投标</w:t>
      </w:r>
      <w:r>
        <w:rPr>
          <w:rFonts w:hint="eastAsia" w:ascii="宋体" w:hAnsi="宋体" w:cs="仿宋_GB2312"/>
          <w:color w:val="auto"/>
          <w:sz w:val="24"/>
          <w:szCs w:val="24"/>
          <w:lang w:val="zh-CN"/>
        </w:rPr>
        <w:t>有效期内撤销投标文件，否则投标人将承担违背投标承诺函的责任追究。</w:t>
      </w:r>
    </w:p>
    <w:p w14:paraId="5D224833">
      <w:pPr>
        <w:autoSpaceDE w:val="0"/>
        <w:autoSpaceDN w:val="0"/>
        <w:spacing w:line="360" w:lineRule="auto"/>
        <w:contextualSpacing/>
        <w:rPr>
          <w:color w:val="auto"/>
        </w:rPr>
      </w:pPr>
      <w:r>
        <w:rPr>
          <w:rFonts w:hint="eastAsia" w:ascii="宋体" w:hAnsi="宋体" w:cs="宋体"/>
          <w:b/>
          <w:color w:val="auto"/>
          <w:kern w:val="0"/>
          <w:sz w:val="24"/>
          <w:szCs w:val="24"/>
        </w:rPr>
        <w:t>2</w:t>
      </w:r>
      <w:r>
        <w:rPr>
          <w:rFonts w:ascii="宋体" w:hAnsi="宋体" w:cs="宋体"/>
          <w:b/>
          <w:color w:val="auto"/>
          <w:kern w:val="0"/>
          <w:sz w:val="24"/>
          <w:szCs w:val="24"/>
        </w:rPr>
        <w:t>2</w:t>
      </w:r>
      <w:r>
        <w:rPr>
          <w:rFonts w:hint="eastAsia" w:ascii="宋体" w:hAnsi="宋体" w:cs="宋体"/>
          <w:b/>
          <w:color w:val="auto"/>
          <w:kern w:val="0"/>
          <w:sz w:val="24"/>
          <w:szCs w:val="24"/>
        </w:rPr>
        <w:t>、除投标人须知前附表另有规定外，投标人所提交的电子投标文件不予退还。</w:t>
      </w:r>
    </w:p>
    <w:p w14:paraId="60ECBBE2">
      <w:pPr>
        <w:tabs>
          <w:tab w:val="left" w:pos="1260"/>
        </w:tabs>
        <w:autoSpaceDE w:val="0"/>
        <w:autoSpaceDN w:val="0"/>
        <w:spacing w:line="360" w:lineRule="auto"/>
        <w:jc w:val="center"/>
        <w:rPr>
          <w:rFonts w:ascii="宋体" w:hAnsi="宋体" w:cs="宋体"/>
          <w:b/>
          <w:color w:val="auto"/>
          <w:kern w:val="0"/>
          <w:sz w:val="24"/>
          <w:szCs w:val="24"/>
        </w:rPr>
      </w:pPr>
    </w:p>
    <w:p w14:paraId="73A828FC">
      <w:pPr>
        <w:tabs>
          <w:tab w:val="left" w:pos="1260"/>
        </w:tabs>
        <w:autoSpaceDE w:val="0"/>
        <w:autoSpaceDN w:val="0"/>
        <w:spacing w:line="360" w:lineRule="auto"/>
        <w:jc w:val="center"/>
        <w:rPr>
          <w:rFonts w:ascii="宋体" w:hAnsi="宋体" w:cs="宋体"/>
          <w:b/>
          <w:color w:val="auto"/>
          <w:kern w:val="0"/>
          <w:sz w:val="24"/>
          <w:szCs w:val="24"/>
        </w:rPr>
      </w:pPr>
      <w:r>
        <w:rPr>
          <w:rFonts w:hint="eastAsia" w:ascii="宋体" w:hAnsi="宋体" w:cs="宋体"/>
          <w:b/>
          <w:color w:val="auto"/>
          <w:kern w:val="0"/>
          <w:sz w:val="24"/>
          <w:szCs w:val="24"/>
        </w:rPr>
        <w:t>五、开标和评标</w:t>
      </w:r>
    </w:p>
    <w:p w14:paraId="7182834E">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23</w:t>
      </w:r>
      <w:r>
        <w:rPr>
          <w:rFonts w:hint="eastAsia" w:ascii="宋体" w:hAnsi="宋体" w:cs="宋体"/>
          <w:b/>
          <w:color w:val="auto"/>
          <w:kern w:val="0"/>
          <w:sz w:val="24"/>
          <w:szCs w:val="24"/>
        </w:rPr>
        <w:t>、开标</w:t>
      </w:r>
    </w:p>
    <w:p w14:paraId="7D00E98F">
      <w:pPr>
        <w:autoSpaceDE w:val="0"/>
        <w:autoSpaceDN w:val="0"/>
        <w:spacing w:line="360" w:lineRule="auto"/>
        <w:ind w:firstLine="480" w:firstLineChars="200"/>
        <w:jc w:val="left"/>
        <w:rPr>
          <w:rFonts w:ascii="宋体" w:hAnsi="宋体" w:cs="宋体"/>
          <w:color w:val="auto"/>
          <w:kern w:val="0"/>
          <w:sz w:val="24"/>
          <w:szCs w:val="24"/>
        </w:rPr>
      </w:pPr>
      <w:r>
        <w:rPr>
          <w:rStyle w:val="70"/>
          <w:rFonts w:hint="eastAsia" w:ascii="宋体" w:hAnsi="宋体" w:cs="Times New Roman"/>
          <w:color w:val="auto"/>
          <w:sz w:val="24"/>
          <w:szCs w:val="24"/>
        </w:rPr>
        <w:t>2</w:t>
      </w:r>
      <w:r>
        <w:rPr>
          <w:rStyle w:val="70"/>
          <w:rFonts w:hint="eastAsia" w:ascii="宋体" w:hAnsi="宋体" w:cs="Times New Roman"/>
          <w:color w:val="auto"/>
          <w:sz w:val="24"/>
          <w:szCs w:val="24"/>
          <w:lang w:val="zh-CN"/>
        </w:rPr>
        <w:t>3.1本项目采用“远程</w:t>
      </w:r>
      <w:r>
        <w:rPr>
          <w:rFonts w:hint="eastAsia" w:ascii="宋体" w:hAnsi="宋体" w:cs="宋体"/>
          <w:color w:val="auto"/>
          <w:kern w:val="0"/>
          <w:sz w:val="24"/>
          <w:szCs w:val="24"/>
        </w:rPr>
        <w:t>不见面”开标方式,供应商应当在开标时间前使用CA数字证书登录交易系统远程开标大厅在线准时参加开标活动并进行投标文件远程解密、在线提异议（质疑）等；采购代理机构在开标时间前到达指定地点使用CA数字证书登录交易系统远程开标大厅，做好开标前各项准备。</w:t>
      </w:r>
    </w:p>
    <w:p w14:paraId="29285AC3">
      <w:pPr>
        <w:autoSpaceDE w:val="0"/>
        <w:autoSpaceDN w:val="0"/>
        <w:spacing w:line="360" w:lineRule="auto"/>
        <w:ind w:firstLine="480" w:firstLineChars="200"/>
        <w:jc w:val="left"/>
        <w:rPr>
          <w:rStyle w:val="70"/>
          <w:rFonts w:cs="黑体"/>
          <w:color w:val="auto"/>
          <w:lang w:val="zh-CN"/>
        </w:rPr>
      </w:pPr>
      <w:r>
        <w:rPr>
          <w:rFonts w:hint="eastAsia" w:ascii="宋体" w:hAnsi="宋体" w:cs="宋体"/>
          <w:color w:val="auto"/>
          <w:kern w:val="0"/>
          <w:sz w:val="24"/>
          <w:szCs w:val="24"/>
        </w:rPr>
        <w:t>23.2</w:t>
      </w:r>
      <w:r>
        <w:rPr>
          <w:rFonts w:hint="eastAsia" w:ascii="宋体" w:hAnsi="宋体" w:cs="宋体"/>
          <w:bCs/>
          <w:color w:val="auto"/>
          <w:kern w:val="0"/>
          <w:sz w:val="24"/>
          <w:szCs w:val="24"/>
        </w:rPr>
        <w:t>由代理机构进行公布投标人、开始投标解密、标书导入、唱标等操作，并开启群聊功能；供应商进行电子响应文件的解密。待标书导入后，供应商点击页面上方进度条的“唱标”可查看开标结果。</w:t>
      </w:r>
      <w:r>
        <w:rPr>
          <w:rFonts w:hint="eastAsia" w:ascii="宋体" w:hAnsi="宋体" w:cs="宋体"/>
          <w:bCs/>
          <w:color w:val="auto"/>
          <w:kern w:val="0"/>
          <w:sz w:val="24"/>
          <w:szCs w:val="24"/>
          <w:lang w:val="zh-CN"/>
        </w:rPr>
        <w:t>供应商未进行解密或未按规定进行解密的，视为放弃投标。</w:t>
      </w:r>
    </w:p>
    <w:p w14:paraId="243BA327">
      <w:pPr>
        <w:autoSpaceDE w:val="0"/>
        <w:autoSpaceDN w:val="0"/>
        <w:spacing w:line="360" w:lineRule="auto"/>
        <w:ind w:firstLine="480" w:firstLineChars="200"/>
        <w:jc w:val="left"/>
        <w:rPr>
          <w:rFonts w:cs="宋体"/>
          <w:color w:val="auto"/>
          <w:kern w:val="0"/>
        </w:rPr>
      </w:pPr>
      <w:r>
        <w:rPr>
          <w:rStyle w:val="70"/>
          <w:rFonts w:hint="eastAsia" w:ascii="宋体" w:hAnsi="宋体" w:cs="Times New Roman"/>
          <w:color w:val="auto"/>
          <w:sz w:val="24"/>
          <w:szCs w:val="24"/>
          <w:lang w:val="zh-CN"/>
        </w:rPr>
        <w:t>23.3解密完成后，供应商</w:t>
      </w:r>
      <w:r>
        <w:rPr>
          <w:rFonts w:hint="eastAsia" w:ascii="宋体" w:hAnsi="宋体" w:cs="宋体"/>
          <w:color w:val="auto"/>
          <w:kern w:val="0"/>
          <w:sz w:val="24"/>
          <w:szCs w:val="24"/>
        </w:rPr>
        <w:t>可点击“开标记录”查看各供应商投标报价等信息，对开标过程或有关内容有异议（质疑）的，按照全国公共资源交易平台（河南省·许昌市）操作说明，在线询问和发起异议（质疑），采购人（代理机构）在线进行回复。</w:t>
      </w:r>
    </w:p>
    <w:p w14:paraId="66A1A39F">
      <w:pPr>
        <w:widowControl/>
        <w:spacing w:line="360" w:lineRule="auto"/>
        <w:ind w:firstLine="480" w:firstLineChars="200"/>
        <w:jc w:val="left"/>
        <w:rPr>
          <w:rStyle w:val="70"/>
          <w:rFonts w:ascii="宋体" w:hAnsi="宋体"/>
          <w:color w:val="auto"/>
          <w:sz w:val="24"/>
          <w:szCs w:val="24"/>
          <w:lang w:val="zh-CN"/>
        </w:rPr>
      </w:pPr>
      <w:r>
        <w:rPr>
          <w:rFonts w:hint="eastAsia" w:ascii="宋体" w:hAnsi="宋体" w:cs="宋体"/>
          <w:color w:val="auto"/>
          <w:kern w:val="0"/>
          <w:sz w:val="24"/>
          <w:szCs w:val="24"/>
        </w:rPr>
        <w:t>23.4如无供应商提出异议，</w:t>
      </w:r>
      <w:r>
        <w:rPr>
          <w:rFonts w:hint="eastAsia" w:ascii="宋体" w:hAnsi="宋体" w:cs="宋体"/>
          <w:bCs/>
          <w:color w:val="auto"/>
          <w:kern w:val="0"/>
          <w:sz w:val="24"/>
          <w:szCs w:val="24"/>
        </w:rPr>
        <w:t>视同认可开标结果，</w:t>
      </w:r>
      <w:r>
        <w:rPr>
          <w:rFonts w:hint="eastAsia" w:ascii="宋体" w:hAnsi="宋体" w:cs="宋体"/>
          <w:color w:val="auto"/>
          <w:kern w:val="0"/>
          <w:sz w:val="24"/>
          <w:szCs w:val="24"/>
        </w:rPr>
        <w:t>远程</w:t>
      </w:r>
      <w:r>
        <w:rPr>
          <w:rStyle w:val="70"/>
          <w:rFonts w:hint="eastAsia" w:ascii="宋体" w:hAnsi="宋体" w:cs="Times New Roman"/>
          <w:color w:val="auto"/>
          <w:sz w:val="24"/>
          <w:szCs w:val="24"/>
          <w:lang w:val="zh-CN"/>
        </w:rPr>
        <w:t>不见面开标活动结束。</w:t>
      </w:r>
    </w:p>
    <w:p w14:paraId="5F6D79E3">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4</w:t>
      </w:r>
      <w:r>
        <w:rPr>
          <w:rFonts w:hint="eastAsia" w:ascii="宋体" w:hAnsi="宋体" w:cs="宋体"/>
          <w:b/>
          <w:color w:val="auto"/>
          <w:kern w:val="0"/>
          <w:sz w:val="24"/>
          <w:szCs w:val="24"/>
        </w:rPr>
        <w:t>、资格审查</w:t>
      </w:r>
    </w:p>
    <w:p w14:paraId="6C136560">
      <w:pPr>
        <w:autoSpaceDE w:val="0"/>
        <w:autoSpaceDN w:val="0"/>
        <w:spacing w:line="360" w:lineRule="auto"/>
        <w:ind w:firstLine="480" w:firstLineChars="200"/>
        <w:contextualSpacing/>
        <w:rPr>
          <w:rFonts w:ascii="宋体" w:hAnsi="宋体" w:cs="宋体"/>
          <w:b/>
          <w:color w:val="auto"/>
          <w:kern w:val="0"/>
          <w:sz w:val="24"/>
          <w:szCs w:val="24"/>
        </w:rPr>
      </w:pPr>
      <w:r>
        <w:rPr>
          <w:rFonts w:hint="eastAsia" w:ascii="宋体" w:hAnsi="宋体" w:cs="宋体"/>
          <w:color w:val="auto"/>
          <w:kern w:val="0"/>
          <w:sz w:val="24"/>
          <w:szCs w:val="24"/>
        </w:rPr>
        <w:t>开标结束后，采购人代表1人依法对投标人的资格进行审查。合格投标人不足3家的，不得评标。</w:t>
      </w:r>
    </w:p>
    <w:p w14:paraId="6CD4C8CE">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5</w:t>
      </w:r>
      <w:r>
        <w:rPr>
          <w:rFonts w:hint="eastAsia" w:ascii="宋体" w:hAnsi="宋体" w:cs="宋体"/>
          <w:b/>
          <w:color w:val="auto"/>
          <w:kern w:val="0"/>
          <w:sz w:val="24"/>
          <w:szCs w:val="24"/>
        </w:rPr>
        <w:t>、评标委员会的组成</w:t>
      </w:r>
    </w:p>
    <w:p w14:paraId="29C60D66">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r>
        <w:rPr>
          <w:rFonts w:hint="eastAsia" w:ascii="宋体" w:hAnsi="宋体" w:cs="宋体"/>
          <w:color w:val="auto"/>
          <w:kern w:val="0"/>
          <w:sz w:val="24"/>
          <w:szCs w:val="24"/>
        </w:rPr>
        <w:t>.1招标人将依法组建评标委员会，评标委员会由采购人代表1人和评审专家4人组成，成员人数应当为5人，其中评审专家的人数不少于评标委员会成员总数的三分之二。评审专家依法从政府采购评审专家库中随机抽取。</w:t>
      </w:r>
    </w:p>
    <w:p w14:paraId="05B4583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r>
        <w:rPr>
          <w:rFonts w:hint="eastAsia" w:ascii="宋体" w:hAnsi="宋体" w:cs="宋体"/>
          <w:color w:val="auto"/>
          <w:kern w:val="0"/>
          <w:sz w:val="24"/>
          <w:szCs w:val="24"/>
        </w:rPr>
        <w:t>.1.1  招标人将依法组建评标委员会，评标委员会由评审专家组成，成员人数应当为5人以上单数。评审专家依法从政府采购评审专家库中随机抽取。</w:t>
      </w:r>
    </w:p>
    <w:p w14:paraId="0D5BF2C1">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r>
        <w:rPr>
          <w:rFonts w:hint="eastAsia" w:ascii="宋体" w:hAnsi="宋体" w:cs="宋体"/>
          <w:color w:val="auto"/>
          <w:kern w:val="0"/>
          <w:sz w:val="24"/>
          <w:szCs w:val="24"/>
        </w:rPr>
        <w:t>.1.2  采购项目符合下列情形之一的，评标委员会成员人数应当为7人以上单数：</w:t>
      </w:r>
    </w:p>
    <w:p w14:paraId="2D0B086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（1）采购预算金额在1000万元以上；</w:t>
      </w:r>
    </w:p>
    <w:p w14:paraId="619AE00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（2）技术复杂；</w:t>
      </w:r>
    </w:p>
    <w:p w14:paraId="4C81CD20">
      <w:pPr>
        <w:numPr>
          <w:ilvl w:val="0"/>
          <w:numId w:val="10"/>
        </w:numPr>
        <w:autoSpaceDE w:val="0"/>
        <w:autoSpaceDN w:val="0"/>
        <w:spacing w:line="360" w:lineRule="auto"/>
        <w:ind w:left="0"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社会影响较大。</w:t>
      </w:r>
    </w:p>
    <w:p w14:paraId="2953E4F1">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 xml:space="preserve">5.1.3 </w:t>
      </w:r>
      <w:r>
        <w:rPr>
          <w:rFonts w:hint="eastAsia" w:ascii="宋体" w:hAnsi="宋体" w:cs="宋体"/>
          <w:color w:val="auto"/>
          <w:kern w:val="0"/>
          <w:sz w:val="24"/>
          <w:szCs w:val="24"/>
        </w:rPr>
        <w:t>评审专家对本单位的采购项目只能作为采购人代表参与评标。采购代理机构工作人员不得参加由本机构代理的政府采购项目的评标。</w:t>
      </w:r>
    </w:p>
    <w:p w14:paraId="0CF7ED5F">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 xml:space="preserve">5.1.4 </w:t>
      </w:r>
      <w:r>
        <w:rPr>
          <w:rFonts w:hint="eastAsia" w:ascii="宋体" w:hAnsi="宋体" w:cs="宋体"/>
          <w:color w:val="auto"/>
          <w:kern w:val="0"/>
          <w:sz w:val="24"/>
          <w:szCs w:val="24"/>
        </w:rPr>
        <w:t>评审专家与投标人存在下列利害关系之一的,应当回避:</w:t>
      </w:r>
    </w:p>
    <w:p w14:paraId="5813B714">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（1）参加采购活动前三年内,与供应商存在劳动关系,或者担任过供应商的董事、监事,或者是供应商的控股股东或实际控制人；</w:t>
      </w:r>
    </w:p>
    <w:p w14:paraId="463B0ECA">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（2）与供应商的法定代表人或者负责人有夫妻、直系血亲、三代以内旁系血亲或者近姻亲关系；</w:t>
      </w:r>
    </w:p>
    <w:p w14:paraId="51BA4FF3">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（3）与供应商有其他可能影响政府采购活动公平、公正进行的关系。</w:t>
      </w:r>
    </w:p>
    <w:p w14:paraId="558AE4CB">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 xml:space="preserve">5.1.5 </w:t>
      </w:r>
      <w:r>
        <w:rPr>
          <w:rFonts w:hint="eastAsia" w:ascii="宋体" w:hAnsi="宋体" w:cs="宋体"/>
          <w:color w:val="auto"/>
          <w:kern w:val="0"/>
          <w:sz w:val="24"/>
          <w:szCs w:val="24"/>
        </w:rPr>
        <w:t>评审专家发现本人与参加采购活动的供应商有利害关系的,应当主动提出回避。采购人或者代理机构发现评审专家与参加采购活动的供应商有利害关系的,应当要求其回避。</w:t>
      </w:r>
    </w:p>
    <w:p w14:paraId="60F13E67">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r>
        <w:rPr>
          <w:rFonts w:hint="eastAsia" w:ascii="宋体" w:hAnsi="宋体" w:cs="宋体"/>
          <w:color w:val="auto"/>
          <w:kern w:val="0"/>
          <w:sz w:val="24"/>
          <w:szCs w:val="24"/>
        </w:rPr>
        <w:t>.1.6采购人不得担任评标小组长。</w:t>
      </w:r>
    </w:p>
    <w:p w14:paraId="32C93C28">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r>
        <w:rPr>
          <w:rFonts w:hint="eastAsia" w:ascii="宋体" w:hAnsi="宋体" w:cs="宋体"/>
          <w:color w:val="auto"/>
          <w:kern w:val="0"/>
          <w:sz w:val="24"/>
          <w:szCs w:val="24"/>
        </w:rPr>
        <w:t>.1.7采购人可以在评标前说明项目背景和采购需求，说明内容不得含有歧视性、倾向性意见，不得超出招标文件所述范围。说明应当提交书面材料，并随采购文件一并存档。</w:t>
      </w:r>
    </w:p>
    <w:p w14:paraId="2348134E">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5</w:t>
      </w:r>
      <w:r>
        <w:rPr>
          <w:rFonts w:hint="eastAsia" w:ascii="宋体" w:hAnsi="宋体" w:cs="宋体"/>
          <w:color w:val="auto"/>
          <w:kern w:val="0"/>
          <w:sz w:val="24"/>
          <w:szCs w:val="24"/>
        </w:rPr>
        <w:t>.2评标委员会成员名单在评标结果公告前应当保密。</w:t>
      </w:r>
    </w:p>
    <w:p w14:paraId="63155597">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6</w:t>
      </w:r>
      <w:r>
        <w:rPr>
          <w:rFonts w:hint="eastAsia" w:ascii="宋体" w:hAnsi="宋体" w:cs="宋体"/>
          <w:b/>
          <w:color w:val="auto"/>
          <w:kern w:val="0"/>
          <w:sz w:val="24"/>
          <w:szCs w:val="24"/>
        </w:rPr>
        <w:t>、符合性审查</w:t>
      </w:r>
    </w:p>
    <w:p w14:paraId="2A6760CF">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6</w:t>
      </w:r>
      <w:r>
        <w:rPr>
          <w:rFonts w:hint="eastAsia" w:ascii="宋体" w:hAnsi="宋体" w:cs="宋体"/>
          <w:color w:val="auto"/>
          <w:kern w:val="0"/>
          <w:sz w:val="24"/>
          <w:szCs w:val="24"/>
        </w:rPr>
        <w:t>.</w:t>
      </w:r>
      <w:r>
        <w:rPr>
          <w:rFonts w:ascii="宋体" w:hAnsi="宋体" w:cs="宋体"/>
          <w:color w:val="auto"/>
          <w:kern w:val="0"/>
          <w:sz w:val="24"/>
          <w:szCs w:val="24"/>
        </w:rPr>
        <w:t>1</w:t>
      </w:r>
      <w:r>
        <w:rPr>
          <w:rFonts w:hint="eastAsia" w:ascii="宋体" w:hAnsi="宋体" w:cs="宋体"/>
          <w:color w:val="auto"/>
          <w:kern w:val="0"/>
          <w:sz w:val="24"/>
          <w:szCs w:val="24"/>
        </w:rPr>
        <w:t>评标委员会依据有关法律法规和招标文件的规定，对符合资格的投标人的投标文件进行符合性审查，以确定其是否满足招标文件的实质性要求。</w:t>
      </w:r>
    </w:p>
    <w:p w14:paraId="2918495F">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26.2</w:t>
      </w:r>
      <w:r>
        <w:rPr>
          <w:rFonts w:hint="eastAsia" w:ascii="宋体" w:hAnsi="宋体" w:cs="宋体"/>
          <w:color w:val="auto"/>
          <w:kern w:val="0"/>
          <w:sz w:val="24"/>
          <w:szCs w:val="24"/>
        </w:rPr>
        <w:t>审查、评价投标文件是否符合招标文件的商务、技术等实质性要求。</w:t>
      </w:r>
    </w:p>
    <w:p w14:paraId="69133437">
      <w:pPr>
        <w:autoSpaceDE w:val="0"/>
        <w:autoSpaceDN w:val="0"/>
        <w:spacing w:line="360" w:lineRule="auto"/>
        <w:ind w:left="48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6.3</w:t>
      </w:r>
      <w:r>
        <w:rPr>
          <w:rFonts w:hint="eastAsia" w:ascii="宋体" w:hAnsi="宋体" w:cs="宋体"/>
          <w:color w:val="auto"/>
          <w:kern w:val="0"/>
          <w:sz w:val="24"/>
          <w:szCs w:val="24"/>
        </w:rPr>
        <w:t>可要求投标人对投标文件有关事项作出澄清或者说明。</w:t>
      </w:r>
    </w:p>
    <w:p w14:paraId="79708ED0">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2</w:t>
      </w:r>
      <w:r>
        <w:rPr>
          <w:rFonts w:ascii="宋体" w:hAnsi="宋体" w:cs="宋体"/>
          <w:b/>
          <w:color w:val="auto"/>
          <w:kern w:val="0"/>
          <w:sz w:val="24"/>
          <w:szCs w:val="24"/>
        </w:rPr>
        <w:t>7</w:t>
      </w:r>
      <w:r>
        <w:rPr>
          <w:rFonts w:hint="eastAsia" w:ascii="宋体" w:hAnsi="宋体" w:cs="宋体"/>
          <w:b/>
          <w:color w:val="auto"/>
          <w:kern w:val="0"/>
          <w:sz w:val="24"/>
          <w:szCs w:val="24"/>
        </w:rPr>
        <w:t>、投标文件的澄清</w:t>
      </w:r>
    </w:p>
    <w:p w14:paraId="44F94E22">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 xml:space="preserve">7.1 </w:t>
      </w:r>
      <w:r>
        <w:rPr>
          <w:rFonts w:hint="eastAsia" w:ascii="宋体" w:hAnsi="宋体" w:cs="宋体"/>
          <w:color w:val="auto"/>
          <w:kern w:val="0"/>
          <w:sz w:val="24"/>
          <w:szCs w:val="24"/>
        </w:rPr>
        <w:t>对于投标文件中含义不明确、同类问题表述不一致或者有明显文字和计算错误的内容，评标委员会应当以书面形式要求投标人作出必要的澄清、说明或者补正。</w:t>
      </w:r>
    </w:p>
    <w:p w14:paraId="24B3EE31">
      <w:pPr>
        <w:autoSpaceDE w:val="0"/>
        <w:autoSpaceDN w:val="0"/>
        <w:spacing w:line="360" w:lineRule="auto"/>
        <w:ind w:firstLine="480" w:firstLineChars="200"/>
        <w:contextualSpacing/>
        <w:rPr>
          <w:rFonts w:ascii="宋体" w:hAnsi="宋体" w:cs="宋体"/>
          <w:color w:val="auto"/>
          <w:kern w:val="0"/>
          <w:sz w:val="24"/>
          <w:szCs w:val="24"/>
        </w:rPr>
      </w:pPr>
      <w:r>
        <w:rPr>
          <w:rFonts w:ascii="宋体" w:hAnsi="宋体" w:cs="宋体"/>
          <w:color w:val="auto"/>
          <w:kern w:val="0"/>
          <w:sz w:val="24"/>
          <w:szCs w:val="24"/>
        </w:rPr>
        <w:t xml:space="preserve">27.2 </w:t>
      </w:r>
      <w:r>
        <w:rPr>
          <w:rFonts w:hint="eastAsia" w:ascii="宋体" w:hAnsi="宋体" w:cs="宋体"/>
          <w:color w:val="auto"/>
          <w:kern w:val="0"/>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6098935D">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w:t>
      </w:r>
      <w:r>
        <w:rPr>
          <w:rFonts w:ascii="宋体" w:hAnsi="宋体" w:cs="宋体"/>
          <w:color w:val="auto"/>
          <w:kern w:val="0"/>
          <w:sz w:val="24"/>
          <w:szCs w:val="24"/>
        </w:rPr>
        <w:t>7</w:t>
      </w:r>
      <w:r>
        <w:rPr>
          <w:rFonts w:hint="eastAsia" w:ascii="宋体" w:hAnsi="宋体" w:cs="宋体"/>
          <w:color w:val="auto"/>
          <w:kern w:val="0"/>
          <w:sz w:val="24"/>
          <w:szCs w:val="24"/>
        </w:rPr>
        <w:t>.3 投标人的澄清文件是其投标文件的组成部分。</w:t>
      </w:r>
    </w:p>
    <w:p w14:paraId="00A76307">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28</w:t>
      </w:r>
      <w:r>
        <w:rPr>
          <w:rFonts w:hint="eastAsia" w:ascii="宋体" w:hAnsi="宋体" w:cs="宋体"/>
          <w:b/>
          <w:color w:val="auto"/>
          <w:kern w:val="0"/>
          <w:sz w:val="24"/>
          <w:szCs w:val="24"/>
        </w:rPr>
        <w:t>、投标文件报价出现前后不一致的修正</w:t>
      </w:r>
    </w:p>
    <w:p w14:paraId="4BEFAC2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（1）投标文件中开标一览表(报价表)内容与投标文件中相应内容不一致的，以开标一览表(报价表)为准；</w:t>
      </w:r>
    </w:p>
    <w:p w14:paraId="3BA2919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（2）大写金额和小写金额不一致的，以大写金额为准；</w:t>
      </w:r>
    </w:p>
    <w:p w14:paraId="61376024">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 单价金额小数点或者百分比有明显错位的，以开标一览表的总价为准，并修改单价；</w:t>
      </w:r>
    </w:p>
    <w:p w14:paraId="4698211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（4） 总价金额与按单价汇总金额不一致的，以单价金额计算结果为准。同时出现两种以上不一致的，按照前款规定的顺序修正。修正后的报价按照“投标人须知”2</w:t>
      </w:r>
      <w:r>
        <w:rPr>
          <w:rFonts w:ascii="宋体" w:hAnsi="宋体" w:cs="宋体"/>
          <w:color w:val="auto"/>
          <w:kern w:val="0"/>
          <w:sz w:val="24"/>
          <w:szCs w:val="24"/>
        </w:rPr>
        <w:t>7</w:t>
      </w:r>
      <w:r>
        <w:rPr>
          <w:rFonts w:hint="eastAsia" w:ascii="宋体" w:hAnsi="宋体" w:cs="宋体"/>
          <w:color w:val="auto"/>
          <w:kern w:val="0"/>
          <w:sz w:val="24"/>
          <w:szCs w:val="24"/>
        </w:rPr>
        <w:t>.2规定经投标人确认后产生约束力，投标人不确认的，其投标无效。</w:t>
      </w:r>
    </w:p>
    <w:p w14:paraId="5B6D52E9">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29</w:t>
      </w:r>
      <w:r>
        <w:rPr>
          <w:rFonts w:hint="eastAsia" w:ascii="宋体" w:hAnsi="宋体" w:cs="宋体"/>
          <w:b/>
          <w:color w:val="auto"/>
          <w:kern w:val="0"/>
          <w:sz w:val="24"/>
          <w:szCs w:val="24"/>
        </w:rPr>
        <w:t>、投标无效情形</w:t>
      </w:r>
    </w:p>
    <w:p w14:paraId="33317F68">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29.1投标文件属下列情况之一的，按照无效投标处理： </w:t>
      </w:r>
    </w:p>
    <w:p w14:paraId="69ABF3E0">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29.1.1未按照招标文件的规定提交《长葛市政府采购供应商信用承诺函》的； </w:t>
      </w:r>
    </w:p>
    <w:p w14:paraId="7ED7B0E8">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29.1.2未按照招标文件的规定提交投标承诺函的； </w:t>
      </w:r>
    </w:p>
    <w:p w14:paraId="14E47D91">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29.1.3投标文件未按招标文件要求签署、盖章的； </w:t>
      </w:r>
    </w:p>
    <w:p w14:paraId="27406CB5">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29.1.4不具备招标文件中规定的资格要求的； </w:t>
      </w:r>
    </w:p>
    <w:p w14:paraId="77DD1C75">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29.1.5报价超过招标文件中规定的预算金额或者招标控制价的； </w:t>
      </w:r>
    </w:p>
    <w:p w14:paraId="308F00C7">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29.1.6投标文件含有采购人不能接受的附加条件的。 </w:t>
      </w:r>
    </w:p>
    <w:p w14:paraId="0C9FF93F">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29.2根据《河南省财政厅关于防范供应商串通投标促进政府采购公平竞争的通知》（豫财购﹝2021﹞6号）要求，参与同一个标段（包）的供应商存在下列情形之一的，其投标（响应）文件无效：</w:t>
      </w:r>
    </w:p>
    <w:p w14:paraId="26BC1BA1">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29.2.1不同供应商的电子投标（响应）文件上传计算机的网卡MAC地址、CPU序列号和硬盘 序列号等硬件信息相同的； </w:t>
      </w:r>
    </w:p>
    <w:p w14:paraId="2FE7F526">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29.2.2不同供应商的投标（响应）文件由同一电子设备编制、打印加密或者上传； </w:t>
      </w:r>
    </w:p>
    <w:p w14:paraId="444A6861">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29.2.3不同供应商的投标（响应）文件由同一电子设备打印、复印； </w:t>
      </w:r>
    </w:p>
    <w:p w14:paraId="1D167116">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29.2.4不同供应商的投标（响应）文件由同一人送达或者分发，或者不同供应商联系人为同一人或不同联系人的联系电话一致的； </w:t>
      </w:r>
    </w:p>
    <w:p w14:paraId="581C5116">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29.2.5不同供应商的投标（响应）文件的内容存在两处以上细节错误一致； </w:t>
      </w:r>
    </w:p>
    <w:p w14:paraId="0A3E87AB">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29.2.6不同供应商的法定代表人、委托代理人、项目经理、项目负责人等由同一个单位缴纳社会保险或者领取报酬的； </w:t>
      </w:r>
    </w:p>
    <w:p w14:paraId="7532EEF6">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29.2.7不同供应商投标（响应）文件中法定代表人或者负责人签字出自同一人之手； </w:t>
      </w:r>
    </w:p>
    <w:p w14:paraId="1313096B">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29.2.8其他涉嫌串通的情形。 </w:t>
      </w:r>
    </w:p>
    <w:p w14:paraId="12D32330">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29.3有下列情形之一的，视为投标人串通投标，其投标无效： </w:t>
      </w:r>
    </w:p>
    <w:p w14:paraId="7FF0BF71">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29.3.1不同投标人的投标文件由同一单位或者个人编制； </w:t>
      </w:r>
    </w:p>
    <w:p w14:paraId="3412EA69">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29.3.2不同投标人委托同一单位或者个人办理投标事宜； </w:t>
      </w:r>
    </w:p>
    <w:p w14:paraId="27CC77C0">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29.3.3不同投标人的投标文件载明的项目管理成员或者联系人员为同一人； </w:t>
      </w:r>
    </w:p>
    <w:p w14:paraId="1EFEC9E3">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29.3.4不同投标人的投标文件异常一致或者投标报价呈规律性差异； </w:t>
      </w:r>
    </w:p>
    <w:p w14:paraId="15BAB1FD">
      <w:pPr>
        <w:autoSpaceDE w:val="0"/>
        <w:autoSpaceDN w:val="0"/>
        <w:spacing w:line="360" w:lineRule="auto"/>
        <w:ind w:firstLine="480" w:firstLineChars="200"/>
        <w:contextualSpacing/>
        <w:rPr>
          <w:rFonts w:ascii="宋体" w:hAnsi="宋体" w:cs="宋体"/>
          <w:b/>
          <w:color w:val="auto"/>
          <w:kern w:val="0"/>
          <w:sz w:val="24"/>
          <w:szCs w:val="24"/>
        </w:rPr>
      </w:pPr>
      <w:r>
        <w:rPr>
          <w:rFonts w:hint="eastAsia" w:ascii="宋体" w:hAnsi="宋体" w:cs="宋体"/>
          <w:bCs/>
          <w:color w:val="auto"/>
          <w:kern w:val="0"/>
          <w:sz w:val="24"/>
          <w:szCs w:val="24"/>
        </w:rPr>
        <w:t xml:space="preserve">29.3.5不同投标人的投标文件相互混装。 </w:t>
      </w:r>
    </w:p>
    <w:p w14:paraId="6C88187C">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29.3.6不同投标人的投标保证金从同一单位或者个人的账户转出。</w:t>
      </w:r>
    </w:p>
    <w:p w14:paraId="75C82830">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772F217A">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6240A2C5">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29.6不同投标人电子投标文件制作硬件特征码（网卡MAC地址、CPU序号、硬盘序列号）均一致时，视为“不同投标人的投标文件由同一单位或者个人编制”或“不同投标人委托同一单位或者个人办理相应事宜”，其投标无效。 </w:t>
      </w:r>
    </w:p>
    <w:p w14:paraId="7EE8BA1F">
      <w:pPr>
        <w:autoSpaceDE w:val="0"/>
        <w:autoSpaceDN w:val="0"/>
        <w:spacing w:line="360" w:lineRule="auto"/>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29.7法律法规和招标文件规定的其他无效情形。</w:t>
      </w:r>
    </w:p>
    <w:p w14:paraId="60AAB826">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3</w:t>
      </w:r>
      <w:r>
        <w:rPr>
          <w:rFonts w:ascii="宋体" w:hAnsi="宋体" w:cs="宋体"/>
          <w:b/>
          <w:color w:val="auto"/>
          <w:kern w:val="0"/>
          <w:sz w:val="24"/>
          <w:szCs w:val="24"/>
        </w:rPr>
        <w:t>0</w:t>
      </w:r>
      <w:r>
        <w:rPr>
          <w:rFonts w:hint="eastAsia" w:ascii="宋体" w:hAnsi="宋体" w:cs="宋体"/>
          <w:b/>
          <w:color w:val="auto"/>
          <w:kern w:val="0"/>
          <w:sz w:val="24"/>
          <w:szCs w:val="24"/>
        </w:rPr>
        <w:t>、相同品牌投标人的认定</w:t>
      </w:r>
      <w:r>
        <w:rPr>
          <w:rFonts w:hint="eastAsia" w:ascii="宋体" w:hAnsi="宋体" w:cs="仿宋_GB2312"/>
          <w:b/>
          <w:bCs/>
          <w:color w:val="auto"/>
          <w:sz w:val="24"/>
          <w:szCs w:val="24"/>
          <w:lang w:val="zh-CN"/>
        </w:rPr>
        <w:t>（服务类项目不适用本条款规定）</w:t>
      </w:r>
    </w:p>
    <w:p w14:paraId="7EB8E9B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0</w:t>
      </w:r>
      <w:r>
        <w:rPr>
          <w:rFonts w:hint="eastAsia" w:ascii="宋体" w:hAnsi="宋体" w:cs="宋体"/>
          <w:color w:val="auto"/>
          <w:kern w:val="0"/>
          <w:sz w:val="24"/>
          <w:szCs w:val="24"/>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21050768">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0</w:t>
      </w:r>
      <w:r>
        <w:rPr>
          <w:rFonts w:hint="eastAsia" w:ascii="宋体" w:hAnsi="宋体" w:cs="宋体"/>
          <w:color w:val="auto"/>
          <w:kern w:val="0"/>
          <w:sz w:val="24"/>
          <w:szCs w:val="24"/>
        </w:rPr>
        <w:t>.2使用综合评分法的采购项目，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0A191E16">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31</w:t>
      </w:r>
      <w:r>
        <w:rPr>
          <w:rFonts w:hint="eastAsia" w:ascii="宋体" w:hAnsi="宋体" w:cs="宋体"/>
          <w:b/>
          <w:color w:val="auto"/>
          <w:kern w:val="0"/>
          <w:sz w:val="24"/>
          <w:szCs w:val="24"/>
        </w:rPr>
        <w:t>、投标文件的比较与评价</w:t>
      </w:r>
    </w:p>
    <w:p w14:paraId="6DAA96B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评标委员会按照招标文件中规定的评标方法和标准，对符合性审查合格的投标文件进行商务和技术评估，综合比较与评价。</w:t>
      </w:r>
    </w:p>
    <w:p w14:paraId="2D66DFD8">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32</w:t>
      </w:r>
      <w:r>
        <w:rPr>
          <w:rFonts w:hint="eastAsia" w:ascii="宋体" w:hAnsi="宋体" w:cs="宋体"/>
          <w:b/>
          <w:color w:val="auto"/>
          <w:kern w:val="0"/>
          <w:sz w:val="24"/>
          <w:szCs w:val="24"/>
        </w:rPr>
        <w:t>、评标方法、评标标准</w:t>
      </w:r>
    </w:p>
    <w:p w14:paraId="21573013">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2</w:t>
      </w:r>
      <w:r>
        <w:rPr>
          <w:rFonts w:hint="eastAsia" w:ascii="宋体" w:hAnsi="宋体" w:cs="宋体"/>
          <w:color w:val="auto"/>
          <w:kern w:val="0"/>
          <w:sz w:val="24"/>
          <w:szCs w:val="24"/>
        </w:rPr>
        <w:t>.1评标方法分为最低评标价法和综合评分法。</w:t>
      </w:r>
    </w:p>
    <w:p w14:paraId="60055FF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（1）最低评标价法</w:t>
      </w:r>
    </w:p>
    <w:p w14:paraId="41DC9A2F">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a. 最低评标价法，是指投标文件满足招标文件全部实质性要求，且投标报价最低的投标人为中标候选人的评标方法。</w:t>
      </w:r>
    </w:p>
    <w:p w14:paraId="7CC9EB82">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b. 采用最低评标价法评标时，除了算术修正和落实政府采购政策需进行的价格扣除外，不能对投标人的投标价格进行任何调整。</w:t>
      </w:r>
    </w:p>
    <w:p w14:paraId="56BE24A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（2） 综合评分法，是指投标文件满足招标文件全部实质性要求，且按照评审因素的量化指标评审得分最高的投标人为中标候选人的评标方法。</w:t>
      </w:r>
    </w:p>
    <w:p w14:paraId="4E11EC7B">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w:t>
      </w:r>
      <w:r>
        <w:rPr>
          <w:rFonts w:ascii="宋体" w:hAnsi="宋体" w:cs="宋体"/>
          <w:color w:val="auto"/>
          <w:kern w:val="0"/>
          <w:sz w:val="24"/>
        </w:rPr>
        <w:t>2</w:t>
      </w:r>
      <w:r>
        <w:rPr>
          <w:rFonts w:hint="eastAsia" w:ascii="宋体" w:hAnsi="宋体" w:cs="宋体"/>
          <w:color w:val="auto"/>
          <w:kern w:val="0"/>
          <w:sz w:val="24"/>
        </w:rPr>
        <w:t>.2  价格分</w:t>
      </w:r>
    </w:p>
    <w:p w14:paraId="10844F54">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（1） 价格分采用低价优先法计算，即满足招标文件要求且投标价格最低的投标报价为评标基准价，其价格分为满分。其他投标人的价格分别统一按照下列公式计算：</w:t>
      </w:r>
    </w:p>
    <w:p w14:paraId="45DFEFBE">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投标报价得分=(评标基准价/投标报价)×100</w:t>
      </w:r>
    </w:p>
    <w:p w14:paraId="58DF1D04">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评标总得分=F1×A1+F2×A2+……+Fn×An</w:t>
      </w:r>
    </w:p>
    <w:p w14:paraId="46CD4630">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F1、F2……Fn分别为各项评审因素的得分;</w:t>
      </w:r>
    </w:p>
    <w:p w14:paraId="504D54B6">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A1、A2、……An 分别为各项评审因素所占的权重(A1+A2+……+An=1)。</w:t>
      </w:r>
    </w:p>
    <w:p w14:paraId="19016E43">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（2）评标过程中，不得去掉报价中的最高报价和最低报价。</w:t>
      </w:r>
    </w:p>
    <w:p w14:paraId="440528E4">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（3）因落实政府采购政策进行价格调整的，以调整后的价格计算评标基准价和投标报价。</w:t>
      </w:r>
    </w:p>
    <w:p w14:paraId="116CA428">
      <w:pPr>
        <w:autoSpaceDE w:val="0"/>
        <w:autoSpaceDN w:val="0"/>
        <w:spacing w:line="360" w:lineRule="auto"/>
        <w:ind w:firstLine="480" w:firstLineChars="200"/>
        <w:contextualSpacing/>
        <w:rPr>
          <w:rFonts w:ascii="宋体" w:hAnsi="宋体" w:cs="宋体"/>
          <w:color w:val="auto"/>
          <w:kern w:val="0"/>
          <w:sz w:val="24"/>
        </w:rPr>
      </w:pPr>
      <w:r>
        <w:rPr>
          <w:rFonts w:hint="eastAsia" w:ascii="宋体" w:hAnsi="宋体" w:cs="宋体"/>
          <w:color w:val="auto"/>
          <w:kern w:val="0"/>
          <w:sz w:val="24"/>
        </w:rPr>
        <w:t>3</w:t>
      </w:r>
      <w:r>
        <w:rPr>
          <w:rFonts w:ascii="宋体" w:hAnsi="宋体" w:cs="宋体"/>
          <w:color w:val="auto"/>
          <w:kern w:val="0"/>
          <w:sz w:val="24"/>
        </w:rPr>
        <w:t>2</w:t>
      </w:r>
      <w:r>
        <w:rPr>
          <w:rFonts w:hint="eastAsia" w:ascii="宋体" w:hAnsi="宋体" w:cs="宋体"/>
          <w:color w:val="auto"/>
          <w:kern w:val="0"/>
          <w:sz w:val="24"/>
        </w:rPr>
        <w:t>.3 本次评标具体评标方法、评标标准见（第六章 资格审查与评标）。</w:t>
      </w:r>
    </w:p>
    <w:p w14:paraId="565000F3">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33</w:t>
      </w:r>
      <w:r>
        <w:rPr>
          <w:rFonts w:hint="eastAsia" w:ascii="宋体" w:hAnsi="宋体" w:cs="宋体"/>
          <w:b/>
          <w:color w:val="auto"/>
          <w:kern w:val="0"/>
          <w:sz w:val="24"/>
          <w:szCs w:val="24"/>
        </w:rPr>
        <w:t>、推荐中标候选人</w:t>
      </w:r>
    </w:p>
    <w:p w14:paraId="72344434">
      <w:pPr>
        <w:autoSpaceDE w:val="0"/>
        <w:autoSpaceDN w:val="0"/>
        <w:spacing w:line="360" w:lineRule="auto"/>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3</w:t>
      </w:r>
      <w:r>
        <w:rPr>
          <w:rFonts w:hint="eastAsia" w:ascii="宋体" w:hAnsi="宋体" w:cs="宋体"/>
          <w:color w:val="auto"/>
          <w:kern w:val="0"/>
          <w:sz w:val="24"/>
          <w:szCs w:val="24"/>
        </w:rPr>
        <w:t>.1采用最低评标价法的，评标结果按投标报价由低到高顺序排列。投标报价相同的并列。投标文件满足招标文件全部实质性要求且投标报价最低的供应商为排名第一的中标候选人。</w:t>
      </w:r>
    </w:p>
    <w:p w14:paraId="3F8F3D65">
      <w:pPr>
        <w:autoSpaceDE w:val="0"/>
        <w:autoSpaceDN w:val="0"/>
        <w:spacing w:line="360" w:lineRule="auto"/>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3</w:t>
      </w:r>
      <w:r>
        <w:rPr>
          <w:rFonts w:hint="eastAsia" w:ascii="宋体" w:hAnsi="宋体" w:cs="宋体"/>
          <w:color w:val="auto"/>
          <w:kern w:val="0"/>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8F006AD">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3</w:t>
      </w:r>
      <w:r>
        <w:rPr>
          <w:rFonts w:ascii="宋体" w:hAnsi="宋体" w:cs="宋体"/>
          <w:b/>
          <w:color w:val="auto"/>
          <w:kern w:val="0"/>
          <w:sz w:val="24"/>
          <w:szCs w:val="24"/>
        </w:rPr>
        <w:t>4</w:t>
      </w:r>
      <w:r>
        <w:rPr>
          <w:rFonts w:hint="eastAsia" w:ascii="宋体" w:hAnsi="宋体" w:cs="宋体"/>
          <w:b/>
          <w:color w:val="auto"/>
          <w:kern w:val="0"/>
          <w:sz w:val="24"/>
          <w:szCs w:val="24"/>
        </w:rPr>
        <w:t>、评审意见无效情形</w:t>
      </w:r>
    </w:p>
    <w:p w14:paraId="0D401BCF">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评标委员会及其成员有下列行为之一的，其评审意见无效：</w:t>
      </w:r>
    </w:p>
    <w:p w14:paraId="6D5F8DEF">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（1） 确定参与评标至评标结束前私自接触投标人；</w:t>
      </w:r>
    </w:p>
    <w:p w14:paraId="46648E4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（2） 接受投标人提出的与投标文件不一致的澄清或者说明，《投标人须知》第26条规定的情形除外；</w:t>
      </w:r>
    </w:p>
    <w:p w14:paraId="340C4D2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 违反评标纪律发表倾向性意见或者征询采购人的倾向性意见；</w:t>
      </w:r>
    </w:p>
    <w:p w14:paraId="45F0E10E">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（4） 对需要专业判断的主观评审因素协商评分；</w:t>
      </w:r>
    </w:p>
    <w:p w14:paraId="659CD1B0">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（5） 在评标过程中擅离职守，影响评标程序正常进行的；</w:t>
      </w:r>
    </w:p>
    <w:p w14:paraId="33743CD7">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（6） 记录、复制或者带走任何评标资料；</w:t>
      </w:r>
    </w:p>
    <w:p w14:paraId="4A00D851">
      <w:pPr>
        <w:numPr>
          <w:ilvl w:val="0"/>
          <w:numId w:val="11"/>
        </w:numPr>
        <w:autoSpaceDE w:val="0"/>
        <w:autoSpaceDN w:val="0"/>
        <w:spacing w:line="360" w:lineRule="auto"/>
        <w:contextualSpacing/>
        <w:rPr>
          <w:rFonts w:ascii="宋体" w:hAnsi="宋体" w:cs="宋体"/>
          <w:color w:val="auto"/>
          <w:kern w:val="0"/>
          <w:sz w:val="24"/>
          <w:szCs w:val="24"/>
        </w:rPr>
      </w:pPr>
      <w:r>
        <w:rPr>
          <w:rFonts w:hint="eastAsia" w:ascii="宋体" w:hAnsi="宋体" w:cs="宋体"/>
          <w:color w:val="auto"/>
          <w:kern w:val="0"/>
          <w:sz w:val="24"/>
          <w:szCs w:val="24"/>
        </w:rPr>
        <w:t xml:space="preserve"> 其他不遵守评标纪律的行为。</w:t>
      </w:r>
    </w:p>
    <w:p w14:paraId="57A01195">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35</w:t>
      </w:r>
      <w:r>
        <w:rPr>
          <w:rFonts w:hint="eastAsia" w:ascii="宋体" w:hAnsi="宋体" w:cs="宋体"/>
          <w:b/>
          <w:color w:val="auto"/>
          <w:kern w:val="0"/>
          <w:sz w:val="24"/>
          <w:szCs w:val="24"/>
        </w:rPr>
        <w:t>、保密</w:t>
      </w:r>
    </w:p>
    <w:p w14:paraId="76E0287C">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5</w:t>
      </w:r>
      <w:r>
        <w:rPr>
          <w:rFonts w:hint="eastAsia" w:ascii="宋体" w:hAnsi="宋体" w:cs="宋体"/>
          <w:color w:val="auto"/>
          <w:kern w:val="0"/>
          <w:sz w:val="24"/>
          <w:szCs w:val="24"/>
        </w:rPr>
        <w:t>.1评审专家应当遵守评审工作纪律，不得泄露评审文件、评审情况和评审中获悉的商业秘密。</w:t>
      </w:r>
    </w:p>
    <w:p w14:paraId="3C448F63">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 xml:space="preserve">5.2 </w:t>
      </w:r>
      <w:r>
        <w:rPr>
          <w:rFonts w:hint="eastAsia" w:ascii="宋体" w:hAnsi="宋体" w:cs="宋体"/>
          <w:color w:val="auto"/>
          <w:kern w:val="0"/>
          <w:sz w:val="24"/>
          <w:szCs w:val="24"/>
        </w:rPr>
        <w:t>采购人、采购代理机构应当采取必要措施，保证评标在严格保密的情况下进行。有关人员对评标情况以及在评标过程中获悉的国家秘密、商业秘密负有保密责任。</w:t>
      </w:r>
    </w:p>
    <w:p w14:paraId="2F11AC3F">
      <w:pPr>
        <w:pStyle w:val="12"/>
        <w:rPr>
          <w:color w:val="auto"/>
        </w:rPr>
      </w:pPr>
    </w:p>
    <w:p w14:paraId="59225226">
      <w:pPr>
        <w:pStyle w:val="12"/>
        <w:ind w:firstLine="0"/>
        <w:rPr>
          <w:rFonts w:ascii="宋体" w:hAnsi="宋体" w:cs="宋体"/>
          <w:b/>
          <w:color w:val="auto"/>
          <w:kern w:val="0"/>
          <w:sz w:val="24"/>
          <w:szCs w:val="24"/>
        </w:rPr>
      </w:pPr>
    </w:p>
    <w:p w14:paraId="78B489E8">
      <w:pPr>
        <w:tabs>
          <w:tab w:val="left" w:pos="1260"/>
        </w:tabs>
        <w:autoSpaceDE w:val="0"/>
        <w:autoSpaceDN w:val="0"/>
        <w:spacing w:line="360" w:lineRule="auto"/>
        <w:contextualSpacing/>
        <w:jc w:val="center"/>
        <w:rPr>
          <w:rFonts w:ascii="宋体" w:hAnsi="宋体" w:cs="宋体"/>
          <w:b/>
          <w:color w:val="auto"/>
          <w:kern w:val="0"/>
          <w:sz w:val="24"/>
          <w:szCs w:val="24"/>
        </w:rPr>
      </w:pPr>
      <w:r>
        <w:rPr>
          <w:rFonts w:hint="eastAsia" w:ascii="宋体" w:hAnsi="宋体" w:cs="宋体"/>
          <w:b/>
          <w:color w:val="auto"/>
          <w:kern w:val="0"/>
          <w:sz w:val="24"/>
          <w:szCs w:val="24"/>
        </w:rPr>
        <w:t>六、定标和授予合同</w:t>
      </w:r>
    </w:p>
    <w:p w14:paraId="1030DFC3">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36</w:t>
      </w:r>
      <w:r>
        <w:rPr>
          <w:rFonts w:hint="eastAsia" w:ascii="宋体" w:hAnsi="宋体" w:cs="宋体"/>
          <w:b/>
          <w:color w:val="auto"/>
          <w:kern w:val="0"/>
          <w:sz w:val="24"/>
          <w:szCs w:val="24"/>
        </w:rPr>
        <w:t>、确定中标人</w:t>
      </w:r>
    </w:p>
    <w:p w14:paraId="759EFD3E">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6</w:t>
      </w:r>
      <w:r>
        <w:rPr>
          <w:rFonts w:hint="eastAsia" w:ascii="宋体" w:hAnsi="宋体" w:cs="宋体"/>
          <w:color w:val="auto"/>
          <w:kern w:val="0"/>
          <w:sz w:val="24"/>
          <w:szCs w:val="24"/>
        </w:rPr>
        <w:t>.1采购人应当自收到评标报告之日起5个工作日内，在评标报告确定的中标候选人名单中按顺序确定中标人。中标候选人并列的，由采购人采取随机抽取的方式确定。</w:t>
      </w:r>
    </w:p>
    <w:p w14:paraId="62037DBC">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6</w:t>
      </w:r>
      <w:r>
        <w:rPr>
          <w:rFonts w:hint="eastAsia" w:ascii="宋体" w:hAnsi="宋体" w:cs="宋体"/>
          <w:color w:val="auto"/>
          <w:kern w:val="0"/>
          <w:sz w:val="24"/>
          <w:szCs w:val="24"/>
        </w:rPr>
        <w:t>.2采购人在收到评标报告5个工作日内未按评标报告推荐的中标候选人顺序确定中标人，又不能说明合法理由的，视同按评标报告推荐的顺序确定排名第一的中标候选人为中标人。</w:t>
      </w:r>
    </w:p>
    <w:p w14:paraId="7C9C9DEA">
      <w:pPr>
        <w:autoSpaceDE w:val="0"/>
        <w:autoSpaceDN w:val="0"/>
        <w:spacing w:line="360" w:lineRule="auto"/>
        <w:contextualSpacing/>
        <w:rPr>
          <w:rFonts w:ascii="宋体" w:hAnsi="宋体" w:cs="宋体"/>
          <w:b/>
          <w:color w:val="auto"/>
          <w:kern w:val="0"/>
          <w:sz w:val="24"/>
          <w:szCs w:val="24"/>
        </w:rPr>
      </w:pPr>
      <w:r>
        <w:rPr>
          <w:rFonts w:ascii="宋体" w:hAnsi="宋体" w:cs="宋体"/>
          <w:b/>
          <w:color w:val="auto"/>
          <w:kern w:val="0"/>
          <w:sz w:val="24"/>
          <w:szCs w:val="24"/>
        </w:rPr>
        <w:t>37</w:t>
      </w:r>
      <w:r>
        <w:rPr>
          <w:rFonts w:hint="eastAsia" w:ascii="宋体" w:hAnsi="宋体" w:cs="宋体"/>
          <w:b/>
          <w:color w:val="auto"/>
          <w:kern w:val="0"/>
          <w:sz w:val="24"/>
          <w:szCs w:val="24"/>
        </w:rPr>
        <w:t>、中标公告、发出中标通知书</w:t>
      </w:r>
    </w:p>
    <w:p w14:paraId="7A13C349">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7</w:t>
      </w:r>
      <w:r>
        <w:rPr>
          <w:rFonts w:hint="eastAsia" w:ascii="宋体" w:hAnsi="宋体" w:cs="宋体"/>
          <w:color w:val="auto"/>
          <w:kern w:val="0"/>
          <w:sz w:val="24"/>
          <w:szCs w:val="24"/>
        </w:rPr>
        <w:t>.1采购人确认中标人后，招标人在公告中标结果的同时，向中标人发出中标通知书。</w:t>
      </w:r>
    </w:p>
    <w:p w14:paraId="0E1B791D">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7</w:t>
      </w:r>
      <w:r>
        <w:rPr>
          <w:rFonts w:hint="eastAsia" w:ascii="宋体" w:hAnsi="宋体" w:cs="宋体"/>
          <w:color w:val="auto"/>
          <w:kern w:val="0"/>
          <w:sz w:val="24"/>
          <w:szCs w:val="24"/>
        </w:rPr>
        <w:t>.2中标通知书发出后，采购人不得违法改变中标结果，中标人无正当理由不得放弃中标。</w:t>
      </w:r>
    </w:p>
    <w:p w14:paraId="78C9DB46">
      <w:pPr>
        <w:autoSpaceDE w:val="0"/>
        <w:autoSpaceDN w:val="0"/>
        <w:spacing w:line="360" w:lineRule="auto"/>
        <w:ind w:firstLine="360" w:firstLineChars="150"/>
        <w:contextualSpacing/>
        <w:rPr>
          <w:rFonts w:ascii="宋体" w:hAnsi="宋体" w:cs="宋体"/>
          <w:color w:val="auto"/>
          <w:kern w:val="0"/>
          <w:sz w:val="24"/>
          <w:szCs w:val="24"/>
        </w:rPr>
      </w:pPr>
      <w:r>
        <w:rPr>
          <w:rFonts w:hint="eastAsia" w:ascii="宋体" w:hAnsi="宋体" w:cs="宋体"/>
          <w:color w:val="auto"/>
          <w:kern w:val="0"/>
          <w:sz w:val="24"/>
          <w:szCs w:val="24"/>
        </w:rPr>
        <w:t>3</w:t>
      </w:r>
      <w:r>
        <w:rPr>
          <w:rFonts w:ascii="宋体" w:hAnsi="宋体" w:cs="宋体"/>
          <w:color w:val="auto"/>
          <w:kern w:val="0"/>
          <w:sz w:val="24"/>
          <w:szCs w:val="24"/>
        </w:rPr>
        <w:t>7</w:t>
      </w:r>
      <w:r>
        <w:rPr>
          <w:rFonts w:hint="eastAsia" w:ascii="宋体" w:hAnsi="宋体" w:cs="宋体"/>
          <w:color w:val="auto"/>
          <w:kern w:val="0"/>
          <w:sz w:val="24"/>
          <w:szCs w:val="24"/>
        </w:rPr>
        <w:t>.3中标人在接到中标通知时，须向代理机构发送投标报价及分项报价一览表（包含主要中标标的的名称、规格型号、数量、单价、服务要求等）电子文档，并同时通知代理机构联系人。</w:t>
      </w:r>
    </w:p>
    <w:p w14:paraId="48709097">
      <w:pPr>
        <w:autoSpaceDE w:val="0"/>
        <w:autoSpaceDN w:val="0"/>
        <w:spacing w:line="360" w:lineRule="auto"/>
        <w:contextualSpacing/>
        <w:rPr>
          <w:rFonts w:ascii="宋体" w:hAnsi="宋体" w:cs="宋体"/>
          <w:color w:val="auto"/>
          <w:kern w:val="0"/>
          <w:sz w:val="24"/>
          <w:szCs w:val="24"/>
        </w:rPr>
      </w:pPr>
      <w:r>
        <w:rPr>
          <w:rFonts w:ascii="宋体" w:hAnsi="宋体" w:cs="宋体"/>
          <w:b/>
          <w:color w:val="auto"/>
          <w:kern w:val="0"/>
          <w:sz w:val="24"/>
          <w:szCs w:val="24"/>
        </w:rPr>
        <w:t>38</w:t>
      </w:r>
      <w:r>
        <w:rPr>
          <w:rFonts w:hint="eastAsia" w:ascii="宋体" w:hAnsi="宋体" w:cs="宋体"/>
          <w:b/>
          <w:color w:val="auto"/>
          <w:kern w:val="0"/>
          <w:sz w:val="24"/>
          <w:szCs w:val="24"/>
        </w:rPr>
        <w:t>、质疑提出与答复</w:t>
      </w:r>
    </w:p>
    <w:p w14:paraId="2F98B0CB">
      <w:pPr>
        <w:widowControl/>
        <w:spacing w:line="360" w:lineRule="auto"/>
        <w:ind w:firstLine="480" w:firstLineChars="200"/>
        <w:jc w:val="left"/>
        <w:rPr>
          <w:color w:val="auto"/>
        </w:rPr>
      </w:pPr>
      <w:r>
        <w:rPr>
          <w:rFonts w:hint="eastAsia" w:ascii="宋体" w:hAnsi="宋体" w:cs="宋体"/>
          <w:color w:val="auto"/>
          <w:kern w:val="0"/>
          <w:sz w:val="24"/>
          <w:szCs w:val="24"/>
        </w:rPr>
        <w:t>38.1供应商认为采购文件、采购过程和中标结果使自己的权益受到损害的，可以按照《政府采购质疑和投诉办法》（财政部令第94号）质疑。提出质疑的供应商应当是参与本项目采购活动的供应商。提出时应按照《政府采购质疑和投诉办法》（财政部令第94号）第十二条规定提交质疑函和必要的证明材料，如未提出视为全面接受。</w:t>
      </w:r>
    </w:p>
    <w:p w14:paraId="6035C547">
      <w:pPr>
        <w:widowControl/>
        <w:spacing w:line="360" w:lineRule="auto"/>
        <w:ind w:firstLine="480" w:firstLineChars="200"/>
        <w:jc w:val="left"/>
        <w:rPr>
          <w:color w:val="auto"/>
        </w:rPr>
      </w:pPr>
      <w:r>
        <w:rPr>
          <w:rFonts w:hint="eastAsia" w:ascii="宋体" w:hAnsi="宋体" w:cs="宋体"/>
          <w:color w:val="auto"/>
          <w:kern w:val="0"/>
          <w:sz w:val="24"/>
          <w:szCs w:val="24"/>
        </w:rPr>
        <w:t xml:space="preserve">38.1.1对采购文件提出质疑的，潜在投标人应已依法获取采购文件，且应当在获取采购文件或者采购文件公告期限届满之日起7个工作日内使用CA数字证书或CA移动数字证书登录《全国公共资源交易平台（河南省·许昌市）》（https://ggzy.xuchang.gov.cn/），通过许昌市公共资源电子交易系统一次性提出，逾期提交或未按照要求提交的质疑函将不予受理。质疑提出后潜在投标人应及时联系招标公告中代理机构联系人查看。 </w:t>
      </w:r>
    </w:p>
    <w:p w14:paraId="2CD560D4">
      <w:pPr>
        <w:widowControl/>
        <w:spacing w:line="360" w:lineRule="auto"/>
        <w:ind w:firstLine="480" w:firstLineChars="200"/>
        <w:jc w:val="left"/>
        <w:rPr>
          <w:color w:val="auto"/>
        </w:rPr>
      </w:pPr>
      <w:r>
        <w:rPr>
          <w:rFonts w:hint="eastAsia" w:ascii="宋体" w:hAnsi="宋体" w:cs="宋体"/>
          <w:color w:val="auto"/>
          <w:kern w:val="0"/>
          <w:sz w:val="24"/>
          <w:szCs w:val="24"/>
        </w:rPr>
        <w:t xml:space="preserve">38.1.2对采购过程提出质疑的，为各采购程序环节结束之日起七个工作日内，投标人使用CA数字证书或CA移动数字证书登录《全国公共资源交易平台（河南省·许昌市）》（https://ggzy.xuchang.gov.cn/），通过许昌市公共资源电子交易系统一次性提出，逾期提交或未按照要求提交的质疑函将不予受理。质疑提出后投标人应及时联系招标公告中代理机构 联系人查看； </w:t>
      </w:r>
    </w:p>
    <w:p w14:paraId="24BC3D97">
      <w:pPr>
        <w:widowControl/>
        <w:spacing w:line="360" w:lineRule="auto"/>
        <w:ind w:firstLine="480" w:firstLineChars="200"/>
        <w:jc w:val="left"/>
        <w:rPr>
          <w:color w:val="auto"/>
        </w:rPr>
      </w:pPr>
      <w:r>
        <w:rPr>
          <w:rFonts w:hint="eastAsia" w:ascii="宋体" w:hAnsi="宋体" w:cs="宋体"/>
          <w:color w:val="auto"/>
          <w:kern w:val="0"/>
          <w:sz w:val="24"/>
          <w:szCs w:val="24"/>
        </w:rPr>
        <w:t xml:space="preserve">38.1.3对中标结果提出质疑的，为中标结果公告期限届满之日起七个工作日内，投标人使用CA数字证书或CA移动数字证书登录《全国公共资源交易平台（河南省·许昌市）》（https://ggzy.xuchang.gov.cn/），通过许昌市公共资源电子交易系统一次性提出，逾期提交或未按照要求提交的质疑函将不予受理。质疑提出后投标人应及时联系招标公告中代理机构联系人查看。 </w:t>
      </w:r>
    </w:p>
    <w:p w14:paraId="7982268F">
      <w:pPr>
        <w:widowControl/>
        <w:spacing w:line="360" w:lineRule="auto"/>
        <w:ind w:firstLine="480" w:firstLineChars="200"/>
        <w:jc w:val="left"/>
        <w:rPr>
          <w:color w:val="auto"/>
        </w:rPr>
      </w:pPr>
      <w:r>
        <w:rPr>
          <w:rFonts w:hint="eastAsia" w:ascii="宋体" w:hAnsi="宋体" w:cs="宋体"/>
          <w:color w:val="auto"/>
          <w:kern w:val="0"/>
          <w:sz w:val="24"/>
          <w:szCs w:val="24"/>
        </w:rPr>
        <w:t xml:space="preserve">38.2采购人、采购代理机构认为供应商质疑不成立，或者成立但未对中标结果构成影响的，在 收 到 质 疑 函 7 个 工 作 日 内 通 过 《 全 国 公 共 资 源 交 易 平 台 （ 河 南 省 · 许 昌 市 ） 》 （https://ggzy.xuchang.gov.cn/）——许昌市公共资源电子交易系统作出答复，并继续开展采购活动；认为供应商质疑成立且影响或者可能影响中标结果的，在收到质疑函7个工作日内通过《全国公共资源交易平台（河南省·许昌市）》（https://ggzy.xuchang.gov.cn/）许昌市公共资源电子交易系统作出答复，并按照下列情况处理： </w:t>
      </w:r>
    </w:p>
    <w:p w14:paraId="27903F6D">
      <w:pPr>
        <w:widowControl/>
        <w:spacing w:line="360" w:lineRule="auto"/>
        <w:ind w:firstLine="480" w:firstLineChars="200"/>
        <w:jc w:val="left"/>
        <w:rPr>
          <w:color w:val="auto"/>
        </w:rPr>
      </w:pPr>
      <w:r>
        <w:rPr>
          <w:rFonts w:hint="eastAsia" w:ascii="宋体" w:hAnsi="宋体" w:cs="宋体"/>
          <w:color w:val="auto"/>
          <w:kern w:val="0"/>
          <w:sz w:val="24"/>
          <w:szCs w:val="24"/>
        </w:rPr>
        <w:t xml:space="preserve">38.2.1对采购文件提出的质疑，依法通过澄清或者修改可以继续开展采购活动的，澄清或 者修改采购文件后继续开展采购活动；否则应当修改采购文件后重新开展采购活动。 </w:t>
      </w:r>
    </w:p>
    <w:p w14:paraId="5E469978">
      <w:pPr>
        <w:autoSpaceDE w:val="0"/>
        <w:autoSpaceDN w:val="0"/>
        <w:spacing w:line="360" w:lineRule="auto"/>
        <w:contextualSpacing/>
        <w:rPr>
          <w:rFonts w:ascii="宋体" w:hAnsi="宋体" w:cs="宋体"/>
          <w:color w:val="auto"/>
          <w:kern w:val="0"/>
          <w:sz w:val="24"/>
          <w:szCs w:val="24"/>
        </w:rPr>
      </w:pPr>
      <w:r>
        <w:rPr>
          <w:rFonts w:hint="eastAsia" w:ascii="宋体" w:hAnsi="宋体" w:cs="宋体"/>
          <w:color w:val="auto"/>
          <w:kern w:val="0"/>
          <w:sz w:val="24"/>
          <w:szCs w:val="24"/>
        </w:rPr>
        <w:t>38.2.2对采购过程、中标结果提出的质疑，合格供应商符合法定数量时，可以从合格的中标候选人中另行确定中标供应商的，应当依法另行确定中标供应商；否则应当重新开展采购活动。</w:t>
      </w:r>
    </w:p>
    <w:p w14:paraId="0EA15496">
      <w:pPr>
        <w:widowControl/>
        <w:spacing w:line="360" w:lineRule="auto"/>
        <w:jc w:val="left"/>
        <w:rPr>
          <w:color w:val="auto"/>
        </w:rPr>
      </w:pPr>
      <w:r>
        <w:rPr>
          <w:rFonts w:hint="eastAsia" w:ascii="宋体" w:hAnsi="宋体" w:cs="宋体"/>
          <w:b/>
          <w:bCs/>
          <w:color w:val="auto"/>
          <w:kern w:val="0"/>
          <w:sz w:val="24"/>
          <w:szCs w:val="24"/>
        </w:rPr>
        <w:t xml:space="preserve">39.投诉 </w:t>
      </w:r>
    </w:p>
    <w:p w14:paraId="4CA809E5">
      <w:pPr>
        <w:widowControl/>
        <w:spacing w:line="360" w:lineRule="auto"/>
        <w:ind w:firstLine="480" w:firstLineChars="200"/>
        <w:jc w:val="left"/>
        <w:rPr>
          <w:color w:val="auto"/>
        </w:rPr>
      </w:pPr>
      <w:r>
        <w:rPr>
          <w:rFonts w:hint="eastAsia" w:ascii="宋体" w:hAnsi="宋体" w:cs="宋体"/>
          <w:color w:val="auto"/>
          <w:kern w:val="0"/>
          <w:sz w:val="24"/>
          <w:szCs w:val="24"/>
        </w:rPr>
        <w:t xml:space="preserve">39.1若对质疑答复不满意或质疑答复未在答复期限内作出，质疑供应商可在答复期满后15个工作日内按照《政府采购质疑和投诉办法》的有关规定向本项目（项目所属）同级政府采购监督管理部门提起投诉。 </w:t>
      </w:r>
    </w:p>
    <w:p w14:paraId="4955BCEF">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 xml:space="preserve">39.2投诉应有明确的请求和必要的证明材料，投诉的事项不得超出已质疑事项的范围。 </w:t>
      </w:r>
    </w:p>
    <w:p w14:paraId="024EE02B">
      <w:pPr>
        <w:autoSpaceDE w:val="0"/>
        <w:autoSpaceDN w:val="0"/>
        <w:spacing w:line="360" w:lineRule="auto"/>
        <w:contextualSpacing/>
        <w:rPr>
          <w:rFonts w:ascii="宋体" w:hAnsi="宋体" w:cs="宋体"/>
          <w:b/>
          <w:color w:val="auto"/>
          <w:kern w:val="0"/>
          <w:sz w:val="24"/>
          <w:szCs w:val="24"/>
        </w:rPr>
      </w:pPr>
      <w:r>
        <w:rPr>
          <w:rFonts w:hint="eastAsia" w:ascii="宋体" w:hAnsi="宋体" w:cs="宋体"/>
          <w:b/>
          <w:color w:val="auto"/>
          <w:kern w:val="0"/>
          <w:sz w:val="24"/>
          <w:szCs w:val="24"/>
        </w:rPr>
        <w:t>40、签订合同</w:t>
      </w:r>
    </w:p>
    <w:p w14:paraId="03122846">
      <w:pPr>
        <w:widowControl/>
        <w:spacing w:line="360" w:lineRule="auto"/>
        <w:ind w:firstLine="480" w:firstLineChars="200"/>
        <w:jc w:val="left"/>
        <w:rPr>
          <w:color w:val="auto"/>
        </w:rPr>
      </w:pPr>
      <w:r>
        <w:rPr>
          <w:rFonts w:hint="eastAsia" w:ascii="宋体" w:hAnsi="宋体" w:cs="宋体"/>
          <w:color w:val="auto"/>
          <w:kern w:val="0"/>
          <w:sz w:val="24"/>
          <w:szCs w:val="24"/>
        </w:rPr>
        <w:t xml:space="preserve">采购人应当自中标通知书发出之日起2日内，按照采购文件和中标人投标文件的规定，与中标人签订书面合同。所签订的合同不得对采购文件确定的事项和中标人投标文件作实质性修改。 </w:t>
      </w:r>
    </w:p>
    <w:p w14:paraId="6E308605">
      <w:pPr>
        <w:autoSpaceDE w:val="0"/>
        <w:autoSpaceDN w:val="0"/>
        <w:spacing w:line="360" w:lineRule="auto"/>
        <w:ind w:firstLine="480" w:firstLineChars="200"/>
        <w:contextualSpacing/>
        <w:rPr>
          <w:rFonts w:ascii="宋体" w:hAnsi="宋体" w:cs="宋体"/>
          <w:color w:val="auto"/>
          <w:kern w:val="0"/>
          <w:sz w:val="24"/>
          <w:szCs w:val="24"/>
        </w:rPr>
      </w:pPr>
      <w:r>
        <w:rPr>
          <w:rFonts w:hint="eastAsia" w:ascii="宋体" w:hAnsi="宋体" w:cs="宋体"/>
          <w:color w:val="auto"/>
          <w:kern w:val="0"/>
          <w:sz w:val="24"/>
          <w:szCs w:val="24"/>
        </w:rPr>
        <w:t>采购人自采购合同签订之日起，1个工作日内到：长葛市财政局预算评审中心政府采购服务股进行合同备案，并登录“许昌市政府采购网”进行网上备案。</w:t>
      </w:r>
    </w:p>
    <w:p w14:paraId="41BF3CAF">
      <w:pPr>
        <w:widowControl/>
        <w:spacing w:line="360" w:lineRule="auto"/>
        <w:jc w:val="left"/>
        <w:rPr>
          <w:color w:val="auto"/>
        </w:rPr>
      </w:pPr>
      <w:r>
        <w:rPr>
          <w:rFonts w:hint="eastAsia" w:ascii="宋体" w:hAnsi="宋体" w:cs="宋体"/>
          <w:b/>
          <w:bCs/>
          <w:color w:val="auto"/>
          <w:kern w:val="0"/>
          <w:sz w:val="24"/>
          <w:szCs w:val="24"/>
        </w:rPr>
        <w:t xml:space="preserve">41.履约保证金 </w:t>
      </w:r>
    </w:p>
    <w:p w14:paraId="74C1AE5A">
      <w:pPr>
        <w:widowControl/>
        <w:spacing w:line="360" w:lineRule="auto"/>
        <w:jc w:val="left"/>
        <w:rPr>
          <w:color w:val="auto"/>
        </w:rPr>
      </w:pPr>
      <w:r>
        <w:rPr>
          <w:rFonts w:hint="eastAsia" w:ascii="宋体" w:hAnsi="宋体" w:cs="宋体"/>
          <w:color w:val="auto"/>
          <w:kern w:val="0"/>
          <w:sz w:val="24"/>
          <w:szCs w:val="24"/>
        </w:rPr>
        <w:t>无要求。</w:t>
      </w:r>
      <w:r>
        <w:rPr>
          <w:rFonts w:hint="eastAsia" w:ascii="宋体" w:hAnsi="宋体"/>
          <w:bCs/>
          <w:color w:val="auto"/>
          <w:sz w:val="24"/>
          <w:szCs w:val="24"/>
        </w:rPr>
        <w:t>按照《许昌市财政局关于加大政府采购支持中小企业力度有关事项的通知》(许财购【2022】5号）文件的要求，不收取履约保证金。</w:t>
      </w:r>
      <w:r>
        <w:rPr>
          <w:rFonts w:hint="eastAsia" w:ascii="宋体" w:hAnsi="宋体" w:cs="宋体"/>
          <w:color w:val="auto"/>
          <w:kern w:val="0"/>
          <w:sz w:val="24"/>
          <w:szCs w:val="24"/>
        </w:rPr>
        <w:t xml:space="preserve"> </w:t>
      </w:r>
    </w:p>
    <w:p w14:paraId="0FE49408">
      <w:pPr>
        <w:widowControl/>
        <w:spacing w:line="360" w:lineRule="auto"/>
        <w:jc w:val="left"/>
        <w:rPr>
          <w:color w:val="auto"/>
        </w:rPr>
      </w:pPr>
      <w:r>
        <w:rPr>
          <w:rFonts w:hint="eastAsia" w:ascii="宋体" w:hAnsi="宋体" w:cs="宋体"/>
          <w:b/>
          <w:bCs/>
          <w:color w:val="auto"/>
          <w:kern w:val="0"/>
          <w:sz w:val="24"/>
          <w:szCs w:val="24"/>
        </w:rPr>
        <w:t xml:space="preserve">42.政府采购合同融资 </w:t>
      </w:r>
    </w:p>
    <w:p w14:paraId="78214FA1">
      <w:pPr>
        <w:widowControl/>
        <w:spacing w:line="360" w:lineRule="auto"/>
        <w:ind w:firstLine="480" w:firstLineChars="200"/>
        <w:jc w:val="left"/>
        <w:rPr>
          <w:color w:val="auto"/>
        </w:rPr>
      </w:pPr>
      <w:r>
        <w:rPr>
          <w:rFonts w:hint="eastAsia" w:ascii="宋体" w:hAnsi="宋体" w:cs="宋体"/>
          <w:color w:val="auto"/>
          <w:kern w:val="0"/>
          <w:sz w:val="24"/>
          <w:szCs w:val="24"/>
        </w:rPr>
        <w:t xml:space="preserve">42.1缓解中小企业融资难题 </w:t>
      </w:r>
    </w:p>
    <w:p w14:paraId="12715EAE">
      <w:pPr>
        <w:widowControl/>
        <w:spacing w:line="360" w:lineRule="auto"/>
        <w:jc w:val="left"/>
        <w:rPr>
          <w:rFonts w:ascii="宋体" w:hAnsi="宋体" w:cs="宋体"/>
          <w:color w:val="auto"/>
          <w:kern w:val="0"/>
          <w:sz w:val="24"/>
          <w:szCs w:val="24"/>
        </w:rPr>
      </w:pPr>
      <w:r>
        <w:rPr>
          <w:rFonts w:hint="eastAsia" w:ascii="宋体" w:hAnsi="宋体" w:cs="宋体"/>
          <w:color w:val="auto"/>
          <w:kern w:val="0"/>
          <w:sz w:val="24"/>
          <w:szCs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0DF2C57C">
      <w:pPr>
        <w:widowControl/>
        <w:spacing w:line="360" w:lineRule="auto"/>
        <w:ind w:firstLine="480" w:firstLineChars="200"/>
        <w:jc w:val="left"/>
        <w:rPr>
          <w:color w:val="auto"/>
        </w:rPr>
      </w:pPr>
      <w:r>
        <w:rPr>
          <w:rFonts w:hint="eastAsia" w:ascii="宋体" w:hAnsi="宋体" w:cs="宋体"/>
          <w:color w:val="auto"/>
          <w:kern w:val="0"/>
          <w:sz w:val="24"/>
          <w:szCs w:val="24"/>
        </w:rPr>
        <w:t xml:space="preserve">42.2合作金融机构（排名不分先后） </w:t>
      </w:r>
    </w:p>
    <w:p w14:paraId="3ED5118D">
      <w:pPr>
        <w:widowControl/>
        <w:spacing w:line="360" w:lineRule="auto"/>
        <w:ind w:firstLine="480" w:firstLineChars="200"/>
        <w:jc w:val="left"/>
        <w:rPr>
          <w:color w:val="auto"/>
        </w:rPr>
      </w:pPr>
      <w:r>
        <w:rPr>
          <w:rFonts w:hint="eastAsia" w:ascii="宋体" w:hAnsi="宋体" w:cs="宋体"/>
          <w:color w:val="auto"/>
          <w:kern w:val="0"/>
          <w:sz w:val="24"/>
          <w:szCs w:val="24"/>
        </w:rPr>
        <w:t xml:space="preserve">1）合作金融机构名称：中原银行许昌分行（小微金融部） </w:t>
      </w:r>
    </w:p>
    <w:p w14:paraId="28686B81">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联系人及电话：陈阳 13137407575 方金龙 15836539901 </w:t>
      </w:r>
    </w:p>
    <w:p w14:paraId="74AA89F9">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地址：许昌市建安大道与紫云路交汇处中原银行 </w:t>
      </w:r>
    </w:p>
    <w:p w14:paraId="1810A119">
      <w:pPr>
        <w:widowControl/>
        <w:spacing w:line="360" w:lineRule="auto"/>
        <w:ind w:firstLine="480" w:firstLineChars="200"/>
        <w:jc w:val="left"/>
        <w:rPr>
          <w:color w:val="auto"/>
        </w:rPr>
      </w:pPr>
      <w:r>
        <w:rPr>
          <w:rFonts w:hint="eastAsia" w:ascii="宋体" w:hAnsi="宋体" w:cs="宋体"/>
          <w:color w:val="auto"/>
          <w:kern w:val="0"/>
          <w:sz w:val="24"/>
          <w:szCs w:val="24"/>
        </w:rPr>
        <w:t xml:space="preserve">2）合作金融机构名称：浦发银行许昌分行 </w:t>
      </w:r>
    </w:p>
    <w:p w14:paraId="5C3308E7">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联系人及电话：赵勇 0374-7313569、7313502 18937459920 </w:t>
      </w:r>
    </w:p>
    <w:p w14:paraId="4B99DE2B">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地址：许昌市许继大道1163号许继花园 </w:t>
      </w:r>
    </w:p>
    <w:p w14:paraId="0784665C">
      <w:pPr>
        <w:widowControl/>
        <w:spacing w:line="360" w:lineRule="auto"/>
        <w:ind w:firstLine="480" w:firstLineChars="200"/>
        <w:jc w:val="left"/>
        <w:rPr>
          <w:color w:val="auto"/>
        </w:rPr>
      </w:pPr>
      <w:r>
        <w:rPr>
          <w:rFonts w:hint="eastAsia" w:ascii="宋体" w:hAnsi="宋体" w:cs="宋体"/>
          <w:color w:val="auto"/>
          <w:kern w:val="0"/>
          <w:sz w:val="24"/>
          <w:szCs w:val="24"/>
        </w:rPr>
        <w:t xml:space="preserve">3）合作金融机构名称：交通银行许昌分行 </w:t>
      </w:r>
    </w:p>
    <w:p w14:paraId="48F045D9">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联系人：宋纪刚 0374-2369912 13733951305 </w:t>
      </w:r>
    </w:p>
    <w:p w14:paraId="72BA8D65">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地址：许昌市莲城大道114号 </w:t>
      </w:r>
    </w:p>
    <w:p w14:paraId="5533E1A4">
      <w:pPr>
        <w:widowControl/>
        <w:spacing w:line="360" w:lineRule="auto"/>
        <w:ind w:firstLine="480" w:firstLineChars="200"/>
        <w:jc w:val="left"/>
        <w:rPr>
          <w:color w:val="auto"/>
        </w:rPr>
      </w:pPr>
      <w:r>
        <w:rPr>
          <w:rFonts w:hint="eastAsia" w:ascii="宋体" w:hAnsi="宋体" w:cs="宋体"/>
          <w:color w:val="auto"/>
          <w:kern w:val="0"/>
          <w:sz w:val="24"/>
          <w:szCs w:val="24"/>
        </w:rPr>
        <w:t xml:space="preserve">4）合作金融机构名称：光大银行许昌分行 </w:t>
      </w:r>
    </w:p>
    <w:p w14:paraId="0C8FDD03">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联系人：李东磊 0374-2928168 18569936868 </w:t>
      </w:r>
    </w:p>
    <w:p w14:paraId="6B39BD77">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地址：许昌市魏都区八一路文峰路交叉口西北角 </w:t>
      </w:r>
    </w:p>
    <w:p w14:paraId="338E80CE">
      <w:pPr>
        <w:widowControl/>
        <w:spacing w:line="360" w:lineRule="auto"/>
        <w:ind w:firstLine="480" w:firstLineChars="200"/>
        <w:jc w:val="left"/>
        <w:rPr>
          <w:color w:val="auto"/>
        </w:rPr>
      </w:pPr>
      <w:r>
        <w:rPr>
          <w:rFonts w:hint="eastAsia" w:ascii="宋体" w:hAnsi="宋体" w:cs="宋体"/>
          <w:color w:val="auto"/>
          <w:kern w:val="0"/>
          <w:sz w:val="24"/>
          <w:szCs w:val="24"/>
        </w:rPr>
        <w:t xml:space="preserve">5）合作金融机构名称：招商银行许昌分行 </w:t>
      </w:r>
    </w:p>
    <w:p w14:paraId="5B552A8A">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联系人及电话：崔星迪 0374-5376058 18839983051 </w:t>
      </w:r>
    </w:p>
    <w:p w14:paraId="7F275E6E">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地址：许昌市建安大道中段新天下AB座 </w:t>
      </w:r>
    </w:p>
    <w:p w14:paraId="64F5C37D">
      <w:pPr>
        <w:widowControl/>
        <w:spacing w:line="360" w:lineRule="auto"/>
        <w:ind w:firstLine="480" w:firstLineChars="200"/>
        <w:jc w:val="left"/>
        <w:rPr>
          <w:color w:val="auto"/>
        </w:rPr>
      </w:pPr>
      <w:r>
        <w:rPr>
          <w:rFonts w:hint="eastAsia" w:ascii="宋体" w:hAnsi="宋体" w:cs="宋体"/>
          <w:color w:val="auto"/>
          <w:kern w:val="0"/>
          <w:sz w:val="24"/>
          <w:szCs w:val="24"/>
        </w:rPr>
        <w:t xml:space="preserve">6）合作金融机构名称：邮储银行许昌市分行 </w:t>
      </w:r>
    </w:p>
    <w:p w14:paraId="496F381D">
      <w:pPr>
        <w:widowControl/>
        <w:spacing w:line="360" w:lineRule="auto"/>
        <w:ind w:left="479" w:leftChars="228"/>
        <w:jc w:val="left"/>
        <w:rPr>
          <w:color w:val="auto"/>
        </w:rPr>
      </w:pPr>
      <w:r>
        <w:rPr>
          <w:rFonts w:hint="eastAsia" w:ascii="宋体" w:hAnsi="宋体" w:cs="宋体"/>
          <w:color w:val="auto"/>
          <w:kern w:val="0"/>
          <w:sz w:val="24"/>
          <w:szCs w:val="24"/>
        </w:rPr>
        <w:t xml:space="preserve">联系人及电话：张彦峰 13839001972 武松涛 18839902679 徐亚爽 15038297574 </w:t>
      </w:r>
    </w:p>
    <w:p w14:paraId="300531BA">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地址：许昌市莲城大道邮储银行莲城支行二楼 </w:t>
      </w:r>
    </w:p>
    <w:p w14:paraId="0E416590">
      <w:pPr>
        <w:widowControl/>
        <w:spacing w:line="360" w:lineRule="auto"/>
        <w:ind w:firstLine="480" w:firstLineChars="200"/>
        <w:jc w:val="left"/>
        <w:rPr>
          <w:color w:val="auto"/>
        </w:rPr>
      </w:pPr>
      <w:r>
        <w:rPr>
          <w:rFonts w:hint="eastAsia" w:ascii="宋体" w:hAnsi="宋体" w:cs="宋体"/>
          <w:color w:val="auto"/>
          <w:kern w:val="0"/>
          <w:sz w:val="24"/>
          <w:szCs w:val="24"/>
        </w:rPr>
        <w:t xml:space="preserve">7）合作金融机构名称：中国银行许昌分行 </w:t>
      </w:r>
    </w:p>
    <w:p w14:paraId="31886220">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联系人及电话：白炜 13938772680 刘晓飞 0374-3338596 </w:t>
      </w:r>
    </w:p>
    <w:p w14:paraId="554D12E6">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地址：许昌市魏都区建设路1488号 </w:t>
      </w:r>
    </w:p>
    <w:p w14:paraId="518809BF">
      <w:pPr>
        <w:widowControl/>
        <w:spacing w:line="360" w:lineRule="auto"/>
        <w:ind w:firstLine="480" w:firstLineChars="200"/>
        <w:jc w:val="left"/>
        <w:rPr>
          <w:color w:val="auto"/>
        </w:rPr>
      </w:pPr>
      <w:r>
        <w:rPr>
          <w:rFonts w:hint="eastAsia" w:ascii="宋体" w:hAnsi="宋体" w:cs="宋体"/>
          <w:color w:val="auto"/>
          <w:kern w:val="0"/>
          <w:sz w:val="24"/>
          <w:szCs w:val="24"/>
        </w:rPr>
        <w:t xml:space="preserve">8）合作金融机构名称：中信银行郑州红专路支行 </w:t>
      </w:r>
    </w:p>
    <w:p w14:paraId="51D25C48">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联系人：韩晨 13253490679 </w:t>
      </w:r>
    </w:p>
    <w:p w14:paraId="2EE6B14A">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地址：郑州市金水区经三路北26号中信银行郑州红专路支行 </w:t>
      </w:r>
    </w:p>
    <w:p w14:paraId="61AE4A21">
      <w:pPr>
        <w:widowControl/>
        <w:spacing w:line="360" w:lineRule="auto"/>
        <w:ind w:firstLine="480" w:firstLineChars="200"/>
        <w:jc w:val="left"/>
        <w:rPr>
          <w:color w:val="auto"/>
        </w:rPr>
      </w:pPr>
      <w:r>
        <w:rPr>
          <w:rFonts w:hint="eastAsia" w:ascii="宋体" w:hAnsi="宋体" w:cs="宋体"/>
          <w:color w:val="auto"/>
          <w:kern w:val="0"/>
          <w:sz w:val="24"/>
          <w:szCs w:val="24"/>
        </w:rPr>
        <w:t xml:space="preserve">9）合作金融机构名称：郑州银行许昌分行 </w:t>
      </w:r>
    </w:p>
    <w:p w14:paraId="6BBE37F7">
      <w:pPr>
        <w:widowControl/>
        <w:spacing w:line="360" w:lineRule="auto"/>
        <w:ind w:firstLine="480" w:firstLineChars="200"/>
        <w:jc w:val="left"/>
        <w:rPr>
          <w:color w:val="auto"/>
        </w:rPr>
      </w:pPr>
      <w:r>
        <w:rPr>
          <w:rFonts w:hint="eastAsia" w:ascii="宋体" w:hAnsi="宋体" w:cs="宋体"/>
          <w:color w:val="auto"/>
          <w:kern w:val="0"/>
          <w:sz w:val="24"/>
          <w:szCs w:val="24"/>
        </w:rPr>
        <w:t xml:space="preserve">联系人：王晶 0374-2298011 18339062222 </w:t>
      </w:r>
    </w:p>
    <w:p w14:paraId="40B84CA5">
      <w:pPr>
        <w:widowControl/>
        <w:spacing w:line="360" w:lineRule="auto"/>
        <w:ind w:firstLine="480" w:firstLineChars="200"/>
        <w:jc w:val="left"/>
        <w:rPr>
          <w:color w:val="auto"/>
        </w:rPr>
      </w:pPr>
      <w:r>
        <w:rPr>
          <w:rFonts w:hint="eastAsia" w:ascii="宋体" w:hAnsi="宋体" w:cs="宋体"/>
          <w:color w:val="auto"/>
          <w:kern w:val="0"/>
          <w:sz w:val="24"/>
          <w:szCs w:val="24"/>
        </w:rPr>
        <w:t xml:space="preserve">地址：河南省许昌市魏都区莲城大道与魏文路交叉口西南角亨通君成国际大厦 </w:t>
      </w:r>
    </w:p>
    <w:p w14:paraId="2C99141B">
      <w:pPr>
        <w:widowControl/>
        <w:spacing w:line="360" w:lineRule="auto"/>
        <w:ind w:firstLine="480" w:firstLineChars="200"/>
        <w:jc w:val="left"/>
        <w:rPr>
          <w:color w:val="auto"/>
        </w:rPr>
      </w:pPr>
      <w:r>
        <w:rPr>
          <w:rFonts w:hint="eastAsia" w:ascii="宋体" w:hAnsi="宋体" w:cs="宋体"/>
          <w:color w:val="auto"/>
          <w:kern w:val="0"/>
          <w:sz w:val="24"/>
          <w:szCs w:val="24"/>
        </w:rPr>
        <w:t xml:space="preserve">42.3“许昌市政府采购合同融资金融产品推介名录”链接 </w:t>
      </w:r>
    </w:p>
    <w:p w14:paraId="48F5E4DA">
      <w:pPr>
        <w:autoSpaceDE w:val="0"/>
        <w:autoSpaceDN w:val="0"/>
        <w:spacing w:line="360" w:lineRule="auto"/>
        <w:ind w:firstLine="480" w:firstLineChars="200"/>
        <w:contextualSpacing/>
        <w:rPr>
          <w:color w:val="auto"/>
        </w:rPr>
      </w:pPr>
      <w:r>
        <w:rPr>
          <w:rFonts w:hint="eastAsia" w:ascii="宋体" w:hAnsi="宋体" w:cs="宋体"/>
          <w:bCs/>
          <w:color w:val="auto"/>
          <w:kern w:val="0"/>
          <w:sz w:val="24"/>
          <w:szCs w:val="24"/>
        </w:rPr>
        <w:t>https://xuchang.zfcg.henan.gov.cn/xuchang/content?infoId=1606365368231095</w:t>
      </w:r>
    </w:p>
    <w:p w14:paraId="371356B5">
      <w:pPr>
        <w:autoSpaceDE w:val="0"/>
        <w:autoSpaceDN w:val="0"/>
        <w:spacing w:line="360" w:lineRule="auto"/>
        <w:ind w:firstLine="482" w:firstLineChars="200"/>
        <w:contextualSpacing/>
        <w:jc w:val="left"/>
        <w:rPr>
          <w:rFonts w:ascii="宋体" w:hAnsi="宋体" w:cs="宋体"/>
          <w:color w:val="auto"/>
          <w:kern w:val="0"/>
          <w:sz w:val="24"/>
        </w:rPr>
      </w:pPr>
      <w:r>
        <w:rPr>
          <w:rFonts w:hint="eastAsia" w:ascii="宋体" w:hAnsi="宋体" w:cs="宋体"/>
          <w:b/>
          <w:bCs/>
          <w:color w:val="auto"/>
          <w:kern w:val="0"/>
          <w:sz w:val="24"/>
        </w:rPr>
        <w:t>43.“采小帮”政府采购服务体系</w:t>
      </w:r>
      <w:r>
        <w:rPr>
          <w:rFonts w:hint="eastAsia" w:ascii="宋体" w:hAnsi="宋体" w:cs="宋体"/>
          <w:color w:val="auto"/>
          <w:kern w:val="0"/>
          <w:sz w:val="24"/>
        </w:rPr>
        <w:t xml:space="preserve"> </w:t>
      </w:r>
    </w:p>
    <w:p w14:paraId="24618C46">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为持续优化我市政府采购营商环境, 长葛市财政局财政预算评审中心政府采购服务股办公室人员、长葛市公共资源交易中心政府采购交易股人员组成“采小帮”服务团队，提供政府采购政策咨询服务，以及项目实施全程跟踪提醒、监督预警服务。 </w:t>
      </w:r>
    </w:p>
    <w:p w14:paraId="55484FE0">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43.1“采小帮”服务团队依据职责分工，向供应商提供个性化、精准化服务，包括政策咨询、政策宣传、采购辅导、节点提醒、风险提示、问题反馈等。 </w:t>
      </w:r>
    </w:p>
    <w:p w14:paraId="584448D4">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14:paraId="5C112DFB">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43.3助手团队</w:t>
      </w:r>
    </w:p>
    <w:tbl>
      <w:tblPr>
        <w:tblStyle w:val="31"/>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14:paraId="1020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14:paraId="2B264DFB">
            <w:pPr>
              <w:autoSpaceDE w:val="0"/>
              <w:autoSpaceDN w:val="0"/>
              <w:spacing w:line="360" w:lineRule="auto"/>
              <w:contextualSpacing/>
              <w:jc w:val="center"/>
              <w:rPr>
                <w:rFonts w:ascii="宋体" w:hAnsi="宋体" w:cs="宋体"/>
                <w:color w:val="auto"/>
                <w:kern w:val="0"/>
                <w:sz w:val="24"/>
              </w:rPr>
            </w:pPr>
            <w:r>
              <w:rPr>
                <w:rFonts w:hint="eastAsia" w:ascii="宋体" w:hAnsi="宋体" w:cs="宋体"/>
                <w:color w:val="auto"/>
                <w:kern w:val="0"/>
                <w:sz w:val="24"/>
              </w:rPr>
              <w:t>部门</w:t>
            </w:r>
          </w:p>
        </w:tc>
        <w:tc>
          <w:tcPr>
            <w:tcW w:w="1081" w:type="dxa"/>
          </w:tcPr>
          <w:p w14:paraId="4BF30270">
            <w:pPr>
              <w:autoSpaceDE w:val="0"/>
              <w:autoSpaceDN w:val="0"/>
              <w:spacing w:line="360" w:lineRule="auto"/>
              <w:contextualSpacing/>
              <w:jc w:val="center"/>
              <w:rPr>
                <w:rFonts w:ascii="宋体" w:hAnsi="宋体" w:cs="宋体"/>
                <w:color w:val="auto"/>
                <w:kern w:val="0"/>
                <w:sz w:val="24"/>
              </w:rPr>
            </w:pPr>
            <w:r>
              <w:rPr>
                <w:rFonts w:hint="eastAsia" w:ascii="宋体" w:hAnsi="宋体" w:cs="宋体"/>
                <w:color w:val="auto"/>
                <w:kern w:val="0"/>
                <w:sz w:val="24"/>
              </w:rPr>
              <w:t>姓名</w:t>
            </w:r>
          </w:p>
        </w:tc>
        <w:tc>
          <w:tcPr>
            <w:tcW w:w="1728" w:type="dxa"/>
          </w:tcPr>
          <w:p w14:paraId="06640899">
            <w:pPr>
              <w:autoSpaceDE w:val="0"/>
              <w:autoSpaceDN w:val="0"/>
              <w:spacing w:line="360" w:lineRule="auto"/>
              <w:contextualSpacing/>
              <w:jc w:val="center"/>
              <w:rPr>
                <w:rFonts w:ascii="宋体" w:hAnsi="宋体" w:cs="宋体"/>
                <w:color w:val="auto"/>
                <w:kern w:val="0"/>
                <w:sz w:val="24"/>
              </w:rPr>
            </w:pPr>
            <w:r>
              <w:rPr>
                <w:rFonts w:hint="eastAsia" w:ascii="宋体" w:hAnsi="宋体" w:cs="宋体"/>
                <w:color w:val="auto"/>
                <w:kern w:val="0"/>
                <w:sz w:val="24"/>
              </w:rPr>
              <w:t>联系方式</w:t>
            </w:r>
          </w:p>
        </w:tc>
        <w:tc>
          <w:tcPr>
            <w:tcW w:w="3816" w:type="dxa"/>
          </w:tcPr>
          <w:p w14:paraId="2AA6F2C0">
            <w:pPr>
              <w:autoSpaceDE w:val="0"/>
              <w:autoSpaceDN w:val="0"/>
              <w:spacing w:line="360" w:lineRule="auto"/>
              <w:contextualSpacing/>
              <w:jc w:val="center"/>
              <w:rPr>
                <w:rFonts w:ascii="宋体" w:hAnsi="宋体" w:cs="宋体"/>
                <w:color w:val="auto"/>
                <w:kern w:val="0"/>
                <w:sz w:val="24"/>
              </w:rPr>
            </w:pPr>
            <w:r>
              <w:rPr>
                <w:rFonts w:hint="eastAsia" w:ascii="宋体" w:hAnsi="宋体" w:cs="宋体"/>
                <w:color w:val="auto"/>
                <w:kern w:val="0"/>
                <w:sz w:val="24"/>
              </w:rPr>
              <w:t>服务领域</w:t>
            </w:r>
          </w:p>
        </w:tc>
      </w:tr>
      <w:tr w14:paraId="592CA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14:paraId="57DC4221">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长葛市财政预算评审中心政府采购服务股</w:t>
            </w:r>
          </w:p>
        </w:tc>
        <w:tc>
          <w:tcPr>
            <w:tcW w:w="1081" w:type="dxa"/>
          </w:tcPr>
          <w:p w14:paraId="456BE8F6">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文英</w:t>
            </w:r>
          </w:p>
        </w:tc>
        <w:tc>
          <w:tcPr>
            <w:tcW w:w="1728" w:type="dxa"/>
          </w:tcPr>
          <w:p w14:paraId="77B71387">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0374-6189720</w:t>
            </w:r>
          </w:p>
        </w:tc>
        <w:tc>
          <w:tcPr>
            <w:tcW w:w="3816" w:type="dxa"/>
          </w:tcPr>
          <w:p w14:paraId="4664D6EB">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优化政府采购营商环境</w:t>
            </w:r>
          </w:p>
        </w:tc>
      </w:tr>
      <w:tr w14:paraId="50E8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401AC542">
            <w:pPr>
              <w:autoSpaceDE w:val="0"/>
              <w:autoSpaceDN w:val="0"/>
              <w:spacing w:line="360" w:lineRule="auto"/>
              <w:ind w:firstLine="480" w:firstLineChars="200"/>
              <w:contextualSpacing/>
              <w:jc w:val="left"/>
              <w:rPr>
                <w:rFonts w:ascii="宋体" w:hAnsi="宋体" w:cs="宋体"/>
                <w:color w:val="auto"/>
                <w:kern w:val="0"/>
                <w:sz w:val="24"/>
              </w:rPr>
            </w:pPr>
          </w:p>
        </w:tc>
        <w:tc>
          <w:tcPr>
            <w:tcW w:w="1081" w:type="dxa"/>
          </w:tcPr>
          <w:p w14:paraId="46772B40">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刘晓英</w:t>
            </w:r>
          </w:p>
        </w:tc>
        <w:tc>
          <w:tcPr>
            <w:tcW w:w="1728" w:type="dxa"/>
          </w:tcPr>
          <w:p w14:paraId="792B1935">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0374-6189720</w:t>
            </w:r>
          </w:p>
        </w:tc>
        <w:tc>
          <w:tcPr>
            <w:tcW w:w="3816" w:type="dxa"/>
          </w:tcPr>
          <w:p w14:paraId="756AFAF6">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政府采购政策制度、政府采购监督检查、投诉处理</w:t>
            </w:r>
          </w:p>
        </w:tc>
      </w:tr>
      <w:tr w14:paraId="263F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33D290E1">
            <w:pPr>
              <w:autoSpaceDE w:val="0"/>
              <w:autoSpaceDN w:val="0"/>
              <w:spacing w:line="360" w:lineRule="auto"/>
              <w:ind w:firstLine="480" w:firstLineChars="200"/>
              <w:contextualSpacing/>
              <w:jc w:val="left"/>
              <w:rPr>
                <w:rFonts w:ascii="宋体" w:hAnsi="宋体" w:cs="宋体"/>
                <w:color w:val="auto"/>
                <w:kern w:val="0"/>
                <w:sz w:val="24"/>
              </w:rPr>
            </w:pPr>
          </w:p>
        </w:tc>
        <w:tc>
          <w:tcPr>
            <w:tcW w:w="1081" w:type="dxa"/>
          </w:tcPr>
          <w:p w14:paraId="4CF736C9">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黄莹莹</w:t>
            </w:r>
          </w:p>
        </w:tc>
        <w:tc>
          <w:tcPr>
            <w:tcW w:w="1728" w:type="dxa"/>
          </w:tcPr>
          <w:p w14:paraId="1A06E44E">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0374-6189720</w:t>
            </w:r>
          </w:p>
        </w:tc>
        <w:tc>
          <w:tcPr>
            <w:tcW w:w="3816" w:type="dxa"/>
          </w:tcPr>
          <w:p w14:paraId="31924E8A">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政府采购政策咨询、信用信息收集、信息公开</w:t>
            </w:r>
          </w:p>
        </w:tc>
      </w:tr>
      <w:tr w14:paraId="411E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5CCBB8EA">
            <w:pPr>
              <w:autoSpaceDE w:val="0"/>
              <w:autoSpaceDN w:val="0"/>
              <w:spacing w:line="360" w:lineRule="auto"/>
              <w:ind w:firstLine="480" w:firstLineChars="200"/>
              <w:contextualSpacing/>
              <w:jc w:val="left"/>
              <w:rPr>
                <w:rFonts w:ascii="宋体" w:hAnsi="宋体" w:cs="宋体"/>
                <w:color w:val="auto"/>
                <w:kern w:val="0"/>
                <w:sz w:val="24"/>
              </w:rPr>
            </w:pPr>
          </w:p>
        </w:tc>
        <w:tc>
          <w:tcPr>
            <w:tcW w:w="1081" w:type="dxa"/>
          </w:tcPr>
          <w:p w14:paraId="2C5747FB">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陈琳</w:t>
            </w:r>
          </w:p>
        </w:tc>
        <w:tc>
          <w:tcPr>
            <w:tcW w:w="1728" w:type="dxa"/>
          </w:tcPr>
          <w:p w14:paraId="21100AA8">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0374-6189720</w:t>
            </w:r>
          </w:p>
        </w:tc>
        <w:tc>
          <w:tcPr>
            <w:tcW w:w="3816" w:type="dxa"/>
          </w:tcPr>
          <w:p w14:paraId="54683605">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绿色采购、支持中小企业发展、832平台</w:t>
            </w:r>
          </w:p>
        </w:tc>
      </w:tr>
      <w:tr w14:paraId="4F26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restart"/>
          </w:tcPr>
          <w:p w14:paraId="158D10E7">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长葛市政府采购交易股</w:t>
            </w:r>
          </w:p>
        </w:tc>
        <w:tc>
          <w:tcPr>
            <w:tcW w:w="1081" w:type="dxa"/>
          </w:tcPr>
          <w:p w14:paraId="22ABF7FF">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周幸</w:t>
            </w:r>
          </w:p>
        </w:tc>
        <w:tc>
          <w:tcPr>
            <w:tcW w:w="1728" w:type="dxa"/>
          </w:tcPr>
          <w:p w14:paraId="59C6D511">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0374-6189379</w:t>
            </w:r>
          </w:p>
        </w:tc>
        <w:tc>
          <w:tcPr>
            <w:tcW w:w="3816" w:type="dxa"/>
          </w:tcPr>
          <w:p w14:paraId="3E880196">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 xml:space="preserve">集采交易文件编制，信息（公告、文件） </w:t>
            </w:r>
          </w:p>
          <w:p w14:paraId="67CFD0B5">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发布，集采项目答疑</w:t>
            </w:r>
          </w:p>
        </w:tc>
      </w:tr>
      <w:tr w14:paraId="7942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11B41795">
            <w:pPr>
              <w:autoSpaceDE w:val="0"/>
              <w:autoSpaceDN w:val="0"/>
              <w:spacing w:line="360" w:lineRule="auto"/>
              <w:ind w:firstLine="480" w:firstLineChars="200"/>
              <w:contextualSpacing/>
              <w:jc w:val="left"/>
              <w:rPr>
                <w:rFonts w:ascii="宋体" w:hAnsi="宋体" w:cs="宋体"/>
                <w:color w:val="auto"/>
                <w:kern w:val="0"/>
                <w:sz w:val="24"/>
              </w:rPr>
            </w:pPr>
          </w:p>
        </w:tc>
        <w:tc>
          <w:tcPr>
            <w:tcW w:w="1081" w:type="dxa"/>
          </w:tcPr>
          <w:p w14:paraId="1ECD7E44">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王丹丹</w:t>
            </w:r>
          </w:p>
        </w:tc>
        <w:tc>
          <w:tcPr>
            <w:tcW w:w="1728" w:type="dxa"/>
          </w:tcPr>
          <w:p w14:paraId="48DC77D3">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0374-6189379</w:t>
            </w:r>
          </w:p>
        </w:tc>
        <w:tc>
          <w:tcPr>
            <w:tcW w:w="3816" w:type="dxa"/>
          </w:tcPr>
          <w:p w14:paraId="090E0381">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 xml:space="preserve">集采交易文件编制，信息（公告、文件） </w:t>
            </w:r>
          </w:p>
          <w:p w14:paraId="3E1F23A9">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发布，集采项目答疑</w:t>
            </w:r>
          </w:p>
          <w:p w14:paraId="3FCBF2CC">
            <w:pPr>
              <w:autoSpaceDE w:val="0"/>
              <w:autoSpaceDN w:val="0"/>
              <w:spacing w:line="360" w:lineRule="auto"/>
              <w:ind w:firstLine="480" w:firstLineChars="200"/>
              <w:contextualSpacing/>
              <w:jc w:val="left"/>
              <w:rPr>
                <w:rFonts w:ascii="宋体" w:hAnsi="宋体" w:cs="宋体"/>
                <w:color w:val="auto"/>
                <w:kern w:val="0"/>
                <w:sz w:val="24"/>
              </w:rPr>
            </w:pPr>
          </w:p>
        </w:tc>
      </w:tr>
      <w:tr w14:paraId="588F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Merge w:val="continue"/>
          </w:tcPr>
          <w:p w14:paraId="2BF2BF3D">
            <w:pPr>
              <w:autoSpaceDE w:val="0"/>
              <w:autoSpaceDN w:val="0"/>
              <w:spacing w:line="360" w:lineRule="auto"/>
              <w:ind w:firstLine="480" w:firstLineChars="200"/>
              <w:contextualSpacing/>
              <w:jc w:val="left"/>
              <w:rPr>
                <w:rFonts w:ascii="宋体" w:hAnsi="宋体" w:cs="宋体"/>
                <w:color w:val="auto"/>
                <w:kern w:val="0"/>
                <w:sz w:val="24"/>
              </w:rPr>
            </w:pPr>
          </w:p>
        </w:tc>
        <w:tc>
          <w:tcPr>
            <w:tcW w:w="1081" w:type="dxa"/>
          </w:tcPr>
          <w:p w14:paraId="2824B128">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张义顺</w:t>
            </w:r>
          </w:p>
        </w:tc>
        <w:tc>
          <w:tcPr>
            <w:tcW w:w="1728" w:type="dxa"/>
          </w:tcPr>
          <w:p w14:paraId="478F5D22">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0374-6189379</w:t>
            </w:r>
          </w:p>
        </w:tc>
        <w:tc>
          <w:tcPr>
            <w:tcW w:w="3816" w:type="dxa"/>
          </w:tcPr>
          <w:p w14:paraId="13151BD4">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 xml:space="preserve">集采交易文件编制，信息（公告、文件） </w:t>
            </w:r>
          </w:p>
          <w:p w14:paraId="49008892">
            <w:pPr>
              <w:autoSpaceDE w:val="0"/>
              <w:autoSpaceDN w:val="0"/>
              <w:spacing w:line="360" w:lineRule="auto"/>
              <w:contextualSpacing/>
              <w:jc w:val="left"/>
              <w:rPr>
                <w:rFonts w:ascii="宋体" w:hAnsi="宋体" w:cs="宋体"/>
                <w:color w:val="auto"/>
                <w:kern w:val="0"/>
                <w:sz w:val="24"/>
              </w:rPr>
            </w:pPr>
            <w:r>
              <w:rPr>
                <w:rFonts w:hint="eastAsia" w:ascii="宋体" w:hAnsi="宋体" w:cs="宋体"/>
                <w:color w:val="auto"/>
                <w:kern w:val="0"/>
                <w:sz w:val="24"/>
              </w:rPr>
              <w:t>发布，集采项目答疑</w:t>
            </w:r>
          </w:p>
        </w:tc>
      </w:tr>
    </w:tbl>
    <w:p w14:paraId="18DAEE48">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43.4咨询途径： </w:t>
      </w:r>
    </w:p>
    <w:p w14:paraId="1102763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（1）电话咨询：采购人、供应商对照助手团队人员，通过电话方式直接咨询。 </w:t>
      </w:r>
    </w:p>
    <w:p w14:paraId="6989DA07">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（2）邮箱咨询： </w:t>
      </w:r>
    </w:p>
    <w:p w14:paraId="1BB4BE72">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①发送电子邮件至长葛市财政预算评审中心政府采购服务股咨询邮箱，邮箱地址：cgscgb6189720@126.com； </w:t>
      </w:r>
    </w:p>
    <w:p w14:paraId="141CB986">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 xml:space="preserve">②发送电子邮件至长葛市政府采购交易股咨询邮箱，邮箱地址：cgb6189379@163.com； </w:t>
      </w:r>
    </w:p>
    <w:p w14:paraId="2FCCAA0D">
      <w:pPr>
        <w:autoSpaceDE w:val="0"/>
        <w:autoSpaceDN w:val="0"/>
        <w:spacing w:line="360" w:lineRule="auto"/>
        <w:ind w:firstLine="480" w:firstLineChars="200"/>
        <w:contextualSpacing/>
        <w:jc w:val="left"/>
        <w:rPr>
          <w:rFonts w:ascii="宋体" w:hAnsi="宋体" w:cs="宋体"/>
          <w:color w:val="auto"/>
          <w:kern w:val="0"/>
          <w:sz w:val="24"/>
        </w:rPr>
      </w:pPr>
      <w:r>
        <w:rPr>
          <w:rFonts w:hint="eastAsia" w:ascii="宋体" w:hAnsi="宋体" w:cs="宋体"/>
          <w:color w:val="auto"/>
          <w:kern w:val="0"/>
          <w:sz w:val="24"/>
        </w:rPr>
        <w:t>（3）微信咨询：有咨询需求的供应商拨打电话申请加入微信群，在线提出咨询问题。</w:t>
      </w:r>
    </w:p>
    <w:p w14:paraId="28CED633">
      <w:pPr>
        <w:rPr>
          <w:rFonts w:ascii="宋体" w:hAnsi="宋体" w:cs="宋体"/>
          <w:b/>
          <w:color w:val="auto"/>
          <w:kern w:val="0"/>
          <w:sz w:val="32"/>
          <w:szCs w:val="32"/>
        </w:rPr>
      </w:pPr>
      <w:r>
        <w:rPr>
          <w:rFonts w:hint="eastAsia" w:ascii="宋体" w:hAnsi="宋体" w:cs="宋体"/>
          <w:b/>
          <w:color w:val="auto"/>
          <w:kern w:val="0"/>
          <w:sz w:val="32"/>
          <w:szCs w:val="32"/>
        </w:rPr>
        <w:br w:type="page"/>
      </w:r>
    </w:p>
    <w:p w14:paraId="235EA34E">
      <w:pPr>
        <w:autoSpaceDE w:val="0"/>
        <w:autoSpaceDN w:val="0"/>
        <w:spacing w:line="360" w:lineRule="auto"/>
        <w:jc w:val="center"/>
        <w:outlineLvl w:val="0"/>
        <w:rPr>
          <w:rFonts w:ascii="宋体" w:cs="宋体"/>
          <w:b/>
          <w:color w:val="auto"/>
          <w:kern w:val="0"/>
          <w:sz w:val="36"/>
          <w:szCs w:val="36"/>
        </w:rPr>
      </w:pPr>
      <w:r>
        <w:rPr>
          <w:rFonts w:hint="eastAsia" w:ascii="宋体" w:hAnsi="宋体" w:cs="宋体"/>
          <w:b/>
          <w:color w:val="auto"/>
          <w:kern w:val="0"/>
          <w:sz w:val="32"/>
          <w:szCs w:val="32"/>
        </w:rPr>
        <w:t>第五章 政府采购政策功能</w:t>
      </w:r>
    </w:p>
    <w:p w14:paraId="381DF303">
      <w:pPr>
        <w:adjustRightInd w:val="0"/>
        <w:snapToGrid w:val="0"/>
        <w:spacing w:line="360" w:lineRule="auto"/>
        <w:ind w:firstLine="484" w:firstLineChars="200"/>
        <w:rPr>
          <w:rFonts w:ascii="宋体" w:hAnsi="宋体" w:cs="宋体"/>
          <w:color w:val="auto"/>
          <w:sz w:val="24"/>
          <w:szCs w:val="24"/>
        </w:rPr>
      </w:pPr>
      <w:r>
        <w:rPr>
          <w:rFonts w:hint="eastAsia" w:ascii="宋体" w:hAnsi="宋体" w:cs="宋体"/>
          <w:color w:val="auto"/>
          <w:spacing w:val="1"/>
          <w:sz w:val="24"/>
          <w:szCs w:val="24"/>
        </w:rPr>
        <w:t>根据《中华人民共和国政府采</w:t>
      </w:r>
      <w:r>
        <w:rPr>
          <w:rFonts w:hint="eastAsia" w:ascii="宋体" w:hAnsi="宋体" w:cs="宋体"/>
          <w:color w:val="auto"/>
          <w:sz w:val="24"/>
          <w:szCs w:val="24"/>
        </w:rPr>
        <w:t>购法》、《中华人民共和国政府采购法实施条例》、《政府采购货</w:t>
      </w:r>
      <w:r>
        <w:rPr>
          <w:rFonts w:hint="eastAsia" w:ascii="宋体" w:hAnsi="宋体" w:cs="宋体"/>
          <w:color w:val="auto"/>
          <w:spacing w:val="20"/>
          <w:sz w:val="24"/>
          <w:szCs w:val="24"/>
        </w:rPr>
        <w:t>物</w:t>
      </w:r>
      <w:r>
        <w:rPr>
          <w:rFonts w:hint="eastAsia" w:ascii="宋体" w:hAnsi="宋体" w:cs="宋体"/>
          <w:color w:val="auto"/>
          <w:spacing w:val="13"/>
          <w:sz w:val="24"/>
          <w:szCs w:val="24"/>
        </w:rPr>
        <w:t>和</w:t>
      </w:r>
      <w:r>
        <w:rPr>
          <w:rFonts w:hint="eastAsia" w:ascii="宋体" w:hAnsi="宋体" w:cs="宋体"/>
          <w:color w:val="auto"/>
          <w:spacing w:val="10"/>
          <w:sz w:val="24"/>
          <w:szCs w:val="24"/>
        </w:rPr>
        <w:t>服务招标投标管理办法》等规定，政府采购项目应落实节约能源、保护环境、促进中小企业</w:t>
      </w:r>
      <w:r>
        <w:rPr>
          <w:rFonts w:hint="eastAsia" w:ascii="宋体" w:hAnsi="宋体" w:cs="宋体"/>
          <w:color w:val="auto"/>
          <w:spacing w:val="15"/>
          <w:sz w:val="24"/>
          <w:szCs w:val="24"/>
        </w:rPr>
        <w:t>发</w:t>
      </w:r>
      <w:r>
        <w:rPr>
          <w:rFonts w:hint="eastAsia" w:ascii="宋体" w:hAnsi="宋体" w:cs="宋体"/>
          <w:color w:val="auto"/>
          <w:spacing w:val="9"/>
          <w:sz w:val="24"/>
          <w:szCs w:val="24"/>
        </w:rPr>
        <w:t>展、支持监狱企业发展、促进残疾人就业等政府采购政策。</w:t>
      </w:r>
    </w:p>
    <w:p w14:paraId="549EE1FC">
      <w:pPr>
        <w:adjustRightInd w:val="0"/>
        <w:snapToGrid w:val="0"/>
        <w:spacing w:line="360" w:lineRule="auto"/>
        <w:ind w:firstLine="538" w:firstLineChars="200"/>
        <w:rPr>
          <w:rFonts w:ascii="宋体" w:hAnsi="宋体" w:cs="宋体"/>
          <w:b/>
          <w:bCs/>
          <w:color w:val="auto"/>
          <w:sz w:val="24"/>
          <w:szCs w:val="24"/>
        </w:rPr>
      </w:pPr>
      <w:r>
        <w:rPr>
          <w:rFonts w:hint="eastAsia" w:ascii="宋体" w:hAnsi="宋体" w:cs="宋体"/>
          <w:b/>
          <w:bCs/>
          <w:color w:val="auto"/>
          <w:spacing w:val="14"/>
          <w:position w:val="2"/>
          <w:sz w:val="24"/>
          <w:szCs w:val="24"/>
        </w:rPr>
        <w:t>一</w:t>
      </w:r>
      <w:r>
        <w:rPr>
          <w:rFonts w:hint="eastAsia" w:ascii="宋体" w:hAnsi="宋体" w:cs="宋体"/>
          <w:b/>
          <w:bCs/>
          <w:color w:val="auto"/>
          <w:spacing w:val="9"/>
          <w:position w:val="2"/>
          <w:sz w:val="24"/>
          <w:szCs w:val="24"/>
        </w:rPr>
        <w:t>、节约能源、保护环境</w:t>
      </w:r>
    </w:p>
    <w:p w14:paraId="66FA9ECE">
      <w:pPr>
        <w:adjustRightInd w:val="0"/>
        <w:snapToGrid w:val="0"/>
        <w:spacing w:line="360" w:lineRule="auto"/>
        <w:ind w:firstLine="560" w:firstLineChars="200"/>
        <w:rPr>
          <w:rFonts w:ascii="宋体" w:hAnsi="宋体" w:cs="宋体"/>
          <w:color w:val="auto"/>
          <w:sz w:val="24"/>
          <w:szCs w:val="24"/>
        </w:rPr>
      </w:pPr>
      <w:r>
        <w:rPr>
          <w:rFonts w:hint="eastAsia" w:ascii="宋体" w:hAnsi="宋体" w:cs="宋体"/>
          <w:color w:val="auto"/>
          <w:spacing w:val="20"/>
          <w:sz w:val="24"/>
          <w:szCs w:val="24"/>
        </w:rPr>
        <w:t>按</w:t>
      </w:r>
      <w:r>
        <w:rPr>
          <w:rFonts w:hint="eastAsia" w:ascii="宋体" w:hAnsi="宋体" w:cs="宋体"/>
          <w:color w:val="auto"/>
          <w:spacing w:val="11"/>
          <w:sz w:val="24"/>
          <w:szCs w:val="24"/>
        </w:rPr>
        <w:t>照</w:t>
      </w:r>
      <w:r>
        <w:rPr>
          <w:rFonts w:hint="eastAsia" w:ascii="宋体" w:hAnsi="宋体" w:cs="宋体"/>
          <w:color w:val="auto"/>
          <w:spacing w:val="10"/>
          <w:sz w:val="24"/>
          <w:szCs w:val="24"/>
        </w:rPr>
        <w:t>《财政部、发展改革委、生态环境部、市场监管总局关于调整优化节能产品、环境标志</w:t>
      </w:r>
      <w:r>
        <w:rPr>
          <w:rFonts w:hint="eastAsia" w:ascii="宋体" w:hAnsi="宋体" w:cs="宋体"/>
          <w:color w:val="auto"/>
          <w:spacing w:val="11"/>
          <w:sz w:val="24"/>
          <w:szCs w:val="24"/>
        </w:rPr>
        <w:t>产</w:t>
      </w:r>
      <w:r>
        <w:rPr>
          <w:rFonts w:hint="eastAsia" w:ascii="宋体" w:hAnsi="宋体" w:cs="宋体"/>
          <w:color w:val="auto"/>
          <w:spacing w:val="7"/>
          <w:sz w:val="24"/>
          <w:szCs w:val="24"/>
        </w:rPr>
        <w:t>品政府采购执行机制的通知》(财库〔2019〕9号)和财政部、生态环境部《关于印发环境标志</w:t>
      </w:r>
      <w:r>
        <w:rPr>
          <w:rFonts w:hint="eastAsia" w:ascii="宋体" w:hAnsi="宋体" w:cs="宋体"/>
          <w:color w:val="auto"/>
          <w:spacing w:val="9"/>
          <w:sz w:val="24"/>
          <w:szCs w:val="24"/>
        </w:rPr>
        <w:t>产品政府采购品目清单的通知》(财库[2019]18号)以及财政部、发展改革委《关于印发节能</w:t>
      </w:r>
      <w:r>
        <w:rPr>
          <w:rFonts w:hint="eastAsia" w:ascii="宋体" w:hAnsi="宋体" w:cs="宋体"/>
          <w:color w:val="auto"/>
          <w:spacing w:val="8"/>
          <w:sz w:val="24"/>
          <w:szCs w:val="24"/>
        </w:rPr>
        <w:t>产</w:t>
      </w:r>
      <w:r>
        <w:rPr>
          <w:rFonts w:hint="eastAsia" w:ascii="宋体" w:hAnsi="宋体" w:cs="宋体"/>
          <w:color w:val="auto"/>
          <w:spacing w:val="7"/>
          <w:sz w:val="24"/>
          <w:szCs w:val="24"/>
        </w:rPr>
        <w:t>品政府采购品目清单的通知》(财库[2019]19号)，采购政府强制采购产品的，该产品必须具有</w:t>
      </w:r>
      <w:r>
        <w:rPr>
          <w:rFonts w:hint="eastAsia" w:ascii="宋体" w:hAnsi="宋体" w:cs="宋体"/>
          <w:color w:val="auto"/>
          <w:spacing w:val="4"/>
          <w:sz w:val="24"/>
          <w:szCs w:val="24"/>
        </w:rPr>
        <w:t>国</w:t>
      </w:r>
      <w:r>
        <w:rPr>
          <w:rFonts w:hint="eastAsia" w:ascii="宋体" w:hAnsi="宋体" w:cs="宋体"/>
          <w:color w:val="auto"/>
          <w:spacing w:val="20"/>
          <w:sz w:val="24"/>
          <w:szCs w:val="24"/>
        </w:rPr>
        <w:t>家</w:t>
      </w:r>
      <w:r>
        <w:rPr>
          <w:rFonts w:hint="eastAsia" w:ascii="宋体" w:hAnsi="宋体" w:cs="宋体"/>
          <w:color w:val="auto"/>
          <w:spacing w:val="13"/>
          <w:sz w:val="24"/>
          <w:szCs w:val="24"/>
        </w:rPr>
        <w:t>确</w:t>
      </w:r>
      <w:r>
        <w:rPr>
          <w:rFonts w:hint="eastAsia" w:ascii="宋体" w:hAnsi="宋体" w:cs="宋体"/>
          <w:color w:val="auto"/>
          <w:spacing w:val="10"/>
          <w:sz w:val="24"/>
          <w:szCs w:val="24"/>
        </w:rPr>
        <w:t>定的认证机构出具的、处于有效期之内的节能产品认证证书；采购政府优先采购产品的，该</w:t>
      </w:r>
      <w:r>
        <w:rPr>
          <w:rFonts w:hint="eastAsia" w:ascii="宋体" w:hAnsi="宋体" w:cs="宋体"/>
          <w:color w:val="auto"/>
          <w:spacing w:val="20"/>
          <w:sz w:val="24"/>
          <w:szCs w:val="24"/>
        </w:rPr>
        <w:t>产</w:t>
      </w:r>
      <w:r>
        <w:rPr>
          <w:rFonts w:hint="eastAsia" w:ascii="宋体" w:hAnsi="宋体" w:cs="宋体"/>
          <w:color w:val="auto"/>
          <w:spacing w:val="13"/>
          <w:sz w:val="24"/>
          <w:szCs w:val="24"/>
        </w:rPr>
        <w:t>品</w:t>
      </w:r>
      <w:r>
        <w:rPr>
          <w:rFonts w:hint="eastAsia" w:ascii="宋体" w:hAnsi="宋体" w:cs="宋体"/>
          <w:color w:val="auto"/>
          <w:spacing w:val="10"/>
          <w:sz w:val="24"/>
          <w:szCs w:val="24"/>
        </w:rPr>
        <w:t>具有国家确定的认证机构出具的、处于有效期之内的节能产品、环境标志产品认证证书，应</w:t>
      </w:r>
      <w:r>
        <w:rPr>
          <w:rFonts w:hint="eastAsia" w:ascii="宋体" w:hAnsi="宋体" w:cs="宋体"/>
          <w:color w:val="auto"/>
          <w:spacing w:val="7"/>
          <w:sz w:val="24"/>
          <w:szCs w:val="24"/>
        </w:rPr>
        <w:t>当优先采购</w:t>
      </w:r>
      <w:r>
        <w:rPr>
          <w:rFonts w:hint="eastAsia" w:ascii="宋体" w:hAnsi="宋体" w:cs="宋体"/>
          <w:color w:val="auto"/>
          <w:spacing w:val="5"/>
          <w:sz w:val="24"/>
          <w:szCs w:val="24"/>
        </w:rPr>
        <w:t>。</w:t>
      </w:r>
    </w:p>
    <w:p w14:paraId="7521F068">
      <w:pPr>
        <w:adjustRightInd w:val="0"/>
        <w:snapToGrid w:val="0"/>
        <w:spacing w:line="360" w:lineRule="auto"/>
        <w:ind w:firstLine="538" w:firstLineChars="200"/>
        <w:rPr>
          <w:rFonts w:ascii="宋体" w:hAnsi="宋体" w:cs="宋体"/>
          <w:b/>
          <w:bCs/>
          <w:color w:val="auto"/>
          <w:spacing w:val="14"/>
          <w:position w:val="2"/>
          <w:sz w:val="24"/>
          <w:szCs w:val="24"/>
        </w:rPr>
      </w:pPr>
      <w:r>
        <w:rPr>
          <w:rFonts w:hint="eastAsia" w:ascii="宋体" w:hAnsi="宋体" w:cs="宋体"/>
          <w:b/>
          <w:bCs/>
          <w:color w:val="auto"/>
          <w:spacing w:val="14"/>
          <w:position w:val="2"/>
          <w:sz w:val="24"/>
          <w:szCs w:val="24"/>
        </w:rPr>
        <w:t>二、促进中小企业发展(不含民办非企业)</w:t>
      </w:r>
    </w:p>
    <w:p w14:paraId="7AD54C5F">
      <w:pPr>
        <w:adjustRightInd w:val="0"/>
        <w:snapToGrid w:val="0"/>
        <w:spacing w:line="360" w:lineRule="auto"/>
        <w:ind w:firstLine="532" w:firstLineChars="200"/>
        <w:rPr>
          <w:rFonts w:ascii="宋体" w:hAnsi="宋体" w:cs="宋体"/>
          <w:color w:val="auto"/>
          <w:spacing w:val="13"/>
          <w:sz w:val="24"/>
          <w:szCs w:val="24"/>
        </w:rPr>
      </w:pPr>
      <w:r>
        <w:rPr>
          <w:rFonts w:hint="eastAsia" w:ascii="宋体" w:hAnsi="宋体" w:cs="宋体"/>
          <w:color w:val="auto"/>
          <w:spacing w:val="13"/>
          <w:sz w:val="24"/>
          <w:szCs w:val="24"/>
        </w:rPr>
        <w:t>(一)专门面向中小企业预留采购份额</w:t>
      </w:r>
    </w:p>
    <w:p w14:paraId="33B698D9">
      <w:pPr>
        <w:adjustRightInd w:val="0"/>
        <w:snapToGrid w:val="0"/>
        <w:spacing w:line="360" w:lineRule="auto"/>
        <w:ind w:firstLine="580" w:firstLineChars="200"/>
        <w:rPr>
          <w:rFonts w:ascii="宋体" w:hAnsi="宋体" w:cs="宋体"/>
          <w:color w:val="auto"/>
          <w:sz w:val="24"/>
          <w:szCs w:val="24"/>
        </w:rPr>
      </w:pPr>
      <w:r>
        <w:rPr>
          <w:rFonts w:hint="eastAsia" w:ascii="宋体" w:hAnsi="宋体" w:cs="宋体"/>
          <w:color w:val="auto"/>
          <w:spacing w:val="25"/>
          <w:sz w:val="24"/>
          <w:szCs w:val="24"/>
        </w:rPr>
        <w:t>(</w:t>
      </w:r>
      <w:r>
        <w:rPr>
          <w:rFonts w:hint="eastAsia" w:ascii="宋体" w:hAnsi="宋体" w:cs="宋体"/>
          <w:color w:val="auto"/>
          <w:spacing w:val="13"/>
          <w:sz w:val="24"/>
          <w:szCs w:val="24"/>
        </w:rPr>
        <w:t>二)非专门面向中小企业预留采购份额</w:t>
      </w:r>
    </w:p>
    <w:p w14:paraId="41E9978C">
      <w:pPr>
        <w:adjustRightInd w:val="0"/>
        <w:snapToGrid w:val="0"/>
        <w:spacing w:line="360" w:lineRule="auto"/>
        <w:ind w:firstLine="496" w:firstLineChars="200"/>
        <w:rPr>
          <w:rFonts w:ascii="宋体" w:hAnsi="宋体" w:cs="宋体"/>
          <w:color w:val="auto"/>
          <w:sz w:val="24"/>
          <w:szCs w:val="24"/>
        </w:rPr>
      </w:pPr>
      <w:r>
        <w:rPr>
          <w:rFonts w:hint="eastAsia" w:ascii="宋体" w:hAnsi="宋体" w:cs="宋体"/>
          <w:color w:val="auto"/>
          <w:spacing w:val="4"/>
          <w:sz w:val="24"/>
          <w:szCs w:val="24"/>
        </w:rPr>
        <w:t>1、根据财政部、工业和信息化部《政府采购促进中小企业发展管理办法》(财库[2020]46号</w:t>
      </w:r>
      <w:r>
        <w:rPr>
          <w:rFonts w:hint="eastAsia" w:ascii="宋体" w:hAnsi="宋体" w:cs="宋体"/>
          <w:color w:val="auto"/>
          <w:sz w:val="24"/>
          <w:szCs w:val="24"/>
        </w:rPr>
        <w:t>)</w:t>
      </w:r>
      <w:r>
        <w:rPr>
          <w:rFonts w:hint="eastAsia" w:ascii="宋体" w:hAnsi="宋体" w:cs="宋体"/>
          <w:color w:val="auto"/>
          <w:spacing w:val="14"/>
          <w:sz w:val="24"/>
          <w:szCs w:val="24"/>
        </w:rPr>
        <w:t>规定，对</w:t>
      </w:r>
      <w:r>
        <w:rPr>
          <w:rFonts w:hint="eastAsia" w:ascii="宋体" w:hAnsi="宋体" w:cs="宋体"/>
          <w:color w:val="auto"/>
          <w:spacing w:val="11"/>
          <w:sz w:val="24"/>
          <w:szCs w:val="24"/>
        </w:rPr>
        <w:t>符</w:t>
      </w:r>
      <w:r>
        <w:rPr>
          <w:rFonts w:hint="eastAsia" w:ascii="宋体" w:hAnsi="宋体" w:cs="宋体"/>
          <w:color w:val="auto"/>
          <w:spacing w:val="7"/>
          <w:sz w:val="24"/>
          <w:szCs w:val="24"/>
        </w:rPr>
        <w:t>合该办法规定的小型和微型企业报价给予3%-5%的扣除，用扣除后的价格参与评审。</w:t>
      </w:r>
    </w:p>
    <w:p w14:paraId="3666C07E">
      <w:pPr>
        <w:adjustRightInd w:val="0"/>
        <w:snapToGrid w:val="0"/>
        <w:spacing w:line="360" w:lineRule="auto"/>
        <w:ind w:firstLine="512" w:firstLineChars="200"/>
        <w:rPr>
          <w:rFonts w:ascii="宋体" w:hAnsi="宋体" w:cs="宋体"/>
          <w:color w:val="auto"/>
          <w:sz w:val="24"/>
          <w:szCs w:val="24"/>
        </w:rPr>
      </w:pPr>
      <w:r>
        <w:rPr>
          <w:rFonts w:hint="eastAsia" w:ascii="宋体" w:hAnsi="宋体" w:cs="宋体"/>
          <w:color w:val="auto"/>
          <w:spacing w:val="8"/>
          <w:sz w:val="24"/>
          <w:szCs w:val="24"/>
        </w:rPr>
        <w:t>2</w:t>
      </w:r>
      <w:r>
        <w:rPr>
          <w:rFonts w:hint="eastAsia" w:ascii="宋体" w:hAnsi="宋体" w:cs="宋体"/>
          <w:color w:val="auto"/>
          <w:spacing w:val="5"/>
          <w:sz w:val="24"/>
          <w:szCs w:val="24"/>
        </w:rPr>
        <w:t>、</w:t>
      </w:r>
      <w:r>
        <w:rPr>
          <w:rFonts w:hint="eastAsia" w:ascii="宋体" w:hAnsi="宋体" w:cs="宋体"/>
          <w:color w:val="auto"/>
          <w:spacing w:val="4"/>
          <w:sz w:val="24"/>
          <w:szCs w:val="24"/>
        </w:rPr>
        <w:t>在货物采购项目中，供应商提供的货物既有中小企业制造货物，也有大型企业制造货物的，</w:t>
      </w:r>
      <w:r>
        <w:rPr>
          <w:rFonts w:hint="eastAsia" w:ascii="宋体" w:hAnsi="宋体" w:cs="宋体"/>
          <w:color w:val="auto"/>
          <w:spacing w:val="14"/>
          <w:sz w:val="24"/>
          <w:szCs w:val="24"/>
        </w:rPr>
        <w:t>不</w:t>
      </w:r>
      <w:r>
        <w:rPr>
          <w:rFonts w:hint="eastAsia" w:ascii="宋体" w:hAnsi="宋体" w:cs="宋体"/>
          <w:color w:val="auto"/>
          <w:spacing w:val="8"/>
          <w:sz w:val="24"/>
          <w:szCs w:val="24"/>
        </w:rPr>
        <w:t>享</w:t>
      </w:r>
      <w:r>
        <w:rPr>
          <w:rFonts w:hint="eastAsia" w:ascii="宋体" w:hAnsi="宋体" w:cs="宋体"/>
          <w:color w:val="auto"/>
          <w:spacing w:val="7"/>
          <w:sz w:val="24"/>
          <w:szCs w:val="24"/>
        </w:rPr>
        <w:t>受《政府采购促进中小企业发展管理办法》(财库[2020]46号)规定的中小企业扶持政策。</w:t>
      </w:r>
    </w:p>
    <w:p w14:paraId="6674029C">
      <w:pPr>
        <w:adjustRightInd w:val="0"/>
        <w:snapToGrid w:val="0"/>
        <w:spacing w:line="360" w:lineRule="auto"/>
        <w:ind w:firstLine="528" w:firstLineChars="200"/>
        <w:rPr>
          <w:rFonts w:ascii="宋体" w:hAnsi="宋体" w:cs="宋体"/>
          <w:color w:val="auto"/>
          <w:sz w:val="24"/>
          <w:szCs w:val="24"/>
        </w:rPr>
      </w:pPr>
      <w:r>
        <w:rPr>
          <w:rFonts w:hint="eastAsia" w:ascii="宋体" w:hAnsi="宋体" w:cs="宋体"/>
          <w:color w:val="auto"/>
          <w:spacing w:val="12"/>
          <w:position w:val="1"/>
          <w:sz w:val="24"/>
          <w:szCs w:val="24"/>
        </w:rPr>
        <w:t>3</w:t>
      </w:r>
      <w:r>
        <w:rPr>
          <w:rFonts w:hint="eastAsia" w:ascii="宋体" w:hAnsi="宋体" w:cs="宋体"/>
          <w:color w:val="auto"/>
          <w:spacing w:val="6"/>
          <w:position w:val="1"/>
          <w:sz w:val="24"/>
          <w:szCs w:val="24"/>
        </w:rPr>
        <w:t>、以联合体形式参加政府采购活动，联合体各方均为中小企业的，联合体视同中小企业。其</w:t>
      </w:r>
      <w:r>
        <w:rPr>
          <w:rFonts w:hint="eastAsia" w:ascii="宋体" w:hAnsi="宋体" w:cs="宋体"/>
          <w:color w:val="auto"/>
          <w:spacing w:val="16"/>
          <w:sz w:val="24"/>
          <w:szCs w:val="24"/>
        </w:rPr>
        <w:t>中</w:t>
      </w:r>
      <w:r>
        <w:rPr>
          <w:rFonts w:hint="eastAsia" w:ascii="宋体" w:hAnsi="宋体" w:cs="宋体"/>
          <w:color w:val="auto"/>
          <w:spacing w:val="9"/>
          <w:sz w:val="24"/>
          <w:szCs w:val="24"/>
        </w:rPr>
        <w:t>，</w:t>
      </w:r>
      <w:r>
        <w:rPr>
          <w:rFonts w:hint="eastAsia" w:ascii="宋体" w:hAnsi="宋体" w:cs="宋体"/>
          <w:color w:val="auto"/>
          <w:spacing w:val="8"/>
          <w:sz w:val="24"/>
          <w:szCs w:val="24"/>
        </w:rPr>
        <w:t>联合体各方均为小微企业的，联合体视同小微企业。</w:t>
      </w:r>
    </w:p>
    <w:p w14:paraId="58634631">
      <w:pPr>
        <w:adjustRightInd w:val="0"/>
        <w:snapToGrid w:val="0"/>
        <w:spacing w:line="360" w:lineRule="auto"/>
        <w:ind w:firstLine="536" w:firstLineChars="200"/>
        <w:rPr>
          <w:rFonts w:ascii="宋体" w:hAnsi="宋体" w:cs="宋体"/>
          <w:color w:val="auto"/>
          <w:sz w:val="24"/>
          <w:szCs w:val="24"/>
        </w:rPr>
      </w:pPr>
      <w:r>
        <w:rPr>
          <w:rFonts w:hint="eastAsia" w:ascii="宋体" w:hAnsi="宋体" w:cs="宋体"/>
          <w:color w:val="auto"/>
          <w:spacing w:val="14"/>
          <w:sz w:val="24"/>
          <w:szCs w:val="24"/>
        </w:rPr>
        <w:t>4、接受</w:t>
      </w:r>
      <w:r>
        <w:rPr>
          <w:rFonts w:hint="eastAsia" w:ascii="宋体" w:hAnsi="宋体" w:cs="宋体"/>
          <w:color w:val="auto"/>
          <w:spacing w:val="10"/>
          <w:sz w:val="24"/>
          <w:szCs w:val="24"/>
        </w:rPr>
        <w:t>大</w:t>
      </w:r>
      <w:r>
        <w:rPr>
          <w:rFonts w:hint="eastAsia" w:ascii="宋体" w:hAnsi="宋体" w:cs="宋体"/>
          <w:color w:val="auto"/>
          <w:spacing w:val="7"/>
          <w:sz w:val="24"/>
          <w:szCs w:val="24"/>
        </w:rPr>
        <w:t>中型企业与小微企业组成联合体或者允许大中型企业向一家或者多家小微企业分包</w:t>
      </w:r>
      <w:r>
        <w:rPr>
          <w:rFonts w:hint="eastAsia" w:ascii="宋体" w:hAnsi="宋体" w:cs="宋体"/>
          <w:color w:val="auto"/>
          <w:spacing w:val="16"/>
          <w:sz w:val="24"/>
          <w:szCs w:val="24"/>
        </w:rPr>
        <w:t>的</w:t>
      </w:r>
      <w:r>
        <w:rPr>
          <w:rFonts w:hint="eastAsia" w:ascii="宋体" w:hAnsi="宋体" w:cs="宋体"/>
          <w:color w:val="auto"/>
          <w:spacing w:val="14"/>
          <w:sz w:val="24"/>
          <w:szCs w:val="24"/>
        </w:rPr>
        <w:t>采</w:t>
      </w:r>
      <w:r>
        <w:rPr>
          <w:rFonts w:hint="eastAsia" w:ascii="宋体" w:hAnsi="宋体" w:cs="宋体"/>
          <w:color w:val="auto"/>
          <w:spacing w:val="8"/>
          <w:sz w:val="24"/>
          <w:szCs w:val="24"/>
        </w:rPr>
        <w:t>购项目，对于联合协议或者分包意向协议约定小微企业的合同份额占到合同总金额30%以上</w:t>
      </w:r>
      <w:r>
        <w:rPr>
          <w:rFonts w:hint="eastAsia" w:ascii="宋体" w:hAnsi="宋体" w:cs="宋体"/>
          <w:color w:val="auto"/>
          <w:spacing w:val="16"/>
          <w:sz w:val="24"/>
          <w:szCs w:val="24"/>
        </w:rPr>
        <w:t>的</w:t>
      </w:r>
      <w:r>
        <w:rPr>
          <w:rFonts w:hint="eastAsia" w:ascii="宋体" w:hAnsi="宋体" w:cs="宋体"/>
          <w:color w:val="auto"/>
          <w:spacing w:val="9"/>
          <w:sz w:val="24"/>
          <w:szCs w:val="24"/>
        </w:rPr>
        <w:t>，</w:t>
      </w:r>
      <w:r>
        <w:rPr>
          <w:rFonts w:hint="eastAsia" w:ascii="宋体" w:hAnsi="宋体" w:cs="宋体"/>
          <w:color w:val="auto"/>
          <w:spacing w:val="8"/>
          <w:sz w:val="24"/>
          <w:szCs w:val="24"/>
        </w:rPr>
        <w:t>对联合体或者大中型企业的报价给予6%</w:t>
      </w:r>
      <w:r>
        <w:rPr>
          <w:rFonts w:hint="eastAsia" w:ascii="宋体" w:hAnsi="宋体" w:cs="宋体"/>
          <w:color w:val="auto"/>
          <w:spacing w:val="10"/>
          <w:sz w:val="24"/>
          <w:szCs w:val="24"/>
        </w:rPr>
        <w:t>（4</w:t>
      </w:r>
      <w:r>
        <w:rPr>
          <w:rFonts w:hint="eastAsia" w:ascii="宋体" w:hAnsi="宋体" w:cs="宋体"/>
          <w:color w:val="auto"/>
          <w:spacing w:val="10"/>
          <w:sz w:val="24"/>
          <w:szCs w:val="24"/>
          <w:lang w:val="zh-CN"/>
        </w:rPr>
        <w:t>%～6%</w:t>
      </w:r>
      <w:r>
        <w:rPr>
          <w:rFonts w:hint="eastAsia" w:ascii="宋体" w:hAnsi="宋体" w:cs="宋体"/>
          <w:color w:val="auto"/>
          <w:spacing w:val="10"/>
          <w:sz w:val="24"/>
          <w:szCs w:val="24"/>
        </w:rPr>
        <w:t>）</w:t>
      </w:r>
      <w:r>
        <w:rPr>
          <w:rFonts w:hint="eastAsia" w:ascii="宋体" w:hAnsi="宋体" w:cs="宋体"/>
          <w:color w:val="auto"/>
          <w:spacing w:val="10"/>
          <w:sz w:val="24"/>
          <w:szCs w:val="24"/>
          <w:lang w:val="zh-CN"/>
        </w:rPr>
        <w:t>（工程项目</w:t>
      </w:r>
      <w:r>
        <w:rPr>
          <w:rFonts w:hint="eastAsia" w:ascii="宋体" w:hAnsi="宋体" w:cs="宋体"/>
          <w:color w:val="auto"/>
          <w:spacing w:val="10"/>
          <w:sz w:val="24"/>
          <w:szCs w:val="24"/>
        </w:rPr>
        <w:t>1—2%）的扣除</w:t>
      </w:r>
      <w:r>
        <w:rPr>
          <w:rFonts w:hint="eastAsia" w:ascii="宋体" w:hAnsi="宋体" w:cs="宋体"/>
          <w:color w:val="auto"/>
          <w:spacing w:val="8"/>
          <w:sz w:val="24"/>
          <w:szCs w:val="24"/>
        </w:rPr>
        <w:t>，用扣除后的价格参加评审。组成联合体</w:t>
      </w:r>
      <w:r>
        <w:rPr>
          <w:rFonts w:hint="eastAsia" w:ascii="宋体" w:hAnsi="宋体" w:cs="宋体"/>
          <w:color w:val="auto"/>
          <w:spacing w:val="20"/>
          <w:sz w:val="24"/>
          <w:szCs w:val="24"/>
        </w:rPr>
        <w:t>或</w:t>
      </w:r>
      <w:r>
        <w:rPr>
          <w:rFonts w:hint="eastAsia" w:ascii="宋体" w:hAnsi="宋体" w:cs="宋体"/>
          <w:color w:val="auto"/>
          <w:spacing w:val="10"/>
          <w:sz w:val="24"/>
          <w:szCs w:val="24"/>
        </w:rPr>
        <w:t>者接受分包的小微企业与联合体内其他企业、分包企业之间存在直接控股、管理关系的，不享</w:t>
      </w:r>
      <w:r>
        <w:rPr>
          <w:rFonts w:hint="eastAsia" w:ascii="宋体" w:hAnsi="宋体" w:cs="宋体"/>
          <w:color w:val="auto"/>
          <w:spacing w:val="13"/>
          <w:sz w:val="24"/>
          <w:szCs w:val="24"/>
        </w:rPr>
        <w:t>受</w:t>
      </w:r>
      <w:r>
        <w:rPr>
          <w:rFonts w:hint="eastAsia" w:ascii="宋体" w:hAnsi="宋体" w:cs="宋体"/>
          <w:color w:val="auto"/>
          <w:spacing w:val="7"/>
          <w:sz w:val="24"/>
          <w:szCs w:val="24"/>
        </w:rPr>
        <w:t>价格扣除优惠政策。</w:t>
      </w:r>
    </w:p>
    <w:p w14:paraId="11FEC9AD">
      <w:pPr>
        <w:adjustRightInd w:val="0"/>
        <w:snapToGrid w:val="0"/>
        <w:spacing w:line="360" w:lineRule="auto"/>
        <w:ind w:firstLine="536" w:firstLineChars="200"/>
        <w:rPr>
          <w:rFonts w:ascii="宋体" w:hAnsi="宋体" w:cs="宋体"/>
          <w:color w:val="auto"/>
          <w:sz w:val="24"/>
          <w:szCs w:val="24"/>
        </w:rPr>
      </w:pPr>
      <w:r>
        <w:rPr>
          <w:rFonts w:hint="eastAsia" w:ascii="宋体" w:hAnsi="宋体" w:cs="宋体"/>
          <w:color w:val="auto"/>
          <w:spacing w:val="14"/>
          <w:sz w:val="24"/>
          <w:szCs w:val="24"/>
        </w:rPr>
        <w:t>5、按</w:t>
      </w:r>
      <w:r>
        <w:rPr>
          <w:rFonts w:hint="eastAsia" w:ascii="宋体" w:hAnsi="宋体" w:cs="宋体"/>
          <w:color w:val="auto"/>
          <w:spacing w:val="10"/>
          <w:sz w:val="24"/>
          <w:szCs w:val="24"/>
        </w:rPr>
        <w:t>照</w:t>
      </w:r>
      <w:r>
        <w:rPr>
          <w:rFonts w:hint="eastAsia" w:ascii="宋体" w:hAnsi="宋体" w:cs="宋体"/>
          <w:color w:val="auto"/>
          <w:spacing w:val="7"/>
          <w:sz w:val="24"/>
          <w:szCs w:val="24"/>
        </w:rPr>
        <w:t>本次采购标的所属行业的划定标准，符合条件的中小企业应按照采购文件格式要求提</w:t>
      </w:r>
      <w:r>
        <w:rPr>
          <w:rFonts w:hint="eastAsia" w:ascii="宋体" w:hAnsi="宋体" w:cs="宋体"/>
          <w:color w:val="auto"/>
          <w:spacing w:val="10"/>
          <w:sz w:val="24"/>
          <w:szCs w:val="24"/>
        </w:rPr>
        <w:t>供《</w:t>
      </w:r>
      <w:r>
        <w:rPr>
          <w:rFonts w:hint="eastAsia" w:ascii="宋体" w:hAnsi="宋体" w:cs="宋体"/>
          <w:color w:val="auto"/>
          <w:spacing w:val="7"/>
          <w:sz w:val="24"/>
          <w:szCs w:val="24"/>
        </w:rPr>
        <w:t>中</w:t>
      </w:r>
      <w:r>
        <w:rPr>
          <w:rFonts w:hint="eastAsia" w:ascii="宋体" w:hAnsi="宋体" w:cs="宋体"/>
          <w:color w:val="auto"/>
          <w:spacing w:val="5"/>
          <w:sz w:val="24"/>
          <w:szCs w:val="24"/>
        </w:rPr>
        <w:t>小企业声明函》，否则不得享受相关中小企业扶持政策。</w:t>
      </w:r>
    </w:p>
    <w:p w14:paraId="5DFE1AD0">
      <w:pPr>
        <w:adjustRightInd w:val="0"/>
        <w:snapToGrid w:val="0"/>
        <w:spacing w:line="360" w:lineRule="auto"/>
        <w:ind w:firstLine="538" w:firstLineChars="200"/>
        <w:rPr>
          <w:rFonts w:ascii="宋体" w:hAnsi="宋体" w:cs="宋体"/>
          <w:b/>
          <w:bCs/>
          <w:color w:val="auto"/>
          <w:spacing w:val="14"/>
          <w:position w:val="2"/>
          <w:sz w:val="24"/>
          <w:szCs w:val="24"/>
        </w:rPr>
      </w:pPr>
      <w:r>
        <w:rPr>
          <w:rFonts w:hint="eastAsia" w:ascii="宋体" w:hAnsi="宋体" w:cs="宋体"/>
          <w:b/>
          <w:bCs/>
          <w:color w:val="auto"/>
          <w:spacing w:val="14"/>
          <w:position w:val="2"/>
          <w:sz w:val="24"/>
          <w:szCs w:val="24"/>
        </w:rPr>
        <w:t>三、支持监狱企业发展</w:t>
      </w:r>
    </w:p>
    <w:p w14:paraId="490D2E88">
      <w:pPr>
        <w:adjustRightInd w:val="0"/>
        <w:snapToGrid w:val="0"/>
        <w:spacing w:line="360" w:lineRule="auto"/>
        <w:ind w:firstLine="496" w:firstLineChars="200"/>
        <w:rPr>
          <w:rFonts w:ascii="宋体" w:hAnsi="宋体" w:cs="宋体"/>
          <w:color w:val="auto"/>
          <w:sz w:val="24"/>
          <w:szCs w:val="24"/>
        </w:rPr>
      </w:pPr>
      <w:r>
        <w:rPr>
          <w:rFonts w:hint="eastAsia" w:ascii="宋体" w:hAnsi="宋体" w:cs="宋体"/>
          <w:color w:val="auto"/>
          <w:spacing w:val="4"/>
          <w:sz w:val="24"/>
          <w:szCs w:val="24"/>
        </w:rPr>
        <w:t>按照财政部、司法部发</w:t>
      </w:r>
      <w:r>
        <w:rPr>
          <w:rFonts w:hint="eastAsia" w:ascii="宋体" w:hAnsi="宋体" w:cs="宋体"/>
          <w:color w:val="auto"/>
          <w:spacing w:val="3"/>
          <w:sz w:val="24"/>
          <w:szCs w:val="24"/>
        </w:rPr>
        <w:t>布</w:t>
      </w:r>
      <w:r>
        <w:rPr>
          <w:rFonts w:hint="eastAsia" w:ascii="宋体" w:hAnsi="宋体" w:cs="宋体"/>
          <w:color w:val="auto"/>
          <w:spacing w:val="2"/>
          <w:sz w:val="24"/>
          <w:szCs w:val="24"/>
        </w:rPr>
        <w:t>的《关于政府采购支持监狱企业发展有关问题的通知》(财库[2014]68</w:t>
      </w:r>
      <w:r>
        <w:rPr>
          <w:rFonts w:hint="eastAsia" w:ascii="宋体" w:hAnsi="宋体" w:cs="宋体"/>
          <w:color w:val="auto"/>
          <w:spacing w:val="10"/>
          <w:sz w:val="24"/>
          <w:szCs w:val="24"/>
        </w:rPr>
        <w:t>号)规定，在政府采购活动中，监狱企业视同小型、微型企业，享受评审中价格扣除的政府采</w:t>
      </w:r>
      <w:r>
        <w:rPr>
          <w:rFonts w:hint="eastAsia" w:ascii="宋体" w:hAnsi="宋体" w:cs="宋体"/>
          <w:color w:val="auto"/>
          <w:spacing w:val="8"/>
          <w:sz w:val="24"/>
          <w:szCs w:val="24"/>
        </w:rPr>
        <w:t>购</w:t>
      </w:r>
      <w:r>
        <w:rPr>
          <w:rFonts w:hint="eastAsia" w:ascii="宋体" w:hAnsi="宋体" w:cs="宋体"/>
          <w:color w:val="auto"/>
          <w:spacing w:val="14"/>
          <w:sz w:val="24"/>
          <w:szCs w:val="24"/>
        </w:rPr>
        <w:t>政策，用</w:t>
      </w:r>
      <w:r>
        <w:rPr>
          <w:rFonts w:hint="eastAsia" w:ascii="宋体" w:hAnsi="宋体" w:cs="宋体"/>
          <w:color w:val="auto"/>
          <w:spacing w:val="12"/>
          <w:sz w:val="24"/>
          <w:szCs w:val="24"/>
        </w:rPr>
        <w:t>扣</w:t>
      </w:r>
      <w:r>
        <w:rPr>
          <w:rFonts w:hint="eastAsia" w:ascii="宋体" w:hAnsi="宋体" w:cs="宋体"/>
          <w:color w:val="auto"/>
          <w:spacing w:val="7"/>
          <w:sz w:val="24"/>
          <w:szCs w:val="24"/>
        </w:rPr>
        <w:t>除后的价格参与评审。监狱企业应当提供由省级以上监狱管理局、戒毒管理局(含新疆</w:t>
      </w:r>
      <w:r>
        <w:rPr>
          <w:rFonts w:hint="eastAsia" w:ascii="宋体" w:hAnsi="宋体" w:cs="宋体"/>
          <w:color w:val="auto"/>
          <w:spacing w:val="16"/>
          <w:sz w:val="24"/>
          <w:szCs w:val="24"/>
        </w:rPr>
        <w:t>生产</w:t>
      </w:r>
      <w:r>
        <w:rPr>
          <w:rFonts w:hint="eastAsia" w:ascii="宋体" w:hAnsi="宋体" w:cs="宋体"/>
          <w:color w:val="auto"/>
          <w:spacing w:val="9"/>
          <w:sz w:val="24"/>
          <w:szCs w:val="24"/>
        </w:rPr>
        <w:t>建</w:t>
      </w:r>
      <w:r>
        <w:rPr>
          <w:rFonts w:hint="eastAsia" w:ascii="宋体" w:hAnsi="宋体" w:cs="宋体"/>
          <w:color w:val="auto"/>
          <w:spacing w:val="8"/>
          <w:sz w:val="24"/>
          <w:szCs w:val="24"/>
        </w:rPr>
        <w:t>设兵团)出具的属于监狱企业的证明文件。</w:t>
      </w:r>
    </w:p>
    <w:p w14:paraId="45F3D3F0">
      <w:pPr>
        <w:adjustRightInd w:val="0"/>
        <w:snapToGrid w:val="0"/>
        <w:spacing w:line="360" w:lineRule="auto"/>
        <w:ind w:firstLine="530" w:firstLineChars="200"/>
        <w:rPr>
          <w:rFonts w:ascii="宋体" w:hAnsi="宋体" w:cs="宋体"/>
          <w:color w:val="auto"/>
          <w:sz w:val="24"/>
          <w:szCs w:val="24"/>
        </w:rPr>
      </w:pPr>
      <w:r>
        <w:rPr>
          <w:rFonts w:hint="eastAsia" w:ascii="宋体" w:hAnsi="宋体" w:cs="宋体"/>
          <w:b/>
          <w:bCs/>
          <w:color w:val="auto"/>
          <w:spacing w:val="12"/>
          <w:sz w:val="24"/>
          <w:szCs w:val="24"/>
        </w:rPr>
        <w:t>四、</w:t>
      </w:r>
      <w:r>
        <w:rPr>
          <w:rFonts w:hint="eastAsia" w:ascii="宋体" w:hAnsi="宋体" w:cs="宋体"/>
          <w:b/>
          <w:bCs/>
          <w:color w:val="auto"/>
          <w:spacing w:val="14"/>
          <w:position w:val="2"/>
          <w:sz w:val="24"/>
          <w:szCs w:val="24"/>
        </w:rPr>
        <w:t>促进残疾人就业</w:t>
      </w:r>
    </w:p>
    <w:p w14:paraId="784915B9">
      <w:pPr>
        <w:adjustRightInd w:val="0"/>
        <w:snapToGrid w:val="0"/>
        <w:spacing w:line="360" w:lineRule="auto"/>
        <w:ind w:firstLine="536" w:firstLineChars="200"/>
        <w:rPr>
          <w:rFonts w:ascii="宋体" w:hAnsi="宋体" w:cs="宋体"/>
          <w:color w:val="auto"/>
          <w:sz w:val="24"/>
          <w:szCs w:val="24"/>
        </w:rPr>
      </w:pPr>
      <w:r>
        <w:rPr>
          <w:rFonts w:hint="eastAsia" w:ascii="宋体" w:hAnsi="宋体" w:cs="宋体"/>
          <w:color w:val="auto"/>
          <w:spacing w:val="14"/>
          <w:sz w:val="24"/>
          <w:szCs w:val="24"/>
        </w:rPr>
        <w:t>1</w:t>
      </w:r>
      <w:r>
        <w:rPr>
          <w:rFonts w:hint="eastAsia" w:ascii="宋体" w:hAnsi="宋体" w:cs="宋体"/>
          <w:color w:val="auto"/>
          <w:spacing w:val="11"/>
          <w:sz w:val="24"/>
          <w:szCs w:val="24"/>
        </w:rPr>
        <w:t>、</w:t>
      </w:r>
      <w:r>
        <w:rPr>
          <w:rFonts w:hint="eastAsia" w:ascii="宋体" w:hAnsi="宋体" w:cs="宋体"/>
          <w:color w:val="auto"/>
          <w:spacing w:val="7"/>
          <w:sz w:val="24"/>
          <w:szCs w:val="24"/>
        </w:rPr>
        <w:t>按照财政部、民政部、中国残疾人联合会和残疾人发布的《三部门联合发布关于促进残疾人就业政府采购政策的通知》(财库[2017]141号)规定，在政府采购活动中，残疾人福利性</w:t>
      </w:r>
      <w:r>
        <w:rPr>
          <w:rFonts w:hint="eastAsia" w:ascii="宋体" w:hAnsi="宋体" w:cs="宋体"/>
          <w:color w:val="auto"/>
          <w:spacing w:val="5"/>
          <w:sz w:val="24"/>
          <w:szCs w:val="24"/>
        </w:rPr>
        <w:t>单</w:t>
      </w:r>
      <w:r>
        <w:rPr>
          <w:rFonts w:hint="eastAsia" w:ascii="宋体" w:hAnsi="宋体" w:cs="宋体"/>
          <w:color w:val="auto"/>
          <w:sz w:val="24"/>
          <w:szCs w:val="24"/>
        </w:rPr>
        <w:t>位</w:t>
      </w:r>
      <w:r>
        <w:rPr>
          <w:rFonts w:hint="eastAsia" w:ascii="宋体" w:hAnsi="宋体" w:cs="宋体"/>
          <w:color w:val="auto"/>
          <w:spacing w:val="20"/>
          <w:sz w:val="24"/>
          <w:szCs w:val="24"/>
        </w:rPr>
        <w:t>视</w:t>
      </w:r>
      <w:r>
        <w:rPr>
          <w:rFonts w:hint="eastAsia" w:ascii="宋体" w:hAnsi="宋体" w:cs="宋体"/>
          <w:color w:val="auto"/>
          <w:spacing w:val="14"/>
          <w:sz w:val="24"/>
          <w:szCs w:val="24"/>
        </w:rPr>
        <w:t>同</w:t>
      </w:r>
      <w:r>
        <w:rPr>
          <w:rFonts w:hint="eastAsia" w:ascii="宋体" w:hAnsi="宋体" w:cs="宋体"/>
          <w:color w:val="auto"/>
          <w:spacing w:val="10"/>
          <w:sz w:val="24"/>
          <w:szCs w:val="24"/>
        </w:rPr>
        <w:t>小型、微型企业，享受评审中价格扣除的政府采购政策。对残疾人福利性单位提供本单位制</w:t>
      </w:r>
      <w:r>
        <w:rPr>
          <w:rFonts w:hint="eastAsia" w:ascii="宋体" w:hAnsi="宋体" w:cs="宋体"/>
          <w:color w:val="auto"/>
          <w:spacing w:val="14"/>
          <w:sz w:val="24"/>
          <w:szCs w:val="24"/>
        </w:rPr>
        <w:t>造</w:t>
      </w:r>
      <w:r>
        <w:rPr>
          <w:rFonts w:hint="eastAsia" w:ascii="宋体" w:hAnsi="宋体" w:cs="宋体"/>
          <w:color w:val="auto"/>
          <w:spacing w:val="10"/>
          <w:sz w:val="24"/>
          <w:szCs w:val="24"/>
        </w:rPr>
        <w:t>的货物、承担的工程或者服务，或者提供其他残疾人福利性单位制造的货物(不包括使用非残</w:t>
      </w:r>
      <w:r>
        <w:rPr>
          <w:rFonts w:hint="eastAsia" w:ascii="宋体" w:hAnsi="宋体" w:cs="宋体"/>
          <w:color w:val="auto"/>
          <w:spacing w:val="11"/>
          <w:sz w:val="24"/>
          <w:szCs w:val="24"/>
        </w:rPr>
        <w:t>疾</w:t>
      </w:r>
      <w:r>
        <w:rPr>
          <w:rFonts w:hint="eastAsia" w:ascii="宋体" w:hAnsi="宋体" w:cs="宋体"/>
          <w:color w:val="auto"/>
          <w:spacing w:val="10"/>
          <w:sz w:val="24"/>
          <w:szCs w:val="24"/>
        </w:rPr>
        <w:t>人福利性单位注册商标的货物)用扣除后的价格参与评审。残疾人福利性单位属于小型、微型</w:t>
      </w:r>
      <w:r>
        <w:rPr>
          <w:rFonts w:hint="eastAsia" w:ascii="宋体" w:hAnsi="宋体" w:cs="宋体"/>
          <w:color w:val="auto"/>
          <w:spacing w:val="13"/>
          <w:sz w:val="24"/>
          <w:szCs w:val="24"/>
        </w:rPr>
        <w:t>企</w:t>
      </w:r>
      <w:r>
        <w:rPr>
          <w:rFonts w:hint="eastAsia" w:ascii="宋体" w:hAnsi="宋体" w:cs="宋体"/>
          <w:color w:val="auto"/>
          <w:spacing w:val="8"/>
          <w:sz w:val="24"/>
          <w:szCs w:val="24"/>
        </w:rPr>
        <w:t>业的，不重复享受政策。</w:t>
      </w:r>
    </w:p>
    <w:p w14:paraId="262CB649">
      <w:pPr>
        <w:adjustRightInd w:val="0"/>
        <w:snapToGrid w:val="0"/>
        <w:spacing w:line="360" w:lineRule="auto"/>
        <w:ind w:firstLine="536" w:firstLineChars="200"/>
        <w:rPr>
          <w:rFonts w:ascii="宋体" w:hAnsi="宋体" w:cs="宋体"/>
          <w:color w:val="auto"/>
          <w:sz w:val="24"/>
          <w:szCs w:val="24"/>
        </w:rPr>
      </w:pPr>
      <w:r>
        <w:rPr>
          <w:rFonts w:hint="eastAsia" w:ascii="宋体" w:hAnsi="宋体" w:cs="宋体"/>
          <w:color w:val="auto"/>
          <w:spacing w:val="14"/>
          <w:sz w:val="24"/>
          <w:szCs w:val="24"/>
        </w:rPr>
        <w:t>2、符</w:t>
      </w:r>
      <w:r>
        <w:rPr>
          <w:rFonts w:hint="eastAsia" w:ascii="宋体" w:hAnsi="宋体" w:cs="宋体"/>
          <w:color w:val="auto"/>
          <w:spacing w:val="10"/>
          <w:sz w:val="24"/>
          <w:szCs w:val="24"/>
        </w:rPr>
        <w:t>合</w:t>
      </w:r>
      <w:r>
        <w:rPr>
          <w:rFonts w:hint="eastAsia" w:ascii="宋体" w:hAnsi="宋体" w:cs="宋体"/>
          <w:color w:val="auto"/>
          <w:spacing w:val="7"/>
          <w:sz w:val="24"/>
          <w:szCs w:val="24"/>
        </w:rPr>
        <w:t>条件的残疾人福利性单位在参加政府采购活动时，应当提供《三部门联合发布关于促</w:t>
      </w:r>
      <w:r>
        <w:rPr>
          <w:rFonts w:hint="eastAsia" w:ascii="宋体" w:hAnsi="宋体" w:cs="宋体"/>
          <w:color w:val="auto"/>
          <w:spacing w:val="4"/>
          <w:sz w:val="24"/>
          <w:szCs w:val="24"/>
        </w:rPr>
        <w:t>进残疾人就业政府采</w:t>
      </w:r>
      <w:r>
        <w:rPr>
          <w:rFonts w:hint="eastAsia" w:ascii="宋体" w:hAnsi="宋体" w:cs="宋体"/>
          <w:color w:val="auto"/>
          <w:spacing w:val="2"/>
          <w:sz w:val="24"/>
          <w:szCs w:val="24"/>
        </w:rPr>
        <w:t>购政策的通知》规定的《残疾人福利性单位声明函》，并对声明的真实性负责。</w:t>
      </w:r>
      <w:r>
        <w:rPr>
          <w:rFonts w:hint="eastAsia" w:ascii="宋体" w:hAnsi="宋体" w:cs="宋体"/>
          <w:color w:val="auto"/>
          <w:spacing w:val="20"/>
          <w:sz w:val="24"/>
          <w:szCs w:val="24"/>
        </w:rPr>
        <w:t>任</w:t>
      </w:r>
      <w:r>
        <w:rPr>
          <w:rFonts w:hint="eastAsia" w:ascii="宋体" w:hAnsi="宋体" w:cs="宋体"/>
          <w:color w:val="auto"/>
          <w:spacing w:val="14"/>
          <w:sz w:val="24"/>
          <w:szCs w:val="24"/>
        </w:rPr>
        <w:t>何</w:t>
      </w:r>
      <w:r>
        <w:rPr>
          <w:rFonts w:hint="eastAsia" w:ascii="宋体" w:hAnsi="宋体" w:cs="宋体"/>
          <w:color w:val="auto"/>
          <w:spacing w:val="10"/>
          <w:sz w:val="24"/>
          <w:szCs w:val="24"/>
        </w:rPr>
        <w:t>单位或者个人在政府采购活动中均不得要求残疾人福利性单位提供其他证明声明函内容的材</w:t>
      </w:r>
      <w:r>
        <w:rPr>
          <w:rFonts w:hint="eastAsia" w:ascii="宋体" w:hAnsi="宋体" w:cs="宋体"/>
          <w:color w:val="auto"/>
          <w:spacing w:val="1"/>
          <w:sz w:val="24"/>
          <w:szCs w:val="24"/>
        </w:rPr>
        <w:t>料。</w:t>
      </w:r>
    </w:p>
    <w:p w14:paraId="0C08E72E">
      <w:pPr>
        <w:adjustRightInd w:val="0"/>
        <w:snapToGrid w:val="0"/>
        <w:spacing w:line="360" w:lineRule="auto"/>
        <w:ind w:firstLine="536" w:firstLineChars="200"/>
        <w:rPr>
          <w:rFonts w:ascii="宋体" w:hAnsi="宋体"/>
          <w:b/>
          <w:color w:val="auto"/>
          <w:kern w:val="0"/>
          <w:sz w:val="32"/>
          <w:szCs w:val="32"/>
        </w:rPr>
      </w:pPr>
      <w:r>
        <w:rPr>
          <w:rFonts w:hint="eastAsia" w:ascii="宋体" w:hAnsi="宋体" w:cs="宋体"/>
          <w:color w:val="auto"/>
          <w:spacing w:val="14"/>
          <w:sz w:val="24"/>
          <w:szCs w:val="24"/>
        </w:rPr>
        <w:t>3、中</w:t>
      </w:r>
      <w:r>
        <w:rPr>
          <w:rFonts w:hint="eastAsia" w:ascii="宋体" w:hAnsi="宋体" w:cs="宋体"/>
          <w:color w:val="auto"/>
          <w:spacing w:val="8"/>
          <w:sz w:val="24"/>
          <w:szCs w:val="24"/>
        </w:rPr>
        <w:t>标</w:t>
      </w:r>
      <w:r>
        <w:rPr>
          <w:rFonts w:hint="eastAsia" w:ascii="宋体" w:hAnsi="宋体" w:cs="宋体"/>
          <w:color w:val="auto"/>
          <w:spacing w:val="7"/>
          <w:sz w:val="24"/>
          <w:szCs w:val="24"/>
        </w:rPr>
        <w:t>人为残疾人福利性单位的，招标人应当随中标结果同时公告其《残疾人福利性单位声</w:t>
      </w:r>
      <w:r>
        <w:rPr>
          <w:rFonts w:hint="eastAsia" w:ascii="宋体" w:hAnsi="宋体" w:cs="宋体"/>
          <w:color w:val="auto"/>
          <w:spacing w:val="-6"/>
          <w:sz w:val="24"/>
          <w:szCs w:val="24"/>
        </w:rPr>
        <w:t>明</w:t>
      </w:r>
      <w:r>
        <w:rPr>
          <w:rFonts w:hint="eastAsia" w:ascii="宋体" w:hAnsi="宋体" w:cs="宋体"/>
          <w:color w:val="auto"/>
          <w:spacing w:val="-3"/>
          <w:sz w:val="24"/>
          <w:szCs w:val="24"/>
        </w:rPr>
        <w:t>函》，接受社会监督。</w:t>
      </w:r>
    </w:p>
    <w:p w14:paraId="5547C513">
      <w:pPr>
        <w:rPr>
          <w:rFonts w:ascii="宋体" w:hAnsi="宋体"/>
          <w:b/>
          <w:color w:val="auto"/>
          <w:kern w:val="0"/>
          <w:sz w:val="32"/>
          <w:szCs w:val="32"/>
        </w:rPr>
      </w:pPr>
      <w:r>
        <w:rPr>
          <w:rFonts w:hint="eastAsia" w:ascii="宋体" w:hAnsi="宋体"/>
          <w:b/>
          <w:color w:val="auto"/>
          <w:kern w:val="0"/>
          <w:sz w:val="32"/>
          <w:szCs w:val="32"/>
        </w:rPr>
        <w:br w:type="page"/>
      </w:r>
    </w:p>
    <w:p w14:paraId="204DE6F4">
      <w:pPr>
        <w:autoSpaceDE w:val="0"/>
        <w:autoSpaceDN w:val="0"/>
        <w:adjustRightInd w:val="0"/>
        <w:spacing w:line="620" w:lineRule="exact"/>
        <w:contextualSpacing/>
        <w:jc w:val="center"/>
        <w:outlineLvl w:val="0"/>
        <w:rPr>
          <w:rFonts w:ascii="宋体" w:hAnsi="宋体"/>
          <w:color w:val="auto"/>
        </w:rPr>
      </w:pPr>
      <w:r>
        <w:rPr>
          <w:rFonts w:hint="eastAsia" w:ascii="宋体" w:hAnsi="宋体"/>
          <w:b/>
          <w:color w:val="auto"/>
          <w:kern w:val="0"/>
          <w:sz w:val="32"/>
          <w:szCs w:val="32"/>
        </w:rPr>
        <w:t>第六章 资格审查与评审</w:t>
      </w:r>
    </w:p>
    <w:p w14:paraId="30336D9B">
      <w:pPr>
        <w:pStyle w:val="12"/>
        <w:spacing w:line="360" w:lineRule="auto"/>
        <w:ind w:firstLine="0"/>
        <w:outlineLvl w:val="1"/>
        <w:rPr>
          <w:color w:val="auto"/>
          <w:sz w:val="24"/>
          <w:szCs w:val="24"/>
        </w:rPr>
      </w:pPr>
      <w:r>
        <w:rPr>
          <w:rFonts w:hint="eastAsia"/>
          <w:color w:val="auto"/>
          <w:sz w:val="24"/>
          <w:szCs w:val="24"/>
        </w:rPr>
        <w:t>一、资格审查</w:t>
      </w:r>
    </w:p>
    <w:p w14:paraId="4F881721">
      <w:pPr>
        <w:pStyle w:val="12"/>
        <w:spacing w:line="360" w:lineRule="auto"/>
        <w:ind w:firstLine="480" w:firstLineChars="200"/>
        <w:rPr>
          <w:rFonts w:ascii="宋体" w:hAnsi="宋体" w:cs="宋体"/>
          <w:color w:val="auto"/>
          <w:sz w:val="24"/>
          <w:szCs w:val="24"/>
        </w:rPr>
      </w:pPr>
      <w:r>
        <w:rPr>
          <w:rFonts w:hint="eastAsia"/>
          <w:color w:val="auto"/>
          <w:sz w:val="24"/>
          <w:szCs w:val="24"/>
        </w:rPr>
        <w:t>（一）开标结束后，</w:t>
      </w:r>
      <w:r>
        <w:rPr>
          <w:rFonts w:hint="eastAsia" w:ascii="宋体" w:hAnsi="宋体" w:cs="宋体"/>
          <w:color w:val="auto"/>
          <w:sz w:val="24"/>
          <w:szCs w:val="24"/>
        </w:rPr>
        <w:t>采购人依法对投标人资格进行审查。确定符合资格的投标人不少于 3 家的，将组织评标委员会进行评标。</w:t>
      </w:r>
    </w:p>
    <w:p w14:paraId="50136BF9">
      <w:pPr>
        <w:pStyle w:val="12"/>
        <w:spacing w:line="360" w:lineRule="auto"/>
        <w:ind w:firstLine="480" w:firstLineChars="200"/>
        <w:rPr>
          <w:color w:val="auto"/>
          <w:sz w:val="24"/>
          <w:szCs w:val="24"/>
        </w:rPr>
      </w:pPr>
      <w:r>
        <w:rPr>
          <w:rFonts w:hint="eastAsia"/>
          <w:color w:val="auto"/>
          <w:sz w:val="24"/>
          <w:szCs w:val="24"/>
        </w:rPr>
        <w:t>（二）资格证明材料（本栏所列内容为本项目的资格审查条件，如有一项不符合要求，则不能进入下一步评审）。</w:t>
      </w:r>
    </w:p>
    <w:p w14:paraId="242A2351">
      <w:pPr>
        <w:pStyle w:val="12"/>
        <w:spacing w:line="360" w:lineRule="auto"/>
        <w:ind w:firstLine="480" w:firstLineChars="200"/>
        <w:rPr>
          <w:color w:val="auto"/>
          <w:sz w:val="24"/>
          <w:szCs w:val="24"/>
        </w:rPr>
      </w:pPr>
      <w:r>
        <w:rPr>
          <w:rFonts w:hint="eastAsia"/>
          <w:color w:val="auto"/>
          <w:sz w:val="24"/>
          <w:szCs w:val="24"/>
        </w:rPr>
        <w:t>（三）资格审查小组由采购人代表 1 人组成（需出具由采购人法定代表人签署的有明确授权事项的授权委托书，资格审查小组成员不得作为业主代表进入评标委员会参与评标），对供应商的资格要求进行审查，在资格审查期间，所有供应商应当回避。</w:t>
      </w:r>
    </w:p>
    <w:tbl>
      <w:tblPr>
        <w:tblStyle w:val="30"/>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552"/>
        <w:gridCol w:w="5812"/>
      </w:tblGrid>
      <w:tr w14:paraId="7C3C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3582EEB">
            <w:pPr>
              <w:spacing w:line="360" w:lineRule="auto"/>
              <w:jc w:val="center"/>
              <w:rPr>
                <w:rFonts w:ascii="宋体" w:hAnsi="宋体"/>
                <w:b/>
                <w:color w:val="auto"/>
                <w:sz w:val="24"/>
              </w:rPr>
            </w:pPr>
            <w:r>
              <w:rPr>
                <w:rFonts w:hint="eastAsia" w:ascii="宋体" w:hAnsi="宋体"/>
                <w:b/>
                <w:color w:val="auto"/>
                <w:sz w:val="24"/>
              </w:rPr>
              <w:t>序号</w:t>
            </w:r>
          </w:p>
        </w:tc>
        <w:tc>
          <w:tcPr>
            <w:tcW w:w="2552" w:type="dxa"/>
            <w:vAlign w:val="center"/>
          </w:tcPr>
          <w:p w14:paraId="354273FE">
            <w:pPr>
              <w:spacing w:line="360" w:lineRule="auto"/>
              <w:jc w:val="center"/>
              <w:rPr>
                <w:rFonts w:ascii="宋体" w:hAnsi="宋体"/>
                <w:b/>
                <w:color w:val="auto"/>
                <w:sz w:val="24"/>
              </w:rPr>
            </w:pPr>
            <w:r>
              <w:rPr>
                <w:rFonts w:hint="eastAsia" w:ascii="宋体" w:hAnsi="宋体"/>
                <w:b/>
                <w:color w:val="auto"/>
                <w:sz w:val="24"/>
              </w:rPr>
              <w:t>资格审查</w:t>
            </w:r>
            <w:r>
              <w:rPr>
                <w:rFonts w:ascii="宋体" w:hAnsi="宋体"/>
                <w:b/>
                <w:color w:val="auto"/>
                <w:sz w:val="24"/>
              </w:rPr>
              <w:t>因素</w:t>
            </w:r>
          </w:p>
        </w:tc>
        <w:tc>
          <w:tcPr>
            <w:tcW w:w="5812" w:type="dxa"/>
            <w:vAlign w:val="center"/>
          </w:tcPr>
          <w:p w14:paraId="01372365">
            <w:pPr>
              <w:spacing w:line="360" w:lineRule="auto"/>
              <w:jc w:val="center"/>
              <w:rPr>
                <w:rFonts w:ascii="宋体" w:hAnsi="宋体"/>
                <w:b/>
                <w:color w:val="auto"/>
                <w:sz w:val="24"/>
              </w:rPr>
            </w:pPr>
            <w:r>
              <w:rPr>
                <w:rFonts w:hint="eastAsia" w:ascii="宋体" w:hAnsi="宋体"/>
                <w:b/>
                <w:color w:val="auto"/>
                <w:sz w:val="24"/>
              </w:rPr>
              <w:t>说明与要求</w:t>
            </w:r>
          </w:p>
        </w:tc>
      </w:tr>
      <w:tr w14:paraId="5E217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2D41CA2">
            <w:pPr>
              <w:spacing w:line="360" w:lineRule="auto"/>
              <w:jc w:val="center"/>
              <w:rPr>
                <w:rFonts w:ascii="宋体" w:hAnsi="宋体"/>
                <w:b/>
                <w:color w:val="auto"/>
                <w:sz w:val="24"/>
              </w:rPr>
            </w:pPr>
            <w:r>
              <w:rPr>
                <w:rFonts w:hint="eastAsia" w:ascii="宋体" w:hAnsi="宋体"/>
                <w:b/>
                <w:color w:val="auto"/>
                <w:sz w:val="24"/>
              </w:rPr>
              <w:t>1</w:t>
            </w:r>
          </w:p>
        </w:tc>
        <w:tc>
          <w:tcPr>
            <w:tcW w:w="2552" w:type="dxa"/>
            <w:tcBorders>
              <w:left w:val="single" w:color="auto" w:sz="4" w:space="0"/>
            </w:tcBorders>
            <w:vAlign w:val="center"/>
          </w:tcPr>
          <w:p w14:paraId="1CF48446">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投标函</w:t>
            </w:r>
          </w:p>
        </w:tc>
        <w:tc>
          <w:tcPr>
            <w:tcW w:w="5812" w:type="dxa"/>
            <w:tcBorders>
              <w:left w:val="single" w:color="auto" w:sz="4" w:space="0"/>
            </w:tcBorders>
            <w:vAlign w:val="center"/>
          </w:tcPr>
          <w:p w14:paraId="371359D5">
            <w:pPr>
              <w:spacing w:line="360" w:lineRule="auto"/>
              <w:rPr>
                <w:rFonts w:ascii="宋体" w:hAnsi="宋体" w:cs="宋体"/>
                <w:bCs/>
                <w:color w:val="auto"/>
                <w:sz w:val="24"/>
                <w:lang w:val="zh-CN"/>
              </w:rPr>
            </w:pPr>
            <w:r>
              <w:rPr>
                <w:rFonts w:hint="eastAsia" w:ascii="宋体" w:hAnsi="宋体" w:cs="宋体"/>
                <w:bCs/>
                <w:color w:val="auto"/>
                <w:sz w:val="24"/>
                <w:lang w:val="zh-CN"/>
              </w:rPr>
              <w:t>参考招标文件第八章3.1格式填写</w:t>
            </w:r>
          </w:p>
        </w:tc>
      </w:tr>
      <w:tr w14:paraId="7181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68655BFA">
            <w:pPr>
              <w:spacing w:line="360" w:lineRule="auto"/>
              <w:jc w:val="center"/>
              <w:rPr>
                <w:rFonts w:ascii="宋体" w:hAnsi="宋体"/>
                <w:b/>
                <w:bCs/>
                <w:color w:val="auto"/>
                <w:sz w:val="24"/>
              </w:rPr>
            </w:pPr>
            <w:r>
              <w:rPr>
                <w:rFonts w:hint="eastAsia" w:ascii="宋体" w:hAnsi="宋体"/>
                <w:b/>
                <w:bCs/>
                <w:color w:val="auto"/>
                <w:sz w:val="24"/>
              </w:rPr>
              <w:t>2</w:t>
            </w:r>
          </w:p>
        </w:tc>
        <w:tc>
          <w:tcPr>
            <w:tcW w:w="2552" w:type="dxa"/>
            <w:tcBorders>
              <w:left w:val="single" w:color="auto" w:sz="4" w:space="0"/>
            </w:tcBorders>
            <w:vAlign w:val="center"/>
          </w:tcPr>
          <w:p w14:paraId="322E1586">
            <w:pPr>
              <w:spacing w:line="360" w:lineRule="auto"/>
              <w:jc w:val="center"/>
              <w:rPr>
                <w:rFonts w:ascii="宋体" w:hAnsi="宋体" w:cs="宋体"/>
                <w:bCs/>
                <w:color w:val="auto"/>
                <w:sz w:val="24"/>
                <w:lang w:val="zh-CN"/>
              </w:rPr>
            </w:pPr>
            <w:r>
              <w:rPr>
                <w:rFonts w:ascii="宋体" w:hAnsi="宋体" w:cs="宋体"/>
                <w:bCs/>
                <w:color w:val="auto"/>
                <w:sz w:val="24"/>
                <w:lang w:val="zh-CN"/>
              </w:rPr>
              <w:t>政府采购供应商信用承诺函</w:t>
            </w:r>
          </w:p>
        </w:tc>
        <w:tc>
          <w:tcPr>
            <w:tcW w:w="5812" w:type="dxa"/>
            <w:tcBorders>
              <w:left w:val="single" w:color="auto" w:sz="4" w:space="0"/>
            </w:tcBorders>
            <w:vAlign w:val="center"/>
          </w:tcPr>
          <w:p w14:paraId="13EDFB7F">
            <w:pPr>
              <w:spacing w:line="360" w:lineRule="auto"/>
              <w:jc w:val="left"/>
              <w:rPr>
                <w:rFonts w:ascii="宋体" w:hAnsi="宋体" w:cs="宋体"/>
                <w:bCs/>
                <w:color w:val="auto"/>
                <w:sz w:val="24"/>
                <w:lang w:val="zh-CN"/>
              </w:rPr>
            </w:pPr>
            <w:r>
              <w:rPr>
                <w:rFonts w:hint="eastAsia" w:ascii="宋体" w:hAnsi="宋体" w:cs="宋体"/>
                <w:bCs/>
                <w:color w:val="auto"/>
                <w:sz w:val="24"/>
                <w:lang w:val="zh-CN"/>
              </w:rPr>
              <w:t>按照招标文件第八章3.5格式填写</w:t>
            </w:r>
          </w:p>
        </w:tc>
      </w:tr>
      <w:tr w14:paraId="7D6B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A2BFE67">
            <w:pPr>
              <w:spacing w:line="360" w:lineRule="auto"/>
              <w:jc w:val="center"/>
              <w:rPr>
                <w:rFonts w:ascii="宋体" w:hAnsi="宋体"/>
                <w:b/>
                <w:bCs/>
                <w:color w:val="auto"/>
                <w:sz w:val="24"/>
              </w:rPr>
            </w:pPr>
            <w:r>
              <w:rPr>
                <w:rFonts w:hint="eastAsia" w:ascii="宋体" w:hAnsi="宋体"/>
                <w:b/>
                <w:bCs/>
                <w:color w:val="auto"/>
                <w:sz w:val="24"/>
              </w:rPr>
              <w:t>3</w:t>
            </w:r>
          </w:p>
        </w:tc>
        <w:tc>
          <w:tcPr>
            <w:tcW w:w="2552" w:type="dxa"/>
            <w:tcBorders>
              <w:left w:val="single" w:color="auto" w:sz="4" w:space="0"/>
            </w:tcBorders>
            <w:vAlign w:val="center"/>
          </w:tcPr>
          <w:p w14:paraId="3AEC6277">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投标报价</w:t>
            </w:r>
          </w:p>
        </w:tc>
        <w:tc>
          <w:tcPr>
            <w:tcW w:w="5812" w:type="dxa"/>
            <w:tcBorders>
              <w:left w:val="single" w:color="auto" w:sz="4" w:space="0"/>
            </w:tcBorders>
          </w:tcPr>
          <w:p w14:paraId="5FF8818C">
            <w:pPr>
              <w:spacing w:line="360" w:lineRule="auto"/>
              <w:rPr>
                <w:rFonts w:ascii="宋体" w:hAnsi="宋体" w:cs="宋体"/>
                <w:bCs/>
                <w:color w:val="auto"/>
                <w:sz w:val="24"/>
                <w:lang w:val="zh-CN"/>
              </w:rPr>
            </w:pPr>
            <w:r>
              <w:rPr>
                <w:rFonts w:hint="eastAsia" w:ascii="宋体" w:hAnsi="宋体" w:cs="宋体"/>
                <w:color w:val="auto"/>
                <w:kern w:val="0"/>
                <w:sz w:val="24"/>
                <w:szCs w:val="24"/>
                <w:lang w:val="zh-CN"/>
              </w:rPr>
              <w:t>投标报价是否超出招标文件中规定的预算金额，超出预算金额的投标无效。</w:t>
            </w:r>
          </w:p>
        </w:tc>
      </w:tr>
      <w:tr w14:paraId="0275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B234B09">
            <w:pPr>
              <w:spacing w:line="360" w:lineRule="auto"/>
              <w:jc w:val="center"/>
              <w:rPr>
                <w:rFonts w:ascii="宋体" w:hAnsi="宋体"/>
                <w:b/>
                <w:bCs/>
                <w:color w:val="auto"/>
                <w:sz w:val="24"/>
              </w:rPr>
            </w:pPr>
            <w:r>
              <w:rPr>
                <w:rFonts w:hint="eastAsia" w:ascii="宋体" w:hAnsi="宋体"/>
                <w:b/>
                <w:bCs/>
                <w:color w:val="auto"/>
                <w:sz w:val="24"/>
              </w:rPr>
              <w:t>4</w:t>
            </w:r>
          </w:p>
        </w:tc>
        <w:tc>
          <w:tcPr>
            <w:tcW w:w="2552" w:type="dxa"/>
            <w:tcBorders>
              <w:left w:val="single" w:color="auto" w:sz="4" w:space="0"/>
            </w:tcBorders>
            <w:vAlign w:val="center"/>
          </w:tcPr>
          <w:p w14:paraId="18CB16D5">
            <w:pPr>
              <w:spacing w:line="360" w:lineRule="auto"/>
              <w:jc w:val="center"/>
              <w:rPr>
                <w:rFonts w:ascii="宋体" w:hAnsi="宋体" w:cs="宋体"/>
                <w:bCs/>
                <w:color w:val="auto"/>
                <w:sz w:val="24"/>
                <w:lang w:val="zh-CN"/>
              </w:rPr>
            </w:pPr>
            <w:r>
              <w:rPr>
                <w:rFonts w:hint="eastAsia" w:ascii="宋体" w:hAnsi="宋体" w:cs="宋体"/>
                <w:bCs/>
                <w:color w:val="auto"/>
                <w:sz w:val="24"/>
                <w:lang w:val="zh-CN"/>
              </w:rPr>
              <w:t>投标承诺函</w:t>
            </w:r>
          </w:p>
        </w:tc>
        <w:tc>
          <w:tcPr>
            <w:tcW w:w="5812" w:type="dxa"/>
            <w:tcBorders>
              <w:left w:val="single" w:color="auto" w:sz="4" w:space="0"/>
            </w:tcBorders>
            <w:vAlign w:val="center"/>
          </w:tcPr>
          <w:p w14:paraId="2564DA09">
            <w:pPr>
              <w:spacing w:line="360" w:lineRule="auto"/>
              <w:rPr>
                <w:rFonts w:ascii="宋体" w:hAnsi="宋体" w:cs="宋体"/>
                <w:bCs/>
                <w:color w:val="auto"/>
                <w:sz w:val="24"/>
                <w:lang w:val="zh-CN"/>
              </w:rPr>
            </w:pPr>
            <w:r>
              <w:rPr>
                <w:rFonts w:hint="eastAsia" w:ascii="宋体" w:hAnsi="宋体" w:cs="宋体"/>
                <w:bCs/>
                <w:color w:val="auto"/>
                <w:sz w:val="24"/>
                <w:lang w:val="zh-CN"/>
              </w:rPr>
              <w:t>按照招标文件第八章3.4格式填写。</w:t>
            </w:r>
          </w:p>
        </w:tc>
      </w:tr>
      <w:tr w14:paraId="7E1C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F1F1E2E">
            <w:pPr>
              <w:spacing w:line="360" w:lineRule="auto"/>
              <w:jc w:val="center"/>
              <w:rPr>
                <w:rFonts w:ascii="宋体" w:hAnsi="宋体"/>
                <w:b/>
                <w:bCs/>
                <w:color w:val="auto"/>
                <w:sz w:val="24"/>
              </w:rPr>
            </w:pPr>
            <w:r>
              <w:rPr>
                <w:rFonts w:hint="eastAsia" w:ascii="宋体" w:hAnsi="宋体"/>
                <w:b/>
                <w:bCs/>
                <w:color w:val="auto"/>
                <w:sz w:val="24"/>
              </w:rPr>
              <w:t>5</w:t>
            </w:r>
          </w:p>
        </w:tc>
        <w:tc>
          <w:tcPr>
            <w:tcW w:w="2552" w:type="dxa"/>
            <w:tcBorders>
              <w:left w:val="single" w:color="auto" w:sz="4" w:space="0"/>
            </w:tcBorders>
            <w:vAlign w:val="center"/>
          </w:tcPr>
          <w:p w14:paraId="03526653">
            <w:pPr>
              <w:spacing w:line="360" w:lineRule="auto"/>
              <w:jc w:val="center"/>
              <w:rPr>
                <w:rFonts w:ascii="宋体" w:hAnsi="宋体" w:cs="宋体"/>
                <w:bCs/>
                <w:color w:val="auto"/>
                <w:sz w:val="24"/>
                <w:lang w:val="zh-CN"/>
              </w:rPr>
            </w:pPr>
            <w:r>
              <w:rPr>
                <w:rFonts w:hint="eastAsia" w:ascii="宋体" w:hAnsi="宋体" w:cs="宋体"/>
                <w:bCs/>
                <w:color w:val="auto"/>
                <w:sz w:val="24"/>
                <w:lang w:val="zh-CN"/>
              </w:rPr>
              <w:t>联合体协议</w:t>
            </w:r>
          </w:p>
        </w:tc>
        <w:tc>
          <w:tcPr>
            <w:tcW w:w="5812" w:type="dxa"/>
            <w:tcBorders>
              <w:left w:val="single" w:color="auto" w:sz="4" w:space="0"/>
            </w:tcBorders>
          </w:tcPr>
          <w:p w14:paraId="47FE9DB3">
            <w:pPr>
              <w:spacing w:line="360" w:lineRule="auto"/>
              <w:rPr>
                <w:rFonts w:ascii="宋体" w:hAnsi="宋体" w:cs="宋体"/>
                <w:bCs/>
                <w:color w:val="auto"/>
                <w:sz w:val="24"/>
                <w:lang w:val="zh-CN"/>
              </w:rPr>
            </w:pPr>
            <w:r>
              <w:rPr>
                <w:rFonts w:hint="eastAsia" w:ascii="宋体" w:hAnsi="宋体" w:cs="宋体"/>
                <w:bCs/>
                <w:color w:val="auto"/>
                <w:sz w:val="24"/>
                <w:lang w:val="zh-CN"/>
              </w:rPr>
              <w:t>招标文件接受联合体投标且供应商为联合体的，供应商应提供本协议；否则无须提供。</w:t>
            </w:r>
          </w:p>
        </w:tc>
      </w:tr>
      <w:tr w14:paraId="39B6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3A6D718">
            <w:pPr>
              <w:spacing w:line="360" w:lineRule="auto"/>
              <w:contextualSpacing/>
              <w:jc w:val="center"/>
              <w:rPr>
                <w:rFonts w:ascii="宋体" w:hAnsi="宋体"/>
                <w:b/>
                <w:color w:val="auto"/>
                <w:sz w:val="24"/>
              </w:rPr>
            </w:pPr>
            <w:r>
              <w:rPr>
                <w:rFonts w:hint="eastAsia" w:ascii="宋体" w:hAnsi="宋体"/>
                <w:b/>
                <w:color w:val="auto"/>
                <w:sz w:val="24"/>
              </w:rPr>
              <w:t>6</w:t>
            </w:r>
          </w:p>
        </w:tc>
        <w:tc>
          <w:tcPr>
            <w:tcW w:w="2552" w:type="dxa"/>
            <w:tcBorders>
              <w:left w:val="single" w:color="auto" w:sz="4" w:space="0"/>
            </w:tcBorders>
            <w:vAlign w:val="center"/>
          </w:tcPr>
          <w:p w14:paraId="76A6D0D4">
            <w:pPr>
              <w:spacing w:line="360" w:lineRule="auto"/>
              <w:contextualSpacing/>
              <w:jc w:val="center"/>
              <w:rPr>
                <w:rFonts w:ascii="宋体" w:hAnsi="宋体" w:cs="宋体"/>
                <w:bCs/>
                <w:color w:val="auto"/>
                <w:sz w:val="24"/>
                <w:lang w:val="zh-CN"/>
              </w:rPr>
            </w:pPr>
            <w:r>
              <w:rPr>
                <w:rFonts w:hint="eastAsia" w:ascii="宋体" w:hAnsi="宋体" w:cs="宋体"/>
                <w:bCs/>
                <w:color w:val="auto"/>
                <w:sz w:val="24"/>
                <w:lang w:val="zh-CN"/>
              </w:rPr>
              <w:t>供应商身份证明及授权</w:t>
            </w:r>
          </w:p>
        </w:tc>
        <w:tc>
          <w:tcPr>
            <w:tcW w:w="5812" w:type="dxa"/>
            <w:tcBorders>
              <w:left w:val="single" w:color="auto" w:sz="4" w:space="0"/>
            </w:tcBorders>
          </w:tcPr>
          <w:p w14:paraId="51684B23">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（1）法定代表人身份证明或提供法定代表人授权委托书及被授权人身份证明。（法人投标提供）</w:t>
            </w:r>
          </w:p>
          <w:p w14:paraId="4BA237DA">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（2）单位负责人身份证明或提供单位负责人授权委托书及被授权人身份证明。（非法人投标提供）</w:t>
            </w:r>
          </w:p>
          <w:p w14:paraId="739918FC">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注：</w:t>
            </w:r>
          </w:p>
          <w:p w14:paraId="4DB46AEA">
            <w:pPr>
              <w:spacing w:line="360" w:lineRule="auto"/>
              <w:rPr>
                <w:rFonts w:ascii="宋体" w:hAnsi="宋体" w:cs="宋体"/>
                <w:bCs/>
                <w:color w:val="auto"/>
                <w:sz w:val="24"/>
                <w:szCs w:val="24"/>
                <w:lang w:val="zh-CN"/>
              </w:rPr>
            </w:pPr>
            <w:r>
              <w:rPr>
                <w:rFonts w:hint="eastAsia" w:ascii="宋体" w:hAnsi="宋体" w:cs="宋体"/>
                <w:bCs/>
                <w:color w:val="auto"/>
                <w:sz w:val="24"/>
                <w:szCs w:val="24"/>
                <w:lang w:val="zh-CN"/>
              </w:rPr>
              <w:t>①企业（银行、保险、石油石化、电力、电信等行业除外）、事业单位和社会团体供应商以法人身份参加投标的，法定代表人应与实际提交的“营业执照等证明文件”载明的一致。</w:t>
            </w:r>
          </w:p>
          <w:p w14:paraId="1489733F">
            <w:pPr>
              <w:spacing w:line="360" w:lineRule="auto"/>
              <w:contextualSpacing/>
              <w:rPr>
                <w:rFonts w:ascii="宋体" w:hAnsi="宋体" w:cs="宋体"/>
                <w:bCs/>
                <w:color w:val="auto"/>
                <w:sz w:val="24"/>
                <w:szCs w:val="24"/>
                <w:lang w:val="zh-CN"/>
              </w:rPr>
            </w:pPr>
            <w:r>
              <w:rPr>
                <w:rFonts w:hint="eastAsia" w:ascii="宋体" w:hAnsi="宋体" w:cs="宋体"/>
                <w:bCs/>
                <w:color w:val="auto"/>
                <w:sz w:val="24"/>
                <w:szCs w:val="24"/>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615DB2EE">
            <w:pPr>
              <w:spacing w:line="360" w:lineRule="auto"/>
              <w:contextualSpacing/>
              <w:rPr>
                <w:rFonts w:ascii="宋体" w:hAnsi="宋体" w:cs="宋体"/>
                <w:bCs/>
                <w:color w:val="auto"/>
                <w:sz w:val="24"/>
                <w:szCs w:val="24"/>
                <w:lang w:val="zh-CN"/>
              </w:rPr>
            </w:pPr>
            <w:r>
              <w:rPr>
                <w:rFonts w:hint="eastAsia" w:ascii="宋体" w:hAnsi="宋体" w:cs="宋体"/>
                <w:bCs/>
                <w:color w:val="auto"/>
                <w:sz w:val="24"/>
                <w:szCs w:val="24"/>
                <w:lang w:val="zh-CN"/>
              </w:rPr>
              <w:t>③供应商为自然人的，无需填写法定代表人授权书。</w:t>
            </w:r>
          </w:p>
        </w:tc>
      </w:tr>
      <w:tr w14:paraId="7EF9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689F7461">
            <w:pPr>
              <w:spacing w:line="360" w:lineRule="auto"/>
              <w:contextualSpacing/>
              <w:jc w:val="center"/>
              <w:rPr>
                <w:rFonts w:ascii="宋体" w:hAnsi="宋体"/>
                <w:b/>
                <w:color w:val="auto"/>
                <w:sz w:val="24"/>
              </w:rPr>
            </w:pPr>
            <w:r>
              <w:rPr>
                <w:rFonts w:hint="eastAsia" w:ascii="宋体" w:hAnsi="宋体"/>
                <w:b/>
                <w:color w:val="auto"/>
                <w:sz w:val="24"/>
              </w:rPr>
              <w:t>7</w:t>
            </w:r>
          </w:p>
        </w:tc>
        <w:tc>
          <w:tcPr>
            <w:tcW w:w="2552" w:type="dxa"/>
            <w:tcBorders>
              <w:left w:val="single" w:color="auto" w:sz="4" w:space="0"/>
            </w:tcBorders>
            <w:vAlign w:val="center"/>
          </w:tcPr>
          <w:p w14:paraId="180BC47D">
            <w:pPr>
              <w:spacing w:line="400" w:lineRule="exact"/>
              <w:jc w:val="center"/>
              <w:rPr>
                <w:rFonts w:ascii="宋体" w:hAnsi="宋体"/>
                <w:color w:val="auto"/>
                <w:sz w:val="24"/>
              </w:rPr>
            </w:pPr>
            <w:r>
              <w:rPr>
                <w:rFonts w:hint="eastAsia" w:ascii="宋体" w:hAnsi="宋体"/>
                <w:color w:val="auto"/>
                <w:sz w:val="24"/>
              </w:rPr>
              <w:t>单位负责人为同一人或者存在直接控股、管理关系的不同供应商，不得参加同一合同项下的政府采购活动</w:t>
            </w:r>
          </w:p>
        </w:tc>
        <w:tc>
          <w:tcPr>
            <w:tcW w:w="5812" w:type="dxa"/>
            <w:tcBorders>
              <w:left w:val="single" w:color="auto" w:sz="4" w:space="0"/>
            </w:tcBorders>
            <w:vAlign w:val="center"/>
          </w:tcPr>
          <w:p w14:paraId="3B04652E">
            <w:pPr>
              <w:spacing w:line="400" w:lineRule="exact"/>
              <w:jc w:val="left"/>
              <w:rPr>
                <w:rFonts w:ascii="宋体" w:hAnsi="宋体" w:cs="仿宋_GB2312"/>
                <w:color w:val="auto"/>
                <w:sz w:val="24"/>
                <w:szCs w:val="24"/>
                <w:lang w:val="zh-CN"/>
              </w:rPr>
            </w:pPr>
            <w:r>
              <w:rPr>
                <w:rFonts w:hint="eastAsia" w:ascii="宋体" w:hAnsi="宋体" w:cs="仿宋_GB2312"/>
                <w:color w:val="auto"/>
                <w:sz w:val="24"/>
                <w:szCs w:val="24"/>
                <w:lang w:val="zh-CN"/>
              </w:rPr>
              <w:t>供应商提供与参加本项目投标的其他供应商之间，单位负责人不为同一人并且不存在直接控股、管理关系承诺函（承诺函格式自拟）。</w:t>
            </w:r>
          </w:p>
          <w:p w14:paraId="196774C1">
            <w:pPr>
              <w:spacing w:line="400" w:lineRule="exact"/>
              <w:jc w:val="left"/>
              <w:rPr>
                <w:rFonts w:ascii="宋体" w:hAnsi="宋体" w:cs="仿宋_GB2312"/>
                <w:color w:val="auto"/>
                <w:sz w:val="24"/>
                <w:szCs w:val="24"/>
                <w:lang w:val="zh-CN"/>
              </w:rPr>
            </w:pPr>
          </w:p>
        </w:tc>
      </w:tr>
      <w:tr w14:paraId="643B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48BBE355">
            <w:pPr>
              <w:spacing w:line="360" w:lineRule="auto"/>
              <w:contextualSpacing/>
              <w:jc w:val="center"/>
              <w:rPr>
                <w:rFonts w:ascii="宋体" w:hAnsi="宋体"/>
                <w:b/>
                <w:color w:val="auto"/>
                <w:sz w:val="24"/>
              </w:rPr>
            </w:pPr>
            <w:r>
              <w:rPr>
                <w:rFonts w:hint="eastAsia" w:ascii="宋体" w:hAnsi="宋体"/>
                <w:b/>
                <w:color w:val="auto"/>
                <w:sz w:val="24"/>
              </w:rPr>
              <w:t>8</w:t>
            </w:r>
          </w:p>
        </w:tc>
        <w:tc>
          <w:tcPr>
            <w:tcW w:w="2552" w:type="dxa"/>
            <w:tcBorders>
              <w:left w:val="single" w:color="auto" w:sz="4" w:space="0"/>
            </w:tcBorders>
            <w:vAlign w:val="center"/>
          </w:tcPr>
          <w:p w14:paraId="1BFEAF2A">
            <w:pPr>
              <w:spacing w:line="400" w:lineRule="exact"/>
              <w:jc w:val="center"/>
              <w:rPr>
                <w:rFonts w:ascii="宋体" w:hAnsi="宋体"/>
                <w:color w:val="auto"/>
                <w:sz w:val="24"/>
              </w:rPr>
            </w:pPr>
            <w:r>
              <w:rPr>
                <w:rFonts w:hint="eastAsia" w:ascii="宋体" w:hAnsi="宋体"/>
                <w:color w:val="auto"/>
                <w:sz w:val="24"/>
              </w:rPr>
              <w:t>为本项目提供整体设计、规范编制或者项目管理、监理、检测等服务的供应商不得参加本项目投标</w:t>
            </w:r>
          </w:p>
        </w:tc>
        <w:tc>
          <w:tcPr>
            <w:tcW w:w="5812" w:type="dxa"/>
            <w:tcBorders>
              <w:left w:val="single" w:color="auto" w:sz="4" w:space="0"/>
            </w:tcBorders>
            <w:vAlign w:val="center"/>
          </w:tcPr>
          <w:p w14:paraId="40DD6584">
            <w:pPr>
              <w:spacing w:line="400" w:lineRule="exact"/>
              <w:jc w:val="left"/>
              <w:rPr>
                <w:rFonts w:ascii="宋体" w:hAnsi="宋体" w:cs="仿宋_GB2312"/>
                <w:color w:val="auto"/>
                <w:sz w:val="24"/>
                <w:szCs w:val="24"/>
                <w:lang w:val="zh-CN"/>
              </w:rPr>
            </w:pPr>
            <w:r>
              <w:rPr>
                <w:rFonts w:hint="eastAsia" w:ascii="宋体" w:hAnsi="宋体" w:cs="仿宋_GB2312"/>
                <w:color w:val="auto"/>
                <w:sz w:val="24"/>
                <w:szCs w:val="24"/>
                <w:lang w:val="zh-CN"/>
              </w:rPr>
              <w:t>供应商</w:t>
            </w:r>
            <w:bookmarkStart w:id="21" w:name="baidusnap2"/>
            <w:bookmarkEnd w:id="21"/>
            <w:r>
              <w:rPr>
                <w:rFonts w:hint="eastAsia" w:ascii="宋体" w:hAnsi="宋体" w:cs="仿宋_GB2312"/>
                <w:color w:val="auto"/>
                <w:sz w:val="24"/>
                <w:szCs w:val="24"/>
                <w:lang w:val="zh-CN"/>
              </w:rPr>
              <w:t>提供未为本项目提供整体设计、</w:t>
            </w:r>
            <w:bookmarkStart w:id="22" w:name="baidusnap9"/>
            <w:bookmarkEnd w:id="22"/>
            <w:r>
              <w:rPr>
                <w:rFonts w:hint="eastAsia" w:ascii="宋体" w:hAnsi="宋体" w:cs="仿宋_GB2312"/>
                <w:color w:val="auto"/>
                <w:sz w:val="24"/>
                <w:szCs w:val="24"/>
                <w:lang w:val="zh-CN"/>
              </w:rPr>
              <w:t>规范编制或者项目管理、监理、检测等服务承诺函（承诺函格式自拟）。</w:t>
            </w:r>
          </w:p>
          <w:p w14:paraId="35C02904">
            <w:pPr>
              <w:spacing w:line="400" w:lineRule="exact"/>
              <w:jc w:val="left"/>
              <w:rPr>
                <w:rFonts w:ascii="宋体" w:hAnsi="宋体"/>
                <w:bCs/>
                <w:color w:val="auto"/>
                <w:sz w:val="24"/>
                <w:szCs w:val="24"/>
              </w:rPr>
            </w:pPr>
          </w:p>
        </w:tc>
      </w:tr>
      <w:tr w14:paraId="7D16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7E44009D">
            <w:pPr>
              <w:spacing w:line="360" w:lineRule="auto"/>
              <w:contextualSpacing/>
              <w:jc w:val="center"/>
              <w:rPr>
                <w:rFonts w:ascii="宋体" w:hAnsi="宋体"/>
                <w:b/>
                <w:color w:val="auto"/>
                <w:sz w:val="22"/>
              </w:rPr>
            </w:pPr>
            <w:r>
              <w:rPr>
                <w:rFonts w:hint="eastAsia" w:ascii="宋体" w:hAnsi="宋体"/>
                <w:b/>
                <w:color w:val="auto"/>
                <w:sz w:val="22"/>
                <w:szCs w:val="22"/>
              </w:rPr>
              <w:t>9</w:t>
            </w:r>
          </w:p>
        </w:tc>
        <w:tc>
          <w:tcPr>
            <w:tcW w:w="2552" w:type="dxa"/>
            <w:tcBorders>
              <w:left w:val="single" w:color="auto" w:sz="4" w:space="0"/>
            </w:tcBorders>
            <w:vAlign w:val="center"/>
          </w:tcPr>
          <w:p w14:paraId="3A6CEA35">
            <w:pPr>
              <w:spacing w:line="400" w:lineRule="exact"/>
              <w:jc w:val="center"/>
              <w:rPr>
                <w:rFonts w:ascii="宋体" w:hAnsi="宋体"/>
                <w:color w:val="auto"/>
                <w:sz w:val="24"/>
              </w:rPr>
            </w:pPr>
            <w:r>
              <w:rPr>
                <w:rFonts w:hint="eastAsia" w:ascii="宋体" w:hAnsi="宋体"/>
                <w:color w:val="auto"/>
                <w:sz w:val="24"/>
              </w:rPr>
              <w:t>中小企业</w:t>
            </w:r>
          </w:p>
        </w:tc>
        <w:tc>
          <w:tcPr>
            <w:tcW w:w="5812" w:type="dxa"/>
            <w:tcBorders>
              <w:left w:val="single" w:color="auto" w:sz="4" w:space="0"/>
            </w:tcBorders>
            <w:vAlign w:val="center"/>
          </w:tcPr>
          <w:p w14:paraId="387C7C7F">
            <w:pPr>
              <w:widowControl/>
              <w:jc w:val="left"/>
              <w:rPr>
                <w:rFonts w:ascii="宋体" w:hAnsi="宋体"/>
                <w:color w:val="auto"/>
                <w:sz w:val="24"/>
              </w:rPr>
            </w:pPr>
            <w:r>
              <w:rPr>
                <w:rFonts w:hint="eastAsia" w:ascii="宋体" w:hAnsi="宋体"/>
                <w:color w:val="auto"/>
                <w:sz w:val="24"/>
              </w:rPr>
              <w:t>本项目是非专门面向中小企业采购</w:t>
            </w:r>
          </w:p>
        </w:tc>
      </w:tr>
      <w:tr w14:paraId="2AA1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14:paraId="2D1CA228">
            <w:pPr>
              <w:spacing w:line="360" w:lineRule="auto"/>
              <w:contextualSpacing/>
              <w:jc w:val="center"/>
              <w:rPr>
                <w:rFonts w:ascii="宋体" w:hAnsi="宋体"/>
                <w:b/>
                <w:color w:val="auto"/>
                <w:sz w:val="22"/>
                <w:szCs w:val="22"/>
              </w:rPr>
            </w:pPr>
            <w:r>
              <w:rPr>
                <w:rFonts w:hint="eastAsia" w:ascii="宋体" w:hAnsi="宋体"/>
                <w:b/>
                <w:color w:val="auto"/>
                <w:sz w:val="22"/>
                <w:szCs w:val="22"/>
              </w:rPr>
              <w:t>10</w:t>
            </w:r>
          </w:p>
        </w:tc>
        <w:tc>
          <w:tcPr>
            <w:tcW w:w="2552" w:type="dxa"/>
            <w:tcBorders>
              <w:left w:val="single" w:color="auto" w:sz="4" w:space="0"/>
            </w:tcBorders>
            <w:vAlign w:val="center"/>
          </w:tcPr>
          <w:p w14:paraId="6A97FF7F">
            <w:pPr>
              <w:spacing w:line="400" w:lineRule="exact"/>
              <w:jc w:val="center"/>
              <w:rPr>
                <w:rFonts w:ascii="宋体" w:hAnsi="宋体"/>
                <w:color w:val="auto"/>
                <w:sz w:val="24"/>
              </w:rPr>
            </w:pPr>
            <w:r>
              <w:rPr>
                <w:rFonts w:hint="eastAsia" w:ascii="宋体" w:hAnsi="宋体"/>
                <w:color w:val="auto"/>
                <w:sz w:val="24"/>
              </w:rPr>
              <w:t>供应商须具备的特殊资质证书</w:t>
            </w:r>
          </w:p>
        </w:tc>
        <w:tc>
          <w:tcPr>
            <w:tcW w:w="5812" w:type="dxa"/>
            <w:tcBorders>
              <w:left w:val="single" w:color="auto" w:sz="4" w:space="0"/>
            </w:tcBorders>
            <w:vAlign w:val="center"/>
          </w:tcPr>
          <w:p w14:paraId="33E1C51E">
            <w:pPr>
              <w:spacing w:line="460" w:lineRule="exact"/>
              <w:contextualSpacing/>
              <w:rPr>
                <w:rFonts w:ascii="宋体" w:hAnsi="宋体"/>
                <w:color w:val="auto"/>
                <w:sz w:val="24"/>
              </w:rPr>
            </w:pPr>
            <w:r>
              <w:rPr>
                <w:rFonts w:hint="eastAsia" w:ascii="宋体" w:hAnsi="宋体"/>
                <w:color w:val="auto"/>
                <w:kern w:val="0"/>
                <w:sz w:val="24"/>
                <w:szCs w:val="24"/>
              </w:rPr>
              <w:t>无</w:t>
            </w:r>
          </w:p>
        </w:tc>
      </w:tr>
    </w:tbl>
    <w:p w14:paraId="601BFDC4">
      <w:pPr>
        <w:pStyle w:val="18"/>
        <w:spacing w:line="360" w:lineRule="auto"/>
        <w:contextualSpacing/>
        <w:outlineLvl w:val="1"/>
        <w:rPr>
          <w:rFonts w:ascii="宋体" w:hAnsi="宋体"/>
          <w:b/>
          <w:color w:val="auto"/>
        </w:rPr>
      </w:pPr>
      <w:r>
        <w:rPr>
          <w:rFonts w:hint="eastAsia" w:ascii="宋体" w:hAnsi="宋体"/>
          <w:b/>
          <w:color w:val="auto"/>
        </w:rPr>
        <w:t>二、评审</w:t>
      </w:r>
    </w:p>
    <w:p w14:paraId="21EE9943">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（一）评标方法</w:t>
      </w:r>
    </w:p>
    <w:p w14:paraId="00DE6E37">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本项目采用综合评分法，总分为100分。</w:t>
      </w:r>
    </w:p>
    <w:p w14:paraId="15B26A09">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（二）评标委员会负责具体评标事务，并独立履行下列职责</w:t>
      </w:r>
    </w:p>
    <w:p w14:paraId="49D5FED1">
      <w:pPr>
        <w:spacing w:line="360" w:lineRule="auto"/>
        <w:ind w:firstLine="482" w:firstLineChars="200"/>
        <w:jc w:val="left"/>
        <w:rPr>
          <w:rFonts w:ascii="宋体" w:hAnsi="宋体" w:cs="宋体"/>
          <w:b/>
          <w:color w:val="auto"/>
          <w:sz w:val="24"/>
          <w:szCs w:val="24"/>
          <w:lang w:val="zh-CN"/>
        </w:rPr>
      </w:pPr>
      <w:r>
        <w:rPr>
          <w:rFonts w:hint="eastAsia" w:ascii="宋体" w:hAnsi="宋体" w:cs="宋体"/>
          <w:b/>
          <w:color w:val="auto"/>
          <w:sz w:val="24"/>
          <w:szCs w:val="24"/>
          <w:lang w:val="zh-CN"/>
        </w:rPr>
        <w:t>1、审查、评价投标文件是否符合招标文件的商务、技术等实质性要求；</w:t>
      </w:r>
    </w:p>
    <w:p w14:paraId="5002C53C">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评标委员会对符合资格的供应商的投标文件进行符合性审查，以确定其是否满足采购需求等实质性要求。</w:t>
      </w:r>
    </w:p>
    <w:p w14:paraId="57F3422A">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注：符合性审查中所涉及的证书及材料，均须在电子投标文件中提供原件扫描件（或图片）。</w:t>
      </w:r>
    </w:p>
    <w:p w14:paraId="02C3E676">
      <w:pPr>
        <w:spacing w:line="360" w:lineRule="auto"/>
        <w:ind w:firstLine="482" w:firstLineChars="200"/>
        <w:rPr>
          <w:rFonts w:ascii="宋体" w:hAnsi="宋体" w:cs="宋体"/>
          <w:b/>
          <w:color w:val="auto"/>
          <w:sz w:val="24"/>
          <w:szCs w:val="24"/>
          <w:lang w:val="zh-CN"/>
        </w:rPr>
      </w:pPr>
      <w:r>
        <w:rPr>
          <w:rFonts w:hint="eastAsia" w:ascii="宋体" w:hAnsi="宋体" w:cs="宋体"/>
          <w:b/>
          <w:color w:val="auto"/>
          <w:sz w:val="24"/>
          <w:szCs w:val="24"/>
          <w:lang w:val="zh-CN"/>
        </w:rPr>
        <w:t>2、要求供应商对投标文件有关事项作出澄清或者说明；</w:t>
      </w:r>
    </w:p>
    <w:p w14:paraId="1F511B33">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对于投标文件中含义不明确、同类问题表述不一致或者有明显文字和计算错误的内容，评标委员会应当以书面形式要求供应商作出必要的澄清、说明或者补正。</w:t>
      </w:r>
    </w:p>
    <w:p w14:paraId="05BD3E37">
      <w:pPr>
        <w:spacing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供应商的澄清、说明或者补正应当采用书面形式，并加盖公章，或者由法定代表人或其授权的代表签字。供应商的澄清、说明或者补正不得超出投标文件的范围或者改变投标文件的实质性内容。</w:t>
      </w:r>
    </w:p>
    <w:p w14:paraId="552609CF">
      <w:pPr>
        <w:numPr>
          <w:ilvl w:val="0"/>
          <w:numId w:val="12"/>
        </w:numPr>
        <w:spacing w:line="360" w:lineRule="auto"/>
        <w:ind w:firstLine="465"/>
        <w:contextualSpacing/>
        <w:jc w:val="left"/>
        <w:rPr>
          <w:rFonts w:ascii="宋体" w:hAnsi="宋体" w:cs="宋体"/>
          <w:b/>
          <w:color w:val="auto"/>
          <w:sz w:val="24"/>
          <w:szCs w:val="24"/>
          <w:lang w:val="zh-CN"/>
        </w:rPr>
      </w:pPr>
      <w:r>
        <w:rPr>
          <w:rFonts w:hint="eastAsia" w:ascii="宋体" w:hAnsi="宋体" w:cs="宋体"/>
          <w:b/>
          <w:color w:val="auto"/>
          <w:sz w:val="24"/>
          <w:szCs w:val="24"/>
          <w:lang w:val="zh-CN"/>
        </w:rPr>
        <w:t>对投标文件进行比较和评价；</w:t>
      </w:r>
    </w:p>
    <w:p w14:paraId="75B54E20">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评标委员会按照招标文件中规定的评标方法和标准，对符合性审查合格的投标文件进行商务和技术评估，综合比较与评价。评标时，评标委员会各成员应当独立对每个供应商的投标文件进行评价，并汇总每个供应商的得分。评标过程中，不得去掉报价中的最高报价和最低报价。</w:t>
      </w:r>
    </w:p>
    <w:p w14:paraId="06C67FDB">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注：评标标准中所涉及的证书及材料，均须在电子投标文件中提供原件扫描件（或图片）。</w:t>
      </w:r>
    </w:p>
    <w:p w14:paraId="58BD1B8A">
      <w:pPr>
        <w:pStyle w:val="18"/>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（1）价格分计算</w:t>
      </w:r>
    </w:p>
    <w:p w14:paraId="3C4805A9">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1B6BB2C2">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1）如果本项目非专门面向中小企业采购，对</w:t>
      </w:r>
      <w:r>
        <w:rPr>
          <w:rFonts w:ascii="宋体" w:hAnsi="宋体" w:cs="宋体"/>
          <w:color w:val="auto"/>
          <w:sz w:val="24"/>
          <w:szCs w:val="24"/>
          <w:lang w:val="zh-CN"/>
        </w:rPr>
        <w:t>符合</w:t>
      </w:r>
      <w:r>
        <w:rPr>
          <w:rFonts w:hint="eastAsia" w:ascii="宋体" w:hAnsi="宋体" w:cs="宋体"/>
          <w:color w:val="auto"/>
          <w:sz w:val="24"/>
          <w:szCs w:val="24"/>
          <w:lang w:val="zh-CN"/>
        </w:rPr>
        <w:t>《政府采购促进中小企业发展管理办法》(财库〔2020〕46号、《关于进一步加大政府采购支持中小企业力度的通知》（财库〔2022〕19号）</w:t>
      </w:r>
      <w:r>
        <w:rPr>
          <w:rFonts w:ascii="宋体" w:hAnsi="宋体" w:cs="宋体"/>
          <w:color w:val="auto"/>
          <w:sz w:val="24"/>
          <w:szCs w:val="24"/>
          <w:lang w:val="zh-CN"/>
        </w:rPr>
        <w:t>规定的小微企业报价</w:t>
      </w:r>
      <w:r>
        <w:rPr>
          <w:rFonts w:hint="eastAsia" w:ascii="宋体" w:hAnsi="宋体" w:cs="宋体"/>
          <w:color w:val="auto"/>
          <w:sz w:val="24"/>
          <w:szCs w:val="24"/>
          <w:lang w:val="zh-CN"/>
        </w:rPr>
        <w:t>给予20%（工程项目5%）的扣除，用扣除后的价格参与评审。</w:t>
      </w:r>
      <w:r>
        <w:rPr>
          <w:rFonts w:ascii="宋体" w:hAnsi="宋体" w:cs="宋体"/>
          <w:color w:val="auto"/>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宋体" w:hAnsi="宋体" w:cs="宋体"/>
          <w:color w:val="auto"/>
          <w:sz w:val="24"/>
          <w:szCs w:val="24"/>
          <w:lang w:val="zh-CN"/>
        </w:rPr>
        <w:t>6</w:t>
      </w:r>
      <w:r>
        <w:rPr>
          <w:rFonts w:ascii="宋体" w:hAnsi="宋体" w:cs="宋体"/>
          <w:color w:val="auto"/>
          <w:sz w:val="24"/>
          <w:szCs w:val="24"/>
          <w:lang w:val="zh-CN"/>
        </w:rPr>
        <w:t>%</w:t>
      </w:r>
      <w:r>
        <w:rPr>
          <w:rFonts w:hint="eastAsia" w:ascii="宋体" w:hAnsi="宋体" w:cs="宋体"/>
          <w:color w:val="auto"/>
          <w:sz w:val="24"/>
          <w:szCs w:val="24"/>
          <w:lang w:val="zh-CN"/>
        </w:rPr>
        <w:t>（工程项目2%）</w:t>
      </w:r>
      <w:r>
        <w:rPr>
          <w:rFonts w:ascii="宋体" w:hAnsi="宋体" w:cs="宋体"/>
          <w:color w:val="auto"/>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color w:val="auto"/>
          <w:sz w:val="24"/>
          <w:szCs w:val="24"/>
          <w:lang w:val="zh-CN"/>
        </w:rPr>
        <w:t>按照本次采购标的所属行业的划定标准，符合条件的中小企业应按照招标文件格式要求提供《中小企业声明函》，</w:t>
      </w:r>
      <w:r>
        <w:rPr>
          <w:rFonts w:ascii="宋体" w:hAnsi="宋体" w:cs="宋体"/>
          <w:color w:val="auto"/>
          <w:sz w:val="24"/>
          <w:szCs w:val="24"/>
          <w:lang w:val="zh-CN"/>
        </w:rPr>
        <w:t>否则不得享受相关中小企业扶持政策。</w:t>
      </w:r>
    </w:p>
    <w:p w14:paraId="22677CF6">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小型和微型企业不包含民办非企业单位。</w:t>
      </w:r>
    </w:p>
    <w:p w14:paraId="62FBC19D">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符合中小企业划分标准的个体工商户，在政府采购活动中视同中小企业。</w:t>
      </w:r>
    </w:p>
    <w:p w14:paraId="1C465BC5">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14:paraId="1948889E">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4B19CD72">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享受政府采购支持政策的残疾人福利性单位应当同时满足以下条件：</w:t>
      </w:r>
    </w:p>
    <w:p w14:paraId="6523182B">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（一）安置的残疾人占本单位在职职工人数的比例不低于25%（含25%），并且安置的残疾人人数不少于10人（含10人）；</w:t>
      </w:r>
    </w:p>
    <w:p w14:paraId="451E9E34">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（二）依法与安置的每位残疾人签订了一年以上（含一年）的劳动合同或服务协议；</w:t>
      </w:r>
    </w:p>
    <w:p w14:paraId="44A7F4C4">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（三）为安置的每位残疾人按月足额缴纳了基本养老保险、基本医疗保险、失业保险、工伤保险和生育保险等社会保险费；</w:t>
      </w:r>
    </w:p>
    <w:p w14:paraId="7E1270AF">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（四）通过银行等金融机构向安置的每位残疾人，按月支付了不低于单位所在区县适用的经省级人民政府批准的月最低工资标准的工资；</w:t>
      </w:r>
    </w:p>
    <w:p w14:paraId="7980C422">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（五）提供本单位制造的货物、承担的工程或者服务（以下简称产品），或者提供其他残疾人福利性单位制造的货物（不包括使用非残疾人福利性单位注册商标的货物）。</w:t>
      </w:r>
    </w:p>
    <w:p w14:paraId="0504DF25">
      <w:pPr>
        <w:pStyle w:val="18"/>
        <w:spacing w:line="360" w:lineRule="auto"/>
        <w:ind w:firstLine="480" w:firstLineChars="200"/>
        <w:contextualSpacing/>
        <w:rPr>
          <w:rFonts w:ascii="宋体" w:hAnsi="宋体" w:cs="宋体"/>
          <w:color w:val="auto"/>
          <w:lang w:val="zh-CN"/>
        </w:rPr>
      </w:pPr>
      <w:r>
        <w:rPr>
          <w:rFonts w:hint="eastAsia" w:ascii="宋体" w:hAnsi="宋体" w:cs="宋体"/>
          <w:color w:val="auto"/>
          <w:lang w:val="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3986565">
      <w:pPr>
        <w:pStyle w:val="18"/>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（2）</w:t>
      </w:r>
      <w:r>
        <w:rPr>
          <w:rFonts w:ascii="宋体" w:hAnsi="宋体" w:cs="宋体"/>
          <w:b/>
          <w:color w:val="auto"/>
          <w:kern w:val="2"/>
          <w:lang w:val="zh-CN"/>
        </w:rPr>
        <w:t>关于相同品牌产品（服务类项目不适用本条款规定）</w:t>
      </w:r>
    </w:p>
    <w:p w14:paraId="19A472D3">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采用最低评标价法的，提供相同品牌产品的不同供应商参加同一合同项下投标的，以其中通过资格审查、符合性审查且报价最低的参加评标；报价相同的，由采购人或者采购人委托评标委员会</w:t>
      </w:r>
      <w:r>
        <w:rPr>
          <w:rFonts w:hint="eastAsia" w:ascii="宋体" w:hAnsi="宋体" w:cs="宋体"/>
          <w:color w:val="auto"/>
          <w:sz w:val="24"/>
          <w:szCs w:val="24"/>
          <w:lang w:val="zh-CN"/>
        </w:rPr>
        <w:t>采取随机抽取的</w:t>
      </w:r>
      <w:r>
        <w:rPr>
          <w:rFonts w:ascii="宋体" w:hAnsi="宋体" w:cs="宋体"/>
          <w:color w:val="auto"/>
          <w:sz w:val="24"/>
          <w:szCs w:val="24"/>
          <w:lang w:val="zh-CN"/>
        </w:rPr>
        <w:t>方式确定一个参加评标的供应商，其他投标无效。</w:t>
      </w:r>
    </w:p>
    <w:p w14:paraId="42BD723E">
      <w:pPr>
        <w:spacing w:line="360" w:lineRule="auto"/>
        <w:ind w:firstLine="480" w:firstLineChars="200"/>
        <w:jc w:val="left"/>
        <w:rPr>
          <w:rFonts w:ascii="宋体" w:hAnsi="宋体" w:cs="宋体"/>
          <w:color w:val="auto"/>
          <w:sz w:val="24"/>
          <w:szCs w:val="24"/>
          <w:lang w:val="zh-CN"/>
        </w:rPr>
      </w:pPr>
      <w:r>
        <w:rPr>
          <w:rFonts w:ascii="宋体" w:hAnsi="宋体" w:cs="宋体"/>
          <w:color w:val="auto"/>
          <w:sz w:val="24"/>
          <w:szCs w:val="24"/>
          <w:lang w:val="zh-CN"/>
        </w:rPr>
        <w:t>采用综合评分法的，提供相同品牌产品</w:t>
      </w:r>
      <w:r>
        <w:rPr>
          <w:rFonts w:hint="eastAsia" w:ascii="宋体" w:hAnsi="宋体" w:cs="宋体"/>
          <w:color w:val="auto"/>
          <w:sz w:val="24"/>
          <w:szCs w:val="24"/>
          <w:lang w:val="zh-CN"/>
        </w:rPr>
        <w:t>（</w:t>
      </w:r>
      <w:r>
        <w:rPr>
          <w:rFonts w:ascii="宋体" w:hAnsi="宋体" w:cs="宋体"/>
          <w:color w:val="auto"/>
          <w:sz w:val="24"/>
          <w:szCs w:val="24"/>
          <w:lang w:val="zh-CN"/>
        </w:rPr>
        <w:t>非单一产品采购项目，多家供应商提供的核心产品品牌相同</w:t>
      </w:r>
      <w:r>
        <w:rPr>
          <w:rFonts w:hint="eastAsia" w:ascii="宋体" w:hAnsi="宋体" w:cs="宋体"/>
          <w:color w:val="auto"/>
          <w:sz w:val="24"/>
          <w:szCs w:val="24"/>
          <w:lang w:val="zh-CN"/>
        </w:rPr>
        <w:t>）</w:t>
      </w:r>
      <w:r>
        <w:rPr>
          <w:rFonts w:ascii="宋体" w:hAnsi="宋体" w:cs="宋体"/>
          <w:color w:val="auto"/>
          <w:sz w:val="24"/>
          <w:szCs w:val="24"/>
          <w:lang w:val="zh-CN"/>
        </w:rPr>
        <w:t>且通过资格审查、符合性审查的不同供应商参加同一合同项下投标的，按一家供应商计算，评审后得分最高的同品牌供应商作为中标候选人推荐；评审得分相同的，</w:t>
      </w:r>
      <w:r>
        <w:rPr>
          <w:rFonts w:hint="eastAsia" w:ascii="宋体" w:hAnsi="宋体" w:cs="宋体"/>
          <w:color w:val="auto"/>
          <w:sz w:val="24"/>
          <w:szCs w:val="24"/>
          <w:lang w:val="zh-CN"/>
        </w:rPr>
        <w:t>由采购人或者采购人委托评标委员会</w:t>
      </w:r>
      <w:r>
        <w:rPr>
          <w:rFonts w:ascii="宋体" w:hAnsi="宋体" w:cs="宋体"/>
          <w:color w:val="auto"/>
          <w:sz w:val="24"/>
          <w:szCs w:val="24"/>
          <w:lang w:val="zh-CN"/>
        </w:rPr>
        <w:t>采取随机抽取方式确定</w:t>
      </w:r>
      <w:r>
        <w:rPr>
          <w:rFonts w:hint="eastAsia" w:ascii="宋体" w:hAnsi="宋体" w:cs="宋体"/>
          <w:color w:val="auto"/>
          <w:sz w:val="24"/>
          <w:szCs w:val="24"/>
          <w:lang w:val="zh-CN"/>
        </w:rPr>
        <w:t>一个供应商获得中标人推荐资格</w:t>
      </w:r>
      <w:r>
        <w:rPr>
          <w:rFonts w:ascii="宋体" w:hAnsi="宋体" w:cs="宋体"/>
          <w:color w:val="auto"/>
          <w:sz w:val="24"/>
          <w:szCs w:val="24"/>
          <w:lang w:val="zh-CN"/>
        </w:rPr>
        <w:t>，其他同品牌供应商不作为中标候选人。</w:t>
      </w:r>
    </w:p>
    <w:p w14:paraId="5D3B9B76">
      <w:pPr>
        <w:pStyle w:val="18"/>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（3）强制采购节能产品和优先采购节能产品、优先采购环保产品</w:t>
      </w:r>
    </w:p>
    <w:p w14:paraId="629176F8">
      <w:pPr>
        <w:tabs>
          <w:tab w:val="left" w:pos="7095"/>
        </w:tabs>
        <w:spacing w:line="360" w:lineRule="auto"/>
        <w:ind w:firstLine="480" w:firstLineChars="200"/>
        <w:rPr>
          <w:rFonts w:hint="eastAsia" w:ascii="宋体" w:hAnsi="宋体" w:cs="宋体"/>
          <w:color w:val="auto"/>
          <w:kern w:val="0"/>
          <w:sz w:val="24"/>
          <w:szCs w:val="24"/>
        </w:rPr>
      </w:pPr>
      <w:r>
        <w:rPr>
          <w:rFonts w:hint="eastAsia" w:ascii="宋体" w:hAnsi="宋体" w:cs="宋体"/>
          <w:color w:val="auto"/>
          <w:kern w:val="0"/>
          <w:sz w:val="24"/>
          <w:szCs w:val="24"/>
        </w:rPr>
        <w:t>本次招标采购产品若属于《节能产品政府采购品目清单》</w:t>
      </w:r>
      <w:r>
        <w:rPr>
          <w:rFonts w:hint="eastAsia" w:ascii="宋体" w:hAnsi="宋体" w:cs="宋体"/>
          <w:color w:val="auto"/>
          <w:kern w:val="0"/>
          <w:sz w:val="24"/>
          <w:szCs w:val="24"/>
          <w:lang w:val="zh-CN"/>
        </w:rPr>
        <w:t>政府强制采购产品的，投标供应商投标文件中须提供国家确定的认证机构出具的、处于有效期之内的节能产品认证证书，否则投标无效</w:t>
      </w:r>
      <w:r>
        <w:rPr>
          <w:rFonts w:hint="eastAsia" w:ascii="宋体" w:hAnsi="宋体" w:cs="宋体"/>
          <w:color w:val="auto"/>
          <w:kern w:val="0"/>
          <w:sz w:val="24"/>
          <w:szCs w:val="24"/>
        </w:rPr>
        <w:t>；</w:t>
      </w:r>
    </w:p>
    <w:p w14:paraId="69EAE310">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若属于优先采购产品，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应提供具有国家确定的认证机构出具的、处于有效期之内的节能产品认证证书，评标委员会根据本项目评标标准予以判定并赋分。</w:t>
      </w:r>
    </w:p>
    <w:p w14:paraId="33137B5D">
      <w:pPr>
        <w:tabs>
          <w:tab w:val="left" w:pos="7095"/>
        </w:tabs>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本次招标采购产品若属于《环境标志产品政府采购品目清单》内产品，</w:t>
      </w:r>
      <w:r>
        <w:rPr>
          <w:rFonts w:hint="eastAsia" w:ascii="宋体" w:hAnsi="宋体" w:cs="宋体"/>
          <w:color w:val="auto"/>
          <w:kern w:val="0"/>
          <w:sz w:val="24"/>
          <w:szCs w:val="24"/>
          <w:lang w:val="zh-CN"/>
        </w:rPr>
        <w:t>投标供应商投标文件中</w:t>
      </w:r>
      <w:r>
        <w:rPr>
          <w:rFonts w:hint="eastAsia" w:ascii="宋体" w:hAnsi="宋体" w:cs="宋体"/>
          <w:color w:val="auto"/>
          <w:kern w:val="0"/>
          <w:sz w:val="24"/>
          <w:szCs w:val="24"/>
        </w:rPr>
        <w:t>应提供具有国家确定的认证机构出具的、处于有效期之内的环境标志产品认证证书，评标委员会根据本项目评标标准予以判定并赋分。</w:t>
      </w:r>
    </w:p>
    <w:p w14:paraId="3394BE57">
      <w:pPr>
        <w:pStyle w:val="18"/>
        <w:spacing w:line="360" w:lineRule="auto"/>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（4）信息产品要求</w:t>
      </w:r>
    </w:p>
    <w:p w14:paraId="6CBF6AEB">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rPr>
        <w:t xml:space="preserve">根据国家互联网信息办公室、工业和信息化部、公安部和国家认证认可 </w:t>
      </w:r>
    </w:p>
    <w:p w14:paraId="6570C2E0">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rPr>
        <w:t>监督管理委员会2023年第2号《关于调整〈网络关键设备和网络安全专用产品目录〉的公告》及国家互联网信息办公室、工业和信息化部、公安部、财政部和国家认证认可监督管理委员会2023年第1号《关于调整网络安全专用产品安全管理有关事项的公告》等相关文件要求，项目中涉及网络关键设备或网络安全专用产品的，至少符合以下条件之一：一是已由具备资格的机构安全认证合格或安全检19测符合要求；二是已获得《计算机信息系统安全专用产品销售许可证》，且在有效期内。</w:t>
      </w:r>
    </w:p>
    <w:p w14:paraId="16A81BC0">
      <w:pPr>
        <w:pStyle w:val="18"/>
        <w:spacing w:line="440" w:lineRule="exact"/>
        <w:ind w:firstLine="482" w:firstLineChars="200"/>
        <w:contextualSpacing/>
        <w:rPr>
          <w:rFonts w:ascii="宋体" w:hAnsi="宋体" w:cs="宋体"/>
          <w:b/>
          <w:color w:val="auto"/>
          <w:kern w:val="2"/>
          <w:lang w:val="zh-CN"/>
        </w:rPr>
      </w:pPr>
      <w:r>
        <w:rPr>
          <w:rFonts w:hint="eastAsia" w:ascii="宋体" w:hAnsi="宋体" w:cs="宋体"/>
          <w:b/>
          <w:color w:val="auto"/>
          <w:kern w:val="2"/>
          <w:lang w:val="zh-CN"/>
        </w:rPr>
        <w:t>（5）投标无效情形</w:t>
      </w:r>
    </w:p>
    <w:p w14:paraId="3E011CDC">
      <w:pPr>
        <w:autoSpaceDE w:val="0"/>
        <w:autoSpaceDN w:val="0"/>
        <w:spacing w:line="440" w:lineRule="exact"/>
        <w:ind w:firstLine="720" w:firstLineChars="3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1）投标文件属下列情况之一的，按照无效投标处理： </w:t>
      </w:r>
    </w:p>
    <w:p w14:paraId="6248F9EF">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a.未按照招标文件的规定提交《长葛市政府采购供应商信用承诺函》的； </w:t>
      </w:r>
    </w:p>
    <w:p w14:paraId="6D07FDE1">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b.未按照招标文件的规定提交投标承诺函的； </w:t>
      </w:r>
    </w:p>
    <w:p w14:paraId="6028539B">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c.投标文件未按招标文件要求签署、盖章的； </w:t>
      </w:r>
    </w:p>
    <w:p w14:paraId="38BC63F3">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d.不具备招标文件中规定的资格要求的； </w:t>
      </w:r>
    </w:p>
    <w:p w14:paraId="7EA5294F">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e.报价超过招标文件中规定的预算金额或者招标控制价的； </w:t>
      </w:r>
    </w:p>
    <w:p w14:paraId="3307805D">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f.投标文件含有采购人不能接受的附加条件的。 </w:t>
      </w:r>
    </w:p>
    <w:p w14:paraId="4619DA9F">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2)根据《河南省财政厅关于防范供应商串通投标促进政府采购公平竞争的通知》（豫财购﹝2021﹞6号）要求，参与同一个标段（包）的供应商存在下列情形之一的，其投标（响应）文件无效：</w:t>
      </w:r>
    </w:p>
    <w:p w14:paraId="372D0F3C">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a.不同供应商的电子投标（响应）文件上传计算机的网卡MAC地址、CPU序列号和硬盘 序列号等硬件信息相同的； </w:t>
      </w:r>
    </w:p>
    <w:p w14:paraId="03C38F1F">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b.不同供应商的投标（响应）文件由同一电子设备编制、打印加密或者上传； </w:t>
      </w:r>
    </w:p>
    <w:p w14:paraId="461CD6EE">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c.不同供应商的投标（响应）文件由同一电子设备打印、复印； </w:t>
      </w:r>
    </w:p>
    <w:p w14:paraId="00B7B6CE">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d.不同供应商的投标（响应）文件由同一人送达或者分发，或者不同供应商联系人为同一人或不同联系人的联系电话一致的； </w:t>
      </w:r>
    </w:p>
    <w:p w14:paraId="44EC644B">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e.不同供应商的投标（响应）文件的内容存在两处以上细节错误一致； </w:t>
      </w:r>
    </w:p>
    <w:p w14:paraId="33D3E33A">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f.不同供应商的法定代表人、委托代理人、项目经理、项目负责人等由同一个单位缴纳社会保险或者领取报酬的； </w:t>
      </w:r>
    </w:p>
    <w:p w14:paraId="50B09F07">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g.不同供应商投标（响应）文件中法定代表人或者负责人签字出自同一人之手； </w:t>
      </w:r>
    </w:p>
    <w:p w14:paraId="5DDDBCCB">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h.其他涉嫌串通的情形。 </w:t>
      </w:r>
    </w:p>
    <w:p w14:paraId="2FD3FA6B">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3)有下列情形之一的，视为投标人串通投标，其投标无效： </w:t>
      </w:r>
    </w:p>
    <w:p w14:paraId="0936AB73">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a.不同投标人的投标文件由同一单位或者个人编制； </w:t>
      </w:r>
    </w:p>
    <w:p w14:paraId="22B93FD6">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b.不同投标人委托同一单位或者个人办理投标事宜； </w:t>
      </w:r>
    </w:p>
    <w:p w14:paraId="7087D054">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c.不同投标人的投标文件载明的项目管理成员或者联系人员为同一人； </w:t>
      </w:r>
    </w:p>
    <w:p w14:paraId="5ED9B9F9">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d.不同投标人的投标文件异常一致或者投标报价呈规律性差异； </w:t>
      </w:r>
    </w:p>
    <w:p w14:paraId="17D4F8B4">
      <w:pPr>
        <w:autoSpaceDE w:val="0"/>
        <w:autoSpaceDN w:val="0"/>
        <w:spacing w:line="440" w:lineRule="exact"/>
        <w:ind w:firstLine="480" w:firstLineChars="200"/>
        <w:contextualSpacing/>
        <w:rPr>
          <w:rFonts w:ascii="宋体" w:hAnsi="宋体" w:cs="宋体"/>
          <w:b/>
          <w:color w:val="auto"/>
          <w:kern w:val="0"/>
          <w:sz w:val="24"/>
          <w:szCs w:val="24"/>
        </w:rPr>
      </w:pPr>
      <w:r>
        <w:rPr>
          <w:rFonts w:hint="eastAsia" w:ascii="宋体" w:hAnsi="宋体" w:cs="宋体"/>
          <w:bCs/>
          <w:color w:val="auto"/>
          <w:kern w:val="0"/>
          <w:sz w:val="24"/>
          <w:szCs w:val="24"/>
        </w:rPr>
        <w:t xml:space="preserve">e.不同投标人的投标文件相互混装。 </w:t>
      </w:r>
    </w:p>
    <w:p w14:paraId="1231831D">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f.不同投标人的投标保证金从同一单位或者个人的账户转出。</w:t>
      </w:r>
    </w:p>
    <w:p w14:paraId="5133B7D8">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4)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 </w:t>
      </w:r>
    </w:p>
    <w:p w14:paraId="5CC1F40C">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5)评标委员会认为投标人的报价明显低于其他通过符合性审查的投标人的报价，有可能影响产品质量或者不能诚信履约的，应当要求其在评标期间合理的时间内提供书面说明，必要时提交相关证明材料；投标人不能证明其报价合理性的，评标委员会应当将其作为无效投标处理。 </w:t>
      </w:r>
    </w:p>
    <w:p w14:paraId="7B7F53AA">
      <w:pPr>
        <w:autoSpaceDE w:val="0"/>
        <w:autoSpaceDN w:val="0"/>
        <w:spacing w:line="440" w:lineRule="exact"/>
        <w:ind w:firstLine="480" w:firstLineChars="200"/>
        <w:contextualSpacing/>
        <w:rPr>
          <w:rFonts w:ascii="宋体" w:hAnsi="宋体" w:cs="宋体"/>
          <w:bCs/>
          <w:color w:val="auto"/>
          <w:kern w:val="0"/>
          <w:sz w:val="24"/>
          <w:szCs w:val="24"/>
        </w:rPr>
      </w:pPr>
      <w:r>
        <w:rPr>
          <w:rFonts w:hint="eastAsia" w:ascii="宋体" w:hAnsi="宋体" w:cs="宋体"/>
          <w:bCs/>
          <w:color w:val="auto"/>
          <w:kern w:val="0"/>
          <w:sz w:val="24"/>
          <w:szCs w:val="24"/>
        </w:rPr>
        <w:t xml:space="preserve">6)不同投标人电子投标文件制作硬件特征码（网卡MAC地址、CPU序号、硬盘序列号）均一致时，视为“不同投标人的投标文件由同一单位或者个人编制”或“不同投标人委托同一单位或者个人办理相应事宜”，其投标无效。 </w:t>
      </w:r>
    </w:p>
    <w:p w14:paraId="1A93B2F3">
      <w:pPr>
        <w:autoSpaceDE w:val="0"/>
        <w:autoSpaceDN w:val="0"/>
        <w:spacing w:line="440" w:lineRule="exact"/>
        <w:ind w:firstLine="480" w:firstLineChars="200"/>
        <w:contextualSpacing/>
        <w:rPr>
          <w:rFonts w:ascii="宋体" w:hAnsi="宋体" w:cs="宋体"/>
          <w:b/>
          <w:color w:val="auto"/>
          <w:sz w:val="24"/>
          <w:szCs w:val="24"/>
          <w:lang w:val="zh-CN"/>
        </w:rPr>
      </w:pPr>
      <w:r>
        <w:rPr>
          <w:rFonts w:hint="eastAsia" w:ascii="宋体" w:hAnsi="宋体" w:cs="宋体"/>
          <w:bCs/>
          <w:color w:val="auto"/>
          <w:kern w:val="0"/>
          <w:sz w:val="24"/>
          <w:szCs w:val="24"/>
        </w:rPr>
        <w:t>7)法律法规和招标文件规定的其他无效情形。</w:t>
      </w:r>
    </w:p>
    <w:p w14:paraId="10D85660">
      <w:pPr>
        <w:numPr>
          <w:ilvl w:val="0"/>
          <w:numId w:val="13"/>
        </w:numPr>
        <w:tabs>
          <w:tab w:val="left" w:pos="1260"/>
        </w:tabs>
        <w:autoSpaceDE w:val="0"/>
        <w:autoSpaceDN w:val="0"/>
        <w:spacing w:line="360" w:lineRule="auto"/>
        <w:outlineLvl w:val="2"/>
        <w:rPr>
          <w:rFonts w:hAnsi="宋体" w:cs="仿宋_GB2312"/>
          <w:b/>
          <w:color w:val="auto"/>
          <w:sz w:val="28"/>
          <w:szCs w:val="28"/>
          <w:lang w:val="zh-CN"/>
        </w:rPr>
      </w:pPr>
      <w:r>
        <w:rPr>
          <w:rFonts w:hint="eastAsia" w:ascii="宋体" w:hAnsi="宋体" w:cs="宋体"/>
          <w:b/>
          <w:color w:val="auto"/>
          <w:sz w:val="24"/>
          <w:lang w:val="zh-CN"/>
        </w:rPr>
        <w:t>评标标准</w:t>
      </w:r>
    </w:p>
    <w:p w14:paraId="0C03E0C2">
      <w:pPr>
        <w:tabs>
          <w:tab w:val="left" w:pos="1260"/>
        </w:tabs>
        <w:autoSpaceDE w:val="0"/>
        <w:autoSpaceDN w:val="0"/>
        <w:spacing w:line="360" w:lineRule="auto"/>
        <w:ind w:firstLine="2811" w:firstLineChars="1000"/>
        <w:outlineLvl w:val="2"/>
        <w:rPr>
          <w:rFonts w:hAnsi="宋体" w:cs="仿宋_GB2312"/>
          <w:b/>
          <w:color w:val="auto"/>
          <w:sz w:val="28"/>
          <w:szCs w:val="28"/>
          <w:lang w:val="zh-CN"/>
        </w:rPr>
      </w:pPr>
      <w:r>
        <w:rPr>
          <w:rFonts w:hint="eastAsia" w:hAnsi="宋体" w:cs="仿宋_GB2312"/>
          <w:b/>
          <w:color w:val="auto"/>
          <w:sz w:val="28"/>
          <w:szCs w:val="28"/>
          <w:lang w:val="zh-CN"/>
        </w:rPr>
        <w:t>一标段：空调机</w:t>
      </w:r>
      <w:r>
        <w:rPr>
          <w:rFonts w:hint="eastAsia" w:ascii="宋体" w:hAnsi="宋体" w:cs="宋体"/>
          <w:b/>
          <w:bCs/>
          <w:color w:val="auto"/>
          <w:sz w:val="28"/>
          <w:szCs w:val="28"/>
        </w:rPr>
        <w:t>评标标准</w:t>
      </w:r>
    </w:p>
    <w:tbl>
      <w:tblPr>
        <w:tblStyle w:val="30"/>
        <w:tblpPr w:leftFromText="180" w:rightFromText="180" w:vertAnchor="text" w:horzAnchor="page" w:tblpX="1585" w:tblpY="479"/>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78"/>
        <w:gridCol w:w="6232"/>
      </w:tblGrid>
      <w:tr w14:paraId="37DA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77" w:type="dxa"/>
            <w:gridSpan w:val="2"/>
            <w:vAlign w:val="center"/>
          </w:tcPr>
          <w:p w14:paraId="00C7B1D0">
            <w:pPr>
              <w:spacing w:line="360" w:lineRule="auto"/>
              <w:jc w:val="center"/>
              <w:rPr>
                <w:rFonts w:ascii="宋体" w:hAnsi="宋体" w:cs="Times New Roman"/>
                <w:color w:val="auto"/>
                <w:sz w:val="24"/>
                <w:szCs w:val="24"/>
              </w:rPr>
            </w:pPr>
            <w:r>
              <w:rPr>
                <w:rFonts w:hint="eastAsia" w:ascii="宋体" w:hAnsi="宋体" w:cs="Times New Roman"/>
                <w:color w:val="auto"/>
                <w:sz w:val="24"/>
                <w:szCs w:val="24"/>
              </w:rPr>
              <w:t>分值构成</w:t>
            </w:r>
          </w:p>
          <w:p w14:paraId="4CAE88EB">
            <w:pPr>
              <w:snapToGrid w:val="0"/>
              <w:spacing w:before="162" w:beforeLines="50"/>
              <w:jc w:val="center"/>
              <w:rPr>
                <w:rFonts w:ascii="宋体" w:hAnsi="宋体"/>
                <w:b/>
                <w:color w:val="auto"/>
                <w:sz w:val="24"/>
                <w:szCs w:val="24"/>
              </w:rPr>
            </w:pPr>
            <w:r>
              <w:rPr>
                <w:rFonts w:hint="eastAsia" w:ascii="宋体" w:hAnsi="宋体" w:cs="Times New Roman"/>
                <w:color w:val="auto"/>
                <w:sz w:val="24"/>
                <w:szCs w:val="24"/>
              </w:rPr>
              <w:t>(总分100分)</w:t>
            </w:r>
          </w:p>
        </w:tc>
        <w:tc>
          <w:tcPr>
            <w:tcW w:w="6232" w:type="dxa"/>
            <w:vAlign w:val="center"/>
          </w:tcPr>
          <w:p w14:paraId="35ECDEC5">
            <w:pPr>
              <w:spacing w:line="276" w:lineRule="auto"/>
              <w:ind w:firstLine="480" w:firstLineChars="200"/>
              <w:rPr>
                <w:rFonts w:ascii="宋体" w:hAnsi="宋体" w:cs="Times New Roman"/>
                <w:color w:val="auto"/>
                <w:sz w:val="24"/>
                <w:szCs w:val="24"/>
              </w:rPr>
            </w:pPr>
            <w:r>
              <w:rPr>
                <w:rFonts w:hint="eastAsia" w:ascii="宋体" w:hAnsi="宋体" w:cs="Times New Roman"/>
                <w:color w:val="auto"/>
                <w:sz w:val="24"/>
                <w:szCs w:val="24"/>
              </w:rPr>
              <w:t>价格分值：40分</w:t>
            </w:r>
          </w:p>
          <w:p w14:paraId="68BA10A9">
            <w:pPr>
              <w:spacing w:line="276" w:lineRule="auto"/>
              <w:ind w:firstLine="480" w:firstLineChars="200"/>
              <w:rPr>
                <w:rFonts w:ascii="宋体" w:hAnsi="宋体" w:cs="Times New Roman"/>
                <w:color w:val="auto"/>
                <w:sz w:val="24"/>
                <w:szCs w:val="24"/>
              </w:rPr>
            </w:pPr>
            <w:r>
              <w:rPr>
                <w:rFonts w:hint="eastAsia" w:ascii="宋体" w:hAnsi="宋体" w:cs="Times New Roman"/>
                <w:color w:val="auto"/>
                <w:sz w:val="24"/>
                <w:szCs w:val="24"/>
              </w:rPr>
              <w:t>商务部分：</w:t>
            </w:r>
            <w:r>
              <w:rPr>
                <w:rFonts w:ascii="宋体" w:hAnsi="宋体" w:cs="Times New Roman"/>
                <w:color w:val="auto"/>
                <w:sz w:val="24"/>
                <w:szCs w:val="24"/>
              </w:rPr>
              <w:t>10</w:t>
            </w:r>
            <w:r>
              <w:rPr>
                <w:rFonts w:hint="eastAsia" w:ascii="宋体" w:hAnsi="宋体" w:cs="Times New Roman"/>
                <w:color w:val="auto"/>
                <w:sz w:val="24"/>
                <w:szCs w:val="24"/>
              </w:rPr>
              <w:t>分</w:t>
            </w:r>
          </w:p>
          <w:p w14:paraId="012303F7">
            <w:pPr>
              <w:spacing w:line="276" w:lineRule="auto"/>
              <w:ind w:firstLine="480" w:firstLineChars="200"/>
              <w:rPr>
                <w:rFonts w:ascii="宋体" w:hAnsi="宋体" w:cs="Times New Roman"/>
                <w:color w:val="auto"/>
                <w:sz w:val="24"/>
                <w:szCs w:val="24"/>
              </w:rPr>
            </w:pPr>
            <w:r>
              <w:rPr>
                <w:rFonts w:hint="eastAsia" w:ascii="宋体" w:hAnsi="宋体" w:cs="Times New Roman"/>
                <w:color w:val="auto"/>
                <w:sz w:val="24"/>
                <w:szCs w:val="24"/>
              </w:rPr>
              <w:t>技术部分：</w:t>
            </w:r>
            <w:r>
              <w:rPr>
                <w:rFonts w:ascii="宋体" w:hAnsi="宋体" w:cs="Times New Roman"/>
                <w:color w:val="auto"/>
                <w:sz w:val="24"/>
                <w:szCs w:val="24"/>
              </w:rPr>
              <w:t>50</w:t>
            </w:r>
            <w:r>
              <w:rPr>
                <w:rFonts w:hint="eastAsia" w:ascii="宋体" w:hAnsi="宋体" w:cs="Times New Roman"/>
                <w:color w:val="auto"/>
                <w:sz w:val="24"/>
                <w:szCs w:val="24"/>
              </w:rPr>
              <w:t>分</w:t>
            </w:r>
          </w:p>
        </w:tc>
      </w:tr>
      <w:tr w14:paraId="0F01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399" w:type="dxa"/>
          </w:tcPr>
          <w:p w14:paraId="20EEE513">
            <w:pPr>
              <w:snapToGrid w:val="0"/>
              <w:spacing w:before="162" w:beforeLines="50"/>
              <w:jc w:val="center"/>
              <w:rPr>
                <w:rFonts w:ascii="宋体" w:hAnsi="宋体"/>
                <w:b/>
                <w:color w:val="auto"/>
                <w:sz w:val="24"/>
                <w:szCs w:val="24"/>
              </w:rPr>
            </w:pPr>
            <w:r>
              <w:rPr>
                <w:rFonts w:hint="eastAsia" w:ascii="宋体" w:hAnsi="宋体"/>
                <w:b/>
                <w:color w:val="auto"/>
                <w:sz w:val="24"/>
                <w:szCs w:val="24"/>
              </w:rPr>
              <w:t>评审项</w:t>
            </w:r>
          </w:p>
        </w:tc>
        <w:tc>
          <w:tcPr>
            <w:tcW w:w="1578" w:type="dxa"/>
          </w:tcPr>
          <w:p w14:paraId="725FDBB9">
            <w:pPr>
              <w:snapToGrid w:val="0"/>
              <w:spacing w:before="162" w:beforeLines="50"/>
              <w:jc w:val="center"/>
              <w:rPr>
                <w:rFonts w:ascii="宋体" w:hAnsi="宋体"/>
                <w:b/>
                <w:color w:val="auto"/>
                <w:sz w:val="24"/>
                <w:szCs w:val="24"/>
              </w:rPr>
            </w:pPr>
            <w:r>
              <w:rPr>
                <w:rFonts w:hint="eastAsia" w:ascii="宋体" w:hAnsi="宋体"/>
                <w:b/>
                <w:color w:val="auto"/>
                <w:sz w:val="24"/>
                <w:szCs w:val="24"/>
              </w:rPr>
              <w:t>评分因素</w:t>
            </w:r>
          </w:p>
        </w:tc>
        <w:tc>
          <w:tcPr>
            <w:tcW w:w="6232" w:type="dxa"/>
          </w:tcPr>
          <w:p w14:paraId="3E19435C">
            <w:pPr>
              <w:snapToGrid w:val="0"/>
              <w:spacing w:before="162" w:beforeLines="50"/>
              <w:jc w:val="center"/>
              <w:rPr>
                <w:rFonts w:ascii="宋体" w:hAnsi="宋体"/>
                <w:b/>
                <w:color w:val="auto"/>
                <w:sz w:val="24"/>
                <w:szCs w:val="24"/>
              </w:rPr>
            </w:pPr>
            <w:r>
              <w:rPr>
                <w:rFonts w:hint="eastAsia" w:ascii="宋体" w:hAnsi="宋体"/>
                <w:b/>
                <w:color w:val="auto"/>
                <w:sz w:val="24"/>
                <w:szCs w:val="24"/>
              </w:rPr>
              <w:t>评标标准</w:t>
            </w:r>
          </w:p>
        </w:tc>
      </w:tr>
      <w:tr w14:paraId="3712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2" w:hRule="atLeast"/>
        </w:trPr>
        <w:tc>
          <w:tcPr>
            <w:tcW w:w="1399" w:type="dxa"/>
            <w:vAlign w:val="center"/>
          </w:tcPr>
          <w:p w14:paraId="7B21CEEB">
            <w:pPr>
              <w:widowControl/>
              <w:snapToGrid w:val="0"/>
              <w:spacing w:before="162" w:beforeLines="50"/>
              <w:ind w:left="0" w:leftChars="-2" w:hanging="4" w:hangingChars="2"/>
              <w:jc w:val="center"/>
              <w:rPr>
                <w:rFonts w:ascii="宋体" w:hAnsi="宋体" w:cs="Times New Roman"/>
                <w:color w:val="auto"/>
                <w:sz w:val="24"/>
                <w:szCs w:val="24"/>
              </w:rPr>
            </w:pPr>
            <w:r>
              <w:rPr>
                <w:rFonts w:hint="eastAsia" w:ascii="宋体" w:hAnsi="宋体"/>
                <w:color w:val="auto"/>
                <w:sz w:val="24"/>
                <w:szCs w:val="24"/>
              </w:rPr>
              <w:t>报价部分</w:t>
            </w:r>
          </w:p>
          <w:p w14:paraId="538C7EF7">
            <w:pPr>
              <w:widowControl/>
              <w:snapToGrid w:val="0"/>
              <w:spacing w:before="162" w:beforeLines="50"/>
              <w:ind w:left="0" w:leftChars="-2" w:hanging="4" w:hangingChars="2"/>
              <w:jc w:val="center"/>
              <w:rPr>
                <w:rFonts w:ascii="宋体" w:hAnsi="宋体"/>
                <w:color w:val="auto"/>
                <w:sz w:val="24"/>
                <w:szCs w:val="24"/>
              </w:rPr>
            </w:pPr>
            <w:r>
              <w:rPr>
                <w:rFonts w:hint="eastAsia" w:ascii="宋体" w:hAnsi="宋体"/>
                <w:color w:val="auto"/>
                <w:sz w:val="24"/>
                <w:szCs w:val="24"/>
              </w:rPr>
              <w:t>（4</w:t>
            </w:r>
            <w:r>
              <w:rPr>
                <w:rFonts w:hint="eastAsia" w:ascii="宋体" w:hAnsi="宋体"/>
                <w:color w:val="auto"/>
                <w:kern w:val="0"/>
                <w:sz w:val="24"/>
                <w:szCs w:val="24"/>
              </w:rPr>
              <w:t>0</w:t>
            </w:r>
            <w:r>
              <w:rPr>
                <w:rFonts w:hint="eastAsia" w:ascii="宋体" w:hAnsi="宋体"/>
                <w:color w:val="auto"/>
                <w:sz w:val="24"/>
                <w:szCs w:val="24"/>
              </w:rPr>
              <w:t>分）</w:t>
            </w:r>
          </w:p>
        </w:tc>
        <w:tc>
          <w:tcPr>
            <w:tcW w:w="1578" w:type="dxa"/>
            <w:vAlign w:val="center"/>
          </w:tcPr>
          <w:p w14:paraId="4B1FBFBB">
            <w:pPr>
              <w:widowControl/>
              <w:snapToGrid w:val="0"/>
              <w:spacing w:before="162" w:beforeLines="50"/>
              <w:jc w:val="center"/>
              <w:rPr>
                <w:rFonts w:ascii="宋体" w:hAnsi="宋体" w:cs="Times New Roman"/>
                <w:color w:val="auto"/>
                <w:sz w:val="24"/>
                <w:szCs w:val="24"/>
              </w:rPr>
            </w:pPr>
            <w:r>
              <w:rPr>
                <w:rFonts w:hint="eastAsia" w:ascii="宋体" w:hAnsi="宋体"/>
                <w:color w:val="auto"/>
                <w:sz w:val="24"/>
                <w:szCs w:val="24"/>
              </w:rPr>
              <w:t>报价</w:t>
            </w:r>
          </w:p>
          <w:p w14:paraId="6BDC61EA">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（4</w:t>
            </w:r>
            <w:r>
              <w:rPr>
                <w:rFonts w:hint="eastAsia" w:ascii="宋体" w:hAnsi="宋体"/>
                <w:color w:val="auto"/>
                <w:kern w:val="0"/>
                <w:sz w:val="24"/>
                <w:szCs w:val="24"/>
              </w:rPr>
              <w:t>0</w:t>
            </w:r>
            <w:r>
              <w:rPr>
                <w:rFonts w:hint="eastAsia" w:ascii="宋体" w:hAnsi="宋体"/>
                <w:color w:val="auto"/>
                <w:sz w:val="24"/>
                <w:szCs w:val="24"/>
              </w:rPr>
              <w:t>分）</w:t>
            </w:r>
          </w:p>
        </w:tc>
        <w:tc>
          <w:tcPr>
            <w:tcW w:w="6232" w:type="dxa"/>
            <w:vAlign w:val="center"/>
          </w:tcPr>
          <w:p w14:paraId="3E6E9D2D">
            <w:pPr>
              <w:widowControl/>
              <w:spacing w:line="276" w:lineRule="auto"/>
              <w:rPr>
                <w:rFonts w:ascii="宋体" w:hAnsi="宋体" w:cs="Times New Roman"/>
                <w:color w:val="auto"/>
                <w:kern w:val="0"/>
                <w:sz w:val="24"/>
                <w:szCs w:val="24"/>
              </w:rPr>
            </w:pPr>
            <w:r>
              <w:rPr>
                <w:rFonts w:hint="eastAsia" w:ascii="宋体" w:hAnsi="宋体" w:cs="Times New Roman"/>
                <w:color w:val="auto"/>
                <w:kern w:val="0"/>
                <w:sz w:val="24"/>
                <w:szCs w:val="24"/>
              </w:rPr>
              <w:t>有效供应商中投标价格最低的投标报价为评标基准价，其价格分为满分。</w:t>
            </w:r>
          </w:p>
          <w:p w14:paraId="30A9660B">
            <w:pPr>
              <w:widowControl/>
              <w:spacing w:line="276" w:lineRule="auto"/>
              <w:rPr>
                <w:rFonts w:ascii="宋体" w:hAnsi="宋体" w:cs="Times New Roman"/>
                <w:color w:val="auto"/>
                <w:kern w:val="0"/>
                <w:sz w:val="24"/>
                <w:szCs w:val="24"/>
              </w:rPr>
            </w:pPr>
            <w:r>
              <w:rPr>
                <w:rFonts w:hint="eastAsia" w:ascii="宋体" w:hAnsi="宋体" w:cs="Times New Roman"/>
                <w:color w:val="auto"/>
                <w:kern w:val="0"/>
                <w:sz w:val="24"/>
                <w:szCs w:val="24"/>
              </w:rPr>
              <w:t>其他供应商的价格分统一按照下列公式计算：</w:t>
            </w:r>
          </w:p>
          <w:p w14:paraId="2A44EE1E">
            <w:pPr>
              <w:widowControl/>
              <w:spacing w:line="276" w:lineRule="auto"/>
              <w:rPr>
                <w:rFonts w:ascii="宋体" w:hAnsi="宋体" w:cs="Times New Roman"/>
                <w:color w:val="auto"/>
                <w:kern w:val="0"/>
                <w:sz w:val="24"/>
                <w:szCs w:val="24"/>
              </w:rPr>
            </w:pPr>
            <w:r>
              <w:rPr>
                <w:rFonts w:hint="eastAsia" w:ascii="宋体" w:hAnsi="宋体" w:cs="Times New Roman"/>
                <w:color w:val="auto"/>
                <w:kern w:val="0"/>
                <w:sz w:val="24"/>
                <w:szCs w:val="24"/>
              </w:rPr>
              <w:t>投标报价得分=(评标基准价／投标报价)×40%×100。</w:t>
            </w:r>
          </w:p>
          <w:p w14:paraId="386FD2DD">
            <w:pPr>
              <w:widowControl/>
              <w:spacing w:line="276" w:lineRule="auto"/>
              <w:jc w:val="left"/>
              <w:rPr>
                <w:rFonts w:ascii="宋体" w:hAnsi="宋体"/>
                <w:color w:val="auto"/>
                <w:sz w:val="24"/>
                <w:szCs w:val="24"/>
              </w:rPr>
            </w:pPr>
            <w:r>
              <w:rPr>
                <w:rFonts w:hint="eastAsia" w:ascii="宋体" w:hAnsi="宋体" w:cs="Times New Roman"/>
                <w:color w:val="auto"/>
                <w:sz w:val="24"/>
                <w:szCs w:val="24"/>
              </w:rPr>
              <w:t>注：分值计算保留小数点后两位，小数点后第三位“四舍五入”。</w:t>
            </w:r>
            <w:r>
              <w:rPr>
                <w:rFonts w:hint="eastAsia" w:ascii="宋体" w:hAnsi="宋体" w:cs="Times New Roman"/>
                <w:color w:val="auto"/>
                <w:sz w:val="24"/>
                <w:szCs w:val="24"/>
              </w:rPr>
              <w:br w:type="textWrapping"/>
            </w:r>
            <w:r>
              <w:rPr>
                <w:rFonts w:hint="eastAsia" w:ascii="宋体" w:hAnsi="宋体" w:cs="Times New Roman"/>
                <w:color w:val="auto"/>
                <w:sz w:val="24"/>
                <w:szCs w:val="24"/>
              </w:rPr>
              <w:t>有效供应商的有效投标报价为通过符合评审、不高于预算价的供应商报价。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14:paraId="0581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399" w:type="dxa"/>
            <w:vMerge w:val="restart"/>
            <w:vAlign w:val="center"/>
          </w:tcPr>
          <w:p w14:paraId="5ADBB692">
            <w:pPr>
              <w:spacing w:after="120"/>
              <w:ind w:left="240" w:hanging="240" w:hangingChars="100"/>
              <w:jc w:val="center"/>
              <w:rPr>
                <w:rFonts w:ascii="宋体" w:hAnsi="宋体" w:cs="Times New Roman"/>
                <w:color w:val="auto"/>
                <w:sz w:val="24"/>
                <w:szCs w:val="24"/>
              </w:rPr>
            </w:pPr>
            <w:r>
              <w:rPr>
                <w:rFonts w:hint="eastAsia" w:ascii="宋体" w:hAnsi="宋体" w:cs="Times New Roman"/>
                <w:color w:val="auto"/>
                <w:sz w:val="24"/>
                <w:szCs w:val="24"/>
              </w:rPr>
              <w:t>商务部分</w:t>
            </w:r>
          </w:p>
          <w:p w14:paraId="2373ABAB">
            <w:pPr>
              <w:spacing w:after="120"/>
              <w:ind w:left="240" w:hanging="240" w:hangingChars="100"/>
              <w:jc w:val="center"/>
              <w:rPr>
                <w:rFonts w:ascii="宋体" w:hAnsi="宋体" w:cs="Times New Roman"/>
                <w:color w:val="auto"/>
                <w:sz w:val="24"/>
                <w:szCs w:val="24"/>
              </w:rPr>
            </w:pPr>
            <w:r>
              <w:rPr>
                <w:rFonts w:hint="eastAsia" w:ascii="宋体" w:hAnsi="宋体" w:cs="Times New Roman"/>
                <w:color w:val="auto"/>
                <w:sz w:val="24"/>
                <w:szCs w:val="24"/>
              </w:rPr>
              <w:t>（</w:t>
            </w:r>
            <w:r>
              <w:rPr>
                <w:rFonts w:ascii="宋体" w:hAnsi="宋体" w:cs="Times New Roman"/>
                <w:color w:val="auto"/>
                <w:sz w:val="24"/>
                <w:szCs w:val="24"/>
              </w:rPr>
              <w:t>10</w:t>
            </w:r>
            <w:r>
              <w:rPr>
                <w:rFonts w:hint="eastAsia" w:ascii="宋体" w:hAnsi="宋体" w:cs="Times New Roman"/>
                <w:color w:val="auto"/>
                <w:sz w:val="24"/>
                <w:szCs w:val="24"/>
              </w:rPr>
              <w:t>分）</w:t>
            </w:r>
          </w:p>
        </w:tc>
        <w:tc>
          <w:tcPr>
            <w:tcW w:w="1578" w:type="dxa"/>
            <w:vAlign w:val="center"/>
          </w:tcPr>
          <w:p w14:paraId="601B3215">
            <w:pPr>
              <w:spacing w:after="120"/>
              <w:ind w:left="240" w:hanging="240" w:hangingChars="100"/>
              <w:jc w:val="center"/>
              <w:rPr>
                <w:rFonts w:ascii="宋体" w:hAnsi="宋体" w:cs="Times New Roman"/>
                <w:color w:val="auto"/>
                <w:sz w:val="24"/>
                <w:szCs w:val="24"/>
              </w:rPr>
            </w:pPr>
            <w:r>
              <w:rPr>
                <w:rFonts w:hint="eastAsia" w:ascii="宋体" w:hAnsi="宋体" w:cs="Times New Roman"/>
                <w:color w:val="auto"/>
                <w:sz w:val="24"/>
                <w:szCs w:val="24"/>
              </w:rPr>
              <w:t>业绩</w:t>
            </w:r>
          </w:p>
          <w:p w14:paraId="14FB4EFE">
            <w:pPr>
              <w:spacing w:after="120"/>
              <w:ind w:left="240" w:hanging="240" w:hangingChars="100"/>
              <w:jc w:val="center"/>
              <w:rPr>
                <w:rFonts w:ascii="宋体" w:hAnsi="宋体" w:cs="Times New Roman"/>
                <w:color w:val="auto"/>
                <w:sz w:val="24"/>
                <w:szCs w:val="24"/>
              </w:rPr>
            </w:pPr>
            <w:r>
              <w:rPr>
                <w:rFonts w:hint="eastAsia" w:ascii="宋体" w:hAnsi="宋体" w:cs="Times New Roman"/>
                <w:color w:val="auto"/>
                <w:sz w:val="24"/>
                <w:szCs w:val="24"/>
              </w:rPr>
              <w:t>（2分）</w:t>
            </w:r>
          </w:p>
        </w:tc>
        <w:tc>
          <w:tcPr>
            <w:tcW w:w="6232" w:type="dxa"/>
            <w:vAlign w:val="center"/>
          </w:tcPr>
          <w:p w14:paraId="0DA4FE84">
            <w:pPr>
              <w:spacing w:line="276" w:lineRule="auto"/>
              <w:rPr>
                <w:rFonts w:hint="default" w:ascii="宋体" w:hAnsi="宋体" w:cs="Times New Roman"/>
                <w:color w:val="auto"/>
                <w:kern w:val="0"/>
                <w:sz w:val="24"/>
                <w:szCs w:val="24"/>
                <w:lang w:val="en-US"/>
              </w:rPr>
            </w:pPr>
            <w:r>
              <w:rPr>
                <w:rFonts w:hint="eastAsia" w:ascii="宋体" w:hAnsi="宋体" w:cs="宋体"/>
                <w:color w:val="auto"/>
                <w:sz w:val="24"/>
                <w:szCs w:val="24"/>
                <w:lang w:val="en-GB" w:bidi="zh-CN"/>
              </w:rPr>
              <w:t>供应商提供</w:t>
            </w:r>
            <w:r>
              <w:rPr>
                <w:rFonts w:hint="eastAsia" w:ascii="宋体" w:hAnsi="宋体" w:cs="宋体"/>
                <w:color w:val="auto"/>
                <w:sz w:val="24"/>
                <w:szCs w:val="24"/>
                <w:lang w:bidi="zh-CN"/>
              </w:rPr>
              <w:t>2022年以来类似产品业绩的每份得</w:t>
            </w:r>
            <w:r>
              <w:rPr>
                <w:rFonts w:ascii="宋体" w:hAnsi="宋体" w:cs="宋体"/>
                <w:color w:val="auto"/>
                <w:sz w:val="24"/>
                <w:szCs w:val="24"/>
                <w:lang w:bidi="zh-CN"/>
              </w:rPr>
              <w:t>2</w:t>
            </w:r>
            <w:r>
              <w:rPr>
                <w:rFonts w:hint="eastAsia" w:ascii="宋体" w:hAnsi="宋体" w:cs="宋体"/>
                <w:color w:val="auto"/>
                <w:sz w:val="24"/>
                <w:szCs w:val="24"/>
                <w:lang w:bidi="zh-CN"/>
              </w:rPr>
              <w:t>分，最高得2分（以合同签订时间为准）</w:t>
            </w:r>
            <w:r>
              <w:rPr>
                <w:rFonts w:hint="eastAsia" w:ascii="宋体" w:hAnsi="宋体" w:cs="宋体"/>
                <w:b/>
                <w:bCs/>
                <w:color w:val="auto"/>
                <w:sz w:val="24"/>
                <w:szCs w:val="24"/>
                <w:lang w:bidi="zh-CN"/>
              </w:rPr>
              <w:t>（</w:t>
            </w:r>
            <w:r>
              <w:rPr>
                <w:rFonts w:hint="eastAsia" w:ascii="宋体" w:hAnsi="宋体"/>
                <w:b/>
                <w:bCs/>
                <w:color w:val="auto"/>
                <w:sz w:val="24"/>
                <w:szCs w:val="24"/>
              </w:rPr>
              <w:t>须</w:t>
            </w:r>
            <w:r>
              <w:rPr>
                <w:rFonts w:hint="eastAsia" w:ascii="宋体" w:hAnsi="宋体" w:cs="宋体"/>
                <w:b/>
                <w:bCs/>
                <w:color w:val="auto"/>
                <w:sz w:val="24"/>
                <w:szCs w:val="24"/>
                <w:lang w:bidi="zh-CN"/>
              </w:rPr>
              <w:t>提供法定媒介中标(成交)公示网页截图、合同、中标通知书电子扫描件，三者缺一不计分。</w:t>
            </w:r>
          </w:p>
        </w:tc>
      </w:tr>
      <w:tr w14:paraId="4567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99" w:type="dxa"/>
            <w:vMerge w:val="continue"/>
            <w:vAlign w:val="center"/>
          </w:tcPr>
          <w:p w14:paraId="47387572">
            <w:pPr>
              <w:spacing w:after="120"/>
              <w:ind w:left="240" w:hanging="240" w:hangingChars="100"/>
              <w:jc w:val="center"/>
              <w:rPr>
                <w:rFonts w:ascii="宋体" w:hAnsi="宋体" w:cs="Times New Roman"/>
                <w:color w:val="auto"/>
                <w:sz w:val="24"/>
                <w:szCs w:val="24"/>
              </w:rPr>
            </w:pPr>
          </w:p>
        </w:tc>
        <w:tc>
          <w:tcPr>
            <w:tcW w:w="1578" w:type="dxa"/>
            <w:vAlign w:val="center"/>
          </w:tcPr>
          <w:p w14:paraId="54FB7805">
            <w:pPr>
              <w:spacing w:after="120"/>
              <w:ind w:left="240" w:hanging="240" w:hangingChars="100"/>
              <w:rPr>
                <w:rFonts w:ascii="宋体" w:hAnsi="宋体" w:cs="Times New Roman"/>
                <w:color w:val="auto"/>
                <w:sz w:val="24"/>
                <w:szCs w:val="24"/>
              </w:rPr>
            </w:pPr>
            <w:r>
              <w:rPr>
                <w:rFonts w:hint="eastAsia" w:ascii="宋体" w:hAnsi="宋体" w:cs="Times New Roman"/>
                <w:color w:val="auto"/>
                <w:sz w:val="24"/>
                <w:szCs w:val="24"/>
              </w:rPr>
              <w:t>生产厂家实力（</w:t>
            </w:r>
            <w:r>
              <w:rPr>
                <w:rFonts w:ascii="宋体" w:hAnsi="宋体" w:cs="Times New Roman"/>
                <w:color w:val="auto"/>
                <w:sz w:val="24"/>
                <w:szCs w:val="24"/>
              </w:rPr>
              <w:t>6</w:t>
            </w:r>
            <w:r>
              <w:rPr>
                <w:rFonts w:hint="eastAsia" w:ascii="宋体" w:hAnsi="宋体" w:cs="Times New Roman"/>
                <w:color w:val="auto"/>
                <w:sz w:val="24"/>
                <w:szCs w:val="24"/>
              </w:rPr>
              <w:t>分）</w:t>
            </w:r>
          </w:p>
        </w:tc>
        <w:tc>
          <w:tcPr>
            <w:tcW w:w="6232" w:type="dxa"/>
            <w:vAlign w:val="center"/>
          </w:tcPr>
          <w:p w14:paraId="393B1755">
            <w:pPr>
              <w:spacing w:line="276" w:lineRule="auto"/>
              <w:rPr>
                <w:rFonts w:ascii="宋体" w:hAnsi="宋体" w:cs="宋体"/>
                <w:color w:val="auto"/>
                <w:sz w:val="24"/>
                <w:szCs w:val="24"/>
                <w:lang w:bidi="zh-CN"/>
              </w:rPr>
            </w:pPr>
            <w:r>
              <w:rPr>
                <w:rFonts w:hint="eastAsia" w:ascii="宋体" w:hAnsi="宋体" w:cs="宋体"/>
                <w:color w:val="auto"/>
                <w:sz w:val="24"/>
                <w:szCs w:val="24"/>
                <w:lang w:val="en-GB" w:bidi="zh-CN"/>
              </w:rPr>
              <w:t>1、</w:t>
            </w:r>
            <w:bookmarkStart w:id="23" w:name="OLE_LINK7"/>
            <w:bookmarkStart w:id="24" w:name="OLE_LINK2"/>
            <w:r>
              <w:rPr>
                <w:rFonts w:hint="eastAsia" w:ascii="宋体" w:hAnsi="宋体" w:cs="宋体"/>
                <w:color w:val="auto"/>
                <w:sz w:val="24"/>
                <w:szCs w:val="24"/>
                <w:lang w:bidi="zh-CN"/>
              </w:rPr>
              <w:t>所投品牌制造商</w:t>
            </w:r>
            <w:bookmarkEnd w:id="23"/>
            <w:bookmarkEnd w:id="24"/>
            <w:r>
              <w:rPr>
                <w:rFonts w:hint="eastAsia" w:ascii="宋体" w:hAnsi="宋体" w:cs="宋体"/>
                <w:color w:val="auto"/>
                <w:sz w:val="24"/>
                <w:szCs w:val="24"/>
                <w:lang w:bidi="zh-CN"/>
              </w:rPr>
              <w:t>获得过中国质量奖</w:t>
            </w:r>
            <w:r>
              <w:rPr>
                <w:rFonts w:hint="eastAsia" w:ascii="宋体" w:hAnsi="宋体" w:cs="宋体"/>
                <w:color w:val="auto"/>
                <w:sz w:val="24"/>
                <w:szCs w:val="24"/>
                <w:lang w:val="en-GB" w:bidi="zh-CN"/>
              </w:rPr>
              <w:t>提供证书得</w:t>
            </w:r>
            <w:r>
              <w:rPr>
                <w:rFonts w:hint="eastAsia" w:ascii="宋体" w:hAnsi="宋体" w:cs="宋体"/>
                <w:color w:val="auto"/>
                <w:sz w:val="24"/>
                <w:szCs w:val="24"/>
                <w:lang w:bidi="zh-CN"/>
              </w:rPr>
              <w:t>3</w:t>
            </w:r>
            <w:r>
              <w:rPr>
                <w:rFonts w:hint="eastAsia" w:ascii="宋体" w:hAnsi="宋体" w:cs="宋体"/>
                <w:color w:val="auto"/>
                <w:sz w:val="24"/>
                <w:szCs w:val="24"/>
                <w:lang w:val="en-GB" w:bidi="zh-CN"/>
              </w:rPr>
              <w:t>分；</w:t>
            </w:r>
            <w:r>
              <w:rPr>
                <w:rFonts w:hint="eastAsia" w:ascii="宋体" w:hAnsi="宋体" w:cs="宋体"/>
                <w:color w:val="auto"/>
                <w:sz w:val="24"/>
                <w:szCs w:val="24"/>
                <w:lang w:bidi="zh-CN"/>
              </w:rPr>
              <w:t>获得中国质量提名奖的，</w:t>
            </w:r>
            <w:r>
              <w:rPr>
                <w:rFonts w:hint="eastAsia" w:ascii="宋体" w:hAnsi="宋体" w:cs="宋体"/>
                <w:color w:val="auto"/>
                <w:sz w:val="24"/>
                <w:szCs w:val="24"/>
                <w:lang w:val="en-GB" w:bidi="zh-CN"/>
              </w:rPr>
              <w:t>提供证书的得</w:t>
            </w:r>
            <w:r>
              <w:rPr>
                <w:rFonts w:hint="eastAsia" w:ascii="宋体" w:hAnsi="宋体" w:cs="宋体"/>
                <w:color w:val="auto"/>
                <w:sz w:val="24"/>
                <w:szCs w:val="24"/>
                <w:lang w:bidi="zh-CN"/>
              </w:rPr>
              <w:t>2</w:t>
            </w:r>
            <w:r>
              <w:rPr>
                <w:rFonts w:hint="eastAsia" w:ascii="宋体" w:hAnsi="宋体" w:cs="宋体"/>
                <w:color w:val="auto"/>
                <w:sz w:val="24"/>
                <w:szCs w:val="24"/>
                <w:lang w:val="en-GB" w:bidi="zh-CN"/>
              </w:rPr>
              <w:t>分，不提供不得分。</w:t>
            </w:r>
            <w:r>
              <w:rPr>
                <w:rFonts w:hint="eastAsia" w:ascii="宋体" w:hAnsi="宋体" w:cs="宋体"/>
                <w:color w:val="auto"/>
                <w:sz w:val="24"/>
                <w:szCs w:val="24"/>
                <w:lang w:val="en-US" w:bidi="zh-CN"/>
              </w:rPr>
              <w:t>本项加分最高</w:t>
            </w:r>
            <w:r>
              <w:rPr>
                <w:rFonts w:hint="eastAsia" w:ascii="宋体" w:hAnsi="宋体" w:cs="宋体"/>
                <w:color w:val="auto"/>
                <w:sz w:val="24"/>
                <w:szCs w:val="24"/>
                <w:lang w:val="en-GB" w:bidi="zh-CN"/>
              </w:rPr>
              <w:t>得</w:t>
            </w:r>
            <w:r>
              <w:rPr>
                <w:rFonts w:hint="eastAsia" w:ascii="宋体" w:hAnsi="宋体" w:cs="宋体"/>
                <w:color w:val="auto"/>
                <w:sz w:val="24"/>
                <w:szCs w:val="24"/>
                <w:lang w:bidi="zh-CN"/>
              </w:rPr>
              <w:t>3</w:t>
            </w:r>
            <w:r>
              <w:rPr>
                <w:rFonts w:hint="eastAsia" w:ascii="宋体" w:hAnsi="宋体" w:cs="宋体"/>
                <w:color w:val="auto"/>
                <w:sz w:val="24"/>
                <w:szCs w:val="24"/>
                <w:lang w:val="en-GB" w:bidi="zh-CN"/>
              </w:rPr>
              <w:t>分，</w:t>
            </w:r>
          </w:p>
          <w:p w14:paraId="10D11914">
            <w:pPr>
              <w:spacing w:line="276" w:lineRule="auto"/>
              <w:rPr>
                <w:color w:val="auto"/>
              </w:rPr>
            </w:pPr>
            <w:r>
              <w:rPr>
                <w:rFonts w:hint="eastAsia" w:ascii="宋体" w:hAnsi="宋体" w:cs="宋体"/>
                <w:color w:val="auto"/>
                <w:sz w:val="24"/>
                <w:szCs w:val="24"/>
                <w:lang w:val="en-GB" w:bidi="zh-CN"/>
              </w:rPr>
              <w:t>2、所投</w:t>
            </w:r>
            <w:r>
              <w:rPr>
                <w:rFonts w:hint="eastAsia" w:ascii="宋体" w:hAnsi="宋体" w:cs="宋体"/>
                <w:color w:val="auto"/>
                <w:sz w:val="24"/>
                <w:szCs w:val="24"/>
                <w:lang w:bidi="zh-CN"/>
              </w:rPr>
              <w:t>品牌</w:t>
            </w:r>
            <w:r>
              <w:rPr>
                <w:rFonts w:hint="eastAsia" w:ascii="宋体" w:hAnsi="宋体" w:cs="宋体"/>
                <w:color w:val="auto"/>
                <w:sz w:val="24"/>
                <w:szCs w:val="24"/>
                <w:lang w:val="en-GB" w:bidi="zh-CN"/>
              </w:rPr>
              <w:t>制造商具有ISO9001质量管理体系、ISO14001环境管理体系、ISO45001职业健康安全管理体系</w:t>
            </w:r>
            <w:r>
              <w:rPr>
                <w:rFonts w:hint="eastAsia" w:ascii="宋体" w:hAnsi="宋体" w:cs="宋体"/>
                <w:color w:val="auto"/>
                <w:sz w:val="24"/>
                <w:szCs w:val="24"/>
                <w:lang w:bidi="zh-CN"/>
              </w:rPr>
              <w:t>，</w:t>
            </w:r>
            <w:r>
              <w:rPr>
                <w:rFonts w:hint="eastAsia" w:ascii="宋体" w:hAnsi="宋体" w:cs="宋体"/>
                <w:color w:val="auto"/>
                <w:sz w:val="24"/>
                <w:szCs w:val="24"/>
                <w:lang w:val="en-GB" w:bidi="zh-CN"/>
              </w:rPr>
              <w:t>提供一个证书得</w:t>
            </w:r>
            <w:r>
              <w:rPr>
                <w:rFonts w:ascii="宋体" w:hAnsi="宋体" w:cs="宋体"/>
                <w:color w:val="auto"/>
                <w:sz w:val="24"/>
                <w:szCs w:val="24"/>
                <w:lang w:bidi="zh-CN"/>
              </w:rPr>
              <w:t>1</w:t>
            </w:r>
            <w:r>
              <w:rPr>
                <w:rFonts w:hint="eastAsia" w:ascii="宋体" w:hAnsi="宋体" w:cs="宋体"/>
                <w:color w:val="auto"/>
                <w:sz w:val="24"/>
                <w:szCs w:val="24"/>
                <w:lang w:bidi="zh-CN"/>
              </w:rPr>
              <w:t>分，最多</w:t>
            </w:r>
            <w:r>
              <w:rPr>
                <w:rFonts w:hint="eastAsia" w:ascii="宋体" w:hAnsi="宋体" w:cs="宋体"/>
                <w:color w:val="auto"/>
                <w:sz w:val="24"/>
                <w:szCs w:val="24"/>
                <w:lang w:val="en-GB" w:bidi="zh-CN"/>
              </w:rPr>
              <w:t>得</w:t>
            </w:r>
            <w:r>
              <w:rPr>
                <w:rFonts w:ascii="宋体" w:hAnsi="宋体" w:cs="宋体"/>
                <w:color w:val="auto"/>
                <w:sz w:val="24"/>
                <w:szCs w:val="24"/>
                <w:lang w:bidi="zh-CN"/>
              </w:rPr>
              <w:t>3</w:t>
            </w:r>
            <w:r>
              <w:rPr>
                <w:rFonts w:hint="eastAsia" w:ascii="宋体" w:hAnsi="宋体" w:cs="宋体"/>
                <w:color w:val="auto"/>
                <w:sz w:val="24"/>
                <w:szCs w:val="24"/>
                <w:lang w:val="en-GB" w:bidi="zh-CN"/>
              </w:rPr>
              <w:t>分，不提供不得分。</w:t>
            </w:r>
            <w:r>
              <w:rPr>
                <w:rFonts w:hint="eastAsia" w:ascii="宋体" w:hAnsi="宋体" w:cs="宋体"/>
                <w:b/>
                <w:bCs/>
                <w:color w:val="auto"/>
                <w:sz w:val="24"/>
                <w:szCs w:val="24"/>
              </w:rPr>
              <w:t>以证书原件的扫描件为准 。</w:t>
            </w:r>
          </w:p>
        </w:tc>
      </w:tr>
      <w:tr w14:paraId="347A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399" w:type="dxa"/>
            <w:vMerge w:val="continue"/>
            <w:vAlign w:val="center"/>
          </w:tcPr>
          <w:p w14:paraId="1264A7A6">
            <w:pPr>
              <w:spacing w:after="120"/>
              <w:ind w:left="240" w:hanging="240" w:hangingChars="100"/>
              <w:jc w:val="center"/>
              <w:rPr>
                <w:rFonts w:ascii="宋体" w:hAnsi="宋体" w:cs="Times New Roman"/>
                <w:color w:val="auto"/>
                <w:sz w:val="24"/>
                <w:szCs w:val="24"/>
              </w:rPr>
            </w:pPr>
          </w:p>
        </w:tc>
        <w:tc>
          <w:tcPr>
            <w:tcW w:w="1578" w:type="dxa"/>
            <w:vAlign w:val="center"/>
          </w:tcPr>
          <w:p w14:paraId="08C1FE40">
            <w:pPr>
              <w:spacing w:line="276" w:lineRule="auto"/>
              <w:rPr>
                <w:rFonts w:ascii="宋体" w:hAnsi="宋体" w:cs="宋体"/>
                <w:color w:val="auto"/>
                <w:sz w:val="24"/>
                <w:szCs w:val="24"/>
                <w:lang w:val="en-GB" w:bidi="zh-CN"/>
              </w:rPr>
            </w:pPr>
            <w:r>
              <w:rPr>
                <w:rFonts w:hint="eastAsia" w:ascii="宋体" w:hAnsi="宋体" w:cs="宋体"/>
                <w:color w:val="auto"/>
                <w:sz w:val="24"/>
                <w:szCs w:val="24"/>
                <w:lang w:bidi="zh-CN"/>
              </w:rPr>
              <w:t>节约能源、保护环境政策加分（2分）</w:t>
            </w:r>
          </w:p>
        </w:tc>
        <w:tc>
          <w:tcPr>
            <w:tcW w:w="6232" w:type="dxa"/>
            <w:vAlign w:val="center"/>
          </w:tcPr>
          <w:p w14:paraId="26C694E9">
            <w:pPr>
              <w:spacing w:line="276" w:lineRule="auto"/>
              <w:rPr>
                <w:rFonts w:ascii="宋体" w:hAnsi="宋体" w:cs="宋体"/>
                <w:color w:val="auto"/>
                <w:sz w:val="24"/>
                <w:szCs w:val="24"/>
                <w:lang w:val="en-GB" w:bidi="zh-CN"/>
              </w:rPr>
            </w:pPr>
            <w:r>
              <w:rPr>
                <w:rFonts w:hint="eastAsia" w:ascii="宋体" w:hAnsi="宋体" w:cs="宋体"/>
                <w:color w:val="auto"/>
                <w:sz w:val="24"/>
                <w:szCs w:val="24"/>
                <w:lang w:val="en-GB" w:bidi="zh-CN"/>
              </w:rPr>
              <w:t>投标人所投产品属于“环境标志产品政府采购品目清单”内产品，投标文件中提供具有国家确定的认证机构出具的、处于有效期之内的环境标志产品认证证书。每个</w:t>
            </w:r>
            <w:r>
              <w:rPr>
                <w:rFonts w:hint="eastAsia" w:ascii="宋体" w:hAnsi="宋体" w:cs="宋体"/>
                <w:color w:val="auto"/>
                <w:sz w:val="24"/>
                <w:szCs w:val="24"/>
                <w:lang w:bidi="zh-CN"/>
              </w:rPr>
              <w:t>0.5</w:t>
            </w:r>
            <w:r>
              <w:rPr>
                <w:rFonts w:hint="eastAsia" w:ascii="宋体" w:hAnsi="宋体" w:cs="宋体"/>
                <w:color w:val="auto"/>
                <w:sz w:val="24"/>
                <w:szCs w:val="24"/>
                <w:lang w:val="en-GB" w:bidi="zh-CN"/>
              </w:rPr>
              <w:t>分，满分</w:t>
            </w:r>
            <w:r>
              <w:rPr>
                <w:rFonts w:hint="eastAsia" w:ascii="宋体" w:hAnsi="宋体" w:cs="宋体"/>
                <w:color w:val="auto"/>
                <w:sz w:val="24"/>
                <w:szCs w:val="24"/>
                <w:lang w:bidi="zh-CN"/>
              </w:rPr>
              <w:t>2</w:t>
            </w:r>
            <w:r>
              <w:rPr>
                <w:rFonts w:hint="eastAsia" w:ascii="宋体" w:hAnsi="宋体" w:cs="宋体"/>
                <w:color w:val="auto"/>
                <w:sz w:val="24"/>
                <w:szCs w:val="24"/>
                <w:lang w:val="en-GB" w:bidi="zh-CN"/>
              </w:rPr>
              <w:t>分，不提供不得分。</w:t>
            </w:r>
          </w:p>
        </w:tc>
      </w:tr>
      <w:tr w14:paraId="17EB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trPr>
        <w:tc>
          <w:tcPr>
            <w:tcW w:w="1399" w:type="dxa"/>
            <w:vMerge w:val="restart"/>
            <w:vAlign w:val="center"/>
          </w:tcPr>
          <w:p w14:paraId="2616EC89">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技术部分</w:t>
            </w:r>
            <w:r>
              <w:rPr>
                <w:rFonts w:hint="eastAsia" w:ascii="宋体" w:hAnsi="宋体" w:cs="Times New Roman"/>
                <w:color w:val="auto"/>
                <w:sz w:val="24"/>
                <w:szCs w:val="24"/>
              </w:rPr>
              <w:t>（</w:t>
            </w:r>
            <w:r>
              <w:rPr>
                <w:rFonts w:ascii="宋体" w:hAnsi="宋体" w:cs="Times New Roman"/>
                <w:color w:val="auto"/>
                <w:sz w:val="24"/>
                <w:szCs w:val="24"/>
              </w:rPr>
              <w:t>50</w:t>
            </w:r>
            <w:r>
              <w:rPr>
                <w:rFonts w:hint="eastAsia" w:ascii="宋体" w:hAnsi="宋体" w:cs="Times New Roman"/>
                <w:color w:val="auto"/>
                <w:sz w:val="24"/>
                <w:szCs w:val="24"/>
              </w:rPr>
              <w:t>分）</w:t>
            </w:r>
          </w:p>
        </w:tc>
        <w:tc>
          <w:tcPr>
            <w:tcW w:w="1578" w:type="dxa"/>
            <w:vAlign w:val="center"/>
          </w:tcPr>
          <w:p w14:paraId="1CFE8F0D">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货物技术规</w:t>
            </w:r>
          </w:p>
          <w:p w14:paraId="7C04FF92">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格、参数与要</w:t>
            </w:r>
          </w:p>
          <w:p w14:paraId="0EB92F5A">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求响应</w:t>
            </w:r>
          </w:p>
          <w:p w14:paraId="5D16034F">
            <w:pPr>
              <w:tabs>
                <w:tab w:val="center" w:pos="681"/>
              </w:tabs>
              <w:spacing w:after="120"/>
              <w:ind w:left="450" w:leftChars="100" w:hanging="240" w:hangingChars="100"/>
              <w:rPr>
                <w:rFonts w:ascii="宋体" w:hAnsi="宋体" w:cs="Times New Roman"/>
                <w:color w:val="auto"/>
                <w:kern w:val="0"/>
                <w:sz w:val="24"/>
                <w:szCs w:val="24"/>
              </w:rPr>
            </w:pPr>
            <w:r>
              <w:rPr>
                <w:rFonts w:hint="eastAsia" w:ascii="宋体" w:hAnsi="宋体"/>
                <w:color w:val="auto"/>
                <w:sz w:val="24"/>
                <w:szCs w:val="24"/>
              </w:rPr>
              <w:t>（</w:t>
            </w:r>
            <w:r>
              <w:rPr>
                <w:rFonts w:ascii="宋体" w:hAnsi="宋体"/>
                <w:color w:val="auto"/>
                <w:sz w:val="24"/>
                <w:szCs w:val="24"/>
              </w:rPr>
              <w:t>8</w:t>
            </w:r>
            <w:r>
              <w:rPr>
                <w:rFonts w:hint="eastAsia" w:ascii="宋体" w:hAnsi="宋体"/>
                <w:color w:val="auto"/>
                <w:sz w:val="24"/>
                <w:szCs w:val="24"/>
              </w:rPr>
              <w:t>分）</w:t>
            </w:r>
            <w:r>
              <w:rPr>
                <w:rFonts w:hint="eastAsia" w:ascii="宋体" w:hAnsi="宋体"/>
                <w:color w:val="auto"/>
                <w:sz w:val="24"/>
                <w:szCs w:val="24"/>
              </w:rPr>
              <w:tab/>
            </w:r>
          </w:p>
        </w:tc>
        <w:tc>
          <w:tcPr>
            <w:tcW w:w="6232" w:type="dxa"/>
            <w:vAlign w:val="center"/>
          </w:tcPr>
          <w:p w14:paraId="54A43BF0">
            <w:pPr>
              <w:spacing w:line="360" w:lineRule="auto"/>
              <w:textAlignment w:val="baseline"/>
              <w:rPr>
                <w:rFonts w:ascii="宋体" w:hAnsi="宋体" w:cs="宋体"/>
                <w:color w:val="auto"/>
                <w:sz w:val="24"/>
                <w:szCs w:val="24"/>
              </w:rPr>
            </w:pPr>
            <w:r>
              <w:rPr>
                <w:rFonts w:hint="eastAsia" w:ascii="宋体" w:hAnsi="宋体" w:cs="宋体"/>
                <w:color w:val="auto"/>
                <w:sz w:val="24"/>
                <w:szCs w:val="24"/>
              </w:rPr>
              <w:t>1、凡对技术资料采用弄虚作假的，即作为废标处理。</w:t>
            </w:r>
          </w:p>
          <w:p w14:paraId="1F8497A9">
            <w:pPr>
              <w:widowControl/>
              <w:jc w:val="left"/>
              <w:rPr>
                <w:rFonts w:ascii="宋体" w:hAnsi="宋体" w:cs="宋体"/>
                <w:color w:val="auto"/>
                <w:sz w:val="24"/>
                <w:szCs w:val="24"/>
              </w:rPr>
            </w:pPr>
            <w:r>
              <w:rPr>
                <w:rFonts w:hint="eastAsia" w:ascii="宋体" w:hAnsi="宋体" w:cs="宋体"/>
                <w:color w:val="auto"/>
                <w:sz w:val="24"/>
                <w:szCs w:val="24"/>
              </w:rPr>
              <w:t>2、供应商所投产品参数及功能优于招标文件采购需求中技术指标的技术参数及功能要求的，每有一项最优于的供应商加1分，最高加</w:t>
            </w:r>
            <w:r>
              <w:rPr>
                <w:rFonts w:ascii="宋体" w:hAnsi="宋体" w:cs="宋体"/>
                <w:color w:val="auto"/>
                <w:sz w:val="24"/>
                <w:szCs w:val="24"/>
              </w:rPr>
              <w:t>8</w:t>
            </w:r>
            <w:r>
              <w:rPr>
                <w:rFonts w:hint="eastAsia" w:ascii="宋体" w:hAnsi="宋体" w:cs="宋体"/>
                <w:color w:val="auto"/>
                <w:sz w:val="24"/>
                <w:szCs w:val="24"/>
              </w:rPr>
              <w:t>分。</w:t>
            </w:r>
          </w:p>
        </w:tc>
      </w:tr>
      <w:tr w14:paraId="0B99D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399" w:type="dxa"/>
            <w:vMerge w:val="continue"/>
            <w:vAlign w:val="center"/>
          </w:tcPr>
          <w:p w14:paraId="134FAB82">
            <w:pPr>
              <w:widowControl/>
              <w:snapToGrid w:val="0"/>
              <w:spacing w:before="162" w:beforeLines="50"/>
              <w:jc w:val="center"/>
              <w:rPr>
                <w:rFonts w:ascii="宋体" w:hAnsi="宋体"/>
                <w:color w:val="auto"/>
                <w:sz w:val="24"/>
                <w:szCs w:val="24"/>
              </w:rPr>
            </w:pPr>
          </w:p>
        </w:tc>
        <w:tc>
          <w:tcPr>
            <w:tcW w:w="1578" w:type="dxa"/>
            <w:vAlign w:val="center"/>
          </w:tcPr>
          <w:p w14:paraId="3C89F560">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质量保证方案</w:t>
            </w:r>
          </w:p>
          <w:p w14:paraId="2CDB764F">
            <w:pPr>
              <w:widowControl/>
              <w:snapToGrid w:val="0"/>
              <w:spacing w:before="162" w:beforeLines="50"/>
              <w:jc w:val="center"/>
              <w:rPr>
                <w:color w:val="auto"/>
              </w:rPr>
            </w:pPr>
            <w:r>
              <w:rPr>
                <w:rFonts w:hint="eastAsia" w:ascii="宋体" w:hAnsi="宋体"/>
                <w:color w:val="auto"/>
                <w:sz w:val="24"/>
                <w:szCs w:val="24"/>
              </w:rPr>
              <w:t>(</w:t>
            </w:r>
            <w:r>
              <w:rPr>
                <w:rFonts w:ascii="宋体" w:hAnsi="宋体"/>
                <w:color w:val="auto"/>
                <w:sz w:val="24"/>
                <w:szCs w:val="24"/>
              </w:rPr>
              <w:t>10</w:t>
            </w:r>
            <w:r>
              <w:rPr>
                <w:rFonts w:hint="eastAsia" w:ascii="宋体" w:hAnsi="宋体"/>
                <w:color w:val="auto"/>
                <w:sz w:val="24"/>
                <w:szCs w:val="24"/>
              </w:rPr>
              <w:t>分）</w:t>
            </w:r>
          </w:p>
        </w:tc>
        <w:tc>
          <w:tcPr>
            <w:tcW w:w="6232" w:type="dxa"/>
            <w:vAlign w:val="center"/>
          </w:tcPr>
          <w:p w14:paraId="45563AE1">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包含：（1）空调安装前检查措施；（2）文明施工措施；（3）施工组织；（4）管理措施。投标人质量保证方案</w:t>
            </w:r>
          </w:p>
          <w:p w14:paraId="5250158D">
            <w:pPr>
              <w:widowControl/>
              <w:jc w:val="left"/>
              <w:rPr>
                <w:rFonts w:ascii="宋体" w:hAnsi="宋体"/>
                <w:color w:val="auto"/>
                <w:sz w:val="24"/>
                <w:szCs w:val="24"/>
              </w:rPr>
            </w:pPr>
            <w:r>
              <w:rPr>
                <w:rFonts w:hint="eastAsia" w:ascii="宋体" w:hAnsi="宋体"/>
                <w:color w:val="auto"/>
                <w:sz w:val="24"/>
                <w:szCs w:val="24"/>
              </w:rPr>
              <w:t>内容完整、详细、有针对性的得</w:t>
            </w:r>
            <w:r>
              <w:rPr>
                <w:rFonts w:ascii="宋体" w:hAnsi="宋体"/>
                <w:color w:val="auto"/>
                <w:sz w:val="24"/>
                <w:szCs w:val="24"/>
              </w:rPr>
              <w:t>10</w:t>
            </w:r>
            <w:r>
              <w:rPr>
                <w:rFonts w:hint="eastAsia" w:ascii="宋体" w:hAnsi="宋体"/>
                <w:color w:val="auto"/>
                <w:sz w:val="24"/>
                <w:szCs w:val="24"/>
              </w:rPr>
              <w:t>分；内容描述一般得5分；内容仅有简单描述且不缺项的得 2分；未提供对应项内容或内容不符合该项要求的不得分。</w:t>
            </w:r>
          </w:p>
        </w:tc>
      </w:tr>
      <w:tr w14:paraId="5DD1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1399" w:type="dxa"/>
            <w:vMerge w:val="continue"/>
            <w:vAlign w:val="center"/>
          </w:tcPr>
          <w:p w14:paraId="7A687E65">
            <w:pPr>
              <w:ind w:firstLine="240" w:firstLineChars="100"/>
              <w:rPr>
                <w:rFonts w:ascii="宋体" w:hAnsi="宋体"/>
                <w:color w:val="auto"/>
                <w:sz w:val="24"/>
                <w:szCs w:val="24"/>
              </w:rPr>
            </w:pPr>
          </w:p>
        </w:tc>
        <w:tc>
          <w:tcPr>
            <w:tcW w:w="1578" w:type="dxa"/>
            <w:vAlign w:val="center"/>
          </w:tcPr>
          <w:p w14:paraId="3C630177">
            <w:pPr>
              <w:spacing w:after="120"/>
              <w:ind w:left="450" w:leftChars="100" w:hanging="240" w:hangingChars="100"/>
              <w:rPr>
                <w:rFonts w:hint="eastAsia" w:ascii="宋体" w:hAnsi="宋体" w:eastAsia="宋体" w:cs="Times New Roman"/>
                <w:color w:val="auto"/>
                <w:kern w:val="0"/>
                <w:sz w:val="24"/>
                <w:szCs w:val="24"/>
                <w:lang w:val="en-US" w:eastAsia="zh-CN"/>
              </w:rPr>
            </w:pPr>
            <w:r>
              <w:rPr>
                <w:rFonts w:hint="eastAsia" w:ascii="宋体" w:hAnsi="宋体" w:cs="Times New Roman"/>
                <w:color w:val="auto"/>
                <w:kern w:val="0"/>
                <w:sz w:val="24"/>
                <w:szCs w:val="24"/>
              </w:rPr>
              <w:t>售后服务</w:t>
            </w:r>
            <w:r>
              <w:rPr>
                <w:rFonts w:hint="eastAsia" w:ascii="宋体" w:hAnsi="宋体" w:cs="Times New Roman"/>
                <w:color w:val="auto"/>
                <w:kern w:val="0"/>
                <w:sz w:val="24"/>
                <w:szCs w:val="24"/>
                <w:lang w:val="en-US" w:eastAsia="zh-CN"/>
              </w:rPr>
              <w:t>方案</w:t>
            </w:r>
          </w:p>
          <w:p w14:paraId="661D0194">
            <w:pPr>
              <w:spacing w:after="120"/>
              <w:ind w:left="450" w:leftChars="100" w:hanging="240" w:hangingChars="100"/>
              <w:rPr>
                <w:rFonts w:ascii="宋体" w:hAnsi="宋体" w:cs="Times New Roman"/>
                <w:color w:val="auto"/>
                <w:sz w:val="24"/>
                <w:szCs w:val="24"/>
              </w:rPr>
            </w:pPr>
            <w:r>
              <w:rPr>
                <w:rFonts w:hint="eastAsia" w:ascii="宋体" w:hAnsi="宋体" w:cs="Times New Roman"/>
                <w:color w:val="auto"/>
                <w:kern w:val="0"/>
                <w:sz w:val="24"/>
                <w:szCs w:val="24"/>
              </w:rPr>
              <w:t>（1</w:t>
            </w:r>
            <w:r>
              <w:rPr>
                <w:rFonts w:ascii="宋体" w:hAnsi="宋体" w:cs="Times New Roman"/>
                <w:color w:val="auto"/>
                <w:kern w:val="0"/>
                <w:sz w:val="24"/>
                <w:szCs w:val="24"/>
              </w:rPr>
              <w:t>0</w:t>
            </w:r>
            <w:r>
              <w:rPr>
                <w:rFonts w:hint="eastAsia" w:ascii="宋体" w:hAnsi="宋体" w:cs="Times New Roman"/>
                <w:color w:val="auto"/>
                <w:kern w:val="0"/>
                <w:sz w:val="24"/>
                <w:szCs w:val="24"/>
              </w:rPr>
              <w:t>分）</w:t>
            </w:r>
          </w:p>
        </w:tc>
        <w:tc>
          <w:tcPr>
            <w:tcW w:w="6232" w:type="dxa"/>
            <w:vAlign w:val="center"/>
          </w:tcPr>
          <w:p w14:paraId="651E35DE">
            <w:pPr>
              <w:widowControl/>
              <w:jc w:val="left"/>
              <w:rPr>
                <w:rFonts w:ascii="宋体" w:hAnsi="宋体" w:cs="宋体"/>
                <w:color w:val="auto"/>
                <w:sz w:val="24"/>
                <w:szCs w:val="24"/>
              </w:rPr>
            </w:pPr>
            <w:r>
              <w:rPr>
                <w:rFonts w:hint="eastAsia" w:ascii="宋体" w:hAnsi="宋体"/>
                <w:color w:val="auto"/>
                <w:sz w:val="24"/>
                <w:szCs w:val="24"/>
              </w:rPr>
              <w:t>投标人售后服务体系是否完善，根据投标单位在设备保修、维护响应时间、定期回访等方面的</w:t>
            </w:r>
            <w:r>
              <w:rPr>
                <w:rFonts w:hint="eastAsia" w:ascii="宋体" w:hAnsi="宋体" w:cs="Times New Roman"/>
                <w:color w:val="auto"/>
                <w:kern w:val="0"/>
                <w:sz w:val="24"/>
                <w:szCs w:val="24"/>
              </w:rPr>
              <w:t>售后服务</w:t>
            </w:r>
            <w:r>
              <w:rPr>
                <w:rFonts w:hint="eastAsia" w:ascii="宋体" w:hAnsi="宋体" w:cs="Times New Roman"/>
                <w:color w:val="auto"/>
                <w:kern w:val="0"/>
                <w:sz w:val="24"/>
                <w:szCs w:val="24"/>
                <w:lang w:val="en-US" w:eastAsia="zh-CN"/>
              </w:rPr>
              <w:t>方案</w:t>
            </w:r>
            <w:r>
              <w:rPr>
                <w:rFonts w:hint="eastAsia" w:ascii="宋体" w:hAnsi="宋体"/>
                <w:color w:val="auto"/>
                <w:sz w:val="24"/>
                <w:szCs w:val="24"/>
              </w:rPr>
              <w:t>打分，承诺</w:t>
            </w:r>
            <w:r>
              <w:rPr>
                <w:rFonts w:hint="eastAsia" w:ascii="宋体" w:hAnsi="宋体"/>
                <w:color w:val="auto"/>
                <w:sz w:val="24"/>
                <w:szCs w:val="24"/>
                <w:lang w:val="zh-CN"/>
              </w:rPr>
              <w:t>清楚、详尽、合理、可靠的得</w:t>
            </w:r>
            <w:r>
              <w:rPr>
                <w:rFonts w:ascii="宋体" w:hAnsi="宋体"/>
                <w:color w:val="auto"/>
                <w:sz w:val="24"/>
                <w:szCs w:val="24"/>
              </w:rPr>
              <w:t>10</w:t>
            </w:r>
            <w:r>
              <w:rPr>
                <w:rFonts w:hint="eastAsia" w:ascii="宋体" w:hAnsi="宋体"/>
                <w:color w:val="auto"/>
                <w:sz w:val="24"/>
                <w:szCs w:val="24"/>
                <w:lang w:val="zh-CN"/>
              </w:rPr>
              <w:t>分；描述一般的得</w:t>
            </w:r>
            <w:r>
              <w:rPr>
                <w:rFonts w:ascii="宋体" w:hAnsi="宋体"/>
                <w:color w:val="auto"/>
                <w:sz w:val="24"/>
                <w:szCs w:val="24"/>
              </w:rPr>
              <w:t>5</w:t>
            </w:r>
            <w:r>
              <w:rPr>
                <w:rFonts w:hint="eastAsia" w:ascii="宋体" w:hAnsi="宋体"/>
                <w:color w:val="auto"/>
                <w:sz w:val="24"/>
                <w:szCs w:val="24"/>
                <w:lang w:val="zh-CN"/>
              </w:rPr>
              <w:t>分；仅有简单承诺，描述不详尽的得</w:t>
            </w:r>
            <w:r>
              <w:rPr>
                <w:rFonts w:hint="eastAsia" w:ascii="宋体" w:hAnsi="宋体"/>
                <w:color w:val="auto"/>
                <w:sz w:val="24"/>
                <w:szCs w:val="24"/>
              </w:rPr>
              <w:t>2</w:t>
            </w:r>
            <w:r>
              <w:rPr>
                <w:rFonts w:hint="eastAsia" w:ascii="宋体" w:hAnsi="宋体"/>
                <w:color w:val="auto"/>
                <w:sz w:val="24"/>
                <w:szCs w:val="24"/>
                <w:lang w:val="zh-CN"/>
              </w:rPr>
              <w:t>分；不提供不得分。</w:t>
            </w:r>
          </w:p>
        </w:tc>
      </w:tr>
      <w:tr w14:paraId="5FAF5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399" w:type="dxa"/>
            <w:vMerge w:val="continue"/>
            <w:vAlign w:val="center"/>
          </w:tcPr>
          <w:p w14:paraId="0F66F2B3">
            <w:pPr>
              <w:rPr>
                <w:rFonts w:ascii="宋体" w:hAnsi="宋体"/>
                <w:color w:val="auto"/>
                <w:sz w:val="24"/>
                <w:szCs w:val="24"/>
              </w:rPr>
            </w:pPr>
          </w:p>
        </w:tc>
        <w:tc>
          <w:tcPr>
            <w:tcW w:w="1578" w:type="dxa"/>
            <w:vAlign w:val="center"/>
          </w:tcPr>
          <w:p w14:paraId="62F61A85">
            <w:pPr>
              <w:spacing w:after="120"/>
              <w:ind w:left="450" w:leftChars="100" w:hanging="240" w:hangingChars="100"/>
              <w:rPr>
                <w:rFonts w:ascii="宋体" w:hAnsi="宋体" w:cs="Times New Roman"/>
                <w:color w:val="auto"/>
                <w:kern w:val="0"/>
                <w:sz w:val="24"/>
                <w:szCs w:val="24"/>
              </w:rPr>
            </w:pPr>
            <w:r>
              <w:rPr>
                <w:rFonts w:hint="eastAsia" w:ascii="宋体" w:hAnsi="宋体" w:cs="Times New Roman"/>
                <w:color w:val="auto"/>
                <w:kern w:val="0"/>
                <w:sz w:val="24"/>
                <w:szCs w:val="24"/>
              </w:rPr>
              <w:t>供货方案</w:t>
            </w:r>
          </w:p>
          <w:p w14:paraId="12E0E248">
            <w:pPr>
              <w:spacing w:after="120"/>
              <w:ind w:left="450" w:leftChars="100" w:hanging="240" w:hangingChars="100"/>
              <w:rPr>
                <w:rFonts w:ascii="宋体" w:hAnsi="宋体"/>
                <w:color w:val="auto"/>
                <w:sz w:val="24"/>
                <w:szCs w:val="24"/>
              </w:rPr>
            </w:pPr>
            <w:r>
              <w:rPr>
                <w:rFonts w:hint="eastAsia" w:ascii="宋体" w:hAnsi="宋体" w:cs="Times New Roman"/>
                <w:color w:val="auto"/>
                <w:kern w:val="0"/>
                <w:sz w:val="24"/>
                <w:szCs w:val="24"/>
              </w:rPr>
              <w:t>（</w:t>
            </w:r>
            <w:r>
              <w:rPr>
                <w:rFonts w:ascii="宋体" w:hAnsi="宋体" w:cs="Times New Roman"/>
                <w:color w:val="auto"/>
                <w:kern w:val="0"/>
                <w:sz w:val="24"/>
                <w:szCs w:val="24"/>
              </w:rPr>
              <w:t>12</w:t>
            </w:r>
            <w:r>
              <w:rPr>
                <w:rFonts w:hint="eastAsia" w:ascii="宋体" w:hAnsi="宋体" w:cs="Times New Roman"/>
                <w:color w:val="auto"/>
                <w:kern w:val="0"/>
                <w:sz w:val="24"/>
                <w:szCs w:val="24"/>
              </w:rPr>
              <w:t>分）</w:t>
            </w:r>
          </w:p>
        </w:tc>
        <w:tc>
          <w:tcPr>
            <w:tcW w:w="6232" w:type="dxa"/>
            <w:vAlign w:val="center"/>
          </w:tcPr>
          <w:p w14:paraId="24E3F77F">
            <w:pPr>
              <w:widowControl/>
              <w:jc w:val="left"/>
              <w:rPr>
                <w:rFonts w:ascii="宋体" w:hAnsi="宋体"/>
                <w:color w:val="auto"/>
                <w:sz w:val="24"/>
                <w:szCs w:val="24"/>
              </w:rPr>
            </w:pPr>
            <w:r>
              <w:rPr>
                <w:rFonts w:hint="eastAsia" w:ascii="宋体" w:hAnsi="宋体"/>
                <w:color w:val="auto"/>
                <w:sz w:val="24"/>
                <w:szCs w:val="24"/>
              </w:rPr>
              <w:t>包括：（1）供货进度安排；（2）备货供货期响应；（3）质量响应；（4）供货安全措施；（5）人员实施措施；（6）应急响应方案。投标人</w:t>
            </w:r>
            <w:r>
              <w:rPr>
                <w:rFonts w:hint="eastAsia" w:ascii="宋体" w:hAnsi="宋体"/>
                <w:color w:val="auto"/>
                <w:sz w:val="24"/>
                <w:szCs w:val="24"/>
                <w:lang w:val="en-US" w:eastAsia="zh-CN"/>
              </w:rPr>
              <w:t>供货方案</w:t>
            </w:r>
            <w:r>
              <w:rPr>
                <w:rFonts w:hint="eastAsia" w:ascii="宋体" w:hAnsi="宋体"/>
                <w:color w:val="auto"/>
                <w:sz w:val="24"/>
                <w:szCs w:val="24"/>
              </w:rPr>
              <w:t xml:space="preserve">内容完整、详细、有针对性的得 </w:t>
            </w:r>
            <w:r>
              <w:rPr>
                <w:rFonts w:ascii="宋体" w:hAnsi="宋体"/>
                <w:color w:val="auto"/>
                <w:sz w:val="24"/>
                <w:szCs w:val="24"/>
              </w:rPr>
              <w:t>12</w:t>
            </w:r>
            <w:r>
              <w:rPr>
                <w:rFonts w:hint="eastAsia" w:ascii="宋体" w:hAnsi="宋体"/>
                <w:color w:val="auto"/>
                <w:sz w:val="24"/>
                <w:szCs w:val="24"/>
              </w:rPr>
              <w:t xml:space="preserve"> 分；内容描述一般得</w:t>
            </w:r>
            <w:r>
              <w:rPr>
                <w:rFonts w:ascii="宋体" w:hAnsi="宋体"/>
                <w:color w:val="auto"/>
                <w:sz w:val="24"/>
                <w:szCs w:val="24"/>
              </w:rPr>
              <w:t>6</w:t>
            </w:r>
            <w:r>
              <w:rPr>
                <w:rFonts w:hint="eastAsia" w:ascii="宋体" w:hAnsi="宋体"/>
                <w:color w:val="auto"/>
                <w:sz w:val="24"/>
                <w:szCs w:val="24"/>
              </w:rPr>
              <w:t>分；内容仅有简单描述且不缺项的得 2 分；未提供对应项内容或内容不符合该项要求的不得分。</w:t>
            </w:r>
          </w:p>
        </w:tc>
      </w:tr>
      <w:tr w14:paraId="4254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trPr>
        <w:tc>
          <w:tcPr>
            <w:tcW w:w="1399" w:type="dxa"/>
            <w:vMerge w:val="continue"/>
            <w:vAlign w:val="center"/>
          </w:tcPr>
          <w:p w14:paraId="238442DB">
            <w:pPr>
              <w:rPr>
                <w:rFonts w:ascii="宋体" w:hAnsi="宋体"/>
                <w:color w:val="auto"/>
                <w:sz w:val="24"/>
                <w:szCs w:val="24"/>
              </w:rPr>
            </w:pPr>
          </w:p>
        </w:tc>
        <w:tc>
          <w:tcPr>
            <w:tcW w:w="1578" w:type="dxa"/>
            <w:vAlign w:val="center"/>
          </w:tcPr>
          <w:p w14:paraId="5EE490BB">
            <w:pPr>
              <w:spacing w:after="120"/>
              <w:ind w:left="450" w:leftChars="100" w:hanging="240" w:hangingChars="100"/>
              <w:rPr>
                <w:rFonts w:ascii="宋体" w:hAnsi="宋体"/>
                <w:color w:val="auto"/>
                <w:sz w:val="24"/>
                <w:szCs w:val="24"/>
              </w:rPr>
            </w:pPr>
            <w:r>
              <w:rPr>
                <w:rFonts w:hint="eastAsia" w:ascii="宋体" w:hAnsi="宋体"/>
                <w:color w:val="auto"/>
                <w:sz w:val="24"/>
                <w:szCs w:val="24"/>
              </w:rPr>
              <w:t>安装及调试方案</w:t>
            </w:r>
          </w:p>
          <w:p w14:paraId="2D50617A">
            <w:pPr>
              <w:pStyle w:val="28"/>
              <w:ind w:firstLine="240"/>
              <w:rPr>
                <w:color w:val="auto"/>
              </w:rPr>
            </w:pPr>
            <w:r>
              <w:rPr>
                <w:rFonts w:hint="eastAsia" w:hAnsi="宋体"/>
                <w:color w:val="auto"/>
                <w:sz w:val="24"/>
                <w:szCs w:val="24"/>
              </w:rPr>
              <w:t>（1</w:t>
            </w:r>
            <w:r>
              <w:rPr>
                <w:rFonts w:hAnsi="宋体"/>
                <w:color w:val="auto"/>
                <w:sz w:val="24"/>
                <w:szCs w:val="24"/>
              </w:rPr>
              <w:t>0</w:t>
            </w:r>
            <w:r>
              <w:rPr>
                <w:rFonts w:hint="eastAsia" w:hAnsi="宋体"/>
                <w:color w:val="auto"/>
                <w:sz w:val="24"/>
                <w:szCs w:val="24"/>
              </w:rPr>
              <w:t>分）</w:t>
            </w:r>
          </w:p>
        </w:tc>
        <w:tc>
          <w:tcPr>
            <w:tcW w:w="6232" w:type="dxa"/>
            <w:vAlign w:val="center"/>
          </w:tcPr>
          <w:p w14:paraId="0A6BE693">
            <w:pPr>
              <w:widowControl/>
              <w:jc w:val="left"/>
              <w:rPr>
                <w:rFonts w:ascii="宋体" w:hAnsi="宋体"/>
                <w:color w:val="auto"/>
                <w:sz w:val="24"/>
                <w:szCs w:val="24"/>
              </w:rPr>
            </w:pPr>
            <w:r>
              <w:rPr>
                <w:rFonts w:hint="eastAsia" w:ascii="宋体" w:hAnsi="宋体"/>
                <w:color w:val="auto"/>
                <w:sz w:val="24"/>
                <w:szCs w:val="24"/>
              </w:rPr>
              <w:t>包含：（1）备货计划；（2）安装进度计划；（3）安装调试、安装顺序；（4）运行调试方法；（5）验收方法。投标人安装及调试方案内容完整、详细、有针对性的得</w:t>
            </w:r>
            <w:r>
              <w:rPr>
                <w:rFonts w:ascii="宋体" w:hAnsi="宋体"/>
                <w:color w:val="auto"/>
                <w:sz w:val="24"/>
                <w:szCs w:val="24"/>
              </w:rPr>
              <w:t>10</w:t>
            </w:r>
            <w:r>
              <w:rPr>
                <w:rFonts w:hint="eastAsia" w:ascii="宋体" w:hAnsi="宋体"/>
                <w:color w:val="auto"/>
                <w:sz w:val="24"/>
                <w:szCs w:val="24"/>
              </w:rPr>
              <w:t>分；内容描述一般得</w:t>
            </w:r>
            <w:r>
              <w:rPr>
                <w:rFonts w:ascii="宋体" w:hAnsi="宋体"/>
                <w:color w:val="auto"/>
                <w:sz w:val="24"/>
                <w:szCs w:val="24"/>
              </w:rPr>
              <w:t>5</w:t>
            </w:r>
            <w:r>
              <w:rPr>
                <w:rFonts w:hint="eastAsia" w:ascii="宋体" w:hAnsi="宋体"/>
                <w:color w:val="auto"/>
                <w:sz w:val="24"/>
                <w:szCs w:val="24"/>
              </w:rPr>
              <w:t xml:space="preserve">分；内容仅有简单描述且不缺项的得 </w:t>
            </w:r>
            <w:r>
              <w:rPr>
                <w:rFonts w:ascii="宋体" w:hAnsi="宋体"/>
                <w:color w:val="auto"/>
                <w:sz w:val="24"/>
                <w:szCs w:val="24"/>
              </w:rPr>
              <w:t>2</w:t>
            </w:r>
            <w:r>
              <w:rPr>
                <w:rFonts w:hint="eastAsia" w:ascii="宋体" w:hAnsi="宋体"/>
                <w:color w:val="auto"/>
                <w:sz w:val="24"/>
                <w:szCs w:val="24"/>
              </w:rPr>
              <w:t xml:space="preserve"> 分；未提供对应项内容或内容不符合该项要求的不得分。</w:t>
            </w:r>
          </w:p>
        </w:tc>
      </w:tr>
      <w:tr w14:paraId="3AC3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09" w:type="dxa"/>
            <w:gridSpan w:val="3"/>
            <w:tcBorders>
              <w:right w:val="single" w:color="auto" w:sz="4" w:space="0"/>
            </w:tcBorders>
            <w:vAlign w:val="center"/>
          </w:tcPr>
          <w:p w14:paraId="24ADCB4B">
            <w:pPr>
              <w:widowControl/>
              <w:jc w:val="left"/>
              <w:rPr>
                <w:rFonts w:ascii="宋体" w:hAnsi="宋体" w:cs="Times New Roman"/>
                <w:color w:val="auto"/>
                <w:sz w:val="24"/>
                <w:szCs w:val="24"/>
              </w:rPr>
            </w:pPr>
            <w:r>
              <w:rPr>
                <w:rFonts w:hint="eastAsia" w:ascii="宋体" w:hAnsi="宋体" w:cs="仿宋_GB2312"/>
                <w:b/>
                <w:bCs/>
                <w:color w:val="auto"/>
                <w:sz w:val="24"/>
                <w:szCs w:val="24"/>
                <w:lang w:val="zh-CN"/>
              </w:rPr>
              <w:t>注：评标标准中所涉及到的证书及材料不需提供原件，均应在电子投标文件中提供原件扫描件（或图片）。</w:t>
            </w:r>
          </w:p>
        </w:tc>
      </w:tr>
    </w:tbl>
    <w:p w14:paraId="561A6672">
      <w:pPr>
        <w:spacing w:line="360" w:lineRule="auto"/>
        <w:ind w:firstLine="321" w:firstLineChars="100"/>
        <w:jc w:val="center"/>
        <w:rPr>
          <w:rFonts w:hAnsi="宋体" w:cs="仿宋_GB2312"/>
          <w:b/>
          <w:color w:val="auto"/>
          <w:sz w:val="32"/>
          <w:szCs w:val="32"/>
          <w:lang w:val="zh-CN"/>
        </w:rPr>
      </w:pPr>
    </w:p>
    <w:p w14:paraId="56F2FE0D">
      <w:pPr>
        <w:spacing w:line="360" w:lineRule="auto"/>
        <w:jc w:val="center"/>
        <w:rPr>
          <w:rFonts w:hAnsi="宋体" w:cs="仿宋_GB2312"/>
          <w:b/>
          <w:color w:val="auto"/>
          <w:sz w:val="28"/>
          <w:szCs w:val="28"/>
          <w:lang w:val="zh-CN"/>
        </w:rPr>
      </w:pPr>
      <w:r>
        <w:rPr>
          <w:rFonts w:hint="eastAsia" w:hAnsi="宋体" w:cs="仿宋_GB2312"/>
          <w:b/>
          <w:color w:val="auto"/>
          <w:sz w:val="28"/>
          <w:szCs w:val="28"/>
          <w:lang w:val="zh-CN"/>
        </w:rPr>
        <w:t>二标段：教学、实验用桌等设备</w:t>
      </w:r>
      <w:r>
        <w:rPr>
          <w:rFonts w:hint="eastAsia" w:ascii="宋体" w:hAnsi="宋体" w:cs="宋体"/>
          <w:b/>
          <w:bCs/>
          <w:color w:val="auto"/>
          <w:sz w:val="28"/>
          <w:szCs w:val="28"/>
        </w:rPr>
        <w:t>评标标准</w:t>
      </w:r>
    </w:p>
    <w:tbl>
      <w:tblPr>
        <w:tblStyle w:val="30"/>
        <w:tblW w:w="8988" w:type="dxa"/>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629"/>
        <w:gridCol w:w="6509"/>
        <w:gridCol w:w="850"/>
      </w:tblGrid>
      <w:tr w14:paraId="7A7B0A0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9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70D1213A">
            <w:pPr>
              <w:spacing w:line="360" w:lineRule="auto"/>
              <w:jc w:val="center"/>
              <w:rPr>
                <w:rFonts w:ascii="宋体" w:hAnsi="宋体" w:cs="宋体"/>
                <w:color w:val="auto"/>
                <w:sz w:val="24"/>
                <w:szCs w:val="24"/>
              </w:rPr>
            </w:pPr>
            <w:r>
              <w:rPr>
                <w:rFonts w:hint="eastAsia" w:ascii="宋体" w:hAnsi="宋体" w:cs="宋体"/>
                <w:color w:val="auto"/>
                <w:sz w:val="24"/>
                <w:szCs w:val="24"/>
              </w:rPr>
              <w:t>分值构成</w:t>
            </w:r>
          </w:p>
          <w:p w14:paraId="36E2E38F">
            <w:pPr>
              <w:spacing w:line="360" w:lineRule="auto"/>
              <w:jc w:val="center"/>
              <w:rPr>
                <w:rFonts w:ascii="宋体" w:hAnsi="宋体" w:cs="宋体"/>
                <w:color w:val="auto"/>
                <w:sz w:val="24"/>
                <w:szCs w:val="24"/>
              </w:rPr>
            </w:pPr>
            <w:r>
              <w:rPr>
                <w:rFonts w:hint="eastAsia" w:ascii="宋体" w:hAnsi="宋体" w:cs="宋体"/>
                <w:color w:val="auto"/>
                <w:sz w:val="24"/>
                <w:szCs w:val="24"/>
              </w:rPr>
              <w:t>(总分100分)</w:t>
            </w:r>
          </w:p>
        </w:tc>
        <w:tc>
          <w:tcPr>
            <w:tcW w:w="7359" w:type="dxa"/>
            <w:gridSpan w:val="2"/>
            <w:tcBorders>
              <w:top w:val="single" w:color="auto" w:sz="4" w:space="0"/>
              <w:left w:val="single" w:color="auto" w:sz="4" w:space="0"/>
              <w:bottom w:val="single" w:color="auto" w:sz="4" w:space="0"/>
              <w:right w:val="single" w:color="auto" w:sz="4" w:space="0"/>
            </w:tcBorders>
            <w:vAlign w:val="center"/>
          </w:tcPr>
          <w:p w14:paraId="47AE8BDB">
            <w:pPr>
              <w:widowControl/>
              <w:spacing w:line="360" w:lineRule="atLeast"/>
              <w:ind w:firstLine="480"/>
              <w:jc w:val="center"/>
              <w:rPr>
                <w:rFonts w:ascii="宋体" w:hAnsi="宋体" w:cs="宋体"/>
                <w:color w:val="auto"/>
                <w:kern w:val="0"/>
                <w:sz w:val="24"/>
                <w:szCs w:val="24"/>
              </w:rPr>
            </w:pPr>
            <w:r>
              <w:rPr>
                <w:rFonts w:hint="eastAsia" w:ascii="宋体" w:hAnsi="宋体" w:cs="宋体"/>
                <w:color w:val="auto"/>
                <w:kern w:val="0"/>
                <w:sz w:val="24"/>
                <w:szCs w:val="24"/>
              </w:rPr>
              <w:t>价格部分：40分</w:t>
            </w:r>
          </w:p>
          <w:p w14:paraId="74FA1796">
            <w:pPr>
              <w:widowControl/>
              <w:spacing w:line="360" w:lineRule="atLeast"/>
              <w:ind w:firstLine="480"/>
              <w:jc w:val="center"/>
              <w:rPr>
                <w:rFonts w:ascii="宋体" w:hAnsi="宋体" w:cs="宋体"/>
                <w:color w:val="auto"/>
                <w:kern w:val="0"/>
                <w:sz w:val="24"/>
                <w:szCs w:val="24"/>
              </w:rPr>
            </w:pPr>
            <w:r>
              <w:rPr>
                <w:rFonts w:hint="eastAsia" w:ascii="宋体" w:hAnsi="宋体" w:cs="宋体"/>
                <w:color w:val="auto"/>
                <w:kern w:val="0"/>
                <w:sz w:val="24"/>
                <w:szCs w:val="24"/>
              </w:rPr>
              <w:t>商务部分：</w:t>
            </w:r>
            <w:r>
              <w:rPr>
                <w:rFonts w:ascii="宋体" w:hAnsi="宋体" w:cs="宋体"/>
                <w:color w:val="auto"/>
                <w:kern w:val="0"/>
                <w:sz w:val="24"/>
                <w:szCs w:val="24"/>
              </w:rPr>
              <w:t>10</w:t>
            </w:r>
            <w:r>
              <w:rPr>
                <w:rFonts w:hint="eastAsia" w:ascii="宋体" w:hAnsi="宋体" w:cs="宋体"/>
                <w:color w:val="auto"/>
                <w:kern w:val="0"/>
                <w:sz w:val="24"/>
                <w:szCs w:val="24"/>
              </w:rPr>
              <w:t>分</w:t>
            </w:r>
          </w:p>
          <w:p w14:paraId="1D6B6504">
            <w:pPr>
              <w:widowControl/>
              <w:spacing w:line="360" w:lineRule="atLeast"/>
              <w:ind w:firstLine="480"/>
              <w:jc w:val="center"/>
              <w:rPr>
                <w:rFonts w:ascii="宋体" w:hAnsi="宋体" w:cs="宋体"/>
                <w:color w:val="auto"/>
                <w:kern w:val="0"/>
                <w:sz w:val="24"/>
                <w:szCs w:val="24"/>
              </w:rPr>
            </w:pPr>
            <w:r>
              <w:rPr>
                <w:rFonts w:hint="eastAsia" w:ascii="宋体" w:hAnsi="宋体" w:cs="宋体"/>
                <w:color w:val="auto"/>
                <w:kern w:val="0"/>
                <w:sz w:val="24"/>
                <w:szCs w:val="24"/>
              </w:rPr>
              <w:t>技术部分：</w:t>
            </w:r>
            <w:r>
              <w:rPr>
                <w:rFonts w:ascii="宋体" w:hAnsi="宋体" w:cs="宋体"/>
                <w:color w:val="auto"/>
                <w:kern w:val="0"/>
                <w:sz w:val="24"/>
                <w:szCs w:val="24"/>
              </w:rPr>
              <w:t>50</w:t>
            </w:r>
            <w:r>
              <w:rPr>
                <w:rFonts w:hint="eastAsia" w:ascii="宋体" w:hAnsi="宋体" w:cs="宋体"/>
                <w:color w:val="auto"/>
                <w:kern w:val="0"/>
                <w:sz w:val="24"/>
                <w:szCs w:val="24"/>
              </w:rPr>
              <w:t>分</w:t>
            </w:r>
          </w:p>
        </w:tc>
      </w:tr>
      <w:tr w14:paraId="0A11297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0"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73A231B5">
            <w:pPr>
              <w:widowControl/>
              <w:numPr>
                <w:ilvl w:val="0"/>
                <w:numId w:val="14"/>
              </w:numPr>
              <w:spacing w:line="360" w:lineRule="atLeast"/>
              <w:ind w:firstLine="480"/>
              <w:jc w:val="center"/>
              <w:rPr>
                <w:rFonts w:ascii="宋体" w:hAnsi="宋体" w:cs="宋体"/>
                <w:b/>
                <w:bCs/>
                <w:color w:val="auto"/>
                <w:kern w:val="0"/>
                <w:sz w:val="24"/>
                <w:szCs w:val="24"/>
              </w:rPr>
            </w:pPr>
            <w:r>
              <w:rPr>
                <w:rFonts w:hint="eastAsia" w:ascii="宋体" w:hAnsi="宋体" w:cs="宋体"/>
                <w:b/>
                <w:bCs/>
                <w:color w:val="auto"/>
                <w:kern w:val="0"/>
                <w:sz w:val="24"/>
                <w:szCs w:val="24"/>
              </w:rPr>
              <w:t>价格部分（满分40分）</w:t>
            </w:r>
          </w:p>
          <w:p w14:paraId="495CDACF">
            <w:pPr>
              <w:pStyle w:val="12"/>
              <w:ind w:left="-300"/>
              <w:rPr>
                <w:color w:val="auto"/>
              </w:rPr>
            </w:pPr>
          </w:p>
        </w:tc>
      </w:tr>
      <w:tr w14:paraId="1B968F4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7"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42AD4100">
            <w:pPr>
              <w:jc w:val="center"/>
              <w:rPr>
                <w:rFonts w:ascii="宋体" w:hAnsi="宋体" w:cs="宋体"/>
                <w:b/>
                <w:bCs/>
                <w:color w:val="auto"/>
                <w:sz w:val="24"/>
                <w:szCs w:val="24"/>
              </w:rPr>
            </w:pPr>
            <w:r>
              <w:rPr>
                <w:rFonts w:hint="eastAsia" w:ascii="宋体" w:hAnsi="宋体" w:cs="宋体"/>
                <w:b/>
                <w:bCs/>
                <w:color w:val="auto"/>
                <w:sz w:val="24"/>
                <w:szCs w:val="24"/>
              </w:rPr>
              <w:t>评分因素</w:t>
            </w:r>
          </w:p>
        </w:tc>
        <w:tc>
          <w:tcPr>
            <w:tcW w:w="6509" w:type="dxa"/>
            <w:tcBorders>
              <w:top w:val="single" w:color="auto" w:sz="4" w:space="0"/>
              <w:left w:val="single" w:color="auto" w:sz="4" w:space="0"/>
              <w:bottom w:val="single" w:color="auto" w:sz="4" w:space="0"/>
              <w:right w:val="single" w:color="auto" w:sz="4" w:space="0"/>
            </w:tcBorders>
            <w:vAlign w:val="center"/>
          </w:tcPr>
          <w:p w14:paraId="0332DF54">
            <w:pPr>
              <w:jc w:val="center"/>
              <w:rPr>
                <w:rFonts w:ascii="宋体" w:hAnsi="宋体" w:cs="宋体"/>
                <w:b/>
                <w:bCs/>
                <w:color w:val="auto"/>
                <w:sz w:val="24"/>
                <w:szCs w:val="24"/>
              </w:rPr>
            </w:pPr>
            <w:r>
              <w:rPr>
                <w:rFonts w:hint="eastAsia" w:ascii="宋体" w:hAnsi="宋体" w:cs="宋体"/>
                <w:b/>
                <w:bCs/>
                <w:color w:val="auto"/>
                <w:sz w:val="24"/>
                <w:szCs w:val="24"/>
              </w:rPr>
              <w:t>评标标准</w:t>
            </w:r>
          </w:p>
        </w:tc>
        <w:tc>
          <w:tcPr>
            <w:tcW w:w="850" w:type="dxa"/>
            <w:tcBorders>
              <w:top w:val="single" w:color="auto" w:sz="4" w:space="0"/>
              <w:left w:val="single" w:color="auto" w:sz="4" w:space="0"/>
              <w:bottom w:val="single" w:color="auto" w:sz="4" w:space="0"/>
              <w:right w:val="single" w:color="auto" w:sz="4" w:space="0"/>
            </w:tcBorders>
            <w:vAlign w:val="center"/>
          </w:tcPr>
          <w:p w14:paraId="5B3A3168">
            <w:pPr>
              <w:jc w:val="center"/>
              <w:rPr>
                <w:rFonts w:ascii="宋体" w:hAnsi="宋体" w:cs="宋体"/>
                <w:b/>
                <w:bCs/>
                <w:color w:val="auto"/>
                <w:sz w:val="24"/>
                <w:szCs w:val="24"/>
              </w:rPr>
            </w:pPr>
            <w:r>
              <w:rPr>
                <w:rFonts w:hint="eastAsia" w:ascii="宋体" w:hAnsi="宋体" w:cs="宋体"/>
                <w:b/>
                <w:bCs/>
                <w:color w:val="auto"/>
                <w:sz w:val="24"/>
                <w:szCs w:val="24"/>
              </w:rPr>
              <w:t>分值</w:t>
            </w:r>
          </w:p>
        </w:tc>
      </w:tr>
      <w:tr w14:paraId="0375256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6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36585588">
            <w:pPr>
              <w:widowControl/>
              <w:spacing w:line="330" w:lineRule="atLeast"/>
              <w:jc w:val="center"/>
              <w:rPr>
                <w:rFonts w:ascii="宋体" w:hAnsi="宋体" w:cs="宋体"/>
                <w:color w:val="auto"/>
                <w:kern w:val="0"/>
                <w:sz w:val="24"/>
                <w:szCs w:val="24"/>
              </w:rPr>
            </w:pPr>
            <w:r>
              <w:rPr>
                <w:rFonts w:hint="eastAsia" w:ascii="宋体" w:hAnsi="宋体" w:cs="宋体"/>
                <w:color w:val="auto"/>
                <w:kern w:val="0"/>
                <w:sz w:val="24"/>
                <w:szCs w:val="24"/>
              </w:rPr>
              <w:t>投标报价</w:t>
            </w:r>
          </w:p>
          <w:p w14:paraId="477CBCD7">
            <w:pPr>
              <w:widowControl/>
              <w:spacing w:line="240" w:lineRule="atLeast"/>
              <w:jc w:val="center"/>
              <w:rPr>
                <w:rFonts w:ascii="宋体" w:hAnsi="宋体" w:cs="宋体"/>
                <w:color w:val="auto"/>
                <w:kern w:val="0"/>
                <w:sz w:val="24"/>
                <w:szCs w:val="24"/>
              </w:rPr>
            </w:pPr>
            <w:r>
              <w:rPr>
                <w:rFonts w:hint="eastAsia" w:ascii="宋体" w:hAnsi="宋体" w:cs="宋体"/>
                <w:color w:val="auto"/>
                <w:kern w:val="0"/>
                <w:sz w:val="24"/>
                <w:szCs w:val="24"/>
              </w:rPr>
              <w:t>评分标准</w:t>
            </w:r>
          </w:p>
        </w:tc>
        <w:tc>
          <w:tcPr>
            <w:tcW w:w="6509" w:type="dxa"/>
            <w:tcBorders>
              <w:top w:val="single" w:color="auto" w:sz="4" w:space="0"/>
              <w:left w:val="single" w:color="auto" w:sz="4" w:space="0"/>
              <w:bottom w:val="single" w:color="auto" w:sz="4" w:space="0"/>
              <w:right w:val="single" w:color="auto" w:sz="4" w:space="0"/>
            </w:tcBorders>
            <w:vAlign w:val="center"/>
          </w:tcPr>
          <w:p w14:paraId="19787E4B">
            <w:pPr>
              <w:pStyle w:val="27"/>
              <w:spacing w:before="0" w:beforeAutospacing="0" w:after="0" w:afterAutospacing="0"/>
              <w:jc w:val="both"/>
              <w:rPr>
                <w:color w:val="auto"/>
                <w:kern w:val="2"/>
              </w:rPr>
            </w:pPr>
            <w:r>
              <w:rPr>
                <w:rFonts w:hint="eastAsia"/>
                <w:color w:val="auto"/>
                <w:kern w:val="2"/>
              </w:rPr>
              <w:t>满足招标文件要求且价格最低的报价（含小型和微型企业、监狱企业和残疾人福利性单位评标价）为评标基准价，其价格分为满分（即40分）。其他投标人的价格分统一按照下列公式计算：</w:t>
            </w:r>
          </w:p>
          <w:p w14:paraId="5FD96B66">
            <w:pPr>
              <w:widowControl/>
              <w:rPr>
                <w:rFonts w:ascii="宋体" w:hAnsi="宋体" w:cs="宋体"/>
                <w:color w:val="auto"/>
                <w:kern w:val="0"/>
                <w:sz w:val="24"/>
                <w:szCs w:val="24"/>
                <w:u w:val="single"/>
              </w:rPr>
            </w:pPr>
            <w:r>
              <w:rPr>
                <w:rFonts w:hint="eastAsia" w:ascii="宋体" w:hAnsi="宋体" w:cs="仿宋_GB2312"/>
                <w:color w:val="auto"/>
                <w:sz w:val="24"/>
                <w:lang w:val="zh-CN"/>
              </w:rPr>
              <w:t>投标报价得分=（评标基准价/投标报价）</w:t>
            </w:r>
            <w:r>
              <w:rPr>
                <w:rFonts w:hint="eastAsia" w:ascii="宋体" w:hAnsi="宋体" w:cs="宋体"/>
                <w:color w:val="auto"/>
                <w:sz w:val="24"/>
                <w:szCs w:val="24"/>
              </w:rPr>
              <w:t xml:space="preserve"> ×40%×100。</w:t>
            </w:r>
            <w:r>
              <w:rPr>
                <w:rFonts w:hint="eastAsia" w:ascii="宋体" w:hAnsi="宋体" w:cs="宋体"/>
                <w:color w:val="auto"/>
                <w:sz w:val="24"/>
                <w:szCs w:val="24"/>
                <w:lang w:val="zh-CN"/>
              </w:rPr>
              <w:t>注：分值计算保留小数点后两位，小数点后第三位“四舍五入”。</w:t>
            </w:r>
          </w:p>
        </w:tc>
        <w:tc>
          <w:tcPr>
            <w:tcW w:w="850" w:type="dxa"/>
            <w:tcBorders>
              <w:top w:val="single" w:color="auto" w:sz="4" w:space="0"/>
              <w:left w:val="single" w:color="auto" w:sz="4" w:space="0"/>
              <w:bottom w:val="single" w:color="auto" w:sz="4" w:space="0"/>
              <w:right w:val="single" w:color="auto" w:sz="4" w:space="0"/>
            </w:tcBorders>
            <w:vAlign w:val="center"/>
          </w:tcPr>
          <w:p w14:paraId="65E57BCE">
            <w:pPr>
              <w:spacing w:line="360" w:lineRule="auto"/>
              <w:jc w:val="center"/>
              <w:rPr>
                <w:rFonts w:ascii="宋体" w:hAnsi="宋体" w:cs="宋体"/>
                <w:color w:val="auto"/>
                <w:sz w:val="24"/>
                <w:szCs w:val="24"/>
                <w:highlight w:val="yellow"/>
              </w:rPr>
            </w:pPr>
            <w:r>
              <w:rPr>
                <w:rFonts w:hint="eastAsia" w:ascii="宋体" w:hAnsi="宋体" w:cs="宋体"/>
                <w:color w:val="auto"/>
                <w:sz w:val="24"/>
                <w:szCs w:val="24"/>
              </w:rPr>
              <w:t>40分</w:t>
            </w:r>
          </w:p>
        </w:tc>
      </w:tr>
      <w:tr w14:paraId="0DE68FE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8"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738EAFD7">
            <w:pPr>
              <w:spacing w:line="360" w:lineRule="auto"/>
              <w:jc w:val="center"/>
              <w:rPr>
                <w:rFonts w:ascii="宋体" w:hAnsi="宋体" w:cs="宋体"/>
                <w:color w:val="auto"/>
                <w:sz w:val="24"/>
                <w:szCs w:val="24"/>
              </w:rPr>
            </w:pPr>
            <w:r>
              <w:rPr>
                <w:rFonts w:hint="eastAsia" w:ascii="宋体" w:hAnsi="宋体" w:cs="宋体"/>
                <w:b/>
                <w:bCs/>
                <w:color w:val="auto"/>
                <w:sz w:val="24"/>
                <w:szCs w:val="24"/>
              </w:rPr>
              <w:t>二、商务部分</w:t>
            </w:r>
            <w:r>
              <w:rPr>
                <w:rFonts w:hint="eastAsia" w:ascii="宋体" w:hAnsi="宋体" w:cs="宋体"/>
                <w:b/>
                <w:bCs/>
                <w:color w:val="auto"/>
                <w:kern w:val="0"/>
                <w:sz w:val="24"/>
                <w:szCs w:val="24"/>
              </w:rPr>
              <w:t>（满分</w:t>
            </w:r>
            <w:r>
              <w:rPr>
                <w:rFonts w:ascii="宋体" w:hAnsi="宋体" w:cs="宋体"/>
                <w:b/>
                <w:bCs/>
                <w:color w:val="auto"/>
                <w:kern w:val="0"/>
                <w:sz w:val="24"/>
                <w:szCs w:val="24"/>
              </w:rPr>
              <w:t>1</w:t>
            </w:r>
            <w:r>
              <w:rPr>
                <w:rFonts w:hint="eastAsia" w:ascii="宋体" w:hAnsi="宋体" w:cs="宋体"/>
                <w:b/>
                <w:bCs/>
                <w:color w:val="auto"/>
                <w:kern w:val="0"/>
                <w:sz w:val="24"/>
                <w:szCs w:val="24"/>
              </w:rPr>
              <w:t>0分）</w:t>
            </w:r>
          </w:p>
        </w:tc>
      </w:tr>
      <w:tr w14:paraId="7843E3F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32"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27F2F3EA">
            <w:pPr>
              <w:jc w:val="center"/>
              <w:rPr>
                <w:rFonts w:ascii="宋体" w:hAnsi="宋体" w:cs="宋体"/>
                <w:b/>
                <w:bCs/>
                <w:color w:val="auto"/>
                <w:sz w:val="24"/>
                <w:szCs w:val="24"/>
              </w:rPr>
            </w:pPr>
            <w:r>
              <w:rPr>
                <w:rFonts w:hint="eastAsia" w:ascii="宋体" w:hAnsi="宋体" w:cs="宋体"/>
                <w:b/>
                <w:bCs/>
                <w:color w:val="auto"/>
                <w:sz w:val="24"/>
                <w:szCs w:val="24"/>
              </w:rPr>
              <w:t>评分因素</w:t>
            </w:r>
          </w:p>
        </w:tc>
        <w:tc>
          <w:tcPr>
            <w:tcW w:w="6509" w:type="dxa"/>
            <w:tcBorders>
              <w:top w:val="single" w:color="auto" w:sz="4" w:space="0"/>
              <w:left w:val="single" w:color="auto" w:sz="4" w:space="0"/>
              <w:bottom w:val="single" w:color="auto" w:sz="4" w:space="0"/>
              <w:right w:val="single" w:color="auto" w:sz="4" w:space="0"/>
            </w:tcBorders>
            <w:vAlign w:val="center"/>
          </w:tcPr>
          <w:p w14:paraId="7CFF8C07">
            <w:pPr>
              <w:jc w:val="center"/>
              <w:rPr>
                <w:rFonts w:ascii="宋体" w:hAnsi="宋体" w:cs="宋体"/>
                <w:b/>
                <w:bCs/>
                <w:color w:val="auto"/>
                <w:sz w:val="24"/>
                <w:szCs w:val="24"/>
              </w:rPr>
            </w:pPr>
            <w:r>
              <w:rPr>
                <w:rFonts w:hint="eastAsia" w:ascii="宋体" w:hAnsi="宋体" w:cs="宋体"/>
                <w:b/>
                <w:bCs/>
                <w:color w:val="auto"/>
                <w:sz w:val="24"/>
                <w:szCs w:val="24"/>
              </w:rPr>
              <w:t>评标标准</w:t>
            </w:r>
          </w:p>
        </w:tc>
        <w:tc>
          <w:tcPr>
            <w:tcW w:w="850" w:type="dxa"/>
            <w:tcBorders>
              <w:top w:val="single" w:color="auto" w:sz="4" w:space="0"/>
              <w:left w:val="single" w:color="auto" w:sz="4" w:space="0"/>
              <w:bottom w:val="single" w:color="auto" w:sz="4" w:space="0"/>
              <w:right w:val="single" w:color="auto" w:sz="4" w:space="0"/>
            </w:tcBorders>
            <w:vAlign w:val="center"/>
          </w:tcPr>
          <w:p w14:paraId="49048801">
            <w:pPr>
              <w:jc w:val="center"/>
              <w:rPr>
                <w:rFonts w:ascii="宋体" w:hAnsi="宋体" w:cs="宋体"/>
                <w:b/>
                <w:bCs/>
                <w:color w:val="auto"/>
                <w:sz w:val="24"/>
                <w:szCs w:val="24"/>
              </w:rPr>
            </w:pPr>
            <w:r>
              <w:rPr>
                <w:rFonts w:hint="eastAsia" w:ascii="宋体" w:hAnsi="宋体" w:cs="宋体"/>
                <w:b/>
                <w:bCs/>
                <w:color w:val="auto"/>
                <w:sz w:val="24"/>
                <w:szCs w:val="24"/>
              </w:rPr>
              <w:t>分值</w:t>
            </w:r>
          </w:p>
        </w:tc>
      </w:tr>
      <w:tr w14:paraId="0E3E8F5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7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740AE5EF">
            <w:pPr>
              <w:jc w:val="center"/>
              <w:rPr>
                <w:rFonts w:ascii="宋体" w:hAnsi="宋体" w:cs="宋体"/>
                <w:color w:val="auto"/>
                <w:sz w:val="24"/>
                <w:szCs w:val="24"/>
                <w:highlight w:val="none"/>
              </w:rPr>
            </w:pPr>
            <w:r>
              <w:rPr>
                <w:rFonts w:hint="eastAsia" w:ascii="宋体" w:hAnsi="宋体" w:cs="宋体"/>
                <w:color w:val="auto"/>
                <w:sz w:val="24"/>
                <w:szCs w:val="24"/>
                <w:highlight w:val="none"/>
              </w:rPr>
              <w:t>企业综合实力</w:t>
            </w:r>
          </w:p>
        </w:tc>
        <w:tc>
          <w:tcPr>
            <w:tcW w:w="6509" w:type="dxa"/>
            <w:tcBorders>
              <w:top w:val="single" w:color="auto" w:sz="4" w:space="0"/>
              <w:left w:val="single" w:color="auto" w:sz="4" w:space="0"/>
              <w:bottom w:val="single" w:color="auto" w:sz="4" w:space="0"/>
              <w:right w:val="single" w:color="auto" w:sz="4" w:space="0"/>
            </w:tcBorders>
            <w:vAlign w:val="center"/>
          </w:tcPr>
          <w:p w14:paraId="118250CA">
            <w:pPr>
              <w:widowControl/>
              <w:spacing w:line="276" w:lineRule="auto"/>
              <w:rPr>
                <w:rFonts w:ascii="宋体" w:hAnsi="宋体" w:cs="Times New Roman"/>
                <w:color w:val="auto"/>
                <w:kern w:val="0"/>
                <w:sz w:val="24"/>
                <w:szCs w:val="24"/>
                <w:highlight w:val="none"/>
              </w:rPr>
            </w:pPr>
            <w:r>
              <w:rPr>
                <w:rFonts w:hint="eastAsia" w:ascii="宋体" w:hAnsi="宋体" w:cs="宋体"/>
                <w:color w:val="auto"/>
                <w:sz w:val="24"/>
                <w:szCs w:val="24"/>
                <w:highlight w:val="none"/>
                <w:lang w:val="en-GB" w:bidi="zh-CN"/>
              </w:rPr>
              <w:t>所投</w:t>
            </w:r>
            <w:r>
              <w:rPr>
                <w:rFonts w:hint="eastAsia" w:ascii="宋体" w:hAnsi="宋体" w:cs="宋体"/>
                <w:color w:val="auto"/>
                <w:sz w:val="24"/>
                <w:szCs w:val="24"/>
                <w:highlight w:val="none"/>
                <w:lang w:bidi="zh-CN"/>
              </w:rPr>
              <w:t>品牌</w:t>
            </w:r>
            <w:r>
              <w:rPr>
                <w:rFonts w:hint="eastAsia" w:ascii="宋体" w:hAnsi="宋体" w:cs="宋体"/>
                <w:color w:val="auto"/>
                <w:sz w:val="24"/>
                <w:szCs w:val="24"/>
                <w:highlight w:val="none"/>
                <w:lang w:val="en-GB" w:bidi="zh-CN"/>
              </w:rPr>
              <w:t>制造商具有ISO9001质量管理体系、ISO14001环境管理体系、ISO45001职业健康安全管理体系</w:t>
            </w:r>
            <w:r>
              <w:rPr>
                <w:rFonts w:hint="eastAsia" w:ascii="宋体" w:hAnsi="宋体" w:cs="宋体"/>
                <w:color w:val="auto"/>
                <w:sz w:val="24"/>
                <w:szCs w:val="24"/>
                <w:highlight w:val="none"/>
                <w:lang w:bidi="zh-CN"/>
              </w:rPr>
              <w:t>，</w:t>
            </w:r>
            <w:r>
              <w:rPr>
                <w:rFonts w:hint="eastAsia" w:ascii="宋体" w:hAnsi="宋体" w:cs="宋体"/>
                <w:color w:val="auto"/>
                <w:sz w:val="24"/>
                <w:szCs w:val="24"/>
                <w:highlight w:val="none"/>
                <w:lang w:val="en-GB" w:bidi="zh-CN"/>
              </w:rPr>
              <w:t>提供一个证书得</w:t>
            </w:r>
            <w:r>
              <w:rPr>
                <w:rFonts w:ascii="宋体" w:hAnsi="宋体" w:cs="宋体"/>
                <w:color w:val="auto"/>
                <w:sz w:val="24"/>
                <w:szCs w:val="24"/>
                <w:highlight w:val="none"/>
                <w:lang w:bidi="zh-CN"/>
              </w:rPr>
              <w:t>1</w:t>
            </w:r>
            <w:r>
              <w:rPr>
                <w:rFonts w:hint="eastAsia" w:ascii="宋体" w:hAnsi="宋体" w:cs="宋体"/>
                <w:color w:val="auto"/>
                <w:sz w:val="24"/>
                <w:szCs w:val="24"/>
                <w:highlight w:val="none"/>
                <w:lang w:bidi="zh-CN"/>
              </w:rPr>
              <w:t>分，最多</w:t>
            </w:r>
            <w:r>
              <w:rPr>
                <w:rFonts w:hint="eastAsia" w:ascii="宋体" w:hAnsi="宋体" w:cs="宋体"/>
                <w:color w:val="auto"/>
                <w:sz w:val="24"/>
                <w:szCs w:val="24"/>
                <w:highlight w:val="none"/>
                <w:lang w:val="en-GB" w:bidi="zh-CN"/>
              </w:rPr>
              <w:t>得</w:t>
            </w:r>
            <w:r>
              <w:rPr>
                <w:rFonts w:ascii="宋体" w:hAnsi="宋体" w:cs="宋体"/>
                <w:color w:val="auto"/>
                <w:sz w:val="24"/>
                <w:szCs w:val="24"/>
                <w:highlight w:val="none"/>
                <w:lang w:bidi="zh-CN"/>
              </w:rPr>
              <w:t>3</w:t>
            </w:r>
            <w:r>
              <w:rPr>
                <w:rFonts w:hint="eastAsia" w:ascii="宋体" w:hAnsi="宋体" w:cs="宋体"/>
                <w:color w:val="auto"/>
                <w:sz w:val="24"/>
                <w:szCs w:val="24"/>
                <w:highlight w:val="none"/>
                <w:lang w:val="en-GB" w:bidi="zh-CN"/>
              </w:rPr>
              <w:t>分，不提供不得分。</w:t>
            </w:r>
            <w:r>
              <w:rPr>
                <w:rFonts w:hint="eastAsia" w:ascii="宋体" w:hAnsi="宋体" w:cs="宋体"/>
                <w:b/>
                <w:bCs/>
                <w:color w:val="auto"/>
                <w:sz w:val="24"/>
                <w:szCs w:val="24"/>
                <w:highlight w:val="none"/>
              </w:rPr>
              <w:t>以证书原件的扫描件为准 。</w:t>
            </w:r>
          </w:p>
        </w:tc>
        <w:tc>
          <w:tcPr>
            <w:tcW w:w="850" w:type="dxa"/>
            <w:tcBorders>
              <w:top w:val="single" w:color="auto" w:sz="4" w:space="0"/>
              <w:left w:val="single" w:color="auto" w:sz="4" w:space="0"/>
              <w:bottom w:val="single" w:color="auto" w:sz="4" w:space="0"/>
              <w:right w:val="single" w:color="auto" w:sz="4" w:space="0"/>
            </w:tcBorders>
            <w:vAlign w:val="center"/>
          </w:tcPr>
          <w:p w14:paraId="43CB2F40">
            <w:pPr>
              <w:jc w:val="center"/>
              <w:rPr>
                <w:rFonts w:ascii="宋体" w:hAnsi="宋体" w:cs="宋体"/>
                <w:color w:val="auto"/>
                <w:sz w:val="24"/>
                <w:szCs w:val="24"/>
              </w:rPr>
            </w:pPr>
            <w:r>
              <w:rPr>
                <w:rFonts w:hint="eastAsia" w:ascii="宋体" w:hAnsi="宋体" w:cs="宋体"/>
                <w:color w:val="auto"/>
                <w:sz w:val="24"/>
                <w:szCs w:val="24"/>
              </w:rPr>
              <w:t>3分</w:t>
            </w:r>
          </w:p>
          <w:p w14:paraId="4427DBE5">
            <w:pPr>
              <w:jc w:val="center"/>
              <w:rPr>
                <w:rFonts w:ascii="宋体" w:hAnsi="宋体" w:cs="宋体"/>
                <w:color w:val="auto"/>
                <w:sz w:val="24"/>
                <w:szCs w:val="24"/>
              </w:rPr>
            </w:pPr>
          </w:p>
        </w:tc>
      </w:tr>
      <w:tr w14:paraId="6F66784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70"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D6D7386">
            <w:pPr>
              <w:spacing w:line="276" w:lineRule="auto"/>
              <w:rPr>
                <w:rFonts w:ascii="宋体" w:hAnsi="宋体" w:cs="宋体"/>
                <w:color w:val="auto"/>
                <w:sz w:val="24"/>
                <w:szCs w:val="24"/>
              </w:rPr>
            </w:pPr>
            <w:r>
              <w:rPr>
                <w:rFonts w:hint="eastAsia" w:ascii="宋体" w:hAnsi="宋体" w:cs="宋体"/>
                <w:color w:val="auto"/>
                <w:sz w:val="24"/>
                <w:szCs w:val="24"/>
                <w:lang w:bidi="zh-CN"/>
              </w:rPr>
              <w:t>节约能源、保护环境政策加分</w:t>
            </w:r>
          </w:p>
        </w:tc>
        <w:tc>
          <w:tcPr>
            <w:tcW w:w="6509" w:type="dxa"/>
            <w:tcBorders>
              <w:top w:val="single" w:color="auto" w:sz="4" w:space="0"/>
              <w:left w:val="single" w:color="auto" w:sz="4" w:space="0"/>
              <w:bottom w:val="single" w:color="auto" w:sz="4" w:space="0"/>
              <w:right w:val="single" w:color="auto" w:sz="4" w:space="0"/>
            </w:tcBorders>
            <w:vAlign w:val="center"/>
          </w:tcPr>
          <w:p w14:paraId="39379D1B">
            <w:pPr>
              <w:spacing w:line="276" w:lineRule="auto"/>
              <w:rPr>
                <w:rFonts w:ascii="宋体" w:hAnsi="宋体" w:cs="Times New Roman"/>
                <w:color w:val="auto"/>
                <w:kern w:val="0"/>
                <w:sz w:val="24"/>
                <w:szCs w:val="24"/>
              </w:rPr>
            </w:pPr>
            <w:r>
              <w:rPr>
                <w:rFonts w:hint="eastAsia" w:ascii="宋体" w:hAnsi="宋体" w:cs="宋体"/>
                <w:color w:val="auto"/>
                <w:sz w:val="24"/>
                <w:szCs w:val="24"/>
                <w:lang w:val="en-GB" w:bidi="zh-CN"/>
              </w:rPr>
              <w:t>投标人所投产品属于“环境标志产品政府采购品目清单”内产品，投标文件中提供具有国家确定的认证机构出具的、处于有效期之内的环境标志产品认证证书。每个</w:t>
            </w:r>
            <w:r>
              <w:rPr>
                <w:rFonts w:hint="eastAsia" w:ascii="宋体" w:hAnsi="宋体" w:cs="宋体"/>
                <w:color w:val="auto"/>
                <w:sz w:val="24"/>
                <w:szCs w:val="24"/>
                <w:lang w:bidi="zh-CN"/>
              </w:rPr>
              <w:t>0.5</w:t>
            </w:r>
            <w:r>
              <w:rPr>
                <w:rFonts w:hint="eastAsia" w:ascii="宋体" w:hAnsi="宋体" w:cs="宋体"/>
                <w:color w:val="auto"/>
                <w:sz w:val="24"/>
                <w:szCs w:val="24"/>
                <w:lang w:val="en-GB" w:bidi="zh-CN"/>
              </w:rPr>
              <w:t>分，满分</w:t>
            </w:r>
            <w:r>
              <w:rPr>
                <w:rFonts w:hint="eastAsia" w:ascii="宋体" w:hAnsi="宋体" w:cs="宋体"/>
                <w:color w:val="auto"/>
                <w:sz w:val="24"/>
                <w:szCs w:val="24"/>
                <w:lang w:bidi="zh-CN"/>
              </w:rPr>
              <w:t>3</w:t>
            </w:r>
            <w:r>
              <w:rPr>
                <w:rFonts w:hint="eastAsia" w:ascii="宋体" w:hAnsi="宋体" w:cs="宋体"/>
                <w:color w:val="auto"/>
                <w:sz w:val="24"/>
                <w:szCs w:val="24"/>
                <w:lang w:val="en-GB" w:bidi="zh-CN"/>
              </w:rPr>
              <w:t>分，不提供不得分。</w:t>
            </w:r>
          </w:p>
        </w:tc>
        <w:tc>
          <w:tcPr>
            <w:tcW w:w="850" w:type="dxa"/>
            <w:tcBorders>
              <w:top w:val="single" w:color="auto" w:sz="4" w:space="0"/>
              <w:left w:val="single" w:color="auto" w:sz="4" w:space="0"/>
              <w:bottom w:val="single" w:color="auto" w:sz="4" w:space="0"/>
              <w:right w:val="single" w:color="auto" w:sz="4" w:space="0"/>
            </w:tcBorders>
            <w:vAlign w:val="center"/>
          </w:tcPr>
          <w:p w14:paraId="5D8C62C9">
            <w:pPr>
              <w:jc w:val="center"/>
              <w:rPr>
                <w:rFonts w:ascii="宋体" w:hAnsi="宋体" w:cs="宋体"/>
                <w:color w:val="auto"/>
                <w:sz w:val="24"/>
                <w:szCs w:val="24"/>
              </w:rPr>
            </w:pPr>
            <w:r>
              <w:rPr>
                <w:rFonts w:hint="eastAsia" w:ascii="宋体" w:hAnsi="宋体" w:cs="宋体"/>
                <w:color w:val="auto"/>
                <w:sz w:val="24"/>
                <w:szCs w:val="24"/>
                <w:lang w:bidi="zh-CN"/>
              </w:rPr>
              <w:t>3分</w:t>
            </w:r>
          </w:p>
        </w:tc>
      </w:tr>
      <w:tr w14:paraId="16EDC10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266"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783BCFCD">
            <w:pPr>
              <w:rPr>
                <w:rFonts w:ascii="宋体" w:hAnsi="宋体" w:cs="宋体"/>
                <w:color w:val="auto"/>
                <w:sz w:val="24"/>
                <w:szCs w:val="24"/>
              </w:rPr>
            </w:pPr>
            <w:r>
              <w:rPr>
                <w:rFonts w:hint="eastAsia" w:ascii="宋体" w:hAnsi="宋体" w:cs="宋体"/>
                <w:color w:val="auto"/>
                <w:sz w:val="24"/>
                <w:szCs w:val="24"/>
              </w:rPr>
              <w:t>企业业绩</w:t>
            </w:r>
          </w:p>
        </w:tc>
        <w:tc>
          <w:tcPr>
            <w:tcW w:w="6509" w:type="dxa"/>
            <w:tcBorders>
              <w:top w:val="single" w:color="auto" w:sz="4" w:space="0"/>
              <w:left w:val="single" w:color="auto" w:sz="4" w:space="0"/>
              <w:bottom w:val="single" w:color="auto" w:sz="4" w:space="0"/>
              <w:right w:val="single" w:color="auto" w:sz="4" w:space="0"/>
            </w:tcBorders>
            <w:vAlign w:val="center"/>
          </w:tcPr>
          <w:p w14:paraId="62F0E7CB">
            <w:pPr>
              <w:rPr>
                <w:rFonts w:ascii="宋体" w:hAnsi="宋体" w:cs="宋体"/>
                <w:color w:val="auto"/>
                <w:sz w:val="24"/>
                <w:szCs w:val="24"/>
              </w:rPr>
            </w:pPr>
            <w:r>
              <w:rPr>
                <w:rFonts w:hint="eastAsia" w:ascii="宋体" w:hAnsi="宋体" w:cs="宋体"/>
                <w:color w:val="auto"/>
                <w:sz w:val="24"/>
                <w:szCs w:val="24"/>
              </w:rPr>
              <w:t>供应商提供2022年以来类似产品业绩，每项业绩得</w:t>
            </w:r>
            <w:r>
              <w:rPr>
                <w:rFonts w:ascii="宋体" w:hAnsi="宋体" w:cs="宋体"/>
                <w:color w:val="auto"/>
                <w:sz w:val="24"/>
                <w:szCs w:val="24"/>
              </w:rPr>
              <w:t>2</w:t>
            </w:r>
            <w:r>
              <w:rPr>
                <w:rFonts w:hint="eastAsia" w:ascii="宋体" w:hAnsi="宋体" w:cs="宋体"/>
                <w:color w:val="auto"/>
                <w:sz w:val="24"/>
                <w:szCs w:val="24"/>
              </w:rPr>
              <w:t>分，本项最多得</w:t>
            </w:r>
            <w:r>
              <w:rPr>
                <w:rFonts w:ascii="宋体" w:hAnsi="宋体" w:cs="宋体"/>
                <w:color w:val="auto"/>
                <w:sz w:val="24"/>
                <w:szCs w:val="24"/>
              </w:rPr>
              <w:t>4</w:t>
            </w:r>
            <w:r>
              <w:rPr>
                <w:rFonts w:hint="eastAsia" w:ascii="宋体" w:hAnsi="宋体" w:cs="宋体"/>
                <w:color w:val="auto"/>
                <w:sz w:val="24"/>
                <w:szCs w:val="24"/>
              </w:rPr>
              <w:t>分。（以合同签订时间为准）</w:t>
            </w:r>
            <w:r>
              <w:rPr>
                <w:rFonts w:hint="eastAsia" w:ascii="宋体" w:hAnsi="宋体" w:cs="宋体"/>
                <w:b/>
                <w:bCs/>
                <w:color w:val="auto"/>
                <w:sz w:val="24"/>
                <w:szCs w:val="24"/>
                <w:lang w:bidi="zh-CN"/>
              </w:rPr>
              <w:t>（</w:t>
            </w:r>
            <w:r>
              <w:rPr>
                <w:rFonts w:hint="eastAsia" w:ascii="宋体" w:hAnsi="宋体"/>
                <w:b/>
                <w:bCs/>
                <w:color w:val="auto"/>
                <w:sz w:val="24"/>
                <w:szCs w:val="24"/>
              </w:rPr>
              <w:t>须</w:t>
            </w:r>
            <w:r>
              <w:rPr>
                <w:rFonts w:hint="eastAsia" w:ascii="宋体" w:hAnsi="宋体" w:cs="宋体"/>
                <w:b/>
                <w:bCs/>
                <w:color w:val="auto"/>
                <w:sz w:val="24"/>
                <w:szCs w:val="24"/>
                <w:lang w:bidi="zh-CN"/>
              </w:rPr>
              <w:t>提供法定媒介中标(成交)公示网页截图、合同、中标通知书电子扫描件，三者缺一不计分。</w:t>
            </w:r>
          </w:p>
        </w:tc>
        <w:tc>
          <w:tcPr>
            <w:tcW w:w="850" w:type="dxa"/>
            <w:tcBorders>
              <w:top w:val="single" w:color="auto" w:sz="4" w:space="0"/>
              <w:left w:val="single" w:color="auto" w:sz="4" w:space="0"/>
              <w:bottom w:val="single" w:color="auto" w:sz="4" w:space="0"/>
              <w:right w:val="single" w:color="auto" w:sz="4" w:space="0"/>
            </w:tcBorders>
            <w:vAlign w:val="center"/>
          </w:tcPr>
          <w:p w14:paraId="36201AF5">
            <w:pPr>
              <w:jc w:val="center"/>
              <w:rPr>
                <w:rFonts w:ascii="宋体" w:hAnsi="宋体" w:cs="宋体"/>
                <w:color w:val="auto"/>
                <w:sz w:val="24"/>
                <w:szCs w:val="24"/>
              </w:rPr>
            </w:pPr>
            <w:r>
              <w:rPr>
                <w:rFonts w:hint="eastAsia" w:ascii="宋体" w:hAnsi="宋体" w:cs="宋体"/>
                <w:color w:val="auto"/>
                <w:sz w:val="24"/>
                <w:szCs w:val="24"/>
              </w:rPr>
              <w:t>4分</w:t>
            </w:r>
          </w:p>
        </w:tc>
      </w:tr>
      <w:tr w14:paraId="6B60CA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61" w:hRule="atLeast"/>
          <w:jc w:val="center"/>
        </w:trPr>
        <w:tc>
          <w:tcPr>
            <w:tcW w:w="8988" w:type="dxa"/>
            <w:gridSpan w:val="3"/>
            <w:tcBorders>
              <w:top w:val="single" w:color="auto" w:sz="4" w:space="0"/>
              <w:left w:val="single" w:color="auto" w:sz="4" w:space="0"/>
              <w:bottom w:val="single" w:color="auto" w:sz="4" w:space="0"/>
              <w:right w:val="single" w:color="auto" w:sz="4" w:space="0"/>
            </w:tcBorders>
            <w:vAlign w:val="center"/>
          </w:tcPr>
          <w:p w14:paraId="165219A1">
            <w:pPr>
              <w:jc w:val="center"/>
              <w:rPr>
                <w:rFonts w:ascii="宋体" w:hAnsi="宋体" w:cs="宋体"/>
                <w:b/>
                <w:bCs/>
                <w:color w:val="auto"/>
                <w:sz w:val="24"/>
                <w:szCs w:val="24"/>
              </w:rPr>
            </w:pPr>
            <w:r>
              <w:rPr>
                <w:rFonts w:hint="eastAsia" w:ascii="宋体" w:hAnsi="宋体" w:cs="宋体"/>
                <w:b/>
                <w:bCs/>
                <w:color w:val="auto"/>
                <w:sz w:val="24"/>
                <w:szCs w:val="24"/>
              </w:rPr>
              <w:t>三、技术部分</w:t>
            </w:r>
            <w:r>
              <w:rPr>
                <w:rFonts w:hint="eastAsia" w:ascii="宋体" w:hAnsi="宋体" w:cs="宋体"/>
                <w:b/>
                <w:bCs/>
                <w:color w:val="auto"/>
                <w:kern w:val="0"/>
                <w:sz w:val="24"/>
                <w:szCs w:val="24"/>
              </w:rPr>
              <w:t>（满分50分）</w:t>
            </w:r>
          </w:p>
        </w:tc>
      </w:tr>
      <w:tr w14:paraId="6642980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9"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112DC6ED">
            <w:pPr>
              <w:jc w:val="center"/>
              <w:rPr>
                <w:rFonts w:ascii="宋体" w:hAnsi="宋体" w:cs="宋体"/>
                <w:b/>
                <w:bCs/>
                <w:color w:val="auto"/>
                <w:sz w:val="24"/>
                <w:szCs w:val="24"/>
              </w:rPr>
            </w:pPr>
            <w:r>
              <w:rPr>
                <w:rFonts w:hint="eastAsia" w:ascii="宋体" w:hAnsi="宋体" w:cs="宋体"/>
                <w:b/>
                <w:bCs/>
                <w:color w:val="auto"/>
                <w:sz w:val="24"/>
                <w:szCs w:val="24"/>
              </w:rPr>
              <w:t>评分因素</w:t>
            </w:r>
          </w:p>
        </w:tc>
        <w:tc>
          <w:tcPr>
            <w:tcW w:w="6509" w:type="dxa"/>
            <w:tcBorders>
              <w:top w:val="single" w:color="auto" w:sz="4" w:space="0"/>
              <w:left w:val="single" w:color="auto" w:sz="4" w:space="0"/>
              <w:bottom w:val="single" w:color="auto" w:sz="4" w:space="0"/>
              <w:right w:val="single" w:color="auto" w:sz="4" w:space="0"/>
            </w:tcBorders>
            <w:vAlign w:val="center"/>
          </w:tcPr>
          <w:p w14:paraId="447D3464">
            <w:pPr>
              <w:jc w:val="center"/>
              <w:rPr>
                <w:rFonts w:ascii="宋体" w:hAnsi="宋体" w:cs="宋体"/>
                <w:b/>
                <w:bCs/>
                <w:color w:val="auto"/>
                <w:sz w:val="24"/>
                <w:szCs w:val="24"/>
              </w:rPr>
            </w:pPr>
            <w:r>
              <w:rPr>
                <w:rFonts w:hint="eastAsia" w:ascii="宋体" w:hAnsi="宋体" w:cs="宋体"/>
                <w:b/>
                <w:bCs/>
                <w:color w:val="auto"/>
                <w:sz w:val="24"/>
                <w:szCs w:val="24"/>
              </w:rPr>
              <w:t>评标标准</w:t>
            </w:r>
          </w:p>
        </w:tc>
        <w:tc>
          <w:tcPr>
            <w:tcW w:w="850" w:type="dxa"/>
            <w:tcBorders>
              <w:top w:val="single" w:color="auto" w:sz="4" w:space="0"/>
              <w:left w:val="single" w:color="auto" w:sz="4" w:space="0"/>
              <w:bottom w:val="single" w:color="auto" w:sz="4" w:space="0"/>
              <w:right w:val="single" w:color="auto" w:sz="4" w:space="0"/>
            </w:tcBorders>
            <w:vAlign w:val="center"/>
          </w:tcPr>
          <w:p w14:paraId="5F38C175">
            <w:pPr>
              <w:jc w:val="center"/>
              <w:rPr>
                <w:rFonts w:ascii="宋体" w:hAnsi="宋体" w:cs="宋体"/>
                <w:b/>
                <w:bCs/>
                <w:color w:val="auto"/>
                <w:sz w:val="24"/>
                <w:szCs w:val="24"/>
              </w:rPr>
            </w:pPr>
            <w:r>
              <w:rPr>
                <w:rFonts w:hint="eastAsia" w:ascii="宋体" w:hAnsi="宋体" w:cs="宋体"/>
                <w:b/>
                <w:bCs/>
                <w:color w:val="auto"/>
                <w:sz w:val="24"/>
                <w:szCs w:val="24"/>
              </w:rPr>
              <w:t>分值</w:t>
            </w:r>
          </w:p>
        </w:tc>
      </w:tr>
      <w:tr w14:paraId="0ACA52E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321"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13612A0">
            <w:pPr>
              <w:spacing w:after="120"/>
              <w:ind w:left="450" w:leftChars="100" w:hanging="240" w:hangingChars="100"/>
              <w:rPr>
                <w:rFonts w:ascii="宋体" w:hAnsi="宋体" w:cs="Times New Roman"/>
                <w:color w:val="auto"/>
                <w:kern w:val="0"/>
                <w:sz w:val="24"/>
                <w:szCs w:val="24"/>
              </w:rPr>
            </w:pPr>
            <w:r>
              <w:rPr>
                <w:rFonts w:hint="eastAsia" w:ascii="宋体" w:hAnsi="宋体" w:cs="Times New Roman"/>
                <w:color w:val="auto"/>
                <w:kern w:val="0"/>
                <w:sz w:val="24"/>
                <w:szCs w:val="24"/>
              </w:rPr>
              <w:t>供货方案</w:t>
            </w:r>
          </w:p>
          <w:p w14:paraId="40C23C0E">
            <w:pPr>
              <w:spacing w:after="120"/>
              <w:ind w:left="450" w:leftChars="100" w:hanging="240" w:hangingChars="100"/>
              <w:rPr>
                <w:color w:val="auto"/>
              </w:rPr>
            </w:pPr>
            <w:r>
              <w:rPr>
                <w:rFonts w:hint="eastAsia" w:ascii="宋体" w:hAnsi="宋体" w:cs="Times New Roman"/>
                <w:color w:val="auto"/>
                <w:kern w:val="0"/>
                <w:sz w:val="24"/>
                <w:szCs w:val="24"/>
              </w:rPr>
              <w:t>（1</w:t>
            </w:r>
            <w:r>
              <w:rPr>
                <w:rFonts w:ascii="宋体" w:hAnsi="宋体" w:cs="Times New Roman"/>
                <w:color w:val="auto"/>
                <w:kern w:val="0"/>
                <w:sz w:val="24"/>
                <w:szCs w:val="24"/>
              </w:rPr>
              <w:t>2</w:t>
            </w:r>
            <w:r>
              <w:rPr>
                <w:rFonts w:hint="eastAsia" w:ascii="宋体" w:hAnsi="宋体" w:cs="Times New Roman"/>
                <w:color w:val="auto"/>
                <w:kern w:val="0"/>
                <w:sz w:val="24"/>
                <w:szCs w:val="24"/>
              </w:rPr>
              <w:t>分）</w:t>
            </w:r>
          </w:p>
        </w:tc>
        <w:tc>
          <w:tcPr>
            <w:tcW w:w="6509" w:type="dxa"/>
            <w:tcBorders>
              <w:top w:val="single" w:color="auto" w:sz="4" w:space="0"/>
              <w:left w:val="single" w:color="auto" w:sz="4" w:space="0"/>
              <w:bottom w:val="single" w:color="auto" w:sz="4" w:space="0"/>
              <w:right w:val="single" w:color="auto" w:sz="4" w:space="0"/>
            </w:tcBorders>
            <w:vAlign w:val="center"/>
          </w:tcPr>
          <w:p w14:paraId="0E5C78CD">
            <w:pPr>
              <w:widowControl/>
              <w:jc w:val="left"/>
              <w:rPr>
                <w:color w:val="auto"/>
              </w:rPr>
            </w:pPr>
            <w:r>
              <w:rPr>
                <w:rFonts w:hint="eastAsia" w:ascii="宋体" w:hAnsi="宋体"/>
                <w:color w:val="auto"/>
                <w:sz w:val="24"/>
                <w:szCs w:val="24"/>
              </w:rPr>
              <w:t>包括：（1）供货进度安排；（2）供货安全措施。投标人</w:t>
            </w:r>
            <w:r>
              <w:rPr>
                <w:rFonts w:hint="eastAsia" w:ascii="宋体" w:hAnsi="宋体" w:cs="Times New Roman"/>
                <w:color w:val="auto"/>
                <w:kern w:val="0"/>
                <w:sz w:val="24"/>
                <w:szCs w:val="24"/>
              </w:rPr>
              <w:t>供货方案</w:t>
            </w:r>
            <w:r>
              <w:rPr>
                <w:rFonts w:hint="eastAsia" w:ascii="宋体" w:hAnsi="宋体"/>
                <w:color w:val="auto"/>
                <w:sz w:val="24"/>
                <w:szCs w:val="24"/>
              </w:rPr>
              <w:t>内容完整、详细、有针对性的得 12 分；内容描述一般得6分；内容仅有简单描述且不缺项的得 2 分；未提供对应项内容或内容不符合该项要求的不得分。</w:t>
            </w:r>
          </w:p>
        </w:tc>
        <w:tc>
          <w:tcPr>
            <w:tcW w:w="850" w:type="dxa"/>
            <w:tcBorders>
              <w:top w:val="single" w:color="auto" w:sz="4" w:space="0"/>
              <w:left w:val="single" w:color="auto" w:sz="4" w:space="0"/>
              <w:bottom w:val="single" w:color="auto" w:sz="4" w:space="0"/>
              <w:right w:val="single" w:color="auto" w:sz="4" w:space="0"/>
            </w:tcBorders>
            <w:vAlign w:val="center"/>
          </w:tcPr>
          <w:p w14:paraId="7A4B182C">
            <w:pPr>
              <w:pStyle w:val="27"/>
              <w:spacing w:after="120" w:afterAutospacing="0"/>
              <w:jc w:val="center"/>
              <w:rPr>
                <w:color w:val="auto"/>
                <w:kern w:val="2"/>
              </w:rPr>
            </w:pPr>
            <w:r>
              <w:rPr>
                <w:rFonts w:hint="eastAsia"/>
                <w:color w:val="auto"/>
                <w:kern w:val="2"/>
              </w:rPr>
              <w:t>12</w:t>
            </w:r>
            <w:r>
              <w:rPr>
                <w:rFonts w:hint="eastAsia"/>
                <w:color w:val="auto"/>
                <w:kern w:val="2"/>
                <w:lang w:val="zh-CN"/>
              </w:rPr>
              <w:t>分</w:t>
            </w:r>
          </w:p>
        </w:tc>
      </w:tr>
      <w:tr w14:paraId="70B93F2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655"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1C09DE74">
            <w:pPr>
              <w:widowControl/>
              <w:snapToGrid w:val="0"/>
              <w:spacing w:before="162" w:beforeLines="50"/>
              <w:jc w:val="center"/>
              <w:rPr>
                <w:rFonts w:ascii="宋体" w:hAnsi="宋体"/>
                <w:color w:val="auto"/>
                <w:sz w:val="24"/>
                <w:szCs w:val="24"/>
              </w:rPr>
            </w:pPr>
            <w:r>
              <w:rPr>
                <w:rFonts w:hint="eastAsia" w:ascii="宋体" w:hAnsi="宋体"/>
                <w:color w:val="auto"/>
                <w:sz w:val="24"/>
                <w:szCs w:val="24"/>
              </w:rPr>
              <w:t>质量保障措施</w:t>
            </w:r>
          </w:p>
          <w:p w14:paraId="209AF234">
            <w:pPr>
              <w:widowControl/>
              <w:snapToGrid w:val="0"/>
              <w:spacing w:before="162" w:beforeLines="50"/>
              <w:jc w:val="center"/>
              <w:rPr>
                <w:color w:val="auto"/>
                <w:lang w:val="zh-CN"/>
              </w:rPr>
            </w:pPr>
            <w:r>
              <w:rPr>
                <w:rFonts w:hint="eastAsia" w:ascii="宋体" w:hAnsi="宋体"/>
                <w:color w:val="auto"/>
                <w:sz w:val="24"/>
                <w:szCs w:val="24"/>
              </w:rPr>
              <w:t>(1</w:t>
            </w:r>
            <w:r>
              <w:rPr>
                <w:rFonts w:ascii="宋体" w:hAnsi="宋体"/>
                <w:color w:val="auto"/>
                <w:sz w:val="24"/>
                <w:szCs w:val="24"/>
              </w:rPr>
              <w:t>2</w:t>
            </w:r>
            <w:r>
              <w:rPr>
                <w:rFonts w:hint="eastAsia" w:ascii="宋体" w:hAnsi="宋体"/>
                <w:color w:val="auto"/>
                <w:sz w:val="24"/>
                <w:szCs w:val="24"/>
              </w:rPr>
              <w:t>分）</w:t>
            </w:r>
          </w:p>
        </w:tc>
        <w:tc>
          <w:tcPr>
            <w:tcW w:w="6509" w:type="dxa"/>
            <w:tcBorders>
              <w:top w:val="single" w:color="auto" w:sz="4" w:space="0"/>
              <w:left w:val="single" w:color="auto" w:sz="4" w:space="0"/>
              <w:bottom w:val="single" w:color="auto" w:sz="4" w:space="0"/>
              <w:right w:val="single" w:color="auto" w:sz="4" w:space="0"/>
            </w:tcBorders>
            <w:vAlign w:val="center"/>
          </w:tcPr>
          <w:p w14:paraId="0BD0144B">
            <w:pPr>
              <w:widowControl/>
              <w:snapToGrid w:val="0"/>
              <w:spacing w:before="162" w:beforeLines="50"/>
              <w:jc w:val="left"/>
              <w:rPr>
                <w:color w:val="auto"/>
                <w:lang w:val="zh-CN"/>
              </w:rPr>
            </w:pPr>
            <w:r>
              <w:rPr>
                <w:rFonts w:hint="eastAsia" w:ascii="宋体" w:hAnsi="宋体"/>
                <w:color w:val="auto"/>
                <w:sz w:val="24"/>
                <w:szCs w:val="24"/>
              </w:rPr>
              <w:t>包含：（1）质量控制措施；（2）质量风险识别和化解措施；（3）质量目标保证措施；（4）安全保障措施；（5）管理制度保障。投标人质量保障措施内容完整、详细、有针对性的得 12分；内容描述一般得</w:t>
            </w:r>
            <w:r>
              <w:rPr>
                <w:rFonts w:hint="eastAsia" w:ascii="宋体" w:hAnsi="宋体"/>
                <w:color w:val="auto"/>
                <w:sz w:val="24"/>
                <w:szCs w:val="24"/>
                <w:lang w:val="en-US" w:eastAsia="zh-CN"/>
              </w:rPr>
              <w:t>7</w:t>
            </w:r>
            <w:r>
              <w:rPr>
                <w:rFonts w:hint="eastAsia" w:ascii="宋体" w:hAnsi="宋体"/>
                <w:color w:val="auto"/>
                <w:sz w:val="24"/>
                <w:szCs w:val="24"/>
              </w:rPr>
              <w:t xml:space="preserve">分；内容仅有简单描述且不缺项的得 </w:t>
            </w:r>
            <w:r>
              <w:rPr>
                <w:rFonts w:hint="eastAsia" w:ascii="宋体" w:hAnsi="宋体"/>
                <w:color w:val="auto"/>
                <w:sz w:val="24"/>
                <w:szCs w:val="24"/>
                <w:lang w:val="en-US" w:eastAsia="zh-CN"/>
              </w:rPr>
              <w:t>3</w:t>
            </w:r>
            <w:r>
              <w:rPr>
                <w:rFonts w:hint="eastAsia" w:ascii="宋体" w:hAnsi="宋体"/>
                <w:color w:val="auto"/>
                <w:sz w:val="24"/>
                <w:szCs w:val="24"/>
              </w:rPr>
              <w:t>分；未提供对应项内容或内容不符合该项要求的不得分。</w:t>
            </w:r>
          </w:p>
        </w:tc>
        <w:tc>
          <w:tcPr>
            <w:tcW w:w="850" w:type="dxa"/>
            <w:tcBorders>
              <w:top w:val="single" w:color="auto" w:sz="4" w:space="0"/>
              <w:left w:val="single" w:color="auto" w:sz="4" w:space="0"/>
              <w:bottom w:val="single" w:color="auto" w:sz="4" w:space="0"/>
              <w:right w:val="single" w:color="auto" w:sz="4" w:space="0"/>
            </w:tcBorders>
            <w:vAlign w:val="center"/>
          </w:tcPr>
          <w:p w14:paraId="7CB7D4CD">
            <w:pPr>
              <w:pStyle w:val="27"/>
              <w:spacing w:after="120" w:afterAutospacing="0"/>
              <w:jc w:val="center"/>
              <w:rPr>
                <w:color w:val="auto"/>
                <w:kern w:val="2"/>
              </w:rPr>
            </w:pPr>
            <w:r>
              <w:rPr>
                <w:rFonts w:hint="eastAsia"/>
                <w:color w:val="auto"/>
                <w:kern w:val="2"/>
              </w:rPr>
              <w:t>12</w:t>
            </w:r>
            <w:r>
              <w:rPr>
                <w:rFonts w:hint="eastAsia"/>
                <w:color w:val="auto"/>
                <w:kern w:val="2"/>
                <w:lang w:val="zh-CN"/>
              </w:rPr>
              <w:t>分</w:t>
            </w:r>
          </w:p>
        </w:tc>
      </w:tr>
      <w:tr w14:paraId="56D8E3A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4" w:hRule="atLeast"/>
          <w:jc w:val="center"/>
        </w:trPr>
        <w:tc>
          <w:tcPr>
            <w:tcW w:w="1629" w:type="dxa"/>
            <w:tcBorders>
              <w:top w:val="single" w:color="auto" w:sz="4" w:space="0"/>
              <w:left w:val="single" w:color="auto" w:sz="4" w:space="0"/>
              <w:bottom w:val="single" w:color="auto" w:sz="4" w:space="0"/>
              <w:right w:val="single" w:color="auto" w:sz="4" w:space="0"/>
            </w:tcBorders>
            <w:vAlign w:val="center"/>
          </w:tcPr>
          <w:p w14:paraId="070BF922">
            <w:pPr>
              <w:pStyle w:val="27"/>
              <w:spacing w:after="120" w:afterAutospacing="0"/>
              <w:jc w:val="center"/>
              <w:rPr>
                <w:color w:val="auto"/>
                <w:kern w:val="2"/>
                <w:lang w:val="zh-CN"/>
              </w:rPr>
            </w:pPr>
            <w:r>
              <w:rPr>
                <w:rFonts w:hint="eastAsia"/>
                <w:color w:val="auto"/>
                <w:kern w:val="2"/>
                <w:lang w:val="zh-CN"/>
              </w:rPr>
              <w:t>售后服务方案</w:t>
            </w:r>
            <w:r>
              <w:rPr>
                <w:rFonts w:hint="eastAsia"/>
                <w:color w:val="auto"/>
              </w:rPr>
              <w:t>(</w:t>
            </w:r>
            <w:r>
              <w:rPr>
                <w:color w:val="auto"/>
              </w:rPr>
              <w:t>26</w:t>
            </w:r>
            <w:r>
              <w:rPr>
                <w:rFonts w:hint="eastAsia"/>
                <w:color w:val="auto"/>
              </w:rPr>
              <w:t>分）</w:t>
            </w:r>
          </w:p>
        </w:tc>
        <w:tc>
          <w:tcPr>
            <w:tcW w:w="6509" w:type="dxa"/>
            <w:tcBorders>
              <w:top w:val="single" w:color="auto" w:sz="4" w:space="0"/>
              <w:left w:val="single" w:color="auto" w:sz="4" w:space="0"/>
              <w:bottom w:val="single" w:color="auto" w:sz="4" w:space="0"/>
              <w:right w:val="single" w:color="auto" w:sz="4" w:space="0"/>
            </w:tcBorders>
            <w:vAlign w:val="center"/>
          </w:tcPr>
          <w:p w14:paraId="17148779">
            <w:pPr>
              <w:pStyle w:val="27"/>
              <w:spacing w:after="120" w:afterAutospacing="0"/>
              <w:rPr>
                <w:color w:val="auto"/>
                <w:kern w:val="2"/>
                <w:lang w:val="zh-CN"/>
              </w:rPr>
            </w:pPr>
            <w:r>
              <w:rPr>
                <w:rFonts w:hint="eastAsia"/>
                <w:color w:val="auto"/>
                <w:kern w:val="2"/>
                <w:lang w:val="zh-CN"/>
              </w:rPr>
              <w:t>1、质保期内服务内容（含故障响应时间、故障解决方式、故障解决时间、质保期内服务承诺），内容详细、服务最优得</w:t>
            </w:r>
            <w:r>
              <w:rPr>
                <w:rFonts w:hint="eastAsia"/>
                <w:color w:val="auto"/>
                <w:kern w:val="2"/>
              </w:rPr>
              <w:t>10</w:t>
            </w:r>
            <w:r>
              <w:rPr>
                <w:rFonts w:hint="eastAsia"/>
                <w:color w:val="auto"/>
                <w:kern w:val="2"/>
                <w:lang w:val="zh-CN"/>
              </w:rPr>
              <w:t>分，内容比较全面、详细得</w:t>
            </w:r>
            <w:r>
              <w:rPr>
                <w:color w:val="auto"/>
                <w:kern w:val="2"/>
                <w:lang w:val="zh-CN"/>
              </w:rPr>
              <w:t>5</w:t>
            </w:r>
            <w:r>
              <w:rPr>
                <w:rFonts w:hint="eastAsia"/>
                <w:color w:val="auto"/>
                <w:kern w:val="2"/>
                <w:lang w:val="zh-CN"/>
              </w:rPr>
              <w:t xml:space="preserve">分，仅简单描述且不缺项得 </w:t>
            </w:r>
            <w:r>
              <w:rPr>
                <w:color w:val="auto"/>
                <w:kern w:val="2"/>
                <w:lang w:val="zh-CN"/>
              </w:rPr>
              <w:t>1</w:t>
            </w:r>
            <w:r>
              <w:rPr>
                <w:rFonts w:hint="eastAsia"/>
                <w:color w:val="auto"/>
                <w:kern w:val="2"/>
                <w:lang w:val="zh-CN"/>
              </w:rPr>
              <w:t>分，缺项或不提供的不得分。</w:t>
            </w:r>
          </w:p>
          <w:p w14:paraId="4624F2B6">
            <w:pPr>
              <w:pStyle w:val="27"/>
              <w:spacing w:after="120" w:afterAutospacing="0"/>
              <w:rPr>
                <w:color w:val="auto"/>
                <w:kern w:val="2"/>
                <w:lang w:val="zh-CN"/>
              </w:rPr>
            </w:pPr>
            <w:r>
              <w:rPr>
                <w:rFonts w:hint="eastAsia"/>
                <w:color w:val="auto"/>
                <w:kern w:val="2"/>
                <w:lang w:val="zh-CN"/>
              </w:rPr>
              <w:t>2、质保期外服务内容（含服务内容、收费标准、持续优化服务的措施），内容详细、服务最优得9分，内容比较全面、详细得</w:t>
            </w:r>
            <w:r>
              <w:rPr>
                <w:rFonts w:hint="eastAsia"/>
                <w:color w:val="auto"/>
                <w:kern w:val="2"/>
                <w:lang w:val="en-US" w:eastAsia="zh-CN"/>
              </w:rPr>
              <w:t>6</w:t>
            </w:r>
            <w:r>
              <w:rPr>
                <w:rFonts w:hint="eastAsia"/>
                <w:color w:val="auto"/>
                <w:kern w:val="2"/>
                <w:lang w:val="zh-CN"/>
              </w:rPr>
              <w:t>分，仅简单描述且不缺项得</w:t>
            </w:r>
            <w:r>
              <w:rPr>
                <w:rFonts w:hint="eastAsia"/>
                <w:color w:val="auto"/>
                <w:kern w:val="2"/>
                <w:lang w:val="en-US" w:eastAsia="zh-CN"/>
              </w:rPr>
              <w:t>2</w:t>
            </w:r>
            <w:r>
              <w:rPr>
                <w:rFonts w:hint="eastAsia"/>
                <w:color w:val="auto"/>
                <w:kern w:val="2"/>
                <w:lang w:val="zh-CN"/>
              </w:rPr>
              <w:t>分，缺项或不提供的不得分。</w:t>
            </w:r>
          </w:p>
          <w:p w14:paraId="5BA45503">
            <w:pPr>
              <w:pStyle w:val="27"/>
              <w:spacing w:after="120" w:afterAutospacing="0"/>
              <w:rPr>
                <w:color w:val="auto"/>
                <w:kern w:val="2"/>
                <w:lang w:val="zh-CN"/>
              </w:rPr>
            </w:pPr>
            <w:r>
              <w:rPr>
                <w:rFonts w:hint="eastAsia"/>
                <w:color w:val="auto"/>
                <w:kern w:val="2"/>
                <w:lang w:val="zh-CN"/>
              </w:rPr>
              <w:t>3、售后服务保障体系（含售后服务团队及机构信息），内容完整、详细得</w:t>
            </w:r>
            <w:r>
              <w:rPr>
                <w:rFonts w:hint="eastAsia"/>
                <w:color w:val="auto"/>
                <w:kern w:val="2"/>
              </w:rPr>
              <w:t>5</w:t>
            </w:r>
            <w:r>
              <w:rPr>
                <w:rFonts w:hint="eastAsia"/>
                <w:color w:val="auto"/>
                <w:kern w:val="2"/>
                <w:lang w:val="zh-CN"/>
              </w:rPr>
              <w:t>分，方案内容比较全面、详细得</w:t>
            </w:r>
            <w:r>
              <w:rPr>
                <w:rFonts w:hint="eastAsia"/>
                <w:color w:val="auto"/>
                <w:kern w:val="2"/>
                <w:lang w:val="en-US" w:eastAsia="zh-CN"/>
              </w:rPr>
              <w:t>3</w:t>
            </w:r>
            <w:r>
              <w:rPr>
                <w:rFonts w:hint="eastAsia"/>
                <w:color w:val="auto"/>
                <w:kern w:val="2"/>
                <w:lang w:val="zh-CN"/>
              </w:rPr>
              <w:t xml:space="preserve">分，仅简单描述且不缺项得 </w:t>
            </w:r>
            <w:r>
              <w:rPr>
                <w:color w:val="auto"/>
                <w:kern w:val="2"/>
                <w:lang w:val="zh-CN"/>
              </w:rPr>
              <w:t>1</w:t>
            </w:r>
            <w:r>
              <w:rPr>
                <w:rFonts w:hint="eastAsia"/>
                <w:color w:val="auto"/>
                <w:kern w:val="2"/>
                <w:lang w:val="zh-CN"/>
              </w:rPr>
              <w:t>分，缺项或不提供的不得分。</w:t>
            </w:r>
          </w:p>
          <w:p w14:paraId="72B6B779">
            <w:pPr>
              <w:pStyle w:val="27"/>
              <w:spacing w:after="120" w:afterAutospacing="0"/>
              <w:rPr>
                <w:color w:val="auto"/>
                <w:kern w:val="2"/>
                <w:lang w:val="zh-CN"/>
              </w:rPr>
            </w:pPr>
            <w:r>
              <w:rPr>
                <w:rFonts w:hint="eastAsia"/>
                <w:color w:val="auto"/>
                <w:kern w:val="2"/>
                <w:lang w:val="zh-CN"/>
              </w:rPr>
              <w:t xml:space="preserve">4、投标人提供所投全部产品免费质量保障，在满足要求免费质保的基础上，每延长 1 年得 </w:t>
            </w:r>
            <w:r>
              <w:rPr>
                <w:color w:val="auto"/>
                <w:kern w:val="2"/>
                <w:lang w:val="zh-CN"/>
              </w:rPr>
              <w:t>1</w:t>
            </w:r>
            <w:r>
              <w:rPr>
                <w:rFonts w:hint="eastAsia"/>
                <w:color w:val="auto"/>
                <w:kern w:val="2"/>
                <w:lang w:val="zh-CN"/>
              </w:rPr>
              <w:t xml:space="preserve"> 分，满分 </w:t>
            </w:r>
            <w:r>
              <w:rPr>
                <w:color w:val="auto"/>
                <w:kern w:val="2"/>
                <w:lang w:val="zh-CN"/>
              </w:rPr>
              <w:t>2</w:t>
            </w:r>
            <w:r>
              <w:rPr>
                <w:rFonts w:hint="eastAsia"/>
                <w:color w:val="auto"/>
                <w:kern w:val="2"/>
                <w:lang w:val="zh-CN"/>
              </w:rPr>
              <w:t>分。</w:t>
            </w:r>
          </w:p>
        </w:tc>
        <w:tc>
          <w:tcPr>
            <w:tcW w:w="850" w:type="dxa"/>
            <w:tcBorders>
              <w:top w:val="single" w:color="auto" w:sz="4" w:space="0"/>
              <w:left w:val="single" w:color="auto" w:sz="4" w:space="0"/>
              <w:bottom w:val="single" w:color="auto" w:sz="4" w:space="0"/>
              <w:right w:val="single" w:color="auto" w:sz="4" w:space="0"/>
            </w:tcBorders>
            <w:vAlign w:val="center"/>
          </w:tcPr>
          <w:p w14:paraId="7313A2BE">
            <w:pPr>
              <w:pStyle w:val="27"/>
              <w:spacing w:after="120" w:afterAutospacing="0"/>
              <w:jc w:val="center"/>
              <w:rPr>
                <w:color w:val="auto"/>
                <w:kern w:val="2"/>
              </w:rPr>
            </w:pPr>
            <w:r>
              <w:rPr>
                <w:color w:val="auto"/>
                <w:kern w:val="2"/>
              </w:rPr>
              <w:t>2</w:t>
            </w:r>
            <w:r>
              <w:rPr>
                <w:rFonts w:hint="eastAsia"/>
                <w:color w:val="auto"/>
                <w:kern w:val="2"/>
              </w:rPr>
              <w:t>6</w:t>
            </w:r>
            <w:r>
              <w:rPr>
                <w:rFonts w:hint="eastAsia"/>
                <w:color w:val="auto"/>
                <w:kern w:val="2"/>
                <w:lang w:val="zh-CN"/>
              </w:rPr>
              <w:t>分</w:t>
            </w:r>
          </w:p>
        </w:tc>
      </w:tr>
    </w:tbl>
    <w:p w14:paraId="51CF7BC0">
      <w:pPr>
        <w:spacing w:line="360" w:lineRule="auto"/>
        <w:rPr>
          <w:rFonts w:hAnsi="宋体" w:cs="仿宋_GB2312"/>
          <w:b/>
          <w:color w:val="auto"/>
          <w:sz w:val="24"/>
          <w:szCs w:val="24"/>
          <w:lang w:val="zh-CN"/>
        </w:rPr>
      </w:pPr>
      <w:r>
        <w:rPr>
          <w:rFonts w:hint="eastAsia" w:hAnsi="宋体" w:cs="仿宋_GB2312"/>
          <w:b/>
          <w:color w:val="auto"/>
          <w:sz w:val="24"/>
          <w:szCs w:val="24"/>
          <w:lang w:val="zh-CN"/>
        </w:rPr>
        <w:t>注：评标标准中所涉及的证书及材料不需提供原件，均应在电子响应文件中提供原件扫描件（或图片）。</w:t>
      </w:r>
    </w:p>
    <w:p w14:paraId="090ACBD6">
      <w:pPr>
        <w:spacing w:line="360" w:lineRule="auto"/>
        <w:ind w:firstLine="321" w:firstLineChars="100"/>
        <w:jc w:val="center"/>
        <w:rPr>
          <w:rFonts w:hAnsi="宋体" w:cs="仿宋_GB2312"/>
          <w:b/>
          <w:color w:val="auto"/>
          <w:sz w:val="32"/>
          <w:szCs w:val="32"/>
          <w:lang w:val="zh-CN"/>
        </w:rPr>
      </w:pPr>
    </w:p>
    <w:p w14:paraId="626CCF9A">
      <w:pPr>
        <w:spacing w:line="360" w:lineRule="auto"/>
        <w:ind w:firstLine="241" w:firstLineChars="100"/>
        <w:jc w:val="center"/>
        <w:rPr>
          <w:rFonts w:hAnsi="宋体" w:cs="仿宋_GB2312"/>
          <w:b/>
          <w:color w:val="auto"/>
          <w:sz w:val="24"/>
          <w:szCs w:val="24"/>
          <w:lang w:val="zh-CN"/>
        </w:rPr>
      </w:pPr>
      <w:r>
        <w:rPr>
          <w:rFonts w:hint="eastAsia" w:hAnsi="宋体" w:cs="仿宋_GB2312"/>
          <w:b/>
          <w:color w:val="auto"/>
          <w:sz w:val="24"/>
          <w:szCs w:val="24"/>
          <w:lang w:val="zh-CN"/>
        </w:rPr>
        <w:t>三标段：其他信息化设备</w:t>
      </w:r>
      <w:r>
        <w:rPr>
          <w:rFonts w:hint="eastAsia" w:ascii="宋体" w:hAnsi="宋体"/>
          <w:b/>
          <w:color w:val="auto"/>
          <w:sz w:val="24"/>
          <w:szCs w:val="24"/>
        </w:rPr>
        <w:t>评标标准</w:t>
      </w:r>
    </w:p>
    <w:tbl>
      <w:tblPr>
        <w:tblStyle w:val="30"/>
        <w:tblpPr w:leftFromText="180" w:rightFromText="180" w:vertAnchor="text" w:horzAnchor="page" w:tblpX="1585" w:tblpY="479"/>
        <w:tblOverlap w:val="never"/>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578"/>
        <w:gridCol w:w="6232"/>
      </w:tblGrid>
      <w:tr w14:paraId="4AFA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977" w:type="dxa"/>
            <w:gridSpan w:val="2"/>
            <w:vAlign w:val="center"/>
          </w:tcPr>
          <w:p w14:paraId="69BB1025">
            <w:pPr>
              <w:spacing w:line="360" w:lineRule="auto"/>
              <w:jc w:val="center"/>
              <w:rPr>
                <w:rFonts w:ascii="宋体" w:hAnsi="宋体" w:cs="Times New Roman"/>
                <w:color w:val="auto"/>
              </w:rPr>
            </w:pPr>
            <w:r>
              <w:rPr>
                <w:rFonts w:hint="eastAsia" w:ascii="宋体" w:hAnsi="宋体" w:cs="Times New Roman"/>
                <w:color w:val="auto"/>
              </w:rPr>
              <w:t>分值构成</w:t>
            </w:r>
          </w:p>
          <w:p w14:paraId="35EC91D1">
            <w:pPr>
              <w:snapToGrid w:val="0"/>
              <w:spacing w:before="162" w:beforeLines="50"/>
              <w:jc w:val="center"/>
              <w:rPr>
                <w:rFonts w:ascii="宋体" w:hAnsi="宋体"/>
                <w:b/>
                <w:color w:val="auto"/>
              </w:rPr>
            </w:pPr>
            <w:r>
              <w:rPr>
                <w:rFonts w:hint="eastAsia" w:ascii="宋体" w:hAnsi="宋体" w:cs="Times New Roman"/>
                <w:color w:val="auto"/>
              </w:rPr>
              <w:t>(总分100分)</w:t>
            </w:r>
          </w:p>
        </w:tc>
        <w:tc>
          <w:tcPr>
            <w:tcW w:w="6232" w:type="dxa"/>
            <w:vAlign w:val="center"/>
          </w:tcPr>
          <w:p w14:paraId="3430555E">
            <w:pPr>
              <w:spacing w:line="276" w:lineRule="auto"/>
              <w:ind w:firstLine="420" w:firstLineChars="200"/>
              <w:rPr>
                <w:rFonts w:ascii="宋体" w:hAnsi="宋体" w:cs="Times New Roman"/>
                <w:color w:val="auto"/>
              </w:rPr>
            </w:pPr>
            <w:r>
              <w:rPr>
                <w:rFonts w:hint="eastAsia" w:ascii="宋体" w:hAnsi="宋体" w:cs="Times New Roman"/>
                <w:color w:val="auto"/>
              </w:rPr>
              <w:t>价格分值：4</w:t>
            </w:r>
            <w:r>
              <w:rPr>
                <w:rFonts w:hint="eastAsia" w:ascii="宋体" w:hAnsi="宋体" w:cs="Times New Roman"/>
                <w:color w:val="auto"/>
                <w:u w:val="single"/>
              </w:rPr>
              <w:t>0</w:t>
            </w:r>
            <w:r>
              <w:rPr>
                <w:rFonts w:hint="eastAsia" w:ascii="宋体" w:hAnsi="宋体" w:cs="Times New Roman"/>
                <w:color w:val="auto"/>
              </w:rPr>
              <w:t>分</w:t>
            </w:r>
          </w:p>
          <w:p w14:paraId="31E7AA8E">
            <w:pPr>
              <w:spacing w:line="276" w:lineRule="auto"/>
              <w:ind w:firstLine="420" w:firstLineChars="200"/>
              <w:rPr>
                <w:rFonts w:ascii="宋体" w:hAnsi="宋体" w:cs="Times New Roman"/>
                <w:color w:val="auto"/>
              </w:rPr>
            </w:pPr>
            <w:r>
              <w:rPr>
                <w:rFonts w:hint="eastAsia" w:ascii="宋体" w:hAnsi="宋体" w:cs="Times New Roman"/>
                <w:color w:val="auto"/>
              </w:rPr>
              <w:t>商务部分：</w:t>
            </w:r>
            <w:r>
              <w:rPr>
                <w:rFonts w:hint="eastAsia" w:ascii="宋体" w:hAnsi="宋体" w:cs="Times New Roman"/>
                <w:color w:val="auto"/>
                <w:u w:val="single"/>
              </w:rPr>
              <w:t>3</w:t>
            </w:r>
            <w:r>
              <w:rPr>
                <w:rFonts w:ascii="宋体" w:hAnsi="宋体" w:cs="Times New Roman"/>
                <w:color w:val="auto"/>
                <w:u w:val="single"/>
              </w:rPr>
              <w:t>0</w:t>
            </w:r>
            <w:r>
              <w:rPr>
                <w:rFonts w:hint="eastAsia" w:ascii="宋体" w:hAnsi="宋体" w:cs="Times New Roman"/>
                <w:color w:val="auto"/>
              </w:rPr>
              <w:t>分</w:t>
            </w:r>
          </w:p>
          <w:p w14:paraId="36084D89">
            <w:pPr>
              <w:spacing w:line="276" w:lineRule="auto"/>
              <w:ind w:firstLine="420" w:firstLineChars="200"/>
              <w:rPr>
                <w:rFonts w:ascii="宋体" w:hAnsi="宋体" w:cs="Times New Roman"/>
                <w:color w:val="auto"/>
              </w:rPr>
            </w:pPr>
            <w:r>
              <w:rPr>
                <w:rFonts w:hint="eastAsia" w:ascii="宋体" w:hAnsi="宋体" w:cs="Times New Roman"/>
                <w:color w:val="auto"/>
              </w:rPr>
              <w:t>技术部分：</w:t>
            </w:r>
            <w:r>
              <w:rPr>
                <w:rFonts w:hint="eastAsia" w:ascii="宋体" w:hAnsi="宋体" w:cs="Times New Roman"/>
                <w:color w:val="auto"/>
                <w:u w:val="single"/>
              </w:rPr>
              <w:t>3</w:t>
            </w:r>
            <w:r>
              <w:rPr>
                <w:rFonts w:ascii="宋体" w:hAnsi="宋体" w:cs="Times New Roman"/>
                <w:color w:val="auto"/>
                <w:u w:val="single"/>
              </w:rPr>
              <w:t>0</w:t>
            </w:r>
            <w:r>
              <w:rPr>
                <w:rFonts w:hint="eastAsia" w:ascii="宋体" w:hAnsi="宋体" w:cs="Times New Roman"/>
                <w:color w:val="auto"/>
              </w:rPr>
              <w:t>分</w:t>
            </w:r>
          </w:p>
        </w:tc>
      </w:tr>
      <w:tr w14:paraId="3537A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399" w:type="dxa"/>
            <w:vAlign w:val="center"/>
          </w:tcPr>
          <w:p w14:paraId="522F81FE">
            <w:pPr>
              <w:snapToGrid w:val="0"/>
              <w:spacing w:before="162" w:beforeLines="50"/>
              <w:jc w:val="center"/>
              <w:rPr>
                <w:rFonts w:ascii="宋体" w:hAnsi="宋体"/>
                <w:b/>
                <w:color w:val="auto"/>
              </w:rPr>
            </w:pPr>
            <w:r>
              <w:rPr>
                <w:rFonts w:hint="eastAsia" w:ascii="宋体" w:hAnsi="宋体"/>
                <w:b/>
                <w:color w:val="auto"/>
              </w:rPr>
              <w:t>评审项</w:t>
            </w:r>
          </w:p>
        </w:tc>
        <w:tc>
          <w:tcPr>
            <w:tcW w:w="1578" w:type="dxa"/>
            <w:vAlign w:val="center"/>
          </w:tcPr>
          <w:p w14:paraId="2CCB4F54">
            <w:pPr>
              <w:snapToGrid w:val="0"/>
              <w:spacing w:before="162" w:beforeLines="50"/>
              <w:jc w:val="center"/>
              <w:rPr>
                <w:rFonts w:ascii="宋体" w:hAnsi="宋体"/>
                <w:b/>
                <w:color w:val="auto"/>
              </w:rPr>
            </w:pPr>
            <w:r>
              <w:rPr>
                <w:rFonts w:hint="eastAsia" w:ascii="宋体" w:hAnsi="宋体"/>
                <w:b/>
                <w:color w:val="auto"/>
              </w:rPr>
              <w:t>评分因素</w:t>
            </w:r>
          </w:p>
        </w:tc>
        <w:tc>
          <w:tcPr>
            <w:tcW w:w="6232" w:type="dxa"/>
            <w:vAlign w:val="center"/>
          </w:tcPr>
          <w:p w14:paraId="2F00608F">
            <w:pPr>
              <w:snapToGrid w:val="0"/>
              <w:spacing w:before="162" w:beforeLines="50"/>
              <w:jc w:val="center"/>
              <w:rPr>
                <w:rFonts w:ascii="宋体" w:hAnsi="宋体"/>
                <w:b/>
                <w:color w:val="auto"/>
              </w:rPr>
            </w:pPr>
            <w:r>
              <w:rPr>
                <w:rFonts w:hint="eastAsia" w:ascii="宋体" w:hAnsi="宋体"/>
                <w:b/>
                <w:color w:val="auto"/>
              </w:rPr>
              <w:t>评标标准</w:t>
            </w:r>
          </w:p>
        </w:tc>
      </w:tr>
      <w:tr w14:paraId="0F4C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6" w:hRule="atLeast"/>
        </w:trPr>
        <w:tc>
          <w:tcPr>
            <w:tcW w:w="1399" w:type="dxa"/>
            <w:vAlign w:val="center"/>
          </w:tcPr>
          <w:p w14:paraId="27F133FF">
            <w:pPr>
              <w:widowControl/>
              <w:snapToGrid w:val="0"/>
              <w:spacing w:before="162" w:beforeLines="50"/>
              <w:ind w:leftChars="-2" w:hanging="4" w:hangingChars="2"/>
              <w:jc w:val="center"/>
              <w:rPr>
                <w:rFonts w:ascii="宋体" w:hAnsi="宋体" w:cs="Times New Roman"/>
                <w:color w:val="auto"/>
              </w:rPr>
            </w:pPr>
            <w:r>
              <w:rPr>
                <w:rFonts w:hint="eastAsia" w:ascii="宋体" w:hAnsi="宋体"/>
                <w:color w:val="auto"/>
              </w:rPr>
              <w:t>报价部分</w:t>
            </w:r>
          </w:p>
          <w:p w14:paraId="2979F8AC">
            <w:pPr>
              <w:widowControl/>
              <w:snapToGrid w:val="0"/>
              <w:spacing w:before="162" w:beforeLines="50"/>
              <w:ind w:leftChars="-2" w:hanging="4" w:hangingChars="2"/>
              <w:jc w:val="center"/>
              <w:rPr>
                <w:rFonts w:ascii="宋体" w:hAnsi="宋体"/>
                <w:color w:val="auto"/>
              </w:rPr>
            </w:pPr>
            <w:r>
              <w:rPr>
                <w:rFonts w:hint="eastAsia" w:ascii="宋体" w:hAnsi="宋体"/>
                <w:color w:val="auto"/>
              </w:rPr>
              <w:t>（</w:t>
            </w:r>
            <w:r>
              <w:rPr>
                <w:rFonts w:ascii="宋体" w:hAnsi="宋体"/>
                <w:color w:val="auto"/>
                <w:kern w:val="0"/>
                <w:u w:val="single"/>
              </w:rPr>
              <w:t>4</w:t>
            </w:r>
            <w:r>
              <w:rPr>
                <w:rFonts w:hint="eastAsia" w:ascii="宋体" w:hAnsi="宋体"/>
                <w:color w:val="auto"/>
                <w:kern w:val="0"/>
                <w:u w:val="single"/>
              </w:rPr>
              <w:t>0</w:t>
            </w:r>
            <w:r>
              <w:rPr>
                <w:rFonts w:hint="eastAsia" w:ascii="宋体" w:hAnsi="宋体"/>
                <w:color w:val="auto"/>
                <w:u w:val="single"/>
              </w:rPr>
              <w:t>分</w:t>
            </w:r>
            <w:r>
              <w:rPr>
                <w:rFonts w:hint="eastAsia" w:ascii="宋体" w:hAnsi="宋体"/>
                <w:color w:val="auto"/>
              </w:rPr>
              <w:t>）</w:t>
            </w:r>
          </w:p>
        </w:tc>
        <w:tc>
          <w:tcPr>
            <w:tcW w:w="1578" w:type="dxa"/>
            <w:vAlign w:val="center"/>
          </w:tcPr>
          <w:p w14:paraId="3FB8CA62">
            <w:pPr>
              <w:widowControl/>
              <w:snapToGrid w:val="0"/>
              <w:spacing w:before="162" w:beforeLines="50"/>
              <w:jc w:val="center"/>
              <w:rPr>
                <w:rFonts w:ascii="宋体" w:hAnsi="宋体" w:cs="Times New Roman"/>
                <w:color w:val="auto"/>
              </w:rPr>
            </w:pPr>
            <w:r>
              <w:rPr>
                <w:rFonts w:hint="eastAsia" w:ascii="宋体" w:hAnsi="宋体"/>
                <w:color w:val="auto"/>
              </w:rPr>
              <w:t>报价</w:t>
            </w:r>
          </w:p>
          <w:p w14:paraId="137F794D">
            <w:pPr>
              <w:widowControl/>
              <w:snapToGrid w:val="0"/>
              <w:spacing w:before="162" w:beforeLines="50"/>
              <w:jc w:val="center"/>
              <w:rPr>
                <w:rFonts w:ascii="宋体" w:hAnsi="宋体"/>
                <w:color w:val="auto"/>
              </w:rPr>
            </w:pPr>
            <w:r>
              <w:rPr>
                <w:rFonts w:hint="eastAsia" w:ascii="宋体" w:hAnsi="宋体"/>
                <w:color w:val="auto"/>
              </w:rPr>
              <w:t>（</w:t>
            </w:r>
            <w:r>
              <w:rPr>
                <w:rFonts w:ascii="宋体" w:hAnsi="宋体"/>
                <w:color w:val="auto"/>
                <w:kern w:val="0"/>
                <w:u w:val="single"/>
              </w:rPr>
              <w:t>4</w:t>
            </w:r>
            <w:r>
              <w:rPr>
                <w:rFonts w:hint="eastAsia" w:ascii="宋体" w:hAnsi="宋体"/>
                <w:color w:val="auto"/>
                <w:kern w:val="0"/>
                <w:u w:val="single"/>
              </w:rPr>
              <w:t>0</w:t>
            </w:r>
            <w:r>
              <w:rPr>
                <w:rFonts w:hint="eastAsia" w:ascii="宋体" w:hAnsi="宋体"/>
                <w:color w:val="auto"/>
                <w:u w:val="single"/>
              </w:rPr>
              <w:t>分</w:t>
            </w:r>
            <w:r>
              <w:rPr>
                <w:rFonts w:hint="eastAsia" w:ascii="宋体" w:hAnsi="宋体"/>
                <w:color w:val="auto"/>
              </w:rPr>
              <w:t>）</w:t>
            </w:r>
          </w:p>
        </w:tc>
        <w:tc>
          <w:tcPr>
            <w:tcW w:w="6232" w:type="dxa"/>
            <w:vAlign w:val="center"/>
          </w:tcPr>
          <w:p w14:paraId="24EE7766">
            <w:pPr>
              <w:widowControl/>
              <w:spacing w:line="276" w:lineRule="auto"/>
              <w:rPr>
                <w:rFonts w:ascii="宋体" w:hAnsi="宋体" w:cs="Times New Roman"/>
                <w:color w:val="auto"/>
                <w:kern w:val="0"/>
              </w:rPr>
            </w:pPr>
            <w:r>
              <w:rPr>
                <w:rFonts w:hint="eastAsia" w:ascii="宋体" w:hAnsi="宋体" w:cs="Times New Roman"/>
                <w:color w:val="auto"/>
                <w:kern w:val="0"/>
              </w:rPr>
              <w:t>有效供应商中投标价格最低的投标报价为评标基准价，其价格分为满分。</w:t>
            </w:r>
          </w:p>
          <w:p w14:paraId="0E74B59C">
            <w:pPr>
              <w:widowControl/>
              <w:spacing w:line="276" w:lineRule="auto"/>
              <w:rPr>
                <w:rFonts w:ascii="宋体" w:hAnsi="宋体" w:cs="Times New Roman"/>
                <w:color w:val="auto"/>
                <w:kern w:val="0"/>
              </w:rPr>
            </w:pPr>
            <w:r>
              <w:rPr>
                <w:rFonts w:hint="eastAsia" w:ascii="宋体" w:hAnsi="宋体" w:cs="Times New Roman"/>
                <w:color w:val="auto"/>
                <w:kern w:val="0"/>
              </w:rPr>
              <w:t>其他供应商的价格分统一按照下列公式计算：</w:t>
            </w:r>
          </w:p>
          <w:p w14:paraId="42EA94FC">
            <w:pPr>
              <w:widowControl/>
              <w:spacing w:line="276" w:lineRule="auto"/>
              <w:rPr>
                <w:rFonts w:ascii="宋体" w:hAnsi="宋体" w:cs="Times New Roman"/>
                <w:color w:val="auto"/>
                <w:kern w:val="0"/>
              </w:rPr>
            </w:pPr>
            <w:r>
              <w:rPr>
                <w:rFonts w:hint="eastAsia" w:ascii="宋体" w:hAnsi="宋体" w:cs="Times New Roman"/>
                <w:color w:val="auto"/>
                <w:kern w:val="0"/>
              </w:rPr>
              <w:t>投标报价得分=(评标基准价／投标报价)×40%×100。</w:t>
            </w:r>
          </w:p>
          <w:p w14:paraId="208F58D3">
            <w:pPr>
              <w:widowControl/>
              <w:spacing w:line="276" w:lineRule="auto"/>
              <w:jc w:val="left"/>
              <w:rPr>
                <w:rFonts w:ascii="宋体" w:hAnsi="宋体" w:cs="Times New Roman"/>
                <w:color w:val="auto"/>
              </w:rPr>
            </w:pPr>
            <w:r>
              <w:rPr>
                <w:rFonts w:hint="eastAsia" w:ascii="宋体" w:hAnsi="宋体" w:cs="Times New Roman"/>
                <w:color w:val="auto"/>
              </w:rPr>
              <w:t>注：分值计算保留小数点后两位，小数点后第三位“四舍五入”。</w:t>
            </w:r>
          </w:p>
          <w:p w14:paraId="4B06B81E">
            <w:pPr>
              <w:widowControl/>
              <w:spacing w:line="276" w:lineRule="auto"/>
              <w:jc w:val="left"/>
              <w:rPr>
                <w:rFonts w:ascii="宋体" w:hAnsi="宋体"/>
                <w:color w:val="auto"/>
              </w:rPr>
            </w:pPr>
            <w:r>
              <w:rPr>
                <w:rFonts w:hint="eastAsia" w:ascii="宋体" w:hAnsi="宋体" w:cs="Times New Roman"/>
                <w:color w:val="auto"/>
              </w:rPr>
              <w:t>有效供应商的有效投标报价为通过符合评审、不高于预算价的供应商报价。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tc>
      </w:tr>
      <w:tr w14:paraId="3C83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399" w:type="dxa"/>
            <w:vMerge w:val="restart"/>
            <w:vAlign w:val="center"/>
          </w:tcPr>
          <w:p w14:paraId="64A6A9A0">
            <w:pPr>
              <w:widowControl/>
              <w:snapToGrid w:val="0"/>
              <w:spacing w:before="162" w:beforeLines="50"/>
              <w:ind w:leftChars="-2" w:hanging="4" w:hangingChars="2"/>
              <w:jc w:val="center"/>
              <w:rPr>
                <w:rFonts w:ascii="宋体" w:hAnsi="宋体" w:cs="Times New Roman"/>
                <w:color w:val="auto"/>
              </w:rPr>
            </w:pPr>
            <w:r>
              <w:rPr>
                <w:rFonts w:hint="eastAsia" w:ascii="宋体" w:hAnsi="宋体"/>
                <w:color w:val="auto"/>
              </w:rPr>
              <w:t>商务部分</w:t>
            </w:r>
          </w:p>
          <w:p w14:paraId="3AFE9C6E">
            <w:pPr>
              <w:snapToGrid w:val="0"/>
              <w:spacing w:before="162" w:beforeLines="50"/>
              <w:ind w:leftChars="-2" w:hanging="4" w:hangingChars="2"/>
              <w:jc w:val="center"/>
              <w:rPr>
                <w:rFonts w:ascii="宋体" w:hAnsi="宋体"/>
                <w:color w:val="auto"/>
              </w:rPr>
            </w:pPr>
            <w:r>
              <w:rPr>
                <w:rFonts w:hint="eastAsia" w:ascii="宋体" w:hAnsi="宋体"/>
                <w:color w:val="auto"/>
              </w:rPr>
              <w:t>（</w:t>
            </w:r>
            <w:r>
              <w:rPr>
                <w:rFonts w:hint="eastAsia" w:ascii="宋体" w:hAnsi="宋体"/>
                <w:color w:val="auto"/>
                <w:kern w:val="0"/>
                <w:u w:val="single"/>
              </w:rPr>
              <w:t>3</w:t>
            </w:r>
            <w:r>
              <w:rPr>
                <w:rFonts w:ascii="宋体" w:hAnsi="宋体"/>
                <w:color w:val="auto"/>
                <w:kern w:val="0"/>
                <w:u w:val="single"/>
              </w:rPr>
              <w:t>0</w:t>
            </w:r>
            <w:r>
              <w:rPr>
                <w:rFonts w:hint="eastAsia" w:ascii="宋体" w:hAnsi="宋体"/>
                <w:color w:val="auto"/>
              </w:rPr>
              <w:t>分）</w:t>
            </w:r>
          </w:p>
        </w:tc>
        <w:tc>
          <w:tcPr>
            <w:tcW w:w="1578" w:type="dxa"/>
            <w:vAlign w:val="center"/>
          </w:tcPr>
          <w:p w14:paraId="6A295F7A">
            <w:pPr>
              <w:widowControl/>
              <w:snapToGrid w:val="0"/>
              <w:spacing w:before="162" w:beforeLines="50"/>
              <w:jc w:val="center"/>
              <w:rPr>
                <w:rFonts w:ascii="宋体" w:hAnsi="宋体" w:cs="Times New Roman"/>
                <w:color w:val="auto"/>
              </w:rPr>
            </w:pPr>
            <w:r>
              <w:rPr>
                <w:rFonts w:hint="eastAsia" w:ascii="宋体" w:hAnsi="宋体" w:cs="Times New Roman"/>
                <w:color w:val="auto"/>
                <w:lang w:bidi="ar"/>
              </w:rPr>
              <w:t>业绩</w:t>
            </w:r>
          </w:p>
          <w:p w14:paraId="38866BC7">
            <w:pPr>
              <w:snapToGrid w:val="0"/>
              <w:spacing w:before="162" w:beforeLines="50"/>
              <w:jc w:val="center"/>
              <w:rPr>
                <w:rFonts w:ascii="宋体" w:hAnsi="宋体"/>
                <w:color w:val="auto"/>
              </w:rPr>
            </w:pPr>
            <w:r>
              <w:rPr>
                <w:rFonts w:hint="eastAsia" w:ascii="宋体" w:hAnsi="宋体" w:cs="Times New Roman"/>
                <w:color w:val="auto"/>
                <w:lang w:bidi="ar"/>
              </w:rPr>
              <w:t>（</w:t>
            </w:r>
            <w:r>
              <w:rPr>
                <w:rFonts w:hint="eastAsia" w:ascii="宋体" w:hAnsi="宋体" w:cs="Times New Roman"/>
                <w:color w:val="auto"/>
                <w:u w:val="single"/>
                <w:lang w:bidi="ar"/>
              </w:rPr>
              <w:t>4分</w:t>
            </w:r>
            <w:r>
              <w:rPr>
                <w:rFonts w:hint="eastAsia" w:ascii="宋体" w:hAnsi="宋体" w:cs="Times New Roman"/>
                <w:color w:val="auto"/>
                <w:lang w:bidi="ar"/>
              </w:rPr>
              <w:t>）</w:t>
            </w:r>
          </w:p>
        </w:tc>
        <w:tc>
          <w:tcPr>
            <w:tcW w:w="6232" w:type="dxa"/>
            <w:vAlign w:val="center"/>
          </w:tcPr>
          <w:p w14:paraId="219BBD84">
            <w:pPr>
              <w:spacing w:line="276" w:lineRule="auto"/>
              <w:rPr>
                <w:rFonts w:ascii="宋体" w:hAnsi="宋体" w:cs="Times New Roman"/>
                <w:color w:val="auto"/>
                <w:kern w:val="0"/>
              </w:rPr>
            </w:pPr>
            <w:r>
              <w:rPr>
                <w:rFonts w:hint="eastAsia" w:ascii="宋体" w:hAnsi="宋体" w:cs="宋体"/>
                <w:color w:val="auto"/>
                <w:lang w:val="en-GB" w:bidi="zh-CN"/>
              </w:rPr>
              <w:t>供应商提供</w:t>
            </w:r>
            <w:r>
              <w:rPr>
                <w:rFonts w:ascii="宋体" w:hAnsi="宋体" w:cs="宋体"/>
                <w:color w:val="auto"/>
                <w:lang w:bidi="zh-CN"/>
              </w:rPr>
              <w:t>202</w:t>
            </w:r>
            <w:r>
              <w:rPr>
                <w:rFonts w:hint="eastAsia" w:ascii="宋体" w:hAnsi="宋体" w:cs="宋体"/>
                <w:color w:val="auto"/>
                <w:lang w:bidi="zh-CN"/>
              </w:rPr>
              <w:t>2年以来类似产品业绩的每份得</w:t>
            </w:r>
            <w:r>
              <w:rPr>
                <w:rFonts w:ascii="宋体" w:hAnsi="宋体" w:cs="宋体"/>
                <w:color w:val="auto"/>
                <w:lang w:bidi="zh-CN"/>
              </w:rPr>
              <w:t>2</w:t>
            </w:r>
            <w:r>
              <w:rPr>
                <w:rFonts w:hint="eastAsia" w:ascii="宋体" w:hAnsi="宋体" w:cs="宋体"/>
                <w:color w:val="auto"/>
                <w:lang w:bidi="zh-CN"/>
              </w:rPr>
              <w:t>分，最高得</w:t>
            </w:r>
            <w:r>
              <w:rPr>
                <w:rFonts w:ascii="宋体" w:hAnsi="宋体" w:cs="宋体"/>
                <w:color w:val="auto"/>
                <w:lang w:bidi="zh-CN"/>
              </w:rPr>
              <w:t>4</w:t>
            </w:r>
            <w:r>
              <w:rPr>
                <w:rFonts w:hint="eastAsia" w:ascii="宋体" w:hAnsi="宋体" w:cs="宋体"/>
                <w:color w:val="auto"/>
                <w:lang w:bidi="zh-CN"/>
              </w:rPr>
              <w:t>分（以合同签订时间为准）</w:t>
            </w:r>
            <w:r>
              <w:rPr>
                <w:rFonts w:hint="eastAsia" w:ascii="宋体" w:hAnsi="宋体" w:cs="宋体"/>
                <w:b/>
                <w:bCs/>
                <w:color w:val="auto"/>
                <w:sz w:val="24"/>
                <w:szCs w:val="24"/>
                <w:lang w:bidi="zh-CN"/>
              </w:rPr>
              <w:t>（</w:t>
            </w:r>
            <w:r>
              <w:rPr>
                <w:rFonts w:hint="eastAsia" w:ascii="宋体" w:hAnsi="宋体"/>
                <w:b/>
                <w:bCs/>
                <w:color w:val="auto"/>
                <w:sz w:val="24"/>
                <w:szCs w:val="24"/>
              </w:rPr>
              <w:t>须</w:t>
            </w:r>
            <w:r>
              <w:rPr>
                <w:rFonts w:hint="eastAsia" w:ascii="宋体" w:hAnsi="宋体" w:cs="宋体"/>
                <w:b/>
                <w:bCs/>
                <w:color w:val="auto"/>
                <w:sz w:val="24"/>
                <w:szCs w:val="24"/>
                <w:lang w:bidi="zh-CN"/>
              </w:rPr>
              <w:t>提供法定媒介中标(成交)公示网页截图、合同、中标通知书电子扫描件，三者缺一不计分。</w:t>
            </w:r>
          </w:p>
        </w:tc>
      </w:tr>
      <w:tr w14:paraId="6B4D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399" w:type="dxa"/>
            <w:vMerge w:val="continue"/>
            <w:vAlign w:val="center"/>
          </w:tcPr>
          <w:p w14:paraId="4585CCA7">
            <w:pPr>
              <w:widowControl/>
              <w:snapToGrid w:val="0"/>
              <w:spacing w:before="162" w:beforeLines="50"/>
              <w:ind w:leftChars="-2" w:hanging="4" w:hangingChars="2"/>
              <w:jc w:val="center"/>
              <w:rPr>
                <w:rFonts w:ascii="宋体" w:hAnsi="宋体"/>
                <w:color w:val="auto"/>
              </w:rPr>
            </w:pPr>
          </w:p>
        </w:tc>
        <w:tc>
          <w:tcPr>
            <w:tcW w:w="1578" w:type="dxa"/>
            <w:vAlign w:val="center"/>
          </w:tcPr>
          <w:p w14:paraId="2E9A6F17">
            <w:pPr>
              <w:spacing w:after="120"/>
              <w:ind w:left="210" w:hanging="210" w:hangingChars="100"/>
              <w:rPr>
                <w:rFonts w:ascii="宋体" w:hAnsi="宋体" w:cs="Times New Roman"/>
                <w:color w:val="auto"/>
              </w:rPr>
            </w:pPr>
            <w:r>
              <w:rPr>
                <w:rFonts w:hint="eastAsia" w:ascii="宋体" w:hAnsi="宋体" w:cs="Times New Roman"/>
                <w:color w:val="auto"/>
              </w:rPr>
              <w:t>投标产品制造商综合实力</w:t>
            </w:r>
          </w:p>
          <w:p w14:paraId="34CDDAD2">
            <w:pPr>
              <w:spacing w:after="120"/>
              <w:ind w:left="210" w:hanging="210" w:hangingChars="100"/>
              <w:rPr>
                <w:rFonts w:ascii="宋体" w:hAnsi="宋体" w:cs="Times New Roman"/>
                <w:color w:val="auto"/>
              </w:rPr>
            </w:pPr>
            <w:r>
              <w:rPr>
                <w:rFonts w:hint="eastAsia" w:ascii="宋体" w:hAnsi="宋体" w:cs="Times New Roman"/>
                <w:color w:val="auto"/>
              </w:rPr>
              <w:t>（</w:t>
            </w:r>
            <w:r>
              <w:rPr>
                <w:rFonts w:ascii="宋体" w:hAnsi="宋体" w:cs="Times New Roman"/>
                <w:color w:val="auto"/>
                <w:u w:val="single"/>
              </w:rPr>
              <w:t>6</w:t>
            </w:r>
            <w:r>
              <w:rPr>
                <w:rFonts w:hint="eastAsia" w:ascii="宋体" w:hAnsi="宋体" w:cs="Times New Roman"/>
                <w:color w:val="auto"/>
                <w:u w:val="single"/>
              </w:rPr>
              <w:t>分</w:t>
            </w:r>
            <w:r>
              <w:rPr>
                <w:rFonts w:hint="eastAsia" w:ascii="宋体" w:hAnsi="宋体" w:cs="Times New Roman"/>
                <w:color w:val="auto"/>
              </w:rPr>
              <w:t>）</w:t>
            </w:r>
          </w:p>
        </w:tc>
        <w:tc>
          <w:tcPr>
            <w:tcW w:w="6232" w:type="dxa"/>
            <w:vAlign w:val="center"/>
          </w:tcPr>
          <w:p w14:paraId="7E7A3ADF">
            <w:pPr>
              <w:widowControl/>
              <w:spacing w:line="276" w:lineRule="auto"/>
              <w:jc w:val="left"/>
              <w:rPr>
                <w:rFonts w:cs="Times New Roman"/>
                <w:color w:val="auto"/>
                <w:kern w:val="0"/>
                <w:szCs w:val="24"/>
              </w:rPr>
            </w:pPr>
            <w:r>
              <w:rPr>
                <w:rFonts w:hint="eastAsia" w:ascii="宋体" w:hAnsi="宋体"/>
                <w:color w:val="auto"/>
              </w:rPr>
              <w:t>1、</w:t>
            </w:r>
            <w:r>
              <w:rPr>
                <w:rFonts w:cs="Times New Roman"/>
                <w:color w:val="auto"/>
                <w:kern w:val="0"/>
                <w:szCs w:val="24"/>
              </w:rPr>
              <w:t>为保证</w:t>
            </w:r>
            <w:r>
              <w:rPr>
                <w:rFonts w:hint="eastAsia" w:cs="Times New Roman"/>
                <w:color w:val="auto"/>
                <w:kern w:val="0"/>
                <w:szCs w:val="24"/>
              </w:rPr>
              <w:t>使用</w:t>
            </w:r>
            <w:r>
              <w:rPr>
                <w:rFonts w:cs="Times New Roman"/>
                <w:color w:val="auto"/>
                <w:kern w:val="0"/>
                <w:szCs w:val="24"/>
              </w:rPr>
              <w:t>兼容性、稳定性、拓展性及产品安全性，投标人</w:t>
            </w:r>
            <w:r>
              <w:rPr>
                <w:rFonts w:hint="eastAsia" w:cs="Times New Roman"/>
                <w:color w:val="auto"/>
                <w:kern w:val="0"/>
                <w:szCs w:val="24"/>
              </w:rPr>
              <w:t>出具有</w:t>
            </w:r>
            <w:r>
              <w:rPr>
                <w:rFonts w:cs="Times New Roman"/>
                <w:color w:val="auto"/>
                <w:kern w:val="0"/>
                <w:szCs w:val="24"/>
              </w:rPr>
              <w:t>所投</w:t>
            </w:r>
            <w:r>
              <w:rPr>
                <w:rFonts w:hint="eastAsia" w:cs="Times New Roman"/>
                <w:color w:val="auto"/>
                <w:kern w:val="0"/>
                <w:szCs w:val="24"/>
              </w:rPr>
              <w:t>采购需求中标</w:t>
            </w:r>
            <w:r>
              <w:rPr>
                <w:rFonts w:hint="eastAsia" w:ascii="宋体" w:hAnsi="宋体" w:cs="宋体"/>
                <w:color w:val="auto"/>
                <w:kern w:val="0"/>
                <w:szCs w:val="24"/>
              </w:rPr>
              <w:t>△</w:t>
            </w:r>
            <w:r>
              <w:rPr>
                <w:rFonts w:hint="eastAsia" w:cs="Times New Roman"/>
                <w:color w:val="auto"/>
                <w:kern w:val="0"/>
                <w:szCs w:val="24"/>
              </w:rPr>
              <w:t>号项设备</w:t>
            </w:r>
            <w:r>
              <w:rPr>
                <w:rFonts w:cs="Times New Roman"/>
                <w:color w:val="auto"/>
                <w:kern w:val="0"/>
                <w:szCs w:val="24"/>
              </w:rPr>
              <w:t>生产厂商</w:t>
            </w:r>
            <w:r>
              <w:rPr>
                <w:rFonts w:hint="eastAsia" w:cs="Times New Roman"/>
                <w:color w:val="auto"/>
                <w:kern w:val="0"/>
                <w:szCs w:val="24"/>
              </w:rPr>
              <w:t>具有</w:t>
            </w:r>
            <w:r>
              <w:rPr>
                <w:rFonts w:cs="Times New Roman"/>
                <w:color w:val="auto"/>
                <w:kern w:val="0"/>
                <w:szCs w:val="24"/>
              </w:rPr>
              <w:t>标准化考点管理平台软件、考务基础信息管理平台软件、巡考专用网络摄像机管理软件的计算机软件著作权登记证书，提供相关证书齐全者得3分，否则不得分。</w:t>
            </w:r>
          </w:p>
          <w:p w14:paraId="0BCD5EE1">
            <w:pPr>
              <w:widowControl/>
              <w:spacing w:line="276" w:lineRule="auto"/>
              <w:jc w:val="left"/>
              <w:rPr>
                <w:rFonts w:ascii="宋体" w:hAnsi="宋体"/>
                <w:b/>
                <w:bCs/>
                <w:color w:val="auto"/>
              </w:rPr>
            </w:pPr>
            <w:r>
              <w:rPr>
                <w:rFonts w:hint="eastAsia" w:cs="Times New Roman"/>
                <w:color w:val="auto"/>
                <w:kern w:val="0"/>
                <w:szCs w:val="24"/>
              </w:rPr>
              <w:t>2、为保证使用稳定性，所投听力广播系统生产厂商提供数字IP网络广播服务器设备具有</w:t>
            </w:r>
            <w:r>
              <w:rPr>
                <w:rFonts w:cs="Times New Roman"/>
                <w:color w:val="auto"/>
                <w:kern w:val="0"/>
                <w:szCs w:val="24"/>
              </w:rPr>
              <w:t>中国节能认证产品认证证书</w:t>
            </w:r>
            <w:r>
              <w:rPr>
                <w:rFonts w:hint="eastAsia" w:cs="Times New Roman"/>
                <w:color w:val="auto"/>
                <w:kern w:val="0"/>
                <w:szCs w:val="24"/>
              </w:rPr>
              <w:t>及</w:t>
            </w:r>
            <w:r>
              <w:rPr>
                <w:rFonts w:cs="Times New Roman"/>
                <w:color w:val="auto"/>
                <w:kern w:val="0"/>
                <w:szCs w:val="24"/>
              </w:rPr>
              <w:t>中国环境标志产品认证证书</w:t>
            </w:r>
            <w:r>
              <w:rPr>
                <w:rFonts w:hint="eastAsia" w:cs="Times New Roman"/>
                <w:color w:val="auto"/>
                <w:kern w:val="0"/>
                <w:szCs w:val="24"/>
              </w:rPr>
              <w:t>，且</w:t>
            </w:r>
            <w:r>
              <w:rPr>
                <w:rFonts w:cs="Times New Roman"/>
                <w:color w:val="auto"/>
                <w:kern w:val="0"/>
                <w:szCs w:val="24"/>
              </w:rPr>
              <w:t>全国认证认可信息公共服务平台可查证的</w:t>
            </w:r>
            <w:r>
              <w:rPr>
                <w:rFonts w:hint="eastAsia" w:cs="Times New Roman"/>
                <w:color w:val="auto"/>
                <w:kern w:val="0"/>
                <w:szCs w:val="24"/>
              </w:rPr>
              <w:t>，提供相关证书齐全者得</w:t>
            </w:r>
            <w:r>
              <w:rPr>
                <w:rFonts w:cs="Times New Roman"/>
                <w:color w:val="auto"/>
                <w:kern w:val="0"/>
                <w:szCs w:val="24"/>
              </w:rPr>
              <w:t>3分，否则不得分。（提供权威认证机构颁发的证书复印件及平台查证结果截图）</w:t>
            </w:r>
          </w:p>
        </w:tc>
      </w:tr>
      <w:tr w14:paraId="14FD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7" w:hRule="atLeast"/>
        </w:trPr>
        <w:tc>
          <w:tcPr>
            <w:tcW w:w="1399" w:type="dxa"/>
            <w:vMerge w:val="continue"/>
            <w:vAlign w:val="center"/>
          </w:tcPr>
          <w:p w14:paraId="7DAE3ADE">
            <w:pPr>
              <w:widowControl/>
              <w:snapToGrid w:val="0"/>
              <w:spacing w:before="162" w:beforeLines="50"/>
              <w:ind w:leftChars="-2" w:hanging="4" w:hangingChars="2"/>
              <w:jc w:val="center"/>
              <w:rPr>
                <w:rFonts w:ascii="宋体" w:hAnsi="宋体"/>
                <w:color w:val="auto"/>
              </w:rPr>
            </w:pPr>
          </w:p>
        </w:tc>
        <w:tc>
          <w:tcPr>
            <w:tcW w:w="1578" w:type="dxa"/>
            <w:vAlign w:val="center"/>
          </w:tcPr>
          <w:p w14:paraId="66675C0D">
            <w:pPr>
              <w:spacing w:after="120"/>
              <w:ind w:left="210" w:hanging="210" w:hangingChars="100"/>
              <w:rPr>
                <w:rFonts w:ascii="宋体" w:hAnsi="宋体" w:cs="Times New Roman"/>
                <w:color w:val="auto"/>
              </w:rPr>
            </w:pPr>
            <w:r>
              <w:rPr>
                <w:rFonts w:hint="eastAsia" w:ascii="宋体" w:hAnsi="宋体" w:cs="Times New Roman"/>
                <w:color w:val="auto"/>
              </w:rPr>
              <w:t>实施、培训方案</w:t>
            </w:r>
          </w:p>
          <w:p w14:paraId="7F20C971">
            <w:pPr>
              <w:spacing w:after="120"/>
              <w:ind w:left="210" w:hanging="210" w:hangingChars="100"/>
              <w:rPr>
                <w:rFonts w:ascii="宋体" w:hAnsi="宋体" w:cs="Times New Roman"/>
                <w:color w:val="auto"/>
              </w:rPr>
            </w:pPr>
            <w:r>
              <w:rPr>
                <w:rFonts w:hint="eastAsia" w:ascii="宋体" w:hAnsi="宋体" w:cs="Times New Roman"/>
                <w:color w:val="auto"/>
              </w:rPr>
              <w:t>（</w:t>
            </w:r>
            <w:r>
              <w:rPr>
                <w:rFonts w:ascii="宋体" w:hAnsi="宋体" w:cs="Times New Roman"/>
                <w:color w:val="auto"/>
                <w:u w:val="single"/>
              </w:rPr>
              <w:t>10</w:t>
            </w:r>
            <w:r>
              <w:rPr>
                <w:rFonts w:hint="eastAsia" w:ascii="宋体" w:hAnsi="宋体" w:cs="Times New Roman"/>
                <w:color w:val="auto"/>
                <w:u w:val="single"/>
              </w:rPr>
              <w:t>分</w:t>
            </w:r>
            <w:r>
              <w:rPr>
                <w:rFonts w:hint="eastAsia" w:ascii="宋体" w:hAnsi="宋体" w:cs="Times New Roman"/>
                <w:color w:val="auto"/>
              </w:rPr>
              <w:t>）</w:t>
            </w:r>
          </w:p>
        </w:tc>
        <w:tc>
          <w:tcPr>
            <w:tcW w:w="6232" w:type="dxa"/>
            <w:vAlign w:val="center"/>
          </w:tcPr>
          <w:p w14:paraId="38CFB108">
            <w:pPr>
              <w:widowControl/>
              <w:jc w:val="left"/>
              <w:rPr>
                <w:rFonts w:ascii="宋体" w:hAnsi="宋体"/>
                <w:color w:val="auto"/>
              </w:rPr>
            </w:pPr>
            <w:bookmarkStart w:id="25" w:name="OLE_LINK20"/>
            <w:bookmarkStart w:id="26" w:name="OLE_LINK19"/>
            <w:r>
              <w:rPr>
                <w:rFonts w:ascii="宋体" w:hAnsi="宋体"/>
                <w:color w:val="auto"/>
              </w:rPr>
              <w:t>项目实施</w:t>
            </w:r>
            <w:r>
              <w:rPr>
                <w:rFonts w:hint="eastAsia" w:ascii="宋体" w:hAnsi="宋体"/>
                <w:color w:val="auto"/>
              </w:rPr>
              <w:t>、</w:t>
            </w:r>
            <w:r>
              <w:rPr>
                <w:rFonts w:ascii="宋体" w:hAnsi="宋体"/>
                <w:color w:val="auto"/>
              </w:rPr>
              <w:t>培训方案</w:t>
            </w:r>
            <w:bookmarkEnd w:id="25"/>
            <w:bookmarkEnd w:id="26"/>
            <w:r>
              <w:rPr>
                <w:rFonts w:ascii="宋体" w:hAnsi="宋体"/>
                <w:color w:val="auto"/>
              </w:rPr>
              <w:t>包括但不限于实施计划、实施管理、质量管理、培训内容、培训计划、培训方式、培训质量保证措施等方面，方案内容符合本项目实际需求、合理可行、阐述详实者得10分；仅简单描述且不缺项者得5分，否则不得分。</w:t>
            </w:r>
          </w:p>
        </w:tc>
      </w:tr>
      <w:tr w14:paraId="48B4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99" w:type="dxa"/>
            <w:vMerge w:val="continue"/>
            <w:vAlign w:val="center"/>
          </w:tcPr>
          <w:p w14:paraId="67F4A9DF">
            <w:pPr>
              <w:rPr>
                <w:rFonts w:ascii="宋体" w:hAnsi="宋体"/>
                <w:color w:val="auto"/>
              </w:rPr>
            </w:pPr>
          </w:p>
        </w:tc>
        <w:tc>
          <w:tcPr>
            <w:tcW w:w="1578" w:type="dxa"/>
            <w:vAlign w:val="center"/>
          </w:tcPr>
          <w:p w14:paraId="596AAA9E">
            <w:pPr>
              <w:spacing w:after="120"/>
              <w:ind w:left="420" w:leftChars="100" w:hanging="210" w:hangingChars="100"/>
              <w:rPr>
                <w:rFonts w:ascii="宋体" w:hAnsi="宋体" w:cs="Times New Roman"/>
                <w:color w:val="auto"/>
                <w:kern w:val="0"/>
              </w:rPr>
            </w:pPr>
            <w:r>
              <w:rPr>
                <w:rFonts w:hint="eastAsia" w:ascii="宋体" w:hAnsi="宋体" w:cs="Times New Roman"/>
                <w:color w:val="auto"/>
                <w:kern w:val="0"/>
              </w:rPr>
              <w:t>售后服务</w:t>
            </w:r>
          </w:p>
          <w:p w14:paraId="1C1FE2C0">
            <w:pPr>
              <w:spacing w:after="120"/>
              <w:ind w:left="420" w:leftChars="100" w:hanging="210" w:hangingChars="100"/>
              <w:rPr>
                <w:rFonts w:ascii="宋体" w:hAnsi="宋体" w:cs="Times New Roman"/>
                <w:color w:val="auto"/>
              </w:rPr>
            </w:pPr>
            <w:r>
              <w:rPr>
                <w:rFonts w:hint="eastAsia" w:ascii="宋体" w:hAnsi="宋体" w:cs="Times New Roman"/>
                <w:color w:val="auto"/>
                <w:kern w:val="0"/>
              </w:rPr>
              <w:t>（</w:t>
            </w:r>
            <w:r>
              <w:rPr>
                <w:rFonts w:ascii="宋体" w:hAnsi="宋体" w:cs="Times New Roman"/>
                <w:color w:val="auto"/>
                <w:kern w:val="0"/>
                <w:u w:val="single"/>
              </w:rPr>
              <w:t>10</w:t>
            </w:r>
            <w:r>
              <w:rPr>
                <w:rFonts w:hint="eastAsia" w:ascii="宋体" w:hAnsi="宋体" w:cs="Times New Roman"/>
                <w:color w:val="auto"/>
                <w:kern w:val="0"/>
                <w:u w:val="single"/>
              </w:rPr>
              <w:t>分</w:t>
            </w:r>
            <w:r>
              <w:rPr>
                <w:rFonts w:hint="eastAsia" w:ascii="宋体" w:hAnsi="宋体" w:cs="Times New Roman"/>
                <w:color w:val="auto"/>
                <w:kern w:val="0"/>
              </w:rPr>
              <w:t>）</w:t>
            </w:r>
          </w:p>
        </w:tc>
        <w:tc>
          <w:tcPr>
            <w:tcW w:w="6232" w:type="dxa"/>
            <w:vAlign w:val="center"/>
          </w:tcPr>
          <w:p w14:paraId="22D20321">
            <w:pPr>
              <w:widowControl/>
              <w:spacing w:line="276" w:lineRule="auto"/>
              <w:jc w:val="left"/>
              <w:rPr>
                <w:rFonts w:ascii="宋体" w:hAnsi="宋体"/>
                <w:color w:val="auto"/>
              </w:rPr>
            </w:pPr>
            <w:r>
              <w:rPr>
                <w:rFonts w:ascii="宋体" w:hAnsi="宋体"/>
                <w:color w:val="auto"/>
              </w:rPr>
              <w:t>1、投标人提供的售后服务方案中须明确售后服务体系、服务内容、服务方式、服务响应时间、到场时间和解决问题时间等，方案内容满足用户实际需求、合理可行、阐述详实者得</w:t>
            </w:r>
            <w:r>
              <w:rPr>
                <w:rFonts w:hint="eastAsia" w:ascii="宋体" w:hAnsi="宋体"/>
                <w:color w:val="auto"/>
              </w:rPr>
              <w:t>8</w:t>
            </w:r>
            <w:r>
              <w:rPr>
                <w:rFonts w:ascii="宋体" w:hAnsi="宋体"/>
                <w:color w:val="auto"/>
              </w:rPr>
              <w:t>分；方案内容</w:t>
            </w:r>
            <w:r>
              <w:rPr>
                <w:rFonts w:hint="eastAsia" w:ascii="宋体" w:hAnsi="宋体"/>
                <w:color w:val="auto"/>
              </w:rPr>
              <w:t>基本满足</w:t>
            </w:r>
            <w:r>
              <w:rPr>
                <w:rFonts w:ascii="宋体" w:hAnsi="宋体"/>
                <w:color w:val="auto"/>
              </w:rPr>
              <w:t>本项目实际需求、合理可行、阐述</w:t>
            </w:r>
            <w:r>
              <w:rPr>
                <w:rFonts w:hint="eastAsia" w:ascii="宋体" w:hAnsi="宋体"/>
                <w:color w:val="auto"/>
              </w:rPr>
              <w:t>一般</w:t>
            </w:r>
            <w:r>
              <w:rPr>
                <w:rFonts w:ascii="宋体" w:hAnsi="宋体"/>
                <w:color w:val="auto"/>
              </w:rPr>
              <w:t>得</w:t>
            </w:r>
            <w:r>
              <w:rPr>
                <w:rFonts w:hint="eastAsia" w:ascii="宋体" w:hAnsi="宋体"/>
                <w:color w:val="auto"/>
              </w:rPr>
              <w:t>5</w:t>
            </w:r>
            <w:r>
              <w:rPr>
                <w:rFonts w:ascii="宋体" w:hAnsi="宋体"/>
                <w:color w:val="auto"/>
              </w:rPr>
              <w:t>分；仅简单描述且不缺项者得</w:t>
            </w:r>
            <w:r>
              <w:rPr>
                <w:rFonts w:hint="eastAsia" w:ascii="宋体" w:hAnsi="宋体"/>
                <w:color w:val="auto"/>
              </w:rPr>
              <w:t>2</w:t>
            </w:r>
            <w:r>
              <w:rPr>
                <w:rFonts w:ascii="宋体" w:hAnsi="宋体"/>
                <w:color w:val="auto"/>
              </w:rPr>
              <w:t>分，否则不得分</w:t>
            </w:r>
          </w:p>
          <w:p w14:paraId="36947C15">
            <w:pPr>
              <w:widowControl/>
              <w:spacing w:line="276" w:lineRule="auto"/>
              <w:jc w:val="left"/>
              <w:rPr>
                <w:rFonts w:ascii="宋体" w:hAnsi="宋体"/>
                <w:color w:val="auto"/>
              </w:rPr>
            </w:pPr>
            <w:r>
              <w:rPr>
                <w:rFonts w:hint="eastAsia" w:ascii="宋体" w:hAnsi="宋体"/>
                <w:color w:val="auto"/>
              </w:rPr>
              <w:t>2</w:t>
            </w:r>
            <w:r>
              <w:rPr>
                <w:rFonts w:ascii="宋体" w:hAnsi="宋体"/>
                <w:color w:val="auto"/>
              </w:rPr>
              <w:t>、投标人提供的质保期高于招标要求的，每增加一年得一分，最多得2分</w:t>
            </w:r>
            <w:r>
              <w:rPr>
                <w:rFonts w:hint="eastAsia" w:ascii="宋体" w:hAnsi="宋体"/>
                <w:color w:val="auto"/>
              </w:rPr>
              <w:t>。</w:t>
            </w:r>
          </w:p>
        </w:tc>
      </w:tr>
      <w:tr w14:paraId="42B04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6" w:hRule="atLeast"/>
        </w:trPr>
        <w:tc>
          <w:tcPr>
            <w:tcW w:w="1399" w:type="dxa"/>
            <w:tcBorders>
              <w:right w:val="single" w:color="auto" w:sz="4" w:space="0"/>
            </w:tcBorders>
            <w:vAlign w:val="center"/>
          </w:tcPr>
          <w:p w14:paraId="41A4F2D6">
            <w:pPr>
              <w:widowControl/>
              <w:snapToGrid w:val="0"/>
              <w:spacing w:before="162" w:beforeLines="50"/>
              <w:jc w:val="center"/>
              <w:rPr>
                <w:rFonts w:ascii="宋体" w:hAnsi="宋体" w:cs="宋体"/>
                <w:color w:val="auto"/>
                <w:kern w:val="0"/>
                <w:lang w:val="zh-CN"/>
              </w:rPr>
            </w:pPr>
            <w:r>
              <w:rPr>
                <w:rFonts w:hint="eastAsia" w:ascii="宋体" w:hAnsi="宋体" w:cs="宋体"/>
                <w:color w:val="auto"/>
                <w:kern w:val="0"/>
                <w:lang w:val="zh-CN"/>
              </w:rPr>
              <w:t>技术部分</w:t>
            </w:r>
          </w:p>
          <w:p w14:paraId="2842ABC3">
            <w:pPr>
              <w:widowControl/>
              <w:snapToGrid w:val="0"/>
              <w:spacing w:before="162" w:beforeLines="50"/>
              <w:jc w:val="center"/>
              <w:rPr>
                <w:rFonts w:ascii="宋体" w:hAnsi="宋体" w:cs="宋体"/>
                <w:color w:val="auto"/>
                <w:kern w:val="0"/>
                <w:lang w:val="zh-CN"/>
              </w:rPr>
            </w:pPr>
            <w:r>
              <w:rPr>
                <w:rFonts w:hint="eastAsia" w:ascii="宋体" w:hAnsi="宋体" w:cs="宋体"/>
                <w:color w:val="auto"/>
                <w:kern w:val="0"/>
                <w:lang w:val="zh-CN"/>
              </w:rPr>
              <w:t>（</w:t>
            </w:r>
            <w:r>
              <w:rPr>
                <w:rFonts w:hint="eastAsia" w:ascii="宋体" w:hAnsi="宋体" w:cs="宋体"/>
                <w:color w:val="auto"/>
                <w:kern w:val="0"/>
                <w:u w:val="single"/>
              </w:rPr>
              <w:t>30</w:t>
            </w:r>
            <w:r>
              <w:rPr>
                <w:rFonts w:hint="eastAsia" w:ascii="宋体" w:hAnsi="宋体" w:cs="宋体"/>
                <w:color w:val="auto"/>
                <w:kern w:val="0"/>
                <w:u w:val="single"/>
                <w:lang w:val="zh-CN"/>
              </w:rPr>
              <w:t>分</w:t>
            </w:r>
            <w:r>
              <w:rPr>
                <w:rFonts w:hint="eastAsia" w:ascii="宋体" w:hAnsi="宋体" w:cs="宋体"/>
                <w:color w:val="auto"/>
                <w:kern w:val="0"/>
                <w:lang w:val="zh-CN"/>
              </w:rPr>
              <w:t>）</w:t>
            </w:r>
          </w:p>
        </w:tc>
        <w:tc>
          <w:tcPr>
            <w:tcW w:w="7810" w:type="dxa"/>
            <w:gridSpan w:val="2"/>
            <w:tcBorders>
              <w:right w:val="single" w:color="auto" w:sz="4" w:space="0"/>
            </w:tcBorders>
            <w:vAlign w:val="center"/>
          </w:tcPr>
          <w:p w14:paraId="42D254BB">
            <w:pPr>
              <w:widowControl/>
              <w:spacing w:line="276" w:lineRule="auto"/>
              <w:jc w:val="left"/>
              <w:rPr>
                <w:rFonts w:ascii="宋体" w:hAnsi="宋体" w:cs="宋体"/>
                <w:color w:val="auto"/>
                <w:kern w:val="0"/>
              </w:rPr>
            </w:pPr>
            <w:r>
              <w:rPr>
                <w:rFonts w:hint="eastAsia" w:ascii="宋体" w:hAnsi="宋体" w:cs="宋体"/>
                <w:color w:val="auto"/>
                <w:kern w:val="0"/>
              </w:rPr>
              <w:t>1</w:t>
            </w:r>
            <w:r>
              <w:rPr>
                <w:rFonts w:ascii="宋体" w:hAnsi="宋体" w:cs="宋体"/>
                <w:color w:val="auto"/>
                <w:kern w:val="0"/>
              </w:rPr>
              <w:t>、按照教育部《国家教育考试网上巡查系统视频标准技术规范（2017版）》和《河南省国家教育考试标准化考点建设视频及网络监考技术参考标准（暂行）》</w:t>
            </w:r>
            <w:r>
              <w:rPr>
                <w:rFonts w:hint="eastAsia" w:ascii="宋体" w:hAnsi="宋体" w:cs="宋体"/>
                <w:color w:val="auto"/>
                <w:kern w:val="0"/>
              </w:rPr>
              <w:t>要求</w:t>
            </w:r>
            <w:r>
              <w:rPr>
                <w:rFonts w:ascii="宋体" w:hAnsi="宋体" w:cs="宋体"/>
                <w:color w:val="auto"/>
                <w:kern w:val="0"/>
              </w:rPr>
              <w:t>，本次建设的标准化考场系统包含</w:t>
            </w:r>
            <w:r>
              <w:rPr>
                <w:rFonts w:hint="eastAsia" w:ascii="宋体" w:hAnsi="宋体" w:cs="宋体"/>
                <w:color w:val="auto"/>
                <w:kern w:val="0"/>
              </w:rPr>
              <w:t>智能视频监考系统软件</w:t>
            </w:r>
            <w:r>
              <w:rPr>
                <w:rFonts w:ascii="宋体" w:hAnsi="宋体" w:cs="宋体"/>
                <w:color w:val="auto"/>
                <w:kern w:val="0"/>
              </w:rPr>
              <w:t>，</w:t>
            </w:r>
            <w:r>
              <w:rPr>
                <w:rFonts w:hint="eastAsia" w:ascii="宋体" w:hAnsi="宋体" w:cs="宋体"/>
                <w:color w:val="auto"/>
                <w:kern w:val="0"/>
              </w:rPr>
              <w:t>投标人</w:t>
            </w:r>
            <w:r>
              <w:rPr>
                <w:rFonts w:hint="eastAsia" w:ascii="宋体" w:hAnsi="宋体" w:cs="宋体"/>
                <w:color w:val="auto"/>
                <w:kern w:val="0"/>
                <w:lang w:val="en-US" w:eastAsia="zh-CN"/>
              </w:rPr>
              <w:t>须提供</w:t>
            </w:r>
            <w:r>
              <w:rPr>
                <w:rFonts w:hint="eastAsia" w:ascii="宋体" w:hAnsi="宋体" w:cs="宋体"/>
                <w:color w:val="auto"/>
                <w:kern w:val="0"/>
              </w:rPr>
              <w:t>加</w:t>
            </w:r>
            <w:r>
              <w:rPr>
                <w:rFonts w:hint="eastAsia" w:ascii="宋体" w:hAnsi="宋体" w:cs="宋体"/>
                <w:b/>
                <w:bCs/>
                <w:color w:val="auto"/>
                <w:kern w:val="0"/>
              </w:rPr>
              <w:t>※</w:t>
            </w:r>
            <w:r>
              <w:rPr>
                <w:rFonts w:hint="eastAsia" w:ascii="宋体" w:hAnsi="宋体" w:cs="宋体"/>
                <w:color w:val="auto"/>
                <w:kern w:val="0"/>
              </w:rPr>
              <w:t>号参数的</w:t>
            </w:r>
            <w:r>
              <w:rPr>
                <w:rFonts w:ascii="宋体" w:hAnsi="宋体" w:cs="宋体"/>
                <w:color w:val="auto"/>
                <w:kern w:val="0"/>
              </w:rPr>
              <w:t>功能实现承诺函及功能界面截图</w:t>
            </w:r>
            <w:r>
              <w:rPr>
                <w:rFonts w:hint="eastAsia" w:ascii="宋体" w:hAnsi="宋体" w:cs="宋体"/>
                <w:color w:val="auto"/>
                <w:kern w:val="0"/>
                <w:lang w:eastAsia="zh-CN"/>
              </w:rPr>
              <w:t>，</w:t>
            </w:r>
            <w:r>
              <w:rPr>
                <w:rFonts w:hint="eastAsia" w:ascii="宋体" w:hAnsi="宋体" w:cs="宋体"/>
                <w:color w:val="auto"/>
                <w:kern w:val="0"/>
                <w:lang w:val="en-US" w:eastAsia="zh-CN"/>
              </w:rPr>
              <w:t>提供1项得1分</w:t>
            </w:r>
            <w:r>
              <w:rPr>
                <w:rFonts w:ascii="宋体" w:hAnsi="宋体" w:cs="宋体"/>
                <w:color w:val="auto"/>
                <w:kern w:val="0"/>
              </w:rPr>
              <w:t>。</w:t>
            </w:r>
            <w:r>
              <w:rPr>
                <w:rFonts w:hint="eastAsia" w:ascii="宋体" w:hAnsi="宋体" w:cs="宋体"/>
                <w:color w:val="auto"/>
                <w:kern w:val="0"/>
              </w:rPr>
              <w:t>此项最多得</w:t>
            </w:r>
            <w:r>
              <w:rPr>
                <w:rFonts w:ascii="宋体" w:hAnsi="宋体" w:cs="宋体"/>
                <w:color w:val="auto"/>
                <w:kern w:val="0"/>
              </w:rPr>
              <w:t>4</w:t>
            </w:r>
            <w:r>
              <w:rPr>
                <w:rFonts w:hint="eastAsia" w:ascii="宋体" w:hAnsi="宋体" w:cs="宋体"/>
                <w:color w:val="auto"/>
                <w:kern w:val="0"/>
              </w:rPr>
              <w:t>分。</w:t>
            </w:r>
          </w:p>
          <w:p w14:paraId="51191B3F">
            <w:pPr>
              <w:widowControl/>
              <w:spacing w:line="276" w:lineRule="auto"/>
              <w:jc w:val="left"/>
              <w:rPr>
                <w:rFonts w:hint="eastAsia" w:ascii="宋体" w:hAnsi="宋体" w:cs="宋体"/>
                <w:color w:val="auto"/>
                <w:kern w:val="0"/>
              </w:rPr>
            </w:pPr>
            <w:r>
              <w:rPr>
                <w:rFonts w:hint="eastAsia" w:ascii="宋体" w:hAnsi="宋体" w:cs="宋体"/>
                <w:color w:val="auto"/>
                <w:kern w:val="0"/>
              </w:rPr>
              <w:t>2</w:t>
            </w:r>
            <w:r>
              <w:rPr>
                <w:rFonts w:ascii="宋体" w:hAnsi="宋体" w:cs="宋体"/>
                <w:color w:val="auto"/>
                <w:kern w:val="0"/>
              </w:rPr>
              <w:t>、根据国家教育考试标准化考点建设的要求，</w:t>
            </w:r>
            <w:r>
              <w:rPr>
                <w:rFonts w:hint="eastAsia" w:ascii="宋体" w:hAnsi="宋体" w:cs="宋体"/>
                <w:color w:val="auto"/>
                <w:kern w:val="0"/>
              </w:rPr>
              <w:t>红外高清半球摄像机和球型摄像机</w:t>
            </w:r>
            <w:r>
              <w:rPr>
                <w:rFonts w:ascii="宋体" w:hAnsi="宋体" w:cs="宋体"/>
                <w:color w:val="auto"/>
                <w:kern w:val="0"/>
              </w:rPr>
              <w:t>通道名称</w:t>
            </w:r>
            <w:r>
              <w:rPr>
                <w:rFonts w:hint="eastAsia" w:ascii="宋体" w:hAnsi="宋体" w:cs="宋体"/>
                <w:color w:val="auto"/>
                <w:kern w:val="0"/>
              </w:rPr>
              <w:t>需</w:t>
            </w:r>
            <w:r>
              <w:rPr>
                <w:rFonts w:ascii="宋体" w:hAnsi="宋体" w:cs="宋体"/>
                <w:color w:val="auto"/>
                <w:kern w:val="0"/>
              </w:rPr>
              <w:t>支持使用河南省考务综合管理平台OSD插件，一键OSD设置摄像机通道名称，</w:t>
            </w:r>
            <w:r>
              <w:rPr>
                <w:rFonts w:hint="eastAsia" w:ascii="宋体" w:hAnsi="宋体" w:cs="宋体"/>
                <w:color w:val="auto"/>
                <w:kern w:val="0"/>
              </w:rPr>
              <w:t>投标人</w:t>
            </w:r>
            <w:r>
              <w:rPr>
                <w:rFonts w:hint="eastAsia" w:ascii="宋体" w:hAnsi="宋体" w:cs="宋体"/>
                <w:color w:val="auto"/>
                <w:kern w:val="0"/>
                <w:lang w:val="en-US" w:eastAsia="zh-CN"/>
              </w:rPr>
              <w:t>须提供</w:t>
            </w:r>
            <w:r>
              <w:rPr>
                <w:rFonts w:hint="eastAsia" w:ascii="宋体" w:hAnsi="宋体" w:cs="宋体"/>
                <w:color w:val="auto"/>
                <w:kern w:val="0"/>
              </w:rPr>
              <w:t>加</w:t>
            </w:r>
            <w:r>
              <w:rPr>
                <w:rFonts w:hint="eastAsia" w:ascii="宋体" w:hAnsi="宋体" w:cs="宋体"/>
                <w:b/>
                <w:bCs/>
                <w:color w:val="auto"/>
                <w:kern w:val="0"/>
              </w:rPr>
              <w:t>※</w:t>
            </w:r>
            <w:r>
              <w:rPr>
                <w:rFonts w:hint="eastAsia" w:ascii="宋体" w:hAnsi="宋体" w:cs="宋体"/>
                <w:color w:val="auto"/>
                <w:kern w:val="0"/>
              </w:rPr>
              <w:t>号参数的</w:t>
            </w:r>
            <w:r>
              <w:rPr>
                <w:rFonts w:ascii="宋体" w:hAnsi="宋体" w:cs="宋体"/>
                <w:color w:val="auto"/>
                <w:kern w:val="0"/>
              </w:rPr>
              <w:t>功能实现承诺函及功能界面截图</w:t>
            </w:r>
            <w:r>
              <w:rPr>
                <w:rFonts w:hint="eastAsia" w:ascii="宋体" w:hAnsi="宋体" w:cs="宋体"/>
                <w:color w:val="auto"/>
                <w:kern w:val="0"/>
                <w:lang w:eastAsia="zh-CN"/>
              </w:rPr>
              <w:t>，</w:t>
            </w:r>
            <w:r>
              <w:rPr>
                <w:rFonts w:hint="eastAsia" w:ascii="宋体" w:hAnsi="宋体" w:cs="宋体"/>
                <w:color w:val="auto"/>
                <w:kern w:val="0"/>
                <w:lang w:val="en-US" w:eastAsia="zh-CN"/>
              </w:rPr>
              <w:t>提供1项得1分</w:t>
            </w:r>
            <w:r>
              <w:rPr>
                <w:rFonts w:ascii="宋体" w:hAnsi="宋体" w:cs="宋体"/>
                <w:color w:val="auto"/>
                <w:kern w:val="0"/>
              </w:rPr>
              <w:t>。</w:t>
            </w:r>
            <w:r>
              <w:rPr>
                <w:rFonts w:hint="eastAsia" w:ascii="宋体" w:hAnsi="宋体" w:cs="宋体"/>
                <w:color w:val="auto"/>
                <w:kern w:val="0"/>
              </w:rPr>
              <w:t>此项最多得</w:t>
            </w:r>
            <w:r>
              <w:rPr>
                <w:rFonts w:ascii="宋体" w:hAnsi="宋体" w:cs="宋体"/>
                <w:color w:val="auto"/>
                <w:kern w:val="0"/>
              </w:rPr>
              <w:t>4</w:t>
            </w:r>
            <w:r>
              <w:rPr>
                <w:rFonts w:hint="eastAsia" w:ascii="宋体" w:hAnsi="宋体" w:cs="宋体"/>
                <w:color w:val="auto"/>
                <w:kern w:val="0"/>
              </w:rPr>
              <w:t>分。</w:t>
            </w:r>
          </w:p>
          <w:p w14:paraId="56217F8E">
            <w:pPr>
              <w:widowControl/>
              <w:spacing w:line="276" w:lineRule="auto"/>
              <w:jc w:val="left"/>
              <w:rPr>
                <w:rFonts w:cs="Times New Roman"/>
                <w:color w:val="auto"/>
                <w:kern w:val="0"/>
                <w:szCs w:val="24"/>
              </w:rPr>
            </w:pPr>
            <w:r>
              <w:rPr>
                <w:rFonts w:hint="eastAsia" w:ascii="宋体" w:hAnsi="宋体" w:cs="宋体"/>
                <w:color w:val="auto"/>
                <w:kern w:val="0"/>
              </w:rPr>
              <w:t>3、为保障广播系统任务方案及操作稳定性，所投听力广播系统的智慧广播管理平台设备技术参数加</w:t>
            </w:r>
            <w:bookmarkStart w:id="27" w:name="OLE_LINK5"/>
            <w:bookmarkStart w:id="28" w:name="OLE_LINK6"/>
            <w:r>
              <w:rPr>
                <w:rFonts w:hint="eastAsia" w:ascii="宋体" w:hAnsi="宋体" w:cs="宋体"/>
                <w:b/>
                <w:color w:val="auto"/>
                <w:kern w:val="0"/>
              </w:rPr>
              <w:t>※</w:t>
            </w:r>
            <w:bookmarkEnd w:id="27"/>
            <w:bookmarkEnd w:id="28"/>
            <w:r>
              <w:rPr>
                <w:rFonts w:hint="eastAsia" w:ascii="宋体" w:hAnsi="宋体" w:cs="宋体"/>
                <w:bCs/>
                <w:color w:val="auto"/>
                <w:kern w:val="0"/>
              </w:rPr>
              <w:t>号功能的</w:t>
            </w:r>
            <w:r>
              <w:rPr>
                <w:rFonts w:hint="eastAsia" w:ascii="宋体" w:hAnsi="宋体" w:cs="宋体"/>
                <w:color w:val="auto"/>
                <w:kern w:val="0"/>
              </w:rPr>
              <w:t>，</w:t>
            </w:r>
            <w:r>
              <w:rPr>
                <w:rFonts w:hint="eastAsia" w:ascii="宋体" w:hAnsi="宋体" w:cs="宋体"/>
                <w:color w:val="auto"/>
                <w:kern w:val="0"/>
                <w:lang w:val="en-US" w:eastAsia="zh-CN"/>
              </w:rPr>
              <w:t>投标人须提供</w:t>
            </w:r>
            <w:r>
              <w:rPr>
                <w:rFonts w:hint="eastAsia" w:ascii="宋体" w:hAnsi="宋体" w:cs="宋体"/>
                <w:color w:val="auto"/>
                <w:kern w:val="0"/>
              </w:rPr>
              <w:t>加</w:t>
            </w:r>
            <w:r>
              <w:rPr>
                <w:rFonts w:hint="eastAsia" w:ascii="宋体" w:hAnsi="宋体" w:cs="宋体"/>
                <w:b/>
                <w:bCs/>
                <w:color w:val="auto"/>
                <w:kern w:val="0"/>
              </w:rPr>
              <w:t>※</w:t>
            </w:r>
            <w:r>
              <w:rPr>
                <w:rFonts w:hint="eastAsia" w:ascii="宋体" w:hAnsi="宋体" w:cs="宋体"/>
                <w:color w:val="auto"/>
                <w:kern w:val="0"/>
              </w:rPr>
              <w:t>号参数的</w:t>
            </w:r>
            <w:r>
              <w:rPr>
                <w:rFonts w:ascii="宋体" w:hAnsi="宋体" w:cs="宋体"/>
                <w:color w:val="auto"/>
                <w:kern w:val="0"/>
              </w:rPr>
              <w:t>功能实现承诺函及功能界面截图</w:t>
            </w:r>
            <w:r>
              <w:rPr>
                <w:rFonts w:hint="eastAsia" w:ascii="宋体" w:hAnsi="宋体" w:cs="宋体"/>
                <w:color w:val="auto"/>
                <w:kern w:val="0"/>
                <w:lang w:eastAsia="zh-CN"/>
              </w:rPr>
              <w:t>，</w:t>
            </w:r>
            <w:r>
              <w:rPr>
                <w:rFonts w:hint="eastAsia" w:ascii="宋体" w:hAnsi="宋体" w:cs="宋体"/>
                <w:color w:val="auto"/>
                <w:kern w:val="0"/>
                <w:lang w:val="en-US" w:eastAsia="zh-CN"/>
              </w:rPr>
              <w:t>提供1项得1分</w:t>
            </w:r>
            <w:r>
              <w:rPr>
                <w:rFonts w:ascii="宋体" w:hAnsi="宋体" w:cs="宋体"/>
                <w:color w:val="auto"/>
                <w:kern w:val="0"/>
              </w:rPr>
              <w:t>。</w:t>
            </w:r>
            <w:r>
              <w:rPr>
                <w:rFonts w:hint="eastAsia" w:ascii="宋体" w:hAnsi="宋体" w:cs="宋体"/>
                <w:color w:val="auto"/>
                <w:kern w:val="0"/>
              </w:rPr>
              <w:t>此项最多得</w:t>
            </w:r>
            <w:r>
              <w:rPr>
                <w:rFonts w:ascii="宋体" w:hAnsi="宋体" w:cs="宋体"/>
                <w:color w:val="auto"/>
                <w:kern w:val="0"/>
              </w:rPr>
              <w:t>3</w:t>
            </w:r>
            <w:r>
              <w:rPr>
                <w:rFonts w:hint="eastAsia" w:ascii="宋体" w:hAnsi="宋体" w:cs="宋体"/>
                <w:color w:val="auto"/>
                <w:kern w:val="0"/>
              </w:rPr>
              <w:t>分。</w:t>
            </w:r>
          </w:p>
          <w:p w14:paraId="08782028">
            <w:pPr>
              <w:widowControl/>
              <w:spacing w:line="276" w:lineRule="auto"/>
              <w:jc w:val="left"/>
              <w:rPr>
                <w:rFonts w:cs="Times New Roman"/>
                <w:color w:val="auto"/>
                <w:kern w:val="0"/>
                <w:szCs w:val="24"/>
              </w:rPr>
            </w:pPr>
            <w:r>
              <w:rPr>
                <w:rFonts w:hint="eastAsia" w:ascii="宋体" w:hAnsi="宋体" w:cs="宋体"/>
                <w:color w:val="auto"/>
                <w:kern w:val="0"/>
              </w:rPr>
              <w:t>4、所投电子化教学设备清单中的教学应用系统设备技术参数加</w:t>
            </w:r>
            <w:r>
              <w:rPr>
                <w:rFonts w:hint="eastAsia" w:ascii="宋体" w:hAnsi="宋体" w:cs="宋体"/>
                <w:b/>
                <w:bCs/>
                <w:color w:val="auto"/>
                <w:kern w:val="0"/>
              </w:rPr>
              <w:t>※</w:t>
            </w:r>
            <w:r>
              <w:rPr>
                <w:rFonts w:hint="eastAsia" w:ascii="宋体" w:hAnsi="宋体" w:cs="宋体"/>
                <w:color w:val="auto"/>
                <w:kern w:val="0"/>
              </w:rPr>
              <w:t>号功能的，</w:t>
            </w:r>
            <w:r>
              <w:rPr>
                <w:rFonts w:hint="eastAsia" w:ascii="宋体" w:hAnsi="宋体" w:cs="宋体"/>
                <w:color w:val="auto"/>
                <w:kern w:val="0"/>
                <w:lang w:val="en-US" w:eastAsia="zh-CN"/>
              </w:rPr>
              <w:t>投标人须提供</w:t>
            </w:r>
            <w:r>
              <w:rPr>
                <w:rFonts w:hint="eastAsia" w:ascii="宋体" w:hAnsi="宋体" w:cs="宋体"/>
                <w:color w:val="auto"/>
                <w:kern w:val="0"/>
              </w:rPr>
              <w:t>加</w:t>
            </w:r>
            <w:r>
              <w:rPr>
                <w:rFonts w:hint="eastAsia" w:ascii="宋体" w:hAnsi="宋体" w:cs="宋体"/>
                <w:b/>
                <w:bCs/>
                <w:color w:val="auto"/>
                <w:kern w:val="0"/>
              </w:rPr>
              <w:t>※</w:t>
            </w:r>
            <w:r>
              <w:rPr>
                <w:rFonts w:hint="eastAsia" w:ascii="宋体" w:hAnsi="宋体" w:cs="宋体"/>
                <w:color w:val="auto"/>
                <w:kern w:val="0"/>
              </w:rPr>
              <w:t>号参数的</w:t>
            </w:r>
            <w:r>
              <w:rPr>
                <w:rFonts w:ascii="宋体" w:hAnsi="宋体" w:cs="宋体"/>
                <w:color w:val="auto"/>
                <w:kern w:val="0"/>
              </w:rPr>
              <w:t>功能实现承诺函及功能界面截图</w:t>
            </w:r>
            <w:r>
              <w:rPr>
                <w:rFonts w:hint="eastAsia" w:ascii="宋体" w:hAnsi="宋体" w:cs="宋体"/>
                <w:color w:val="auto"/>
                <w:kern w:val="0"/>
                <w:lang w:eastAsia="zh-CN"/>
              </w:rPr>
              <w:t>，</w:t>
            </w:r>
            <w:r>
              <w:rPr>
                <w:rFonts w:hint="eastAsia" w:ascii="宋体" w:hAnsi="宋体" w:cs="宋体"/>
                <w:color w:val="auto"/>
                <w:kern w:val="0"/>
                <w:lang w:val="en-US" w:eastAsia="zh-CN"/>
              </w:rPr>
              <w:t>提供1项得1分</w:t>
            </w:r>
            <w:r>
              <w:rPr>
                <w:rFonts w:ascii="宋体" w:hAnsi="宋体" w:cs="宋体"/>
                <w:color w:val="auto"/>
                <w:kern w:val="0"/>
              </w:rPr>
              <w:t>。</w:t>
            </w:r>
            <w:r>
              <w:rPr>
                <w:rFonts w:hint="eastAsia" w:ascii="宋体" w:hAnsi="宋体" w:cs="宋体"/>
                <w:color w:val="auto"/>
                <w:kern w:val="0"/>
              </w:rPr>
              <w:t>此项最多得</w:t>
            </w:r>
            <w:r>
              <w:rPr>
                <w:rFonts w:ascii="宋体" w:hAnsi="宋体" w:cs="宋体"/>
                <w:color w:val="auto"/>
                <w:kern w:val="0"/>
              </w:rPr>
              <w:t>3</w:t>
            </w:r>
            <w:r>
              <w:rPr>
                <w:rFonts w:hint="eastAsia" w:ascii="宋体" w:hAnsi="宋体" w:cs="宋体"/>
                <w:color w:val="auto"/>
                <w:kern w:val="0"/>
              </w:rPr>
              <w:t>分。</w:t>
            </w:r>
          </w:p>
          <w:p w14:paraId="28EF9C8C">
            <w:pPr>
              <w:widowControl/>
              <w:spacing w:line="276" w:lineRule="auto"/>
              <w:jc w:val="left"/>
              <w:rPr>
                <w:rFonts w:ascii="宋体" w:hAnsi="宋体" w:cs="宋体"/>
                <w:color w:val="auto"/>
                <w:kern w:val="0"/>
              </w:rPr>
            </w:pPr>
            <w:r>
              <w:rPr>
                <w:rFonts w:ascii="宋体" w:hAnsi="宋体" w:cs="宋体"/>
                <w:color w:val="auto"/>
                <w:kern w:val="0"/>
              </w:rPr>
              <w:t>5</w:t>
            </w:r>
            <w:r>
              <w:rPr>
                <w:rFonts w:hint="eastAsia" w:ascii="宋体" w:hAnsi="宋体" w:cs="宋体"/>
                <w:color w:val="auto"/>
                <w:kern w:val="0"/>
              </w:rPr>
              <w:t>、</w:t>
            </w:r>
            <w:r>
              <w:rPr>
                <w:rFonts w:hint="eastAsia" w:ascii="宋体" w:hAnsi="宋体" w:cs="宋体"/>
                <w:color w:val="auto"/>
                <w:kern w:val="0"/>
                <w:lang w:val="zh-CN"/>
              </w:rPr>
              <w:t>招标文件采购清单中所要求产品技术参数需完全满足，其中加“▲”标注的参数为重要技术参数，须提供第三方检测报告扫描件并加盖</w:t>
            </w:r>
            <w:r>
              <w:rPr>
                <w:rFonts w:hint="eastAsia" w:ascii="宋体" w:hAnsi="宋体" w:cs="宋体"/>
                <w:color w:val="auto"/>
                <w:kern w:val="0"/>
                <w:lang w:val="en-US" w:eastAsia="zh-CN"/>
              </w:rPr>
              <w:t>投标人</w:t>
            </w:r>
            <w:r>
              <w:rPr>
                <w:rFonts w:hint="eastAsia" w:ascii="宋体" w:hAnsi="宋体" w:cs="宋体"/>
                <w:color w:val="auto"/>
                <w:kern w:val="0"/>
                <w:lang w:val="zh-CN"/>
              </w:rPr>
              <w:t>公章佐证，提供</w:t>
            </w:r>
            <w:r>
              <w:rPr>
                <w:rFonts w:hint="eastAsia" w:ascii="宋体" w:hAnsi="宋体" w:cs="宋体"/>
                <w:color w:val="auto"/>
                <w:kern w:val="0"/>
                <w:lang w:val="en-US" w:eastAsia="zh-CN"/>
              </w:rPr>
              <w:t>1份</w:t>
            </w:r>
            <w:r>
              <w:rPr>
                <w:rFonts w:hint="eastAsia" w:ascii="宋体" w:hAnsi="宋体" w:cs="宋体"/>
                <w:color w:val="auto"/>
                <w:kern w:val="0"/>
                <w:lang w:val="zh-CN"/>
              </w:rPr>
              <w:t>检测报告</w:t>
            </w:r>
            <w:r>
              <w:rPr>
                <w:rFonts w:hint="eastAsia" w:ascii="宋体" w:hAnsi="宋体" w:cs="宋体"/>
                <w:color w:val="auto"/>
                <w:kern w:val="0"/>
                <w:lang w:val="en-US" w:eastAsia="zh-CN"/>
              </w:rPr>
              <w:t>得1分</w:t>
            </w:r>
            <w:r>
              <w:rPr>
                <w:rFonts w:hint="eastAsia" w:ascii="宋体" w:hAnsi="宋体" w:cs="宋体"/>
                <w:color w:val="auto"/>
                <w:kern w:val="0"/>
                <w:lang w:val="zh-CN"/>
              </w:rPr>
              <w:t>。未提供检测报告佐证的，不得分。</w:t>
            </w:r>
            <w:r>
              <w:rPr>
                <w:rFonts w:hint="eastAsia" w:ascii="宋体" w:hAnsi="宋体" w:cs="宋体"/>
                <w:color w:val="auto"/>
                <w:kern w:val="0"/>
              </w:rPr>
              <w:t>此项最多得</w:t>
            </w:r>
            <w:r>
              <w:rPr>
                <w:rFonts w:ascii="宋体" w:hAnsi="宋体" w:cs="宋体"/>
                <w:color w:val="auto"/>
                <w:kern w:val="0"/>
              </w:rPr>
              <w:t>16</w:t>
            </w:r>
            <w:r>
              <w:rPr>
                <w:rFonts w:hint="eastAsia" w:ascii="宋体" w:hAnsi="宋体" w:cs="宋体"/>
                <w:color w:val="auto"/>
                <w:kern w:val="0"/>
              </w:rPr>
              <w:t>分。</w:t>
            </w:r>
          </w:p>
        </w:tc>
      </w:tr>
      <w:tr w14:paraId="6EE4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9209" w:type="dxa"/>
            <w:gridSpan w:val="3"/>
            <w:tcBorders>
              <w:right w:val="single" w:color="auto" w:sz="4" w:space="0"/>
            </w:tcBorders>
            <w:vAlign w:val="center"/>
          </w:tcPr>
          <w:p w14:paraId="156CC8A3">
            <w:pPr>
              <w:widowControl/>
              <w:jc w:val="left"/>
              <w:rPr>
                <w:rFonts w:ascii="宋体" w:hAnsi="宋体" w:cs="宋体"/>
                <w:color w:val="auto"/>
                <w:kern w:val="0"/>
                <w:lang w:val="zh-CN"/>
              </w:rPr>
            </w:pPr>
            <w:r>
              <w:rPr>
                <w:rFonts w:hint="eastAsia" w:ascii="宋体" w:hAnsi="宋体" w:cs="宋体"/>
                <w:b/>
                <w:bCs/>
                <w:color w:val="auto"/>
                <w:kern w:val="0"/>
                <w:lang w:val="zh-CN"/>
              </w:rPr>
              <w:t>注：评标标准中所涉及到的证书及材料不需提供原件，均应在电子投标文件中提供原件扫描件（或图片）。</w:t>
            </w:r>
          </w:p>
        </w:tc>
      </w:tr>
    </w:tbl>
    <w:p w14:paraId="67C95351">
      <w:pPr>
        <w:spacing w:line="360" w:lineRule="auto"/>
        <w:ind w:firstLine="422" w:firstLineChars="200"/>
        <w:rPr>
          <w:rFonts w:ascii="宋体" w:hAnsi="宋体" w:cs="仿宋_GB2312"/>
          <w:b/>
          <w:color w:val="auto"/>
          <w:lang w:val="zh-CN"/>
        </w:rPr>
      </w:pPr>
    </w:p>
    <w:p w14:paraId="5A4FDFF0">
      <w:pPr>
        <w:rPr>
          <w:color w:val="auto"/>
        </w:rPr>
      </w:pPr>
    </w:p>
    <w:p w14:paraId="420E427F">
      <w:pPr>
        <w:rPr>
          <w:color w:val="auto"/>
        </w:rPr>
      </w:pPr>
    </w:p>
    <w:p w14:paraId="26A6C8BC">
      <w:pPr>
        <w:spacing w:line="360" w:lineRule="auto"/>
        <w:ind w:firstLine="422" w:firstLineChars="200"/>
        <w:rPr>
          <w:rFonts w:ascii="宋体" w:hAnsi="宋体" w:cs="仿宋_GB2312"/>
          <w:b/>
          <w:color w:val="auto"/>
          <w:lang w:val="zh-CN"/>
        </w:rPr>
      </w:pPr>
      <w:r>
        <w:rPr>
          <w:rFonts w:hint="eastAsia" w:ascii="宋体" w:hAnsi="宋体" w:cs="仿宋_GB2312"/>
          <w:b/>
          <w:color w:val="auto"/>
          <w:lang w:val="zh-CN"/>
        </w:rPr>
        <w:t>其中：价格分计算（落实政府采购政策价格调整部分）</w:t>
      </w:r>
    </w:p>
    <w:tbl>
      <w:tblPr>
        <w:tblStyle w:val="30"/>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823"/>
        <w:gridCol w:w="2552"/>
        <w:gridCol w:w="2835"/>
      </w:tblGrid>
      <w:tr w14:paraId="3B2B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vAlign w:val="center"/>
          </w:tcPr>
          <w:p w14:paraId="0C8A3E5F">
            <w:pPr>
              <w:jc w:val="center"/>
              <w:rPr>
                <w:rFonts w:ascii="宋体" w:hAnsi="宋体"/>
                <w:b/>
                <w:color w:val="auto"/>
                <w:sz w:val="24"/>
              </w:rPr>
            </w:pPr>
            <w:r>
              <w:rPr>
                <w:rFonts w:hint="eastAsia" w:ascii="宋体" w:hAnsi="宋体"/>
                <w:b/>
                <w:color w:val="auto"/>
                <w:sz w:val="24"/>
              </w:rPr>
              <w:t>序号</w:t>
            </w:r>
          </w:p>
        </w:tc>
        <w:tc>
          <w:tcPr>
            <w:tcW w:w="2823" w:type="dxa"/>
            <w:vAlign w:val="center"/>
          </w:tcPr>
          <w:p w14:paraId="36AF1F16">
            <w:pPr>
              <w:jc w:val="center"/>
              <w:rPr>
                <w:rFonts w:ascii="宋体" w:hAnsi="宋体"/>
                <w:b/>
                <w:color w:val="auto"/>
                <w:sz w:val="24"/>
              </w:rPr>
            </w:pPr>
            <w:r>
              <w:rPr>
                <w:rFonts w:hint="eastAsia" w:ascii="宋体" w:hAnsi="宋体"/>
                <w:b/>
                <w:color w:val="auto"/>
                <w:sz w:val="24"/>
              </w:rPr>
              <w:t>情形</w:t>
            </w:r>
          </w:p>
        </w:tc>
        <w:tc>
          <w:tcPr>
            <w:tcW w:w="2552" w:type="dxa"/>
            <w:vAlign w:val="center"/>
          </w:tcPr>
          <w:p w14:paraId="7AB0224C">
            <w:pPr>
              <w:jc w:val="center"/>
              <w:rPr>
                <w:rFonts w:ascii="宋体" w:hAnsi="宋体"/>
                <w:b/>
                <w:color w:val="auto"/>
                <w:sz w:val="24"/>
              </w:rPr>
            </w:pPr>
            <w:r>
              <w:rPr>
                <w:rFonts w:hint="eastAsia" w:ascii="宋体" w:hAnsi="宋体"/>
                <w:b/>
                <w:color w:val="auto"/>
                <w:sz w:val="24"/>
              </w:rPr>
              <w:t>价格扣除比例</w:t>
            </w:r>
          </w:p>
        </w:tc>
        <w:tc>
          <w:tcPr>
            <w:tcW w:w="2835" w:type="dxa"/>
            <w:vAlign w:val="center"/>
          </w:tcPr>
          <w:p w14:paraId="0D58F74C">
            <w:pPr>
              <w:jc w:val="center"/>
              <w:rPr>
                <w:rFonts w:ascii="宋体" w:hAnsi="宋体"/>
                <w:b/>
                <w:color w:val="auto"/>
                <w:sz w:val="24"/>
              </w:rPr>
            </w:pPr>
            <w:r>
              <w:rPr>
                <w:rFonts w:hint="eastAsia" w:ascii="宋体" w:hAnsi="宋体"/>
                <w:b/>
                <w:color w:val="auto"/>
                <w:sz w:val="24"/>
              </w:rPr>
              <w:t>计算公式</w:t>
            </w:r>
          </w:p>
        </w:tc>
      </w:tr>
      <w:tr w14:paraId="4B309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vAlign w:val="center"/>
          </w:tcPr>
          <w:p w14:paraId="3FE33A29">
            <w:pPr>
              <w:jc w:val="center"/>
              <w:rPr>
                <w:rFonts w:ascii="宋体" w:hAnsi="宋体"/>
                <w:b/>
                <w:color w:val="auto"/>
                <w:sz w:val="24"/>
              </w:rPr>
            </w:pPr>
            <w:r>
              <w:rPr>
                <w:rFonts w:hint="eastAsia" w:ascii="宋体" w:hAnsi="宋体"/>
                <w:b/>
                <w:color w:val="auto"/>
                <w:sz w:val="24"/>
              </w:rPr>
              <w:t>1</w:t>
            </w:r>
          </w:p>
        </w:tc>
        <w:tc>
          <w:tcPr>
            <w:tcW w:w="2823" w:type="dxa"/>
            <w:tcBorders>
              <w:left w:val="single" w:color="auto" w:sz="4" w:space="0"/>
            </w:tcBorders>
            <w:vAlign w:val="center"/>
          </w:tcPr>
          <w:p w14:paraId="106747F4">
            <w:pPr>
              <w:jc w:val="center"/>
              <w:rPr>
                <w:rFonts w:ascii="宋体" w:hAnsi="宋体"/>
                <w:b/>
                <w:color w:val="auto"/>
                <w:sz w:val="24"/>
              </w:rPr>
            </w:pPr>
            <w:r>
              <w:rPr>
                <w:rFonts w:hint="eastAsia" w:ascii="宋体" w:hAnsi="宋体"/>
                <w:color w:val="auto"/>
                <w:sz w:val="24"/>
              </w:rPr>
              <w:t>非联合体投标人</w:t>
            </w:r>
          </w:p>
        </w:tc>
        <w:tc>
          <w:tcPr>
            <w:tcW w:w="2552" w:type="dxa"/>
            <w:tcBorders>
              <w:left w:val="single" w:color="auto" w:sz="4" w:space="0"/>
            </w:tcBorders>
            <w:vAlign w:val="center"/>
          </w:tcPr>
          <w:p w14:paraId="6C2DDB94">
            <w:pPr>
              <w:jc w:val="center"/>
              <w:rPr>
                <w:rFonts w:ascii="ˎ̥" w:hAnsi="ˎ̥"/>
                <w:color w:val="auto"/>
                <w:sz w:val="24"/>
              </w:rPr>
            </w:pPr>
            <w:r>
              <w:rPr>
                <w:rFonts w:hint="eastAsia" w:ascii="ˎ̥" w:hAnsi="ˎ̥"/>
                <w:color w:val="auto"/>
                <w:sz w:val="24"/>
              </w:rPr>
              <w:t>对小型和微型企业报价</w:t>
            </w:r>
          </w:p>
          <w:p w14:paraId="360A874C">
            <w:pPr>
              <w:jc w:val="center"/>
              <w:rPr>
                <w:rFonts w:ascii="宋体" w:hAnsi="宋体"/>
                <w:b/>
                <w:color w:val="auto"/>
                <w:sz w:val="24"/>
              </w:rPr>
            </w:pPr>
            <w:r>
              <w:rPr>
                <w:rFonts w:hint="eastAsia" w:ascii="ˎ̥" w:hAnsi="ˎ̥"/>
                <w:color w:val="auto"/>
                <w:sz w:val="24"/>
              </w:rPr>
              <w:t>扣除20%</w:t>
            </w:r>
          </w:p>
        </w:tc>
        <w:tc>
          <w:tcPr>
            <w:tcW w:w="2835" w:type="dxa"/>
            <w:vMerge w:val="restart"/>
            <w:tcBorders>
              <w:left w:val="single" w:color="auto" w:sz="4" w:space="0"/>
            </w:tcBorders>
            <w:vAlign w:val="center"/>
          </w:tcPr>
          <w:p w14:paraId="1103BF59">
            <w:pPr>
              <w:jc w:val="center"/>
              <w:rPr>
                <w:color w:val="auto"/>
                <w:sz w:val="24"/>
              </w:rPr>
            </w:pPr>
            <w:r>
              <w:rPr>
                <w:rFonts w:hint="eastAsia"/>
                <w:color w:val="auto"/>
                <w:sz w:val="24"/>
              </w:rPr>
              <w:t>评标价格＝</w:t>
            </w:r>
            <w:r>
              <w:rPr>
                <w:rFonts w:hint="eastAsia" w:ascii="ˎ̥" w:hAnsi="ˎ̥"/>
                <w:color w:val="auto"/>
                <w:sz w:val="24"/>
              </w:rPr>
              <w:t>小型和微型企业报价</w:t>
            </w:r>
            <w:r>
              <w:rPr>
                <w:rFonts w:hint="eastAsia" w:ascii="宋体" w:hAnsi="宋体"/>
                <w:color w:val="auto"/>
                <w:sz w:val="24"/>
              </w:rPr>
              <w:t>×（1-</w:t>
            </w:r>
            <w:r>
              <w:rPr>
                <w:rFonts w:hint="eastAsia" w:ascii="ˎ̥" w:hAnsi="ˎ̥"/>
                <w:color w:val="auto"/>
                <w:sz w:val="24"/>
              </w:rPr>
              <w:t>20</w:t>
            </w:r>
            <w:r>
              <w:rPr>
                <w:rFonts w:hint="eastAsia"/>
                <w:color w:val="auto"/>
                <w:sz w:val="24"/>
              </w:rPr>
              <w:t>%</w:t>
            </w:r>
            <w:r>
              <w:rPr>
                <w:rFonts w:hint="eastAsia" w:ascii="宋体" w:hAnsi="宋体"/>
                <w:color w:val="auto"/>
                <w:sz w:val="24"/>
              </w:rPr>
              <w:t>）</w:t>
            </w:r>
          </w:p>
          <w:p w14:paraId="4CC929E8">
            <w:pPr>
              <w:jc w:val="center"/>
              <w:rPr>
                <w:rFonts w:ascii="宋体" w:hAnsi="宋体"/>
                <w:b/>
                <w:color w:val="auto"/>
                <w:sz w:val="24"/>
              </w:rPr>
            </w:pPr>
          </w:p>
        </w:tc>
      </w:tr>
      <w:tr w14:paraId="3E22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vAlign w:val="center"/>
          </w:tcPr>
          <w:p w14:paraId="750C23EC">
            <w:pPr>
              <w:jc w:val="center"/>
              <w:rPr>
                <w:rFonts w:ascii="宋体" w:hAnsi="宋体"/>
                <w:b/>
                <w:color w:val="auto"/>
                <w:sz w:val="24"/>
              </w:rPr>
            </w:pPr>
            <w:r>
              <w:rPr>
                <w:rFonts w:hint="eastAsia" w:ascii="宋体" w:hAnsi="宋体"/>
                <w:b/>
                <w:color w:val="auto"/>
                <w:sz w:val="24"/>
              </w:rPr>
              <w:t>2</w:t>
            </w:r>
          </w:p>
        </w:tc>
        <w:tc>
          <w:tcPr>
            <w:tcW w:w="2823" w:type="dxa"/>
            <w:tcBorders>
              <w:left w:val="single" w:color="auto" w:sz="4" w:space="0"/>
            </w:tcBorders>
            <w:vAlign w:val="center"/>
          </w:tcPr>
          <w:p w14:paraId="1E3CCF32">
            <w:pPr>
              <w:jc w:val="center"/>
              <w:rPr>
                <w:rFonts w:ascii="宋体" w:hAnsi="宋体"/>
                <w:color w:val="auto"/>
                <w:sz w:val="24"/>
              </w:rPr>
            </w:pPr>
            <w:r>
              <w:rPr>
                <w:rFonts w:hint="eastAsia" w:ascii="宋体" w:hAnsi="宋体"/>
                <w:color w:val="auto"/>
                <w:sz w:val="24"/>
              </w:rPr>
              <w:t>联合体各方均为</w:t>
            </w:r>
          </w:p>
          <w:p w14:paraId="671F600B">
            <w:pPr>
              <w:jc w:val="center"/>
              <w:rPr>
                <w:rFonts w:ascii="宋体" w:hAnsi="宋体"/>
                <w:b/>
                <w:color w:val="auto"/>
                <w:sz w:val="24"/>
              </w:rPr>
            </w:pPr>
            <w:r>
              <w:rPr>
                <w:rFonts w:hint="eastAsia" w:ascii="宋体" w:hAnsi="宋体"/>
                <w:color w:val="auto"/>
                <w:sz w:val="24"/>
              </w:rPr>
              <w:t>小型、微型企业</w:t>
            </w:r>
          </w:p>
        </w:tc>
        <w:tc>
          <w:tcPr>
            <w:tcW w:w="2552" w:type="dxa"/>
            <w:tcBorders>
              <w:left w:val="single" w:color="auto" w:sz="4" w:space="0"/>
            </w:tcBorders>
            <w:vAlign w:val="center"/>
          </w:tcPr>
          <w:p w14:paraId="13FE543E">
            <w:pPr>
              <w:jc w:val="center"/>
              <w:rPr>
                <w:rFonts w:ascii="宋体" w:hAnsi="宋体"/>
                <w:color w:val="auto"/>
                <w:sz w:val="24"/>
              </w:rPr>
            </w:pPr>
            <w:r>
              <w:rPr>
                <w:rFonts w:hint="eastAsia" w:ascii="ˎ̥" w:hAnsi="ˎ̥"/>
                <w:color w:val="auto"/>
                <w:sz w:val="24"/>
              </w:rPr>
              <w:t>对小型和微型企业报价</w:t>
            </w:r>
          </w:p>
          <w:p w14:paraId="78E1165F">
            <w:pPr>
              <w:jc w:val="center"/>
              <w:rPr>
                <w:rFonts w:ascii="宋体" w:hAnsi="宋体"/>
                <w:color w:val="auto"/>
                <w:sz w:val="24"/>
              </w:rPr>
            </w:pPr>
            <w:r>
              <w:rPr>
                <w:rFonts w:hint="eastAsia" w:ascii="宋体" w:hAnsi="宋体"/>
                <w:color w:val="auto"/>
                <w:sz w:val="24"/>
              </w:rPr>
              <w:t>扣除</w:t>
            </w:r>
            <w:r>
              <w:rPr>
                <w:rFonts w:hint="eastAsia" w:ascii="ˎ̥" w:hAnsi="ˎ̥"/>
                <w:color w:val="auto"/>
                <w:sz w:val="24"/>
              </w:rPr>
              <w:t>20</w:t>
            </w:r>
            <w:r>
              <w:rPr>
                <w:rFonts w:hint="eastAsia" w:ascii="宋体" w:hAnsi="宋体"/>
                <w:color w:val="auto"/>
                <w:sz w:val="24"/>
              </w:rPr>
              <w:t>%</w:t>
            </w:r>
          </w:p>
          <w:p w14:paraId="7899B5B4">
            <w:pPr>
              <w:jc w:val="center"/>
              <w:rPr>
                <w:rFonts w:ascii="宋体" w:hAnsi="宋体"/>
                <w:b/>
                <w:color w:val="auto"/>
                <w:sz w:val="24"/>
              </w:rPr>
            </w:pPr>
            <w:r>
              <w:rPr>
                <w:rFonts w:hint="eastAsia" w:ascii="宋体" w:hAnsi="宋体"/>
                <w:color w:val="auto"/>
                <w:sz w:val="24"/>
              </w:rPr>
              <w:t>（不再享受序号3的价格折扣）</w:t>
            </w:r>
          </w:p>
        </w:tc>
        <w:tc>
          <w:tcPr>
            <w:tcW w:w="2835" w:type="dxa"/>
            <w:vMerge w:val="continue"/>
            <w:tcBorders>
              <w:left w:val="single" w:color="auto" w:sz="4" w:space="0"/>
            </w:tcBorders>
          </w:tcPr>
          <w:p w14:paraId="242C356D">
            <w:pPr>
              <w:rPr>
                <w:color w:val="auto"/>
              </w:rPr>
            </w:pPr>
          </w:p>
        </w:tc>
      </w:tr>
      <w:tr w14:paraId="3FE8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28DDB6EB">
            <w:pPr>
              <w:jc w:val="center"/>
              <w:rPr>
                <w:rFonts w:ascii="宋体" w:hAnsi="宋体"/>
                <w:b/>
                <w:color w:val="auto"/>
                <w:sz w:val="24"/>
              </w:rPr>
            </w:pPr>
            <w:r>
              <w:rPr>
                <w:rFonts w:hint="eastAsia" w:ascii="宋体" w:hAnsi="宋体"/>
                <w:b/>
                <w:color w:val="auto"/>
                <w:sz w:val="24"/>
              </w:rPr>
              <w:t>3</w:t>
            </w:r>
          </w:p>
        </w:tc>
        <w:tc>
          <w:tcPr>
            <w:tcW w:w="2823" w:type="dxa"/>
            <w:tcBorders>
              <w:left w:val="single" w:color="auto" w:sz="4" w:space="0"/>
            </w:tcBorders>
            <w:vAlign w:val="center"/>
          </w:tcPr>
          <w:p w14:paraId="071DD0FD">
            <w:pPr>
              <w:jc w:val="center"/>
              <w:rPr>
                <w:rFonts w:ascii="宋体" w:hAnsi="宋体"/>
                <w:b/>
                <w:color w:val="auto"/>
                <w:sz w:val="24"/>
              </w:rPr>
            </w:pPr>
            <w:r>
              <w:rPr>
                <w:rFonts w:ascii="ˎ̥" w:hAnsi="ˎ̥"/>
                <w:color w:val="auto"/>
                <w:sz w:val="24"/>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tcBorders>
              <w:left w:val="single" w:color="auto" w:sz="4" w:space="0"/>
            </w:tcBorders>
            <w:vAlign w:val="center"/>
          </w:tcPr>
          <w:p w14:paraId="43F1900F">
            <w:pPr>
              <w:jc w:val="center"/>
              <w:rPr>
                <w:rFonts w:ascii="宋体" w:hAnsi="宋体"/>
                <w:b/>
                <w:color w:val="auto"/>
                <w:sz w:val="24"/>
              </w:rPr>
            </w:pPr>
            <w:r>
              <w:rPr>
                <w:rFonts w:ascii="ˎ̥" w:hAnsi="ˎ̥"/>
                <w:color w:val="auto"/>
                <w:sz w:val="24"/>
              </w:rPr>
              <w:t>对联合体或者大中型企业的报价</w:t>
            </w:r>
            <w:r>
              <w:rPr>
                <w:rFonts w:hint="eastAsia" w:ascii="宋体" w:hAnsi="宋体"/>
                <w:color w:val="auto"/>
                <w:sz w:val="24"/>
              </w:rPr>
              <w:t>扣除</w:t>
            </w:r>
            <w:r>
              <w:rPr>
                <w:rFonts w:hint="eastAsia" w:ascii="ˎ̥" w:hAnsi="ˎ̥"/>
                <w:color w:val="auto"/>
                <w:sz w:val="24"/>
              </w:rPr>
              <w:t>6</w:t>
            </w:r>
            <w:r>
              <w:rPr>
                <w:rFonts w:hint="eastAsia" w:ascii="宋体" w:hAnsi="宋体"/>
                <w:color w:val="auto"/>
                <w:sz w:val="24"/>
              </w:rPr>
              <w:t>%</w:t>
            </w:r>
          </w:p>
        </w:tc>
        <w:tc>
          <w:tcPr>
            <w:tcW w:w="2835" w:type="dxa"/>
            <w:tcBorders>
              <w:left w:val="single" w:color="auto" w:sz="4" w:space="0"/>
            </w:tcBorders>
            <w:vAlign w:val="center"/>
          </w:tcPr>
          <w:p w14:paraId="3E9F9C7F">
            <w:pPr>
              <w:jc w:val="center"/>
              <w:rPr>
                <w:rFonts w:ascii="宋体" w:hAnsi="宋体"/>
                <w:b/>
                <w:color w:val="auto"/>
                <w:sz w:val="24"/>
              </w:rPr>
            </w:pPr>
            <w:r>
              <w:rPr>
                <w:rFonts w:hint="eastAsia" w:ascii="宋体" w:hAnsi="宋体"/>
                <w:color w:val="auto"/>
                <w:sz w:val="24"/>
              </w:rPr>
              <w:t>评标价格＝投标报价×(1-6</w:t>
            </w:r>
            <w:r>
              <w:rPr>
                <w:rFonts w:hint="eastAsia"/>
                <w:color w:val="auto"/>
                <w:sz w:val="24"/>
              </w:rPr>
              <w:t>%)</w:t>
            </w:r>
          </w:p>
        </w:tc>
      </w:tr>
      <w:tr w14:paraId="26D9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1D2159A0">
            <w:pPr>
              <w:jc w:val="center"/>
              <w:rPr>
                <w:rFonts w:ascii="宋体" w:hAnsi="宋体"/>
                <w:b/>
                <w:color w:val="auto"/>
                <w:sz w:val="24"/>
              </w:rPr>
            </w:pPr>
            <w:r>
              <w:rPr>
                <w:rFonts w:hint="eastAsia" w:ascii="宋体" w:hAnsi="宋体"/>
                <w:b/>
                <w:color w:val="auto"/>
                <w:sz w:val="24"/>
              </w:rPr>
              <w:t>4</w:t>
            </w:r>
          </w:p>
        </w:tc>
        <w:tc>
          <w:tcPr>
            <w:tcW w:w="2823" w:type="dxa"/>
            <w:tcBorders>
              <w:left w:val="single" w:color="auto" w:sz="4" w:space="0"/>
            </w:tcBorders>
            <w:vAlign w:val="center"/>
          </w:tcPr>
          <w:p w14:paraId="4FD63F20">
            <w:pPr>
              <w:jc w:val="center"/>
              <w:rPr>
                <w:rFonts w:ascii="宋体" w:hAnsi="宋体"/>
                <w:color w:val="auto"/>
                <w:sz w:val="24"/>
              </w:rPr>
            </w:pPr>
            <w:r>
              <w:rPr>
                <w:rFonts w:hint="eastAsia" w:ascii="宋体" w:hAnsi="宋体"/>
                <w:color w:val="auto"/>
                <w:sz w:val="24"/>
              </w:rPr>
              <w:t>监狱企业</w:t>
            </w:r>
          </w:p>
        </w:tc>
        <w:tc>
          <w:tcPr>
            <w:tcW w:w="2552" w:type="dxa"/>
            <w:tcBorders>
              <w:left w:val="single" w:color="auto" w:sz="4" w:space="0"/>
            </w:tcBorders>
            <w:vAlign w:val="center"/>
          </w:tcPr>
          <w:p w14:paraId="34C2CDF2">
            <w:pPr>
              <w:jc w:val="center"/>
              <w:rPr>
                <w:rFonts w:ascii="宋体" w:hAnsi="宋体"/>
                <w:color w:val="auto"/>
                <w:sz w:val="24"/>
              </w:rPr>
            </w:pPr>
            <w:r>
              <w:rPr>
                <w:rFonts w:hint="eastAsia" w:ascii="宋体" w:hAnsi="宋体"/>
                <w:color w:val="auto"/>
                <w:sz w:val="24"/>
              </w:rPr>
              <w:t>对监狱企业产品价格扣除</w:t>
            </w:r>
            <w:r>
              <w:rPr>
                <w:rFonts w:hint="eastAsia" w:ascii="ˎ̥" w:hAnsi="ˎ̥"/>
                <w:color w:val="auto"/>
                <w:sz w:val="24"/>
              </w:rPr>
              <w:t>20</w:t>
            </w:r>
            <w:r>
              <w:rPr>
                <w:rFonts w:hint="eastAsia" w:ascii="宋体" w:hAnsi="宋体"/>
                <w:color w:val="auto"/>
                <w:sz w:val="24"/>
              </w:rPr>
              <w:t>%</w:t>
            </w:r>
          </w:p>
        </w:tc>
        <w:tc>
          <w:tcPr>
            <w:tcW w:w="2835" w:type="dxa"/>
            <w:tcBorders>
              <w:left w:val="single" w:color="auto" w:sz="4" w:space="0"/>
            </w:tcBorders>
            <w:vAlign w:val="center"/>
          </w:tcPr>
          <w:p w14:paraId="55724DDB">
            <w:pPr>
              <w:jc w:val="center"/>
              <w:rPr>
                <w:rFonts w:ascii="宋体" w:hAnsi="宋体"/>
                <w:color w:val="auto"/>
                <w:sz w:val="24"/>
              </w:rPr>
            </w:pPr>
            <w:r>
              <w:rPr>
                <w:rFonts w:hint="eastAsia"/>
                <w:color w:val="auto"/>
                <w:sz w:val="24"/>
              </w:rPr>
              <w:t>评标价格＝投标报价—监狱企业产品的价格</w:t>
            </w:r>
            <w:r>
              <w:rPr>
                <w:rFonts w:hint="eastAsia" w:ascii="宋体" w:hAnsi="宋体"/>
                <w:color w:val="auto"/>
                <w:sz w:val="24"/>
              </w:rPr>
              <w:t>×</w:t>
            </w:r>
            <w:r>
              <w:rPr>
                <w:rFonts w:hint="eastAsia" w:ascii="ˎ̥" w:hAnsi="ˎ̥"/>
                <w:color w:val="auto"/>
                <w:sz w:val="24"/>
              </w:rPr>
              <w:t>20</w:t>
            </w:r>
            <w:r>
              <w:rPr>
                <w:rFonts w:hint="eastAsia"/>
                <w:color w:val="auto"/>
                <w:sz w:val="24"/>
              </w:rPr>
              <w:t>%</w:t>
            </w:r>
          </w:p>
        </w:tc>
      </w:tr>
      <w:tr w14:paraId="794D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vAlign w:val="center"/>
          </w:tcPr>
          <w:p w14:paraId="5272DBCC">
            <w:pPr>
              <w:jc w:val="center"/>
              <w:rPr>
                <w:rFonts w:ascii="宋体" w:hAnsi="宋体"/>
                <w:b/>
                <w:color w:val="auto"/>
                <w:sz w:val="24"/>
              </w:rPr>
            </w:pPr>
            <w:r>
              <w:rPr>
                <w:rFonts w:hint="eastAsia" w:ascii="宋体" w:hAnsi="宋体"/>
                <w:b/>
                <w:color w:val="auto"/>
                <w:sz w:val="24"/>
              </w:rPr>
              <w:t>5</w:t>
            </w:r>
          </w:p>
        </w:tc>
        <w:tc>
          <w:tcPr>
            <w:tcW w:w="2823" w:type="dxa"/>
            <w:tcBorders>
              <w:left w:val="single" w:color="auto" w:sz="4" w:space="0"/>
            </w:tcBorders>
            <w:vAlign w:val="center"/>
          </w:tcPr>
          <w:p w14:paraId="2F6F7655">
            <w:pPr>
              <w:jc w:val="center"/>
              <w:rPr>
                <w:rFonts w:ascii="宋体" w:hAnsi="宋体"/>
                <w:color w:val="auto"/>
                <w:sz w:val="24"/>
              </w:rPr>
            </w:pPr>
            <w:r>
              <w:rPr>
                <w:rFonts w:hint="eastAsia" w:ascii="宋体" w:hAnsi="宋体"/>
                <w:color w:val="auto"/>
                <w:sz w:val="24"/>
              </w:rPr>
              <w:t>残疾人福利性单位</w:t>
            </w:r>
          </w:p>
        </w:tc>
        <w:tc>
          <w:tcPr>
            <w:tcW w:w="2552" w:type="dxa"/>
            <w:tcBorders>
              <w:left w:val="single" w:color="auto" w:sz="4" w:space="0"/>
            </w:tcBorders>
            <w:vAlign w:val="center"/>
          </w:tcPr>
          <w:p w14:paraId="7EBDFF13">
            <w:pPr>
              <w:jc w:val="center"/>
              <w:rPr>
                <w:rFonts w:ascii="宋体" w:hAnsi="宋体"/>
                <w:color w:val="auto"/>
                <w:sz w:val="24"/>
              </w:rPr>
            </w:pPr>
            <w:r>
              <w:rPr>
                <w:rFonts w:hint="eastAsia" w:ascii="宋体" w:hAnsi="宋体"/>
                <w:color w:val="auto"/>
                <w:sz w:val="24"/>
              </w:rPr>
              <w:t>对残疾人福利性单位产品价格扣除</w:t>
            </w:r>
            <w:r>
              <w:rPr>
                <w:rFonts w:hint="eastAsia" w:ascii="ˎ̥" w:hAnsi="ˎ̥"/>
                <w:color w:val="auto"/>
                <w:sz w:val="24"/>
              </w:rPr>
              <w:t>20</w:t>
            </w:r>
            <w:r>
              <w:rPr>
                <w:rFonts w:hint="eastAsia" w:ascii="宋体" w:hAnsi="宋体"/>
                <w:color w:val="auto"/>
                <w:sz w:val="24"/>
              </w:rPr>
              <w:t>%</w:t>
            </w:r>
          </w:p>
        </w:tc>
        <w:tc>
          <w:tcPr>
            <w:tcW w:w="2835" w:type="dxa"/>
            <w:tcBorders>
              <w:left w:val="single" w:color="auto" w:sz="4" w:space="0"/>
            </w:tcBorders>
            <w:vAlign w:val="center"/>
          </w:tcPr>
          <w:p w14:paraId="2C195C70">
            <w:pPr>
              <w:jc w:val="center"/>
              <w:rPr>
                <w:color w:val="auto"/>
                <w:sz w:val="24"/>
              </w:rPr>
            </w:pPr>
            <w:r>
              <w:rPr>
                <w:rFonts w:hint="eastAsia"/>
                <w:color w:val="auto"/>
                <w:sz w:val="24"/>
              </w:rPr>
              <w:t>评标价格＝投标报价—残疾人福利性单位产品的价格</w:t>
            </w:r>
            <w:r>
              <w:rPr>
                <w:rFonts w:hint="eastAsia" w:ascii="宋体" w:hAnsi="宋体"/>
                <w:color w:val="auto"/>
                <w:sz w:val="24"/>
              </w:rPr>
              <w:t>×</w:t>
            </w:r>
            <w:r>
              <w:rPr>
                <w:rFonts w:hint="eastAsia" w:ascii="ˎ̥" w:hAnsi="ˎ̥"/>
                <w:color w:val="auto"/>
                <w:sz w:val="24"/>
              </w:rPr>
              <w:t>20</w:t>
            </w:r>
            <w:r>
              <w:rPr>
                <w:rFonts w:hint="eastAsia"/>
                <w:color w:val="auto"/>
                <w:sz w:val="24"/>
              </w:rPr>
              <w:t>%</w:t>
            </w:r>
          </w:p>
        </w:tc>
      </w:tr>
      <w:tr w14:paraId="38FF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931" w:type="dxa"/>
            <w:gridSpan w:val="4"/>
            <w:vAlign w:val="center"/>
          </w:tcPr>
          <w:p w14:paraId="34EF3E77">
            <w:pPr>
              <w:widowControl/>
              <w:adjustRightInd w:val="0"/>
              <w:spacing w:line="360" w:lineRule="auto"/>
              <w:ind w:left="-2" w:firstLine="480" w:firstLineChars="200"/>
              <w:jc w:val="left"/>
              <w:rPr>
                <w:rFonts w:ascii="宋体" w:hAnsi="宋体" w:cs="仿宋_GB2312"/>
                <w:color w:val="auto"/>
                <w:sz w:val="24"/>
                <w:lang w:val="zh-CN"/>
              </w:rPr>
            </w:pPr>
            <w:r>
              <w:rPr>
                <w:rFonts w:hint="eastAsia" w:ascii="宋体" w:hAnsi="宋体" w:cs="仿宋_GB2312"/>
                <w:color w:val="auto"/>
                <w:sz w:val="24"/>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14:paraId="1FE2D945">
            <w:pPr>
              <w:widowControl/>
              <w:adjustRightInd w:val="0"/>
              <w:spacing w:line="360" w:lineRule="auto"/>
              <w:ind w:left="-2" w:firstLine="480" w:firstLineChars="200"/>
              <w:jc w:val="left"/>
              <w:rPr>
                <w:rFonts w:ascii="宋体" w:hAnsi="宋体" w:cs="仿宋_GB2312"/>
                <w:color w:val="auto"/>
                <w:sz w:val="24"/>
                <w:lang w:val="zh-CN"/>
              </w:rPr>
            </w:pPr>
            <w:r>
              <w:rPr>
                <w:rFonts w:hint="eastAsia" w:ascii="宋体" w:hAnsi="宋体" w:cs="仿宋_GB2312"/>
                <w:color w:val="auto"/>
                <w:sz w:val="24"/>
                <w:lang w:val="zh-CN"/>
              </w:rPr>
              <w:t>2、</w:t>
            </w:r>
            <w:r>
              <w:rPr>
                <w:rFonts w:ascii="宋体" w:hAnsi="宋体" w:cs="仿宋_GB2312"/>
                <w:color w:val="auto"/>
                <w:sz w:val="24"/>
                <w:lang w:val="zh-CN"/>
              </w:rPr>
              <w:t>经评标委员会</w:t>
            </w:r>
            <w:r>
              <w:rPr>
                <w:rFonts w:hint="eastAsia" w:ascii="宋体" w:hAnsi="宋体" w:cs="仿宋_GB2312"/>
                <w:color w:val="auto"/>
                <w:sz w:val="24"/>
                <w:lang w:val="zh-CN"/>
              </w:rPr>
              <w:t>审查、评价</w:t>
            </w:r>
            <w:r>
              <w:rPr>
                <w:rFonts w:ascii="宋体" w:hAnsi="宋体" w:cs="仿宋_GB2312"/>
                <w:color w:val="auto"/>
                <w:sz w:val="24"/>
                <w:lang w:val="zh-CN"/>
              </w:rPr>
              <w:t>，</w:t>
            </w:r>
            <w:r>
              <w:rPr>
                <w:rFonts w:hint="eastAsia" w:ascii="宋体" w:hAnsi="宋体" w:cs="仿宋_GB2312"/>
                <w:color w:val="auto"/>
                <w:sz w:val="24"/>
                <w:lang w:val="zh-CN"/>
              </w:rPr>
              <w:t>投标文件符合</w:t>
            </w:r>
            <w:r>
              <w:rPr>
                <w:rFonts w:ascii="宋体" w:hAnsi="宋体" w:cs="仿宋_GB2312"/>
                <w:color w:val="auto"/>
                <w:sz w:val="24"/>
                <w:lang w:val="zh-CN"/>
              </w:rPr>
              <w:t>招标文件</w:t>
            </w:r>
            <w:r>
              <w:rPr>
                <w:rFonts w:hint="eastAsia" w:ascii="宋体" w:hAnsi="宋体" w:cs="仿宋_GB2312"/>
                <w:color w:val="auto"/>
                <w:sz w:val="24"/>
                <w:lang w:val="zh-CN"/>
              </w:rPr>
              <w:t>实质性</w:t>
            </w:r>
            <w:r>
              <w:rPr>
                <w:rFonts w:ascii="宋体" w:hAnsi="宋体" w:cs="仿宋_GB2312"/>
                <w:color w:val="auto"/>
                <w:sz w:val="24"/>
                <w:lang w:val="zh-CN"/>
              </w:rPr>
              <w:t>要求且</w:t>
            </w:r>
            <w:r>
              <w:rPr>
                <w:rFonts w:hint="eastAsia" w:ascii="宋体" w:hAnsi="宋体" w:cs="仿宋_GB2312"/>
                <w:color w:val="auto"/>
                <w:sz w:val="24"/>
                <w:lang w:val="zh-CN"/>
              </w:rPr>
              <w:t>进行了政策性价格扣除后，</w:t>
            </w:r>
            <w:r>
              <w:rPr>
                <w:rFonts w:ascii="宋体" w:hAnsi="宋体" w:cs="仿宋_GB2312"/>
                <w:color w:val="auto"/>
                <w:sz w:val="24"/>
                <w:lang w:val="zh-CN"/>
              </w:rPr>
              <w:t>以</w:t>
            </w:r>
            <w:r>
              <w:rPr>
                <w:rFonts w:hint="eastAsia" w:ascii="宋体" w:hAnsi="宋体" w:cs="仿宋_GB2312"/>
                <w:color w:val="auto"/>
                <w:sz w:val="24"/>
                <w:lang w:val="zh-CN"/>
              </w:rPr>
              <w:t>评标价格的</w:t>
            </w:r>
            <w:r>
              <w:rPr>
                <w:rFonts w:ascii="宋体" w:hAnsi="宋体" w:cs="仿宋_GB2312"/>
                <w:color w:val="auto"/>
                <w:sz w:val="24"/>
                <w:lang w:val="zh-CN"/>
              </w:rPr>
              <w:t>最低价者定为评标基准价，其价格分为满分。其他投标人的价格分统一按下列公式</w:t>
            </w:r>
            <w:r>
              <w:rPr>
                <w:rFonts w:hint="eastAsia" w:ascii="宋体" w:hAnsi="宋体" w:cs="仿宋_GB2312"/>
                <w:color w:val="auto"/>
                <w:sz w:val="24"/>
                <w:lang w:val="zh-CN"/>
              </w:rPr>
              <w:t>计算</w:t>
            </w:r>
            <w:r>
              <w:rPr>
                <w:rFonts w:ascii="宋体" w:hAnsi="宋体" w:cs="仿宋_GB2312"/>
                <w:color w:val="auto"/>
                <w:sz w:val="24"/>
                <w:lang w:val="zh-CN"/>
              </w:rPr>
              <w:t>。即：</w:t>
            </w:r>
          </w:p>
          <w:p w14:paraId="2ED217C0">
            <w:pPr>
              <w:widowControl/>
              <w:adjustRightInd w:val="0"/>
              <w:spacing w:line="360" w:lineRule="auto"/>
              <w:ind w:left="-88" w:leftChars="-42" w:firstLine="513" w:firstLineChars="214"/>
              <w:jc w:val="left"/>
              <w:rPr>
                <w:rFonts w:ascii="宋体" w:hAnsi="宋体" w:cs="仿宋_GB2312"/>
                <w:color w:val="auto"/>
                <w:sz w:val="24"/>
                <w:lang w:val="zh-CN"/>
              </w:rPr>
            </w:pPr>
            <w:r>
              <w:rPr>
                <w:rFonts w:ascii="宋体" w:hAnsi="宋体" w:cs="仿宋_GB2312"/>
                <w:color w:val="auto"/>
                <w:sz w:val="24"/>
                <w:lang w:val="zh-CN"/>
              </w:rPr>
              <w:t>评标基准价</w:t>
            </w:r>
            <w:r>
              <w:rPr>
                <w:rFonts w:hint="eastAsia" w:ascii="宋体" w:hAnsi="宋体" w:cs="仿宋_GB2312"/>
                <w:color w:val="auto"/>
                <w:sz w:val="24"/>
                <w:lang w:val="zh-CN"/>
              </w:rPr>
              <w:t>=评标价格的最低价</w:t>
            </w:r>
          </w:p>
          <w:p w14:paraId="581F1769">
            <w:pPr>
              <w:widowControl/>
              <w:spacing w:line="360" w:lineRule="auto"/>
              <w:ind w:firstLine="480" w:firstLineChars="200"/>
              <w:jc w:val="left"/>
              <w:rPr>
                <w:color w:val="auto"/>
                <w:lang w:val="zh-CN"/>
              </w:rPr>
            </w:pPr>
            <w:r>
              <w:rPr>
                <w:rFonts w:ascii="宋体" w:hAnsi="宋体" w:cs="仿宋_GB2312"/>
                <w:color w:val="auto"/>
                <w:sz w:val="24"/>
                <w:lang w:val="zh-CN"/>
              </w:rPr>
              <w:t>其他投标报价得分</w:t>
            </w:r>
            <w:r>
              <w:rPr>
                <w:rFonts w:hint="eastAsia" w:ascii="宋体" w:hAnsi="宋体" w:cs="仿宋_GB2312"/>
                <w:color w:val="auto"/>
                <w:sz w:val="24"/>
                <w:lang w:val="zh-CN"/>
              </w:rPr>
              <w:t>=（</w:t>
            </w:r>
            <w:r>
              <w:rPr>
                <w:rFonts w:ascii="宋体" w:hAnsi="宋体" w:cs="仿宋_GB2312"/>
                <w:color w:val="auto"/>
                <w:sz w:val="24"/>
                <w:lang w:val="zh-CN"/>
              </w:rPr>
              <w:t>评标基准价</w:t>
            </w:r>
            <w:r>
              <w:rPr>
                <w:rFonts w:hint="eastAsia" w:ascii="宋体" w:hAnsi="宋体" w:cs="仿宋_GB2312"/>
                <w:color w:val="auto"/>
                <w:sz w:val="24"/>
                <w:lang w:val="zh-CN"/>
              </w:rPr>
              <w:t>/评标价格）</w:t>
            </w:r>
            <w:r>
              <w:rPr>
                <w:rFonts w:ascii="宋体" w:hAnsi="宋体" w:cs="仿宋_GB2312"/>
                <w:color w:val="auto"/>
                <w:sz w:val="24"/>
                <w:lang w:val="zh-CN"/>
              </w:rPr>
              <w:t>×</w:t>
            </w:r>
            <w:r>
              <w:rPr>
                <w:rFonts w:hint="eastAsia" w:ascii="宋体" w:hAnsi="宋体" w:cs="仿宋_GB2312"/>
                <w:color w:val="auto"/>
                <w:sz w:val="24"/>
                <w:lang w:val="zh-CN"/>
              </w:rPr>
              <w:t>评标标准中价格分值</w:t>
            </w:r>
          </w:p>
          <w:p w14:paraId="3D506F0C">
            <w:pPr>
              <w:widowControl/>
              <w:spacing w:line="360" w:lineRule="auto"/>
              <w:jc w:val="left"/>
              <w:rPr>
                <w:color w:val="auto"/>
              </w:rPr>
            </w:pPr>
            <w:r>
              <w:rPr>
                <w:rFonts w:hint="eastAsia" w:ascii="宋体" w:hAnsi="宋体" w:cs="宋体"/>
                <w:b/>
                <w:bCs/>
                <w:color w:val="auto"/>
                <w:kern w:val="0"/>
                <w:sz w:val="22"/>
                <w:szCs w:val="22"/>
              </w:rPr>
              <w:t xml:space="preserve">注：因落实政府采购政策进行价格调整的，以调整后的价格参与评标，但不作为合同签订 </w:t>
            </w:r>
          </w:p>
          <w:p w14:paraId="5DB49A63">
            <w:pPr>
              <w:widowControl/>
              <w:spacing w:line="360" w:lineRule="auto"/>
              <w:jc w:val="left"/>
              <w:rPr>
                <w:rFonts w:ascii="宋体" w:hAnsi="宋体" w:cs="仿宋_GB2312"/>
                <w:color w:val="auto"/>
                <w:sz w:val="24"/>
                <w:lang w:val="zh-CN"/>
              </w:rPr>
            </w:pPr>
            <w:r>
              <w:rPr>
                <w:rFonts w:hint="eastAsia" w:ascii="宋体" w:hAnsi="宋体" w:cs="宋体"/>
                <w:b/>
                <w:bCs/>
                <w:color w:val="auto"/>
                <w:kern w:val="0"/>
                <w:sz w:val="22"/>
                <w:szCs w:val="22"/>
              </w:rPr>
              <w:t>价。合同签订价仍以供应商的最后报价为准。</w:t>
            </w:r>
          </w:p>
        </w:tc>
      </w:tr>
    </w:tbl>
    <w:p w14:paraId="51D5B4B0">
      <w:pPr>
        <w:spacing w:line="360" w:lineRule="auto"/>
        <w:rPr>
          <w:rFonts w:ascii="宋体" w:hAnsi="宋体"/>
          <w:bCs/>
          <w:color w:val="auto"/>
          <w:sz w:val="24"/>
        </w:rPr>
      </w:pPr>
      <w:r>
        <w:rPr>
          <w:rFonts w:hint="eastAsia" w:ascii="宋体" w:hAnsi="宋体"/>
          <w:bCs/>
          <w:color w:val="auto"/>
          <w:sz w:val="24"/>
        </w:rPr>
        <w:t>备注：</w:t>
      </w:r>
    </w:p>
    <w:p w14:paraId="60587C3B">
      <w:pPr>
        <w:spacing w:line="360" w:lineRule="auto"/>
        <w:ind w:firstLine="480" w:firstLineChars="200"/>
        <w:rPr>
          <w:color w:val="auto"/>
          <w:sz w:val="24"/>
        </w:rPr>
      </w:pPr>
      <w:r>
        <w:rPr>
          <w:rFonts w:hint="eastAsia" w:ascii="宋体" w:hAnsi="宋体"/>
          <w:bCs/>
          <w:color w:val="auto"/>
          <w:sz w:val="24"/>
        </w:rPr>
        <w:t>a、不接受联合体投标的项目，</w:t>
      </w:r>
      <w:r>
        <w:rPr>
          <w:rFonts w:hint="eastAsia"/>
          <w:color w:val="auto"/>
          <w:sz w:val="24"/>
        </w:rPr>
        <w:t>本表中第2项、第3项情形不适用。</w:t>
      </w:r>
    </w:p>
    <w:p w14:paraId="0BF96F1D">
      <w:pPr>
        <w:spacing w:line="360" w:lineRule="auto"/>
        <w:ind w:firstLine="480" w:firstLineChars="200"/>
        <w:rPr>
          <w:rFonts w:ascii="宋体" w:hAnsi="宋体"/>
          <w:bCs/>
          <w:color w:val="auto"/>
          <w:sz w:val="24"/>
        </w:rPr>
      </w:pPr>
      <w:r>
        <w:rPr>
          <w:rFonts w:hint="eastAsia" w:ascii="宋体" w:hAnsi="宋体"/>
          <w:bCs/>
          <w:color w:val="auto"/>
          <w:sz w:val="24"/>
        </w:rPr>
        <w:t>b、</w:t>
      </w:r>
      <w:r>
        <w:rPr>
          <w:color w:val="auto"/>
          <w:sz w:val="24"/>
        </w:rPr>
        <w:t>在货物采购项目中，货物由中小企业制造，即货物由中小企业生产且使用该中小企业商号或者注册商标</w:t>
      </w:r>
      <w:r>
        <w:rPr>
          <w:rFonts w:hint="eastAsia" w:ascii="宋体" w:hAnsi="宋体"/>
          <w:bCs/>
          <w:color w:val="auto"/>
          <w:sz w:val="24"/>
        </w:rPr>
        <w:t>。</w:t>
      </w:r>
      <w:r>
        <w:rPr>
          <w:color w:val="auto"/>
          <w:sz w:val="24"/>
        </w:rPr>
        <w:t>在货物采购项目中，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14:paraId="76691FB5">
      <w:pPr>
        <w:spacing w:line="360" w:lineRule="auto"/>
        <w:ind w:firstLine="480" w:firstLineChars="200"/>
        <w:rPr>
          <w:rFonts w:ascii="宋体" w:hAnsi="宋体"/>
          <w:bCs/>
          <w:color w:val="auto"/>
          <w:sz w:val="24"/>
        </w:rPr>
      </w:pPr>
      <w:r>
        <w:rPr>
          <w:rFonts w:hint="eastAsia" w:ascii="宋体" w:hAnsi="宋体"/>
          <w:bCs/>
          <w:color w:val="auto"/>
          <w:sz w:val="24"/>
        </w:rPr>
        <w:t>c、中小企业、残疾人福利性单位提供其他企业制造的货物的，则该货物的制造商也必须为上述企业，否则不能享受价格优惠。</w:t>
      </w:r>
    </w:p>
    <w:p w14:paraId="64C3B3C0">
      <w:pPr>
        <w:spacing w:line="360" w:lineRule="auto"/>
        <w:ind w:firstLine="480" w:firstLineChars="200"/>
        <w:jc w:val="left"/>
        <w:rPr>
          <w:rFonts w:ascii="宋体" w:hAnsi="宋体"/>
          <w:bCs/>
          <w:color w:val="auto"/>
          <w:sz w:val="24"/>
        </w:rPr>
      </w:pPr>
      <w:r>
        <w:rPr>
          <w:rFonts w:hint="eastAsia" w:ascii="宋体" w:hAnsi="宋体"/>
          <w:bCs/>
          <w:color w:val="auto"/>
          <w:sz w:val="24"/>
        </w:rPr>
        <w:t>d、残疾人福利性单位属于小型、微型企业的，不重复享受政策。</w:t>
      </w:r>
    </w:p>
    <w:p w14:paraId="74225040">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享受政府采购支持政策的残疾人福利性单位应当同时满足以下条件：</w:t>
      </w:r>
    </w:p>
    <w:p w14:paraId="728D205C">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（一）安置的残疾人占本单位在职职工人数的比例不低于 25%（含 25%），并且安置的残疾人人数不少于 10 人（含 10 人）；</w:t>
      </w:r>
    </w:p>
    <w:p w14:paraId="29890D90">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（二）依法与安置的每位残疾人签订了一年以上（含一年）的劳动合同或服务协议；</w:t>
      </w:r>
    </w:p>
    <w:p w14:paraId="0150F424">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（三）为安置的每位残疾人按月足额缴纳了基本养老保险、基本医疗保险、失业保险、工伤保险和生育保险等社会保险费；</w:t>
      </w:r>
    </w:p>
    <w:p w14:paraId="3870BCC7">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（四）通过银行等金融机构向安置的每位残疾人，按月支付了不低于单位所在区县适用的经省级人民政府批准的月最低工资标准的工资；</w:t>
      </w:r>
    </w:p>
    <w:p w14:paraId="4EC14344">
      <w:pPr>
        <w:spacing w:line="360" w:lineRule="auto"/>
        <w:ind w:firstLine="480" w:firstLineChars="200"/>
        <w:jc w:val="left"/>
        <w:rPr>
          <w:rFonts w:ascii="宋体" w:hAnsi="宋体" w:cs="宋体"/>
          <w:color w:val="auto"/>
          <w:sz w:val="24"/>
          <w:szCs w:val="24"/>
          <w:lang w:val="zh-CN"/>
        </w:rPr>
      </w:pPr>
      <w:r>
        <w:rPr>
          <w:rFonts w:hint="eastAsia" w:ascii="宋体" w:hAnsi="宋体" w:cs="宋体"/>
          <w:color w:val="auto"/>
          <w:sz w:val="24"/>
          <w:szCs w:val="24"/>
          <w:lang w:val="zh-CN"/>
        </w:rPr>
        <w:t>（五）提供本单位制造的货物、承担的工程或者服务（以下简称产品），或者提供其他残疾人福利性单位制造的货物（不包括使用非残疾人福利性单位注册商标的货物）。</w:t>
      </w:r>
    </w:p>
    <w:p w14:paraId="4750732B">
      <w:pPr>
        <w:spacing w:line="360" w:lineRule="auto"/>
        <w:ind w:firstLine="480" w:firstLineChars="200"/>
        <w:jc w:val="left"/>
        <w:rPr>
          <w:rFonts w:ascii="宋体" w:hAnsi="宋体"/>
          <w:bCs/>
          <w:color w:val="auto"/>
          <w:sz w:val="24"/>
        </w:rPr>
      </w:pPr>
      <w:r>
        <w:rPr>
          <w:rFonts w:hint="eastAsia" w:ascii="宋体" w:hAnsi="宋体" w:cs="宋体"/>
          <w:color w:val="auto"/>
          <w:sz w:val="24"/>
          <w:szCs w:val="24"/>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667E04D8">
      <w:pPr>
        <w:numPr>
          <w:ilvl w:val="0"/>
          <w:numId w:val="15"/>
        </w:numPr>
        <w:spacing w:line="360" w:lineRule="auto"/>
        <w:ind w:firstLine="480" w:firstLineChars="200"/>
        <w:rPr>
          <w:rFonts w:ascii="宋体" w:hAnsi="宋体"/>
          <w:bCs/>
          <w:color w:val="auto"/>
          <w:sz w:val="24"/>
        </w:rPr>
      </w:pPr>
      <w:r>
        <w:rPr>
          <w:rFonts w:hint="eastAsia" w:ascii="宋体" w:hAnsi="宋体"/>
          <w:bCs/>
          <w:color w:val="auto"/>
          <w:sz w:val="24"/>
        </w:rPr>
        <w:t>小型和微型企业不包括民办非企业单位。</w:t>
      </w:r>
    </w:p>
    <w:p w14:paraId="1862A9CB">
      <w:pPr>
        <w:spacing w:line="360" w:lineRule="auto"/>
        <w:ind w:firstLine="480" w:firstLineChars="200"/>
        <w:rPr>
          <w:rFonts w:ascii="宋体" w:hAnsi="宋体"/>
          <w:bCs/>
          <w:color w:val="auto"/>
          <w:sz w:val="24"/>
        </w:rPr>
      </w:pPr>
      <w:r>
        <w:rPr>
          <w:rFonts w:hint="eastAsia" w:ascii="宋体" w:hAnsi="宋体" w:cs="宋体"/>
          <w:color w:val="auto"/>
          <w:sz w:val="24"/>
          <w:szCs w:val="24"/>
        </w:rPr>
        <w:t>F、符合中小企业划分标准的个体工商户，在政府采购活动中视同中小企业。</w:t>
      </w:r>
    </w:p>
    <w:p w14:paraId="31B20951">
      <w:pPr>
        <w:pStyle w:val="18"/>
        <w:spacing w:line="360" w:lineRule="auto"/>
        <w:ind w:firstLine="482" w:firstLineChars="200"/>
        <w:contextualSpacing/>
        <w:rPr>
          <w:rFonts w:ascii="宋体" w:hAnsi="宋体" w:cs="仿宋_GB2312"/>
          <w:color w:val="auto"/>
          <w:szCs w:val="21"/>
          <w:lang w:val="zh-CN"/>
        </w:rPr>
      </w:pPr>
      <w:r>
        <w:rPr>
          <w:rFonts w:hint="eastAsia" w:ascii="宋体" w:hAnsi="宋体" w:cs="仿宋_GB2312"/>
          <w:b/>
          <w:color w:val="auto"/>
          <w:szCs w:val="21"/>
          <w:lang w:val="zh-CN"/>
        </w:rPr>
        <w:t>（7）</w:t>
      </w:r>
      <w:r>
        <w:rPr>
          <w:rFonts w:ascii="宋体" w:hAnsi="宋体" w:cs="仿宋_GB2312"/>
          <w:b/>
          <w:color w:val="auto"/>
          <w:szCs w:val="21"/>
          <w:lang w:val="zh-CN"/>
        </w:rPr>
        <w:t>评标结果汇总完成后，除下列情形外，任何人不得修改评标结果：</w:t>
      </w:r>
    </w:p>
    <w:p w14:paraId="7B419490">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 xml:space="preserve">1） </w:t>
      </w:r>
      <w:r>
        <w:rPr>
          <w:rFonts w:ascii="宋体" w:hAnsi="宋体" w:cs="仿宋_GB2312"/>
          <w:color w:val="auto"/>
          <w:sz w:val="24"/>
          <w:lang w:val="zh-CN"/>
        </w:rPr>
        <w:t>分值汇总计算错误的；</w:t>
      </w:r>
    </w:p>
    <w:p w14:paraId="31DDA232">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 xml:space="preserve">2） </w:t>
      </w:r>
      <w:r>
        <w:rPr>
          <w:rFonts w:ascii="宋体" w:hAnsi="宋体" w:cs="仿宋_GB2312"/>
          <w:color w:val="auto"/>
          <w:sz w:val="24"/>
          <w:lang w:val="zh-CN"/>
        </w:rPr>
        <w:t>分项评分超出评分标准范围的；</w:t>
      </w:r>
    </w:p>
    <w:p w14:paraId="5A6FE9A0">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 xml:space="preserve">3） </w:t>
      </w:r>
      <w:r>
        <w:rPr>
          <w:rFonts w:ascii="宋体" w:hAnsi="宋体" w:cs="仿宋_GB2312"/>
          <w:color w:val="auto"/>
          <w:sz w:val="24"/>
          <w:lang w:val="zh-CN"/>
        </w:rPr>
        <w:t>评标委员会成员对客观评审因素评分不一致的；</w:t>
      </w:r>
    </w:p>
    <w:p w14:paraId="76B588AD">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hint="eastAsia" w:ascii="宋体" w:hAnsi="宋体" w:cs="仿宋_GB2312"/>
          <w:color w:val="auto"/>
          <w:sz w:val="24"/>
          <w:lang w:val="zh-CN"/>
        </w:rPr>
        <w:t xml:space="preserve">4） </w:t>
      </w:r>
      <w:r>
        <w:rPr>
          <w:rFonts w:ascii="宋体" w:hAnsi="宋体" w:cs="仿宋_GB2312"/>
          <w:color w:val="auto"/>
          <w:sz w:val="24"/>
          <w:lang w:val="zh-CN"/>
        </w:rPr>
        <w:t>经评标委员会认定评分畸高、畸低的。</w:t>
      </w:r>
    </w:p>
    <w:p w14:paraId="0A0D1F2A">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88652F9">
      <w:pPr>
        <w:tabs>
          <w:tab w:val="left" w:pos="1260"/>
        </w:tabs>
        <w:autoSpaceDE w:val="0"/>
        <w:autoSpaceDN w:val="0"/>
        <w:spacing w:line="360" w:lineRule="auto"/>
        <w:ind w:firstLine="480" w:firstLineChars="200"/>
        <w:contextualSpacing/>
        <w:rPr>
          <w:rFonts w:ascii="宋体" w:hAnsi="宋体" w:cs="仿宋_GB2312"/>
          <w:color w:val="auto"/>
          <w:sz w:val="24"/>
          <w:lang w:val="zh-CN"/>
        </w:rPr>
      </w:pPr>
      <w:r>
        <w:rPr>
          <w:rFonts w:ascii="宋体" w:hAnsi="宋体" w:cs="仿宋_GB2312"/>
          <w:color w:val="auto"/>
          <w:sz w:val="24"/>
          <w:lang w:val="zh-CN"/>
        </w:rPr>
        <w:t>投标人对本条第一款情形提出质疑的，采购人或者采购代理机构可以组织原评标委员会进行重新评审，重新评审改变评标结果的，应当书面报告本级财政部门。</w:t>
      </w:r>
    </w:p>
    <w:p w14:paraId="687F08C3">
      <w:pPr>
        <w:wordWrap w:val="0"/>
        <w:spacing w:line="360" w:lineRule="auto"/>
        <w:ind w:firstLine="482" w:firstLineChars="200"/>
        <w:contextualSpacing/>
        <w:rPr>
          <w:rFonts w:ascii="宋体" w:hAnsi="宋体" w:cs="仿宋_GB2312"/>
          <w:b/>
          <w:bCs/>
          <w:color w:val="auto"/>
          <w:sz w:val="24"/>
          <w:lang w:val="zh-CN"/>
        </w:rPr>
      </w:pPr>
      <w:r>
        <w:rPr>
          <w:rFonts w:hint="eastAsia" w:ascii="宋体" w:hAnsi="宋体" w:cs="仿宋_GB2312"/>
          <w:b/>
          <w:bCs/>
          <w:color w:val="auto"/>
          <w:sz w:val="24"/>
          <w:lang w:val="zh-CN"/>
        </w:rPr>
        <w:t>（8）采购小组编写评审报告</w:t>
      </w:r>
    </w:p>
    <w:p w14:paraId="33250A6B">
      <w:pPr>
        <w:wordWrap w:val="0"/>
        <w:spacing w:line="360" w:lineRule="auto"/>
        <w:ind w:firstLine="480" w:firstLineChars="200"/>
        <w:contextualSpacing/>
        <w:rPr>
          <w:rFonts w:ascii="宋体" w:hAnsi="宋体" w:cs="仿宋_GB2312"/>
          <w:color w:val="auto"/>
          <w:lang w:val="zh-CN"/>
        </w:rPr>
      </w:pPr>
      <w:r>
        <w:rPr>
          <w:rFonts w:hint="eastAsia" w:ascii="宋体" w:hAnsi="宋体" w:cs="仿宋_GB2312"/>
          <w:color w:val="auto"/>
          <w:sz w:val="24"/>
          <w:lang w:val="zh-CN"/>
        </w:rPr>
        <w:t>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786042AD">
      <w:pPr>
        <w:tabs>
          <w:tab w:val="left" w:pos="1260"/>
        </w:tabs>
        <w:autoSpaceDE w:val="0"/>
        <w:autoSpaceDN w:val="0"/>
        <w:spacing w:line="360" w:lineRule="auto"/>
        <w:ind w:firstLine="482" w:firstLineChars="200"/>
        <w:contextualSpacing/>
        <w:rPr>
          <w:rFonts w:ascii="宋体" w:hAnsi="宋体" w:cs="仿宋_GB2312"/>
          <w:b/>
          <w:color w:val="auto"/>
          <w:sz w:val="24"/>
          <w:szCs w:val="24"/>
          <w:lang w:val="zh-CN"/>
        </w:rPr>
      </w:pPr>
      <w:r>
        <w:rPr>
          <w:rFonts w:hint="eastAsia" w:ascii="宋体" w:hAnsi="宋体" w:cs="仿宋_GB2312"/>
          <w:b/>
          <w:color w:val="auto"/>
          <w:sz w:val="24"/>
          <w:szCs w:val="24"/>
          <w:lang w:val="zh-CN"/>
        </w:rPr>
        <w:t>（9）争议处理</w:t>
      </w:r>
    </w:p>
    <w:p w14:paraId="481A319E">
      <w:pPr>
        <w:tabs>
          <w:tab w:val="left" w:pos="1260"/>
        </w:tabs>
        <w:autoSpaceDE w:val="0"/>
        <w:autoSpaceDN w:val="0"/>
        <w:spacing w:line="360" w:lineRule="auto"/>
        <w:ind w:firstLine="480" w:firstLineChars="200"/>
        <w:contextualSpacing/>
        <w:rPr>
          <w:rFonts w:ascii="宋体" w:hAnsi="宋体" w:cs="仿宋_GB2312"/>
          <w:color w:val="auto"/>
          <w:sz w:val="24"/>
          <w:szCs w:val="24"/>
          <w:lang w:val="zh-CN"/>
        </w:rPr>
      </w:pPr>
      <w:r>
        <w:rPr>
          <w:rFonts w:ascii="宋体" w:hAnsi="宋体" w:cs="仿宋_GB2312"/>
          <w:color w:val="auto"/>
          <w:sz w:val="24"/>
          <w:szCs w:val="24"/>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11F3A634">
      <w:pPr>
        <w:numPr>
          <w:ilvl w:val="0"/>
          <w:numId w:val="12"/>
        </w:numPr>
        <w:ind w:firstLine="465"/>
        <w:rPr>
          <w:rFonts w:ascii="宋体" w:hAnsi="宋体" w:cs="仿宋_GB2312"/>
          <w:b/>
          <w:color w:val="auto"/>
          <w:sz w:val="24"/>
          <w:szCs w:val="24"/>
          <w:lang w:val="zh-CN"/>
        </w:rPr>
      </w:pPr>
      <w:r>
        <w:rPr>
          <w:rFonts w:ascii="宋体" w:hAnsi="宋体" w:cs="仿宋_GB2312"/>
          <w:b/>
          <w:color w:val="auto"/>
          <w:sz w:val="24"/>
          <w:szCs w:val="24"/>
          <w:lang w:val="zh-CN"/>
        </w:rPr>
        <w:t>确定中标候选人名单</w:t>
      </w:r>
      <w:r>
        <w:rPr>
          <w:rFonts w:hint="eastAsia" w:ascii="宋体" w:hAnsi="宋体" w:cs="仿宋_GB2312"/>
          <w:b/>
          <w:color w:val="auto"/>
          <w:sz w:val="24"/>
          <w:szCs w:val="24"/>
          <w:lang w:val="zh-CN"/>
        </w:rPr>
        <w:t>。</w:t>
      </w:r>
    </w:p>
    <w:p w14:paraId="4EC5E7F0">
      <w:pPr>
        <w:pStyle w:val="18"/>
        <w:spacing w:line="360" w:lineRule="auto"/>
        <w:ind w:firstLine="480" w:firstLineChars="200"/>
        <w:contextualSpacing/>
        <w:rPr>
          <w:rFonts w:ascii="宋体" w:hAnsi="宋体" w:cs="仿宋_GB2312"/>
          <w:bCs/>
          <w:color w:val="auto"/>
        </w:rPr>
      </w:pPr>
      <w:r>
        <w:rPr>
          <w:rFonts w:hint="eastAsia" w:ascii="宋体" w:hAnsi="宋体" w:cs="仿宋_GB2312"/>
          <w:bCs/>
          <w:color w:val="auto"/>
          <w:lang w:val="zh-CN"/>
        </w:rPr>
        <w:t>从质量和服务均能满足采购文件实质性响应要求的供应商中，按照评分由高到低的顺序提出</w:t>
      </w:r>
      <w:r>
        <w:rPr>
          <w:rFonts w:hint="eastAsia" w:ascii="宋体" w:hAnsi="宋体" w:cs="仿宋_GB2312"/>
          <w:bCs/>
          <w:color w:val="auto"/>
        </w:rPr>
        <w:t>3名成交候选人。根据规定，采购人按照成交候选人排名顺序确定成交供应商。</w:t>
      </w:r>
    </w:p>
    <w:p w14:paraId="0C6667AB">
      <w:pPr>
        <w:pStyle w:val="18"/>
        <w:spacing w:line="360" w:lineRule="auto"/>
        <w:ind w:firstLine="643" w:firstLineChars="200"/>
        <w:contextualSpacing/>
        <w:jc w:val="center"/>
        <w:rPr>
          <w:rFonts w:ascii="宋体" w:hAnsi="宋体"/>
          <w:b/>
          <w:color w:val="auto"/>
          <w:sz w:val="32"/>
          <w:szCs w:val="32"/>
        </w:rPr>
      </w:pPr>
    </w:p>
    <w:p w14:paraId="58A77D32">
      <w:pPr>
        <w:rPr>
          <w:rFonts w:ascii="宋体" w:hAnsi="宋体"/>
          <w:b/>
          <w:color w:val="auto"/>
          <w:kern w:val="0"/>
          <w:sz w:val="32"/>
          <w:szCs w:val="32"/>
        </w:rPr>
      </w:pPr>
      <w:r>
        <w:rPr>
          <w:rFonts w:hint="eastAsia" w:ascii="宋体" w:hAnsi="宋体"/>
          <w:b/>
          <w:color w:val="auto"/>
          <w:kern w:val="0"/>
          <w:sz w:val="32"/>
          <w:szCs w:val="32"/>
        </w:rPr>
        <w:br w:type="page"/>
      </w:r>
    </w:p>
    <w:p w14:paraId="0E897C96">
      <w:pPr>
        <w:pStyle w:val="18"/>
        <w:spacing w:line="360" w:lineRule="auto"/>
        <w:ind w:firstLine="643" w:firstLineChars="200"/>
        <w:contextualSpacing/>
        <w:jc w:val="center"/>
        <w:outlineLvl w:val="0"/>
        <w:rPr>
          <w:rFonts w:ascii="宋体" w:hAnsi="宋体"/>
          <w:b/>
          <w:color w:val="auto"/>
          <w:sz w:val="36"/>
          <w:szCs w:val="36"/>
        </w:rPr>
      </w:pPr>
      <w:r>
        <w:rPr>
          <w:rFonts w:hint="eastAsia" w:ascii="宋体" w:hAnsi="宋体"/>
          <w:b/>
          <w:color w:val="auto"/>
          <w:sz w:val="32"/>
          <w:szCs w:val="32"/>
        </w:rPr>
        <w:t>第七章 合同条款及格式</w:t>
      </w:r>
    </w:p>
    <w:p w14:paraId="6BCD4AED">
      <w:pPr>
        <w:spacing w:line="360" w:lineRule="auto"/>
        <w:jc w:val="center"/>
        <w:rPr>
          <w:rFonts w:ascii="宋体" w:hAnsi="宋体"/>
          <w:b/>
          <w:bCs/>
          <w:color w:val="auto"/>
        </w:rPr>
      </w:pPr>
      <w:r>
        <w:rPr>
          <w:rFonts w:hint="eastAsia" w:ascii="宋体" w:hAnsi="宋体"/>
          <w:b/>
          <w:bCs/>
          <w:color w:val="auto"/>
        </w:rPr>
        <w:t>（此合同仅供参考。以最终采购人与成交供应商签订的合同条款为准进行公示，</w:t>
      </w:r>
    </w:p>
    <w:p w14:paraId="15293870">
      <w:pPr>
        <w:spacing w:line="360" w:lineRule="auto"/>
        <w:jc w:val="center"/>
        <w:rPr>
          <w:rFonts w:ascii="宋体" w:hAnsi="宋体"/>
          <w:b/>
          <w:bCs/>
          <w:color w:val="auto"/>
        </w:rPr>
      </w:pPr>
      <w:r>
        <w:rPr>
          <w:rFonts w:hint="eastAsia" w:ascii="宋体" w:hAnsi="宋体"/>
          <w:b/>
          <w:bCs/>
          <w:color w:val="auto"/>
        </w:rPr>
        <w:t>最终签订合同的主要条款不能与招标文件有冲突）</w:t>
      </w:r>
    </w:p>
    <w:p w14:paraId="7651F842">
      <w:pPr>
        <w:pStyle w:val="27"/>
        <w:spacing w:line="360" w:lineRule="auto"/>
        <w:rPr>
          <w:color w:val="auto"/>
        </w:rPr>
      </w:pPr>
      <w:r>
        <w:rPr>
          <w:rFonts w:hint="eastAsia"/>
          <w:color w:val="auto"/>
        </w:rPr>
        <w:t>甲方：</w:t>
      </w:r>
      <w:r>
        <w:rPr>
          <w:rFonts w:hint="eastAsia"/>
          <w:color w:val="auto"/>
          <w:u w:val="single"/>
        </w:rPr>
        <w:t>（采购人全称）</w:t>
      </w:r>
    </w:p>
    <w:p w14:paraId="202180EB">
      <w:pPr>
        <w:pStyle w:val="27"/>
        <w:spacing w:before="0" w:beforeAutospacing="0" w:after="0" w:afterAutospacing="0" w:line="360" w:lineRule="auto"/>
        <w:contextualSpacing/>
        <w:rPr>
          <w:color w:val="auto"/>
        </w:rPr>
      </w:pPr>
      <w:r>
        <w:rPr>
          <w:rFonts w:hint="eastAsia"/>
          <w:color w:val="auto"/>
        </w:rPr>
        <w:t>乙方：</w:t>
      </w:r>
      <w:r>
        <w:rPr>
          <w:rFonts w:hint="eastAsia"/>
          <w:color w:val="auto"/>
          <w:u w:val="single"/>
        </w:rPr>
        <w:t>（中标人全称）</w:t>
      </w:r>
    </w:p>
    <w:p w14:paraId="12D8F89A">
      <w:pPr>
        <w:pStyle w:val="27"/>
        <w:spacing w:before="0" w:beforeAutospacing="0" w:after="0" w:afterAutospacing="0" w:line="360" w:lineRule="auto"/>
        <w:ind w:firstLine="482"/>
        <w:contextualSpacing/>
        <w:rPr>
          <w:color w:val="auto"/>
        </w:rPr>
      </w:pPr>
      <w:r>
        <w:rPr>
          <w:rFonts w:hint="eastAsia"/>
          <w:color w:val="auto"/>
        </w:rPr>
        <w:t>根据招标编号为的</w:t>
      </w:r>
      <w:r>
        <w:rPr>
          <w:rFonts w:hint="eastAsia"/>
          <w:color w:val="auto"/>
          <w:u w:val="single"/>
        </w:rPr>
        <w:t>（填写“项目名称”）</w:t>
      </w:r>
      <w:r>
        <w:rPr>
          <w:rFonts w:hint="eastAsia"/>
          <w:color w:val="auto"/>
        </w:rPr>
        <w:t>项目（以下简称：“本项目”）的招标结果，乙方为中标人。现经甲乙双方友好协商，就以下事项达成一致并签订本合同：</w:t>
      </w:r>
    </w:p>
    <w:p w14:paraId="41A612AA">
      <w:pPr>
        <w:pStyle w:val="27"/>
        <w:spacing w:before="0" w:beforeAutospacing="0" w:after="0" w:afterAutospacing="0" w:line="360" w:lineRule="auto"/>
        <w:ind w:firstLine="482"/>
        <w:contextualSpacing/>
        <w:rPr>
          <w:color w:val="auto"/>
        </w:rPr>
      </w:pPr>
      <w:r>
        <w:rPr>
          <w:rFonts w:hint="eastAsia"/>
          <w:color w:val="auto"/>
        </w:rPr>
        <w:t>1、下列合同文件是构成本合同不可分割的部分：</w:t>
      </w:r>
    </w:p>
    <w:p w14:paraId="37AF30C7">
      <w:pPr>
        <w:pStyle w:val="27"/>
        <w:spacing w:before="0" w:beforeAutospacing="0" w:after="0" w:afterAutospacing="0" w:line="360" w:lineRule="auto"/>
        <w:ind w:firstLine="482"/>
        <w:contextualSpacing/>
        <w:rPr>
          <w:color w:val="auto"/>
        </w:rPr>
      </w:pPr>
      <w:r>
        <w:rPr>
          <w:rFonts w:hint="eastAsia"/>
          <w:color w:val="auto"/>
        </w:rPr>
        <w:t>1.1合同条款；</w:t>
      </w:r>
    </w:p>
    <w:p w14:paraId="581717F1">
      <w:pPr>
        <w:pStyle w:val="27"/>
        <w:spacing w:before="0" w:beforeAutospacing="0" w:after="0" w:afterAutospacing="0" w:line="360" w:lineRule="auto"/>
        <w:ind w:firstLine="482"/>
        <w:contextualSpacing/>
        <w:rPr>
          <w:color w:val="auto"/>
        </w:rPr>
      </w:pPr>
      <w:r>
        <w:rPr>
          <w:rFonts w:hint="eastAsia"/>
          <w:color w:val="auto"/>
        </w:rPr>
        <w:t>1.2招标文件、乙方的投标文件；</w:t>
      </w:r>
    </w:p>
    <w:p w14:paraId="1823B5AD">
      <w:pPr>
        <w:pStyle w:val="27"/>
        <w:spacing w:before="0" w:beforeAutospacing="0" w:after="0" w:afterAutospacing="0" w:line="360" w:lineRule="auto"/>
        <w:ind w:firstLine="482"/>
        <w:contextualSpacing/>
        <w:rPr>
          <w:color w:val="auto"/>
        </w:rPr>
      </w:pPr>
      <w:r>
        <w:rPr>
          <w:rFonts w:hint="eastAsia"/>
          <w:color w:val="auto"/>
        </w:rPr>
        <w:t>1.3其他文件或材料：□无。□</w:t>
      </w:r>
      <w:r>
        <w:rPr>
          <w:rFonts w:hint="eastAsia"/>
          <w:color w:val="auto"/>
          <w:u w:val="single"/>
        </w:rPr>
        <w:t>（按照实际情况编制填写需要增加的内容）</w:t>
      </w:r>
      <w:r>
        <w:rPr>
          <w:rFonts w:hint="eastAsia"/>
          <w:color w:val="auto"/>
        </w:rPr>
        <w:t>。</w:t>
      </w:r>
    </w:p>
    <w:p w14:paraId="4BBC4F47">
      <w:pPr>
        <w:pStyle w:val="27"/>
        <w:spacing w:before="0" w:beforeAutospacing="0" w:after="0" w:afterAutospacing="0" w:line="360" w:lineRule="auto"/>
        <w:ind w:firstLine="482"/>
        <w:contextualSpacing/>
        <w:rPr>
          <w:color w:val="auto"/>
        </w:rPr>
      </w:pPr>
      <w:r>
        <w:rPr>
          <w:rFonts w:hint="eastAsia"/>
          <w:color w:val="auto"/>
        </w:rPr>
        <w:t>2、合同标的</w:t>
      </w:r>
    </w:p>
    <w:p w14:paraId="796E40BB">
      <w:pPr>
        <w:pStyle w:val="27"/>
        <w:spacing w:before="0" w:beforeAutospacing="0" w:after="0" w:afterAutospacing="0" w:line="360" w:lineRule="auto"/>
        <w:ind w:firstLine="482"/>
        <w:contextualSpacing/>
        <w:rPr>
          <w:color w:val="auto"/>
        </w:rPr>
      </w:pPr>
      <w:r>
        <w:rPr>
          <w:rFonts w:hint="eastAsia"/>
          <w:color w:val="auto"/>
          <w:u w:val="single"/>
        </w:rPr>
        <w:t>（按照实际情况编制填写，可以是表格或文字描述）</w:t>
      </w:r>
      <w:r>
        <w:rPr>
          <w:rFonts w:hint="eastAsia"/>
          <w:color w:val="auto"/>
        </w:rPr>
        <w:t>。</w:t>
      </w:r>
    </w:p>
    <w:p w14:paraId="0A6BA732">
      <w:pPr>
        <w:pStyle w:val="27"/>
        <w:spacing w:before="0" w:beforeAutospacing="0" w:after="0" w:afterAutospacing="0" w:line="360" w:lineRule="auto"/>
        <w:ind w:firstLine="482"/>
        <w:contextualSpacing/>
        <w:rPr>
          <w:color w:val="auto"/>
        </w:rPr>
      </w:pPr>
      <w:r>
        <w:rPr>
          <w:rFonts w:hint="eastAsia"/>
          <w:color w:val="auto"/>
        </w:rPr>
        <w:t>3、合同总金额</w:t>
      </w:r>
    </w:p>
    <w:p w14:paraId="4771CF9B">
      <w:pPr>
        <w:pStyle w:val="27"/>
        <w:spacing w:before="0" w:beforeAutospacing="0" w:after="0" w:afterAutospacing="0" w:line="360" w:lineRule="auto"/>
        <w:ind w:firstLine="482"/>
        <w:contextualSpacing/>
        <w:rPr>
          <w:color w:val="auto"/>
        </w:rPr>
      </w:pPr>
      <w:r>
        <w:rPr>
          <w:rFonts w:hint="eastAsia"/>
          <w:color w:val="auto"/>
        </w:rPr>
        <w:t>3.1合同总金额为人民币大写：元（￥）。</w:t>
      </w:r>
    </w:p>
    <w:p w14:paraId="4FA75D4E">
      <w:pPr>
        <w:pStyle w:val="27"/>
        <w:spacing w:before="0" w:beforeAutospacing="0" w:after="0" w:afterAutospacing="0" w:line="360" w:lineRule="auto"/>
        <w:ind w:firstLine="482"/>
        <w:contextualSpacing/>
        <w:rPr>
          <w:color w:val="auto"/>
        </w:rPr>
      </w:pPr>
      <w:r>
        <w:rPr>
          <w:rFonts w:hint="eastAsia"/>
          <w:color w:val="auto"/>
        </w:rPr>
        <w:t>4、合同标的交付时间、地点和条件</w:t>
      </w:r>
    </w:p>
    <w:p w14:paraId="5AD2EE80">
      <w:pPr>
        <w:pStyle w:val="27"/>
        <w:spacing w:before="0" w:beforeAutospacing="0" w:after="0" w:afterAutospacing="0" w:line="360" w:lineRule="auto"/>
        <w:ind w:firstLine="482"/>
        <w:contextualSpacing/>
        <w:rPr>
          <w:color w:val="auto"/>
        </w:rPr>
      </w:pPr>
      <w:r>
        <w:rPr>
          <w:rFonts w:hint="eastAsia"/>
          <w:color w:val="auto"/>
        </w:rPr>
        <w:t>4.1交付时间：</w:t>
      </w:r>
    </w:p>
    <w:p w14:paraId="0DFA069D">
      <w:pPr>
        <w:pStyle w:val="27"/>
        <w:spacing w:before="0" w:beforeAutospacing="0" w:after="0" w:afterAutospacing="0" w:line="360" w:lineRule="auto"/>
        <w:ind w:firstLine="482"/>
        <w:contextualSpacing/>
        <w:rPr>
          <w:color w:val="auto"/>
        </w:rPr>
      </w:pPr>
      <w:r>
        <w:rPr>
          <w:rFonts w:hint="eastAsia"/>
          <w:color w:val="auto"/>
        </w:rPr>
        <w:t>4.2交付地点：</w:t>
      </w:r>
    </w:p>
    <w:p w14:paraId="2B7C9229">
      <w:pPr>
        <w:pStyle w:val="27"/>
        <w:spacing w:before="0" w:beforeAutospacing="0" w:after="0" w:afterAutospacing="0" w:line="360" w:lineRule="auto"/>
        <w:ind w:firstLine="482"/>
        <w:contextualSpacing/>
        <w:rPr>
          <w:color w:val="auto"/>
        </w:rPr>
      </w:pPr>
      <w:r>
        <w:rPr>
          <w:rFonts w:hint="eastAsia"/>
          <w:color w:val="auto"/>
        </w:rPr>
        <w:t>4.3交付条件：</w:t>
      </w:r>
    </w:p>
    <w:p w14:paraId="0B89B0DA">
      <w:pPr>
        <w:pStyle w:val="27"/>
        <w:spacing w:before="0" w:beforeAutospacing="0" w:after="0" w:afterAutospacing="0" w:line="360" w:lineRule="auto"/>
        <w:ind w:firstLine="482"/>
        <w:contextualSpacing/>
        <w:rPr>
          <w:color w:val="auto"/>
        </w:rPr>
      </w:pPr>
      <w:r>
        <w:rPr>
          <w:rFonts w:hint="eastAsia"/>
          <w:color w:val="auto"/>
        </w:rPr>
        <w:t>5、合同标的应符合招标文件、乙方投标文件的规定或约定，具体如下：</w:t>
      </w:r>
    </w:p>
    <w:p w14:paraId="008FB0C4">
      <w:pPr>
        <w:pStyle w:val="27"/>
        <w:spacing w:before="0" w:beforeAutospacing="0" w:after="0" w:afterAutospacing="0" w:line="360" w:lineRule="auto"/>
        <w:ind w:firstLine="482"/>
        <w:contextualSpacing/>
        <w:rPr>
          <w:color w:val="auto"/>
        </w:rPr>
      </w:pPr>
      <w:r>
        <w:rPr>
          <w:rFonts w:hint="eastAsia"/>
          <w:color w:val="auto"/>
          <w:u w:val="single"/>
        </w:rPr>
        <w:t>（按照实际情况编制填写，可以是表格或文字描述）</w:t>
      </w:r>
      <w:r>
        <w:rPr>
          <w:rFonts w:hint="eastAsia"/>
          <w:color w:val="auto"/>
        </w:rPr>
        <w:t>。</w:t>
      </w:r>
    </w:p>
    <w:p w14:paraId="696C9AF6">
      <w:pPr>
        <w:pStyle w:val="27"/>
        <w:spacing w:before="0" w:beforeAutospacing="0" w:after="0" w:afterAutospacing="0" w:line="360" w:lineRule="auto"/>
        <w:ind w:firstLine="482"/>
        <w:contextualSpacing/>
        <w:rPr>
          <w:color w:val="auto"/>
        </w:rPr>
      </w:pPr>
      <w:r>
        <w:rPr>
          <w:rFonts w:hint="eastAsia"/>
          <w:color w:val="auto"/>
        </w:rPr>
        <w:t>6、验收</w:t>
      </w:r>
    </w:p>
    <w:p w14:paraId="3424E15F">
      <w:pPr>
        <w:pStyle w:val="27"/>
        <w:spacing w:before="0" w:beforeAutospacing="0" w:after="0" w:afterAutospacing="0" w:line="360" w:lineRule="auto"/>
        <w:ind w:firstLine="482"/>
        <w:contextualSpacing/>
        <w:rPr>
          <w:color w:val="auto"/>
        </w:rPr>
      </w:pPr>
      <w:r>
        <w:rPr>
          <w:rFonts w:hint="eastAsia"/>
          <w:color w:val="auto"/>
        </w:rPr>
        <w:t>6.1验收应按照招标文件、乙方投标文件的规定或约定进行，具体如下：</w:t>
      </w:r>
    </w:p>
    <w:p w14:paraId="68D372A5">
      <w:pPr>
        <w:pStyle w:val="27"/>
        <w:spacing w:before="0" w:beforeAutospacing="0" w:after="0" w:afterAutospacing="0" w:line="360" w:lineRule="auto"/>
        <w:ind w:firstLine="482"/>
        <w:contextualSpacing/>
        <w:rPr>
          <w:color w:val="auto"/>
        </w:rPr>
      </w:pPr>
      <w:r>
        <w:rPr>
          <w:rFonts w:hint="eastAsia"/>
          <w:color w:val="auto"/>
          <w:u w:val="single"/>
        </w:rPr>
        <w:t>（按照实际情况编制填写，可以是表格或文字描述）</w:t>
      </w:r>
      <w:r>
        <w:rPr>
          <w:rFonts w:hint="eastAsia"/>
          <w:color w:val="auto"/>
        </w:rPr>
        <w:t>。</w:t>
      </w:r>
    </w:p>
    <w:p w14:paraId="7190D8CF">
      <w:pPr>
        <w:pStyle w:val="27"/>
        <w:spacing w:before="0" w:beforeAutospacing="0" w:after="0" w:afterAutospacing="0" w:line="360" w:lineRule="auto"/>
        <w:ind w:firstLine="482"/>
        <w:contextualSpacing/>
        <w:rPr>
          <w:color w:val="auto"/>
        </w:rPr>
      </w:pPr>
      <w:r>
        <w:rPr>
          <w:rFonts w:hint="eastAsia"/>
          <w:color w:val="auto"/>
        </w:rPr>
        <w:t>6.2本项目是否邀请其他投标人参与验收：</w:t>
      </w:r>
    </w:p>
    <w:p w14:paraId="55A3E7CE">
      <w:pPr>
        <w:pStyle w:val="27"/>
        <w:spacing w:before="0" w:beforeAutospacing="0" w:after="0" w:afterAutospacing="0" w:line="360" w:lineRule="auto"/>
        <w:ind w:firstLine="482"/>
        <w:contextualSpacing/>
        <w:rPr>
          <w:color w:val="auto"/>
        </w:rPr>
      </w:pPr>
      <w:r>
        <w:rPr>
          <w:rFonts w:hint="eastAsia"/>
          <w:color w:val="auto"/>
        </w:rPr>
        <w:t>□不邀请。□邀请，具体如下：</w:t>
      </w:r>
      <w:r>
        <w:rPr>
          <w:rFonts w:hint="eastAsia"/>
          <w:color w:val="auto"/>
          <w:u w:val="single"/>
        </w:rPr>
        <w:t>（按照招标文件规定填写）</w:t>
      </w:r>
      <w:r>
        <w:rPr>
          <w:rFonts w:hint="eastAsia"/>
          <w:color w:val="auto"/>
        </w:rPr>
        <w:t>。</w:t>
      </w:r>
    </w:p>
    <w:p w14:paraId="2567DC32">
      <w:pPr>
        <w:pStyle w:val="27"/>
        <w:spacing w:before="0" w:beforeAutospacing="0" w:after="0" w:afterAutospacing="0" w:line="360" w:lineRule="auto"/>
        <w:ind w:firstLine="482"/>
        <w:contextualSpacing/>
        <w:rPr>
          <w:color w:val="auto"/>
        </w:rPr>
      </w:pPr>
      <w:r>
        <w:rPr>
          <w:rFonts w:hint="eastAsia"/>
          <w:color w:val="auto"/>
        </w:rPr>
        <w:t>7、合同款项的支付应按照招标文件的规定进行，具体如下：</w:t>
      </w:r>
    </w:p>
    <w:p w14:paraId="732B3E2C">
      <w:pPr>
        <w:pStyle w:val="27"/>
        <w:spacing w:before="0" w:beforeAutospacing="0" w:after="0" w:afterAutospacing="0" w:line="360" w:lineRule="auto"/>
        <w:ind w:firstLine="482"/>
        <w:contextualSpacing/>
        <w:rPr>
          <w:color w:val="auto"/>
        </w:rPr>
      </w:pPr>
      <w:r>
        <w:rPr>
          <w:rFonts w:hint="eastAsia"/>
          <w:color w:val="auto"/>
          <w:u w:val="single"/>
        </w:rPr>
        <w:t>（按照实际情况编制填写，可以是表格或文字描述，包括一次性支付等）</w:t>
      </w:r>
      <w:r>
        <w:rPr>
          <w:rFonts w:hint="eastAsia"/>
          <w:color w:val="auto"/>
        </w:rPr>
        <w:t>。</w:t>
      </w:r>
    </w:p>
    <w:p w14:paraId="766C6F07">
      <w:pPr>
        <w:pStyle w:val="27"/>
        <w:spacing w:before="0" w:beforeAutospacing="0" w:after="0" w:afterAutospacing="0" w:line="360" w:lineRule="auto"/>
        <w:ind w:firstLine="482"/>
        <w:contextualSpacing/>
        <w:rPr>
          <w:color w:val="auto"/>
        </w:rPr>
      </w:pPr>
      <w:r>
        <w:rPr>
          <w:rFonts w:hint="eastAsia"/>
          <w:color w:val="auto"/>
        </w:rPr>
        <w:t>8、履约担保</w:t>
      </w:r>
    </w:p>
    <w:p w14:paraId="5179BE0F">
      <w:pPr>
        <w:pStyle w:val="27"/>
        <w:spacing w:before="0" w:beforeAutospacing="0" w:after="0" w:afterAutospacing="0" w:line="360" w:lineRule="auto"/>
        <w:ind w:firstLine="482"/>
        <w:contextualSpacing/>
        <w:rPr>
          <w:color w:val="auto"/>
        </w:rPr>
      </w:pPr>
      <w:r>
        <w:rPr>
          <w:rFonts w:hint="eastAsia"/>
          <w:color w:val="auto"/>
        </w:rPr>
        <w:t>□无。□有，具体如下：</w:t>
      </w:r>
      <w:r>
        <w:rPr>
          <w:rFonts w:hint="eastAsia"/>
          <w:color w:val="auto"/>
          <w:u w:val="single"/>
        </w:rPr>
        <w:t>（按照招标文件规定填写）</w:t>
      </w:r>
      <w:r>
        <w:rPr>
          <w:rFonts w:hint="eastAsia"/>
          <w:color w:val="auto"/>
        </w:rPr>
        <w:t>。</w:t>
      </w:r>
    </w:p>
    <w:p w14:paraId="6D0FD68D">
      <w:pPr>
        <w:pStyle w:val="27"/>
        <w:spacing w:before="0" w:beforeAutospacing="0" w:after="0" w:afterAutospacing="0" w:line="360" w:lineRule="auto"/>
        <w:ind w:firstLine="482"/>
        <w:contextualSpacing/>
        <w:rPr>
          <w:color w:val="auto"/>
        </w:rPr>
      </w:pPr>
      <w:r>
        <w:rPr>
          <w:rFonts w:hint="eastAsia"/>
          <w:color w:val="auto"/>
        </w:rPr>
        <w:t>9、合同有效期</w:t>
      </w:r>
    </w:p>
    <w:p w14:paraId="431147CC">
      <w:pPr>
        <w:pStyle w:val="27"/>
        <w:spacing w:before="0" w:beforeAutospacing="0" w:after="0" w:afterAutospacing="0" w:line="360" w:lineRule="auto"/>
        <w:ind w:firstLine="482"/>
        <w:contextualSpacing/>
        <w:rPr>
          <w:color w:val="auto"/>
        </w:rPr>
      </w:pPr>
      <w:r>
        <w:rPr>
          <w:rFonts w:hint="eastAsia"/>
          <w:color w:val="auto"/>
          <w:u w:val="single"/>
        </w:rPr>
        <w:t>（按照实际情况编制填写，可以是表格或文字描述）</w:t>
      </w:r>
      <w:r>
        <w:rPr>
          <w:rFonts w:hint="eastAsia"/>
          <w:color w:val="auto"/>
        </w:rPr>
        <w:t>。</w:t>
      </w:r>
    </w:p>
    <w:p w14:paraId="78AA1C20">
      <w:pPr>
        <w:pStyle w:val="27"/>
        <w:spacing w:before="0" w:beforeAutospacing="0" w:after="0" w:afterAutospacing="0" w:line="360" w:lineRule="auto"/>
        <w:ind w:firstLine="482"/>
        <w:contextualSpacing/>
        <w:rPr>
          <w:color w:val="auto"/>
        </w:rPr>
      </w:pPr>
      <w:r>
        <w:rPr>
          <w:rFonts w:hint="eastAsia"/>
          <w:color w:val="auto"/>
        </w:rPr>
        <w:t>10、违约责任</w:t>
      </w:r>
    </w:p>
    <w:p w14:paraId="06D2A5D0">
      <w:pPr>
        <w:pStyle w:val="27"/>
        <w:spacing w:before="0" w:beforeAutospacing="0" w:after="0" w:afterAutospacing="0" w:line="360" w:lineRule="auto"/>
        <w:ind w:firstLine="482"/>
        <w:contextualSpacing/>
        <w:rPr>
          <w:color w:val="auto"/>
        </w:rPr>
      </w:pPr>
      <w:r>
        <w:rPr>
          <w:rFonts w:hint="eastAsia"/>
          <w:color w:val="auto"/>
          <w:u w:val="single"/>
        </w:rPr>
        <w:t>（按照实际情况编制填写，可以是表格或文字描述）</w:t>
      </w:r>
      <w:r>
        <w:rPr>
          <w:rFonts w:hint="eastAsia"/>
          <w:color w:val="auto"/>
        </w:rPr>
        <w:t>。</w:t>
      </w:r>
    </w:p>
    <w:p w14:paraId="63820C87">
      <w:pPr>
        <w:pStyle w:val="27"/>
        <w:spacing w:before="0" w:beforeAutospacing="0" w:after="0" w:afterAutospacing="0" w:line="360" w:lineRule="auto"/>
        <w:ind w:firstLine="482"/>
        <w:contextualSpacing/>
        <w:rPr>
          <w:color w:val="auto"/>
        </w:rPr>
      </w:pPr>
      <w:r>
        <w:rPr>
          <w:rFonts w:hint="eastAsia"/>
          <w:color w:val="auto"/>
        </w:rPr>
        <w:t>11、知识产权</w:t>
      </w:r>
    </w:p>
    <w:p w14:paraId="4EF44FD2">
      <w:pPr>
        <w:pStyle w:val="27"/>
        <w:spacing w:before="0" w:beforeAutospacing="0" w:after="0" w:afterAutospacing="0" w:line="360" w:lineRule="auto"/>
        <w:ind w:firstLine="482"/>
        <w:contextualSpacing/>
        <w:rPr>
          <w:color w:val="auto"/>
        </w:rPr>
      </w:pPr>
      <w:r>
        <w:rPr>
          <w:rFonts w:hint="eastAsia"/>
          <w:color w:val="auto"/>
        </w:rPr>
        <w:t>11.1乙方提供的采购标的应符合国家知识产权法律法规的规定且非假冒伪劣产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51A86CC2">
      <w:pPr>
        <w:pStyle w:val="27"/>
        <w:spacing w:before="0" w:beforeAutospacing="0" w:after="0" w:afterAutospacing="0" w:line="360" w:lineRule="auto"/>
        <w:ind w:firstLine="482"/>
        <w:contextualSpacing/>
        <w:rPr>
          <w:color w:val="auto"/>
        </w:rPr>
      </w:pPr>
      <w:r>
        <w:rPr>
          <w:rFonts w:hint="eastAsia"/>
          <w:color w:val="auto"/>
        </w:rPr>
        <w:t>11.2若乙方提供的采购标的不符合国家知识产权法律法规的规定或被有关主管机关认定为假冒伪劣产品，则乙方中标资格将被取消；甲方还将按照有关法律法规和规章的规定进行处理，具体如下：</w:t>
      </w:r>
      <w:r>
        <w:rPr>
          <w:rFonts w:hint="eastAsia"/>
          <w:color w:val="auto"/>
          <w:u w:val="single"/>
        </w:rPr>
        <w:t>（按照实际情况编制填写）</w:t>
      </w:r>
      <w:r>
        <w:rPr>
          <w:rFonts w:hint="eastAsia"/>
          <w:color w:val="auto"/>
        </w:rPr>
        <w:t>。</w:t>
      </w:r>
    </w:p>
    <w:p w14:paraId="224B1A5A">
      <w:pPr>
        <w:pStyle w:val="27"/>
        <w:spacing w:before="0" w:beforeAutospacing="0" w:after="0" w:afterAutospacing="0" w:line="360" w:lineRule="auto"/>
        <w:ind w:firstLine="482"/>
        <w:contextualSpacing/>
        <w:rPr>
          <w:color w:val="auto"/>
        </w:rPr>
      </w:pPr>
      <w:r>
        <w:rPr>
          <w:rFonts w:hint="eastAsia"/>
          <w:color w:val="auto"/>
        </w:rPr>
        <w:t>12、解决争议的方法</w:t>
      </w:r>
    </w:p>
    <w:p w14:paraId="4008CE2B">
      <w:pPr>
        <w:pStyle w:val="27"/>
        <w:spacing w:before="0" w:beforeAutospacing="0" w:after="0" w:afterAutospacing="0" w:line="360" w:lineRule="auto"/>
        <w:ind w:firstLine="482"/>
        <w:contextualSpacing/>
        <w:rPr>
          <w:color w:val="auto"/>
        </w:rPr>
      </w:pPr>
      <w:r>
        <w:rPr>
          <w:rFonts w:hint="eastAsia"/>
          <w:color w:val="auto"/>
        </w:rPr>
        <w:t>12.1甲、乙双方协商解决。</w:t>
      </w:r>
    </w:p>
    <w:p w14:paraId="44FC4822">
      <w:pPr>
        <w:pStyle w:val="27"/>
        <w:spacing w:before="0" w:beforeAutospacing="0" w:after="0" w:afterAutospacing="0" w:line="360" w:lineRule="auto"/>
        <w:ind w:firstLine="482"/>
        <w:contextualSpacing/>
        <w:rPr>
          <w:color w:val="auto"/>
        </w:rPr>
      </w:pPr>
      <w:r>
        <w:rPr>
          <w:rFonts w:hint="eastAsia"/>
          <w:color w:val="auto"/>
        </w:rPr>
        <w:t>12.2若协商解决不成，则通过下列途径之一解决：</w:t>
      </w:r>
    </w:p>
    <w:p w14:paraId="1A60FC03">
      <w:pPr>
        <w:pStyle w:val="27"/>
        <w:spacing w:before="0" w:beforeAutospacing="0" w:after="0" w:afterAutospacing="0" w:line="360" w:lineRule="auto"/>
        <w:ind w:firstLine="482"/>
        <w:contextualSpacing/>
        <w:rPr>
          <w:color w:val="auto"/>
        </w:rPr>
      </w:pPr>
      <w:r>
        <w:rPr>
          <w:rFonts w:hint="eastAsia"/>
          <w:color w:val="auto"/>
        </w:rPr>
        <w:t>□提交仲裁委员会仲裁，具体如下：</w:t>
      </w:r>
      <w:r>
        <w:rPr>
          <w:rFonts w:hint="eastAsia"/>
          <w:color w:val="auto"/>
          <w:u w:val="single"/>
        </w:rPr>
        <w:t>（按照实际情况编制填写）</w:t>
      </w:r>
      <w:r>
        <w:rPr>
          <w:rFonts w:hint="eastAsia"/>
          <w:color w:val="auto"/>
        </w:rPr>
        <w:t>。</w:t>
      </w:r>
    </w:p>
    <w:p w14:paraId="2E7D2C3D">
      <w:pPr>
        <w:pStyle w:val="27"/>
        <w:spacing w:before="0" w:beforeAutospacing="0" w:after="0" w:afterAutospacing="0" w:line="360" w:lineRule="auto"/>
        <w:ind w:firstLine="482"/>
        <w:contextualSpacing/>
        <w:rPr>
          <w:color w:val="auto"/>
        </w:rPr>
      </w:pPr>
      <w:r>
        <w:rPr>
          <w:rFonts w:hint="eastAsia"/>
          <w:color w:val="auto"/>
        </w:rPr>
        <w:t>□向人民法院提起诉讼，具体如下：</w:t>
      </w:r>
      <w:r>
        <w:rPr>
          <w:rFonts w:hint="eastAsia"/>
          <w:color w:val="auto"/>
          <w:u w:val="single"/>
        </w:rPr>
        <w:t>（按照实际情况编制填写）</w:t>
      </w:r>
      <w:r>
        <w:rPr>
          <w:rFonts w:hint="eastAsia"/>
          <w:color w:val="auto"/>
        </w:rPr>
        <w:t>。</w:t>
      </w:r>
    </w:p>
    <w:p w14:paraId="15428C4C">
      <w:pPr>
        <w:pStyle w:val="27"/>
        <w:spacing w:before="0" w:beforeAutospacing="0" w:after="0" w:afterAutospacing="0" w:line="360" w:lineRule="auto"/>
        <w:ind w:firstLine="482"/>
        <w:contextualSpacing/>
        <w:rPr>
          <w:color w:val="auto"/>
        </w:rPr>
      </w:pPr>
      <w:r>
        <w:rPr>
          <w:rFonts w:hint="eastAsia"/>
          <w:color w:val="auto"/>
        </w:rPr>
        <w:t>13、不可抗力</w:t>
      </w:r>
    </w:p>
    <w:p w14:paraId="1839DFD3">
      <w:pPr>
        <w:pStyle w:val="27"/>
        <w:spacing w:before="0" w:beforeAutospacing="0" w:after="0" w:afterAutospacing="0" w:line="360" w:lineRule="auto"/>
        <w:ind w:firstLine="482"/>
        <w:contextualSpacing/>
        <w:rPr>
          <w:color w:val="auto"/>
        </w:rPr>
      </w:pPr>
      <w:r>
        <w:rPr>
          <w:rFonts w:hint="eastAsia"/>
          <w:color w:val="auto"/>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的一方延期履行、部分履行或不履行合同，并根据情况可部分或全部免于承担违约责任。</w:t>
      </w:r>
    </w:p>
    <w:p w14:paraId="0F824161">
      <w:pPr>
        <w:pStyle w:val="27"/>
        <w:spacing w:before="0" w:beforeAutospacing="0" w:after="0" w:afterAutospacing="0" w:line="360" w:lineRule="auto"/>
        <w:ind w:firstLine="482"/>
        <w:contextualSpacing/>
        <w:rPr>
          <w:color w:val="auto"/>
        </w:rPr>
      </w:pPr>
      <w:r>
        <w:rPr>
          <w:rFonts w:hint="eastAsia"/>
          <w:color w:val="auto"/>
        </w:rPr>
        <w:t>13.2本合同中的不可抗力指不能预见、不能避免、不能克服的客观情况，包括但不限于：自然灾害如地震、台风、洪水、火灾及政府行为、法律规定或其适用的变化或其他任何无法预见、避免或控制的事件。</w:t>
      </w:r>
    </w:p>
    <w:p w14:paraId="101C572C">
      <w:pPr>
        <w:pStyle w:val="27"/>
        <w:spacing w:before="0" w:beforeAutospacing="0" w:after="0" w:afterAutospacing="0" w:line="360" w:lineRule="auto"/>
        <w:ind w:firstLine="482"/>
        <w:contextualSpacing/>
        <w:rPr>
          <w:color w:val="auto"/>
        </w:rPr>
      </w:pPr>
      <w:r>
        <w:rPr>
          <w:rFonts w:hint="eastAsia"/>
          <w:color w:val="auto"/>
        </w:rPr>
        <w:t>14、合同条款</w:t>
      </w:r>
    </w:p>
    <w:p w14:paraId="466709FC">
      <w:pPr>
        <w:pStyle w:val="27"/>
        <w:spacing w:before="0" w:beforeAutospacing="0" w:after="0" w:afterAutospacing="0" w:line="360" w:lineRule="auto"/>
        <w:ind w:firstLine="482"/>
        <w:contextualSpacing/>
        <w:rPr>
          <w:color w:val="auto"/>
        </w:rPr>
      </w:pPr>
      <w:r>
        <w:rPr>
          <w:rFonts w:hint="eastAsia"/>
          <w:color w:val="auto"/>
          <w:u w:val="single"/>
        </w:rPr>
        <w:t>（按照实际情况编制填写。招标文件第五章已有规定的，双方均不得变更或调整；招标文件第五章未作规定的，双方可通过友好协商进行约定）</w:t>
      </w:r>
      <w:r>
        <w:rPr>
          <w:rFonts w:hint="eastAsia"/>
          <w:color w:val="auto"/>
        </w:rPr>
        <w:t>。</w:t>
      </w:r>
    </w:p>
    <w:p w14:paraId="56ED76BC">
      <w:pPr>
        <w:pStyle w:val="27"/>
        <w:spacing w:before="0" w:beforeAutospacing="0" w:after="0" w:afterAutospacing="0" w:line="360" w:lineRule="auto"/>
        <w:ind w:firstLine="482"/>
        <w:contextualSpacing/>
        <w:rPr>
          <w:color w:val="auto"/>
        </w:rPr>
      </w:pPr>
      <w:r>
        <w:rPr>
          <w:rFonts w:hint="eastAsia"/>
          <w:color w:val="auto"/>
        </w:rPr>
        <w:t>15、其他约定</w:t>
      </w:r>
    </w:p>
    <w:p w14:paraId="190DCB45">
      <w:pPr>
        <w:pStyle w:val="27"/>
        <w:spacing w:before="0" w:beforeAutospacing="0" w:after="0" w:afterAutospacing="0" w:line="360" w:lineRule="auto"/>
        <w:ind w:firstLine="482"/>
        <w:contextualSpacing/>
        <w:rPr>
          <w:color w:val="auto"/>
        </w:rPr>
      </w:pPr>
      <w:r>
        <w:rPr>
          <w:rFonts w:hint="eastAsia"/>
          <w:color w:val="auto"/>
        </w:rPr>
        <w:t>15.1合同文件与本合同具有同等法律效力。</w:t>
      </w:r>
    </w:p>
    <w:p w14:paraId="101BAB6C">
      <w:pPr>
        <w:pStyle w:val="27"/>
        <w:spacing w:before="0" w:beforeAutospacing="0" w:after="0" w:afterAutospacing="0" w:line="360" w:lineRule="auto"/>
        <w:ind w:firstLine="482"/>
        <w:contextualSpacing/>
        <w:rPr>
          <w:color w:val="auto"/>
        </w:rPr>
      </w:pPr>
      <w:r>
        <w:rPr>
          <w:rFonts w:hint="eastAsia"/>
          <w:color w:val="auto"/>
        </w:rPr>
        <w:t>15.2本合同未尽事宜，双方可另行补充。</w:t>
      </w:r>
    </w:p>
    <w:p w14:paraId="7E071390">
      <w:pPr>
        <w:pStyle w:val="27"/>
        <w:spacing w:before="0" w:beforeAutospacing="0" w:after="0" w:afterAutospacing="0" w:line="360" w:lineRule="auto"/>
        <w:ind w:firstLine="482"/>
        <w:contextualSpacing/>
        <w:rPr>
          <w:color w:val="auto"/>
        </w:rPr>
      </w:pPr>
      <w:r>
        <w:rPr>
          <w:rFonts w:hint="eastAsia"/>
          <w:color w:val="auto"/>
        </w:rPr>
        <w:t>15.3合同生效：自签订之日起生效。</w:t>
      </w:r>
    </w:p>
    <w:p w14:paraId="541A6D68">
      <w:pPr>
        <w:pStyle w:val="27"/>
        <w:spacing w:before="0" w:beforeAutospacing="0" w:after="0" w:afterAutospacing="0" w:line="360" w:lineRule="auto"/>
        <w:ind w:firstLine="482"/>
        <w:contextualSpacing/>
        <w:rPr>
          <w:color w:val="auto"/>
        </w:rPr>
      </w:pPr>
      <w:r>
        <w:rPr>
          <w:rFonts w:hint="eastAsia"/>
          <w:color w:val="auto"/>
        </w:rPr>
        <w:t>15.4本合同一式</w:t>
      </w:r>
      <w:r>
        <w:rPr>
          <w:rFonts w:hint="eastAsia"/>
          <w:color w:val="auto"/>
          <w:u w:val="single"/>
        </w:rPr>
        <w:t>（填写具体份数）</w:t>
      </w:r>
      <w:r>
        <w:rPr>
          <w:rFonts w:hint="eastAsia"/>
          <w:color w:val="auto"/>
        </w:rPr>
        <w:t>份，经双方授权代表签字并盖章后生效。甲方、乙方各执</w:t>
      </w:r>
      <w:r>
        <w:rPr>
          <w:rFonts w:hint="eastAsia"/>
          <w:color w:val="auto"/>
          <w:u w:val="single"/>
        </w:rPr>
        <w:t>（填写具体份数）</w:t>
      </w:r>
      <w:r>
        <w:rPr>
          <w:rFonts w:hint="eastAsia"/>
          <w:color w:val="auto"/>
        </w:rPr>
        <w:t>份，送</w:t>
      </w:r>
      <w:r>
        <w:rPr>
          <w:rFonts w:hint="eastAsia"/>
          <w:color w:val="auto"/>
          <w:u w:val="single"/>
        </w:rPr>
        <w:t>（填写需要备案的监管部门的全称）</w:t>
      </w:r>
      <w:r>
        <w:rPr>
          <w:rFonts w:hint="eastAsia"/>
          <w:color w:val="auto"/>
        </w:rPr>
        <w:t>备案</w:t>
      </w:r>
      <w:r>
        <w:rPr>
          <w:rFonts w:hint="eastAsia"/>
          <w:color w:val="auto"/>
          <w:u w:val="single"/>
        </w:rPr>
        <w:t>（填写具体份数）</w:t>
      </w:r>
      <w:r>
        <w:rPr>
          <w:rFonts w:hint="eastAsia"/>
          <w:color w:val="auto"/>
        </w:rPr>
        <w:t>份，具有同等效力。</w:t>
      </w:r>
    </w:p>
    <w:p w14:paraId="4059B47E">
      <w:pPr>
        <w:pStyle w:val="27"/>
        <w:spacing w:before="0" w:beforeAutospacing="0" w:after="0" w:afterAutospacing="0" w:line="360" w:lineRule="auto"/>
        <w:ind w:firstLine="482"/>
        <w:contextualSpacing/>
        <w:rPr>
          <w:color w:val="auto"/>
        </w:rPr>
      </w:pPr>
      <w:r>
        <w:rPr>
          <w:rFonts w:hint="eastAsia"/>
          <w:color w:val="auto"/>
        </w:rPr>
        <w:t>15.5其他：□无。□</w:t>
      </w:r>
      <w:r>
        <w:rPr>
          <w:rFonts w:hint="eastAsia"/>
          <w:color w:val="auto"/>
          <w:u w:val="single"/>
        </w:rPr>
        <w:t>（按照实际情况编制填写需要增加的内容）</w:t>
      </w:r>
      <w:r>
        <w:rPr>
          <w:rFonts w:hint="eastAsia"/>
          <w:color w:val="auto"/>
        </w:rPr>
        <w:t>。</w:t>
      </w:r>
    </w:p>
    <w:p w14:paraId="7A59CF3B">
      <w:pPr>
        <w:pStyle w:val="27"/>
        <w:spacing w:before="0" w:beforeAutospacing="0" w:after="0" w:afterAutospacing="0" w:line="360" w:lineRule="auto"/>
        <w:contextualSpacing/>
        <w:rPr>
          <w:color w:val="auto"/>
        </w:rPr>
      </w:pPr>
      <w:r>
        <w:rPr>
          <w:rFonts w:hint="eastAsia"/>
          <w:color w:val="auto"/>
        </w:rPr>
        <w:t>甲方：                             乙方：</w:t>
      </w:r>
    </w:p>
    <w:p w14:paraId="3F28A72F">
      <w:pPr>
        <w:pStyle w:val="27"/>
        <w:spacing w:before="0" w:beforeAutospacing="0" w:after="0" w:afterAutospacing="0" w:line="360" w:lineRule="auto"/>
        <w:contextualSpacing/>
        <w:rPr>
          <w:color w:val="auto"/>
        </w:rPr>
      </w:pPr>
      <w:r>
        <w:rPr>
          <w:rFonts w:hint="eastAsia"/>
          <w:color w:val="auto"/>
        </w:rPr>
        <w:t>住所：                             住所：</w:t>
      </w:r>
    </w:p>
    <w:p w14:paraId="76687578">
      <w:pPr>
        <w:pStyle w:val="27"/>
        <w:spacing w:before="0" w:beforeAutospacing="0" w:after="0" w:afterAutospacing="0" w:line="360" w:lineRule="auto"/>
        <w:contextualSpacing/>
        <w:rPr>
          <w:color w:val="auto"/>
        </w:rPr>
      </w:pPr>
      <w:r>
        <w:rPr>
          <w:rFonts w:hint="eastAsia"/>
          <w:color w:val="auto"/>
        </w:rPr>
        <w:t>法定代表人（单位负责人）：         法定代表人（单位负责人）：</w:t>
      </w:r>
    </w:p>
    <w:p w14:paraId="62561D73">
      <w:pPr>
        <w:pStyle w:val="27"/>
        <w:spacing w:before="0" w:beforeAutospacing="0" w:after="0" w:afterAutospacing="0" w:line="360" w:lineRule="auto"/>
        <w:contextualSpacing/>
        <w:rPr>
          <w:color w:val="auto"/>
        </w:rPr>
      </w:pPr>
      <w:r>
        <w:rPr>
          <w:rFonts w:hint="eastAsia"/>
          <w:color w:val="auto"/>
        </w:rPr>
        <w:t>联系方法：                         联系方法：</w:t>
      </w:r>
    </w:p>
    <w:p w14:paraId="17621ED2">
      <w:pPr>
        <w:pStyle w:val="27"/>
        <w:spacing w:before="0" w:beforeAutospacing="0" w:after="0" w:afterAutospacing="0" w:line="360" w:lineRule="auto"/>
        <w:contextualSpacing/>
        <w:rPr>
          <w:color w:val="auto"/>
        </w:rPr>
      </w:pPr>
      <w:r>
        <w:rPr>
          <w:rFonts w:hint="eastAsia"/>
          <w:color w:val="auto"/>
        </w:rPr>
        <w:t>开户银行：                         开户银行：</w:t>
      </w:r>
    </w:p>
    <w:p w14:paraId="3A6F0982">
      <w:pPr>
        <w:pStyle w:val="27"/>
        <w:spacing w:before="0" w:beforeAutospacing="0" w:after="0" w:afterAutospacing="0" w:line="360" w:lineRule="auto"/>
        <w:contextualSpacing/>
        <w:rPr>
          <w:color w:val="auto"/>
        </w:rPr>
      </w:pPr>
      <w:r>
        <w:rPr>
          <w:rFonts w:hint="eastAsia"/>
          <w:color w:val="auto"/>
        </w:rPr>
        <w:t>账号：                             账号：</w:t>
      </w:r>
    </w:p>
    <w:p w14:paraId="7CFDF251">
      <w:pPr>
        <w:pStyle w:val="27"/>
        <w:spacing w:before="0" w:beforeAutospacing="0" w:after="0" w:afterAutospacing="0" w:line="360" w:lineRule="auto"/>
        <w:contextualSpacing/>
        <w:rPr>
          <w:b/>
          <w:color w:val="auto"/>
          <w:sz w:val="32"/>
          <w:szCs w:val="32"/>
        </w:rPr>
      </w:pPr>
      <w:r>
        <w:rPr>
          <w:rFonts w:hint="eastAsia"/>
          <w:color w:val="auto"/>
        </w:rPr>
        <w:t>签订地点：                        签订日期：   年   月   日</w:t>
      </w:r>
    </w:p>
    <w:p w14:paraId="4A283F44">
      <w:pPr>
        <w:rPr>
          <w:rFonts w:ascii="宋体" w:hAnsi="宋体" w:cs="宋体"/>
          <w:b/>
          <w:color w:val="auto"/>
          <w:kern w:val="0"/>
          <w:sz w:val="32"/>
          <w:szCs w:val="32"/>
        </w:rPr>
      </w:pPr>
      <w:r>
        <w:rPr>
          <w:rFonts w:hint="eastAsia" w:ascii="宋体" w:hAnsi="宋体" w:cs="宋体"/>
          <w:b/>
          <w:color w:val="auto"/>
          <w:kern w:val="0"/>
          <w:sz w:val="32"/>
          <w:szCs w:val="32"/>
        </w:rPr>
        <w:br w:type="page"/>
      </w:r>
    </w:p>
    <w:p w14:paraId="50B466AD">
      <w:pPr>
        <w:tabs>
          <w:tab w:val="left" w:pos="1260"/>
        </w:tabs>
        <w:autoSpaceDE w:val="0"/>
        <w:autoSpaceDN w:val="0"/>
        <w:adjustRightInd w:val="0"/>
        <w:spacing w:line="360" w:lineRule="auto"/>
        <w:contextualSpacing/>
        <w:jc w:val="center"/>
        <w:outlineLvl w:val="0"/>
        <w:rPr>
          <w:rFonts w:ascii="宋体" w:hAnsi="宋体" w:cs="宋体"/>
          <w:b/>
          <w:color w:val="auto"/>
          <w:kern w:val="0"/>
          <w:sz w:val="32"/>
          <w:szCs w:val="32"/>
        </w:rPr>
      </w:pPr>
      <w:r>
        <w:rPr>
          <w:rFonts w:hint="eastAsia" w:ascii="宋体" w:hAnsi="宋体" w:cs="宋体"/>
          <w:b/>
          <w:color w:val="auto"/>
          <w:kern w:val="0"/>
          <w:sz w:val="32"/>
          <w:szCs w:val="32"/>
        </w:rPr>
        <w:t>第八章 投标文件有关格式</w:t>
      </w:r>
    </w:p>
    <w:p w14:paraId="5B51B608">
      <w:pPr>
        <w:tabs>
          <w:tab w:val="left" w:pos="1260"/>
        </w:tabs>
        <w:autoSpaceDE w:val="0"/>
        <w:autoSpaceDN w:val="0"/>
        <w:adjustRightInd w:val="0"/>
        <w:spacing w:line="360" w:lineRule="auto"/>
        <w:contextualSpacing/>
        <w:jc w:val="center"/>
        <w:rPr>
          <w:rFonts w:ascii="宋体" w:hAnsi="宋体" w:cs="宋体"/>
          <w:b/>
          <w:color w:val="auto"/>
          <w:kern w:val="0"/>
          <w:sz w:val="32"/>
          <w:szCs w:val="32"/>
        </w:rPr>
      </w:pPr>
      <w:r>
        <w:rPr>
          <w:rFonts w:hint="eastAsia" w:ascii="宋体" w:hAnsi="宋体" w:cs="宋体"/>
          <w:b/>
          <w:color w:val="auto"/>
          <w:kern w:val="0"/>
          <w:sz w:val="32"/>
          <w:szCs w:val="32"/>
        </w:rPr>
        <w:t>（如涉及本项目的提供）</w:t>
      </w:r>
    </w:p>
    <w:p w14:paraId="12775708">
      <w:pPr>
        <w:spacing w:line="360" w:lineRule="auto"/>
        <w:jc w:val="center"/>
        <w:rPr>
          <w:rFonts w:ascii="宋体" w:hAnsi="宋体" w:cs="宋体"/>
          <w:b/>
          <w:color w:val="auto"/>
          <w:sz w:val="32"/>
          <w:szCs w:val="32"/>
        </w:rPr>
      </w:pPr>
    </w:p>
    <w:p w14:paraId="73D163E1">
      <w:pPr>
        <w:spacing w:line="360" w:lineRule="auto"/>
        <w:jc w:val="center"/>
        <w:rPr>
          <w:rFonts w:ascii="宋体" w:hAnsi="宋体"/>
          <w:b/>
          <w:color w:val="auto"/>
          <w:sz w:val="52"/>
          <w:szCs w:val="52"/>
          <w:u w:val="single"/>
        </w:rPr>
      </w:pPr>
      <w:r>
        <w:rPr>
          <w:rFonts w:hint="eastAsia" w:ascii="宋体" w:hAnsi="宋体"/>
          <w:b/>
          <w:color w:val="auto"/>
          <w:sz w:val="52"/>
          <w:szCs w:val="52"/>
          <w:u w:val="single"/>
        </w:rPr>
        <w:t xml:space="preserve">                 项目</w:t>
      </w:r>
    </w:p>
    <w:p w14:paraId="0D8889EB">
      <w:pPr>
        <w:spacing w:line="360" w:lineRule="auto"/>
        <w:jc w:val="center"/>
        <w:rPr>
          <w:rFonts w:ascii="宋体" w:hAnsi="宋体"/>
          <w:b/>
          <w:color w:val="auto"/>
          <w:sz w:val="72"/>
          <w:szCs w:val="72"/>
          <w:u w:val="single"/>
        </w:rPr>
      </w:pPr>
    </w:p>
    <w:p w14:paraId="3F2E88B3">
      <w:pPr>
        <w:spacing w:line="360" w:lineRule="auto"/>
        <w:jc w:val="center"/>
        <w:rPr>
          <w:rFonts w:ascii="宋体" w:hAnsi="宋体"/>
          <w:b/>
          <w:color w:val="auto"/>
          <w:sz w:val="72"/>
          <w:szCs w:val="72"/>
          <w:u w:val="single"/>
        </w:rPr>
      </w:pPr>
    </w:p>
    <w:p w14:paraId="1402BAD5">
      <w:pPr>
        <w:spacing w:line="360" w:lineRule="auto"/>
        <w:jc w:val="center"/>
        <w:rPr>
          <w:rFonts w:ascii="宋体" w:hAnsi="宋体"/>
          <w:b/>
          <w:color w:val="auto"/>
          <w:sz w:val="72"/>
          <w:szCs w:val="72"/>
        </w:rPr>
      </w:pPr>
      <w:r>
        <w:rPr>
          <w:rFonts w:hint="eastAsia" w:ascii="宋体" w:hAnsi="宋体"/>
          <w:b/>
          <w:color w:val="auto"/>
          <w:sz w:val="72"/>
          <w:szCs w:val="72"/>
        </w:rPr>
        <w:t>投标文件</w:t>
      </w:r>
    </w:p>
    <w:p w14:paraId="769BF464">
      <w:pPr>
        <w:adjustRightInd w:val="0"/>
        <w:spacing w:line="360" w:lineRule="auto"/>
        <w:jc w:val="center"/>
        <w:textAlignment w:val="baseline"/>
        <w:rPr>
          <w:rFonts w:ascii="宋体" w:hAnsi="宋体" w:cs="宋体"/>
          <w:b/>
          <w:bCs/>
          <w:color w:val="auto"/>
          <w:sz w:val="84"/>
          <w:szCs w:val="96"/>
        </w:rPr>
      </w:pPr>
    </w:p>
    <w:p w14:paraId="38859806">
      <w:pPr>
        <w:adjustRightInd w:val="0"/>
        <w:spacing w:line="360" w:lineRule="auto"/>
        <w:jc w:val="center"/>
        <w:textAlignment w:val="baseline"/>
        <w:rPr>
          <w:rFonts w:ascii="宋体" w:hAnsi="宋体" w:cs="宋体"/>
          <w:b/>
          <w:bCs/>
          <w:color w:val="auto"/>
          <w:sz w:val="48"/>
          <w:szCs w:val="96"/>
        </w:rPr>
      </w:pPr>
    </w:p>
    <w:p w14:paraId="7B37E1B9">
      <w:pPr>
        <w:spacing w:line="360" w:lineRule="auto"/>
        <w:rPr>
          <w:rFonts w:ascii="宋体" w:hAnsi="宋体" w:cs="宋体"/>
          <w:b/>
          <w:color w:val="auto"/>
          <w:sz w:val="32"/>
          <w:szCs w:val="32"/>
        </w:rPr>
      </w:pPr>
    </w:p>
    <w:p w14:paraId="32C5ABE7">
      <w:pPr>
        <w:spacing w:line="480" w:lineRule="exact"/>
        <w:rPr>
          <w:rFonts w:ascii="宋体" w:hAnsi="宋体" w:cs="Lucida Sans Unicode"/>
          <w:color w:val="auto"/>
        </w:rPr>
      </w:pPr>
    </w:p>
    <w:p w14:paraId="154C3FB7">
      <w:pPr>
        <w:spacing w:line="360" w:lineRule="auto"/>
        <w:ind w:firstLine="900" w:firstLineChars="249"/>
        <w:rPr>
          <w:rFonts w:ascii="宋体" w:hAnsi="宋体"/>
          <w:b/>
          <w:color w:val="auto"/>
          <w:sz w:val="36"/>
          <w:szCs w:val="36"/>
        </w:rPr>
      </w:pPr>
      <w:r>
        <w:rPr>
          <w:rFonts w:hint="eastAsia" w:ascii="宋体" w:hAnsi="宋体"/>
          <w:b/>
          <w:color w:val="auto"/>
          <w:sz w:val="36"/>
          <w:szCs w:val="36"/>
        </w:rPr>
        <w:t>采购项目名称：</w:t>
      </w:r>
    </w:p>
    <w:p w14:paraId="24F92843">
      <w:pPr>
        <w:spacing w:line="360" w:lineRule="auto"/>
        <w:ind w:firstLine="900" w:firstLineChars="249"/>
        <w:rPr>
          <w:rFonts w:ascii="宋体" w:hAnsi="宋体"/>
          <w:b/>
          <w:color w:val="auto"/>
          <w:sz w:val="36"/>
          <w:szCs w:val="36"/>
        </w:rPr>
      </w:pPr>
      <w:r>
        <w:rPr>
          <w:rFonts w:hint="eastAsia" w:ascii="宋体" w:hAnsi="宋体"/>
          <w:b/>
          <w:color w:val="auto"/>
          <w:sz w:val="36"/>
          <w:szCs w:val="36"/>
        </w:rPr>
        <w:t>采购项目编号：</w:t>
      </w:r>
    </w:p>
    <w:p w14:paraId="5CC9ED04">
      <w:pPr>
        <w:spacing w:line="360" w:lineRule="auto"/>
        <w:ind w:firstLine="900" w:firstLineChars="249"/>
        <w:rPr>
          <w:rFonts w:ascii="宋体" w:hAnsi="宋体" w:cs="Lucida Sans Unicode"/>
          <w:b/>
          <w:color w:val="auto"/>
          <w:sz w:val="36"/>
          <w:szCs w:val="36"/>
        </w:rPr>
      </w:pPr>
      <w:r>
        <w:rPr>
          <w:rFonts w:hint="eastAsia" w:ascii="宋体" w:hAnsi="宋体"/>
          <w:b/>
          <w:color w:val="auto"/>
          <w:sz w:val="36"/>
          <w:szCs w:val="36"/>
        </w:rPr>
        <w:t>供应商名称 ：</w:t>
      </w:r>
      <w:r>
        <w:rPr>
          <w:rFonts w:ascii="宋体" w:hAnsi="宋体" w:cs="Lucida Sans Unicode"/>
          <w:b/>
          <w:color w:val="auto"/>
          <w:sz w:val="36"/>
          <w:szCs w:val="36"/>
        </w:rPr>
        <w:t xml:space="preserve"> </w:t>
      </w:r>
    </w:p>
    <w:p w14:paraId="071DDA9E">
      <w:pPr>
        <w:spacing w:line="360" w:lineRule="auto"/>
        <w:rPr>
          <w:rFonts w:ascii="宋体" w:hAnsi="宋体" w:cs="宋体"/>
          <w:b/>
          <w:color w:val="auto"/>
          <w:sz w:val="32"/>
          <w:szCs w:val="32"/>
        </w:rPr>
      </w:pPr>
      <w:r>
        <w:rPr>
          <w:rFonts w:hint="eastAsia" w:ascii="宋体" w:hAnsi="宋体" w:cs="Lucida Sans Unicode"/>
          <w:b/>
          <w:color w:val="auto"/>
          <w:sz w:val="36"/>
          <w:szCs w:val="36"/>
        </w:rPr>
        <w:t xml:space="preserve">     时间：</w:t>
      </w:r>
      <w:r>
        <w:rPr>
          <w:rFonts w:hint="eastAsia" w:ascii="宋体" w:hAnsi="宋体" w:cs="宋体"/>
          <w:b/>
          <w:color w:val="auto"/>
          <w:sz w:val="32"/>
          <w:szCs w:val="32"/>
        </w:rPr>
        <w:t xml:space="preserve">                        </w:t>
      </w:r>
    </w:p>
    <w:p w14:paraId="657473A1">
      <w:pPr>
        <w:spacing w:line="360" w:lineRule="auto"/>
        <w:rPr>
          <w:rFonts w:ascii="宋体" w:hAnsi="宋体" w:cs="宋体"/>
          <w:color w:val="auto"/>
          <w:sz w:val="28"/>
        </w:rPr>
      </w:pPr>
    </w:p>
    <w:p w14:paraId="345EBE79">
      <w:pPr>
        <w:autoSpaceDE w:val="0"/>
        <w:autoSpaceDN w:val="0"/>
        <w:adjustRightInd w:val="0"/>
        <w:spacing w:line="700" w:lineRule="exact"/>
        <w:rPr>
          <w:rFonts w:ascii="宋体" w:hAnsi="宋体" w:cs="黑体"/>
          <w:b/>
          <w:bCs/>
          <w:color w:val="auto"/>
          <w:sz w:val="44"/>
          <w:szCs w:val="44"/>
          <w:lang w:val="zh-CN"/>
        </w:rPr>
      </w:pPr>
      <w:r>
        <w:rPr>
          <w:rFonts w:cs="黑体"/>
          <w:color w:val="auto"/>
          <w:sz w:val="28"/>
          <w:szCs w:val="28"/>
          <w:lang w:val="zh-CN"/>
        </w:rPr>
        <w:br w:type="page"/>
      </w:r>
    </w:p>
    <w:p w14:paraId="665988C6">
      <w:pPr>
        <w:pStyle w:val="55"/>
        <w:tabs>
          <w:tab w:val="left" w:pos="660"/>
        </w:tabs>
        <w:snapToGrid w:val="0"/>
        <w:spacing w:before="0" w:line="400" w:lineRule="exact"/>
        <w:rPr>
          <w:rFonts w:cs="黑体"/>
          <w:color w:val="auto"/>
          <w:kern w:val="2"/>
          <w:sz w:val="28"/>
          <w:szCs w:val="28"/>
          <w:lang w:val="zh-CN"/>
        </w:rPr>
      </w:pPr>
      <w:bookmarkStart w:id="29" w:name="_Toc174185203"/>
      <w:bookmarkStart w:id="30" w:name="_Toc184023138"/>
      <w:bookmarkStart w:id="31" w:name="_Toc186274126"/>
      <w:r>
        <w:rPr>
          <w:rFonts w:hint="eastAsia" w:cs="黑体"/>
          <w:color w:val="auto"/>
          <w:kern w:val="2"/>
          <w:sz w:val="28"/>
          <w:szCs w:val="28"/>
          <w:lang w:val="zh-CN"/>
        </w:rPr>
        <w:t>一、投标人应答索引表</w:t>
      </w:r>
      <w:bookmarkEnd w:id="29"/>
      <w:bookmarkEnd w:id="30"/>
      <w:bookmarkEnd w:id="31"/>
    </w:p>
    <w:tbl>
      <w:tblPr>
        <w:tblStyle w:val="30"/>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3DDC2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2C43811B">
            <w:pPr>
              <w:snapToGrid w:val="0"/>
              <w:spacing w:line="400" w:lineRule="exact"/>
              <w:jc w:val="center"/>
              <w:rPr>
                <w:rFonts w:ascii="宋体" w:hAnsi="宋体" w:cs="微软雅黑"/>
                <w:b/>
                <w:color w:val="auto"/>
              </w:rPr>
            </w:pPr>
            <w:r>
              <w:rPr>
                <w:rFonts w:hint="eastAsia" w:ascii="宋体" w:hAnsi="宋体" w:cs="微软雅黑"/>
                <w:b/>
                <w:color w:val="auto"/>
              </w:rPr>
              <w:t>序号</w:t>
            </w:r>
          </w:p>
        </w:tc>
        <w:tc>
          <w:tcPr>
            <w:tcW w:w="3751" w:type="dxa"/>
            <w:vAlign w:val="center"/>
          </w:tcPr>
          <w:p w14:paraId="0E8A3B08">
            <w:pPr>
              <w:snapToGrid w:val="0"/>
              <w:spacing w:line="400" w:lineRule="exact"/>
              <w:jc w:val="center"/>
              <w:rPr>
                <w:rFonts w:ascii="宋体" w:hAnsi="宋体" w:cs="微软雅黑"/>
                <w:b/>
                <w:color w:val="auto"/>
              </w:rPr>
            </w:pPr>
            <w:r>
              <w:rPr>
                <w:rFonts w:hint="eastAsia" w:ascii="宋体" w:hAnsi="宋体" w:cs="微软雅黑"/>
                <w:b/>
                <w:color w:val="auto"/>
              </w:rPr>
              <w:t>项  目</w:t>
            </w:r>
          </w:p>
        </w:tc>
        <w:tc>
          <w:tcPr>
            <w:tcW w:w="1559" w:type="dxa"/>
            <w:vAlign w:val="center"/>
          </w:tcPr>
          <w:p w14:paraId="0D6D5960">
            <w:pPr>
              <w:snapToGrid w:val="0"/>
              <w:spacing w:line="400" w:lineRule="exact"/>
              <w:jc w:val="center"/>
              <w:rPr>
                <w:rFonts w:ascii="宋体" w:hAnsi="宋体" w:cs="微软雅黑"/>
                <w:b/>
                <w:color w:val="auto"/>
              </w:rPr>
            </w:pPr>
            <w:r>
              <w:rPr>
                <w:rFonts w:hint="eastAsia" w:ascii="宋体" w:hAnsi="宋体" w:cs="微软雅黑"/>
                <w:b/>
                <w:color w:val="auto"/>
              </w:rPr>
              <w:t>投标人应答</w:t>
            </w:r>
          </w:p>
          <w:p w14:paraId="12809FCC">
            <w:pPr>
              <w:snapToGrid w:val="0"/>
              <w:spacing w:line="400" w:lineRule="exact"/>
              <w:jc w:val="center"/>
              <w:rPr>
                <w:rFonts w:ascii="宋体" w:hAnsi="宋体" w:cs="微软雅黑"/>
                <w:b/>
                <w:color w:val="auto"/>
              </w:rPr>
            </w:pPr>
            <w:r>
              <w:rPr>
                <w:rFonts w:hint="eastAsia" w:ascii="宋体" w:hAnsi="宋体" w:cs="微软雅黑"/>
                <w:b/>
                <w:color w:val="auto"/>
              </w:rPr>
              <w:t>（有/没有）</w:t>
            </w:r>
          </w:p>
        </w:tc>
        <w:tc>
          <w:tcPr>
            <w:tcW w:w="1560" w:type="dxa"/>
            <w:vAlign w:val="center"/>
          </w:tcPr>
          <w:p w14:paraId="0D48E6B4">
            <w:pPr>
              <w:snapToGrid w:val="0"/>
              <w:spacing w:line="400" w:lineRule="exact"/>
              <w:jc w:val="center"/>
              <w:rPr>
                <w:rFonts w:ascii="宋体" w:hAnsi="宋体" w:cs="微软雅黑"/>
                <w:b/>
                <w:color w:val="auto"/>
              </w:rPr>
            </w:pPr>
            <w:r>
              <w:rPr>
                <w:rFonts w:hint="eastAsia" w:ascii="宋体" w:hAnsi="宋体" w:cs="微软雅黑"/>
                <w:b/>
                <w:color w:val="auto"/>
              </w:rPr>
              <w:t>投标文件中所在页码</w:t>
            </w:r>
          </w:p>
        </w:tc>
        <w:tc>
          <w:tcPr>
            <w:tcW w:w="2018" w:type="dxa"/>
            <w:vAlign w:val="center"/>
          </w:tcPr>
          <w:p w14:paraId="65565C5A">
            <w:pPr>
              <w:snapToGrid w:val="0"/>
              <w:spacing w:line="400" w:lineRule="exact"/>
              <w:jc w:val="center"/>
              <w:rPr>
                <w:rFonts w:ascii="宋体" w:hAnsi="宋体" w:cs="微软雅黑"/>
                <w:b/>
                <w:color w:val="auto"/>
              </w:rPr>
            </w:pPr>
            <w:r>
              <w:rPr>
                <w:rFonts w:hint="eastAsia" w:ascii="宋体" w:hAnsi="宋体" w:cs="微软雅黑"/>
                <w:b/>
                <w:color w:val="auto"/>
              </w:rPr>
              <w:t>备注说明</w:t>
            </w:r>
          </w:p>
        </w:tc>
      </w:tr>
      <w:tr w14:paraId="2DC95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975DF5D">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w:t>
            </w:r>
          </w:p>
        </w:tc>
        <w:tc>
          <w:tcPr>
            <w:tcW w:w="3751" w:type="dxa"/>
            <w:tcBorders>
              <w:left w:val="single" w:color="000000" w:sz="6" w:space="0"/>
            </w:tcBorders>
            <w:vAlign w:val="center"/>
          </w:tcPr>
          <w:p w14:paraId="7FB2C448">
            <w:pPr>
              <w:pStyle w:val="18"/>
              <w:kinsoku w:val="0"/>
              <w:overflowPunct w:val="0"/>
              <w:autoSpaceDE w:val="0"/>
              <w:autoSpaceDN w:val="0"/>
              <w:spacing w:line="320" w:lineRule="exact"/>
              <w:rPr>
                <w:rFonts w:hAnsi="宋体" w:cs="微软雅黑"/>
                <w:bCs/>
                <w:color w:val="auto"/>
                <w:sz w:val="21"/>
                <w:szCs w:val="21"/>
              </w:rPr>
            </w:pPr>
            <w:r>
              <w:rPr>
                <w:rFonts w:hint="eastAsia" w:hAnsi="宋体"/>
                <w:color w:val="auto"/>
                <w:sz w:val="21"/>
                <w:szCs w:val="21"/>
              </w:rPr>
              <w:t>投标人应答索引表</w:t>
            </w:r>
          </w:p>
        </w:tc>
        <w:tc>
          <w:tcPr>
            <w:tcW w:w="1559" w:type="dxa"/>
            <w:tcBorders>
              <w:left w:val="single" w:color="000000" w:sz="6" w:space="0"/>
            </w:tcBorders>
            <w:vAlign w:val="center"/>
          </w:tcPr>
          <w:p w14:paraId="139AC929">
            <w:pPr>
              <w:snapToGrid w:val="0"/>
              <w:spacing w:line="400" w:lineRule="exact"/>
              <w:jc w:val="center"/>
              <w:rPr>
                <w:rFonts w:ascii="宋体" w:hAnsi="宋体" w:cs="微软雅黑"/>
                <w:color w:val="auto"/>
              </w:rPr>
            </w:pPr>
          </w:p>
        </w:tc>
        <w:tc>
          <w:tcPr>
            <w:tcW w:w="1560" w:type="dxa"/>
            <w:tcBorders>
              <w:left w:val="single" w:color="000000" w:sz="6" w:space="0"/>
            </w:tcBorders>
            <w:vAlign w:val="center"/>
          </w:tcPr>
          <w:p w14:paraId="1F3E0DF4">
            <w:pPr>
              <w:snapToGrid w:val="0"/>
              <w:spacing w:line="400" w:lineRule="exact"/>
              <w:rPr>
                <w:rFonts w:ascii="宋体" w:hAnsi="宋体" w:cs="微软雅黑"/>
                <w:color w:val="auto"/>
              </w:rPr>
            </w:pPr>
          </w:p>
        </w:tc>
        <w:tc>
          <w:tcPr>
            <w:tcW w:w="2018" w:type="dxa"/>
            <w:tcBorders>
              <w:left w:val="single" w:color="000000" w:sz="6" w:space="0"/>
            </w:tcBorders>
            <w:vAlign w:val="center"/>
          </w:tcPr>
          <w:p w14:paraId="7AE6F4D5">
            <w:pPr>
              <w:snapToGrid w:val="0"/>
              <w:spacing w:line="400" w:lineRule="exact"/>
              <w:rPr>
                <w:rFonts w:ascii="宋体" w:hAnsi="宋体" w:cs="微软雅黑"/>
                <w:color w:val="auto"/>
              </w:rPr>
            </w:pPr>
          </w:p>
        </w:tc>
      </w:tr>
      <w:tr w14:paraId="28BD2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2E7974D1">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2</w:t>
            </w:r>
          </w:p>
        </w:tc>
        <w:tc>
          <w:tcPr>
            <w:tcW w:w="3751" w:type="dxa"/>
            <w:tcBorders>
              <w:left w:val="single" w:color="000000" w:sz="6" w:space="0"/>
            </w:tcBorders>
            <w:vAlign w:val="center"/>
          </w:tcPr>
          <w:p w14:paraId="048CADBE">
            <w:pPr>
              <w:pStyle w:val="18"/>
              <w:kinsoku w:val="0"/>
              <w:overflowPunct w:val="0"/>
              <w:autoSpaceDE w:val="0"/>
              <w:autoSpaceDN w:val="0"/>
              <w:spacing w:line="320" w:lineRule="exact"/>
              <w:rPr>
                <w:rFonts w:hAnsi="宋体"/>
                <w:color w:val="auto"/>
                <w:sz w:val="21"/>
                <w:szCs w:val="21"/>
              </w:rPr>
            </w:pPr>
            <w:r>
              <w:rPr>
                <w:rFonts w:hint="eastAsia" w:hAnsi="宋体"/>
                <w:color w:val="auto"/>
                <w:sz w:val="21"/>
                <w:szCs w:val="21"/>
              </w:rPr>
              <w:t>报价一览表</w:t>
            </w:r>
          </w:p>
        </w:tc>
        <w:tc>
          <w:tcPr>
            <w:tcW w:w="1559" w:type="dxa"/>
            <w:tcBorders>
              <w:left w:val="single" w:color="000000" w:sz="6" w:space="0"/>
            </w:tcBorders>
            <w:vAlign w:val="center"/>
          </w:tcPr>
          <w:p w14:paraId="6EC6EC74">
            <w:pPr>
              <w:snapToGrid w:val="0"/>
              <w:spacing w:line="400" w:lineRule="exact"/>
              <w:jc w:val="center"/>
              <w:rPr>
                <w:rFonts w:ascii="宋体" w:hAnsi="宋体" w:cs="微软雅黑"/>
                <w:color w:val="auto"/>
              </w:rPr>
            </w:pPr>
          </w:p>
        </w:tc>
        <w:tc>
          <w:tcPr>
            <w:tcW w:w="1560" w:type="dxa"/>
            <w:tcBorders>
              <w:left w:val="single" w:color="000000" w:sz="6" w:space="0"/>
            </w:tcBorders>
            <w:vAlign w:val="center"/>
          </w:tcPr>
          <w:p w14:paraId="7606D141">
            <w:pPr>
              <w:snapToGrid w:val="0"/>
              <w:spacing w:line="400" w:lineRule="exact"/>
              <w:rPr>
                <w:rFonts w:ascii="宋体" w:hAnsi="宋体" w:cs="微软雅黑"/>
                <w:color w:val="auto"/>
              </w:rPr>
            </w:pPr>
          </w:p>
        </w:tc>
        <w:tc>
          <w:tcPr>
            <w:tcW w:w="2018" w:type="dxa"/>
            <w:tcBorders>
              <w:left w:val="single" w:color="000000" w:sz="6" w:space="0"/>
            </w:tcBorders>
            <w:vAlign w:val="center"/>
          </w:tcPr>
          <w:p w14:paraId="2C833E9D">
            <w:pPr>
              <w:snapToGrid w:val="0"/>
              <w:spacing w:line="400" w:lineRule="exact"/>
              <w:rPr>
                <w:rFonts w:ascii="宋体" w:hAnsi="宋体" w:cs="微软雅黑"/>
                <w:color w:val="auto"/>
              </w:rPr>
            </w:pPr>
          </w:p>
        </w:tc>
      </w:tr>
      <w:tr w14:paraId="6BCD8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3B38DAE3">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3</w:t>
            </w:r>
          </w:p>
        </w:tc>
        <w:tc>
          <w:tcPr>
            <w:tcW w:w="3751" w:type="dxa"/>
            <w:tcBorders>
              <w:left w:val="single" w:color="000000" w:sz="6" w:space="0"/>
            </w:tcBorders>
            <w:vAlign w:val="center"/>
          </w:tcPr>
          <w:p w14:paraId="5F18EECD">
            <w:pPr>
              <w:pStyle w:val="18"/>
              <w:kinsoku w:val="0"/>
              <w:overflowPunct w:val="0"/>
              <w:autoSpaceDE w:val="0"/>
              <w:autoSpaceDN w:val="0"/>
              <w:spacing w:line="320" w:lineRule="exact"/>
              <w:rPr>
                <w:rFonts w:hAnsi="宋体" w:cs="微软雅黑"/>
                <w:bCs/>
                <w:color w:val="auto"/>
                <w:sz w:val="21"/>
                <w:szCs w:val="21"/>
              </w:rPr>
            </w:pPr>
            <w:r>
              <w:rPr>
                <w:rFonts w:hint="eastAsia" w:hAnsi="宋体"/>
                <w:color w:val="auto"/>
                <w:sz w:val="21"/>
                <w:szCs w:val="21"/>
              </w:rPr>
              <w:t>投标函</w:t>
            </w:r>
          </w:p>
        </w:tc>
        <w:tc>
          <w:tcPr>
            <w:tcW w:w="1559" w:type="dxa"/>
            <w:tcBorders>
              <w:left w:val="single" w:color="000000" w:sz="6" w:space="0"/>
            </w:tcBorders>
            <w:vAlign w:val="center"/>
          </w:tcPr>
          <w:p w14:paraId="45324E8F">
            <w:pPr>
              <w:snapToGrid w:val="0"/>
              <w:spacing w:line="400" w:lineRule="exact"/>
              <w:jc w:val="center"/>
              <w:rPr>
                <w:rFonts w:ascii="宋体" w:hAnsi="宋体" w:cs="微软雅黑"/>
                <w:color w:val="auto"/>
              </w:rPr>
            </w:pPr>
          </w:p>
        </w:tc>
        <w:tc>
          <w:tcPr>
            <w:tcW w:w="1560" w:type="dxa"/>
            <w:tcBorders>
              <w:left w:val="single" w:color="000000" w:sz="6" w:space="0"/>
            </w:tcBorders>
            <w:vAlign w:val="center"/>
          </w:tcPr>
          <w:p w14:paraId="24833147">
            <w:pPr>
              <w:snapToGrid w:val="0"/>
              <w:spacing w:line="400" w:lineRule="exact"/>
              <w:rPr>
                <w:rFonts w:ascii="宋体" w:hAnsi="宋体" w:cs="微软雅黑"/>
                <w:color w:val="auto"/>
              </w:rPr>
            </w:pPr>
          </w:p>
        </w:tc>
        <w:tc>
          <w:tcPr>
            <w:tcW w:w="2018" w:type="dxa"/>
            <w:tcBorders>
              <w:left w:val="single" w:color="000000" w:sz="6" w:space="0"/>
            </w:tcBorders>
            <w:vAlign w:val="center"/>
          </w:tcPr>
          <w:p w14:paraId="276C93AD">
            <w:pPr>
              <w:snapToGrid w:val="0"/>
              <w:spacing w:line="400" w:lineRule="exact"/>
              <w:rPr>
                <w:rFonts w:ascii="宋体" w:hAnsi="宋体" w:cs="微软雅黑"/>
                <w:color w:val="auto"/>
              </w:rPr>
            </w:pPr>
          </w:p>
        </w:tc>
      </w:tr>
      <w:tr w14:paraId="07203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388C20EC">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4</w:t>
            </w:r>
          </w:p>
        </w:tc>
        <w:tc>
          <w:tcPr>
            <w:tcW w:w="3751" w:type="dxa"/>
            <w:tcBorders>
              <w:left w:val="single" w:color="000000" w:sz="6" w:space="0"/>
            </w:tcBorders>
            <w:vAlign w:val="center"/>
          </w:tcPr>
          <w:p w14:paraId="41506093">
            <w:pPr>
              <w:pStyle w:val="18"/>
              <w:kinsoku w:val="0"/>
              <w:overflowPunct w:val="0"/>
              <w:autoSpaceDE w:val="0"/>
              <w:autoSpaceDN w:val="0"/>
              <w:spacing w:line="320" w:lineRule="exact"/>
              <w:rPr>
                <w:rFonts w:hAnsi="宋体"/>
                <w:color w:val="auto"/>
                <w:sz w:val="21"/>
                <w:szCs w:val="21"/>
              </w:rPr>
            </w:pPr>
            <w:r>
              <w:rPr>
                <w:rFonts w:hint="eastAsia" w:ascii="宋体" w:hAnsi="宋体" w:cs="宋体"/>
                <w:bCs/>
                <w:color w:val="auto"/>
                <w:sz w:val="21"/>
                <w:szCs w:val="21"/>
                <w:lang w:val="zh-CN"/>
              </w:rPr>
              <w:t>法定代表人（单位负责人）</w:t>
            </w:r>
            <w:r>
              <w:rPr>
                <w:rFonts w:ascii="宋体" w:hAnsi="宋体" w:cs="宋体"/>
                <w:bCs/>
                <w:color w:val="auto"/>
                <w:sz w:val="21"/>
                <w:szCs w:val="21"/>
                <w:lang w:val="zh-CN"/>
              </w:rPr>
              <w:t>资</w:t>
            </w:r>
            <w:r>
              <w:rPr>
                <w:rFonts w:hint="eastAsia" w:ascii="宋体" w:hAnsi="宋体" w:cs="宋体"/>
                <w:bCs/>
                <w:color w:val="auto"/>
                <w:sz w:val="21"/>
                <w:szCs w:val="21"/>
                <w:lang w:val="zh-CN"/>
              </w:rPr>
              <w:t>格</w:t>
            </w:r>
            <w:r>
              <w:rPr>
                <w:rFonts w:ascii="宋体" w:hAnsi="宋体" w:cs="宋体"/>
                <w:bCs/>
                <w:color w:val="auto"/>
                <w:sz w:val="21"/>
                <w:szCs w:val="21"/>
                <w:lang w:val="zh-CN"/>
              </w:rPr>
              <w:t>证</w:t>
            </w:r>
            <w:r>
              <w:rPr>
                <w:rFonts w:hint="eastAsia" w:ascii="宋体" w:hAnsi="宋体" w:cs="宋体"/>
                <w:bCs/>
                <w:color w:val="auto"/>
                <w:sz w:val="21"/>
                <w:szCs w:val="21"/>
                <w:lang w:val="zh-CN"/>
              </w:rPr>
              <w:t>明</w:t>
            </w:r>
            <w:r>
              <w:rPr>
                <w:rFonts w:ascii="宋体" w:hAnsi="宋体" w:cs="宋体"/>
                <w:bCs/>
                <w:color w:val="auto"/>
                <w:sz w:val="21"/>
                <w:szCs w:val="21"/>
                <w:lang w:val="zh-CN"/>
              </w:rPr>
              <w:t>书</w:t>
            </w:r>
          </w:p>
        </w:tc>
        <w:tc>
          <w:tcPr>
            <w:tcW w:w="1559" w:type="dxa"/>
            <w:tcBorders>
              <w:left w:val="single" w:color="000000" w:sz="6" w:space="0"/>
            </w:tcBorders>
            <w:vAlign w:val="center"/>
          </w:tcPr>
          <w:p w14:paraId="3587E0B3">
            <w:pPr>
              <w:snapToGrid w:val="0"/>
              <w:spacing w:line="400" w:lineRule="exact"/>
              <w:jc w:val="center"/>
              <w:rPr>
                <w:rFonts w:ascii="宋体" w:hAnsi="宋体" w:cs="微软雅黑"/>
                <w:color w:val="auto"/>
              </w:rPr>
            </w:pPr>
          </w:p>
        </w:tc>
        <w:tc>
          <w:tcPr>
            <w:tcW w:w="1560" w:type="dxa"/>
            <w:tcBorders>
              <w:left w:val="single" w:color="000000" w:sz="6" w:space="0"/>
            </w:tcBorders>
            <w:vAlign w:val="center"/>
          </w:tcPr>
          <w:p w14:paraId="3FA1B6B1">
            <w:pPr>
              <w:snapToGrid w:val="0"/>
              <w:spacing w:line="400" w:lineRule="exact"/>
              <w:rPr>
                <w:rFonts w:ascii="宋体" w:hAnsi="宋体" w:cs="微软雅黑"/>
                <w:color w:val="auto"/>
              </w:rPr>
            </w:pPr>
          </w:p>
        </w:tc>
        <w:tc>
          <w:tcPr>
            <w:tcW w:w="2018" w:type="dxa"/>
            <w:tcBorders>
              <w:left w:val="single" w:color="000000" w:sz="6" w:space="0"/>
            </w:tcBorders>
            <w:vAlign w:val="center"/>
          </w:tcPr>
          <w:p w14:paraId="2D57EC54">
            <w:pPr>
              <w:snapToGrid w:val="0"/>
              <w:spacing w:line="400" w:lineRule="exact"/>
              <w:rPr>
                <w:rFonts w:ascii="宋体" w:hAnsi="宋体" w:cs="微软雅黑"/>
                <w:color w:val="auto"/>
              </w:rPr>
            </w:pPr>
          </w:p>
        </w:tc>
      </w:tr>
      <w:tr w14:paraId="4FD31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3B696B29">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5</w:t>
            </w:r>
          </w:p>
        </w:tc>
        <w:tc>
          <w:tcPr>
            <w:tcW w:w="3751" w:type="dxa"/>
            <w:tcBorders>
              <w:left w:val="single" w:color="000000" w:sz="6" w:space="0"/>
            </w:tcBorders>
            <w:vAlign w:val="center"/>
          </w:tcPr>
          <w:p w14:paraId="34D7A1D2">
            <w:pPr>
              <w:pStyle w:val="18"/>
              <w:kinsoku w:val="0"/>
              <w:overflowPunct w:val="0"/>
              <w:autoSpaceDE w:val="0"/>
              <w:autoSpaceDN w:val="0"/>
              <w:spacing w:line="320" w:lineRule="exact"/>
              <w:rPr>
                <w:rFonts w:hAnsi="宋体"/>
                <w:color w:val="auto"/>
                <w:sz w:val="21"/>
                <w:szCs w:val="21"/>
              </w:rPr>
            </w:pPr>
            <w:r>
              <w:rPr>
                <w:rFonts w:hint="eastAsia" w:hAnsi="宋体"/>
                <w:color w:val="auto"/>
                <w:sz w:val="21"/>
                <w:szCs w:val="21"/>
              </w:rPr>
              <w:t>法定代表人（单位负责人）授权书</w:t>
            </w:r>
          </w:p>
        </w:tc>
        <w:tc>
          <w:tcPr>
            <w:tcW w:w="1559" w:type="dxa"/>
            <w:tcBorders>
              <w:left w:val="single" w:color="000000" w:sz="6" w:space="0"/>
            </w:tcBorders>
            <w:vAlign w:val="center"/>
          </w:tcPr>
          <w:p w14:paraId="175029A8">
            <w:pPr>
              <w:snapToGrid w:val="0"/>
              <w:spacing w:line="400" w:lineRule="exact"/>
              <w:jc w:val="center"/>
              <w:rPr>
                <w:rFonts w:ascii="宋体" w:hAnsi="宋体" w:cs="微软雅黑"/>
                <w:color w:val="auto"/>
              </w:rPr>
            </w:pPr>
          </w:p>
        </w:tc>
        <w:tc>
          <w:tcPr>
            <w:tcW w:w="1560" w:type="dxa"/>
            <w:tcBorders>
              <w:left w:val="single" w:color="000000" w:sz="6" w:space="0"/>
            </w:tcBorders>
            <w:vAlign w:val="center"/>
          </w:tcPr>
          <w:p w14:paraId="18E10C10">
            <w:pPr>
              <w:snapToGrid w:val="0"/>
              <w:spacing w:line="400" w:lineRule="exact"/>
              <w:rPr>
                <w:rFonts w:ascii="宋体" w:hAnsi="宋体" w:cs="微软雅黑"/>
                <w:color w:val="auto"/>
              </w:rPr>
            </w:pPr>
          </w:p>
        </w:tc>
        <w:tc>
          <w:tcPr>
            <w:tcW w:w="2018" w:type="dxa"/>
            <w:tcBorders>
              <w:left w:val="single" w:color="000000" w:sz="6" w:space="0"/>
            </w:tcBorders>
            <w:vAlign w:val="center"/>
          </w:tcPr>
          <w:p w14:paraId="12E2AAA9">
            <w:pPr>
              <w:snapToGrid w:val="0"/>
              <w:spacing w:line="400" w:lineRule="exact"/>
              <w:rPr>
                <w:rFonts w:ascii="宋体" w:hAnsi="宋体" w:cs="微软雅黑"/>
                <w:color w:val="auto"/>
              </w:rPr>
            </w:pPr>
          </w:p>
        </w:tc>
      </w:tr>
      <w:tr w14:paraId="7FF19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38EB0341">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6</w:t>
            </w:r>
          </w:p>
        </w:tc>
        <w:tc>
          <w:tcPr>
            <w:tcW w:w="3751" w:type="dxa"/>
            <w:tcBorders>
              <w:left w:val="single" w:color="000000" w:sz="6" w:space="0"/>
            </w:tcBorders>
            <w:vAlign w:val="center"/>
          </w:tcPr>
          <w:p w14:paraId="5BA22079">
            <w:pPr>
              <w:pStyle w:val="18"/>
              <w:kinsoku w:val="0"/>
              <w:overflowPunct w:val="0"/>
              <w:autoSpaceDE w:val="0"/>
              <w:autoSpaceDN w:val="0"/>
              <w:spacing w:line="320" w:lineRule="exact"/>
              <w:rPr>
                <w:rFonts w:hAnsi="宋体" w:cs="微软雅黑"/>
                <w:bCs/>
                <w:color w:val="auto"/>
                <w:sz w:val="21"/>
                <w:szCs w:val="21"/>
              </w:rPr>
            </w:pPr>
            <w:r>
              <w:rPr>
                <w:rFonts w:hint="eastAsia" w:ascii="宋体" w:hAnsi="宋体" w:cs="宋体"/>
                <w:bCs/>
                <w:color w:val="auto"/>
                <w:sz w:val="21"/>
                <w:szCs w:val="21"/>
                <w:lang w:val="zh-CN"/>
              </w:rPr>
              <w:t>投标承诺函</w:t>
            </w:r>
          </w:p>
        </w:tc>
        <w:tc>
          <w:tcPr>
            <w:tcW w:w="1559" w:type="dxa"/>
            <w:tcBorders>
              <w:left w:val="single" w:color="000000" w:sz="6" w:space="0"/>
            </w:tcBorders>
            <w:vAlign w:val="center"/>
          </w:tcPr>
          <w:p w14:paraId="2CB8014F">
            <w:pPr>
              <w:snapToGrid w:val="0"/>
              <w:spacing w:line="400" w:lineRule="exact"/>
              <w:jc w:val="center"/>
              <w:rPr>
                <w:rFonts w:ascii="宋体" w:hAnsi="宋体" w:cs="微软雅黑"/>
                <w:color w:val="auto"/>
              </w:rPr>
            </w:pPr>
          </w:p>
        </w:tc>
        <w:tc>
          <w:tcPr>
            <w:tcW w:w="1560" w:type="dxa"/>
            <w:tcBorders>
              <w:left w:val="single" w:color="000000" w:sz="6" w:space="0"/>
            </w:tcBorders>
            <w:vAlign w:val="center"/>
          </w:tcPr>
          <w:p w14:paraId="63894E97">
            <w:pPr>
              <w:snapToGrid w:val="0"/>
              <w:spacing w:line="400" w:lineRule="exact"/>
              <w:rPr>
                <w:rFonts w:ascii="宋体" w:hAnsi="宋体" w:cs="微软雅黑"/>
                <w:color w:val="auto"/>
              </w:rPr>
            </w:pPr>
          </w:p>
        </w:tc>
        <w:tc>
          <w:tcPr>
            <w:tcW w:w="2018" w:type="dxa"/>
            <w:tcBorders>
              <w:left w:val="single" w:color="000000" w:sz="6" w:space="0"/>
            </w:tcBorders>
            <w:vAlign w:val="center"/>
          </w:tcPr>
          <w:p w14:paraId="244D5978">
            <w:pPr>
              <w:snapToGrid w:val="0"/>
              <w:spacing w:line="400" w:lineRule="exact"/>
              <w:rPr>
                <w:rFonts w:ascii="宋体" w:hAnsi="宋体" w:cs="微软雅黑"/>
                <w:color w:val="auto"/>
              </w:rPr>
            </w:pPr>
          </w:p>
        </w:tc>
      </w:tr>
      <w:tr w14:paraId="7F819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BD31FAE">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7</w:t>
            </w:r>
          </w:p>
        </w:tc>
        <w:tc>
          <w:tcPr>
            <w:tcW w:w="3751" w:type="dxa"/>
            <w:tcBorders>
              <w:left w:val="single" w:color="000000" w:sz="6" w:space="0"/>
            </w:tcBorders>
            <w:vAlign w:val="center"/>
          </w:tcPr>
          <w:p w14:paraId="7C7DCD0E">
            <w:pPr>
              <w:pStyle w:val="18"/>
              <w:kinsoku w:val="0"/>
              <w:overflowPunct w:val="0"/>
              <w:autoSpaceDE w:val="0"/>
              <w:autoSpaceDN w:val="0"/>
              <w:spacing w:line="320" w:lineRule="exact"/>
              <w:rPr>
                <w:rFonts w:hAnsi="宋体" w:cs="微软雅黑"/>
                <w:bCs/>
                <w:color w:val="auto"/>
                <w:sz w:val="21"/>
                <w:szCs w:val="21"/>
              </w:rPr>
            </w:pPr>
            <w:r>
              <w:rPr>
                <w:rFonts w:hint="eastAsia" w:hAnsi="宋体"/>
                <w:color w:val="auto"/>
                <w:sz w:val="21"/>
                <w:szCs w:val="21"/>
              </w:rPr>
              <w:t>长葛市政府采购供应商信用承诺函</w:t>
            </w:r>
          </w:p>
        </w:tc>
        <w:tc>
          <w:tcPr>
            <w:tcW w:w="1559" w:type="dxa"/>
            <w:tcBorders>
              <w:left w:val="single" w:color="000000" w:sz="6" w:space="0"/>
            </w:tcBorders>
            <w:vAlign w:val="center"/>
          </w:tcPr>
          <w:p w14:paraId="33272BF0">
            <w:pPr>
              <w:jc w:val="center"/>
              <w:rPr>
                <w:color w:val="auto"/>
              </w:rPr>
            </w:pPr>
          </w:p>
        </w:tc>
        <w:tc>
          <w:tcPr>
            <w:tcW w:w="1560" w:type="dxa"/>
            <w:tcBorders>
              <w:left w:val="single" w:color="000000" w:sz="6" w:space="0"/>
            </w:tcBorders>
            <w:vAlign w:val="center"/>
          </w:tcPr>
          <w:p w14:paraId="7E8ABF25">
            <w:pPr>
              <w:snapToGrid w:val="0"/>
              <w:spacing w:line="400" w:lineRule="exact"/>
              <w:rPr>
                <w:rFonts w:ascii="宋体" w:hAnsi="宋体" w:cs="微软雅黑"/>
                <w:color w:val="auto"/>
              </w:rPr>
            </w:pPr>
          </w:p>
        </w:tc>
        <w:tc>
          <w:tcPr>
            <w:tcW w:w="2018" w:type="dxa"/>
            <w:tcBorders>
              <w:left w:val="single" w:color="000000" w:sz="6" w:space="0"/>
            </w:tcBorders>
            <w:vAlign w:val="center"/>
          </w:tcPr>
          <w:p w14:paraId="15EB5917">
            <w:pPr>
              <w:snapToGrid w:val="0"/>
              <w:spacing w:line="400" w:lineRule="exact"/>
              <w:rPr>
                <w:rFonts w:ascii="宋体" w:hAnsi="宋体" w:cs="微软雅黑"/>
                <w:color w:val="auto"/>
              </w:rPr>
            </w:pPr>
          </w:p>
        </w:tc>
      </w:tr>
      <w:tr w14:paraId="04E0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91EC58A">
            <w:pPr>
              <w:adjustRightInd w:val="0"/>
              <w:snapToGrid w:val="0"/>
              <w:spacing w:line="400" w:lineRule="exact"/>
              <w:jc w:val="center"/>
              <w:textAlignment w:val="baseline"/>
              <w:rPr>
                <w:rFonts w:ascii="宋体" w:hAnsi="宋体" w:cs="宋体"/>
                <w:bCs/>
                <w:color w:val="auto"/>
                <w:lang w:val="zh-CN"/>
              </w:rPr>
            </w:pPr>
            <w:r>
              <w:rPr>
                <w:rFonts w:hint="eastAsia" w:ascii="宋体" w:hAnsi="宋体" w:cs="宋体"/>
                <w:bCs/>
                <w:color w:val="auto"/>
                <w:lang w:val="zh-CN"/>
              </w:rPr>
              <w:t>8</w:t>
            </w:r>
          </w:p>
        </w:tc>
        <w:tc>
          <w:tcPr>
            <w:tcW w:w="3751" w:type="dxa"/>
            <w:tcBorders>
              <w:left w:val="single" w:color="000000" w:sz="6" w:space="0"/>
            </w:tcBorders>
            <w:vAlign w:val="center"/>
          </w:tcPr>
          <w:p w14:paraId="63051336">
            <w:pPr>
              <w:pStyle w:val="18"/>
              <w:kinsoku w:val="0"/>
              <w:overflowPunct w:val="0"/>
              <w:autoSpaceDE w:val="0"/>
              <w:autoSpaceDN w:val="0"/>
              <w:spacing w:line="320" w:lineRule="exact"/>
              <w:rPr>
                <w:rFonts w:ascii="宋体" w:hAnsi="宋体" w:cs="宋体"/>
                <w:bCs/>
                <w:color w:val="auto"/>
                <w:sz w:val="21"/>
                <w:szCs w:val="21"/>
                <w:lang w:val="zh-CN"/>
              </w:rPr>
            </w:pPr>
            <w:r>
              <w:rPr>
                <w:rFonts w:hint="eastAsia" w:ascii="宋体" w:hAnsi="宋体" w:cs="宋体"/>
                <w:bCs/>
                <w:color w:val="auto"/>
                <w:sz w:val="21"/>
                <w:szCs w:val="21"/>
                <w:lang w:val="zh-CN"/>
              </w:rPr>
              <w:t>联合体协议</w:t>
            </w:r>
          </w:p>
        </w:tc>
        <w:tc>
          <w:tcPr>
            <w:tcW w:w="1559" w:type="dxa"/>
            <w:tcBorders>
              <w:left w:val="single" w:color="000000" w:sz="6" w:space="0"/>
            </w:tcBorders>
            <w:vAlign w:val="center"/>
          </w:tcPr>
          <w:p w14:paraId="5BF51C19">
            <w:pPr>
              <w:jc w:val="center"/>
              <w:rPr>
                <w:color w:val="auto"/>
              </w:rPr>
            </w:pPr>
          </w:p>
        </w:tc>
        <w:tc>
          <w:tcPr>
            <w:tcW w:w="1560" w:type="dxa"/>
            <w:tcBorders>
              <w:left w:val="single" w:color="000000" w:sz="6" w:space="0"/>
            </w:tcBorders>
            <w:vAlign w:val="center"/>
          </w:tcPr>
          <w:p w14:paraId="097E767B">
            <w:pPr>
              <w:snapToGrid w:val="0"/>
              <w:spacing w:line="400" w:lineRule="exact"/>
              <w:rPr>
                <w:rFonts w:ascii="宋体" w:hAnsi="宋体" w:cs="微软雅黑"/>
                <w:color w:val="auto"/>
              </w:rPr>
            </w:pPr>
          </w:p>
        </w:tc>
        <w:tc>
          <w:tcPr>
            <w:tcW w:w="2018" w:type="dxa"/>
            <w:tcBorders>
              <w:left w:val="single" w:color="000000" w:sz="6" w:space="0"/>
            </w:tcBorders>
            <w:vAlign w:val="center"/>
          </w:tcPr>
          <w:p w14:paraId="4986F682">
            <w:pPr>
              <w:snapToGrid w:val="0"/>
              <w:spacing w:line="400" w:lineRule="exact"/>
              <w:rPr>
                <w:rFonts w:ascii="宋体" w:hAnsi="宋体" w:cs="微软雅黑"/>
                <w:color w:val="auto"/>
              </w:rPr>
            </w:pPr>
          </w:p>
        </w:tc>
      </w:tr>
      <w:tr w14:paraId="10492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0E8E7FC">
            <w:pPr>
              <w:adjustRightInd w:val="0"/>
              <w:snapToGrid w:val="0"/>
              <w:spacing w:line="400" w:lineRule="exact"/>
              <w:jc w:val="center"/>
              <w:textAlignment w:val="baseline"/>
              <w:rPr>
                <w:rFonts w:ascii="宋体" w:hAnsi="宋体" w:cs="宋体"/>
                <w:bCs/>
                <w:color w:val="auto"/>
                <w:lang w:val="zh-CN"/>
              </w:rPr>
            </w:pPr>
            <w:r>
              <w:rPr>
                <w:rFonts w:hint="eastAsia" w:ascii="宋体" w:hAnsi="宋体" w:cs="宋体"/>
                <w:bCs/>
                <w:color w:val="auto"/>
                <w:lang w:val="zh-CN"/>
              </w:rPr>
              <w:t>9</w:t>
            </w:r>
          </w:p>
        </w:tc>
        <w:tc>
          <w:tcPr>
            <w:tcW w:w="3751" w:type="dxa"/>
            <w:tcBorders>
              <w:left w:val="single" w:color="000000" w:sz="6" w:space="0"/>
            </w:tcBorders>
            <w:vAlign w:val="center"/>
          </w:tcPr>
          <w:p w14:paraId="6A79E727">
            <w:pPr>
              <w:pStyle w:val="18"/>
              <w:kinsoku w:val="0"/>
              <w:overflowPunct w:val="0"/>
              <w:autoSpaceDE w:val="0"/>
              <w:autoSpaceDN w:val="0"/>
              <w:spacing w:line="320" w:lineRule="exact"/>
              <w:rPr>
                <w:rFonts w:ascii="宋体" w:hAnsi="宋体" w:cs="宋体"/>
                <w:bCs/>
                <w:color w:val="auto"/>
                <w:sz w:val="21"/>
                <w:szCs w:val="21"/>
                <w:lang w:val="zh-CN"/>
              </w:rPr>
            </w:pPr>
            <w:r>
              <w:rPr>
                <w:rFonts w:hint="eastAsia" w:ascii="宋体" w:hAnsi="宋体" w:cs="宋体"/>
                <w:bCs/>
                <w:color w:val="auto"/>
                <w:sz w:val="21"/>
                <w:szCs w:val="21"/>
                <w:lang w:val="zh-CN"/>
              </w:rPr>
              <w:t>投标人与参加本项目投标的其他供应商之间，单位负责人不为同一人并且不存在直接控股、管理关系承诺函</w:t>
            </w:r>
          </w:p>
        </w:tc>
        <w:tc>
          <w:tcPr>
            <w:tcW w:w="1559" w:type="dxa"/>
            <w:tcBorders>
              <w:left w:val="single" w:color="000000" w:sz="6" w:space="0"/>
            </w:tcBorders>
            <w:vAlign w:val="center"/>
          </w:tcPr>
          <w:p w14:paraId="64C2E3C8">
            <w:pPr>
              <w:jc w:val="center"/>
              <w:rPr>
                <w:color w:val="auto"/>
              </w:rPr>
            </w:pPr>
          </w:p>
        </w:tc>
        <w:tc>
          <w:tcPr>
            <w:tcW w:w="1560" w:type="dxa"/>
            <w:tcBorders>
              <w:left w:val="single" w:color="000000" w:sz="6" w:space="0"/>
            </w:tcBorders>
            <w:vAlign w:val="center"/>
          </w:tcPr>
          <w:p w14:paraId="0B364D7A">
            <w:pPr>
              <w:snapToGrid w:val="0"/>
              <w:spacing w:line="400" w:lineRule="exact"/>
              <w:rPr>
                <w:rFonts w:ascii="宋体" w:hAnsi="宋体" w:cs="微软雅黑"/>
                <w:color w:val="auto"/>
              </w:rPr>
            </w:pPr>
          </w:p>
        </w:tc>
        <w:tc>
          <w:tcPr>
            <w:tcW w:w="2018" w:type="dxa"/>
            <w:tcBorders>
              <w:left w:val="single" w:color="000000" w:sz="6" w:space="0"/>
            </w:tcBorders>
            <w:vAlign w:val="center"/>
          </w:tcPr>
          <w:p w14:paraId="7546A04A">
            <w:pPr>
              <w:snapToGrid w:val="0"/>
              <w:spacing w:line="400" w:lineRule="exact"/>
              <w:rPr>
                <w:rFonts w:ascii="宋体" w:hAnsi="宋体" w:cs="微软雅黑"/>
                <w:color w:val="auto"/>
              </w:rPr>
            </w:pPr>
          </w:p>
        </w:tc>
      </w:tr>
      <w:tr w14:paraId="1E4D5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17CD98A">
            <w:pPr>
              <w:adjustRightInd w:val="0"/>
              <w:snapToGrid w:val="0"/>
              <w:spacing w:line="400" w:lineRule="exact"/>
              <w:jc w:val="center"/>
              <w:textAlignment w:val="baseline"/>
              <w:rPr>
                <w:rFonts w:ascii="宋体" w:hAnsi="宋体" w:cs="宋体"/>
                <w:bCs/>
                <w:color w:val="auto"/>
                <w:lang w:val="zh-CN"/>
              </w:rPr>
            </w:pPr>
            <w:r>
              <w:rPr>
                <w:rFonts w:hint="eastAsia" w:ascii="宋体" w:hAnsi="宋体" w:cs="宋体"/>
                <w:bCs/>
                <w:color w:val="auto"/>
                <w:lang w:val="zh-CN"/>
              </w:rPr>
              <w:t>10</w:t>
            </w:r>
          </w:p>
        </w:tc>
        <w:tc>
          <w:tcPr>
            <w:tcW w:w="3751" w:type="dxa"/>
            <w:tcBorders>
              <w:left w:val="single" w:color="000000" w:sz="6" w:space="0"/>
            </w:tcBorders>
            <w:vAlign w:val="center"/>
          </w:tcPr>
          <w:p w14:paraId="59A10627">
            <w:pPr>
              <w:pStyle w:val="18"/>
              <w:kinsoku w:val="0"/>
              <w:overflowPunct w:val="0"/>
              <w:autoSpaceDE w:val="0"/>
              <w:autoSpaceDN w:val="0"/>
              <w:spacing w:line="320" w:lineRule="exact"/>
              <w:rPr>
                <w:rFonts w:ascii="宋体" w:hAnsi="宋体" w:cs="宋体"/>
                <w:bCs/>
                <w:color w:val="auto"/>
                <w:sz w:val="21"/>
                <w:szCs w:val="21"/>
                <w:lang w:val="zh-CN"/>
              </w:rPr>
            </w:pPr>
            <w:r>
              <w:rPr>
                <w:rFonts w:hint="eastAsia" w:ascii="宋体" w:hAnsi="宋体" w:cs="仿宋_GB2312"/>
                <w:color w:val="auto"/>
                <w:sz w:val="21"/>
                <w:szCs w:val="21"/>
                <w:lang w:val="zh-CN"/>
              </w:rPr>
              <w:t>投标人未为本项目提供整体设计、规范编制或者项目管理、监理、检测等服务承诺函</w:t>
            </w:r>
          </w:p>
        </w:tc>
        <w:tc>
          <w:tcPr>
            <w:tcW w:w="1559" w:type="dxa"/>
            <w:tcBorders>
              <w:left w:val="single" w:color="000000" w:sz="6" w:space="0"/>
            </w:tcBorders>
            <w:vAlign w:val="center"/>
          </w:tcPr>
          <w:p w14:paraId="6E440D25">
            <w:pPr>
              <w:jc w:val="center"/>
              <w:rPr>
                <w:color w:val="auto"/>
              </w:rPr>
            </w:pPr>
          </w:p>
        </w:tc>
        <w:tc>
          <w:tcPr>
            <w:tcW w:w="1560" w:type="dxa"/>
            <w:tcBorders>
              <w:left w:val="single" w:color="000000" w:sz="6" w:space="0"/>
            </w:tcBorders>
            <w:vAlign w:val="center"/>
          </w:tcPr>
          <w:p w14:paraId="44D5245F">
            <w:pPr>
              <w:snapToGrid w:val="0"/>
              <w:spacing w:line="400" w:lineRule="exact"/>
              <w:rPr>
                <w:rFonts w:ascii="宋体" w:hAnsi="宋体" w:cs="微软雅黑"/>
                <w:color w:val="auto"/>
              </w:rPr>
            </w:pPr>
          </w:p>
        </w:tc>
        <w:tc>
          <w:tcPr>
            <w:tcW w:w="2018" w:type="dxa"/>
            <w:tcBorders>
              <w:left w:val="single" w:color="000000" w:sz="6" w:space="0"/>
            </w:tcBorders>
            <w:vAlign w:val="center"/>
          </w:tcPr>
          <w:p w14:paraId="2AC3DE24">
            <w:pPr>
              <w:snapToGrid w:val="0"/>
              <w:spacing w:line="400" w:lineRule="exact"/>
              <w:rPr>
                <w:rFonts w:ascii="宋体" w:hAnsi="宋体" w:cs="微软雅黑"/>
                <w:color w:val="auto"/>
              </w:rPr>
            </w:pPr>
          </w:p>
        </w:tc>
      </w:tr>
      <w:tr w14:paraId="54EC5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141530C3">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11</w:t>
            </w:r>
          </w:p>
        </w:tc>
        <w:tc>
          <w:tcPr>
            <w:tcW w:w="3751" w:type="dxa"/>
            <w:tcBorders>
              <w:top w:val="double" w:color="auto" w:sz="4" w:space="0"/>
            </w:tcBorders>
            <w:vAlign w:val="center"/>
          </w:tcPr>
          <w:p w14:paraId="59CAD58B">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投标分项报价表</w:t>
            </w:r>
          </w:p>
        </w:tc>
        <w:tc>
          <w:tcPr>
            <w:tcW w:w="1559" w:type="dxa"/>
            <w:tcBorders>
              <w:top w:val="double" w:color="auto" w:sz="4" w:space="0"/>
            </w:tcBorders>
            <w:vAlign w:val="center"/>
          </w:tcPr>
          <w:p w14:paraId="5FE2B956">
            <w:pPr>
              <w:jc w:val="center"/>
              <w:rPr>
                <w:color w:val="auto"/>
              </w:rPr>
            </w:pPr>
          </w:p>
        </w:tc>
        <w:tc>
          <w:tcPr>
            <w:tcW w:w="1560" w:type="dxa"/>
            <w:tcBorders>
              <w:top w:val="double" w:color="auto" w:sz="4" w:space="0"/>
            </w:tcBorders>
            <w:vAlign w:val="center"/>
          </w:tcPr>
          <w:p w14:paraId="64C6DBC6">
            <w:pPr>
              <w:snapToGrid w:val="0"/>
              <w:spacing w:line="400" w:lineRule="exact"/>
              <w:rPr>
                <w:rFonts w:ascii="宋体" w:hAnsi="宋体" w:cs="微软雅黑"/>
                <w:color w:val="auto"/>
              </w:rPr>
            </w:pPr>
          </w:p>
        </w:tc>
        <w:tc>
          <w:tcPr>
            <w:tcW w:w="2018" w:type="dxa"/>
            <w:tcBorders>
              <w:top w:val="double" w:color="auto" w:sz="4" w:space="0"/>
            </w:tcBorders>
            <w:vAlign w:val="center"/>
          </w:tcPr>
          <w:p w14:paraId="554113BE">
            <w:pPr>
              <w:snapToGrid w:val="0"/>
              <w:spacing w:line="400" w:lineRule="exact"/>
              <w:rPr>
                <w:rFonts w:ascii="宋体" w:hAnsi="宋体" w:cs="微软雅黑"/>
                <w:color w:val="auto"/>
              </w:rPr>
            </w:pPr>
          </w:p>
        </w:tc>
      </w:tr>
      <w:tr w14:paraId="47401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DFAD40A">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12</w:t>
            </w:r>
          </w:p>
        </w:tc>
        <w:tc>
          <w:tcPr>
            <w:tcW w:w="3751" w:type="dxa"/>
            <w:tcBorders>
              <w:left w:val="single" w:color="000000" w:sz="6" w:space="0"/>
            </w:tcBorders>
            <w:vAlign w:val="center"/>
          </w:tcPr>
          <w:p w14:paraId="5CFE842A">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技术规格偏离表</w:t>
            </w:r>
          </w:p>
        </w:tc>
        <w:tc>
          <w:tcPr>
            <w:tcW w:w="1559" w:type="dxa"/>
            <w:tcBorders>
              <w:left w:val="single" w:color="000000" w:sz="6" w:space="0"/>
            </w:tcBorders>
            <w:vAlign w:val="center"/>
          </w:tcPr>
          <w:p w14:paraId="2399B08D">
            <w:pPr>
              <w:jc w:val="center"/>
              <w:rPr>
                <w:color w:val="auto"/>
              </w:rPr>
            </w:pPr>
          </w:p>
        </w:tc>
        <w:tc>
          <w:tcPr>
            <w:tcW w:w="1560" w:type="dxa"/>
            <w:tcBorders>
              <w:left w:val="single" w:color="000000" w:sz="6" w:space="0"/>
            </w:tcBorders>
            <w:vAlign w:val="center"/>
          </w:tcPr>
          <w:p w14:paraId="2E1EA30E">
            <w:pPr>
              <w:snapToGrid w:val="0"/>
              <w:spacing w:line="400" w:lineRule="exact"/>
              <w:rPr>
                <w:rFonts w:ascii="宋体" w:hAnsi="宋体" w:cs="微软雅黑"/>
                <w:color w:val="auto"/>
              </w:rPr>
            </w:pPr>
          </w:p>
        </w:tc>
        <w:tc>
          <w:tcPr>
            <w:tcW w:w="2018" w:type="dxa"/>
            <w:tcBorders>
              <w:left w:val="single" w:color="000000" w:sz="6" w:space="0"/>
            </w:tcBorders>
            <w:vAlign w:val="center"/>
          </w:tcPr>
          <w:p w14:paraId="00EC3839">
            <w:pPr>
              <w:snapToGrid w:val="0"/>
              <w:spacing w:line="400" w:lineRule="exact"/>
              <w:rPr>
                <w:rFonts w:ascii="宋体" w:hAnsi="宋体" w:cs="微软雅黑"/>
                <w:color w:val="auto"/>
              </w:rPr>
            </w:pPr>
          </w:p>
        </w:tc>
      </w:tr>
      <w:tr w14:paraId="42C24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7E219E9">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13</w:t>
            </w:r>
          </w:p>
        </w:tc>
        <w:tc>
          <w:tcPr>
            <w:tcW w:w="3751" w:type="dxa"/>
            <w:tcBorders>
              <w:left w:val="single" w:color="000000" w:sz="6" w:space="0"/>
            </w:tcBorders>
            <w:vAlign w:val="center"/>
          </w:tcPr>
          <w:p w14:paraId="68340E40">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技术方案（实施方案）</w:t>
            </w:r>
          </w:p>
        </w:tc>
        <w:tc>
          <w:tcPr>
            <w:tcW w:w="1559" w:type="dxa"/>
            <w:tcBorders>
              <w:left w:val="single" w:color="000000" w:sz="6" w:space="0"/>
            </w:tcBorders>
            <w:vAlign w:val="center"/>
          </w:tcPr>
          <w:p w14:paraId="20F4BDD3">
            <w:pPr>
              <w:jc w:val="center"/>
              <w:rPr>
                <w:color w:val="auto"/>
              </w:rPr>
            </w:pPr>
          </w:p>
        </w:tc>
        <w:tc>
          <w:tcPr>
            <w:tcW w:w="1560" w:type="dxa"/>
            <w:tcBorders>
              <w:top w:val="single" w:color="auto" w:sz="4" w:space="0"/>
            </w:tcBorders>
            <w:vAlign w:val="center"/>
          </w:tcPr>
          <w:p w14:paraId="24475B3B">
            <w:pPr>
              <w:snapToGrid w:val="0"/>
              <w:spacing w:line="400" w:lineRule="exact"/>
              <w:rPr>
                <w:rFonts w:ascii="宋体" w:hAnsi="宋体" w:cs="微软雅黑"/>
                <w:color w:val="auto"/>
              </w:rPr>
            </w:pPr>
          </w:p>
        </w:tc>
        <w:tc>
          <w:tcPr>
            <w:tcW w:w="2018" w:type="dxa"/>
            <w:tcBorders>
              <w:top w:val="single" w:color="auto" w:sz="4" w:space="0"/>
            </w:tcBorders>
            <w:vAlign w:val="center"/>
          </w:tcPr>
          <w:p w14:paraId="264D9B82">
            <w:pPr>
              <w:snapToGrid w:val="0"/>
              <w:spacing w:line="400" w:lineRule="exact"/>
              <w:rPr>
                <w:rFonts w:ascii="宋体" w:hAnsi="宋体" w:cs="微软雅黑"/>
                <w:color w:val="auto"/>
              </w:rPr>
            </w:pPr>
          </w:p>
        </w:tc>
      </w:tr>
      <w:tr w14:paraId="4F822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B8A5F34">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14</w:t>
            </w:r>
          </w:p>
        </w:tc>
        <w:tc>
          <w:tcPr>
            <w:tcW w:w="3751" w:type="dxa"/>
            <w:tcBorders>
              <w:left w:val="single" w:color="000000" w:sz="6" w:space="0"/>
            </w:tcBorders>
            <w:vAlign w:val="center"/>
          </w:tcPr>
          <w:p w14:paraId="78255B6D">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售后服务方案</w:t>
            </w:r>
          </w:p>
        </w:tc>
        <w:tc>
          <w:tcPr>
            <w:tcW w:w="1559" w:type="dxa"/>
            <w:tcBorders>
              <w:left w:val="single" w:color="000000" w:sz="6" w:space="0"/>
            </w:tcBorders>
            <w:vAlign w:val="center"/>
          </w:tcPr>
          <w:p w14:paraId="49BE7D96">
            <w:pPr>
              <w:jc w:val="center"/>
              <w:rPr>
                <w:color w:val="auto"/>
              </w:rPr>
            </w:pPr>
          </w:p>
        </w:tc>
        <w:tc>
          <w:tcPr>
            <w:tcW w:w="1560" w:type="dxa"/>
            <w:tcBorders>
              <w:left w:val="single" w:color="000000" w:sz="6" w:space="0"/>
            </w:tcBorders>
            <w:vAlign w:val="center"/>
          </w:tcPr>
          <w:p w14:paraId="430D1D2A">
            <w:pPr>
              <w:snapToGrid w:val="0"/>
              <w:spacing w:line="400" w:lineRule="exact"/>
              <w:rPr>
                <w:rFonts w:ascii="宋体" w:hAnsi="宋体" w:cs="微软雅黑"/>
                <w:color w:val="auto"/>
              </w:rPr>
            </w:pPr>
          </w:p>
        </w:tc>
        <w:tc>
          <w:tcPr>
            <w:tcW w:w="2018" w:type="dxa"/>
            <w:tcBorders>
              <w:left w:val="single" w:color="000000" w:sz="6" w:space="0"/>
            </w:tcBorders>
            <w:vAlign w:val="center"/>
          </w:tcPr>
          <w:p w14:paraId="50BC35ED">
            <w:pPr>
              <w:snapToGrid w:val="0"/>
              <w:spacing w:line="400" w:lineRule="exact"/>
              <w:rPr>
                <w:rFonts w:ascii="宋体" w:hAnsi="宋体" w:cs="微软雅黑"/>
                <w:color w:val="auto"/>
              </w:rPr>
            </w:pPr>
          </w:p>
        </w:tc>
      </w:tr>
      <w:tr w14:paraId="325B4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350C694">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15</w:t>
            </w:r>
          </w:p>
        </w:tc>
        <w:tc>
          <w:tcPr>
            <w:tcW w:w="3751" w:type="dxa"/>
            <w:tcBorders>
              <w:left w:val="single" w:color="000000" w:sz="6" w:space="0"/>
            </w:tcBorders>
            <w:vAlign w:val="center"/>
          </w:tcPr>
          <w:p w14:paraId="1B37EA6D">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业绩情况表</w:t>
            </w:r>
          </w:p>
        </w:tc>
        <w:tc>
          <w:tcPr>
            <w:tcW w:w="1559" w:type="dxa"/>
            <w:tcBorders>
              <w:left w:val="single" w:color="000000" w:sz="6" w:space="0"/>
            </w:tcBorders>
            <w:vAlign w:val="center"/>
          </w:tcPr>
          <w:p w14:paraId="302EBEFE">
            <w:pPr>
              <w:jc w:val="center"/>
              <w:rPr>
                <w:color w:val="auto"/>
              </w:rPr>
            </w:pPr>
          </w:p>
        </w:tc>
        <w:tc>
          <w:tcPr>
            <w:tcW w:w="1560" w:type="dxa"/>
            <w:tcBorders>
              <w:left w:val="single" w:color="000000" w:sz="6" w:space="0"/>
            </w:tcBorders>
            <w:vAlign w:val="center"/>
          </w:tcPr>
          <w:p w14:paraId="25F7612B">
            <w:pPr>
              <w:snapToGrid w:val="0"/>
              <w:spacing w:line="400" w:lineRule="exact"/>
              <w:rPr>
                <w:rFonts w:ascii="宋体" w:hAnsi="宋体" w:cs="微软雅黑"/>
                <w:color w:val="auto"/>
              </w:rPr>
            </w:pPr>
          </w:p>
        </w:tc>
        <w:tc>
          <w:tcPr>
            <w:tcW w:w="2018" w:type="dxa"/>
            <w:tcBorders>
              <w:left w:val="single" w:color="000000" w:sz="6" w:space="0"/>
            </w:tcBorders>
            <w:vAlign w:val="center"/>
          </w:tcPr>
          <w:p w14:paraId="1D3B0F45">
            <w:pPr>
              <w:snapToGrid w:val="0"/>
              <w:spacing w:line="400" w:lineRule="exact"/>
              <w:rPr>
                <w:rFonts w:ascii="宋体" w:hAnsi="宋体" w:cs="微软雅黑"/>
                <w:color w:val="auto"/>
              </w:rPr>
            </w:pPr>
          </w:p>
        </w:tc>
      </w:tr>
      <w:tr w14:paraId="4B7F9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D40813E">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16</w:t>
            </w:r>
          </w:p>
        </w:tc>
        <w:tc>
          <w:tcPr>
            <w:tcW w:w="3751" w:type="dxa"/>
            <w:tcBorders>
              <w:left w:val="single" w:color="000000" w:sz="6" w:space="0"/>
            </w:tcBorders>
            <w:vAlign w:val="center"/>
          </w:tcPr>
          <w:p w14:paraId="0F0C56C1">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政府强制采购节能产品品目清单情况</w:t>
            </w:r>
          </w:p>
        </w:tc>
        <w:tc>
          <w:tcPr>
            <w:tcW w:w="1559" w:type="dxa"/>
            <w:tcBorders>
              <w:left w:val="single" w:color="000000" w:sz="6" w:space="0"/>
            </w:tcBorders>
            <w:vAlign w:val="center"/>
          </w:tcPr>
          <w:p w14:paraId="06F88F74">
            <w:pPr>
              <w:jc w:val="center"/>
              <w:rPr>
                <w:color w:val="auto"/>
              </w:rPr>
            </w:pPr>
          </w:p>
        </w:tc>
        <w:tc>
          <w:tcPr>
            <w:tcW w:w="1560" w:type="dxa"/>
            <w:tcBorders>
              <w:left w:val="single" w:color="000000" w:sz="6" w:space="0"/>
            </w:tcBorders>
            <w:vAlign w:val="center"/>
          </w:tcPr>
          <w:p w14:paraId="4C63915F">
            <w:pPr>
              <w:snapToGrid w:val="0"/>
              <w:spacing w:line="400" w:lineRule="exact"/>
              <w:rPr>
                <w:rFonts w:ascii="宋体" w:hAnsi="宋体" w:cs="微软雅黑"/>
                <w:color w:val="auto"/>
              </w:rPr>
            </w:pPr>
          </w:p>
        </w:tc>
        <w:tc>
          <w:tcPr>
            <w:tcW w:w="2018" w:type="dxa"/>
            <w:tcBorders>
              <w:left w:val="single" w:color="000000" w:sz="6" w:space="0"/>
            </w:tcBorders>
            <w:vAlign w:val="center"/>
          </w:tcPr>
          <w:p w14:paraId="1443E98C">
            <w:pPr>
              <w:snapToGrid w:val="0"/>
              <w:spacing w:line="400" w:lineRule="exact"/>
              <w:rPr>
                <w:rFonts w:ascii="宋体" w:hAnsi="宋体" w:cs="微软雅黑"/>
                <w:color w:val="auto"/>
              </w:rPr>
            </w:pPr>
          </w:p>
        </w:tc>
      </w:tr>
      <w:tr w14:paraId="0833C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9956D3E">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17</w:t>
            </w:r>
          </w:p>
        </w:tc>
        <w:tc>
          <w:tcPr>
            <w:tcW w:w="3751" w:type="dxa"/>
            <w:tcBorders>
              <w:left w:val="single" w:color="000000" w:sz="6" w:space="0"/>
            </w:tcBorders>
            <w:vAlign w:val="center"/>
          </w:tcPr>
          <w:p w14:paraId="1B867522">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优先采购节能产品政府采购品目清单情况</w:t>
            </w:r>
          </w:p>
        </w:tc>
        <w:tc>
          <w:tcPr>
            <w:tcW w:w="1559" w:type="dxa"/>
            <w:tcBorders>
              <w:left w:val="single" w:color="000000" w:sz="6" w:space="0"/>
            </w:tcBorders>
            <w:vAlign w:val="center"/>
          </w:tcPr>
          <w:p w14:paraId="5385256C">
            <w:pPr>
              <w:jc w:val="center"/>
              <w:rPr>
                <w:color w:val="auto"/>
              </w:rPr>
            </w:pPr>
          </w:p>
        </w:tc>
        <w:tc>
          <w:tcPr>
            <w:tcW w:w="1560" w:type="dxa"/>
            <w:tcBorders>
              <w:left w:val="single" w:color="000000" w:sz="6" w:space="0"/>
            </w:tcBorders>
            <w:vAlign w:val="center"/>
          </w:tcPr>
          <w:p w14:paraId="0DA1A349">
            <w:pPr>
              <w:snapToGrid w:val="0"/>
              <w:spacing w:line="400" w:lineRule="exact"/>
              <w:rPr>
                <w:rFonts w:ascii="宋体" w:hAnsi="宋体" w:cs="微软雅黑"/>
                <w:color w:val="auto"/>
              </w:rPr>
            </w:pPr>
          </w:p>
        </w:tc>
        <w:tc>
          <w:tcPr>
            <w:tcW w:w="2018" w:type="dxa"/>
            <w:tcBorders>
              <w:left w:val="single" w:color="000000" w:sz="6" w:space="0"/>
            </w:tcBorders>
            <w:vAlign w:val="center"/>
          </w:tcPr>
          <w:p w14:paraId="3F31D20B">
            <w:pPr>
              <w:snapToGrid w:val="0"/>
              <w:spacing w:line="400" w:lineRule="exact"/>
              <w:rPr>
                <w:rFonts w:ascii="宋体" w:hAnsi="宋体" w:cs="微软雅黑"/>
                <w:color w:val="auto"/>
              </w:rPr>
            </w:pPr>
          </w:p>
        </w:tc>
      </w:tr>
      <w:tr w14:paraId="16032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31387F6">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18</w:t>
            </w:r>
          </w:p>
        </w:tc>
        <w:tc>
          <w:tcPr>
            <w:tcW w:w="3751" w:type="dxa"/>
            <w:tcBorders>
              <w:left w:val="single" w:color="000000" w:sz="6" w:space="0"/>
            </w:tcBorders>
            <w:vAlign w:val="center"/>
          </w:tcPr>
          <w:p w14:paraId="3F97D911">
            <w:pPr>
              <w:pStyle w:val="18"/>
              <w:kinsoku w:val="0"/>
              <w:overflowPunct w:val="0"/>
              <w:autoSpaceDE w:val="0"/>
              <w:autoSpaceDN w:val="0"/>
              <w:spacing w:line="320" w:lineRule="exact"/>
              <w:rPr>
                <w:rFonts w:hAnsi="宋体" w:cs="微软雅黑"/>
                <w:bCs/>
                <w:color w:val="auto"/>
                <w:sz w:val="21"/>
                <w:szCs w:val="21"/>
              </w:rPr>
            </w:pPr>
            <w:r>
              <w:rPr>
                <w:rFonts w:hint="eastAsia" w:ascii="宋体" w:hAnsi="宋体"/>
                <w:color w:val="auto"/>
                <w:sz w:val="21"/>
                <w:szCs w:val="21"/>
              </w:rPr>
              <w:t>优先采购环境标志产品政府采购品目清单情况</w:t>
            </w:r>
          </w:p>
        </w:tc>
        <w:tc>
          <w:tcPr>
            <w:tcW w:w="1559" w:type="dxa"/>
            <w:tcBorders>
              <w:left w:val="single" w:color="000000" w:sz="6" w:space="0"/>
            </w:tcBorders>
            <w:vAlign w:val="center"/>
          </w:tcPr>
          <w:p w14:paraId="45A6AA13">
            <w:pPr>
              <w:jc w:val="center"/>
              <w:rPr>
                <w:color w:val="auto"/>
              </w:rPr>
            </w:pPr>
          </w:p>
        </w:tc>
        <w:tc>
          <w:tcPr>
            <w:tcW w:w="1560" w:type="dxa"/>
            <w:tcBorders>
              <w:left w:val="single" w:color="000000" w:sz="6" w:space="0"/>
            </w:tcBorders>
            <w:vAlign w:val="center"/>
          </w:tcPr>
          <w:p w14:paraId="101FD27C">
            <w:pPr>
              <w:snapToGrid w:val="0"/>
              <w:spacing w:line="400" w:lineRule="exact"/>
              <w:rPr>
                <w:rFonts w:ascii="宋体" w:hAnsi="宋体" w:cs="微软雅黑"/>
                <w:color w:val="auto"/>
              </w:rPr>
            </w:pPr>
          </w:p>
        </w:tc>
        <w:tc>
          <w:tcPr>
            <w:tcW w:w="2018" w:type="dxa"/>
            <w:tcBorders>
              <w:left w:val="single" w:color="000000" w:sz="6" w:space="0"/>
            </w:tcBorders>
            <w:vAlign w:val="center"/>
          </w:tcPr>
          <w:p w14:paraId="1D348343">
            <w:pPr>
              <w:snapToGrid w:val="0"/>
              <w:spacing w:line="400" w:lineRule="exact"/>
              <w:rPr>
                <w:rFonts w:ascii="宋体" w:hAnsi="宋体" w:cs="微软雅黑"/>
                <w:color w:val="auto"/>
              </w:rPr>
            </w:pPr>
          </w:p>
        </w:tc>
      </w:tr>
      <w:tr w14:paraId="4A638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A1AFE3D">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19</w:t>
            </w:r>
          </w:p>
        </w:tc>
        <w:tc>
          <w:tcPr>
            <w:tcW w:w="3751" w:type="dxa"/>
            <w:tcBorders>
              <w:left w:val="single" w:color="000000" w:sz="6" w:space="0"/>
            </w:tcBorders>
            <w:vAlign w:val="center"/>
          </w:tcPr>
          <w:p w14:paraId="52F3B03C">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中小企业声明函</w:t>
            </w:r>
          </w:p>
        </w:tc>
        <w:tc>
          <w:tcPr>
            <w:tcW w:w="1559" w:type="dxa"/>
            <w:tcBorders>
              <w:left w:val="single" w:color="000000" w:sz="6" w:space="0"/>
            </w:tcBorders>
            <w:vAlign w:val="center"/>
          </w:tcPr>
          <w:p w14:paraId="3A089033">
            <w:pPr>
              <w:jc w:val="center"/>
              <w:rPr>
                <w:color w:val="auto"/>
              </w:rPr>
            </w:pPr>
          </w:p>
        </w:tc>
        <w:tc>
          <w:tcPr>
            <w:tcW w:w="1560" w:type="dxa"/>
            <w:tcBorders>
              <w:left w:val="single" w:color="000000" w:sz="6" w:space="0"/>
            </w:tcBorders>
            <w:vAlign w:val="center"/>
          </w:tcPr>
          <w:p w14:paraId="28A6ADD2">
            <w:pPr>
              <w:snapToGrid w:val="0"/>
              <w:spacing w:line="400" w:lineRule="exact"/>
              <w:rPr>
                <w:rFonts w:ascii="宋体" w:hAnsi="宋体" w:cs="微软雅黑"/>
                <w:color w:val="auto"/>
              </w:rPr>
            </w:pPr>
          </w:p>
        </w:tc>
        <w:tc>
          <w:tcPr>
            <w:tcW w:w="2018" w:type="dxa"/>
            <w:tcBorders>
              <w:left w:val="single" w:color="000000" w:sz="6" w:space="0"/>
            </w:tcBorders>
            <w:vAlign w:val="center"/>
          </w:tcPr>
          <w:p w14:paraId="7FEAC399">
            <w:pPr>
              <w:snapToGrid w:val="0"/>
              <w:spacing w:line="400" w:lineRule="exact"/>
              <w:rPr>
                <w:rFonts w:ascii="宋体" w:hAnsi="宋体" w:cs="微软雅黑"/>
                <w:color w:val="auto"/>
              </w:rPr>
            </w:pPr>
          </w:p>
        </w:tc>
      </w:tr>
      <w:tr w14:paraId="3ED61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BFDAEB4">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20</w:t>
            </w:r>
          </w:p>
        </w:tc>
        <w:tc>
          <w:tcPr>
            <w:tcW w:w="3751" w:type="dxa"/>
            <w:tcBorders>
              <w:left w:val="single" w:color="000000" w:sz="6" w:space="0"/>
            </w:tcBorders>
            <w:vAlign w:val="center"/>
          </w:tcPr>
          <w:p w14:paraId="5E06D419">
            <w:pPr>
              <w:pStyle w:val="18"/>
              <w:kinsoku w:val="0"/>
              <w:overflowPunct w:val="0"/>
              <w:autoSpaceDE w:val="0"/>
              <w:autoSpaceDN w:val="0"/>
              <w:spacing w:line="320" w:lineRule="exact"/>
              <w:rPr>
                <w:rFonts w:hAnsi="宋体" w:cs="微软雅黑"/>
                <w:bCs/>
                <w:color w:val="auto"/>
                <w:sz w:val="21"/>
                <w:szCs w:val="21"/>
              </w:rPr>
            </w:pPr>
            <w:r>
              <w:rPr>
                <w:rFonts w:hint="eastAsia" w:ascii="宋体" w:hAnsi="宋体" w:cs="仿宋_GB2312"/>
                <w:color w:val="auto"/>
                <w:sz w:val="21"/>
                <w:szCs w:val="21"/>
                <w:lang w:val="zh-CN"/>
              </w:rPr>
              <w:t>残疾人福利性单位声明函</w:t>
            </w:r>
          </w:p>
        </w:tc>
        <w:tc>
          <w:tcPr>
            <w:tcW w:w="1559" w:type="dxa"/>
            <w:tcBorders>
              <w:left w:val="single" w:color="000000" w:sz="6" w:space="0"/>
            </w:tcBorders>
            <w:vAlign w:val="center"/>
          </w:tcPr>
          <w:p w14:paraId="7DC1A86F">
            <w:pPr>
              <w:jc w:val="center"/>
              <w:rPr>
                <w:color w:val="auto"/>
              </w:rPr>
            </w:pPr>
          </w:p>
        </w:tc>
        <w:tc>
          <w:tcPr>
            <w:tcW w:w="1560" w:type="dxa"/>
            <w:tcBorders>
              <w:left w:val="single" w:color="000000" w:sz="6" w:space="0"/>
            </w:tcBorders>
            <w:vAlign w:val="center"/>
          </w:tcPr>
          <w:p w14:paraId="2A5D0E9E">
            <w:pPr>
              <w:snapToGrid w:val="0"/>
              <w:spacing w:line="400" w:lineRule="exact"/>
              <w:rPr>
                <w:rFonts w:ascii="宋体" w:hAnsi="宋体" w:cs="微软雅黑"/>
                <w:color w:val="auto"/>
              </w:rPr>
            </w:pPr>
          </w:p>
        </w:tc>
        <w:tc>
          <w:tcPr>
            <w:tcW w:w="2018" w:type="dxa"/>
            <w:tcBorders>
              <w:left w:val="single" w:color="000000" w:sz="6" w:space="0"/>
            </w:tcBorders>
            <w:vAlign w:val="center"/>
          </w:tcPr>
          <w:p w14:paraId="6E1B5BAA">
            <w:pPr>
              <w:snapToGrid w:val="0"/>
              <w:spacing w:line="400" w:lineRule="exact"/>
              <w:rPr>
                <w:rFonts w:ascii="宋体" w:hAnsi="宋体" w:cs="微软雅黑"/>
                <w:color w:val="auto"/>
              </w:rPr>
            </w:pPr>
          </w:p>
        </w:tc>
      </w:tr>
      <w:tr w14:paraId="583FF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24B782C">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21</w:t>
            </w:r>
          </w:p>
        </w:tc>
        <w:tc>
          <w:tcPr>
            <w:tcW w:w="3751" w:type="dxa"/>
            <w:tcBorders>
              <w:left w:val="single" w:color="000000" w:sz="6" w:space="0"/>
            </w:tcBorders>
            <w:vAlign w:val="center"/>
          </w:tcPr>
          <w:p w14:paraId="4A882580">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监狱企业证明文件</w:t>
            </w:r>
          </w:p>
        </w:tc>
        <w:tc>
          <w:tcPr>
            <w:tcW w:w="1559" w:type="dxa"/>
            <w:tcBorders>
              <w:left w:val="single" w:color="000000" w:sz="6" w:space="0"/>
            </w:tcBorders>
            <w:vAlign w:val="center"/>
          </w:tcPr>
          <w:p w14:paraId="3B7565E3">
            <w:pPr>
              <w:jc w:val="center"/>
              <w:rPr>
                <w:color w:val="auto"/>
              </w:rPr>
            </w:pPr>
          </w:p>
        </w:tc>
        <w:tc>
          <w:tcPr>
            <w:tcW w:w="1560" w:type="dxa"/>
            <w:tcBorders>
              <w:left w:val="single" w:color="000000" w:sz="6" w:space="0"/>
            </w:tcBorders>
            <w:vAlign w:val="center"/>
          </w:tcPr>
          <w:p w14:paraId="7D5E1769">
            <w:pPr>
              <w:snapToGrid w:val="0"/>
              <w:spacing w:line="400" w:lineRule="exact"/>
              <w:rPr>
                <w:rFonts w:ascii="宋体" w:hAnsi="宋体" w:cs="微软雅黑"/>
                <w:color w:val="auto"/>
              </w:rPr>
            </w:pPr>
          </w:p>
        </w:tc>
        <w:tc>
          <w:tcPr>
            <w:tcW w:w="2018" w:type="dxa"/>
            <w:tcBorders>
              <w:left w:val="single" w:color="000000" w:sz="6" w:space="0"/>
            </w:tcBorders>
            <w:vAlign w:val="center"/>
          </w:tcPr>
          <w:p w14:paraId="6FEE530A">
            <w:pPr>
              <w:snapToGrid w:val="0"/>
              <w:spacing w:line="400" w:lineRule="exact"/>
              <w:rPr>
                <w:rFonts w:ascii="宋体" w:hAnsi="宋体" w:cs="微软雅黑"/>
                <w:color w:val="auto"/>
              </w:rPr>
            </w:pPr>
          </w:p>
        </w:tc>
      </w:tr>
      <w:tr w14:paraId="6EE11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19F1C808">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22</w:t>
            </w:r>
          </w:p>
        </w:tc>
        <w:tc>
          <w:tcPr>
            <w:tcW w:w="3751" w:type="dxa"/>
            <w:tcBorders>
              <w:left w:val="single" w:color="000000" w:sz="6" w:space="0"/>
            </w:tcBorders>
            <w:vAlign w:val="center"/>
          </w:tcPr>
          <w:p w14:paraId="0B97BB91">
            <w:pPr>
              <w:pStyle w:val="18"/>
              <w:kinsoku w:val="0"/>
              <w:overflowPunct w:val="0"/>
              <w:autoSpaceDE w:val="0"/>
              <w:autoSpaceDN w:val="0"/>
              <w:spacing w:line="320" w:lineRule="exact"/>
              <w:rPr>
                <w:rFonts w:ascii="宋体" w:hAnsi="宋体" w:cs="宋体"/>
                <w:bCs/>
                <w:color w:val="auto"/>
                <w:sz w:val="21"/>
                <w:szCs w:val="21"/>
                <w:lang w:val="zh-CN"/>
              </w:rPr>
            </w:pPr>
            <w:r>
              <w:rPr>
                <w:rFonts w:hint="eastAsia" w:ascii="宋体" w:hAnsi="宋体" w:cs="宋体"/>
                <w:bCs/>
                <w:color w:val="auto"/>
                <w:sz w:val="21"/>
                <w:szCs w:val="21"/>
                <w:lang w:val="zh-CN"/>
              </w:rPr>
              <w:t>网络关键设备、网络安全专用产品</w:t>
            </w:r>
          </w:p>
        </w:tc>
        <w:tc>
          <w:tcPr>
            <w:tcW w:w="1559" w:type="dxa"/>
            <w:tcBorders>
              <w:left w:val="single" w:color="000000" w:sz="6" w:space="0"/>
            </w:tcBorders>
            <w:vAlign w:val="center"/>
          </w:tcPr>
          <w:p w14:paraId="0DBE3844">
            <w:pPr>
              <w:pStyle w:val="18"/>
              <w:rPr>
                <w:color w:val="auto"/>
                <w:sz w:val="21"/>
                <w:szCs w:val="21"/>
              </w:rPr>
            </w:pPr>
          </w:p>
        </w:tc>
        <w:tc>
          <w:tcPr>
            <w:tcW w:w="1560" w:type="dxa"/>
            <w:tcBorders>
              <w:left w:val="single" w:color="000000" w:sz="6" w:space="0"/>
            </w:tcBorders>
            <w:vAlign w:val="center"/>
          </w:tcPr>
          <w:p w14:paraId="2E6BA739">
            <w:pPr>
              <w:snapToGrid w:val="0"/>
              <w:spacing w:line="400" w:lineRule="exact"/>
              <w:rPr>
                <w:rFonts w:ascii="宋体" w:hAnsi="宋体" w:cs="微软雅黑"/>
                <w:color w:val="auto"/>
              </w:rPr>
            </w:pPr>
          </w:p>
        </w:tc>
        <w:tc>
          <w:tcPr>
            <w:tcW w:w="2018" w:type="dxa"/>
            <w:tcBorders>
              <w:left w:val="single" w:color="000000" w:sz="6" w:space="0"/>
            </w:tcBorders>
            <w:vAlign w:val="center"/>
          </w:tcPr>
          <w:p w14:paraId="7FB6518E">
            <w:pPr>
              <w:snapToGrid w:val="0"/>
              <w:spacing w:line="400" w:lineRule="exact"/>
              <w:rPr>
                <w:rFonts w:ascii="宋体" w:hAnsi="宋体" w:cs="微软雅黑"/>
                <w:color w:val="auto"/>
              </w:rPr>
            </w:pPr>
          </w:p>
        </w:tc>
      </w:tr>
      <w:tr w14:paraId="50C1B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2C2C4E85">
            <w:pPr>
              <w:adjustRightInd w:val="0"/>
              <w:snapToGrid w:val="0"/>
              <w:spacing w:line="400" w:lineRule="exact"/>
              <w:jc w:val="center"/>
              <w:textAlignment w:val="baseline"/>
              <w:rPr>
                <w:rFonts w:ascii="宋体" w:hAnsi="宋体" w:cs="微软雅黑"/>
                <w:color w:val="auto"/>
              </w:rPr>
            </w:pPr>
            <w:r>
              <w:rPr>
                <w:rFonts w:hint="eastAsia" w:ascii="宋体" w:hAnsi="宋体" w:cs="微软雅黑"/>
                <w:color w:val="auto"/>
              </w:rPr>
              <w:t>23</w:t>
            </w:r>
          </w:p>
        </w:tc>
        <w:tc>
          <w:tcPr>
            <w:tcW w:w="3751" w:type="dxa"/>
            <w:tcBorders>
              <w:bottom w:val="single" w:color="auto" w:sz="4" w:space="0"/>
            </w:tcBorders>
            <w:vAlign w:val="center"/>
          </w:tcPr>
          <w:p w14:paraId="56C4E255">
            <w:pPr>
              <w:pStyle w:val="18"/>
              <w:kinsoku w:val="0"/>
              <w:overflowPunct w:val="0"/>
              <w:autoSpaceDE w:val="0"/>
              <w:autoSpaceDN w:val="0"/>
              <w:spacing w:line="320" w:lineRule="exact"/>
              <w:rPr>
                <w:rFonts w:hAnsi="宋体" w:cs="微软雅黑"/>
                <w:bCs/>
                <w:color w:val="auto"/>
                <w:sz w:val="21"/>
                <w:szCs w:val="21"/>
              </w:rPr>
            </w:pPr>
            <w:r>
              <w:rPr>
                <w:rFonts w:hint="eastAsia" w:hAnsi="宋体" w:cs="微软雅黑"/>
                <w:bCs/>
                <w:color w:val="auto"/>
                <w:sz w:val="21"/>
                <w:szCs w:val="21"/>
              </w:rPr>
              <w:t>其他资料</w:t>
            </w:r>
          </w:p>
        </w:tc>
        <w:tc>
          <w:tcPr>
            <w:tcW w:w="1559" w:type="dxa"/>
            <w:tcBorders>
              <w:left w:val="single" w:color="000000" w:sz="6" w:space="0"/>
            </w:tcBorders>
            <w:vAlign w:val="center"/>
          </w:tcPr>
          <w:p w14:paraId="73B7516A">
            <w:pPr>
              <w:pStyle w:val="18"/>
              <w:rPr>
                <w:color w:val="auto"/>
                <w:szCs w:val="21"/>
              </w:rPr>
            </w:pPr>
          </w:p>
        </w:tc>
        <w:tc>
          <w:tcPr>
            <w:tcW w:w="1560" w:type="dxa"/>
            <w:tcBorders>
              <w:left w:val="single" w:color="000000" w:sz="6" w:space="0"/>
            </w:tcBorders>
            <w:vAlign w:val="center"/>
          </w:tcPr>
          <w:p w14:paraId="7BC2F9F8">
            <w:pPr>
              <w:snapToGrid w:val="0"/>
              <w:spacing w:line="400" w:lineRule="exact"/>
              <w:rPr>
                <w:rFonts w:ascii="宋体" w:hAnsi="宋体" w:cs="微软雅黑"/>
                <w:color w:val="auto"/>
              </w:rPr>
            </w:pPr>
          </w:p>
        </w:tc>
        <w:tc>
          <w:tcPr>
            <w:tcW w:w="2018" w:type="dxa"/>
            <w:tcBorders>
              <w:left w:val="single" w:color="000000" w:sz="6" w:space="0"/>
            </w:tcBorders>
            <w:vAlign w:val="center"/>
          </w:tcPr>
          <w:p w14:paraId="5251ACC7">
            <w:pPr>
              <w:snapToGrid w:val="0"/>
              <w:spacing w:line="400" w:lineRule="exact"/>
              <w:rPr>
                <w:rFonts w:ascii="宋体" w:hAnsi="宋体" w:cs="微软雅黑"/>
                <w:color w:val="auto"/>
              </w:rPr>
            </w:pPr>
          </w:p>
        </w:tc>
      </w:tr>
    </w:tbl>
    <w:p w14:paraId="6DA5E55C">
      <w:pPr>
        <w:pStyle w:val="55"/>
        <w:tabs>
          <w:tab w:val="left" w:pos="660"/>
        </w:tabs>
        <w:snapToGrid w:val="0"/>
        <w:spacing w:before="0" w:line="400" w:lineRule="exact"/>
        <w:outlineLvl w:val="9"/>
        <w:rPr>
          <w:rFonts w:ascii="等线 Light" w:hAnsi="等线 Light" w:eastAsia="等线 Light"/>
          <w:b w:val="0"/>
          <w:snapToGrid w:val="0"/>
          <w:color w:val="auto"/>
          <w:sz w:val="28"/>
          <w:szCs w:val="28"/>
        </w:rPr>
      </w:pPr>
    </w:p>
    <w:p w14:paraId="54C5697B">
      <w:pPr>
        <w:tabs>
          <w:tab w:val="left" w:pos="1260"/>
        </w:tabs>
        <w:autoSpaceDE w:val="0"/>
        <w:autoSpaceDN w:val="0"/>
        <w:adjustRightInd w:val="0"/>
        <w:spacing w:line="360" w:lineRule="auto"/>
        <w:ind w:left="424" w:leftChars="202"/>
        <w:contextualSpacing/>
        <w:rPr>
          <w:rFonts w:ascii="楷体" w:hAnsi="楷体" w:eastAsia="楷体"/>
          <w:color w:val="auto"/>
          <w:sz w:val="24"/>
          <w:szCs w:val="24"/>
        </w:rPr>
      </w:pPr>
    </w:p>
    <w:p w14:paraId="713A149D">
      <w:pPr>
        <w:pStyle w:val="18"/>
        <w:spacing w:line="360" w:lineRule="auto"/>
        <w:jc w:val="center"/>
        <w:outlineLvl w:val="1"/>
        <w:rPr>
          <w:rFonts w:ascii="等线 Light" w:hAnsi="等线 Light" w:eastAsia="等线 Light"/>
          <w:snapToGrid w:val="0"/>
          <w:color w:val="auto"/>
          <w:sz w:val="28"/>
          <w:szCs w:val="28"/>
        </w:rPr>
      </w:pPr>
      <w:r>
        <w:rPr>
          <w:rFonts w:hAnsi="宋体"/>
          <w:snapToGrid w:val="0"/>
          <w:color w:val="auto"/>
          <w:sz w:val="28"/>
          <w:szCs w:val="28"/>
        </w:rPr>
        <w:br w:type="page"/>
      </w:r>
      <w:r>
        <w:rPr>
          <w:rFonts w:hint="eastAsia" w:hAnsi="宋体"/>
          <w:snapToGrid w:val="0"/>
          <w:color w:val="auto"/>
          <w:sz w:val="28"/>
          <w:szCs w:val="28"/>
        </w:rPr>
        <w:t>二、报价一览表</w:t>
      </w:r>
    </w:p>
    <w:p w14:paraId="2ED6C851">
      <w:pPr>
        <w:pStyle w:val="18"/>
        <w:spacing w:line="360" w:lineRule="auto"/>
        <w:jc w:val="center"/>
        <w:rPr>
          <w:rFonts w:ascii="等线 Light" w:hAnsi="等线 Light" w:eastAsia="等线 Light"/>
          <w:snapToGrid w:val="0"/>
          <w:color w:val="auto"/>
          <w:sz w:val="28"/>
          <w:szCs w:val="28"/>
        </w:rPr>
      </w:pPr>
    </w:p>
    <w:p w14:paraId="23C1CB7B">
      <w:pPr>
        <w:spacing w:before="50" w:after="162" w:afterLines="50" w:line="360" w:lineRule="auto"/>
        <w:contextualSpacing/>
        <w:jc w:val="left"/>
        <w:rPr>
          <w:rFonts w:ascii="等线" w:hAnsi="等线"/>
          <w:color w:val="auto"/>
          <w:sz w:val="24"/>
          <w:szCs w:val="24"/>
        </w:rPr>
      </w:pPr>
      <w:r>
        <w:rPr>
          <w:rFonts w:hint="eastAsia" w:ascii="等线" w:hAnsi="等线"/>
          <w:color w:val="auto"/>
          <w:sz w:val="24"/>
          <w:szCs w:val="24"/>
        </w:rPr>
        <w:t>项目编号：</w:t>
      </w:r>
    </w:p>
    <w:p w14:paraId="5078EA68">
      <w:pPr>
        <w:spacing w:line="360" w:lineRule="auto"/>
        <w:contextualSpacing/>
        <w:rPr>
          <w:rFonts w:ascii="等线" w:hAnsi="等线"/>
          <w:color w:val="auto"/>
          <w:sz w:val="24"/>
          <w:szCs w:val="24"/>
        </w:rPr>
      </w:pPr>
      <w:r>
        <w:rPr>
          <w:rFonts w:hint="eastAsia" w:ascii="等线" w:hAnsi="等线"/>
          <w:color w:val="auto"/>
          <w:sz w:val="24"/>
          <w:szCs w:val="24"/>
        </w:rPr>
        <w:t xml:space="preserve">项目名称：                                     </w:t>
      </w:r>
      <w:r>
        <w:rPr>
          <w:rFonts w:hint="eastAsia" w:ascii="等线" w:hAnsi="等线" w:cs="Arial"/>
          <w:color w:val="auto"/>
          <w:sz w:val="24"/>
          <w:szCs w:val="24"/>
        </w:rPr>
        <w:t>单位：元（人民币）</w:t>
      </w:r>
    </w:p>
    <w:tbl>
      <w:tblPr>
        <w:tblStyle w:val="30"/>
        <w:tblW w:w="8907" w:type="dxa"/>
        <w:jc w:val="center"/>
        <w:tblLayout w:type="fixed"/>
        <w:tblCellMar>
          <w:top w:w="0" w:type="dxa"/>
          <w:left w:w="108" w:type="dxa"/>
          <w:bottom w:w="0" w:type="dxa"/>
          <w:right w:w="108" w:type="dxa"/>
        </w:tblCellMar>
      </w:tblPr>
      <w:tblGrid>
        <w:gridCol w:w="2552"/>
        <w:gridCol w:w="2852"/>
        <w:gridCol w:w="2360"/>
        <w:gridCol w:w="1143"/>
      </w:tblGrid>
      <w:tr w14:paraId="56A0AF1E">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vAlign w:val="center"/>
          </w:tcPr>
          <w:p w14:paraId="02329CA6">
            <w:pPr>
              <w:autoSpaceDE w:val="0"/>
              <w:autoSpaceDN w:val="0"/>
              <w:adjustRightInd w:val="0"/>
              <w:spacing w:line="480" w:lineRule="exact"/>
              <w:jc w:val="center"/>
              <w:rPr>
                <w:rFonts w:ascii="等线" w:hAnsi="等线" w:cs="宋体"/>
                <w:b/>
                <w:color w:val="auto"/>
                <w:sz w:val="24"/>
                <w:szCs w:val="24"/>
              </w:rPr>
            </w:pPr>
            <w:r>
              <w:rPr>
                <w:rFonts w:hint="eastAsia" w:ascii="等线" w:hAnsi="等线" w:cs="宋体"/>
                <w:b/>
                <w:color w:val="auto"/>
                <w:sz w:val="24"/>
                <w:szCs w:val="24"/>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vAlign w:val="center"/>
          </w:tcPr>
          <w:p w14:paraId="1BCB362F">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vAlign w:val="center"/>
          </w:tcPr>
          <w:p w14:paraId="72D7C6FB">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vAlign w:val="center"/>
          </w:tcPr>
          <w:p w14:paraId="537522F1">
            <w:pPr>
              <w:autoSpaceDE w:val="0"/>
              <w:autoSpaceDN w:val="0"/>
              <w:adjustRightInd w:val="0"/>
              <w:spacing w:line="480" w:lineRule="exact"/>
              <w:jc w:val="center"/>
              <w:rPr>
                <w:rFonts w:ascii="等线" w:hAnsi="等线" w:cs="宋体"/>
                <w:b/>
                <w:color w:val="auto"/>
                <w:sz w:val="24"/>
                <w:szCs w:val="24"/>
                <w:lang w:val="zh-CN"/>
              </w:rPr>
            </w:pPr>
            <w:r>
              <w:rPr>
                <w:rFonts w:hint="eastAsia" w:ascii="等线" w:hAnsi="等线" w:cs="宋体"/>
                <w:b/>
                <w:color w:val="auto"/>
                <w:sz w:val="24"/>
                <w:szCs w:val="24"/>
                <w:lang w:val="zh-CN"/>
              </w:rPr>
              <w:t>备注</w:t>
            </w:r>
          </w:p>
        </w:tc>
      </w:tr>
      <w:tr w14:paraId="49F3E9B7">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49529E12">
            <w:pPr>
              <w:autoSpaceDE w:val="0"/>
              <w:autoSpaceDN w:val="0"/>
              <w:adjustRightInd w:val="0"/>
              <w:spacing w:line="480" w:lineRule="exact"/>
              <w:ind w:firstLine="240"/>
              <w:rPr>
                <w:rFonts w:ascii="等线" w:hAnsi="等线"/>
                <w:color w:val="auto"/>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4D3E2492">
            <w:pPr>
              <w:autoSpaceDE w:val="0"/>
              <w:autoSpaceDN w:val="0"/>
              <w:adjustRightInd w:val="0"/>
              <w:spacing w:line="480" w:lineRule="exact"/>
              <w:rPr>
                <w:rFonts w:ascii="等线" w:hAnsi="等线" w:cs="宋体"/>
                <w:color w:val="auto"/>
                <w:sz w:val="24"/>
                <w:szCs w:val="24"/>
                <w:lang w:val="zh-CN"/>
              </w:rPr>
            </w:pPr>
            <w:r>
              <w:rPr>
                <w:rFonts w:hint="eastAsia" w:ascii="等线" w:hAnsi="等线" w:cs="宋体"/>
                <w:color w:val="auto"/>
                <w:sz w:val="24"/>
                <w:szCs w:val="24"/>
                <w:lang w:val="zh-CN"/>
              </w:rPr>
              <w:t>大写：　</w:t>
            </w:r>
          </w:p>
          <w:p w14:paraId="00122545">
            <w:pPr>
              <w:autoSpaceDE w:val="0"/>
              <w:autoSpaceDN w:val="0"/>
              <w:adjustRightInd w:val="0"/>
              <w:spacing w:line="480" w:lineRule="exact"/>
              <w:rPr>
                <w:rFonts w:ascii="等线" w:hAnsi="等线" w:cs="宋体"/>
                <w:color w:val="auto"/>
                <w:sz w:val="24"/>
                <w:szCs w:val="24"/>
                <w:lang w:val="zh-CN"/>
              </w:rPr>
            </w:pPr>
            <w:r>
              <w:rPr>
                <w:rFonts w:hint="eastAsia" w:ascii="等线" w:hAnsi="等线" w:cs="宋体"/>
                <w:color w:val="auto"/>
                <w:sz w:val="24"/>
                <w:szCs w:val="24"/>
                <w:lang w:val="zh-CN"/>
              </w:rPr>
              <w:t>小写：</w:t>
            </w:r>
          </w:p>
        </w:tc>
        <w:tc>
          <w:tcPr>
            <w:tcW w:w="2360" w:type="dxa"/>
            <w:tcBorders>
              <w:top w:val="single" w:color="auto" w:sz="6" w:space="0"/>
              <w:left w:val="single" w:color="auto" w:sz="6" w:space="0"/>
              <w:bottom w:val="single" w:color="auto" w:sz="6" w:space="0"/>
              <w:right w:val="single" w:color="auto" w:sz="6" w:space="0"/>
            </w:tcBorders>
            <w:vAlign w:val="center"/>
          </w:tcPr>
          <w:p w14:paraId="4F5BB0D5">
            <w:pPr>
              <w:autoSpaceDE w:val="0"/>
              <w:autoSpaceDN w:val="0"/>
              <w:adjustRightInd w:val="0"/>
              <w:spacing w:line="480" w:lineRule="exact"/>
              <w:ind w:firstLine="240"/>
              <w:rPr>
                <w:rFonts w:ascii="等线" w:hAnsi="等线" w:cs="宋体"/>
                <w:color w:val="auto"/>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72581241">
            <w:pPr>
              <w:autoSpaceDE w:val="0"/>
              <w:autoSpaceDN w:val="0"/>
              <w:adjustRightInd w:val="0"/>
              <w:spacing w:line="480" w:lineRule="exact"/>
              <w:ind w:firstLine="240"/>
              <w:rPr>
                <w:rFonts w:ascii="等线" w:hAnsi="等线" w:cs="宋体"/>
                <w:color w:val="auto"/>
                <w:sz w:val="24"/>
                <w:szCs w:val="24"/>
                <w:lang w:val="zh-CN"/>
              </w:rPr>
            </w:pPr>
          </w:p>
        </w:tc>
      </w:tr>
      <w:tr w14:paraId="21A64048">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vAlign w:val="center"/>
          </w:tcPr>
          <w:p w14:paraId="347798A7">
            <w:pPr>
              <w:autoSpaceDE w:val="0"/>
              <w:autoSpaceDN w:val="0"/>
              <w:adjustRightInd w:val="0"/>
              <w:spacing w:line="480" w:lineRule="exact"/>
              <w:ind w:firstLine="240"/>
              <w:rPr>
                <w:rFonts w:ascii="等线" w:hAnsi="等线"/>
                <w:color w:val="auto"/>
                <w:sz w:val="24"/>
                <w:szCs w:val="24"/>
              </w:rPr>
            </w:pPr>
          </w:p>
        </w:tc>
        <w:tc>
          <w:tcPr>
            <w:tcW w:w="2852" w:type="dxa"/>
            <w:tcBorders>
              <w:top w:val="single" w:color="auto" w:sz="6" w:space="0"/>
              <w:left w:val="single" w:color="auto" w:sz="6" w:space="0"/>
              <w:bottom w:val="single" w:color="auto" w:sz="6" w:space="0"/>
              <w:right w:val="single" w:color="auto" w:sz="6" w:space="0"/>
            </w:tcBorders>
            <w:vAlign w:val="center"/>
          </w:tcPr>
          <w:p w14:paraId="2539D250">
            <w:pPr>
              <w:autoSpaceDE w:val="0"/>
              <w:autoSpaceDN w:val="0"/>
              <w:adjustRightInd w:val="0"/>
              <w:spacing w:line="480" w:lineRule="exact"/>
              <w:rPr>
                <w:rFonts w:ascii="等线" w:hAnsi="等线" w:cs="宋体"/>
                <w:color w:val="auto"/>
                <w:sz w:val="24"/>
                <w:szCs w:val="24"/>
                <w:lang w:val="zh-CN"/>
              </w:rPr>
            </w:pPr>
          </w:p>
        </w:tc>
        <w:tc>
          <w:tcPr>
            <w:tcW w:w="2360" w:type="dxa"/>
            <w:tcBorders>
              <w:top w:val="single" w:color="auto" w:sz="6" w:space="0"/>
              <w:left w:val="single" w:color="auto" w:sz="6" w:space="0"/>
              <w:bottom w:val="single" w:color="auto" w:sz="6" w:space="0"/>
              <w:right w:val="single" w:color="auto" w:sz="6" w:space="0"/>
            </w:tcBorders>
            <w:vAlign w:val="center"/>
          </w:tcPr>
          <w:p w14:paraId="68B695AD">
            <w:pPr>
              <w:autoSpaceDE w:val="0"/>
              <w:autoSpaceDN w:val="0"/>
              <w:adjustRightInd w:val="0"/>
              <w:spacing w:line="480" w:lineRule="exact"/>
              <w:ind w:firstLine="240"/>
              <w:rPr>
                <w:rFonts w:ascii="等线" w:hAnsi="等线" w:cs="宋体"/>
                <w:color w:val="auto"/>
                <w:sz w:val="24"/>
                <w:szCs w:val="24"/>
                <w:lang w:val="zh-CN"/>
              </w:rPr>
            </w:pPr>
          </w:p>
        </w:tc>
        <w:tc>
          <w:tcPr>
            <w:tcW w:w="1143" w:type="dxa"/>
            <w:tcBorders>
              <w:top w:val="single" w:color="auto" w:sz="6" w:space="0"/>
              <w:left w:val="single" w:color="auto" w:sz="6" w:space="0"/>
              <w:bottom w:val="single" w:color="auto" w:sz="6" w:space="0"/>
              <w:right w:val="single" w:color="auto" w:sz="6" w:space="0"/>
            </w:tcBorders>
            <w:vAlign w:val="center"/>
          </w:tcPr>
          <w:p w14:paraId="7C11FB15">
            <w:pPr>
              <w:autoSpaceDE w:val="0"/>
              <w:autoSpaceDN w:val="0"/>
              <w:adjustRightInd w:val="0"/>
              <w:spacing w:line="480" w:lineRule="exact"/>
              <w:ind w:firstLine="240"/>
              <w:rPr>
                <w:rFonts w:ascii="等线" w:hAnsi="等线" w:cs="宋体"/>
                <w:color w:val="auto"/>
                <w:sz w:val="24"/>
                <w:szCs w:val="24"/>
                <w:lang w:val="zh-CN"/>
              </w:rPr>
            </w:pPr>
          </w:p>
        </w:tc>
      </w:tr>
    </w:tbl>
    <w:p w14:paraId="303C6458">
      <w:pPr>
        <w:autoSpaceDE w:val="0"/>
        <w:autoSpaceDN w:val="0"/>
        <w:adjustRightInd w:val="0"/>
        <w:spacing w:line="480" w:lineRule="auto"/>
        <w:rPr>
          <w:rFonts w:ascii="等线" w:hAnsi="等线" w:cs="宋体"/>
          <w:color w:val="auto"/>
          <w:sz w:val="28"/>
          <w:szCs w:val="28"/>
          <w:lang w:val="zh-CN"/>
        </w:rPr>
      </w:pPr>
    </w:p>
    <w:p w14:paraId="7D766D21">
      <w:pPr>
        <w:autoSpaceDE w:val="0"/>
        <w:autoSpaceDN w:val="0"/>
        <w:adjustRightInd w:val="0"/>
        <w:spacing w:line="480" w:lineRule="auto"/>
        <w:rPr>
          <w:rFonts w:ascii="等线" w:hAnsi="等线" w:cs="宋体"/>
          <w:color w:val="auto"/>
          <w:sz w:val="28"/>
          <w:szCs w:val="28"/>
          <w:lang w:val="zh-CN"/>
        </w:rPr>
      </w:pPr>
    </w:p>
    <w:p w14:paraId="784486F8">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供应商名称：</w:t>
      </w:r>
      <w:r>
        <w:rPr>
          <w:rFonts w:hint="eastAsia" w:ascii="等线" w:hAnsi="等线" w:cs="宋体"/>
          <w:color w:val="auto"/>
          <w:sz w:val="24"/>
          <w:szCs w:val="24"/>
          <w:u w:val="single"/>
          <w:lang w:val="zh-CN"/>
        </w:rPr>
        <w:t xml:space="preserve">     （全称）   </w:t>
      </w:r>
      <w:r>
        <w:rPr>
          <w:rFonts w:hint="eastAsia" w:ascii="等线" w:hAnsi="等线" w:cs="宋体"/>
          <w:color w:val="auto"/>
          <w:sz w:val="24"/>
          <w:szCs w:val="24"/>
          <w:lang w:val="zh-CN"/>
        </w:rPr>
        <w:t>（公章）</w:t>
      </w:r>
    </w:p>
    <w:p w14:paraId="3529F901">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供应商法定代表人（单位负责人）或授权代表签字：</w:t>
      </w:r>
    </w:p>
    <w:p w14:paraId="263142C4">
      <w:pPr>
        <w:autoSpaceDE w:val="0"/>
        <w:autoSpaceDN w:val="0"/>
        <w:adjustRightInd w:val="0"/>
        <w:spacing w:line="480" w:lineRule="auto"/>
        <w:rPr>
          <w:rFonts w:ascii="等线" w:hAnsi="等线" w:cs="宋体"/>
          <w:color w:val="auto"/>
          <w:sz w:val="24"/>
          <w:szCs w:val="24"/>
          <w:lang w:val="zh-CN"/>
        </w:rPr>
      </w:pPr>
      <w:r>
        <w:rPr>
          <w:rFonts w:hint="eastAsia" w:ascii="等线" w:hAnsi="等线" w:cs="宋体"/>
          <w:color w:val="auto"/>
          <w:sz w:val="24"/>
          <w:szCs w:val="24"/>
          <w:lang w:val="zh-CN"/>
        </w:rPr>
        <w:t xml:space="preserve">日期： </w:t>
      </w:r>
      <w:r>
        <w:rPr>
          <w:rFonts w:ascii="等线" w:hAnsi="等线" w:cs="宋体"/>
          <w:color w:val="auto"/>
          <w:sz w:val="24"/>
          <w:szCs w:val="24"/>
          <w:lang w:val="zh-CN"/>
        </w:rPr>
        <w:t xml:space="preserve"> </w:t>
      </w:r>
      <w:r>
        <w:rPr>
          <w:rFonts w:hint="eastAsia" w:ascii="等线" w:hAnsi="等线" w:cs="宋体"/>
          <w:color w:val="auto"/>
          <w:sz w:val="24"/>
          <w:szCs w:val="24"/>
          <w:lang w:val="zh-CN"/>
        </w:rPr>
        <w:t xml:space="preserve">年 </w:t>
      </w:r>
      <w:r>
        <w:rPr>
          <w:rFonts w:ascii="等线" w:hAnsi="等线" w:cs="宋体"/>
          <w:color w:val="auto"/>
          <w:sz w:val="24"/>
          <w:szCs w:val="24"/>
          <w:lang w:val="zh-CN"/>
        </w:rPr>
        <w:t xml:space="preserve"> </w:t>
      </w:r>
      <w:r>
        <w:rPr>
          <w:rFonts w:hint="eastAsia" w:ascii="等线" w:hAnsi="等线" w:cs="宋体"/>
          <w:color w:val="auto"/>
          <w:sz w:val="24"/>
          <w:szCs w:val="24"/>
          <w:lang w:val="zh-CN"/>
        </w:rPr>
        <w:t xml:space="preserve">月 </w:t>
      </w:r>
      <w:r>
        <w:rPr>
          <w:rFonts w:ascii="等线" w:hAnsi="等线" w:cs="宋体"/>
          <w:color w:val="auto"/>
          <w:sz w:val="24"/>
          <w:szCs w:val="24"/>
          <w:lang w:val="zh-CN"/>
        </w:rPr>
        <w:t xml:space="preserve"> </w:t>
      </w:r>
      <w:r>
        <w:rPr>
          <w:rFonts w:hint="eastAsia" w:ascii="等线" w:hAnsi="等线" w:cs="宋体"/>
          <w:color w:val="auto"/>
          <w:sz w:val="24"/>
          <w:szCs w:val="24"/>
          <w:lang w:val="zh-CN"/>
        </w:rPr>
        <w:t>日</w:t>
      </w:r>
    </w:p>
    <w:p w14:paraId="7B73B623">
      <w:pPr>
        <w:pStyle w:val="18"/>
        <w:spacing w:line="360" w:lineRule="auto"/>
        <w:jc w:val="center"/>
        <w:rPr>
          <w:rFonts w:hAnsi="宋体"/>
          <w:snapToGrid w:val="0"/>
          <w:color w:val="auto"/>
          <w:sz w:val="28"/>
          <w:szCs w:val="28"/>
        </w:rPr>
      </w:pPr>
    </w:p>
    <w:p w14:paraId="341E4FD3">
      <w:pPr>
        <w:autoSpaceDE w:val="0"/>
        <w:autoSpaceDN w:val="0"/>
        <w:adjustRightInd w:val="0"/>
        <w:spacing w:line="480" w:lineRule="auto"/>
        <w:rPr>
          <w:rFonts w:ascii="宋体" w:hAnsi="宋体" w:cs="宋体"/>
          <w:color w:val="auto"/>
          <w:u w:val="single"/>
        </w:rPr>
      </w:pPr>
      <w:r>
        <w:rPr>
          <w:color w:val="auto"/>
        </w:rPr>
        <w:t> </w:t>
      </w:r>
    </w:p>
    <w:p w14:paraId="2EF3CC64">
      <w:pPr>
        <w:adjustRightInd w:val="0"/>
        <w:snapToGrid w:val="0"/>
        <w:spacing w:line="360" w:lineRule="auto"/>
        <w:rPr>
          <w:rFonts w:ascii="宋体" w:hAnsi="宋体" w:cs="宋体"/>
          <w:color w:val="auto"/>
          <w:u w:val="single"/>
        </w:rPr>
      </w:pPr>
    </w:p>
    <w:p w14:paraId="0B4F8128">
      <w:pPr>
        <w:rPr>
          <w:rFonts w:ascii="宋体" w:hAnsi="宋体" w:cs="黑体"/>
          <w:b/>
          <w:bCs/>
          <w:color w:val="auto"/>
          <w:sz w:val="44"/>
          <w:szCs w:val="44"/>
          <w:lang w:val="zh-CN"/>
        </w:rPr>
      </w:pPr>
      <w:r>
        <w:rPr>
          <w:rFonts w:hint="eastAsia" w:ascii="等线" w:hAnsi="等线" w:cs="宋体"/>
          <w:color w:val="auto"/>
          <w:sz w:val="24"/>
          <w:szCs w:val="24"/>
          <w:u w:val="single"/>
          <w:lang w:val="zh-CN"/>
        </w:rPr>
        <w:br w:type="page"/>
      </w:r>
      <w:bookmarkStart w:id="32" w:name="_Hlk51678110"/>
    </w:p>
    <w:p w14:paraId="2FEFE5F0">
      <w:pPr>
        <w:autoSpaceDE w:val="0"/>
        <w:autoSpaceDN w:val="0"/>
        <w:adjustRightInd w:val="0"/>
        <w:spacing w:line="360" w:lineRule="auto"/>
        <w:jc w:val="center"/>
        <w:outlineLvl w:val="1"/>
        <w:rPr>
          <w:rFonts w:ascii="宋体" w:hAnsi="宋体" w:cs="黑体"/>
          <w:b/>
          <w:bCs/>
          <w:color w:val="auto"/>
          <w:sz w:val="28"/>
          <w:szCs w:val="28"/>
          <w:lang w:val="zh-CN"/>
        </w:rPr>
      </w:pPr>
      <w:r>
        <w:rPr>
          <w:rFonts w:hint="eastAsia" w:ascii="宋体" w:hAnsi="宋体" w:cs="黑体"/>
          <w:b/>
          <w:bCs/>
          <w:color w:val="auto"/>
          <w:sz w:val="28"/>
          <w:szCs w:val="28"/>
          <w:lang w:val="zh-CN"/>
        </w:rPr>
        <w:t>三、资格审查证明材料</w:t>
      </w:r>
    </w:p>
    <w:p w14:paraId="75AE9E52">
      <w:pPr>
        <w:autoSpaceDE w:val="0"/>
        <w:autoSpaceDN w:val="0"/>
        <w:spacing w:line="480" w:lineRule="auto"/>
        <w:jc w:val="center"/>
        <w:outlineLvl w:val="2"/>
        <w:rPr>
          <w:rFonts w:ascii="宋体" w:hAnsi="宋体"/>
          <w:b/>
          <w:color w:val="auto"/>
          <w:sz w:val="28"/>
          <w:szCs w:val="24"/>
        </w:rPr>
      </w:pPr>
      <w:r>
        <w:rPr>
          <w:rFonts w:hint="eastAsia" w:ascii="宋体" w:hAnsi="宋体"/>
          <w:b/>
          <w:color w:val="auto"/>
          <w:sz w:val="28"/>
          <w:szCs w:val="24"/>
        </w:rPr>
        <w:t>3.1 投 标 函</w:t>
      </w:r>
    </w:p>
    <w:p w14:paraId="46E08B9E">
      <w:pPr>
        <w:autoSpaceDE w:val="0"/>
        <w:autoSpaceDN w:val="0"/>
        <w:adjustRightInd w:val="0"/>
        <w:spacing w:line="480" w:lineRule="auto"/>
        <w:rPr>
          <w:rFonts w:ascii="宋体" w:hAnsi="宋体"/>
          <w:b/>
          <w:snapToGrid w:val="0"/>
          <w:color w:val="auto"/>
          <w:kern w:val="0"/>
          <w:sz w:val="24"/>
        </w:rPr>
      </w:pPr>
      <w:r>
        <w:rPr>
          <w:color w:val="auto"/>
          <w:sz w:val="28"/>
          <w:szCs w:val="24"/>
        </w:rPr>
        <w:t>致：</w:t>
      </w:r>
      <w:r>
        <w:rPr>
          <w:rFonts w:hint="eastAsia" w:ascii="宋体" w:hAnsi="宋体"/>
          <w:b/>
          <w:snapToGrid w:val="0"/>
          <w:color w:val="auto"/>
          <w:kern w:val="0"/>
          <w:sz w:val="24"/>
        </w:rPr>
        <w:t>（采购人）</w:t>
      </w:r>
    </w:p>
    <w:p w14:paraId="756F6028">
      <w:pPr>
        <w:adjustRightInd w:val="0"/>
        <w:spacing w:line="360" w:lineRule="auto"/>
        <w:ind w:firstLine="480" w:firstLineChars="200"/>
        <w:contextualSpacing/>
        <w:rPr>
          <w:rFonts w:ascii="宋体" w:hAnsi="宋体"/>
          <w:snapToGrid w:val="0"/>
          <w:color w:val="auto"/>
          <w:kern w:val="0"/>
          <w:sz w:val="24"/>
        </w:rPr>
      </w:pPr>
      <w:r>
        <w:rPr>
          <w:rFonts w:hint="eastAsia" w:ascii="宋体" w:hAnsi="宋体"/>
          <w:snapToGrid w:val="0"/>
          <w:color w:val="auto"/>
          <w:kern w:val="0"/>
          <w:sz w:val="24"/>
        </w:rPr>
        <w:t>根据贵方</w:t>
      </w:r>
      <w:r>
        <w:rPr>
          <w:rFonts w:hint="eastAsia" w:ascii="宋体" w:hAnsi="宋体"/>
          <w:snapToGrid w:val="0"/>
          <w:color w:val="auto"/>
          <w:kern w:val="0"/>
          <w:sz w:val="24"/>
          <w:u w:val="single"/>
        </w:rPr>
        <w:t>（项目名称、招标编号）</w:t>
      </w:r>
      <w:r>
        <w:rPr>
          <w:rFonts w:hint="eastAsia" w:ascii="宋体" w:hAnsi="宋体"/>
          <w:snapToGrid w:val="0"/>
          <w:color w:val="auto"/>
          <w:kern w:val="0"/>
          <w:sz w:val="24"/>
        </w:rPr>
        <w:t>采购的招标公告及投标邀请，</w:t>
      </w:r>
      <w:r>
        <w:rPr>
          <w:rFonts w:hint="eastAsia" w:ascii="宋体" w:hAnsi="宋体"/>
          <w:snapToGrid w:val="0"/>
          <w:color w:val="auto"/>
          <w:kern w:val="0"/>
          <w:sz w:val="24"/>
          <w:u w:val="single"/>
        </w:rPr>
        <w:t>（姓名和职务）</w:t>
      </w:r>
      <w:r>
        <w:rPr>
          <w:rFonts w:hint="eastAsia" w:ascii="宋体" w:hAnsi="宋体"/>
          <w:snapToGrid w:val="0"/>
          <w:color w:val="auto"/>
          <w:kern w:val="0"/>
          <w:sz w:val="24"/>
        </w:rPr>
        <w:t>被正式授权并代表投标人</w:t>
      </w:r>
      <w:r>
        <w:rPr>
          <w:rFonts w:hint="eastAsia" w:ascii="宋体" w:hAnsi="宋体"/>
          <w:snapToGrid w:val="0"/>
          <w:color w:val="auto"/>
          <w:kern w:val="0"/>
          <w:sz w:val="24"/>
          <w:u w:val="single"/>
        </w:rPr>
        <w:t>（投标人名称、地址）</w:t>
      </w:r>
      <w:r>
        <w:rPr>
          <w:rFonts w:hint="eastAsia" w:ascii="宋体" w:hAnsi="宋体"/>
          <w:snapToGrid w:val="0"/>
          <w:color w:val="auto"/>
          <w:kern w:val="0"/>
          <w:sz w:val="24"/>
        </w:rPr>
        <w:t>提交。</w:t>
      </w:r>
    </w:p>
    <w:p w14:paraId="3AF323E7">
      <w:pPr>
        <w:pStyle w:val="18"/>
        <w:adjustRightInd w:val="0"/>
        <w:spacing w:line="360" w:lineRule="auto"/>
        <w:ind w:firstLine="480" w:firstLineChars="200"/>
        <w:contextualSpacing/>
        <w:rPr>
          <w:rFonts w:ascii="宋体" w:hAnsi="宋体"/>
          <w:snapToGrid w:val="0"/>
          <w:color w:val="auto"/>
          <w:szCs w:val="21"/>
        </w:rPr>
      </w:pPr>
      <w:r>
        <w:rPr>
          <w:rFonts w:hint="eastAsia" w:ascii="宋体" w:hAnsi="宋体"/>
          <w:snapToGrid w:val="0"/>
          <w:color w:val="auto"/>
          <w:szCs w:val="21"/>
        </w:rPr>
        <w:t>我方确认收到贵方提供的</w:t>
      </w:r>
      <w:r>
        <w:rPr>
          <w:rFonts w:hint="eastAsia" w:ascii="宋体" w:hAnsi="宋体"/>
          <w:snapToGrid w:val="0"/>
          <w:color w:val="auto"/>
          <w:szCs w:val="21"/>
          <w:u w:val="single"/>
        </w:rPr>
        <w:t>（项目名称、招标编号）</w:t>
      </w:r>
      <w:r>
        <w:rPr>
          <w:rFonts w:hint="eastAsia" w:ascii="宋体" w:hAnsi="宋体"/>
          <w:snapToGrid w:val="0"/>
          <w:color w:val="auto"/>
          <w:szCs w:val="21"/>
        </w:rPr>
        <w:t>招标文件的全部内容。</w:t>
      </w:r>
    </w:p>
    <w:p w14:paraId="6598FDDA">
      <w:pPr>
        <w:pStyle w:val="18"/>
        <w:adjustRightInd w:val="0"/>
        <w:spacing w:line="360" w:lineRule="auto"/>
        <w:ind w:firstLine="480" w:firstLineChars="200"/>
        <w:contextualSpacing/>
        <w:rPr>
          <w:rFonts w:ascii="宋体" w:hAnsi="宋体"/>
          <w:snapToGrid w:val="0"/>
          <w:color w:val="auto"/>
          <w:szCs w:val="21"/>
        </w:rPr>
      </w:pPr>
      <w:r>
        <w:rPr>
          <w:rFonts w:hint="eastAsia" w:ascii="宋体" w:hAnsi="宋体"/>
          <w:snapToGrid w:val="0"/>
          <w:color w:val="auto"/>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color w:val="auto"/>
          <w:szCs w:val="21"/>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14:paraId="0479594E">
      <w:pPr>
        <w:adjustRightInd w:val="0"/>
        <w:spacing w:line="360" w:lineRule="auto"/>
        <w:ind w:firstLine="480" w:firstLineChars="200"/>
        <w:contextualSpacing/>
        <w:rPr>
          <w:rFonts w:ascii="宋体" w:hAnsi="宋体" w:cs="Courier New"/>
          <w:color w:val="auto"/>
          <w:sz w:val="24"/>
        </w:rPr>
      </w:pPr>
      <w:r>
        <w:rPr>
          <w:rFonts w:hint="eastAsia" w:ascii="宋体" w:hAnsi="宋体" w:cs="Courier New"/>
          <w:color w:val="auto"/>
          <w:sz w:val="24"/>
        </w:rPr>
        <w:t>我方已完全明白招标文件的所有条款要求，并申明如下：</w:t>
      </w:r>
    </w:p>
    <w:p w14:paraId="0C1F2C52">
      <w:pPr>
        <w:adjustRightInd w:val="0"/>
        <w:spacing w:line="360" w:lineRule="auto"/>
        <w:ind w:firstLine="480" w:firstLineChars="200"/>
        <w:contextualSpacing/>
        <w:rPr>
          <w:rFonts w:ascii="宋体" w:hAnsi="宋体" w:cs="Courier New"/>
          <w:color w:val="auto"/>
          <w:sz w:val="24"/>
        </w:rPr>
      </w:pPr>
      <w:r>
        <w:rPr>
          <w:rFonts w:hint="eastAsia" w:ascii="宋体" w:hAnsi="宋体" w:cs="Courier New"/>
          <w:color w:val="auto"/>
          <w:sz w:val="24"/>
        </w:rPr>
        <w:t>一、按招标文件提供的全部货物与相关服务的投标总价详见《开标一览表》。</w:t>
      </w:r>
    </w:p>
    <w:p w14:paraId="0D6FC3F8">
      <w:pPr>
        <w:adjustRightInd w:val="0"/>
        <w:spacing w:line="360" w:lineRule="auto"/>
        <w:ind w:firstLine="480" w:firstLineChars="200"/>
        <w:contextualSpacing/>
        <w:rPr>
          <w:rFonts w:ascii="宋体" w:hAnsi="宋体" w:cs="Courier New"/>
          <w:color w:val="auto"/>
          <w:sz w:val="24"/>
        </w:rPr>
      </w:pPr>
      <w:r>
        <w:rPr>
          <w:rFonts w:hint="eastAsia" w:ascii="宋体" w:hAnsi="宋体" w:cs="Courier New"/>
          <w:color w:val="auto"/>
          <w:sz w:val="24"/>
        </w:rPr>
        <w:t>二、</w:t>
      </w:r>
      <w:r>
        <w:rPr>
          <w:rFonts w:hint="eastAsia" w:ascii="宋体" w:hAnsi="宋体"/>
          <w:color w:val="auto"/>
          <w:sz w:val="24"/>
        </w:rPr>
        <w:t>我方同意在本项目招标文件中规定的开标日起天内遵守本投标文件中的承诺且在此期限期满之前均具有约束力。我方同意并遵守本招标文件“投标人须知”中第十四条第三款关于延长投标有效期的规定。</w:t>
      </w:r>
      <w:r>
        <w:rPr>
          <w:rFonts w:hint="eastAsia" w:ascii="宋体" w:hAnsi="宋体" w:cs="Courier New"/>
          <w:color w:val="auto"/>
          <w:sz w:val="24"/>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7272BF16">
      <w:pPr>
        <w:adjustRightInd w:val="0"/>
        <w:spacing w:line="360" w:lineRule="auto"/>
        <w:ind w:firstLine="480" w:firstLineChars="200"/>
        <w:contextualSpacing/>
        <w:rPr>
          <w:rFonts w:cs="Courier New"/>
          <w:color w:val="auto"/>
          <w:sz w:val="24"/>
          <w:szCs w:val="24"/>
        </w:rPr>
      </w:pPr>
      <w:r>
        <w:rPr>
          <w:rFonts w:hint="eastAsia" w:cs="Courier New"/>
          <w:color w:val="auto"/>
          <w:sz w:val="24"/>
          <w:szCs w:val="24"/>
        </w:rPr>
        <w:t>三、我方明白并同意，在规定的开标日之后，投标有效期之内撤销投标的，则我方承担违背投标承诺的责任追究。</w:t>
      </w:r>
    </w:p>
    <w:p w14:paraId="1314C3C3">
      <w:pPr>
        <w:adjustRightInd w:val="0"/>
        <w:spacing w:line="360" w:lineRule="auto"/>
        <w:ind w:firstLine="420" w:firstLineChars="200"/>
        <w:contextualSpacing/>
        <w:rPr>
          <w:rFonts w:cs="Courier New"/>
          <w:color w:val="auto"/>
          <w:sz w:val="24"/>
          <w:szCs w:val="24"/>
        </w:rPr>
      </w:pPr>
      <w:r>
        <w:rPr>
          <w:rFonts w:hint="eastAsia" w:cs="Courier New"/>
          <w:color w:val="auto"/>
        </w:rPr>
        <w:t>四</w:t>
      </w:r>
      <w:r>
        <w:rPr>
          <w:rFonts w:hint="eastAsia" w:cs="Courier New"/>
          <w:color w:val="auto"/>
          <w:sz w:val="24"/>
          <w:szCs w:val="24"/>
        </w:rPr>
        <w:t>、我方同意按照贵方可能提出的要求而提供与投标有关的任何其他数据、信息或资料。</w:t>
      </w:r>
    </w:p>
    <w:p w14:paraId="3101195E">
      <w:pPr>
        <w:adjustRightInd w:val="0"/>
        <w:spacing w:line="360" w:lineRule="auto"/>
        <w:ind w:firstLine="480" w:firstLineChars="200"/>
        <w:contextualSpacing/>
        <w:rPr>
          <w:rFonts w:cs="Courier New"/>
          <w:color w:val="auto"/>
          <w:sz w:val="24"/>
          <w:szCs w:val="24"/>
        </w:rPr>
      </w:pPr>
      <w:r>
        <w:rPr>
          <w:rFonts w:hint="eastAsia" w:cs="Courier New"/>
          <w:color w:val="auto"/>
          <w:sz w:val="24"/>
          <w:szCs w:val="24"/>
        </w:rPr>
        <w:t>五、我方理解贵方不一定接受最低投标价或任何贵方可能收到的投标。</w:t>
      </w:r>
    </w:p>
    <w:p w14:paraId="7D210B25">
      <w:pPr>
        <w:adjustRightInd w:val="0"/>
        <w:spacing w:line="360" w:lineRule="auto"/>
        <w:ind w:firstLine="480" w:firstLineChars="200"/>
        <w:contextualSpacing/>
        <w:rPr>
          <w:rFonts w:cs="Courier New"/>
          <w:color w:val="auto"/>
          <w:sz w:val="24"/>
          <w:szCs w:val="24"/>
        </w:rPr>
      </w:pPr>
      <w:r>
        <w:rPr>
          <w:rFonts w:hint="eastAsia" w:cs="Courier New"/>
          <w:color w:val="auto"/>
          <w:sz w:val="24"/>
          <w:szCs w:val="24"/>
        </w:rPr>
        <w:t>六、我方如果中标，将保证履行招标文件及其澄清、修改文件（如果有）中的全部责任和义务，按质、按量、按期完成《项目需求》及《合同书》中的全部任务。</w:t>
      </w:r>
    </w:p>
    <w:p w14:paraId="46C6E1FC">
      <w:pPr>
        <w:adjustRightInd w:val="0"/>
        <w:spacing w:line="360" w:lineRule="auto"/>
        <w:ind w:firstLine="480" w:firstLineChars="200"/>
        <w:contextualSpacing/>
        <w:rPr>
          <w:color w:val="auto"/>
        </w:rPr>
      </w:pPr>
      <w:r>
        <w:rPr>
          <w:rFonts w:hint="eastAsia" w:cs="Courier New"/>
          <w:color w:val="auto"/>
          <w:sz w:val="24"/>
          <w:szCs w:val="24"/>
        </w:rPr>
        <w:t>七、我方在此保证所提交的所有文件和全部说明是真实的和正确的。</w:t>
      </w:r>
    </w:p>
    <w:p w14:paraId="73D11451">
      <w:pPr>
        <w:pStyle w:val="18"/>
        <w:adjustRightInd w:val="0"/>
        <w:spacing w:line="360" w:lineRule="auto"/>
        <w:ind w:firstLine="480" w:firstLineChars="200"/>
        <w:contextualSpacing/>
        <w:rPr>
          <w:rFonts w:ascii="宋体" w:hAnsi="宋体"/>
          <w:color w:val="auto"/>
          <w:szCs w:val="21"/>
        </w:rPr>
      </w:pPr>
      <w:r>
        <w:rPr>
          <w:rFonts w:hint="eastAsia" w:ascii="宋体" w:hAnsi="宋体"/>
          <w:color w:val="auto"/>
          <w:szCs w:val="21"/>
        </w:rPr>
        <w:t xml:space="preserve">八、我方投标报价已包含应向知识产权所有权人支付的所有相关税费，并保证采购人在中国使用我方提供的货物时，如有第三方提出侵犯其知识产权主张的，责任由我方承担。 </w:t>
      </w:r>
    </w:p>
    <w:p w14:paraId="4D9C9D0E">
      <w:pPr>
        <w:pStyle w:val="18"/>
        <w:adjustRightInd w:val="0"/>
        <w:spacing w:line="360" w:lineRule="auto"/>
        <w:ind w:firstLine="480" w:firstLineChars="200"/>
        <w:contextualSpacing/>
        <w:rPr>
          <w:rFonts w:ascii="宋体" w:hAnsi="宋体" w:cs="Arial"/>
          <w:color w:val="auto"/>
          <w:szCs w:val="21"/>
        </w:rPr>
      </w:pPr>
      <w:r>
        <w:rPr>
          <w:rFonts w:hint="eastAsia" w:ascii="宋体" w:hAnsi="宋体" w:cs="Arial"/>
          <w:color w:val="auto"/>
          <w:szCs w:val="21"/>
        </w:rPr>
        <w:t>九、我方具备《中华人民共和国政府采购法》第二十二条规定的条件；承诺如下：</w:t>
      </w:r>
    </w:p>
    <w:p w14:paraId="5F54F5AA">
      <w:pPr>
        <w:pStyle w:val="18"/>
        <w:adjustRightInd w:val="0"/>
        <w:spacing w:line="360" w:lineRule="auto"/>
        <w:ind w:firstLine="480" w:firstLineChars="200"/>
        <w:contextualSpacing/>
        <w:rPr>
          <w:rFonts w:ascii="宋体" w:hAnsi="宋体" w:cs="Arial"/>
          <w:color w:val="auto"/>
          <w:szCs w:val="21"/>
        </w:rPr>
      </w:pPr>
      <w:r>
        <w:rPr>
          <w:rFonts w:hint="eastAsia" w:ascii="宋体" w:hAnsi="宋体" w:cs="Arial"/>
          <w:color w:val="auto"/>
          <w:szCs w:val="21"/>
        </w:rPr>
        <w:t>1. 具有独立承担民事责任能力的在中华人民共和国境内注册的法人或其他组织或自然人，有效的营业执照（或事业法人登记证或身份证等相关证明）。</w:t>
      </w:r>
    </w:p>
    <w:p w14:paraId="5AD1F2FD">
      <w:pPr>
        <w:adjustRightInd w:val="0"/>
        <w:spacing w:line="360" w:lineRule="auto"/>
        <w:ind w:firstLine="499" w:firstLineChars="208"/>
        <w:contextualSpacing/>
        <w:rPr>
          <w:rFonts w:ascii="宋体" w:hAnsi="宋体" w:cs="Arial"/>
          <w:color w:val="auto"/>
          <w:sz w:val="24"/>
        </w:rPr>
      </w:pPr>
      <w:r>
        <w:rPr>
          <w:rFonts w:hint="eastAsia" w:ascii="宋体" w:hAnsi="宋体" w:cs="Arial"/>
          <w:color w:val="auto"/>
          <w:sz w:val="24"/>
        </w:rPr>
        <w:t>2. 我方已依法缴纳了各项税费及社会保险费用，如有需要，可随时向采购人提供近三个月内的相关缴费证明，以便核查。</w:t>
      </w:r>
    </w:p>
    <w:p w14:paraId="6B20C5FB">
      <w:pPr>
        <w:adjustRightInd w:val="0"/>
        <w:spacing w:line="360" w:lineRule="auto"/>
        <w:ind w:firstLine="499" w:firstLineChars="208"/>
        <w:contextualSpacing/>
        <w:rPr>
          <w:rFonts w:ascii="宋体" w:hAnsi="宋体" w:cs="Arial"/>
          <w:color w:val="auto"/>
          <w:sz w:val="24"/>
        </w:rPr>
      </w:pPr>
      <w:r>
        <w:rPr>
          <w:rFonts w:hint="eastAsia" w:ascii="宋体" w:hAnsi="宋体" w:cs="Arial"/>
          <w:color w:val="auto"/>
          <w:sz w:val="24"/>
        </w:rPr>
        <w:t>3. 我方已依法建立健全的财务会计制度，如有需要，可随时向采购人提供相关证明材料，以便核查。</w:t>
      </w:r>
    </w:p>
    <w:p w14:paraId="3A058B1C">
      <w:pPr>
        <w:adjustRightInd w:val="0"/>
        <w:spacing w:line="360" w:lineRule="auto"/>
        <w:ind w:firstLine="499" w:firstLineChars="208"/>
        <w:contextualSpacing/>
        <w:rPr>
          <w:rFonts w:ascii="宋体" w:hAnsi="宋体" w:cs="Arial"/>
          <w:color w:val="auto"/>
          <w:sz w:val="24"/>
        </w:rPr>
      </w:pPr>
      <w:r>
        <w:rPr>
          <w:rFonts w:hint="eastAsia" w:ascii="宋体" w:hAnsi="宋体" w:cs="Arial"/>
          <w:color w:val="auto"/>
          <w:sz w:val="24"/>
        </w:rPr>
        <w:t>4. 参加政府采购活动前三年内，在经营活动中没有重大违法记录。</w:t>
      </w:r>
    </w:p>
    <w:p w14:paraId="6FD9821C">
      <w:pPr>
        <w:adjustRightInd w:val="0"/>
        <w:spacing w:line="360" w:lineRule="auto"/>
        <w:ind w:firstLine="499" w:firstLineChars="208"/>
        <w:contextualSpacing/>
        <w:rPr>
          <w:rFonts w:ascii="宋体" w:hAnsi="宋体" w:cs="Arial"/>
          <w:color w:val="auto"/>
          <w:sz w:val="24"/>
        </w:rPr>
      </w:pPr>
      <w:r>
        <w:rPr>
          <w:rFonts w:hint="eastAsia" w:ascii="宋体" w:hAnsi="宋体" w:cs="Arial"/>
          <w:color w:val="auto"/>
          <w:sz w:val="24"/>
        </w:rPr>
        <w:t>5. 符合法律、行政法规规定的其他条件。</w:t>
      </w:r>
    </w:p>
    <w:p w14:paraId="1753F3F8">
      <w:pPr>
        <w:adjustRightInd w:val="0"/>
        <w:spacing w:line="360" w:lineRule="auto"/>
        <w:ind w:firstLine="499" w:firstLineChars="208"/>
        <w:contextualSpacing/>
        <w:rPr>
          <w:rFonts w:ascii="宋体" w:hAnsi="宋体" w:cs="Arial"/>
          <w:color w:val="auto"/>
          <w:sz w:val="24"/>
        </w:rPr>
      </w:pPr>
      <w:r>
        <w:rPr>
          <w:rFonts w:hint="eastAsia" w:ascii="宋体" w:hAnsi="宋体" w:cs="宋体"/>
          <w:color w:val="auto"/>
          <w:sz w:val="24"/>
        </w:rPr>
        <w:t>以上内容如有虚假或与事实不符的，评审委员会可将</w:t>
      </w:r>
      <w:r>
        <w:rPr>
          <w:rFonts w:hint="eastAsia" w:ascii="宋体" w:hAnsi="宋体" w:cs="Arial"/>
          <w:color w:val="auto"/>
          <w:sz w:val="24"/>
        </w:rPr>
        <w:t>我方作无效投标处理，我方愿意承担相应的法律责任。</w:t>
      </w:r>
    </w:p>
    <w:p w14:paraId="45DBEFBB">
      <w:pPr>
        <w:pStyle w:val="18"/>
        <w:adjustRightInd w:val="0"/>
        <w:spacing w:line="360" w:lineRule="auto"/>
        <w:ind w:firstLine="480" w:firstLineChars="200"/>
        <w:contextualSpacing/>
        <w:rPr>
          <w:rFonts w:ascii="宋体" w:hAnsi="宋体"/>
          <w:color w:val="auto"/>
          <w:szCs w:val="21"/>
        </w:rPr>
      </w:pPr>
      <w:r>
        <w:rPr>
          <w:rFonts w:hint="eastAsia" w:ascii="宋体" w:hAnsi="宋体"/>
          <w:color w:val="auto"/>
          <w:szCs w:val="21"/>
        </w:rPr>
        <w:t>十、我方具备履行合同所必需的设备和专业技术能力。</w:t>
      </w:r>
    </w:p>
    <w:p w14:paraId="7EA3B469">
      <w:pPr>
        <w:pStyle w:val="18"/>
        <w:adjustRightInd w:val="0"/>
        <w:spacing w:line="360" w:lineRule="auto"/>
        <w:ind w:firstLine="480" w:firstLineChars="200"/>
        <w:contextualSpacing/>
        <w:rPr>
          <w:rFonts w:ascii="宋体" w:hAnsi="宋体"/>
          <w:color w:val="auto"/>
          <w:szCs w:val="21"/>
        </w:rPr>
      </w:pPr>
      <w:r>
        <w:rPr>
          <w:rFonts w:hint="eastAsia" w:ascii="宋体" w:hAnsi="宋体"/>
          <w:snapToGrid w:val="0"/>
          <w:color w:val="auto"/>
          <w:szCs w:val="21"/>
        </w:rPr>
        <w:t>十一、</w:t>
      </w:r>
      <w:r>
        <w:rPr>
          <w:rFonts w:hint="eastAsia" w:ascii="宋体" w:hAnsi="宋体"/>
          <w:color w:val="auto"/>
          <w:szCs w:val="21"/>
        </w:rPr>
        <w:t>我方对在本函及投标文件中所作的所有承诺承担法律责任。</w:t>
      </w:r>
    </w:p>
    <w:p w14:paraId="46188DF2">
      <w:pPr>
        <w:pStyle w:val="18"/>
        <w:adjustRightInd w:val="0"/>
        <w:snapToGrid w:val="0"/>
        <w:spacing w:line="360" w:lineRule="auto"/>
        <w:rPr>
          <w:rFonts w:ascii="宋体" w:hAnsi="宋体"/>
          <w:color w:val="auto"/>
          <w:szCs w:val="21"/>
        </w:rPr>
      </w:pPr>
    </w:p>
    <w:p w14:paraId="21973B5C">
      <w:pPr>
        <w:pStyle w:val="18"/>
        <w:adjustRightInd w:val="0"/>
        <w:snapToGrid w:val="0"/>
        <w:spacing w:line="360" w:lineRule="auto"/>
        <w:rPr>
          <w:rFonts w:ascii="宋体" w:hAnsi="宋体"/>
          <w:color w:val="auto"/>
          <w:szCs w:val="21"/>
        </w:rPr>
      </w:pPr>
    </w:p>
    <w:p w14:paraId="3850A948">
      <w:pPr>
        <w:pStyle w:val="18"/>
        <w:adjustRightInd w:val="0"/>
        <w:snapToGrid w:val="0"/>
        <w:spacing w:line="360" w:lineRule="auto"/>
        <w:rPr>
          <w:rFonts w:ascii="宋体" w:hAnsi="宋体"/>
          <w:color w:val="auto"/>
          <w:szCs w:val="21"/>
        </w:rPr>
      </w:pPr>
      <w:r>
        <w:rPr>
          <w:rFonts w:hint="eastAsia" w:ascii="宋体" w:hAnsi="宋体"/>
          <w:color w:val="auto"/>
          <w:szCs w:val="21"/>
        </w:rPr>
        <w:t>所有与本招标有关的一切正式往来请寄：</w:t>
      </w:r>
    </w:p>
    <w:p w14:paraId="02FE5D6C">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地    址：  邮政编码：</w:t>
      </w:r>
    </w:p>
    <w:p w14:paraId="36BA90E5">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电    话：  传    真：</w:t>
      </w:r>
    </w:p>
    <w:p w14:paraId="1EECE218">
      <w:pPr>
        <w:adjustRightInd w:val="0"/>
        <w:snapToGrid w:val="0"/>
        <w:spacing w:line="360" w:lineRule="auto"/>
        <w:ind w:firstLine="480" w:firstLineChars="200"/>
        <w:rPr>
          <w:rFonts w:ascii="宋体" w:hAnsi="宋体" w:cs="宋体"/>
          <w:color w:val="auto"/>
          <w:sz w:val="24"/>
          <w:u w:val="single"/>
        </w:rPr>
      </w:pPr>
      <w:r>
        <w:rPr>
          <w:rFonts w:hint="eastAsia" w:ascii="宋体" w:hAnsi="宋体" w:cs="宋体"/>
          <w:color w:val="auto"/>
          <w:sz w:val="24"/>
        </w:rPr>
        <w:t>投标人代表姓名：  职    务：</w:t>
      </w:r>
    </w:p>
    <w:p w14:paraId="33150099">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投标人名称（并加盖公章）：</w:t>
      </w:r>
    </w:p>
    <w:p w14:paraId="6951F725">
      <w:pPr>
        <w:adjustRightInd w:val="0"/>
        <w:snapToGrid w:val="0"/>
        <w:spacing w:line="360" w:lineRule="auto"/>
        <w:ind w:firstLine="480" w:firstLineChars="200"/>
        <w:rPr>
          <w:rFonts w:ascii="宋体" w:hAnsi="宋体" w:cs="宋体"/>
          <w:color w:val="auto"/>
          <w:sz w:val="24"/>
        </w:rPr>
      </w:pPr>
      <w:r>
        <w:rPr>
          <w:rFonts w:hint="eastAsia" w:ascii="等线" w:hAnsi="等线" w:cs="宋体"/>
          <w:color w:val="auto"/>
          <w:sz w:val="24"/>
          <w:szCs w:val="24"/>
          <w:lang w:val="zh-CN"/>
        </w:rPr>
        <w:t>法定代表人（单位负责人）或授权代表：</w:t>
      </w:r>
      <w:r>
        <w:rPr>
          <w:rFonts w:hint="eastAsia" w:ascii="等线" w:hAnsi="等线" w:cs="宋体"/>
          <w:color w:val="auto"/>
          <w:sz w:val="24"/>
          <w:szCs w:val="24"/>
        </w:rPr>
        <w:t xml:space="preserve">  </w:t>
      </w:r>
      <w:r>
        <w:rPr>
          <w:rFonts w:hint="eastAsia" w:ascii="等线" w:hAnsi="等线" w:cs="宋体"/>
          <w:color w:val="auto"/>
          <w:sz w:val="24"/>
          <w:szCs w:val="24"/>
          <w:lang w:val="zh-CN"/>
        </w:rPr>
        <w:t>（签字</w:t>
      </w:r>
      <w:r>
        <w:rPr>
          <w:rFonts w:hint="eastAsia" w:ascii="等线" w:hAnsi="等线" w:cs="宋体"/>
          <w:color w:val="auto"/>
          <w:sz w:val="24"/>
          <w:szCs w:val="24"/>
        </w:rPr>
        <w:t>并盖章</w:t>
      </w:r>
      <w:r>
        <w:rPr>
          <w:rFonts w:hint="eastAsia" w:ascii="等线" w:hAnsi="等线" w:cs="宋体"/>
          <w:color w:val="auto"/>
          <w:sz w:val="24"/>
          <w:szCs w:val="24"/>
          <w:lang w:val="zh-CN"/>
        </w:rPr>
        <w:t>）</w:t>
      </w:r>
    </w:p>
    <w:p w14:paraId="2978BA52">
      <w:pPr>
        <w:adjustRightInd w:val="0"/>
        <w:snapToGrid w:val="0"/>
        <w:spacing w:line="360" w:lineRule="auto"/>
        <w:ind w:firstLine="480" w:firstLineChars="200"/>
        <w:rPr>
          <w:rFonts w:ascii="宋体" w:hAnsi="宋体" w:cs="宋体"/>
          <w:color w:val="auto"/>
          <w:sz w:val="24"/>
        </w:rPr>
      </w:pPr>
      <w:r>
        <w:rPr>
          <w:rFonts w:hint="eastAsia" w:ascii="宋体" w:hAnsi="宋体" w:cs="宋体"/>
          <w:color w:val="auto"/>
          <w:sz w:val="24"/>
        </w:rPr>
        <w:t>日期：年月 日</w:t>
      </w:r>
    </w:p>
    <w:p w14:paraId="195853E6">
      <w:pPr>
        <w:rPr>
          <w:color w:val="auto"/>
        </w:rPr>
      </w:pPr>
    </w:p>
    <w:p w14:paraId="0D225D38">
      <w:pPr>
        <w:spacing w:line="480" w:lineRule="exact"/>
        <w:jc w:val="center"/>
        <w:outlineLvl w:val="2"/>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3.2 法定代表人（单位负责人）</w:t>
      </w:r>
      <w:r>
        <w:rPr>
          <w:rFonts w:ascii="宋体" w:hAnsi="宋体"/>
          <w:b/>
          <w:bCs/>
          <w:color w:val="auto"/>
          <w:sz w:val="24"/>
          <w:szCs w:val="24"/>
        </w:rPr>
        <w:t>资</w:t>
      </w:r>
      <w:r>
        <w:rPr>
          <w:rFonts w:hint="eastAsia" w:ascii="宋体" w:hAnsi="宋体"/>
          <w:b/>
          <w:bCs/>
          <w:color w:val="auto"/>
          <w:sz w:val="24"/>
          <w:szCs w:val="24"/>
        </w:rPr>
        <w:t>格</w:t>
      </w:r>
      <w:r>
        <w:rPr>
          <w:rFonts w:ascii="宋体" w:hAnsi="宋体"/>
          <w:b/>
          <w:bCs/>
          <w:color w:val="auto"/>
          <w:sz w:val="24"/>
          <w:szCs w:val="24"/>
        </w:rPr>
        <w:t>证</w:t>
      </w:r>
      <w:r>
        <w:rPr>
          <w:rFonts w:hint="eastAsia" w:ascii="宋体" w:hAnsi="宋体"/>
          <w:b/>
          <w:bCs/>
          <w:color w:val="auto"/>
          <w:sz w:val="24"/>
          <w:szCs w:val="24"/>
        </w:rPr>
        <w:t>明</w:t>
      </w:r>
      <w:r>
        <w:rPr>
          <w:rFonts w:ascii="宋体" w:hAnsi="宋体"/>
          <w:b/>
          <w:bCs/>
          <w:color w:val="auto"/>
          <w:sz w:val="24"/>
          <w:szCs w:val="24"/>
        </w:rPr>
        <w:t>书</w:t>
      </w:r>
    </w:p>
    <w:p w14:paraId="38D16471">
      <w:pPr>
        <w:autoSpaceDE w:val="0"/>
        <w:autoSpaceDN w:val="0"/>
        <w:adjustRightInd w:val="0"/>
        <w:spacing w:line="480" w:lineRule="auto"/>
        <w:ind w:firstLine="616" w:firstLineChars="257"/>
        <w:rPr>
          <w:rFonts w:ascii="宋体" w:hAnsi="宋体"/>
          <w:color w:val="auto"/>
          <w:sz w:val="24"/>
          <w:szCs w:val="24"/>
        </w:rPr>
      </w:pPr>
    </w:p>
    <w:p w14:paraId="47304806">
      <w:pPr>
        <w:pStyle w:val="57"/>
        <w:spacing w:line="480" w:lineRule="auto"/>
        <w:ind w:firstLine="472" w:firstLineChars="225"/>
        <w:jc w:val="left"/>
        <w:rPr>
          <w:rFonts w:hAnsi="宋体"/>
          <w:color w:val="auto"/>
          <w:sz w:val="21"/>
          <w:szCs w:val="21"/>
          <w:u w:val="single"/>
        </w:rPr>
      </w:pPr>
      <w:r>
        <w:rPr>
          <w:rFonts w:hAnsi="宋体"/>
          <w:color w:val="auto"/>
          <w:sz w:val="21"/>
          <w:szCs w:val="21"/>
        </w:rPr>
        <w:t>单</w:t>
      </w:r>
      <w:r>
        <w:rPr>
          <w:rFonts w:hint="eastAsia" w:hAnsi="宋体"/>
          <w:color w:val="auto"/>
          <w:sz w:val="21"/>
          <w:szCs w:val="21"/>
        </w:rPr>
        <w:t>位名</w:t>
      </w:r>
      <w:r>
        <w:rPr>
          <w:rFonts w:hAnsi="宋体"/>
          <w:color w:val="auto"/>
          <w:sz w:val="21"/>
          <w:szCs w:val="21"/>
        </w:rPr>
        <w:t>称</w:t>
      </w:r>
      <w:r>
        <w:rPr>
          <w:rFonts w:hint="eastAsia" w:hAnsi="宋体"/>
          <w:color w:val="auto"/>
          <w:sz w:val="21"/>
          <w:szCs w:val="21"/>
        </w:rPr>
        <w:t xml:space="preserve">： </w:t>
      </w:r>
      <w:r>
        <w:rPr>
          <w:rFonts w:hAnsi="宋体"/>
          <w:color w:val="auto"/>
          <w:sz w:val="21"/>
          <w:szCs w:val="21"/>
        </w:rPr>
        <w:t xml:space="preserve"> </w:t>
      </w:r>
      <w:r>
        <w:rPr>
          <w:rFonts w:hAnsi="宋体"/>
          <w:color w:val="auto"/>
          <w:sz w:val="21"/>
          <w:szCs w:val="21"/>
          <w:u w:val="single"/>
        </w:rPr>
        <w:t xml:space="preserve">                         </w:t>
      </w:r>
    </w:p>
    <w:p w14:paraId="3FD11CA0">
      <w:pPr>
        <w:pStyle w:val="57"/>
        <w:spacing w:line="480" w:lineRule="auto"/>
        <w:ind w:firstLine="472" w:firstLineChars="225"/>
        <w:jc w:val="left"/>
        <w:rPr>
          <w:rFonts w:hAnsi="宋体"/>
          <w:color w:val="auto"/>
          <w:sz w:val="21"/>
          <w:szCs w:val="21"/>
          <w:u w:val="single"/>
        </w:rPr>
      </w:pPr>
      <w:r>
        <w:rPr>
          <w:rFonts w:hint="eastAsia" w:hAnsi="宋体"/>
          <w:color w:val="auto"/>
          <w:sz w:val="21"/>
          <w:szCs w:val="21"/>
        </w:rPr>
        <w:t xml:space="preserve">地址： </w:t>
      </w:r>
      <w:r>
        <w:rPr>
          <w:rFonts w:hAnsi="宋体"/>
          <w:color w:val="auto"/>
          <w:sz w:val="21"/>
          <w:szCs w:val="21"/>
          <w:u w:val="single"/>
        </w:rPr>
        <w:t xml:space="preserve">                          </w:t>
      </w:r>
    </w:p>
    <w:p w14:paraId="2B33B06F">
      <w:pPr>
        <w:pStyle w:val="57"/>
        <w:spacing w:line="480" w:lineRule="auto"/>
        <w:ind w:firstLine="472" w:firstLineChars="225"/>
        <w:jc w:val="left"/>
        <w:rPr>
          <w:rFonts w:hAnsi="宋体"/>
          <w:color w:val="auto"/>
          <w:sz w:val="21"/>
          <w:szCs w:val="21"/>
          <w:u w:val="single"/>
        </w:rPr>
      </w:pPr>
      <w:r>
        <w:rPr>
          <w:rFonts w:hint="eastAsia" w:hAnsi="宋体"/>
          <w:color w:val="auto"/>
          <w:sz w:val="21"/>
          <w:szCs w:val="21"/>
        </w:rPr>
        <w:t>姓名：</w:t>
      </w:r>
      <w:r>
        <w:rPr>
          <w:rFonts w:hint="eastAsia" w:hAnsi="宋体"/>
          <w:color w:val="auto"/>
          <w:sz w:val="21"/>
          <w:szCs w:val="21"/>
          <w:u w:val="single"/>
        </w:rPr>
        <w:t xml:space="preserve">      </w:t>
      </w:r>
      <w:r>
        <w:rPr>
          <w:rFonts w:hint="eastAsia" w:hAnsi="宋体"/>
          <w:color w:val="auto"/>
          <w:sz w:val="21"/>
          <w:szCs w:val="21"/>
        </w:rPr>
        <w:t xml:space="preserve"> 性</w:t>
      </w:r>
      <w:r>
        <w:rPr>
          <w:rFonts w:hAnsi="宋体"/>
          <w:color w:val="auto"/>
          <w:sz w:val="21"/>
          <w:szCs w:val="21"/>
        </w:rPr>
        <w:t>别</w:t>
      </w:r>
      <w:r>
        <w:rPr>
          <w:rFonts w:hint="eastAsia" w:hAnsi="宋体"/>
          <w:color w:val="auto"/>
          <w:sz w:val="21"/>
          <w:szCs w:val="21"/>
        </w:rPr>
        <w:t>：</w:t>
      </w:r>
      <w:r>
        <w:rPr>
          <w:rFonts w:hAnsi="宋体"/>
          <w:color w:val="auto"/>
          <w:sz w:val="21"/>
          <w:szCs w:val="21"/>
          <w:u w:val="single"/>
        </w:rPr>
        <w:t xml:space="preserve">      </w:t>
      </w:r>
      <w:r>
        <w:rPr>
          <w:rFonts w:hint="eastAsia" w:hAnsi="宋体"/>
          <w:color w:val="auto"/>
          <w:sz w:val="21"/>
          <w:szCs w:val="21"/>
        </w:rPr>
        <w:t xml:space="preserve">  年</w:t>
      </w:r>
      <w:r>
        <w:rPr>
          <w:rFonts w:hAnsi="宋体"/>
          <w:color w:val="auto"/>
          <w:sz w:val="21"/>
          <w:szCs w:val="21"/>
        </w:rPr>
        <w:t>龄</w:t>
      </w:r>
      <w:r>
        <w:rPr>
          <w:rFonts w:hint="eastAsia" w:hAnsi="宋体"/>
          <w:color w:val="auto"/>
          <w:sz w:val="21"/>
          <w:szCs w:val="21"/>
        </w:rPr>
        <w:t>：</w:t>
      </w:r>
      <w:r>
        <w:rPr>
          <w:rFonts w:hAnsi="宋体"/>
          <w:color w:val="auto"/>
          <w:sz w:val="21"/>
          <w:szCs w:val="21"/>
          <w:u w:val="single"/>
        </w:rPr>
        <w:t xml:space="preserve">            </w:t>
      </w:r>
      <w:r>
        <w:rPr>
          <w:rFonts w:hAnsi="宋体"/>
          <w:color w:val="auto"/>
          <w:sz w:val="21"/>
          <w:szCs w:val="21"/>
        </w:rPr>
        <w:t>职务</w:t>
      </w:r>
      <w:r>
        <w:rPr>
          <w:rFonts w:hint="eastAsia" w:hAnsi="宋体"/>
          <w:color w:val="auto"/>
          <w:sz w:val="21"/>
          <w:szCs w:val="21"/>
        </w:rPr>
        <w:t>：</w:t>
      </w:r>
      <w:r>
        <w:rPr>
          <w:rFonts w:hint="eastAsia" w:hAnsi="宋体"/>
          <w:color w:val="auto"/>
          <w:sz w:val="21"/>
          <w:szCs w:val="21"/>
          <w:u w:val="single"/>
        </w:rPr>
        <w:t xml:space="preserve">        </w:t>
      </w:r>
    </w:p>
    <w:p w14:paraId="26C7F5FB">
      <w:pPr>
        <w:pStyle w:val="57"/>
        <w:spacing w:line="480" w:lineRule="auto"/>
        <w:ind w:firstLine="472" w:firstLineChars="225"/>
        <w:jc w:val="left"/>
        <w:rPr>
          <w:rFonts w:hAnsi="宋体"/>
          <w:color w:val="auto"/>
          <w:sz w:val="21"/>
          <w:szCs w:val="21"/>
        </w:rPr>
      </w:pPr>
      <w:r>
        <w:rPr>
          <w:rFonts w:hint="eastAsia" w:hAnsi="宋体"/>
          <w:color w:val="auto"/>
          <w:sz w:val="21"/>
          <w:szCs w:val="21"/>
        </w:rPr>
        <w:t>本人系</w:t>
      </w:r>
      <w:r>
        <w:rPr>
          <w:rFonts w:hint="eastAsia" w:hAnsi="宋体"/>
          <w:color w:val="auto"/>
          <w:sz w:val="21"/>
          <w:szCs w:val="21"/>
          <w:u w:val="single"/>
        </w:rPr>
        <w:t xml:space="preserve">  </w:t>
      </w:r>
      <w:r>
        <w:rPr>
          <w:rFonts w:hint="eastAsia" w:hAnsi="宋体"/>
          <w:i/>
          <w:snapToGrid w:val="0"/>
          <w:color w:val="auto"/>
          <w:sz w:val="21"/>
          <w:szCs w:val="21"/>
          <w:u w:val="single"/>
        </w:rPr>
        <w:t>供应商名</w:t>
      </w:r>
      <w:r>
        <w:rPr>
          <w:rFonts w:hAnsi="宋体"/>
          <w:i/>
          <w:snapToGrid w:val="0"/>
          <w:color w:val="auto"/>
          <w:sz w:val="21"/>
          <w:szCs w:val="21"/>
          <w:u w:val="single"/>
        </w:rPr>
        <w:t>称</w:t>
      </w:r>
      <w:r>
        <w:rPr>
          <w:rFonts w:hint="eastAsia" w:hAnsi="宋体"/>
          <w:i/>
          <w:snapToGrid w:val="0"/>
          <w:color w:val="auto"/>
          <w:sz w:val="21"/>
          <w:szCs w:val="21"/>
          <w:u w:val="single"/>
        </w:rPr>
        <w:t xml:space="preserve">  </w:t>
      </w:r>
      <w:r>
        <w:rPr>
          <w:rFonts w:hint="eastAsia" w:hAnsi="宋体"/>
          <w:color w:val="auto"/>
          <w:sz w:val="21"/>
          <w:szCs w:val="21"/>
        </w:rPr>
        <w:t>的法定代表人（单位负责人）。就</w:t>
      </w:r>
      <w:r>
        <w:rPr>
          <w:rFonts w:hAnsi="宋体"/>
          <w:color w:val="auto"/>
          <w:sz w:val="21"/>
          <w:szCs w:val="21"/>
        </w:rPr>
        <w:t>参</w:t>
      </w:r>
      <w:r>
        <w:rPr>
          <w:rFonts w:hint="eastAsia" w:hAnsi="宋体"/>
          <w:color w:val="auto"/>
          <w:sz w:val="21"/>
          <w:szCs w:val="21"/>
        </w:rPr>
        <w:t>加贵方招</w:t>
      </w:r>
      <w:r>
        <w:rPr>
          <w:rFonts w:hAnsi="宋体"/>
          <w:color w:val="auto"/>
          <w:sz w:val="21"/>
          <w:szCs w:val="21"/>
        </w:rPr>
        <w:t>标编号为</w:t>
      </w:r>
      <w:r>
        <w:rPr>
          <w:rFonts w:hint="eastAsia" w:hAnsi="宋体"/>
          <w:color w:val="auto"/>
          <w:sz w:val="21"/>
          <w:szCs w:val="21"/>
          <w:u w:val="single"/>
        </w:rPr>
        <w:t xml:space="preserve">  </w:t>
      </w:r>
      <w:r>
        <w:rPr>
          <w:rFonts w:hAnsi="宋体"/>
          <w:i/>
          <w:color w:val="auto"/>
          <w:sz w:val="21"/>
          <w:szCs w:val="21"/>
          <w:u w:val="single"/>
        </w:rPr>
        <w:t>项目编号</w:t>
      </w:r>
      <w:r>
        <w:rPr>
          <w:rFonts w:hint="eastAsia" w:hAnsi="宋体"/>
          <w:i/>
          <w:color w:val="auto"/>
          <w:sz w:val="21"/>
          <w:szCs w:val="21"/>
          <w:u w:val="single"/>
        </w:rPr>
        <w:t xml:space="preserve"> </w:t>
      </w:r>
      <w:r>
        <w:rPr>
          <w:rFonts w:hint="eastAsia" w:hAnsi="宋体"/>
          <w:color w:val="auto"/>
          <w:sz w:val="21"/>
          <w:szCs w:val="21"/>
          <w:u w:val="single"/>
        </w:rPr>
        <w:t xml:space="preserve">  </w:t>
      </w:r>
      <w:r>
        <w:rPr>
          <w:rFonts w:hint="eastAsia" w:hAnsi="宋体"/>
          <w:color w:val="auto"/>
          <w:sz w:val="21"/>
          <w:szCs w:val="21"/>
        </w:rPr>
        <w:t>的</w:t>
      </w:r>
      <w:r>
        <w:rPr>
          <w:rFonts w:hint="eastAsia" w:hAnsi="宋体"/>
          <w:color w:val="auto"/>
          <w:sz w:val="21"/>
          <w:szCs w:val="21"/>
          <w:u w:val="single"/>
        </w:rPr>
        <w:t xml:space="preserve">  </w:t>
      </w:r>
      <w:r>
        <w:rPr>
          <w:rFonts w:hAnsi="宋体"/>
          <w:i/>
          <w:color w:val="auto"/>
          <w:sz w:val="21"/>
          <w:szCs w:val="21"/>
          <w:u w:val="single"/>
        </w:rPr>
        <w:t>项目</w:t>
      </w:r>
      <w:r>
        <w:rPr>
          <w:rFonts w:hint="eastAsia" w:hAnsi="宋体"/>
          <w:i/>
          <w:color w:val="auto"/>
          <w:sz w:val="21"/>
          <w:szCs w:val="21"/>
          <w:u w:val="single"/>
        </w:rPr>
        <w:t>名</w:t>
      </w:r>
      <w:r>
        <w:rPr>
          <w:rFonts w:hAnsi="宋体"/>
          <w:i/>
          <w:color w:val="auto"/>
          <w:sz w:val="21"/>
          <w:szCs w:val="21"/>
          <w:u w:val="single"/>
        </w:rPr>
        <w:t>称</w:t>
      </w:r>
      <w:r>
        <w:rPr>
          <w:rFonts w:hint="eastAsia" w:hAnsi="宋体"/>
          <w:i/>
          <w:color w:val="auto"/>
          <w:sz w:val="21"/>
          <w:szCs w:val="21"/>
          <w:u w:val="single"/>
        </w:rPr>
        <w:t xml:space="preserve"> </w:t>
      </w:r>
      <w:r>
        <w:rPr>
          <w:rFonts w:hint="eastAsia" w:hAnsi="宋体"/>
          <w:color w:val="auto"/>
          <w:sz w:val="21"/>
          <w:szCs w:val="21"/>
          <w:u w:val="single"/>
        </w:rPr>
        <w:t xml:space="preserve">   </w:t>
      </w:r>
      <w:r>
        <w:rPr>
          <w:rFonts w:hint="eastAsia" w:hAnsi="宋体"/>
          <w:color w:val="auto"/>
          <w:sz w:val="21"/>
          <w:szCs w:val="21"/>
        </w:rPr>
        <w:t>采购</w:t>
      </w:r>
      <w:r>
        <w:rPr>
          <w:rFonts w:hAnsi="宋体"/>
          <w:color w:val="auto"/>
          <w:sz w:val="21"/>
          <w:szCs w:val="21"/>
        </w:rPr>
        <w:t>项目</w:t>
      </w:r>
      <w:r>
        <w:rPr>
          <w:rFonts w:hint="eastAsia" w:hAnsi="宋体"/>
          <w:color w:val="auto"/>
          <w:sz w:val="21"/>
          <w:szCs w:val="21"/>
        </w:rPr>
        <w:t>的投标</w:t>
      </w:r>
      <w:r>
        <w:rPr>
          <w:rFonts w:hAnsi="宋体"/>
          <w:color w:val="auto"/>
          <w:sz w:val="21"/>
          <w:szCs w:val="21"/>
        </w:rPr>
        <w:t>报价</w:t>
      </w:r>
      <w:r>
        <w:rPr>
          <w:rFonts w:hint="eastAsia" w:hAnsi="宋体"/>
          <w:color w:val="auto"/>
          <w:sz w:val="21"/>
          <w:szCs w:val="21"/>
        </w:rPr>
        <w:t>，</w:t>
      </w:r>
      <w:r>
        <w:rPr>
          <w:rFonts w:hAnsi="宋体"/>
          <w:color w:val="auto"/>
          <w:sz w:val="21"/>
          <w:szCs w:val="21"/>
        </w:rPr>
        <w:t>签</w:t>
      </w:r>
      <w:r>
        <w:rPr>
          <w:rFonts w:hint="eastAsia" w:hAnsi="宋体"/>
          <w:color w:val="auto"/>
          <w:sz w:val="21"/>
          <w:szCs w:val="21"/>
        </w:rPr>
        <w:t>署上</w:t>
      </w:r>
      <w:r>
        <w:rPr>
          <w:rFonts w:hAnsi="宋体"/>
          <w:color w:val="auto"/>
          <w:sz w:val="21"/>
          <w:szCs w:val="21"/>
        </w:rPr>
        <w:t>述项目</w:t>
      </w:r>
      <w:r>
        <w:rPr>
          <w:rFonts w:hint="eastAsia" w:hAnsi="宋体"/>
          <w:color w:val="auto"/>
          <w:sz w:val="21"/>
          <w:szCs w:val="21"/>
        </w:rPr>
        <w:t>的投标文件及合同的</w:t>
      </w:r>
      <w:r>
        <w:rPr>
          <w:rFonts w:hAnsi="宋体"/>
          <w:color w:val="auto"/>
          <w:sz w:val="21"/>
          <w:szCs w:val="21"/>
        </w:rPr>
        <w:t>执</w:t>
      </w:r>
      <w:r>
        <w:rPr>
          <w:rFonts w:hint="eastAsia" w:hAnsi="宋体"/>
          <w:color w:val="auto"/>
          <w:sz w:val="21"/>
          <w:szCs w:val="21"/>
        </w:rPr>
        <w:t>行、完成、服</w:t>
      </w:r>
      <w:r>
        <w:rPr>
          <w:rFonts w:hAnsi="宋体"/>
          <w:color w:val="auto"/>
          <w:sz w:val="21"/>
          <w:szCs w:val="21"/>
        </w:rPr>
        <w:t>务</w:t>
      </w:r>
      <w:r>
        <w:rPr>
          <w:rFonts w:hint="eastAsia" w:hAnsi="宋体"/>
          <w:color w:val="auto"/>
          <w:sz w:val="21"/>
          <w:szCs w:val="21"/>
        </w:rPr>
        <w:t>和保修，</w:t>
      </w:r>
      <w:r>
        <w:rPr>
          <w:rFonts w:hAnsi="宋体"/>
          <w:color w:val="auto"/>
          <w:sz w:val="21"/>
          <w:szCs w:val="21"/>
        </w:rPr>
        <w:t>签</w:t>
      </w:r>
      <w:r>
        <w:rPr>
          <w:rFonts w:hint="eastAsia" w:hAnsi="宋体"/>
          <w:color w:val="auto"/>
          <w:sz w:val="21"/>
          <w:szCs w:val="21"/>
        </w:rPr>
        <w:t>署合同和</w:t>
      </w:r>
      <w:r>
        <w:rPr>
          <w:rFonts w:hAnsi="宋体"/>
          <w:color w:val="auto"/>
          <w:sz w:val="21"/>
          <w:szCs w:val="21"/>
        </w:rPr>
        <w:t>处</w:t>
      </w:r>
      <w:r>
        <w:rPr>
          <w:rFonts w:hint="eastAsia" w:hAnsi="宋体"/>
          <w:color w:val="auto"/>
          <w:sz w:val="21"/>
          <w:szCs w:val="21"/>
        </w:rPr>
        <w:t>理与之有</w:t>
      </w:r>
      <w:r>
        <w:rPr>
          <w:rFonts w:hAnsi="宋体"/>
          <w:color w:val="auto"/>
          <w:sz w:val="21"/>
          <w:szCs w:val="21"/>
        </w:rPr>
        <w:t>关的</w:t>
      </w:r>
      <w:r>
        <w:rPr>
          <w:rFonts w:hint="eastAsia" w:hAnsi="宋体"/>
          <w:color w:val="auto"/>
          <w:sz w:val="21"/>
          <w:szCs w:val="21"/>
        </w:rPr>
        <w:t>一切事</w:t>
      </w:r>
      <w:r>
        <w:rPr>
          <w:rFonts w:hAnsi="宋体"/>
          <w:color w:val="auto"/>
          <w:sz w:val="21"/>
          <w:szCs w:val="21"/>
        </w:rPr>
        <w:t>务</w:t>
      </w:r>
      <w:r>
        <w:rPr>
          <w:rFonts w:hint="eastAsia" w:hAnsi="宋体"/>
          <w:color w:val="auto"/>
          <w:sz w:val="21"/>
          <w:szCs w:val="21"/>
        </w:rPr>
        <w:t>。</w:t>
      </w:r>
    </w:p>
    <w:p w14:paraId="3D7956BC">
      <w:pPr>
        <w:pStyle w:val="57"/>
        <w:spacing w:line="480" w:lineRule="auto"/>
        <w:ind w:firstLine="472" w:firstLineChars="225"/>
        <w:jc w:val="left"/>
        <w:rPr>
          <w:rFonts w:hAnsi="宋体"/>
          <w:color w:val="auto"/>
          <w:sz w:val="21"/>
          <w:szCs w:val="21"/>
        </w:rPr>
      </w:pPr>
      <w:r>
        <w:rPr>
          <w:rFonts w:hint="eastAsia" w:hAnsi="宋体"/>
          <w:color w:val="auto"/>
          <w:sz w:val="21"/>
          <w:szCs w:val="21"/>
        </w:rPr>
        <w:t>特此</w:t>
      </w:r>
      <w:r>
        <w:rPr>
          <w:rFonts w:hAnsi="宋体"/>
          <w:color w:val="auto"/>
          <w:sz w:val="21"/>
          <w:szCs w:val="21"/>
        </w:rPr>
        <w:t>证</w:t>
      </w:r>
      <w:r>
        <w:rPr>
          <w:rFonts w:hint="eastAsia" w:hAnsi="宋体"/>
          <w:color w:val="auto"/>
          <w:sz w:val="21"/>
          <w:szCs w:val="21"/>
        </w:rPr>
        <w:t>明。</w:t>
      </w:r>
    </w:p>
    <w:p w14:paraId="03800CE5">
      <w:pPr>
        <w:pStyle w:val="57"/>
        <w:spacing w:line="480" w:lineRule="auto"/>
        <w:ind w:firstLine="472" w:firstLineChars="225"/>
        <w:jc w:val="left"/>
        <w:rPr>
          <w:rFonts w:hAnsi="宋体"/>
          <w:color w:val="auto"/>
          <w:sz w:val="21"/>
          <w:szCs w:val="21"/>
        </w:rPr>
      </w:pPr>
    </w:p>
    <w:p w14:paraId="2B2AC616">
      <w:pPr>
        <w:pStyle w:val="57"/>
        <w:spacing w:line="480" w:lineRule="auto"/>
        <w:ind w:firstLine="472" w:firstLineChars="225"/>
        <w:jc w:val="left"/>
        <w:rPr>
          <w:rFonts w:hAnsi="宋体"/>
          <w:color w:val="auto"/>
          <w:sz w:val="21"/>
          <w:szCs w:val="21"/>
        </w:rPr>
      </w:pPr>
    </w:p>
    <w:p w14:paraId="36E0D044">
      <w:pPr>
        <w:pStyle w:val="57"/>
        <w:spacing w:line="480" w:lineRule="auto"/>
        <w:ind w:left="-538" w:leftChars="-256" w:firstLine="539" w:firstLineChars="257"/>
        <w:jc w:val="center"/>
        <w:rPr>
          <w:rFonts w:hAnsi="宋体"/>
          <w:bCs/>
          <w:color w:val="auto"/>
          <w:sz w:val="21"/>
          <w:szCs w:val="21"/>
        </w:rPr>
      </w:pPr>
      <w:r>
        <w:rPr>
          <w:rFonts w:hint="eastAsia" w:hAnsi="宋体"/>
          <w:bCs/>
          <w:color w:val="auto"/>
          <w:sz w:val="21"/>
          <w:szCs w:val="21"/>
        </w:rPr>
        <w:t>【此</w:t>
      </w:r>
      <w:r>
        <w:rPr>
          <w:rFonts w:hAnsi="宋体"/>
          <w:bCs/>
          <w:color w:val="auto"/>
          <w:sz w:val="21"/>
          <w:szCs w:val="21"/>
        </w:rPr>
        <w:t>处请</w:t>
      </w:r>
      <w:r>
        <w:rPr>
          <w:rFonts w:hint="eastAsia" w:hAnsi="宋体"/>
          <w:bCs/>
          <w:color w:val="auto"/>
          <w:sz w:val="21"/>
          <w:szCs w:val="21"/>
        </w:rPr>
        <w:t>粘</w:t>
      </w:r>
      <w:r>
        <w:rPr>
          <w:rFonts w:hAnsi="宋体"/>
          <w:bCs/>
          <w:color w:val="auto"/>
          <w:sz w:val="21"/>
          <w:szCs w:val="21"/>
        </w:rPr>
        <w:t>贴</w:t>
      </w:r>
      <w:r>
        <w:rPr>
          <w:rFonts w:hint="eastAsia" w:hAnsi="宋体"/>
          <w:bCs/>
          <w:color w:val="auto"/>
          <w:sz w:val="21"/>
          <w:szCs w:val="21"/>
        </w:rPr>
        <w:t>法定代表人（单位负责人）身份</w:t>
      </w:r>
      <w:r>
        <w:rPr>
          <w:rFonts w:hAnsi="宋体"/>
          <w:bCs/>
          <w:color w:val="auto"/>
          <w:sz w:val="21"/>
          <w:szCs w:val="21"/>
        </w:rPr>
        <w:t>证复</w:t>
      </w:r>
      <w:r>
        <w:rPr>
          <w:rFonts w:hint="eastAsia" w:hAnsi="宋体"/>
          <w:bCs/>
          <w:color w:val="auto"/>
          <w:sz w:val="21"/>
          <w:szCs w:val="21"/>
        </w:rPr>
        <w:t>印件，需清晰反映身份证有效期限】</w:t>
      </w:r>
    </w:p>
    <w:p w14:paraId="1251C2FA">
      <w:pPr>
        <w:pStyle w:val="57"/>
        <w:spacing w:line="480" w:lineRule="auto"/>
        <w:ind w:left="-538" w:leftChars="-256" w:firstLine="539" w:firstLineChars="257"/>
        <w:jc w:val="center"/>
        <w:rPr>
          <w:rFonts w:hAnsi="宋体"/>
          <w:bCs/>
          <w:color w:val="auto"/>
          <w:sz w:val="21"/>
          <w:szCs w:val="21"/>
        </w:rPr>
      </w:pPr>
    </w:p>
    <w:p w14:paraId="53B3FA99">
      <w:pPr>
        <w:autoSpaceDE w:val="0"/>
        <w:autoSpaceDN w:val="0"/>
        <w:adjustRightInd w:val="0"/>
        <w:spacing w:line="360" w:lineRule="auto"/>
        <w:ind w:right="-11"/>
        <w:rPr>
          <w:rFonts w:ascii="宋体" w:hAnsi="宋体" w:cs="宋体"/>
          <w:color w:val="auto"/>
          <w:lang w:val="zh-CN"/>
        </w:rPr>
      </w:pPr>
    </w:p>
    <w:p w14:paraId="65BCB8F2">
      <w:pPr>
        <w:autoSpaceDE w:val="0"/>
        <w:autoSpaceDN w:val="0"/>
        <w:adjustRightInd w:val="0"/>
        <w:spacing w:line="360" w:lineRule="auto"/>
        <w:ind w:right="-11"/>
        <w:rPr>
          <w:rFonts w:ascii="宋体" w:hAnsi="宋体" w:cs="宋体"/>
          <w:color w:val="auto"/>
          <w:lang w:val="zh-CN"/>
        </w:rPr>
      </w:pPr>
    </w:p>
    <w:p w14:paraId="35702A98">
      <w:pPr>
        <w:autoSpaceDE w:val="0"/>
        <w:autoSpaceDN w:val="0"/>
        <w:adjustRightInd w:val="0"/>
        <w:spacing w:line="360" w:lineRule="auto"/>
        <w:ind w:right="-11"/>
        <w:rPr>
          <w:rFonts w:ascii="宋体" w:hAnsi="宋体" w:cs="宋体"/>
          <w:color w:val="auto"/>
          <w:lang w:val="zh-CN"/>
        </w:rPr>
      </w:pPr>
    </w:p>
    <w:p w14:paraId="1FA6CB68">
      <w:pPr>
        <w:spacing w:line="480" w:lineRule="auto"/>
        <w:ind w:firstLine="3937" w:firstLineChars="1875"/>
        <w:rPr>
          <w:rFonts w:ascii="宋体" w:hAnsi="宋体" w:cs="Arial"/>
          <w:color w:val="auto"/>
          <w:u w:val="single"/>
        </w:rPr>
      </w:pPr>
      <w:r>
        <w:rPr>
          <w:rFonts w:hint="eastAsia" w:ascii="宋体" w:hAnsi="宋体" w:cs="Arial"/>
          <w:color w:val="auto"/>
        </w:rPr>
        <w:t>供应商名称（并加盖公章）：</w:t>
      </w:r>
    </w:p>
    <w:p w14:paraId="6AB87A80">
      <w:pPr>
        <w:pStyle w:val="52"/>
        <w:spacing w:before="60" w:line="480" w:lineRule="auto"/>
        <w:ind w:firstLine="3937" w:firstLineChars="1875"/>
        <w:rPr>
          <w:rFonts w:ascii="宋体" w:hAnsi="宋体" w:cs="Arial"/>
          <w:color w:val="auto"/>
          <w:sz w:val="21"/>
          <w:szCs w:val="21"/>
        </w:rPr>
      </w:pPr>
      <w:r>
        <w:rPr>
          <w:rFonts w:hint="eastAsia" w:ascii="宋体" w:hAnsi="宋体" w:cs="Arial"/>
          <w:color w:val="auto"/>
          <w:sz w:val="21"/>
          <w:szCs w:val="21"/>
        </w:rPr>
        <w:t>签署日期：   年   月  日</w:t>
      </w:r>
    </w:p>
    <w:p w14:paraId="521DAB40">
      <w:pPr>
        <w:pStyle w:val="53"/>
        <w:spacing w:line="480" w:lineRule="auto"/>
        <w:rPr>
          <w:rFonts w:ascii="宋体" w:hAnsi="宋体" w:cs="Arial"/>
          <w:color w:val="auto"/>
          <w:sz w:val="21"/>
          <w:szCs w:val="21"/>
        </w:rPr>
      </w:pPr>
    </w:p>
    <w:p w14:paraId="400EB752">
      <w:pPr>
        <w:rPr>
          <w:color w:val="auto"/>
        </w:rPr>
      </w:pPr>
    </w:p>
    <w:p w14:paraId="21F8ACD6">
      <w:pPr>
        <w:spacing w:line="320" w:lineRule="exact"/>
        <w:ind w:firstLine="420" w:firstLineChars="200"/>
        <w:rPr>
          <w:rFonts w:ascii="宋体" w:hAnsi="宋体"/>
          <w:bCs/>
          <w:color w:val="auto"/>
          <w:kern w:val="12"/>
        </w:rPr>
      </w:pPr>
      <w:r>
        <w:rPr>
          <w:rFonts w:hint="eastAsia" w:ascii="宋体" w:hAnsi="宋体"/>
          <w:bCs/>
          <w:color w:val="auto"/>
          <w:kern w:val="12"/>
        </w:rPr>
        <w:t>说明：法定代表人（单位负责人）</w:t>
      </w:r>
      <w:r>
        <w:rPr>
          <w:rFonts w:ascii="宋体" w:hAnsi="宋体"/>
          <w:bCs/>
          <w:color w:val="auto"/>
          <w:kern w:val="12"/>
        </w:rPr>
        <w:t>参</w:t>
      </w:r>
      <w:r>
        <w:rPr>
          <w:rFonts w:hint="eastAsia" w:ascii="宋体" w:hAnsi="宋体"/>
          <w:bCs/>
          <w:color w:val="auto"/>
          <w:kern w:val="12"/>
        </w:rPr>
        <w:t>加本采购</w:t>
      </w:r>
      <w:r>
        <w:rPr>
          <w:rFonts w:ascii="宋体" w:hAnsi="宋体"/>
          <w:bCs/>
          <w:color w:val="auto"/>
          <w:kern w:val="12"/>
        </w:rPr>
        <w:t>项目</w:t>
      </w:r>
      <w:r>
        <w:rPr>
          <w:rFonts w:hint="eastAsia" w:ascii="宋体" w:hAnsi="宋体"/>
          <w:bCs/>
          <w:color w:val="auto"/>
          <w:kern w:val="12"/>
        </w:rPr>
        <w:t>投标的，</w:t>
      </w:r>
      <w:r>
        <w:rPr>
          <w:rFonts w:ascii="宋体" w:hAnsi="宋体"/>
          <w:bCs/>
          <w:color w:val="auto"/>
          <w:kern w:val="12"/>
        </w:rPr>
        <w:t>仅</w:t>
      </w:r>
      <w:r>
        <w:rPr>
          <w:rFonts w:hint="eastAsia" w:ascii="宋体" w:hAnsi="宋体"/>
          <w:bCs/>
          <w:color w:val="auto"/>
          <w:kern w:val="12"/>
        </w:rPr>
        <w:t>需出具此</w:t>
      </w:r>
      <w:r>
        <w:rPr>
          <w:rFonts w:ascii="宋体" w:hAnsi="宋体"/>
          <w:bCs/>
          <w:color w:val="auto"/>
          <w:kern w:val="12"/>
        </w:rPr>
        <w:t>证</w:t>
      </w:r>
      <w:r>
        <w:rPr>
          <w:rFonts w:hint="eastAsia" w:ascii="宋体" w:hAnsi="宋体"/>
          <w:bCs/>
          <w:color w:val="auto"/>
          <w:kern w:val="12"/>
        </w:rPr>
        <w:t>明</w:t>
      </w:r>
      <w:r>
        <w:rPr>
          <w:rFonts w:ascii="宋体" w:hAnsi="宋体"/>
          <w:bCs/>
          <w:color w:val="auto"/>
          <w:kern w:val="12"/>
        </w:rPr>
        <w:t>书</w:t>
      </w:r>
      <w:r>
        <w:rPr>
          <w:rFonts w:hint="eastAsia" w:ascii="宋体" w:hAnsi="宋体"/>
          <w:bCs/>
          <w:color w:val="auto"/>
          <w:kern w:val="12"/>
        </w:rPr>
        <w:t>。</w:t>
      </w:r>
    </w:p>
    <w:p w14:paraId="6F78AED2">
      <w:pPr>
        <w:spacing w:line="480" w:lineRule="exact"/>
        <w:jc w:val="center"/>
        <w:rPr>
          <w:rFonts w:ascii="宋体" w:hAnsi="宋体"/>
          <w:b/>
          <w:bCs/>
          <w:color w:val="auto"/>
          <w:sz w:val="36"/>
          <w:szCs w:val="36"/>
        </w:rPr>
      </w:pPr>
    </w:p>
    <w:p w14:paraId="68AF80A1">
      <w:pPr>
        <w:spacing w:line="480" w:lineRule="exact"/>
        <w:jc w:val="center"/>
        <w:outlineLvl w:val="2"/>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3.3 法定代表人（单位负责人）授权书</w:t>
      </w:r>
    </w:p>
    <w:p w14:paraId="2A2FAE02">
      <w:pPr>
        <w:spacing w:line="480" w:lineRule="exact"/>
        <w:jc w:val="center"/>
        <w:rPr>
          <w:rFonts w:ascii="宋体" w:hAnsi="宋体"/>
          <w:b/>
          <w:bCs/>
          <w:color w:val="auto"/>
          <w:sz w:val="36"/>
          <w:szCs w:val="36"/>
        </w:rPr>
      </w:pPr>
    </w:p>
    <w:p w14:paraId="322E637F">
      <w:pPr>
        <w:adjustRightInd w:val="0"/>
        <w:spacing w:line="360" w:lineRule="auto"/>
        <w:ind w:firstLine="436" w:firstLineChars="208"/>
        <w:contextualSpacing/>
        <w:rPr>
          <w:rFonts w:ascii="宋体" w:hAnsi="宋体" w:cs="Arial"/>
          <w:color w:val="auto"/>
        </w:rPr>
      </w:pPr>
      <w:r>
        <w:rPr>
          <w:rFonts w:hint="eastAsia" w:ascii="宋体" w:hAnsi="宋体"/>
          <w:color w:val="auto"/>
        </w:rPr>
        <w:t xml:space="preserve"> </w:t>
      </w:r>
      <w:r>
        <w:rPr>
          <w:rFonts w:hint="eastAsia" w:ascii="宋体" w:hAnsi="宋体" w:cs="Arial"/>
          <w:color w:val="auto"/>
        </w:rPr>
        <w:t>本人</w:t>
      </w:r>
      <w:r>
        <w:rPr>
          <w:rFonts w:hint="eastAsia" w:ascii="宋体" w:hAnsi="宋体" w:cs="Arial"/>
          <w:color w:val="auto"/>
          <w:u w:val="single"/>
        </w:rPr>
        <w:t xml:space="preserve">　 </w:t>
      </w:r>
      <w:r>
        <w:rPr>
          <w:rFonts w:hint="eastAsia" w:ascii="宋体" w:hAnsi="宋体"/>
          <w:i/>
          <w:snapToGrid w:val="0"/>
          <w:color w:val="auto"/>
          <w:u w:val="single"/>
        </w:rPr>
        <w:t>法人姓名</w:t>
      </w:r>
      <w:r>
        <w:rPr>
          <w:rFonts w:hint="eastAsia" w:ascii="宋体" w:hAnsi="宋体" w:cs="Arial"/>
          <w:color w:val="auto"/>
          <w:u w:val="single"/>
        </w:rPr>
        <w:t xml:space="preserve">  </w:t>
      </w:r>
      <w:r>
        <w:rPr>
          <w:rFonts w:hint="eastAsia" w:ascii="宋体" w:hAnsi="宋体" w:cs="Arial"/>
          <w:color w:val="auto"/>
        </w:rPr>
        <w:t>系</w:t>
      </w:r>
      <w:r>
        <w:rPr>
          <w:rFonts w:hint="eastAsia" w:ascii="宋体" w:hAnsi="宋体" w:cs="Arial"/>
          <w:color w:val="auto"/>
          <w:u w:val="single"/>
        </w:rPr>
        <w:t>　</w:t>
      </w:r>
      <w:r>
        <w:rPr>
          <w:rFonts w:hint="eastAsia" w:ascii="宋体" w:hAnsi="宋体"/>
          <w:i/>
          <w:snapToGrid w:val="0"/>
          <w:color w:val="auto"/>
          <w:u w:val="single"/>
        </w:rPr>
        <w:t xml:space="preserve">供应商名称  </w:t>
      </w:r>
      <w:r>
        <w:rPr>
          <w:rFonts w:hint="eastAsia" w:ascii="宋体" w:hAnsi="宋体" w:cs="Arial"/>
          <w:color w:val="auto"/>
          <w:u w:val="single"/>
        </w:rPr>
        <w:t xml:space="preserve"> </w:t>
      </w:r>
      <w:r>
        <w:rPr>
          <w:rFonts w:hint="eastAsia" w:ascii="宋体" w:hAnsi="宋体" w:cs="Arial"/>
          <w:color w:val="auto"/>
        </w:rPr>
        <w:t>的法定代表人（单位负责人），现委托</w:t>
      </w:r>
      <w:r>
        <w:rPr>
          <w:rFonts w:hint="eastAsia" w:ascii="宋体" w:hAnsi="宋体" w:cs="Arial"/>
          <w:color w:val="auto"/>
          <w:u w:val="single"/>
        </w:rPr>
        <w:t xml:space="preserve">　 </w:t>
      </w:r>
      <w:r>
        <w:rPr>
          <w:rFonts w:hint="eastAsia" w:ascii="宋体" w:hAnsi="宋体"/>
          <w:i/>
          <w:snapToGrid w:val="0"/>
          <w:color w:val="auto"/>
          <w:u w:val="single"/>
        </w:rPr>
        <w:t>姓名，职务</w:t>
      </w:r>
      <w:r>
        <w:rPr>
          <w:rFonts w:hint="eastAsia" w:ascii="宋体" w:hAnsi="宋体" w:cs="Arial"/>
          <w:color w:val="auto"/>
          <w:u w:val="single"/>
        </w:rPr>
        <w:t xml:space="preserve">    </w:t>
      </w:r>
      <w:r>
        <w:rPr>
          <w:rFonts w:hint="eastAsia" w:ascii="宋体" w:hAnsi="宋体" w:cs="Arial"/>
          <w:color w:val="auto"/>
        </w:rPr>
        <w:t>以我方的名义参加贵方______________________项目的投标活动，并代表我方全权办理针对上述项目的投标、开标、投标文件澄清、签约等一切具体事务和签署相关文件。</w:t>
      </w:r>
    </w:p>
    <w:p w14:paraId="264D2AEC">
      <w:pPr>
        <w:adjustRightInd w:val="0"/>
        <w:spacing w:line="360" w:lineRule="auto"/>
        <w:ind w:firstLine="436" w:firstLineChars="208"/>
        <w:contextualSpacing/>
        <w:rPr>
          <w:rFonts w:ascii="宋体" w:hAnsi="宋体" w:cs="Arial"/>
          <w:color w:val="auto"/>
        </w:rPr>
      </w:pPr>
      <w:r>
        <w:rPr>
          <w:rFonts w:hint="eastAsia" w:ascii="宋体" w:hAnsi="宋体" w:cs="Arial"/>
          <w:color w:val="auto"/>
        </w:rPr>
        <w:t>我方对被授权人的签名事项负全部责任。</w:t>
      </w:r>
    </w:p>
    <w:p w14:paraId="0589C5AD">
      <w:pPr>
        <w:adjustRightInd w:val="0"/>
        <w:spacing w:line="360" w:lineRule="auto"/>
        <w:ind w:firstLine="436" w:firstLineChars="208"/>
        <w:contextualSpacing/>
        <w:rPr>
          <w:rFonts w:ascii="宋体" w:hAnsi="宋体" w:cs="Arial"/>
          <w:color w:val="auto"/>
        </w:rPr>
      </w:pPr>
      <w:r>
        <w:rPr>
          <w:rFonts w:hint="eastAsia" w:ascii="宋体" w:hAnsi="宋体" w:cs="Arial"/>
          <w:color w:val="auto"/>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4FB9187C">
      <w:pPr>
        <w:adjustRightInd w:val="0"/>
        <w:spacing w:line="360" w:lineRule="auto"/>
        <w:ind w:firstLine="436" w:firstLineChars="208"/>
        <w:contextualSpacing/>
        <w:rPr>
          <w:rFonts w:ascii="宋体" w:hAnsi="宋体" w:cs="Arial"/>
          <w:color w:val="auto"/>
        </w:rPr>
      </w:pPr>
      <w:r>
        <w:rPr>
          <w:rFonts w:hint="eastAsia" w:ascii="宋体" w:hAnsi="宋体" w:cs="Arial"/>
          <w:color w:val="auto"/>
        </w:rPr>
        <w:t>被授权人无转委托权，特此委托。</w:t>
      </w:r>
    </w:p>
    <w:p w14:paraId="271C49FE">
      <w:pPr>
        <w:spacing w:line="480" w:lineRule="auto"/>
        <w:ind w:firstLine="420" w:firstLineChars="200"/>
        <w:rPr>
          <w:rFonts w:ascii="宋体" w:hAnsi="宋体"/>
          <w:color w:val="auto"/>
        </w:rPr>
      </w:pPr>
      <w:r>
        <w:rPr>
          <w:rFonts w:hint="eastAsia" w:ascii="宋体" w:hAnsi="宋体"/>
          <w:color w:val="auto"/>
        </w:rPr>
        <w:t xml:space="preserve">供应商名称： </w:t>
      </w:r>
      <w:r>
        <w:rPr>
          <w:rFonts w:hint="eastAsia" w:ascii="宋体" w:hAnsi="宋体"/>
          <w:color w:val="auto"/>
          <w:u w:val="single"/>
        </w:rPr>
        <w:t xml:space="preserve">       （全称）       </w:t>
      </w:r>
      <w:r>
        <w:rPr>
          <w:rFonts w:hint="eastAsia" w:ascii="宋体" w:hAnsi="宋体"/>
          <w:color w:val="auto"/>
        </w:rPr>
        <w:t xml:space="preserve"> （盖单位公章）</w:t>
      </w:r>
    </w:p>
    <w:p w14:paraId="3EF0E290">
      <w:pPr>
        <w:spacing w:line="480" w:lineRule="auto"/>
        <w:ind w:firstLine="420" w:firstLineChars="200"/>
        <w:rPr>
          <w:rFonts w:ascii="宋体" w:hAnsi="宋体" w:cs="Arial"/>
          <w:color w:val="auto"/>
        </w:rPr>
      </w:pPr>
      <w:r>
        <w:rPr>
          <w:rFonts w:hint="eastAsia" w:ascii="宋体" w:hAnsi="宋体" w:cs="Arial"/>
          <w:color w:val="auto"/>
        </w:rPr>
        <w:t>法定代表人（单位负责人）：</w:t>
      </w:r>
      <w:r>
        <w:rPr>
          <w:rFonts w:hint="eastAsia" w:ascii="宋体" w:hAnsi="宋体" w:cs="Arial"/>
          <w:color w:val="auto"/>
          <w:u w:val="single"/>
        </w:rPr>
        <w:t xml:space="preserve">              </w:t>
      </w:r>
      <w:r>
        <w:rPr>
          <w:rFonts w:hint="eastAsia" w:ascii="宋体" w:hAnsi="宋体" w:cs="Arial"/>
          <w:color w:val="auto"/>
        </w:rPr>
        <w:t>（签字或加盖名章）</w:t>
      </w:r>
    </w:p>
    <w:p w14:paraId="38175FB3">
      <w:pPr>
        <w:spacing w:line="480" w:lineRule="auto"/>
        <w:ind w:firstLine="420" w:firstLineChars="200"/>
        <w:rPr>
          <w:rFonts w:ascii="宋体" w:hAnsi="宋体"/>
          <w:color w:val="auto"/>
        </w:rPr>
      </w:pPr>
      <w:r>
        <w:rPr>
          <w:rFonts w:hint="eastAsia" w:ascii="宋体" w:hAnsi="宋体" w:cs="Arial"/>
          <w:color w:val="auto"/>
        </w:rPr>
        <w:t>法定代表人（单位负责人）</w:t>
      </w:r>
      <w:r>
        <w:rPr>
          <w:rFonts w:hint="eastAsia" w:ascii="宋体" w:hAnsi="宋体"/>
          <w:color w:val="auto"/>
        </w:rPr>
        <w:t xml:space="preserve">授权代表： </w:t>
      </w:r>
      <w:r>
        <w:rPr>
          <w:rFonts w:hint="eastAsia" w:ascii="宋体" w:hAnsi="宋体"/>
          <w:color w:val="auto"/>
          <w:u w:val="single"/>
        </w:rPr>
        <w:t xml:space="preserve">         </w:t>
      </w:r>
      <w:r>
        <w:rPr>
          <w:rFonts w:hint="eastAsia" w:ascii="宋体" w:hAnsi="宋体"/>
          <w:color w:val="auto"/>
        </w:rPr>
        <w:t xml:space="preserve"> （签字或加盖名章）</w:t>
      </w:r>
    </w:p>
    <w:tbl>
      <w:tblPr>
        <w:tblStyle w:val="30"/>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6F52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4DAE3BF3">
            <w:pPr>
              <w:jc w:val="center"/>
              <w:rPr>
                <w:rFonts w:ascii="宋体" w:hAnsi="宋体"/>
                <w:color w:val="auto"/>
              </w:rPr>
            </w:pPr>
            <w:r>
              <w:rPr>
                <w:rFonts w:hint="eastAsia" w:ascii="宋体" w:hAnsi="宋体"/>
                <w:color w:val="auto"/>
              </w:rPr>
              <w:t>法定代表人（单位负责人）身份证（正面）</w:t>
            </w:r>
          </w:p>
        </w:tc>
        <w:tc>
          <w:tcPr>
            <w:tcW w:w="4485" w:type="dxa"/>
            <w:gridSpan w:val="2"/>
            <w:vAlign w:val="center"/>
          </w:tcPr>
          <w:p w14:paraId="5D7D78D3">
            <w:pPr>
              <w:jc w:val="center"/>
              <w:rPr>
                <w:rFonts w:ascii="宋体" w:hAnsi="宋体"/>
                <w:color w:val="auto"/>
              </w:rPr>
            </w:pPr>
            <w:r>
              <w:rPr>
                <w:rFonts w:hint="eastAsia" w:ascii="宋体" w:hAnsi="宋体"/>
                <w:color w:val="auto"/>
              </w:rPr>
              <w:t>法定代表人（单位负责人）身份证（反面）</w:t>
            </w:r>
          </w:p>
        </w:tc>
      </w:tr>
      <w:tr w14:paraId="763F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2604EB50">
            <w:pPr>
              <w:jc w:val="center"/>
              <w:rPr>
                <w:rFonts w:ascii="宋体" w:hAnsi="宋体"/>
                <w:color w:val="auto"/>
              </w:rPr>
            </w:pPr>
            <w:r>
              <w:rPr>
                <w:rFonts w:hint="eastAsia" w:ascii="宋体" w:hAnsi="宋体"/>
                <w:color w:val="auto"/>
              </w:rPr>
              <w:t>法定代表人（单位负责人）授权代表身份证</w:t>
            </w:r>
          </w:p>
          <w:p w14:paraId="7937AD5C">
            <w:pPr>
              <w:jc w:val="center"/>
              <w:rPr>
                <w:rFonts w:ascii="宋体" w:hAnsi="宋体"/>
                <w:color w:val="auto"/>
              </w:rPr>
            </w:pPr>
            <w:r>
              <w:rPr>
                <w:rFonts w:hint="eastAsia" w:ascii="宋体" w:hAnsi="宋体"/>
                <w:color w:val="auto"/>
              </w:rPr>
              <w:t>（正面）</w:t>
            </w:r>
          </w:p>
        </w:tc>
        <w:tc>
          <w:tcPr>
            <w:tcW w:w="4492" w:type="dxa"/>
            <w:gridSpan w:val="2"/>
            <w:tcBorders>
              <w:left w:val="single" w:color="auto" w:sz="4" w:space="0"/>
            </w:tcBorders>
            <w:vAlign w:val="center"/>
          </w:tcPr>
          <w:p w14:paraId="26517A9F">
            <w:pPr>
              <w:jc w:val="center"/>
              <w:rPr>
                <w:rFonts w:ascii="宋体" w:hAnsi="宋体"/>
                <w:color w:val="auto"/>
              </w:rPr>
            </w:pPr>
            <w:r>
              <w:rPr>
                <w:rFonts w:hint="eastAsia" w:ascii="宋体" w:hAnsi="宋体"/>
                <w:color w:val="auto"/>
              </w:rPr>
              <w:t>法定代表人（单位负责人）授权代表身份证</w:t>
            </w:r>
          </w:p>
          <w:p w14:paraId="535D7813">
            <w:pPr>
              <w:jc w:val="center"/>
              <w:rPr>
                <w:rFonts w:ascii="宋体" w:hAnsi="宋体"/>
                <w:color w:val="auto"/>
              </w:rPr>
            </w:pPr>
            <w:r>
              <w:rPr>
                <w:rFonts w:hint="eastAsia" w:ascii="宋体" w:hAnsi="宋体"/>
                <w:color w:val="auto"/>
              </w:rPr>
              <w:t>（反面）</w:t>
            </w:r>
          </w:p>
        </w:tc>
      </w:tr>
    </w:tbl>
    <w:p w14:paraId="4EB1176D">
      <w:pPr>
        <w:spacing w:line="320" w:lineRule="exact"/>
        <w:ind w:left="2" w:firstLine="357" w:firstLineChars="149"/>
        <w:rPr>
          <w:rFonts w:ascii="宋体" w:hAnsi="宋体" w:cs="Courier New"/>
          <w:color w:val="auto"/>
          <w:sz w:val="24"/>
          <w:szCs w:val="24"/>
        </w:rPr>
      </w:pPr>
    </w:p>
    <w:bookmarkEnd w:id="32"/>
    <w:p w14:paraId="7EE3D1B1">
      <w:pPr>
        <w:widowControl/>
        <w:spacing w:before="100" w:beforeAutospacing="1" w:after="100" w:afterAutospacing="1" w:line="360" w:lineRule="auto"/>
        <w:rPr>
          <w:rFonts w:ascii="宋体" w:hAnsi="宋体"/>
          <w:b/>
          <w:bCs/>
          <w:color w:val="auto"/>
          <w:sz w:val="24"/>
          <w:szCs w:val="24"/>
        </w:rPr>
      </w:pPr>
    </w:p>
    <w:p w14:paraId="0472B37B">
      <w:pPr>
        <w:widowControl/>
        <w:spacing w:before="100" w:beforeAutospacing="1" w:after="100" w:afterAutospacing="1" w:line="360" w:lineRule="auto"/>
        <w:jc w:val="center"/>
        <w:outlineLvl w:val="2"/>
        <w:rPr>
          <w:rFonts w:ascii="宋体" w:hAnsi="宋体"/>
          <w:b/>
          <w:bCs/>
          <w:color w:val="auto"/>
          <w:sz w:val="24"/>
          <w:szCs w:val="24"/>
        </w:rPr>
      </w:pPr>
      <w:r>
        <w:rPr>
          <w:rFonts w:hint="eastAsia" w:ascii="宋体" w:hAnsi="宋体"/>
          <w:b/>
          <w:bCs/>
          <w:color w:val="auto"/>
          <w:sz w:val="24"/>
          <w:szCs w:val="24"/>
        </w:rPr>
        <w:t>3.4 投标承诺函</w:t>
      </w:r>
    </w:p>
    <w:p w14:paraId="620430F7">
      <w:pPr>
        <w:autoSpaceDE w:val="0"/>
        <w:autoSpaceDN w:val="0"/>
        <w:snapToGrid w:val="0"/>
        <w:spacing w:line="360" w:lineRule="auto"/>
        <w:jc w:val="center"/>
        <w:rPr>
          <w:rFonts w:ascii="宋体" w:hAnsi="宋体"/>
          <w:b/>
          <w:bCs/>
          <w:color w:val="auto"/>
          <w:sz w:val="24"/>
          <w:szCs w:val="24"/>
        </w:rPr>
      </w:pPr>
    </w:p>
    <w:p w14:paraId="345B8C4A">
      <w:pPr>
        <w:spacing w:before="162" w:beforeLines="50" w:after="162" w:afterLines="50" w:line="360" w:lineRule="auto"/>
        <w:contextualSpacing/>
        <w:rPr>
          <w:rFonts w:ascii="宋体" w:hAnsi="宋体" w:cs="宋体"/>
          <w:color w:val="auto"/>
          <w:sz w:val="20"/>
          <w:lang w:val="zh-CN"/>
        </w:rPr>
      </w:pPr>
      <w:r>
        <w:rPr>
          <w:rFonts w:hint="eastAsia" w:ascii="宋体" w:hAnsi="宋体" w:cs="仿宋_GB2312"/>
          <w:color w:val="auto"/>
          <w:sz w:val="22"/>
          <w:szCs w:val="32"/>
        </w:rPr>
        <w:t>致：</w:t>
      </w:r>
      <w:r>
        <w:rPr>
          <w:rFonts w:hint="eastAsia" w:ascii="宋体" w:hAnsi="宋体" w:cs="仿宋_GB2312"/>
          <w:color w:val="auto"/>
          <w:sz w:val="22"/>
          <w:szCs w:val="32"/>
          <w:u w:val="single"/>
        </w:rPr>
        <w:t>采购人</w:t>
      </w:r>
    </w:p>
    <w:p w14:paraId="4FBC7C34">
      <w:pPr>
        <w:spacing w:before="162" w:beforeLines="50" w:after="162" w:afterLines="50" w:line="360" w:lineRule="auto"/>
        <w:ind w:firstLine="420" w:firstLineChars="200"/>
        <w:contextualSpacing/>
        <w:rPr>
          <w:rFonts w:ascii="宋体" w:hAnsi="宋体" w:cs="宋体"/>
          <w:color w:val="auto"/>
          <w:lang w:val="zh-CN"/>
        </w:rPr>
      </w:pPr>
      <w:r>
        <w:rPr>
          <w:rFonts w:ascii="宋体" w:hAnsi="宋体" w:cs="宋体"/>
          <w:color w:val="auto"/>
          <w:lang w:val="zh-CN"/>
        </w:rPr>
        <w:t>经研究，我</w:t>
      </w:r>
      <w:r>
        <w:rPr>
          <w:rFonts w:hint="eastAsia" w:ascii="宋体" w:hAnsi="宋体" w:cs="宋体"/>
          <w:color w:val="auto"/>
          <w:lang w:val="zh-CN"/>
        </w:rPr>
        <w:t>方自愿参与贵方</w:t>
      </w:r>
      <w:r>
        <w:rPr>
          <w:rFonts w:ascii="宋体" w:hAnsi="宋体" w:cs="宋体"/>
          <w:color w:val="auto"/>
          <w:lang w:val="zh-CN"/>
        </w:rPr>
        <w:t>____年____月____日________</w:t>
      </w:r>
      <w:r>
        <w:rPr>
          <w:rFonts w:hint="eastAsia" w:ascii="宋体" w:hAnsi="宋体" w:cs="宋体"/>
          <w:i/>
          <w:color w:val="auto"/>
          <w:u w:val="single"/>
          <w:lang w:val="zh-CN"/>
        </w:rPr>
        <w:t>（招标编号、项目名称）</w:t>
      </w:r>
      <w:r>
        <w:rPr>
          <w:rFonts w:hint="eastAsia" w:ascii="宋体" w:hAnsi="宋体" w:cs="宋体"/>
          <w:color w:val="auto"/>
          <w:lang w:val="zh-CN"/>
        </w:rPr>
        <w:t>的</w:t>
      </w:r>
      <w:r>
        <w:rPr>
          <w:rFonts w:ascii="宋体" w:hAnsi="宋体" w:cs="宋体"/>
          <w:color w:val="auto"/>
          <w:lang w:val="zh-CN"/>
        </w:rPr>
        <w:t>投标，</w:t>
      </w:r>
      <w:r>
        <w:rPr>
          <w:rFonts w:hint="eastAsia" w:ascii="宋体" w:hAnsi="宋体" w:cs="宋体"/>
          <w:color w:val="auto"/>
          <w:lang w:val="zh-CN"/>
        </w:rPr>
        <w:t>将</w:t>
      </w:r>
      <w:r>
        <w:rPr>
          <w:rFonts w:ascii="宋体" w:hAnsi="宋体" w:cs="宋体"/>
          <w:color w:val="auto"/>
          <w:lang w:val="zh-CN"/>
        </w:rPr>
        <w:t>严格</w:t>
      </w:r>
      <w:r>
        <w:rPr>
          <w:rFonts w:hint="eastAsia" w:ascii="宋体" w:hAnsi="宋体" w:cs="宋体"/>
          <w:color w:val="auto"/>
          <w:lang w:val="zh-CN"/>
        </w:rPr>
        <w:t>遵守</w:t>
      </w:r>
      <w:r>
        <w:rPr>
          <w:rFonts w:ascii="宋体" w:hAnsi="宋体" w:cs="宋体"/>
          <w:color w:val="auto"/>
          <w:lang w:val="zh-CN"/>
        </w:rPr>
        <w:t>《</w:t>
      </w:r>
      <w:r>
        <w:rPr>
          <w:rFonts w:hint="eastAsia" w:ascii="宋体" w:hAnsi="宋体" w:cs="宋体"/>
          <w:color w:val="auto"/>
          <w:lang w:val="zh-CN"/>
        </w:rPr>
        <w:t>中华人民共和国政府采购</w:t>
      </w:r>
      <w:r>
        <w:rPr>
          <w:rFonts w:ascii="宋体" w:hAnsi="宋体" w:cs="宋体"/>
          <w:color w:val="auto"/>
          <w:lang w:val="zh-CN"/>
        </w:rPr>
        <w:t>法》等</w:t>
      </w:r>
      <w:r>
        <w:rPr>
          <w:rFonts w:hint="eastAsia" w:ascii="宋体" w:hAnsi="宋体" w:cs="宋体"/>
          <w:color w:val="auto"/>
          <w:lang w:val="zh-CN"/>
        </w:rPr>
        <w:t>相关</w:t>
      </w:r>
      <w:r>
        <w:rPr>
          <w:rFonts w:ascii="宋体" w:hAnsi="宋体" w:cs="宋体"/>
          <w:color w:val="auto"/>
          <w:lang w:val="zh-CN"/>
        </w:rPr>
        <w:t>法律法规</w:t>
      </w:r>
      <w:r>
        <w:rPr>
          <w:rFonts w:hint="eastAsia" w:ascii="宋体" w:hAnsi="宋体" w:cs="宋体"/>
          <w:color w:val="auto"/>
          <w:lang w:val="zh-CN"/>
        </w:rPr>
        <w:t>规定</w:t>
      </w:r>
      <w:r>
        <w:rPr>
          <w:rFonts w:ascii="宋体" w:hAnsi="宋体" w:cs="宋体"/>
          <w:color w:val="auto"/>
          <w:lang w:val="zh-CN"/>
        </w:rPr>
        <w:t>，并无条件地遵守本次采购活动各项规定。我们郑重承诺：</w:t>
      </w:r>
      <w:r>
        <w:rPr>
          <w:rFonts w:hint="eastAsia" w:ascii="宋体" w:hAnsi="宋体" w:cs="宋体"/>
          <w:color w:val="auto"/>
          <w:lang w:val="zh-CN"/>
        </w:rPr>
        <w:t>我方</w:t>
      </w:r>
      <w:r>
        <w:rPr>
          <w:rFonts w:ascii="宋体" w:hAnsi="宋体" w:cs="宋体"/>
          <w:color w:val="auto"/>
          <w:lang w:val="zh-CN"/>
        </w:rPr>
        <w:t>如果在本次</w:t>
      </w:r>
      <w:r>
        <w:rPr>
          <w:rFonts w:hint="eastAsia" w:ascii="宋体" w:hAnsi="宋体" w:cs="宋体"/>
          <w:color w:val="auto"/>
          <w:lang w:val="zh-CN"/>
        </w:rPr>
        <w:t>投标</w:t>
      </w:r>
      <w:r>
        <w:rPr>
          <w:rFonts w:ascii="宋体" w:hAnsi="宋体" w:cs="宋体"/>
          <w:color w:val="auto"/>
          <w:lang w:val="zh-CN"/>
        </w:rPr>
        <w:t>活动中有</w:t>
      </w:r>
      <w:r>
        <w:rPr>
          <w:rFonts w:hint="eastAsia" w:ascii="宋体" w:hAnsi="宋体" w:cs="宋体"/>
          <w:color w:val="auto"/>
          <w:lang w:val="zh-CN"/>
        </w:rPr>
        <w:t>下列</w:t>
      </w:r>
      <w:r>
        <w:rPr>
          <w:rFonts w:ascii="宋体" w:hAnsi="宋体" w:cs="宋体"/>
          <w:color w:val="auto"/>
          <w:lang w:val="zh-CN"/>
        </w:rPr>
        <w:t>情形</w:t>
      </w:r>
      <w:r>
        <w:rPr>
          <w:rFonts w:hint="eastAsia" w:ascii="宋体" w:hAnsi="宋体" w:cs="宋体"/>
          <w:color w:val="auto"/>
          <w:lang w:val="zh-CN"/>
        </w:rPr>
        <w:t>之一</w:t>
      </w:r>
      <w:r>
        <w:rPr>
          <w:rFonts w:ascii="宋体" w:hAnsi="宋体" w:cs="宋体"/>
          <w:color w:val="auto"/>
          <w:lang w:val="zh-CN"/>
        </w:rPr>
        <w:t>的，愿接受政府采购</w:t>
      </w:r>
      <w:r>
        <w:rPr>
          <w:rFonts w:hint="eastAsia" w:ascii="宋体" w:hAnsi="宋体" w:cs="宋体"/>
          <w:color w:val="auto"/>
          <w:lang w:val="zh-CN"/>
        </w:rPr>
        <w:t>监督管理</w:t>
      </w:r>
      <w:r>
        <w:rPr>
          <w:rFonts w:ascii="宋体" w:hAnsi="宋体" w:cs="宋体"/>
          <w:color w:val="auto"/>
          <w:lang w:val="zh-CN"/>
        </w:rPr>
        <w:t>部门给予相关处罚并</w:t>
      </w:r>
      <w:r>
        <w:rPr>
          <w:rFonts w:hint="eastAsia" w:ascii="宋体" w:hAnsi="宋体" w:cs="宋体"/>
          <w:color w:val="auto"/>
          <w:lang w:val="zh-CN"/>
        </w:rPr>
        <w:t>承诺依法</w:t>
      </w:r>
      <w:r>
        <w:rPr>
          <w:rFonts w:ascii="宋体" w:hAnsi="宋体" w:cs="宋体"/>
          <w:color w:val="auto"/>
          <w:lang w:val="zh-CN"/>
        </w:rPr>
        <w:t>承担</w:t>
      </w:r>
      <w:r>
        <w:rPr>
          <w:rFonts w:hint="eastAsia" w:ascii="宋体" w:hAnsi="宋体" w:cs="宋体"/>
          <w:color w:val="auto"/>
          <w:lang w:val="zh-CN"/>
        </w:rPr>
        <w:t>相关的经济赔偿责任和</w:t>
      </w:r>
      <w:r>
        <w:rPr>
          <w:rFonts w:ascii="宋体" w:hAnsi="宋体" w:cs="宋体"/>
          <w:color w:val="auto"/>
          <w:lang w:val="zh-CN"/>
        </w:rPr>
        <w:t>法律责任。</w:t>
      </w:r>
    </w:p>
    <w:p w14:paraId="4E82B21F">
      <w:pPr>
        <w:spacing w:before="162" w:beforeLines="50" w:after="162" w:afterLines="50" w:line="360" w:lineRule="auto"/>
        <w:ind w:firstLine="420" w:firstLineChars="200"/>
        <w:contextualSpacing/>
        <w:rPr>
          <w:rFonts w:ascii="宋体" w:hAnsi="宋体" w:cs="宋体"/>
          <w:color w:val="auto"/>
          <w:lang w:val="zh-CN"/>
        </w:rPr>
      </w:pPr>
      <w:r>
        <w:rPr>
          <w:rFonts w:hint="eastAsia" w:ascii="宋体" w:hAnsi="宋体" w:cs="宋体"/>
          <w:color w:val="auto"/>
          <w:lang w:val="zh-CN"/>
        </w:rPr>
        <w:t>一、在投标有效期内撤销投标文件；</w:t>
      </w:r>
    </w:p>
    <w:p w14:paraId="4E5E6065">
      <w:pPr>
        <w:spacing w:before="162" w:beforeLines="50" w:after="162" w:afterLines="50" w:line="360" w:lineRule="auto"/>
        <w:ind w:firstLine="420" w:firstLineChars="200"/>
        <w:contextualSpacing/>
        <w:rPr>
          <w:rFonts w:ascii="宋体" w:hAnsi="宋体" w:cs="宋体"/>
          <w:color w:val="auto"/>
          <w:lang w:val="zh-CN"/>
        </w:rPr>
      </w:pPr>
      <w:r>
        <w:rPr>
          <w:rFonts w:hint="eastAsia" w:ascii="宋体" w:hAnsi="宋体" w:cs="宋体"/>
          <w:color w:val="auto"/>
          <w:lang w:val="zh-CN"/>
        </w:rPr>
        <w:t>二、在投标文件中提供虚假材料；</w:t>
      </w:r>
    </w:p>
    <w:p w14:paraId="0C3624CF">
      <w:pPr>
        <w:spacing w:before="162" w:beforeLines="50" w:after="162" w:afterLines="50" w:line="360" w:lineRule="auto"/>
        <w:ind w:firstLine="420" w:firstLineChars="200"/>
        <w:contextualSpacing/>
        <w:rPr>
          <w:rFonts w:ascii="宋体" w:hAnsi="宋体" w:cs="宋体"/>
          <w:color w:val="auto"/>
          <w:lang w:val="zh-CN"/>
        </w:rPr>
      </w:pPr>
      <w:r>
        <w:rPr>
          <w:rFonts w:hint="eastAsia" w:ascii="宋体" w:hAnsi="宋体" w:cs="宋体"/>
          <w:color w:val="auto"/>
          <w:lang w:val="zh-CN"/>
        </w:rPr>
        <w:t>三、除因不可抗力或招标文件认可的情形以外，中标后不与采购人签订合同；</w:t>
      </w:r>
    </w:p>
    <w:p w14:paraId="1B101737">
      <w:pPr>
        <w:spacing w:before="162" w:beforeLines="50" w:after="162" w:afterLines="50" w:line="360" w:lineRule="auto"/>
        <w:ind w:firstLine="420" w:firstLineChars="200"/>
        <w:contextualSpacing/>
        <w:rPr>
          <w:rFonts w:ascii="宋体" w:hAnsi="宋体" w:cs="宋体"/>
          <w:color w:val="auto"/>
          <w:lang w:val="zh-CN"/>
        </w:rPr>
      </w:pPr>
      <w:r>
        <w:rPr>
          <w:rFonts w:hint="eastAsia" w:ascii="宋体" w:hAnsi="宋体" w:cs="宋体"/>
          <w:color w:val="auto"/>
          <w:lang w:val="zh-CN"/>
        </w:rPr>
        <w:t>四、与采购人、其他投标人或者采购代理机构恶意串通；</w:t>
      </w:r>
    </w:p>
    <w:p w14:paraId="6DF68C81">
      <w:pPr>
        <w:spacing w:before="162" w:beforeLines="50" w:after="162" w:afterLines="50" w:line="360" w:lineRule="auto"/>
        <w:ind w:firstLine="420" w:firstLineChars="200"/>
        <w:contextualSpacing/>
        <w:rPr>
          <w:rFonts w:ascii="宋体" w:hAnsi="宋体" w:cs="宋体"/>
          <w:color w:val="auto"/>
          <w:lang w:val="zh-CN"/>
        </w:rPr>
      </w:pPr>
      <w:r>
        <w:rPr>
          <w:rFonts w:hint="eastAsia" w:ascii="宋体" w:hAnsi="宋体" w:cs="宋体"/>
          <w:color w:val="auto"/>
          <w:lang w:val="zh-CN"/>
        </w:rPr>
        <w:t>五、法律法规及本招标文件规定的其他严重违法行为。</w:t>
      </w:r>
    </w:p>
    <w:p w14:paraId="68D9B3F5">
      <w:pPr>
        <w:rPr>
          <w:color w:val="auto"/>
          <w:sz w:val="28"/>
          <w:szCs w:val="28"/>
          <w:u w:val="single"/>
        </w:rPr>
      </w:pPr>
    </w:p>
    <w:p w14:paraId="78156090">
      <w:pPr>
        <w:rPr>
          <w:color w:val="auto"/>
          <w:sz w:val="28"/>
          <w:szCs w:val="28"/>
          <w:u w:val="single"/>
        </w:rPr>
      </w:pPr>
    </w:p>
    <w:p w14:paraId="03047524">
      <w:pPr>
        <w:spacing w:line="480" w:lineRule="auto"/>
        <w:ind w:firstLine="4357" w:firstLineChars="2075"/>
        <w:rPr>
          <w:rFonts w:ascii="宋体" w:hAnsi="宋体" w:cs="Arial"/>
          <w:color w:val="auto"/>
        </w:rPr>
      </w:pPr>
      <w:r>
        <w:rPr>
          <w:rFonts w:hint="eastAsia" w:ascii="宋体" w:hAnsi="宋体" w:cs="Arial"/>
          <w:color w:val="auto"/>
        </w:rPr>
        <w:t>投标人名称（并加盖公章）：　　　　　　　　　</w:t>
      </w:r>
    </w:p>
    <w:p w14:paraId="68104A19">
      <w:pPr>
        <w:spacing w:line="480" w:lineRule="auto"/>
        <w:ind w:firstLine="4357" w:firstLineChars="2075"/>
        <w:rPr>
          <w:rFonts w:ascii="宋体" w:hAnsi="宋体" w:cs="Arial"/>
          <w:color w:val="auto"/>
        </w:rPr>
      </w:pPr>
      <w:r>
        <w:rPr>
          <w:rFonts w:hint="eastAsia" w:ascii="宋体" w:hAnsi="宋体" w:cs="Arial"/>
          <w:color w:val="auto"/>
        </w:rPr>
        <w:t>日　  期：      年    月    日</w:t>
      </w:r>
    </w:p>
    <w:p w14:paraId="574D8A20">
      <w:pPr>
        <w:autoSpaceDE w:val="0"/>
        <w:autoSpaceDN w:val="0"/>
        <w:adjustRightInd w:val="0"/>
        <w:spacing w:line="360" w:lineRule="auto"/>
        <w:jc w:val="center"/>
        <w:rPr>
          <w:rFonts w:hAnsi="宋体"/>
          <w:b/>
          <w:snapToGrid w:val="0"/>
          <w:color w:val="auto"/>
          <w:kern w:val="0"/>
          <w:sz w:val="36"/>
          <w:szCs w:val="36"/>
        </w:rPr>
      </w:pPr>
    </w:p>
    <w:p w14:paraId="12FC68E6">
      <w:pPr>
        <w:autoSpaceDE w:val="0"/>
        <w:autoSpaceDN w:val="0"/>
        <w:adjustRightInd w:val="0"/>
        <w:spacing w:line="360" w:lineRule="auto"/>
        <w:jc w:val="center"/>
        <w:rPr>
          <w:rFonts w:ascii="宋体" w:cs="宋体"/>
          <w:color w:val="auto"/>
          <w:lang w:val="zh-CN"/>
        </w:rPr>
      </w:pPr>
    </w:p>
    <w:p w14:paraId="0EFBB5C6">
      <w:pPr>
        <w:autoSpaceDE w:val="0"/>
        <w:autoSpaceDN w:val="0"/>
        <w:adjustRightInd w:val="0"/>
        <w:spacing w:line="360" w:lineRule="auto"/>
        <w:jc w:val="center"/>
        <w:rPr>
          <w:rFonts w:ascii="宋体" w:cs="宋体"/>
          <w:color w:val="auto"/>
          <w:lang w:val="zh-CN"/>
        </w:rPr>
      </w:pPr>
    </w:p>
    <w:p w14:paraId="102AD5B2">
      <w:pPr>
        <w:autoSpaceDE w:val="0"/>
        <w:autoSpaceDN w:val="0"/>
        <w:adjustRightInd w:val="0"/>
        <w:spacing w:line="360" w:lineRule="auto"/>
        <w:jc w:val="center"/>
        <w:rPr>
          <w:rFonts w:ascii="宋体" w:cs="宋体"/>
          <w:color w:val="auto"/>
          <w:lang w:val="zh-CN"/>
        </w:rPr>
      </w:pPr>
    </w:p>
    <w:p w14:paraId="500B7E89">
      <w:pPr>
        <w:autoSpaceDE w:val="0"/>
        <w:autoSpaceDN w:val="0"/>
        <w:adjustRightInd w:val="0"/>
        <w:spacing w:line="360" w:lineRule="auto"/>
        <w:jc w:val="center"/>
        <w:rPr>
          <w:rFonts w:ascii="宋体" w:cs="宋体"/>
          <w:color w:val="auto"/>
          <w:lang w:val="zh-CN"/>
        </w:rPr>
      </w:pPr>
    </w:p>
    <w:p w14:paraId="4DFCC405">
      <w:pPr>
        <w:autoSpaceDE w:val="0"/>
        <w:autoSpaceDN w:val="0"/>
        <w:adjustRightInd w:val="0"/>
        <w:spacing w:line="360" w:lineRule="auto"/>
        <w:jc w:val="center"/>
        <w:rPr>
          <w:rFonts w:ascii="宋体" w:cs="宋体"/>
          <w:color w:val="auto"/>
          <w:lang w:val="zh-CN"/>
        </w:rPr>
      </w:pPr>
    </w:p>
    <w:p w14:paraId="4CA13E04">
      <w:pPr>
        <w:autoSpaceDE w:val="0"/>
        <w:autoSpaceDN w:val="0"/>
        <w:adjustRightInd w:val="0"/>
        <w:spacing w:line="360" w:lineRule="auto"/>
        <w:ind w:right="-11"/>
        <w:rPr>
          <w:rFonts w:ascii="宋体" w:cs="宋体"/>
          <w:color w:val="auto"/>
          <w:lang w:val="zh-CN"/>
        </w:rPr>
      </w:pPr>
    </w:p>
    <w:p w14:paraId="1BF33018">
      <w:pPr>
        <w:autoSpaceDE w:val="0"/>
        <w:autoSpaceDN w:val="0"/>
        <w:adjustRightInd w:val="0"/>
        <w:spacing w:line="360" w:lineRule="auto"/>
        <w:jc w:val="center"/>
        <w:rPr>
          <w:rFonts w:ascii="宋体" w:hAnsi="宋体" w:cs="宋体"/>
          <w:color w:val="auto"/>
          <w:sz w:val="24"/>
          <w:szCs w:val="24"/>
          <w:lang w:val="zh-CN"/>
        </w:rPr>
      </w:pPr>
    </w:p>
    <w:p w14:paraId="2D2F2E3A">
      <w:pPr>
        <w:autoSpaceDE w:val="0"/>
        <w:autoSpaceDN w:val="0"/>
        <w:adjustRightInd w:val="0"/>
        <w:spacing w:line="360" w:lineRule="auto"/>
        <w:jc w:val="center"/>
        <w:rPr>
          <w:rFonts w:ascii="宋体" w:hAnsi="宋体" w:cs="宋体"/>
          <w:color w:val="auto"/>
          <w:sz w:val="24"/>
          <w:szCs w:val="24"/>
          <w:lang w:val="zh-CN"/>
        </w:rPr>
      </w:pPr>
    </w:p>
    <w:p w14:paraId="65CC95D9">
      <w:pPr>
        <w:jc w:val="center"/>
        <w:outlineLvl w:val="2"/>
        <w:rPr>
          <w:rFonts w:ascii="方正小标宋简体" w:hAnsi="方正小标宋简体" w:eastAsia="方正小标宋简体" w:cs="方正小标宋简体"/>
          <w:color w:val="auto"/>
          <w:sz w:val="24"/>
          <w:szCs w:val="24"/>
        </w:rPr>
      </w:pPr>
      <w:r>
        <w:rPr>
          <w:rFonts w:ascii="宋体" w:hAnsi="宋体"/>
          <w:b/>
          <w:bCs/>
          <w:color w:val="auto"/>
          <w:sz w:val="24"/>
          <w:szCs w:val="24"/>
        </w:rPr>
        <w:br w:type="page"/>
      </w:r>
      <w:r>
        <w:rPr>
          <w:rFonts w:hint="eastAsia" w:ascii="宋体" w:hAnsi="宋体"/>
          <w:b/>
          <w:bCs/>
          <w:color w:val="auto"/>
          <w:sz w:val="24"/>
          <w:szCs w:val="24"/>
        </w:rPr>
        <w:t>3.5</w:t>
      </w:r>
      <w:r>
        <w:rPr>
          <w:rFonts w:hint="eastAsia" w:ascii="宋体" w:hAnsi="宋体" w:cs="方正小标宋简体"/>
          <w:b/>
          <w:color w:val="auto"/>
          <w:sz w:val="24"/>
          <w:szCs w:val="24"/>
        </w:rPr>
        <w:t>长葛市政府采购供应商信用承诺函</w:t>
      </w:r>
    </w:p>
    <w:p w14:paraId="3F6C48C9">
      <w:pPr>
        <w:rPr>
          <w:rFonts w:ascii="仿宋_GB2312" w:hAnsi="仿宋_GB2312" w:eastAsia="仿宋_GB2312" w:cs="仿宋_GB2312"/>
          <w:color w:val="auto"/>
          <w:sz w:val="32"/>
          <w:szCs w:val="32"/>
        </w:rPr>
      </w:pPr>
    </w:p>
    <w:p w14:paraId="7E66FAEF">
      <w:pPr>
        <w:spacing w:line="600" w:lineRule="exact"/>
        <w:rPr>
          <w:rFonts w:ascii="宋体" w:hAnsi="宋体" w:cs="仿宋_GB2312"/>
          <w:color w:val="auto"/>
          <w:sz w:val="24"/>
          <w:szCs w:val="32"/>
        </w:rPr>
      </w:pPr>
      <w:r>
        <w:rPr>
          <w:rFonts w:hint="eastAsia" w:ascii="宋体" w:hAnsi="宋体" w:cs="仿宋_GB2312"/>
          <w:color w:val="auto"/>
          <w:sz w:val="24"/>
          <w:szCs w:val="32"/>
        </w:rPr>
        <w:t>致</w:t>
      </w:r>
      <w:r>
        <w:rPr>
          <w:rFonts w:hint="eastAsia" w:ascii="宋体" w:hAnsi="宋体" w:cs="仿宋_GB2312"/>
          <w:color w:val="auto"/>
          <w:sz w:val="24"/>
          <w:szCs w:val="32"/>
          <w:u w:val="single"/>
        </w:rPr>
        <w:t>（采购人或采购代理机构）</w:t>
      </w:r>
      <w:r>
        <w:rPr>
          <w:rFonts w:hint="eastAsia" w:ascii="宋体" w:hAnsi="宋体" w:cs="仿宋_GB2312"/>
          <w:color w:val="auto"/>
          <w:sz w:val="24"/>
          <w:szCs w:val="32"/>
        </w:rPr>
        <w:t>：</w:t>
      </w:r>
    </w:p>
    <w:p w14:paraId="4BF089D4">
      <w:pPr>
        <w:spacing w:line="600" w:lineRule="exact"/>
        <w:ind w:firstLine="436" w:firstLineChars="200"/>
        <w:rPr>
          <w:rFonts w:ascii="宋体" w:hAnsi="宋体" w:cs="仿宋_GB2312"/>
          <w:color w:val="auto"/>
          <w:spacing w:val="-11"/>
          <w:sz w:val="24"/>
          <w:szCs w:val="32"/>
          <w:u w:val="single"/>
        </w:rPr>
      </w:pPr>
      <w:r>
        <w:rPr>
          <w:rFonts w:hint="eastAsia" w:ascii="宋体" w:hAnsi="宋体" w:cs="仿宋_GB2312"/>
          <w:color w:val="auto"/>
          <w:spacing w:val="-11"/>
          <w:sz w:val="24"/>
          <w:szCs w:val="32"/>
        </w:rPr>
        <w:t>单位名称（自然人姓名）:</w:t>
      </w:r>
      <w:r>
        <w:rPr>
          <w:rFonts w:hint="eastAsia" w:ascii="宋体" w:hAnsi="宋体" w:cs="仿宋_GB2312"/>
          <w:color w:val="auto"/>
          <w:spacing w:val="-11"/>
          <w:sz w:val="24"/>
          <w:szCs w:val="32"/>
          <w:u w:val="single"/>
        </w:rPr>
        <w:t xml:space="preserve">                             </w:t>
      </w:r>
    </w:p>
    <w:p w14:paraId="602150C6">
      <w:pPr>
        <w:spacing w:line="600" w:lineRule="exact"/>
        <w:ind w:firstLine="436" w:firstLineChars="200"/>
        <w:rPr>
          <w:rFonts w:ascii="宋体" w:hAnsi="宋体" w:cs="仿宋_GB2312"/>
          <w:color w:val="auto"/>
          <w:spacing w:val="-11"/>
          <w:sz w:val="24"/>
          <w:szCs w:val="32"/>
          <w:u w:val="single"/>
        </w:rPr>
      </w:pPr>
      <w:r>
        <w:rPr>
          <w:rFonts w:hint="eastAsia" w:ascii="宋体" w:hAnsi="宋体" w:cs="仿宋_GB2312"/>
          <w:color w:val="auto"/>
          <w:spacing w:val="-11"/>
          <w:sz w:val="24"/>
          <w:szCs w:val="32"/>
        </w:rPr>
        <w:t>统一社会信用代码（身份证号码）:</w:t>
      </w:r>
      <w:r>
        <w:rPr>
          <w:rFonts w:hint="eastAsia" w:ascii="宋体" w:hAnsi="宋体" w:cs="仿宋_GB2312"/>
          <w:color w:val="auto"/>
          <w:spacing w:val="-11"/>
          <w:sz w:val="24"/>
          <w:szCs w:val="32"/>
          <w:u w:val="single"/>
        </w:rPr>
        <w:t xml:space="preserve">                     </w:t>
      </w:r>
    </w:p>
    <w:p w14:paraId="5E87DAF3">
      <w:pPr>
        <w:spacing w:line="600" w:lineRule="exact"/>
        <w:ind w:firstLine="436" w:firstLineChars="200"/>
        <w:rPr>
          <w:rFonts w:ascii="宋体" w:hAnsi="宋体" w:cs="仿宋_GB2312"/>
          <w:color w:val="auto"/>
          <w:spacing w:val="-11"/>
          <w:sz w:val="24"/>
          <w:szCs w:val="32"/>
          <w:u w:val="single"/>
        </w:rPr>
      </w:pPr>
      <w:r>
        <w:rPr>
          <w:rFonts w:hint="eastAsia" w:ascii="宋体" w:hAnsi="宋体" w:cs="仿宋_GB2312"/>
          <w:color w:val="auto"/>
          <w:spacing w:val="-11"/>
          <w:sz w:val="24"/>
          <w:szCs w:val="32"/>
        </w:rPr>
        <w:t>法定代表人（负责人）:</w:t>
      </w:r>
      <w:r>
        <w:rPr>
          <w:rFonts w:hint="eastAsia" w:ascii="宋体" w:hAnsi="宋体" w:cs="仿宋_GB2312"/>
          <w:color w:val="auto"/>
          <w:spacing w:val="-11"/>
          <w:sz w:val="24"/>
          <w:szCs w:val="32"/>
          <w:u w:val="single"/>
        </w:rPr>
        <w:t xml:space="preserve">                               </w:t>
      </w:r>
    </w:p>
    <w:p w14:paraId="1B68B521">
      <w:pPr>
        <w:spacing w:line="600" w:lineRule="exact"/>
        <w:ind w:firstLine="436" w:firstLineChars="200"/>
        <w:rPr>
          <w:rFonts w:ascii="宋体" w:hAnsi="宋体" w:cs="仿宋_GB2312"/>
          <w:color w:val="auto"/>
          <w:spacing w:val="-11"/>
          <w:sz w:val="24"/>
          <w:szCs w:val="32"/>
          <w:u w:val="single"/>
        </w:rPr>
      </w:pPr>
      <w:r>
        <w:rPr>
          <w:rFonts w:hint="eastAsia" w:ascii="宋体" w:hAnsi="宋体" w:cs="仿宋_GB2312"/>
          <w:color w:val="auto"/>
          <w:spacing w:val="-11"/>
          <w:sz w:val="24"/>
          <w:szCs w:val="32"/>
        </w:rPr>
        <w:t>联系地址和电话：</w:t>
      </w:r>
      <w:r>
        <w:rPr>
          <w:rFonts w:hint="eastAsia" w:ascii="宋体" w:hAnsi="宋体" w:cs="仿宋_GB2312"/>
          <w:color w:val="auto"/>
          <w:spacing w:val="-11"/>
          <w:sz w:val="24"/>
          <w:szCs w:val="32"/>
          <w:u w:val="single"/>
        </w:rPr>
        <w:t xml:space="preserve">                                    </w:t>
      </w:r>
    </w:p>
    <w:p w14:paraId="7AC018B0">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为维护公平、公正、公开的政府采购市场秩序，树立诚实守信的政府采购供应商形象，我单位（本人）自愿作出以下承诺：</w:t>
      </w:r>
    </w:p>
    <w:p w14:paraId="3A9CD18B">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73344425">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（一）具有独立承担民事责任的能力；</w:t>
      </w:r>
    </w:p>
    <w:p w14:paraId="7D4842F5">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（二）具有良好的商业信誉和健全的财务会计制度；</w:t>
      </w:r>
    </w:p>
    <w:p w14:paraId="6B198A82">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（三）具有履行合同所必需的设备和专业技术能力；</w:t>
      </w:r>
    </w:p>
    <w:p w14:paraId="04EF1133">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（四）有依法缴纳税收和社会保障资金的良好记录；</w:t>
      </w:r>
    </w:p>
    <w:p w14:paraId="03677A89">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（五）参加政府采购活动前三年内，在经营活动中没有重大违法记录；</w:t>
      </w:r>
    </w:p>
    <w:p w14:paraId="5D3BF45E">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（六）未被列入经营异常名录或者严重违法失信名单、失信被执行人，重大税收违法案件当事人名单、政府采购严重违法失信行为记录名单；</w:t>
      </w:r>
    </w:p>
    <w:p w14:paraId="77A4DABE">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（七）未被相关监管部门作出行政处罚且尚在处罚有效期的；</w:t>
      </w:r>
    </w:p>
    <w:p w14:paraId="47F17ABE">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（八）未曾作出虚假采购承诺；</w:t>
      </w:r>
    </w:p>
    <w:p w14:paraId="74451096">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（九）符合法律、行政法规规定的其他条件。</w:t>
      </w:r>
    </w:p>
    <w:p w14:paraId="4CA58927">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二、我单位（本人）保证上述承诺事项的真实性。如有弄虚作假或其他违法违规行为，自愿按照规定将违背承诺行为作为失信行为记录到社会信用信息平台，并视同为“提供虚假材料谋取中标、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B5FEEA1">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供应商（电子章）:</w:t>
      </w:r>
    </w:p>
    <w:p w14:paraId="5FFFFBBF">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法定代表人、负责人、本人或授权代表（签字或电子印章）:</w:t>
      </w:r>
    </w:p>
    <w:p w14:paraId="470D5F82">
      <w:pPr>
        <w:spacing w:line="600" w:lineRule="exact"/>
        <w:ind w:firstLine="436" w:firstLineChars="200"/>
        <w:rPr>
          <w:rFonts w:ascii="宋体" w:hAnsi="宋体" w:cs="仿宋_GB2312"/>
          <w:color w:val="auto"/>
          <w:spacing w:val="-11"/>
          <w:sz w:val="24"/>
          <w:szCs w:val="32"/>
        </w:rPr>
      </w:pPr>
      <w:r>
        <w:rPr>
          <w:rFonts w:hint="eastAsia" w:ascii="宋体" w:hAnsi="宋体" w:cs="仿宋_GB2312"/>
          <w:color w:val="auto"/>
          <w:spacing w:val="-11"/>
          <w:sz w:val="24"/>
          <w:szCs w:val="32"/>
        </w:rPr>
        <w:t>日期：    年   月  日</w:t>
      </w:r>
    </w:p>
    <w:p w14:paraId="21F1C59B">
      <w:pPr>
        <w:rPr>
          <w:rFonts w:ascii="仿宋_GB2312" w:hAnsi="仿宋_GB2312" w:eastAsia="仿宋_GB2312" w:cs="仿宋_GB2312"/>
          <w:color w:val="auto"/>
          <w:sz w:val="32"/>
          <w:szCs w:val="32"/>
        </w:rPr>
      </w:pPr>
    </w:p>
    <w:p w14:paraId="0DA5866C">
      <w:pPr>
        <w:rPr>
          <w:rFonts w:ascii="华文仿宋" w:hAnsi="华文仿宋" w:eastAsia="华文仿宋" w:cs="华文仿宋"/>
          <w:color w:val="auto"/>
        </w:rPr>
      </w:pPr>
    </w:p>
    <w:p w14:paraId="12837C60">
      <w:pPr>
        <w:rPr>
          <w:rFonts w:ascii="宋体" w:hAnsi="宋体" w:cs="华文仿宋"/>
          <w:b/>
          <w:color w:val="auto"/>
          <w:sz w:val="22"/>
        </w:rPr>
      </w:pPr>
      <w:r>
        <w:rPr>
          <w:rFonts w:hint="eastAsia" w:ascii="宋体" w:hAnsi="宋体" w:cs="华文仿宋"/>
          <w:b/>
          <w:color w:val="auto"/>
          <w:sz w:val="22"/>
        </w:rPr>
        <w:t>注：1.投标人须在投标文件中按此模板提供承诺函，未提供视为未实质性响应招标文件要求，按无效投标处理。</w:t>
      </w:r>
    </w:p>
    <w:p w14:paraId="6AE16950">
      <w:pPr>
        <w:rPr>
          <w:rFonts w:ascii="宋体" w:hAnsi="宋体" w:cs="华文仿宋"/>
          <w:b/>
          <w:color w:val="auto"/>
          <w:sz w:val="22"/>
        </w:rPr>
      </w:pPr>
      <w:r>
        <w:rPr>
          <w:rFonts w:hint="eastAsia" w:ascii="宋体" w:hAnsi="宋体" w:cs="华文仿宋"/>
          <w:b/>
          <w:color w:val="auto"/>
          <w:sz w:val="22"/>
        </w:rPr>
        <w:t>2.投标人的法定代表人或者授权代表的签字或盖章应真实、有效，如由授权代表签字或盖章的，应提供“法定代表人授权书”。</w:t>
      </w:r>
    </w:p>
    <w:p w14:paraId="0A89036C">
      <w:pPr>
        <w:spacing w:line="360" w:lineRule="auto"/>
        <w:jc w:val="center"/>
        <w:rPr>
          <w:rFonts w:ascii="仿宋" w:hAnsi="仿宋" w:eastAsia="仿宋"/>
          <w:color w:val="auto"/>
          <w:sz w:val="32"/>
          <w:szCs w:val="32"/>
        </w:rPr>
      </w:pPr>
    </w:p>
    <w:p w14:paraId="1BC03640">
      <w:pPr>
        <w:rPr>
          <w:rFonts w:ascii="仿宋" w:hAnsi="仿宋" w:eastAsia="仿宋"/>
          <w:color w:val="auto"/>
          <w:sz w:val="32"/>
          <w:szCs w:val="32"/>
        </w:rPr>
      </w:pPr>
    </w:p>
    <w:p w14:paraId="3EC2EF4A">
      <w:pPr>
        <w:rPr>
          <w:rFonts w:ascii="仿宋" w:hAnsi="仿宋" w:eastAsia="仿宋"/>
          <w:color w:val="auto"/>
          <w:sz w:val="32"/>
          <w:szCs w:val="32"/>
        </w:rPr>
      </w:pPr>
    </w:p>
    <w:p w14:paraId="2AE46E13">
      <w:pPr>
        <w:rPr>
          <w:rFonts w:ascii="仿宋" w:hAnsi="仿宋" w:eastAsia="仿宋"/>
          <w:color w:val="auto"/>
          <w:sz w:val="32"/>
          <w:szCs w:val="32"/>
        </w:rPr>
      </w:pPr>
    </w:p>
    <w:p w14:paraId="5879BC5B">
      <w:pPr>
        <w:pStyle w:val="16"/>
        <w:rPr>
          <w:rFonts w:ascii="宋体" w:cs="宋体"/>
          <w:color w:val="auto"/>
          <w:sz w:val="24"/>
          <w:lang w:val="zh-CN"/>
        </w:rPr>
      </w:pPr>
    </w:p>
    <w:p w14:paraId="3A375580">
      <w:pPr>
        <w:pStyle w:val="16"/>
        <w:rPr>
          <w:rFonts w:ascii="宋体" w:cs="宋体"/>
          <w:color w:val="auto"/>
          <w:sz w:val="24"/>
          <w:lang w:val="zh-CN"/>
        </w:rPr>
      </w:pPr>
    </w:p>
    <w:p w14:paraId="20DF48F0">
      <w:pPr>
        <w:pStyle w:val="16"/>
        <w:rPr>
          <w:rFonts w:ascii="宋体" w:cs="宋体"/>
          <w:color w:val="auto"/>
          <w:sz w:val="24"/>
          <w:lang w:val="zh-CN"/>
        </w:rPr>
      </w:pPr>
    </w:p>
    <w:p w14:paraId="06CB9434">
      <w:pPr>
        <w:spacing w:line="360" w:lineRule="auto"/>
        <w:rPr>
          <w:rFonts w:ascii="宋体" w:hAnsi="宋体"/>
          <w:b/>
          <w:bCs/>
          <w:color w:val="auto"/>
          <w:sz w:val="24"/>
          <w:szCs w:val="24"/>
        </w:rPr>
      </w:pPr>
    </w:p>
    <w:p w14:paraId="7F1F83C6">
      <w:pPr>
        <w:spacing w:line="360" w:lineRule="auto"/>
        <w:jc w:val="center"/>
        <w:rPr>
          <w:rFonts w:ascii="宋体" w:hAnsi="宋体"/>
          <w:b/>
          <w:bCs/>
          <w:color w:val="auto"/>
          <w:sz w:val="24"/>
          <w:szCs w:val="24"/>
        </w:rPr>
      </w:pPr>
      <w:r>
        <w:rPr>
          <w:rFonts w:ascii="宋体" w:hAnsi="宋体"/>
          <w:b/>
          <w:bCs/>
          <w:color w:val="auto"/>
          <w:sz w:val="24"/>
          <w:szCs w:val="24"/>
        </w:rPr>
        <w:br w:type="page"/>
      </w:r>
    </w:p>
    <w:p w14:paraId="0BC256B1">
      <w:pPr>
        <w:spacing w:line="360" w:lineRule="auto"/>
        <w:jc w:val="center"/>
        <w:outlineLvl w:val="2"/>
        <w:rPr>
          <w:rFonts w:ascii="宋体" w:hAnsi="宋体"/>
          <w:b/>
          <w:bCs/>
          <w:color w:val="auto"/>
          <w:sz w:val="24"/>
          <w:szCs w:val="24"/>
        </w:rPr>
      </w:pPr>
      <w:r>
        <w:rPr>
          <w:rFonts w:hint="eastAsia" w:ascii="宋体" w:hAnsi="宋体"/>
          <w:b/>
          <w:bCs/>
          <w:color w:val="auto"/>
          <w:sz w:val="24"/>
          <w:szCs w:val="24"/>
        </w:rPr>
        <w:t>3.6投标人提供与参加本项目投标的其他供应商之间，单位负责人不为同一人并且不存在直接控股、管理关系承诺函</w:t>
      </w:r>
    </w:p>
    <w:p w14:paraId="2BE31CF4">
      <w:pPr>
        <w:spacing w:line="360" w:lineRule="auto"/>
        <w:jc w:val="center"/>
        <w:rPr>
          <w:rFonts w:ascii="宋体" w:hAnsi="宋体"/>
          <w:bCs/>
          <w:color w:val="auto"/>
          <w:sz w:val="24"/>
          <w:szCs w:val="24"/>
        </w:rPr>
      </w:pPr>
      <w:r>
        <w:rPr>
          <w:rFonts w:hint="eastAsia" w:ascii="宋体" w:hAnsi="宋体"/>
          <w:bCs/>
          <w:color w:val="auto"/>
          <w:sz w:val="24"/>
          <w:szCs w:val="24"/>
        </w:rPr>
        <w:t>（承诺函格式自拟）</w:t>
      </w:r>
    </w:p>
    <w:p w14:paraId="2199B933">
      <w:pPr>
        <w:autoSpaceDE w:val="0"/>
        <w:autoSpaceDN w:val="0"/>
        <w:adjustRightInd w:val="0"/>
        <w:spacing w:line="360" w:lineRule="auto"/>
        <w:jc w:val="center"/>
        <w:rPr>
          <w:rFonts w:ascii="宋体" w:hAnsi="宋体"/>
          <w:b/>
          <w:bCs/>
          <w:color w:val="auto"/>
          <w:sz w:val="24"/>
          <w:szCs w:val="24"/>
        </w:rPr>
      </w:pPr>
    </w:p>
    <w:p w14:paraId="28286DAB">
      <w:pPr>
        <w:rPr>
          <w:rFonts w:ascii="宋体" w:hAnsi="宋体"/>
          <w:b/>
          <w:bCs/>
          <w:color w:val="auto"/>
          <w:sz w:val="24"/>
          <w:szCs w:val="24"/>
        </w:rPr>
      </w:pPr>
      <w:r>
        <w:rPr>
          <w:rFonts w:hint="eastAsia" w:ascii="宋体" w:hAnsi="宋体"/>
          <w:b/>
          <w:bCs/>
          <w:color w:val="auto"/>
          <w:sz w:val="24"/>
          <w:szCs w:val="24"/>
        </w:rPr>
        <w:br w:type="page"/>
      </w:r>
    </w:p>
    <w:p w14:paraId="508A62D7">
      <w:pPr>
        <w:spacing w:line="360" w:lineRule="auto"/>
        <w:jc w:val="center"/>
        <w:outlineLvl w:val="2"/>
        <w:rPr>
          <w:rFonts w:ascii="宋体" w:hAnsi="宋体"/>
          <w:b/>
          <w:bCs/>
          <w:color w:val="auto"/>
          <w:sz w:val="24"/>
          <w:szCs w:val="24"/>
        </w:rPr>
      </w:pPr>
      <w:r>
        <w:rPr>
          <w:rFonts w:hint="eastAsia" w:ascii="宋体" w:hAnsi="宋体"/>
          <w:b/>
          <w:bCs/>
          <w:color w:val="auto"/>
          <w:sz w:val="24"/>
          <w:szCs w:val="24"/>
        </w:rPr>
        <w:t>3.7投标人提供未为本项目提供整体设计、规范编制或者项目管理、监理、检测等服务承诺函</w:t>
      </w:r>
    </w:p>
    <w:p w14:paraId="4DC23EF9">
      <w:pPr>
        <w:spacing w:line="360" w:lineRule="auto"/>
        <w:jc w:val="center"/>
        <w:rPr>
          <w:rFonts w:ascii="宋体" w:hAnsi="宋体"/>
          <w:bCs/>
          <w:color w:val="auto"/>
          <w:sz w:val="24"/>
          <w:szCs w:val="24"/>
        </w:rPr>
      </w:pPr>
      <w:r>
        <w:rPr>
          <w:rFonts w:hint="eastAsia" w:ascii="宋体" w:hAnsi="宋体"/>
          <w:bCs/>
          <w:color w:val="auto"/>
          <w:sz w:val="24"/>
          <w:szCs w:val="24"/>
        </w:rPr>
        <w:t>（承诺函格式自拟）</w:t>
      </w:r>
    </w:p>
    <w:p w14:paraId="0C6BB638">
      <w:pPr>
        <w:spacing w:line="360" w:lineRule="auto"/>
        <w:jc w:val="center"/>
        <w:rPr>
          <w:rFonts w:ascii="宋体" w:hAnsi="宋体"/>
          <w:bCs/>
          <w:color w:val="auto"/>
          <w:sz w:val="24"/>
          <w:szCs w:val="24"/>
        </w:rPr>
      </w:pPr>
    </w:p>
    <w:p w14:paraId="2F86BD8B">
      <w:pPr>
        <w:spacing w:line="360" w:lineRule="auto"/>
        <w:jc w:val="center"/>
        <w:rPr>
          <w:rFonts w:ascii="宋体" w:hAnsi="宋体"/>
          <w:bCs/>
          <w:color w:val="auto"/>
          <w:sz w:val="24"/>
          <w:szCs w:val="24"/>
        </w:rPr>
      </w:pPr>
    </w:p>
    <w:p w14:paraId="0D622627">
      <w:pPr>
        <w:spacing w:line="360" w:lineRule="auto"/>
        <w:jc w:val="center"/>
        <w:rPr>
          <w:rFonts w:ascii="宋体" w:hAnsi="宋体"/>
          <w:bCs/>
          <w:color w:val="auto"/>
          <w:sz w:val="24"/>
          <w:szCs w:val="24"/>
        </w:rPr>
      </w:pPr>
    </w:p>
    <w:p w14:paraId="45FC860A">
      <w:pPr>
        <w:spacing w:line="360" w:lineRule="auto"/>
        <w:jc w:val="center"/>
        <w:rPr>
          <w:rFonts w:ascii="宋体" w:hAnsi="宋体"/>
          <w:bCs/>
          <w:color w:val="auto"/>
          <w:sz w:val="24"/>
          <w:szCs w:val="24"/>
        </w:rPr>
      </w:pPr>
    </w:p>
    <w:p w14:paraId="09D1C916">
      <w:pPr>
        <w:spacing w:line="360" w:lineRule="auto"/>
        <w:jc w:val="center"/>
        <w:rPr>
          <w:rFonts w:ascii="宋体" w:hAnsi="宋体"/>
          <w:bCs/>
          <w:color w:val="auto"/>
          <w:sz w:val="24"/>
          <w:szCs w:val="24"/>
        </w:rPr>
      </w:pPr>
    </w:p>
    <w:p w14:paraId="74120AA0">
      <w:pPr>
        <w:spacing w:line="360" w:lineRule="auto"/>
        <w:jc w:val="center"/>
        <w:rPr>
          <w:rFonts w:ascii="宋体" w:hAnsi="宋体"/>
          <w:bCs/>
          <w:color w:val="auto"/>
          <w:sz w:val="24"/>
          <w:szCs w:val="24"/>
        </w:rPr>
      </w:pPr>
    </w:p>
    <w:p w14:paraId="5C72E54F">
      <w:pPr>
        <w:spacing w:line="360" w:lineRule="auto"/>
        <w:jc w:val="center"/>
        <w:rPr>
          <w:rFonts w:ascii="宋体" w:hAnsi="宋体"/>
          <w:bCs/>
          <w:color w:val="auto"/>
          <w:sz w:val="24"/>
          <w:szCs w:val="24"/>
        </w:rPr>
      </w:pPr>
    </w:p>
    <w:p w14:paraId="3B32FA26">
      <w:pPr>
        <w:spacing w:line="360" w:lineRule="auto"/>
        <w:jc w:val="center"/>
        <w:rPr>
          <w:rFonts w:ascii="宋体" w:hAnsi="宋体"/>
          <w:bCs/>
          <w:color w:val="auto"/>
          <w:sz w:val="24"/>
          <w:szCs w:val="24"/>
        </w:rPr>
      </w:pPr>
    </w:p>
    <w:p w14:paraId="3019346B">
      <w:pPr>
        <w:spacing w:line="360" w:lineRule="auto"/>
        <w:jc w:val="center"/>
        <w:rPr>
          <w:rFonts w:ascii="宋体" w:hAnsi="宋体"/>
          <w:bCs/>
          <w:color w:val="auto"/>
          <w:sz w:val="24"/>
          <w:szCs w:val="24"/>
        </w:rPr>
      </w:pPr>
    </w:p>
    <w:p w14:paraId="53C5E9FA">
      <w:pPr>
        <w:spacing w:line="360" w:lineRule="auto"/>
        <w:jc w:val="center"/>
        <w:rPr>
          <w:rFonts w:ascii="宋体" w:hAnsi="宋体"/>
          <w:bCs/>
          <w:color w:val="auto"/>
          <w:sz w:val="24"/>
          <w:szCs w:val="24"/>
        </w:rPr>
      </w:pPr>
    </w:p>
    <w:p w14:paraId="0496C51E">
      <w:pPr>
        <w:spacing w:line="360" w:lineRule="auto"/>
        <w:jc w:val="center"/>
        <w:rPr>
          <w:rFonts w:ascii="宋体" w:hAnsi="宋体"/>
          <w:bCs/>
          <w:color w:val="auto"/>
          <w:sz w:val="24"/>
          <w:szCs w:val="24"/>
        </w:rPr>
      </w:pPr>
    </w:p>
    <w:p w14:paraId="445E764E">
      <w:pPr>
        <w:spacing w:line="360" w:lineRule="auto"/>
        <w:jc w:val="center"/>
        <w:rPr>
          <w:rFonts w:ascii="宋体" w:hAnsi="宋体"/>
          <w:bCs/>
          <w:color w:val="auto"/>
          <w:sz w:val="24"/>
          <w:szCs w:val="24"/>
        </w:rPr>
      </w:pPr>
    </w:p>
    <w:p w14:paraId="533DF19B">
      <w:pPr>
        <w:spacing w:line="360" w:lineRule="auto"/>
        <w:jc w:val="center"/>
        <w:rPr>
          <w:rFonts w:ascii="宋体" w:hAnsi="宋体"/>
          <w:bCs/>
          <w:color w:val="auto"/>
          <w:sz w:val="24"/>
          <w:szCs w:val="24"/>
        </w:rPr>
      </w:pPr>
    </w:p>
    <w:p w14:paraId="7FD87584">
      <w:pPr>
        <w:spacing w:line="360" w:lineRule="auto"/>
        <w:jc w:val="center"/>
        <w:rPr>
          <w:rFonts w:ascii="宋体" w:hAnsi="宋体"/>
          <w:bCs/>
          <w:color w:val="auto"/>
          <w:sz w:val="24"/>
          <w:szCs w:val="24"/>
        </w:rPr>
      </w:pPr>
    </w:p>
    <w:p w14:paraId="2319D63C">
      <w:pPr>
        <w:spacing w:line="360" w:lineRule="auto"/>
        <w:jc w:val="center"/>
        <w:rPr>
          <w:rFonts w:ascii="宋体" w:hAnsi="宋体"/>
          <w:bCs/>
          <w:color w:val="auto"/>
          <w:sz w:val="24"/>
          <w:szCs w:val="24"/>
        </w:rPr>
      </w:pPr>
    </w:p>
    <w:p w14:paraId="309CB9E6">
      <w:pPr>
        <w:spacing w:line="360" w:lineRule="auto"/>
        <w:jc w:val="center"/>
        <w:rPr>
          <w:rFonts w:ascii="宋体" w:hAnsi="宋体"/>
          <w:bCs/>
          <w:color w:val="auto"/>
          <w:sz w:val="24"/>
          <w:szCs w:val="24"/>
        </w:rPr>
      </w:pPr>
    </w:p>
    <w:p w14:paraId="5787CA27">
      <w:pPr>
        <w:spacing w:line="360" w:lineRule="auto"/>
        <w:jc w:val="center"/>
        <w:rPr>
          <w:rFonts w:ascii="宋体" w:hAnsi="宋体"/>
          <w:bCs/>
          <w:color w:val="auto"/>
          <w:sz w:val="24"/>
          <w:szCs w:val="24"/>
        </w:rPr>
      </w:pPr>
    </w:p>
    <w:p w14:paraId="1C55AFB4">
      <w:pPr>
        <w:spacing w:line="360" w:lineRule="auto"/>
        <w:jc w:val="center"/>
        <w:rPr>
          <w:rFonts w:ascii="宋体" w:hAnsi="宋体"/>
          <w:bCs/>
          <w:color w:val="auto"/>
          <w:sz w:val="24"/>
          <w:szCs w:val="24"/>
        </w:rPr>
      </w:pPr>
    </w:p>
    <w:p w14:paraId="4131EBB4">
      <w:pPr>
        <w:spacing w:line="360" w:lineRule="auto"/>
        <w:jc w:val="center"/>
        <w:rPr>
          <w:rFonts w:ascii="宋体" w:hAnsi="宋体"/>
          <w:bCs/>
          <w:color w:val="auto"/>
          <w:sz w:val="24"/>
          <w:szCs w:val="24"/>
        </w:rPr>
      </w:pPr>
    </w:p>
    <w:p w14:paraId="514F838A">
      <w:pPr>
        <w:spacing w:line="360" w:lineRule="auto"/>
        <w:jc w:val="center"/>
        <w:rPr>
          <w:rFonts w:ascii="宋体" w:hAnsi="宋体"/>
          <w:bCs/>
          <w:color w:val="auto"/>
          <w:sz w:val="24"/>
          <w:szCs w:val="24"/>
        </w:rPr>
      </w:pPr>
    </w:p>
    <w:p w14:paraId="2650E19E">
      <w:pPr>
        <w:spacing w:line="360" w:lineRule="auto"/>
        <w:jc w:val="center"/>
        <w:rPr>
          <w:rFonts w:ascii="宋体" w:hAnsi="宋体"/>
          <w:bCs/>
          <w:color w:val="auto"/>
          <w:sz w:val="24"/>
          <w:szCs w:val="24"/>
        </w:rPr>
      </w:pPr>
    </w:p>
    <w:p w14:paraId="3099DC16">
      <w:pPr>
        <w:spacing w:line="360" w:lineRule="auto"/>
        <w:jc w:val="center"/>
        <w:rPr>
          <w:rFonts w:ascii="宋体" w:hAnsi="宋体"/>
          <w:bCs/>
          <w:color w:val="auto"/>
          <w:sz w:val="24"/>
          <w:szCs w:val="24"/>
        </w:rPr>
      </w:pPr>
    </w:p>
    <w:p w14:paraId="73E01A91">
      <w:pPr>
        <w:autoSpaceDE w:val="0"/>
        <w:autoSpaceDN w:val="0"/>
        <w:adjustRightInd w:val="0"/>
        <w:spacing w:line="360" w:lineRule="auto"/>
        <w:jc w:val="center"/>
        <w:rPr>
          <w:rFonts w:ascii="宋体" w:hAnsi="宋体"/>
          <w:b/>
          <w:bCs/>
          <w:color w:val="auto"/>
          <w:sz w:val="24"/>
          <w:szCs w:val="24"/>
        </w:rPr>
      </w:pPr>
    </w:p>
    <w:p w14:paraId="4BB90C64">
      <w:pPr>
        <w:autoSpaceDE w:val="0"/>
        <w:autoSpaceDN w:val="0"/>
        <w:adjustRightInd w:val="0"/>
        <w:spacing w:line="360" w:lineRule="auto"/>
        <w:jc w:val="center"/>
        <w:rPr>
          <w:rFonts w:ascii="宋体" w:hAnsi="宋体"/>
          <w:b/>
          <w:bCs/>
          <w:color w:val="auto"/>
          <w:sz w:val="24"/>
          <w:szCs w:val="24"/>
        </w:rPr>
      </w:pPr>
    </w:p>
    <w:p w14:paraId="52CF8FAF">
      <w:pPr>
        <w:autoSpaceDE w:val="0"/>
        <w:autoSpaceDN w:val="0"/>
        <w:adjustRightInd w:val="0"/>
        <w:spacing w:line="360" w:lineRule="auto"/>
        <w:rPr>
          <w:rFonts w:ascii="宋体" w:hAnsi="宋体"/>
          <w:b/>
          <w:bCs/>
          <w:color w:val="auto"/>
          <w:sz w:val="24"/>
          <w:szCs w:val="24"/>
        </w:rPr>
      </w:pPr>
    </w:p>
    <w:p w14:paraId="48ACC157">
      <w:pPr>
        <w:widowControl/>
        <w:jc w:val="center"/>
        <w:rPr>
          <w:rFonts w:ascii="宋体" w:hAnsi="宋体"/>
          <w:b/>
          <w:bCs/>
          <w:color w:val="auto"/>
          <w:sz w:val="24"/>
          <w:szCs w:val="24"/>
        </w:rPr>
      </w:pPr>
    </w:p>
    <w:p w14:paraId="3FA6AE69">
      <w:pPr>
        <w:widowControl/>
        <w:spacing w:before="100" w:beforeAutospacing="1" w:after="100" w:afterAutospacing="1" w:line="360" w:lineRule="auto"/>
        <w:jc w:val="center"/>
        <w:outlineLvl w:val="2"/>
        <w:rPr>
          <w:rFonts w:ascii="宋体" w:hAnsi="宋体" w:cs="宋体"/>
          <w:b/>
          <w:bCs/>
          <w:color w:val="auto"/>
          <w:sz w:val="24"/>
          <w:szCs w:val="24"/>
        </w:rPr>
      </w:pPr>
      <w:r>
        <w:rPr>
          <w:rFonts w:hint="eastAsia" w:ascii="宋体" w:hAnsi="宋体" w:cs="宋体"/>
          <w:b/>
          <w:bCs/>
          <w:color w:val="auto"/>
          <w:sz w:val="24"/>
          <w:szCs w:val="24"/>
        </w:rPr>
        <w:t>3.8没有重大违法记录的声明</w:t>
      </w:r>
    </w:p>
    <w:p w14:paraId="324C1CD7">
      <w:pPr>
        <w:spacing w:before="162" w:beforeLines="50" w:after="162" w:afterLines="50"/>
        <w:jc w:val="center"/>
        <w:rPr>
          <w:rFonts w:ascii="宋体" w:hAnsi="宋体" w:cs="宋体"/>
          <w:color w:val="auto"/>
          <w:kern w:val="0"/>
          <w:sz w:val="28"/>
          <w:szCs w:val="28"/>
        </w:rPr>
      </w:pPr>
      <w:r>
        <w:rPr>
          <w:rFonts w:hint="eastAsia" w:ascii="宋体" w:hAnsi="宋体" w:cs="宋体"/>
          <w:color w:val="auto"/>
          <w:kern w:val="0"/>
          <w:sz w:val="28"/>
          <w:szCs w:val="28"/>
        </w:rPr>
        <w:t>声　   明</w:t>
      </w:r>
    </w:p>
    <w:p w14:paraId="028B7EB6">
      <w:pPr>
        <w:spacing w:before="162" w:beforeLines="50" w:after="162" w:afterLines="50"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14:paraId="484D67E7">
      <w:pPr>
        <w:spacing w:before="162" w:beforeLines="50" w:after="162" w:afterLines="50"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特此声明。</w:t>
      </w:r>
    </w:p>
    <w:p w14:paraId="07CBEFDC">
      <w:pPr>
        <w:spacing w:before="162" w:beforeLines="50" w:after="162" w:afterLines="50" w:line="360" w:lineRule="auto"/>
        <w:ind w:firstLine="480" w:firstLineChars="200"/>
        <w:rPr>
          <w:rFonts w:ascii="宋体" w:hAnsi="宋体" w:cs="宋体"/>
          <w:color w:val="auto"/>
          <w:sz w:val="24"/>
          <w:szCs w:val="24"/>
          <w:lang w:val="zh-CN"/>
        </w:rPr>
      </w:pPr>
      <w:r>
        <w:rPr>
          <w:rFonts w:hint="eastAsia" w:ascii="宋体" w:hAnsi="宋体" w:cs="宋体"/>
          <w:color w:val="auto"/>
          <w:sz w:val="24"/>
          <w:szCs w:val="24"/>
          <w:lang w:val="zh-CN"/>
        </w:rPr>
        <w:t>本公司对上述声明的真实性负责。如有虚假，将依法承担相应责任。</w:t>
      </w:r>
    </w:p>
    <w:p w14:paraId="40FDDE45">
      <w:pPr>
        <w:spacing w:before="162" w:beforeLines="50" w:after="162" w:afterLines="50" w:line="360" w:lineRule="auto"/>
        <w:ind w:firstLine="559" w:firstLineChars="233"/>
        <w:rPr>
          <w:rFonts w:ascii="宋体" w:hAnsi="宋体" w:cs="宋体"/>
          <w:color w:val="auto"/>
          <w:sz w:val="24"/>
          <w:szCs w:val="24"/>
          <w:lang w:val="zh-CN"/>
        </w:rPr>
      </w:pPr>
    </w:p>
    <w:p w14:paraId="7728AC23">
      <w:pPr>
        <w:spacing w:before="162" w:beforeLines="50" w:after="162" w:afterLines="50" w:line="360" w:lineRule="auto"/>
        <w:ind w:right="420" w:firstLine="720" w:firstLineChars="300"/>
        <w:rPr>
          <w:rFonts w:ascii="宋体" w:hAnsi="宋体" w:cs="宋体"/>
          <w:color w:val="auto"/>
          <w:sz w:val="24"/>
          <w:szCs w:val="24"/>
          <w:lang w:val="zh-CN"/>
        </w:rPr>
      </w:pPr>
      <w:r>
        <w:rPr>
          <w:rFonts w:hint="eastAsia" w:ascii="宋体" w:hAnsi="宋体" w:cs="宋体"/>
          <w:color w:val="auto"/>
          <w:sz w:val="24"/>
          <w:szCs w:val="24"/>
          <w:lang w:val="zh-CN"/>
        </w:rPr>
        <w:t>单位名称（盖章）：</w:t>
      </w:r>
    </w:p>
    <w:p w14:paraId="24688951">
      <w:pPr>
        <w:spacing w:before="162" w:beforeLines="50" w:after="162" w:afterLines="50" w:line="360" w:lineRule="auto"/>
        <w:ind w:right="420" w:firstLine="4080" w:firstLineChars="1700"/>
        <w:rPr>
          <w:rFonts w:ascii="宋体" w:hAnsi="宋体" w:cs="宋体"/>
          <w:color w:val="auto"/>
          <w:sz w:val="24"/>
          <w:szCs w:val="24"/>
          <w:lang w:val="zh-CN"/>
        </w:rPr>
      </w:pPr>
      <w:r>
        <w:rPr>
          <w:rFonts w:hint="eastAsia" w:ascii="宋体" w:hAnsi="宋体" w:cs="宋体"/>
          <w:color w:val="auto"/>
          <w:sz w:val="24"/>
          <w:szCs w:val="24"/>
          <w:lang w:val="zh-CN"/>
        </w:rPr>
        <w:t xml:space="preserve">日    期： </w:t>
      </w:r>
      <w:r>
        <w:rPr>
          <w:rFonts w:hint="eastAsia" w:ascii="宋体" w:hAnsi="宋体" w:cs="宋体"/>
          <w:color w:val="auto"/>
          <w:sz w:val="24"/>
          <w:szCs w:val="24"/>
        </w:rPr>
        <w:t xml:space="preserve"> </w:t>
      </w:r>
      <w:r>
        <w:rPr>
          <w:rFonts w:hint="eastAsia" w:ascii="宋体" w:hAnsi="宋体" w:cs="宋体"/>
          <w:color w:val="auto"/>
          <w:sz w:val="24"/>
          <w:szCs w:val="24"/>
          <w:lang w:val="zh-CN"/>
        </w:rPr>
        <w:t xml:space="preserve"> </w:t>
      </w:r>
      <w:r>
        <w:rPr>
          <w:rFonts w:hint="eastAsia" w:ascii="宋体" w:hAnsi="宋体" w:cs="宋体"/>
          <w:color w:val="auto"/>
          <w:sz w:val="24"/>
          <w:szCs w:val="24"/>
        </w:rPr>
        <w:t>年    月    日</w:t>
      </w:r>
    </w:p>
    <w:p w14:paraId="5BE063A4">
      <w:pPr>
        <w:widowControl/>
        <w:jc w:val="center"/>
        <w:rPr>
          <w:rFonts w:ascii="宋体" w:hAnsi="宋体"/>
          <w:b/>
          <w:bCs/>
          <w:color w:val="auto"/>
          <w:sz w:val="24"/>
          <w:szCs w:val="24"/>
        </w:rPr>
      </w:pPr>
    </w:p>
    <w:p w14:paraId="6B8E69DC">
      <w:pPr>
        <w:widowControl/>
        <w:jc w:val="center"/>
        <w:rPr>
          <w:rFonts w:ascii="宋体" w:hAnsi="宋体"/>
          <w:b/>
          <w:bCs/>
          <w:color w:val="auto"/>
          <w:sz w:val="24"/>
          <w:szCs w:val="24"/>
        </w:rPr>
      </w:pPr>
    </w:p>
    <w:p w14:paraId="3E46B282">
      <w:pPr>
        <w:widowControl/>
        <w:jc w:val="center"/>
        <w:rPr>
          <w:rFonts w:ascii="宋体" w:hAnsi="宋体"/>
          <w:b/>
          <w:bCs/>
          <w:color w:val="auto"/>
          <w:sz w:val="24"/>
          <w:szCs w:val="24"/>
        </w:rPr>
      </w:pPr>
    </w:p>
    <w:p w14:paraId="0227D693">
      <w:pPr>
        <w:widowControl/>
        <w:jc w:val="center"/>
        <w:rPr>
          <w:rFonts w:ascii="宋体" w:hAnsi="宋体"/>
          <w:b/>
          <w:bCs/>
          <w:color w:val="auto"/>
          <w:sz w:val="24"/>
          <w:szCs w:val="24"/>
        </w:rPr>
      </w:pPr>
    </w:p>
    <w:p w14:paraId="56FBE171">
      <w:pPr>
        <w:widowControl/>
        <w:jc w:val="center"/>
        <w:rPr>
          <w:rFonts w:ascii="宋体" w:hAnsi="宋体"/>
          <w:b/>
          <w:bCs/>
          <w:color w:val="auto"/>
          <w:sz w:val="24"/>
          <w:szCs w:val="24"/>
        </w:rPr>
      </w:pPr>
    </w:p>
    <w:p w14:paraId="159E7D29">
      <w:pPr>
        <w:widowControl/>
        <w:jc w:val="center"/>
        <w:rPr>
          <w:rFonts w:ascii="宋体" w:hAnsi="宋体"/>
          <w:b/>
          <w:bCs/>
          <w:color w:val="auto"/>
          <w:sz w:val="24"/>
          <w:szCs w:val="24"/>
        </w:rPr>
      </w:pPr>
    </w:p>
    <w:p w14:paraId="610DAF77">
      <w:pPr>
        <w:widowControl/>
        <w:jc w:val="center"/>
        <w:rPr>
          <w:rFonts w:ascii="宋体" w:hAnsi="宋体"/>
          <w:b/>
          <w:bCs/>
          <w:color w:val="auto"/>
          <w:sz w:val="24"/>
          <w:szCs w:val="24"/>
        </w:rPr>
      </w:pPr>
    </w:p>
    <w:p w14:paraId="56260B7F">
      <w:pPr>
        <w:widowControl/>
        <w:jc w:val="center"/>
        <w:rPr>
          <w:rFonts w:ascii="宋体" w:hAnsi="宋体"/>
          <w:b/>
          <w:bCs/>
          <w:color w:val="auto"/>
          <w:sz w:val="24"/>
          <w:szCs w:val="24"/>
        </w:rPr>
      </w:pPr>
    </w:p>
    <w:p w14:paraId="0760C8DE">
      <w:pPr>
        <w:widowControl/>
        <w:jc w:val="center"/>
        <w:rPr>
          <w:rFonts w:ascii="宋体" w:hAnsi="宋体"/>
          <w:b/>
          <w:bCs/>
          <w:color w:val="auto"/>
          <w:sz w:val="24"/>
          <w:szCs w:val="24"/>
        </w:rPr>
      </w:pPr>
    </w:p>
    <w:p w14:paraId="51F1C560">
      <w:pPr>
        <w:widowControl/>
        <w:jc w:val="center"/>
        <w:rPr>
          <w:rFonts w:ascii="宋体" w:hAnsi="宋体"/>
          <w:b/>
          <w:bCs/>
          <w:color w:val="auto"/>
          <w:sz w:val="24"/>
          <w:szCs w:val="24"/>
        </w:rPr>
      </w:pPr>
    </w:p>
    <w:p w14:paraId="3E809B87">
      <w:pPr>
        <w:widowControl/>
        <w:jc w:val="center"/>
        <w:rPr>
          <w:rFonts w:ascii="宋体" w:hAnsi="宋体"/>
          <w:b/>
          <w:bCs/>
          <w:color w:val="auto"/>
          <w:sz w:val="24"/>
          <w:szCs w:val="24"/>
        </w:rPr>
      </w:pPr>
    </w:p>
    <w:p w14:paraId="2958B49C">
      <w:pPr>
        <w:widowControl/>
        <w:jc w:val="center"/>
        <w:rPr>
          <w:rFonts w:ascii="宋体" w:hAnsi="宋体"/>
          <w:b/>
          <w:bCs/>
          <w:color w:val="auto"/>
          <w:sz w:val="24"/>
          <w:szCs w:val="24"/>
        </w:rPr>
      </w:pPr>
    </w:p>
    <w:p w14:paraId="470AAD87">
      <w:pPr>
        <w:widowControl/>
        <w:jc w:val="center"/>
        <w:rPr>
          <w:rFonts w:ascii="宋体" w:hAnsi="宋体"/>
          <w:b/>
          <w:bCs/>
          <w:color w:val="auto"/>
          <w:sz w:val="24"/>
          <w:szCs w:val="24"/>
        </w:rPr>
      </w:pPr>
    </w:p>
    <w:p w14:paraId="32495F0C">
      <w:pPr>
        <w:widowControl/>
        <w:jc w:val="center"/>
        <w:rPr>
          <w:rFonts w:ascii="宋体" w:hAnsi="宋体"/>
          <w:b/>
          <w:bCs/>
          <w:color w:val="auto"/>
          <w:sz w:val="24"/>
          <w:szCs w:val="24"/>
        </w:rPr>
      </w:pPr>
    </w:p>
    <w:p w14:paraId="44FD377C">
      <w:pPr>
        <w:widowControl/>
        <w:jc w:val="center"/>
        <w:rPr>
          <w:rFonts w:ascii="宋体" w:hAnsi="宋体"/>
          <w:b/>
          <w:bCs/>
          <w:color w:val="auto"/>
          <w:sz w:val="24"/>
          <w:szCs w:val="24"/>
        </w:rPr>
      </w:pPr>
    </w:p>
    <w:p w14:paraId="59C95857">
      <w:pPr>
        <w:widowControl/>
        <w:jc w:val="center"/>
        <w:rPr>
          <w:rFonts w:ascii="宋体" w:hAnsi="宋体"/>
          <w:b/>
          <w:bCs/>
          <w:color w:val="auto"/>
          <w:sz w:val="24"/>
          <w:szCs w:val="24"/>
        </w:rPr>
      </w:pPr>
    </w:p>
    <w:p w14:paraId="3FE94129">
      <w:pPr>
        <w:widowControl/>
        <w:jc w:val="center"/>
        <w:rPr>
          <w:rFonts w:ascii="宋体" w:hAnsi="宋体"/>
          <w:b/>
          <w:bCs/>
          <w:color w:val="auto"/>
          <w:sz w:val="24"/>
          <w:szCs w:val="24"/>
        </w:rPr>
      </w:pPr>
    </w:p>
    <w:p w14:paraId="621A193D">
      <w:pPr>
        <w:widowControl/>
        <w:jc w:val="center"/>
        <w:rPr>
          <w:rFonts w:ascii="宋体" w:hAnsi="宋体"/>
          <w:b/>
          <w:bCs/>
          <w:color w:val="auto"/>
          <w:sz w:val="24"/>
          <w:szCs w:val="24"/>
        </w:rPr>
      </w:pPr>
    </w:p>
    <w:p w14:paraId="7BDE41FB">
      <w:pPr>
        <w:widowControl/>
        <w:jc w:val="center"/>
        <w:rPr>
          <w:rFonts w:ascii="宋体" w:hAnsi="宋体"/>
          <w:b/>
          <w:bCs/>
          <w:color w:val="auto"/>
          <w:sz w:val="24"/>
          <w:szCs w:val="24"/>
        </w:rPr>
      </w:pPr>
    </w:p>
    <w:p w14:paraId="5F197C4F">
      <w:pPr>
        <w:widowControl/>
        <w:jc w:val="center"/>
        <w:rPr>
          <w:rFonts w:ascii="宋体" w:hAnsi="宋体"/>
          <w:b/>
          <w:bCs/>
          <w:color w:val="auto"/>
          <w:sz w:val="24"/>
          <w:szCs w:val="24"/>
        </w:rPr>
      </w:pPr>
    </w:p>
    <w:p w14:paraId="0234140F">
      <w:pPr>
        <w:widowControl/>
        <w:jc w:val="center"/>
        <w:rPr>
          <w:rFonts w:ascii="宋体" w:hAnsi="宋体"/>
          <w:b/>
          <w:bCs/>
          <w:color w:val="auto"/>
          <w:sz w:val="24"/>
          <w:szCs w:val="24"/>
        </w:rPr>
      </w:pPr>
    </w:p>
    <w:p w14:paraId="6F804362">
      <w:pPr>
        <w:widowControl/>
        <w:jc w:val="center"/>
        <w:rPr>
          <w:rFonts w:ascii="宋体" w:hAnsi="宋体"/>
          <w:b/>
          <w:bCs/>
          <w:color w:val="auto"/>
          <w:sz w:val="24"/>
          <w:szCs w:val="24"/>
        </w:rPr>
      </w:pPr>
    </w:p>
    <w:p w14:paraId="023F04B8">
      <w:pPr>
        <w:widowControl/>
        <w:rPr>
          <w:rFonts w:ascii="宋体" w:hAnsi="宋体"/>
          <w:b/>
          <w:bCs/>
          <w:color w:val="auto"/>
          <w:sz w:val="24"/>
          <w:szCs w:val="24"/>
        </w:rPr>
      </w:pPr>
    </w:p>
    <w:p w14:paraId="6023E5BD">
      <w:pPr>
        <w:pStyle w:val="4"/>
        <w:spacing w:line="460" w:lineRule="exact"/>
        <w:ind w:left="858" w:firstLine="138"/>
        <w:jc w:val="center"/>
        <w:rPr>
          <w:rFonts w:ascii="宋体" w:hAnsi="宋体" w:cs="Calibri"/>
          <w:bCs/>
          <w:color w:val="auto"/>
          <w:sz w:val="24"/>
        </w:rPr>
      </w:pPr>
      <w:r>
        <w:rPr>
          <w:rFonts w:hint="eastAsia" w:ascii="宋体" w:hAnsi="宋体" w:cs="Calibri"/>
          <w:bCs/>
          <w:color w:val="auto"/>
          <w:sz w:val="24"/>
        </w:rPr>
        <w:t>3.9联合体协议书</w:t>
      </w:r>
    </w:p>
    <w:p w14:paraId="78010C0B">
      <w:pPr>
        <w:topLinePunct/>
        <w:spacing w:line="460" w:lineRule="exact"/>
        <w:ind w:left="210" w:leftChars="100" w:firstLine="210" w:firstLineChars="100"/>
        <w:contextualSpacing/>
        <w:rPr>
          <w:rFonts w:hAnsi="宋体" w:cs="宋体"/>
          <w:color w:val="auto"/>
        </w:rPr>
      </w:pPr>
      <w:r>
        <w:rPr>
          <w:rFonts w:hint="eastAsia" w:hAnsi="宋体" w:cs="宋体"/>
          <w:color w:val="auto"/>
        </w:rPr>
        <w:t>（所有成员单位名称）自愿组成（联合体名称）联合体，共同参加（项目名称）投标。现就联合体投标事宜订立如下协议。</w:t>
      </w:r>
    </w:p>
    <w:p w14:paraId="064CC3A9">
      <w:pPr>
        <w:topLinePunct/>
        <w:spacing w:line="460" w:lineRule="exact"/>
        <w:ind w:firstLine="420" w:firstLineChars="200"/>
        <w:contextualSpacing/>
        <w:rPr>
          <w:rFonts w:hAnsi="宋体" w:cs="宋体"/>
          <w:color w:val="auto"/>
        </w:rPr>
      </w:pPr>
      <w:r>
        <w:rPr>
          <w:rFonts w:hint="eastAsia" w:hAnsi="宋体" w:cs="宋体"/>
          <w:color w:val="auto"/>
        </w:rPr>
        <w:t>1、（某成员单位名称）为（联合体名称）牵头人。</w:t>
      </w:r>
    </w:p>
    <w:p w14:paraId="492B3B57">
      <w:pPr>
        <w:topLinePunct/>
        <w:spacing w:line="460" w:lineRule="exact"/>
        <w:ind w:firstLine="420" w:firstLineChars="200"/>
        <w:contextualSpacing/>
        <w:rPr>
          <w:rFonts w:hAnsi="宋体" w:cs="宋体"/>
          <w:color w:val="auto"/>
        </w:rPr>
      </w:pPr>
      <w:r>
        <w:rPr>
          <w:rFonts w:hint="eastAsia" w:hAnsi="宋体" w:cs="宋体"/>
          <w:color w:val="auto"/>
        </w:rPr>
        <w:t>2、联合体牵头人合法代表和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2DE6433A">
      <w:pPr>
        <w:topLinePunct/>
        <w:spacing w:line="460" w:lineRule="exact"/>
        <w:ind w:firstLine="420" w:firstLineChars="200"/>
        <w:contextualSpacing/>
        <w:rPr>
          <w:rFonts w:hAnsi="宋体" w:cs="宋体"/>
          <w:color w:val="auto"/>
        </w:rPr>
      </w:pPr>
      <w:r>
        <w:rPr>
          <w:rFonts w:hint="eastAsia" w:hAnsi="宋体" w:cs="宋体"/>
          <w:color w:val="auto"/>
        </w:rPr>
        <w:t>3、联合体将严格按照招标文件的各项要求，递交投标文件，履行合同，并对招标人承担连带责任。</w:t>
      </w:r>
    </w:p>
    <w:p w14:paraId="70C46AB6">
      <w:pPr>
        <w:topLinePunct/>
        <w:spacing w:line="460" w:lineRule="exact"/>
        <w:ind w:firstLine="420" w:firstLineChars="200"/>
        <w:contextualSpacing/>
        <w:rPr>
          <w:rFonts w:hAnsi="宋体" w:cs="宋体"/>
          <w:color w:val="auto"/>
        </w:rPr>
      </w:pPr>
      <w:r>
        <w:rPr>
          <w:rFonts w:hint="eastAsia" w:hAnsi="宋体" w:cs="宋体"/>
          <w:color w:val="auto"/>
        </w:rPr>
        <w:t>4、联合体各成员单位内部的职责分工如下：</w:t>
      </w:r>
    </w:p>
    <w:p w14:paraId="2D12A059">
      <w:pPr>
        <w:topLinePunct/>
        <w:spacing w:line="460" w:lineRule="exact"/>
        <w:ind w:firstLine="420" w:firstLineChars="200"/>
        <w:contextualSpacing/>
        <w:rPr>
          <w:rFonts w:hAnsi="宋体" w:cs="宋体"/>
          <w:color w:val="auto"/>
        </w:rPr>
      </w:pPr>
      <w:r>
        <w:rPr>
          <w:rFonts w:hint="eastAsia" w:hAnsi="宋体" w:cs="宋体"/>
          <w:color w:val="auto"/>
        </w:rPr>
        <w:t>5、本协议书自签署之日起生效，合同履行完毕后自动失效。</w:t>
      </w:r>
    </w:p>
    <w:p w14:paraId="5C2644C3">
      <w:pPr>
        <w:topLinePunct/>
        <w:spacing w:line="460" w:lineRule="exact"/>
        <w:ind w:firstLine="420" w:firstLineChars="200"/>
        <w:contextualSpacing/>
        <w:rPr>
          <w:rFonts w:hAnsi="宋体" w:cs="宋体"/>
          <w:color w:val="auto"/>
        </w:rPr>
      </w:pPr>
      <w:r>
        <w:rPr>
          <w:rFonts w:hint="eastAsia" w:hAnsi="宋体" w:cs="宋体"/>
          <w:color w:val="auto"/>
        </w:rPr>
        <w:t>6、本协议书一式份，联合体成员和招标人各执一份。</w:t>
      </w:r>
    </w:p>
    <w:p w14:paraId="7FE2F006">
      <w:pPr>
        <w:topLinePunct/>
        <w:spacing w:line="460" w:lineRule="exact"/>
        <w:contextualSpacing/>
        <w:rPr>
          <w:rFonts w:hAnsi="宋体" w:cs="宋体"/>
          <w:color w:val="auto"/>
        </w:rPr>
      </w:pPr>
    </w:p>
    <w:p w14:paraId="71FE7916">
      <w:pPr>
        <w:topLinePunct/>
        <w:spacing w:line="460" w:lineRule="exact"/>
        <w:ind w:firstLine="420" w:firstLineChars="200"/>
        <w:contextualSpacing/>
        <w:rPr>
          <w:rFonts w:hAnsi="宋体" w:cs="宋体"/>
          <w:color w:val="auto"/>
        </w:rPr>
      </w:pPr>
      <w:r>
        <w:rPr>
          <w:rFonts w:hint="eastAsia" w:hAnsi="宋体" w:cs="宋体"/>
          <w:color w:val="auto"/>
        </w:rPr>
        <w:t>注：本协议书由委托代理人签字的，应附法定代表人签字的授权委托书。</w:t>
      </w:r>
    </w:p>
    <w:p w14:paraId="59FAF7E8">
      <w:pPr>
        <w:topLinePunct/>
        <w:spacing w:line="460" w:lineRule="exact"/>
        <w:contextualSpacing/>
        <w:rPr>
          <w:rFonts w:hAnsi="宋体" w:cs="宋体"/>
          <w:color w:val="auto"/>
        </w:rPr>
      </w:pPr>
    </w:p>
    <w:p w14:paraId="4C68D3CE">
      <w:pPr>
        <w:topLinePunct/>
        <w:spacing w:line="460" w:lineRule="exact"/>
        <w:contextualSpacing/>
        <w:rPr>
          <w:rFonts w:hAnsi="宋体" w:cs="宋体"/>
          <w:color w:val="auto"/>
        </w:rPr>
      </w:pPr>
      <w:r>
        <w:rPr>
          <w:rFonts w:hint="eastAsia" w:hAnsi="宋体" w:cs="宋体"/>
          <w:color w:val="auto"/>
        </w:rPr>
        <w:t>牵头人名称：（盖单位章）</w:t>
      </w:r>
    </w:p>
    <w:p w14:paraId="7CE12A07">
      <w:pPr>
        <w:topLinePunct/>
        <w:spacing w:line="460" w:lineRule="exact"/>
        <w:contextualSpacing/>
        <w:rPr>
          <w:rFonts w:hAnsi="宋体" w:cs="宋体"/>
          <w:color w:val="auto"/>
        </w:rPr>
      </w:pPr>
      <w:r>
        <w:rPr>
          <w:rFonts w:hint="eastAsia" w:hAnsi="宋体" w:cs="宋体"/>
          <w:color w:val="auto"/>
        </w:rPr>
        <w:t>法定代表人或其委托代理人：（签字或盖章）</w:t>
      </w:r>
    </w:p>
    <w:p w14:paraId="64FA1F45">
      <w:pPr>
        <w:topLinePunct/>
        <w:spacing w:line="460" w:lineRule="exact"/>
        <w:contextualSpacing/>
        <w:rPr>
          <w:rFonts w:hAnsi="宋体" w:cs="宋体"/>
          <w:color w:val="auto"/>
        </w:rPr>
      </w:pPr>
    </w:p>
    <w:p w14:paraId="1E003738">
      <w:pPr>
        <w:topLinePunct/>
        <w:spacing w:line="460" w:lineRule="exact"/>
        <w:contextualSpacing/>
        <w:rPr>
          <w:rFonts w:hAnsi="宋体" w:cs="宋体"/>
          <w:color w:val="auto"/>
        </w:rPr>
      </w:pPr>
      <w:r>
        <w:rPr>
          <w:rFonts w:hint="eastAsia" w:hAnsi="宋体" w:cs="宋体"/>
          <w:color w:val="auto"/>
        </w:rPr>
        <w:t>成员一名称：（盖单位章）</w:t>
      </w:r>
    </w:p>
    <w:p w14:paraId="19807CC7">
      <w:pPr>
        <w:topLinePunct/>
        <w:spacing w:line="460" w:lineRule="exact"/>
        <w:contextualSpacing/>
        <w:rPr>
          <w:rFonts w:hAnsi="宋体" w:cs="宋体"/>
          <w:color w:val="auto"/>
        </w:rPr>
      </w:pPr>
      <w:r>
        <w:rPr>
          <w:rFonts w:hint="eastAsia" w:hAnsi="宋体" w:cs="宋体"/>
          <w:color w:val="auto"/>
        </w:rPr>
        <w:t>法定代表人或其委托代理人：（签字或盖章）</w:t>
      </w:r>
    </w:p>
    <w:p w14:paraId="62AA795A">
      <w:pPr>
        <w:topLinePunct/>
        <w:spacing w:line="460" w:lineRule="exact"/>
        <w:contextualSpacing/>
        <w:rPr>
          <w:rFonts w:hAnsi="宋体" w:cs="宋体"/>
          <w:color w:val="auto"/>
        </w:rPr>
      </w:pPr>
    </w:p>
    <w:p w14:paraId="751B86BF">
      <w:pPr>
        <w:topLinePunct/>
        <w:spacing w:line="460" w:lineRule="exact"/>
        <w:contextualSpacing/>
        <w:rPr>
          <w:rFonts w:hAnsi="宋体" w:cs="宋体"/>
          <w:color w:val="auto"/>
        </w:rPr>
      </w:pPr>
    </w:p>
    <w:p w14:paraId="6AB5BFD3">
      <w:pPr>
        <w:topLinePunct/>
        <w:spacing w:line="460" w:lineRule="exact"/>
        <w:contextualSpacing/>
        <w:rPr>
          <w:rFonts w:hAnsi="宋体" w:cs="宋体"/>
          <w:color w:val="auto"/>
        </w:rPr>
      </w:pPr>
    </w:p>
    <w:p w14:paraId="59A839AF">
      <w:pPr>
        <w:widowControl/>
        <w:jc w:val="center"/>
        <w:rPr>
          <w:rFonts w:hAnsi="宋体"/>
          <w:b/>
          <w:color w:val="auto"/>
          <w:sz w:val="24"/>
        </w:rPr>
      </w:pPr>
      <w:r>
        <w:rPr>
          <w:rFonts w:hint="eastAsia" w:hAnsi="宋体" w:cs="宋体"/>
          <w:color w:val="auto"/>
        </w:rPr>
        <w:t xml:space="preserve">                                      年    月     日</w:t>
      </w:r>
    </w:p>
    <w:p w14:paraId="6785534A">
      <w:pPr>
        <w:widowControl/>
        <w:jc w:val="center"/>
        <w:rPr>
          <w:rFonts w:ascii="宋体" w:hAnsi="宋体"/>
          <w:b/>
          <w:bCs/>
          <w:color w:val="auto"/>
          <w:sz w:val="24"/>
          <w:szCs w:val="24"/>
        </w:rPr>
      </w:pPr>
    </w:p>
    <w:p w14:paraId="56C03F26">
      <w:pPr>
        <w:widowControl/>
        <w:jc w:val="center"/>
        <w:rPr>
          <w:rFonts w:ascii="宋体" w:hAnsi="宋体"/>
          <w:b/>
          <w:bCs/>
          <w:color w:val="auto"/>
          <w:sz w:val="24"/>
          <w:szCs w:val="24"/>
        </w:rPr>
      </w:pPr>
    </w:p>
    <w:p w14:paraId="093E3557">
      <w:pPr>
        <w:widowControl/>
        <w:jc w:val="center"/>
        <w:rPr>
          <w:rFonts w:ascii="宋体" w:hAnsi="宋体"/>
          <w:b/>
          <w:bCs/>
          <w:color w:val="auto"/>
          <w:sz w:val="24"/>
          <w:szCs w:val="24"/>
        </w:rPr>
      </w:pPr>
    </w:p>
    <w:p w14:paraId="3A919081">
      <w:pPr>
        <w:widowControl/>
        <w:jc w:val="center"/>
        <w:rPr>
          <w:rFonts w:ascii="宋体" w:hAnsi="宋体"/>
          <w:b/>
          <w:bCs/>
          <w:color w:val="auto"/>
          <w:sz w:val="24"/>
          <w:szCs w:val="24"/>
        </w:rPr>
      </w:pPr>
    </w:p>
    <w:p w14:paraId="66D4BD57">
      <w:pPr>
        <w:widowControl/>
        <w:jc w:val="center"/>
        <w:rPr>
          <w:rFonts w:ascii="宋体" w:hAnsi="宋体"/>
          <w:b/>
          <w:bCs/>
          <w:color w:val="auto"/>
          <w:sz w:val="24"/>
          <w:szCs w:val="24"/>
        </w:rPr>
      </w:pPr>
    </w:p>
    <w:p w14:paraId="0D6C0477">
      <w:pPr>
        <w:widowControl/>
        <w:jc w:val="center"/>
        <w:rPr>
          <w:rFonts w:ascii="宋体" w:hAnsi="宋体"/>
          <w:b/>
          <w:bCs/>
          <w:color w:val="auto"/>
          <w:sz w:val="24"/>
          <w:szCs w:val="24"/>
        </w:rPr>
      </w:pPr>
    </w:p>
    <w:p w14:paraId="54675923">
      <w:pPr>
        <w:widowControl/>
        <w:jc w:val="center"/>
        <w:rPr>
          <w:rFonts w:ascii="宋体" w:hAnsi="宋体"/>
          <w:b/>
          <w:bCs/>
          <w:color w:val="auto"/>
          <w:sz w:val="24"/>
          <w:szCs w:val="24"/>
        </w:rPr>
      </w:pPr>
    </w:p>
    <w:p w14:paraId="488FDDC7">
      <w:pPr>
        <w:widowControl/>
        <w:jc w:val="center"/>
        <w:outlineLvl w:val="2"/>
        <w:rPr>
          <w:rFonts w:ascii="宋体" w:hAnsi="宋体"/>
          <w:b/>
          <w:bCs/>
          <w:color w:val="auto"/>
          <w:sz w:val="24"/>
          <w:szCs w:val="24"/>
        </w:rPr>
      </w:pPr>
      <w:r>
        <w:rPr>
          <w:rFonts w:hint="eastAsia" w:ascii="宋体" w:hAnsi="宋体"/>
          <w:b/>
          <w:bCs/>
          <w:color w:val="auto"/>
          <w:sz w:val="24"/>
          <w:szCs w:val="24"/>
        </w:rPr>
        <w:t>3.10其他资格证书或材料</w:t>
      </w:r>
    </w:p>
    <w:p w14:paraId="7D359F25">
      <w:pPr>
        <w:autoSpaceDE w:val="0"/>
        <w:autoSpaceDN w:val="0"/>
        <w:adjustRightInd w:val="0"/>
        <w:spacing w:line="360" w:lineRule="auto"/>
        <w:jc w:val="center"/>
        <w:rPr>
          <w:rFonts w:hAnsi="宋体"/>
          <w:b/>
          <w:snapToGrid w:val="0"/>
          <w:color w:val="auto"/>
          <w:kern w:val="0"/>
          <w:sz w:val="36"/>
          <w:szCs w:val="36"/>
        </w:rPr>
      </w:pPr>
    </w:p>
    <w:p w14:paraId="5D807C4D">
      <w:pPr>
        <w:autoSpaceDE w:val="0"/>
        <w:autoSpaceDN w:val="0"/>
        <w:adjustRightInd w:val="0"/>
        <w:spacing w:line="360" w:lineRule="auto"/>
        <w:jc w:val="center"/>
        <w:rPr>
          <w:rFonts w:hAnsi="宋体"/>
          <w:b/>
          <w:snapToGrid w:val="0"/>
          <w:color w:val="auto"/>
          <w:kern w:val="0"/>
          <w:sz w:val="36"/>
          <w:szCs w:val="36"/>
        </w:rPr>
      </w:pPr>
    </w:p>
    <w:p w14:paraId="44F2EB7C">
      <w:pPr>
        <w:autoSpaceDE w:val="0"/>
        <w:autoSpaceDN w:val="0"/>
        <w:adjustRightInd w:val="0"/>
        <w:spacing w:line="360" w:lineRule="auto"/>
        <w:jc w:val="center"/>
        <w:rPr>
          <w:rFonts w:hAnsi="宋体"/>
          <w:b/>
          <w:snapToGrid w:val="0"/>
          <w:color w:val="auto"/>
          <w:kern w:val="0"/>
          <w:sz w:val="36"/>
          <w:szCs w:val="36"/>
        </w:rPr>
      </w:pPr>
    </w:p>
    <w:p w14:paraId="7FA0294C">
      <w:pPr>
        <w:autoSpaceDE w:val="0"/>
        <w:autoSpaceDN w:val="0"/>
        <w:adjustRightInd w:val="0"/>
        <w:spacing w:line="360" w:lineRule="auto"/>
        <w:jc w:val="center"/>
        <w:rPr>
          <w:rFonts w:hAnsi="宋体"/>
          <w:b/>
          <w:snapToGrid w:val="0"/>
          <w:color w:val="auto"/>
          <w:kern w:val="0"/>
          <w:sz w:val="36"/>
          <w:szCs w:val="36"/>
        </w:rPr>
      </w:pPr>
    </w:p>
    <w:p w14:paraId="122DA3FA">
      <w:pPr>
        <w:autoSpaceDE w:val="0"/>
        <w:autoSpaceDN w:val="0"/>
        <w:adjustRightInd w:val="0"/>
        <w:spacing w:line="360" w:lineRule="auto"/>
        <w:jc w:val="center"/>
        <w:rPr>
          <w:rFonts w:ascii="宋体" w:hAnsi="宋体" w:cs="黑体"/>
          <w:b/>
          <w:bCs/>
          <w:color w:val="auto"/>
          <w:sz w:val="44"/>
          <w:szCs w:val="44"/>
          <w:lang w:val="zh-CN"/>
        </w:rPr>
      </w:pPr>
    </w:p>
    <w:p w14:paraId="720C12EF">
      <w:pPr>
        <w:autoSpaceDE w:val="0"/>
        <w:autoSpaceDN w:val="0"/>
        <w:adjustRightInd w:val="0"/>
        <w:spacing w:line="360" w:lineRule="auto"/>
        <w:jc w:val="center"/>
        <w:rPr>
          <w:rFonts w:ascii="宋体" w:hAnsi="宋体" w:cs="黑体"/>
          <w:b/>
          <w:bCs/>
          <w:color w:val="auto"/>
          <w:sz w:val="44"/>
          <w:szCs w:val="44"/>
          <w:lang w:val="zh-CN"/>
        </w:rPr>
      </w:pPr>
    </w:p>
    <w:p w14:paraId="60E7FA26">
      <w:pPr>
        <w:autoSpaceDE w:val="0"/>
        <w:autoSpaceDN w:val="0"/>
        <w:adjustRightInd w:val="0"/>
        <w:spacing w:line="360" w:lineRule="auto"/>
        <w:jc w:val="center"/>
        <w:rPr>
          <w:rFonts w:ascii="宋体" w:hAnsi="宋体" w:cs="黑体"/>
          <w:b/>
          <w:bCs/>
          <w:color w:val="auto"/>
          <w:sz w:val="44"/>
          <w:szCs w:val="44"/>
          <w:lang w:val="zh-CN"/>
        </w:rPr>
      </w:pPr>
    </w:p>
    <w:p w14:paraId="386AFA60">
      <w:pPr>
        <w:autoSpaceDE w:val="0"/>
        <w:autoSpaceDN w:val="0"/>
        <w:adjustRightInd w:val="0"/>
        <w:spacing w:line="360" w:lineRule="auto"/>
        <w:jc w:val="center"/>
        <w:rPr>
          <w:rFonts w:ascii="宋体" w:hAnsi="宋体" w:cs="黑体"/>
          <w:b/>
          <w:bCs/>
          <w:color w:val="auto"/>
          <w:sz w:val="44"/>
          <w:szCs w:val="44"/>
          <w:lang w:val="zh-CN"/>
        </w:rPr>
      </w:pPr>
    </w:p>
    <w:p w14:paraId="0DBEDE17">
      <w:pPr>
        <w:autoSpaceDE w:val="0"/>
        <w:autoSpaceDN w:val="0"/>
        <w:adjustRightInd w:val="0"/>
        <w:spacing w:line="360" w:lineRule="auto"/>
        <w:jc w:val="center"/>
        <w:rPr>
          <w:rFonts w:ascii="宋体" w:hAnsi="宋体" w:cs="黑体"/>
          <w:b/>
          <w:bCs/>
          <w:color w:val="auto"/>
          <w:sz w:val="44"/>
          <w:szCs w:val="44"/>
          <w:lang w:val="zh-CN"/>
        </w:rPr>
      </w:pPr>
    </w:p>
    <w:p w14:paraId="1BBE5F94">
      <w:pPr>
        <w:autoSpaceDE w:val="0"/>
        <w:autoSpaceDN w:val="0"/>
        <w:adjustRightInd w:val="0"/>
        <w:spacing w:line="360" w:lineRule="auto"/>
        <w:jc w:val="center"/>
        <w:rPr>
          <w:rFonts w:ascii="宋体" w:hAnsi="宋体" w:cs="黑体"/>
          <w:b/>
          <w:bCs/>
          <w:color w:val="auto"/>
          <w:sz w:val="44"/>
          <w:szCs w:val="44"/>
          <w:lang w:val="zh-CN"/>
        </w:rPr>
      </w:pPr>
    </w:p>
    <w:p w14:paraId="183F52C6">
      <w:pPr>
        <w:autoSpaceDE w:val="0"/>
        <w:autoSpaceDN w:val="0"/>
        <w:adjustRightInd w:val="0"/>
        <w:spacing w:line="360" w:lineRule="auto"/>
        <w:jc w:val="center"/>
        <w:rPr>
          <w:rFonts w:ascii="宋体" w:hAnsi="宋体" w:cs="黑体"/>
          <w:b/>
          <w:bCs/>
          <w:color w:val="auto"/>
          <w:sz w:val="44"/>
          <w:szCs w:val="44"/>
          <w:lang w:val="zh-CN"/>
        </w:rPr>
      </w:pPr>
    </w:p>
    <w:p w14:paraId="17930E4D">
      <w:pPr>
        <w:autoSpaceDE w:val="0"/>
        <w:autoSpaceDN w:val="0"/>
        <w:adjustRightInd w:val="0"/>
        <w:spacing w:line="360" w:lineRule="auto"/>
        <w:jc w:val="center"/>
        <w:rPr>
          <w:rFonts w:ascii="宋体" w:hAnsi="宋体" w:cs="黑体"/>
          <w:b/>
          <w:bCs/>
          <w:color w:val="auto"/>
          <w:sz w:val="44"/>
          <w:szCs w:val="44"/>
          <w:lang w:val="zh-CN"/>
        </w:rPr>
      </w:pPr>
    </w:p>
    <w:p w14:paraId="07FDB92D">
      <w:pPr>
        <w:autoSpaceDE w:val="0"/>
        <w:autoSpaceDN w:val="0"/>
        <w:adjustRightInd w:val="0"/>
        <w:spacing w:line="360" w:lineRule="auto"/>
        <w:jc w:val="center"/>
        <w:rPr>
          <w:rFonts w:ascii="宋体" w:hAnsi="宋体" w:cs="黑体"/>
          <w:b/>
          <w:bCs/>
          <w:color w:val="auto"/>
          <w:sz w:val="44"/>
          <w:szCs w:val="44"/>
          <w:lang w:val="zh-CN"/>
        </w:rPr>
      </w:pPr>
    </w:p>
    <w:p w14:paraId="2761BDA5">
      <w:pPr>
        <w:autoSpaceDE w:val="0"/>
        <w:autoSpaceDN w:val="0"/>
        <w:adjustRightInd w:val="0"/>
        <w:spacing w:line="360" w:lineRule="auto"/>
        <w:jc w:val="center"/>
        <w:rPr>
          <w:rFonts w:ascii="宋体" w:hAnsi="宋体" w:cs="黑体"/>
          <w:b/>
          <w:bCs/>
          <w:color w:val="auto"/>
          <w:sz w:val="44"/>
          <w:szCs w:val="44"/>
          <w:lang w:val="zh-CN"/>
        </w:rPr>
      </w:pPr>
    </w:p>
    <w:p w14:paraId="35024D36">
      <w:pPr>
        <w:autoSpaceDE w:val="0"/>
        <w:autoSpaceDN w:val="0"/>
        <w:adjustRightInd w:val="0"/>
        <w:spacing w:line="360" w:lineRule="auto"/>
        <w:jc w:val="center"/>
        <w:rPr>
          <w:rFonts w:ascii="宋体" w:hAnsi="宋体" w:cs="黑体"/>
          <w:b/>
          <w:bCs/>
          <w:color w:val="auto"/>
          <w:sz w:val="44"/>
          <w:szCs w:val="44"/>
          <w:lang w:val="zh-CN"/>
        </w:rPr>
      </w:pPr>
    </w:p>
    <w:p w14:paraId="742C9F75">
      <w:pPr>
        <w:autoSpaceDE w:val="0"/>
        <w:autoSpaceDN w:val="0"/>
        <w:adjustRightInd w:val="0"/>
        <w:spacing w:line="360" w:lineRule="auto"/>
        <w:jc w:val="center"/>
        <w:rPr>
          <w:rFonts w:ascii="宋体" w:hAnsi="宋体" w:cs="黑体"/>
          <w:b/>
          <w:bCs/>
          <w:color w:val="auto"/>
          <w:sz w:val="44"/>
          <w:szCs w:val="44"/>
          <w:lang w:val="zh-CN"/>
        </w:rPr>
      </w:pPr>
    </w:p>
    <w:p w14:paraId="0E33BF25">
      <w:pPr>
        <w:autoSpaceDE w:val="0"/>
        <w:autoSpaceDN w:val="0"/>
        <w:adjustRightInd w:val="0"/>
        <w:spacing w:line="360" w:lineRule="auto"/>
        <w:jc w:val="center"/>
        <w:rPr>
          <w:rFonts w:ascii="宋体" w:hAnsi="宋体" w:cs="黑体"/>
          <w:b/>
          <w:bCs/>
          <w:color w:val="auto"/>
          <w:sz w:val="44"/>
          <w:szCs w:val="44"/>
          <w:lang w:val="zh-CN"/>
        </w:rPr>
      </w:pPr>
    </w:p>
    <w:p w14:paraId="58D163EF">
      <w:pPr>
        <w:autoSpaceDE w:val="0"/>
        <w:autoSpaceDN w:val="0"/>
        <w:adjustRightInd w:val="0"/>
        <w:spacing w:line="360" w:lineRule="auto"/>
        <w:jc w:val="center"/>
        <w:rPr>
          <w:rFonts w:ascii="宋体" w:hAnsi="宋体" w:cs="黑体"/>
          <w:b/>
          <w:bCs/>
          <w:color w:val="auto"/>
          <w:sz w:val="44"/>
          <w:szCs w:val="44"/>
          <w:lang w:val="zh-CN"/>
        </w:rPr>
      </w:pPr>
    </w:p>
    <w:p w14:paraId="511A1C4A">
      <w:pPr>
        <w:autoSpaceDE w:val="0"/>
        <w:autoSpaceDN w:val="0"/>
        <w:adjustRightInd w:val="0"/>
        <w:spacing w:line="360" w:lineRule="auto"/>
        <w:jc w:val="center"/>
        <w:outlineLvl w:val="1"/>
        <w:rPr>
          <w:rFonts w:ascii="宋体" w:hAnsi="宋体" w:cs="黑体"/>
          <w:b/>
          <w:bCs/>
          <w:color w:val="auto"/>
          <w:sz w:val="28"/>
          <w:szCs w:val="28"/>
          <w:lang w:val="zh-CN"/>
        </w:rPr>
      </w:pPr>
      <w:r>
        <w:rPr>
          <w:rFonts w:ascii="宋体" w:hAnsi="宋体" w:cs="黑体"/>
          <w:b/>
          <w:bCs/>
          <w:color w:val="auto"/>
          <w:sz w:val="44"/>
          <w:szCs w:val="44"/>
          <w:lang w:val="zh-CN"/>
        </w:rPr>
        <w:br w:type="page"/>
      </w:r>
      <w:r>
        <w:rPr>
          <w:rFonts w:hint="eastAsia" w:ascii="宋体" w:hAnsi="宋体" w:cs="黑体"/>
          <w:b/>
          <w:bCs/>
          <w:color w:val="auto"/>
          <w:sz w:val="28"/>
          <w:szCs w:val="28"/>
          <w:lang w:val="zh-CN"/>
        </w:rPr>
        <w:t>四、符合性审查证明材料</w:t>
      </w:r>
    </w:p>
    <w:p w14:paraId="79626293">
      <w:pPr>
        <w:autoSpaceDE w:val="0"/>
        <w:autoSpaceDN w:val="0"/>
        <w:adjustRightInd w:val="0"/>
        <w:spacing w:line="360" w:lineRule="auto"/>
        <w:jc w:val="center"/>
        <w:outlineLvl w:val="2"/>
        <w:rPr>
          <w:rFonts w:ascii="宋体" w:hAnsi="宋体"/>
          <w:b/>
          <w:bCs/>
          <w:color w:val="auto"/>
          <w:sz w:val="24"/>
          <w:szCs w:val="24"/>
        </w:rPr>
      </w:pPr>
      <w:r>
        <w:rPr>
          <w:rFonts w:hint="eastAsia" w:ascii="宋体" w:hAnsi="宋体"/>
          <w:b/>
          <w:bCs/>
          <w:color w:val="auto"/>
          <w:sz w:val="24"/>
          <w:szCs w:val="24"/>
        </w:rPr>
        <w:t>4.1 投标分项报价表</w:t>
      </w:r>
    </w:p>
    <w:p w14:paraId="2B079691">
      <w:pPr>
        <w:spacing w:before="50" w:after="162" w:afterLines="50" w:line="360" w:lineRule="auto"/>
        <w:contextualSpacing/>
        <w:jc w:val="left"/>
        <w:rPr>
          <w:rFonts w:ascii="宋体" w:hAnsi="宋体"/>
          <w:color w:val="auto"/>
        </w:rPr>
      </w:pPr>
      <w:r>
        <w:rPr>
          <w:rFonts w:hint="eastAsia" w:ascii="宋体" w:hAnsi="宋体"/>
          <w:color w:val="auto"/>
        </w:rPr>
        <w:t>采购编号：</w:t>
      </w:r>
    </w:p>
    <w:p w14:paraId="746C9450">
      <w:pPr>
        <w:autoSpaceDE w:val="0"/>
        <w:autoSpaceDN w:val="0"/>
        <w:adjustRightInd w:val="0"/>
        <w:spacing w:line="360" w:lineRule="auto"/>
        <w:rPr>
          <w:rFonts w:hAnsi="宋体"/>
          <w:b/>
          <w:snapToGrid w:val="0"/>
          <w:color w:val="auto"/>
          <w:kern w:val="0"/>
        </w:rPr>
      </w:pPr>
      <w:r>
        <w:rPr>
          <w:rFonts w:hint="eastAsia" w:ascii="宋体" w:hAnsi="宋体"/>
          <w:color w:val="auto"/>
        </w:rPr>
        <w:t xml:space="preserve">项目名称：   </w:t>
      </w:r>
    </w:p>
    <w:tbl>
      <w:tblPr>
        <w:tblStyle w:val="30"/>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3156B060">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14:paraId="7451991E">
            <w:pPr>
              <w:autoSpaceDE w:val="0"/>
              <w:autoSpaceDN w:val="0"/>
              <w:adjustRightInd w:val="0"/>
              <w:spacing w:line="280" w:lineRule="exact"/>
              <w:jc w:val="center"/>
              <w:rPr>
                <w:rFonts w:ascii="宋体" w:hAnsi="宋体" w:cs="宋体"/>
                <w:b/>
                <w:color w:val="auto"/>
                <w:lang w:val="zh-CN"/>
              </w:rPr>
            </w:pPr>
            <w:r>
              <w:rPr>
                <w:rFonts w:hint="eastAsia" w:ascii="宋体" w:hAnsi="宋体" w:cs="宋体"/>
                <w:b/>
                <w:color w:val="auto"/>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14:paraId="53092EC5">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14:paraId="0B59677F">
            <w:pPr>
              <w:autoSpaceDE w:val="0"/>
              <w:autoSpaceDN w:val="0"/>
              <w:adjustRightInd w:val="0"/>
              <w:spacing w:line="360" w:lineRule="auto"/>
              <w:ind w:firstLine="120"/>
              <w:jc w:val="center"/>
              <w:rPr>
                <w:rFonts w:ascii="宋体" w:hAnsi="宋体" w:cs="宋体"/>
                <w:b/>
                <w:color w:val="auto"/>
                <w:lang w:val="zh-CN"/>
              </w:rPr>
            </w:pPr>
            <w:r>
              <w:rPr>
                <w:rFonts w:hint="eastAsia" w:ascii="宋体" w:hAnsi="宋体" w:cs="宋体"/>
                <w:b/>
                <w:color w:val="auto"/>
                <w:lang w:val="zh-CN"/>
              </w:rPr>
              <w:t>品牌</w:t>
            </w:r>
          </w:p>
          <w:p w14:paraId="293AC701">
            <w:pPr>
              <w:autoSpaceDE w:val="0"/>
              <w:autoSpaceDN w:val="0"/>
              <w:adjustRightInd w:val="0"/>
              <w:spacing w:line="360" w:lineRule="auto"/>
              <w:ind w:firstLine="120"/>
              <w:jc w:val="center"/>
              <w:rPr>
                <w:rFonts w:ascii="宋体" w:hAnsi="宋体" w:cs="宋体"/>
                <w:b/>
                <w:color w:val="auto"/>
                <w:lang w:val="zh-CN"/>
              </w:rPr>
            </w:pPr>
            <w:r>
              <w:rPr>
                <w:rFonts w:hint="eastAsia" w:ascii="宋体" w:hAnsi="宋体" w:cs="宋体"/>
                <w:b/>
                <w:color w:val="auto"/>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14:paraId="0A5A032C">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lang w:val="zh-CN"/>
              </w:rPr>
              <w:t>技术</w:t>
            </w:r>
          </w:p>
          <w:p w14:paraId="31958805">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14:paraId="483E8831">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14:paraId="7D9D94E8">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14:paraId="20D7B0CA">
            <w:pPr>
              <w:autoSpaceDE w:val="0"/>
              <w:autoSpaceDN w:val="0"/>
              <w:adjustRightInd w:val="0"/>
              <w:spacing w:line="360" w:lineRule="auto"/>
              <w:jc w:val="center"/>
              <w:rPr>
                <w:rFonts w:ascii="宋体" w:hAnsi="宋体" w:cs="宋体"/>
                <w:b/>
                <w:color w:val="auto"/>
                <w:lang w:val="zh-CN"/>
              </w:rPr>
            </w:pPr>
            <w:r>
              <w:rPr>
                <w:rFonts w:hint="eastAsia" w:ascii="宋体" w:hAnsi="宋体" w:cs="宋体"/>
                <w:b/>
                <w:color w:val="auto"/>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vAlign w:val="center"/>
          </w:tcPr>
          <w:p w14:paraId="58064FF6">
            <w:pPr>
              <w:autoSpaceDE w:val="0"/>
              <w:autoSpaceDN w:val="0"/>
              <w:adjustRightInd w:val="0"/>
              <w:spacing w:line="360" w:lineRule="auto"/>
              <w:ind w:firstLine="120"/>
              <w:jc w:val="center"/>
              <w:rPr>
                <w:rFonts w:ascii="宋体" w:hAnsi="宋体" w:cs="宋体"/>
                <w:b/>
                <w:color w:val="auto"/>
                <w:lang w:val="zh-CN"/>
              </w:rPr>
            </w:pPr>
            <w:r>
              <w:rPr>
                <w:rFonts w:hint="eastAsia" w:ascii="宋体" w:hAnsi="宋体" w:cs="宋体"/>
                <w:b/>
                <w:color w:val="auto"/>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vAlign w:val="center"/>
          </w:tcPr>
          <w:p w14:paraId="4BB6D172">
            <w:pPr>
              <w:autoSpaceDE w:val="0"/>
              <w:autoSpaceDN w:val="0"/>
              <w:adjustRightInd w:val="0"/>
              <w:spacing w:line="360" w:lineRule="auto"/>
              <w:ind w:left="120" w:hanging="120"/>
              <w:jc w:val="center"/>
              <w:rPr>
                <w:rFonts w:ascii="宋体" w:hAnsi="宋体" w:cs="宋体"/>
                <w:b/>
                <w:color w:val="auto"/>
                <w:lang w:val="zh-CN"/>
              </w:rPr>
            </w:pPr>
            <w:r>
              <w:rPr>
                <w:rFonts w:hint="eastAsia" w:ascii="宋体" w:hAnsi="宋体" w:cs="宋体"/>
                <w:b/>
                <w:color w:val="auto"/>
                <w:lang w:val="zh-CN"/>
              </w:rPr>
              <w:t>厂家</w:t>
            </w:r>
          </w:p>
        </w:tc>
      </w:tr>
      <w:tr w14:paraId="6663EEB3">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0DCE66BA">
            <w:pPr>
              <w:autoSpaceDE w:val="0"/>
              <w:autoSpaceDN w:val="0"/>
              <w:adjustRightInd w:val="0"/>
              <w:spacing w:line="480" w:lineRule="exact"/>
              <w:jc w:val="center"/>
              <w:rPr>
                <w:rFonts w:ascii="宋体" w:hAnsi="宋体"/>
                <w:color w:val="auto"/>
              </w:rPr>
            </w:pPr>
            <w:r>
              <w:rPr>
                <w:rFonts w:hint="eastAsia" w:ascii="宋体" w:hAnsi="宋体"/>
                <w:color w:val="auto"/>
              </w:rPr>
              <w:t>1</w:t>
            </w:r>
          </w:p>
        </w:tc>
        <w:tc>
          <w:tcPr>
            <w:tcW w:w="1134" w:type="dxa"/>
            <w:tcBorders>
              <w:top w:val="single" w:color="auto" w:sz="6" w:space="0"/>
              <w:left w:val="single" w:color="auto" w:sz="6" w:space="0"/>
              <w:bottom w:val="single" w:color="auto" w:sz="6" w:space="0"/>
              <w:right w:val="single" w:color="auto" w:sz="6" w:space="0"/>
            </w:tcBorders>
          </w:tcPr>
          <w:p w14:paraId="6D0870E4">
            <w:pPr>
              <w:autoSpaceDE w:val="0"/>
              <w:autoSpaceDN w:val="0"/>
              <w:adjustRightInd w:val="0"/>
              <w:spacing w:line="360" w:lineRule="auto"/>
              <w:rPr>
                <w:rFonts w:ascii="宋体" w:hAnsi="宋体"/>
                <w:color w:val="auto"/>
              </w:rPr>
            </w:pPr>
          </w:p>
        </w:tc>
        <w:tc>
          <w:tcPr>
            <w:tcW w:w="1500" w:type="dxa"/>
            <w:tcBorders>
              <w:top w:val="single" w:color="auto" w:sz="6" w:space="0"/>
              <w:left w:val="single" w:color="auto" w:sz="6" w:space="0"/>
              <w:bottom w:val="single" w:color="auto" w:sz="6" w:space="0"/>
              <w:right w:val="single" w:color="auto" w:sz="6" w:space="0"/>
            </w:tcBorders>
          </w:tcPr>
          <w:p w14:paraId="24C265D5">
            <w:pPr>
              <w:autoSpaceDE w:val="0"/>
              <w:autoSpaceDN w:val="0"/>
              <w:adjustRightInd w:val="0"/>
              <w:spacing w:line="360" w:lineRule="auto"/>
              <w:rPr>
                <w:rFonts w:ascii="宋体" w:hAnsi="宋体"/>
                <w:color w:val="auto"/>
              </w:rPr>
            </w:pPr>
          </w:p>
        </w:tc>
        <w:tc>
          <w:tcPr>
            <w:tcW w:w="1260" w:type="dxa"/>
            <w:tcBorders>
              <w:top w:val="single" w:color="auto" w:sz="6" w:space="0"/>
              <w:left w:val="single" w:color="auto" w:sz="6" w:space="0"/>
              <w:bottom w:val="single" w:color="auto" w:sz="6" w:space="0"/>
              <w:right w:val="single" w:color="auto" w:sz="6" w:space="0"/>
            </w:tcBorders>
          </w:tcPr>
          <w:p w14:paraId="0D3381DF">
            <w:pPr>
              <w:autoSpaceDE w:val="0"/>
              <w:autoSpaceDN w:val="0"/>
              <w:adjustRightInd w:val="0"/>
              <w:spacing w:line="360" w:lineRule="auto"/>
              <w:rPr>
                <w:rFonts w:ascii="宋体" w:hAnsi="宋体"/>
                <w:color w:val="auto"/>
              </w:rPr>
            </w:pPr>
          </w:p>
        </w:tc>
        <w:tc>
          <w:tcPr>
            <w:tcW w:w="642" w:type="dxa"/>
            <w:tcBorders>
              <w:top w:val="single" w:color="auto" w:sz="6" w:space="0"/>
              <w:left w:val="single" w:color="auto" w:sz="6" w:space="0"/>
              <w:bottom w:val="single" w:color="auto" w:sz="6" w:space="0"/>
              <w:right w:val="single" w:color="auto" w:sz="6" w:space="0"/>
            </w:tcBorders>
          </w:tcPr>
          <w:p w14:paraId="735FC092">
            <w:pPr>
              <w:autoSpaceDE w:val="0"/>
              <w:autoSpaceDN w:val="0"/>
              <w:adjustRightInd w:val="0"/>
              <w:spacing w:line="360" w:lineRule="auto"/>
              <w:rPr>
                <w:rFonts w:ascii="宋体" w:hAnsi="宋体"/>
                <w:color w:val="auto"/>
              </w:rPr>
            </w:pPr>
          </w:p>
        </w:tc>
        <w:tc>
          <w:tcPr>
            <w:tcW w:w="992" w:type="dxa"/>
            <w:tcBorders>
              <w:top w:val="single" w:color="auto" w:sz="6" w:space="0"/>
              <w:left w:val="single" w:color="auto" w:sz="6" w:space="0"/>
              <w:bottom w:val="single" w:color="auto" w:sz="6" w:space="0"/>
              <w:right w:val="single" w:color="auto" w:sz="6" w:space="0"/>
            </w:tcBorders>
          </w:tcPr>
          <w:p w14:paraId="739D27F3">
            <w:pPr>
              <w:autoSpaceDE w:val="0"/>
              <w:autoSpaceDN w:val="0"/>
              <w:adjustRightInd w:val="0"/>
              <w:spacing w:line="360" w:lineRule="auto"/>
              <w:rPr>
                <w:rFonts w:ascii="宋体" w:hAnsi="宋体"/>
                <w:color w:val="auto"/>
              </w:rPr>
            </w:pPr>
          </w:p>
        </w:tc>
        <w:tc>
          <w:tcPr>
            <w:tcW w:w="1066" w:type="dxa"/>
            <w:tcBorders>
              <w:top w:val="single" w:color="auto" w:sz="6" w:space="0"/>
              <w:left w:val="single" w:color="auto" w:sz="6" w:space="0"/>
              <w:bottom w:val="single" w:color="auto" w:sz="6" w:space="0"/>
              <w:right w:val="single" w:color="auto" w:sz="6" w:space="0"/>
            </w:tcBorders>
          </w:tcPr>
          <w:p w14:paraId="36B294F0">
            <w:pPr>
              <w:autoSpaceDE w:val="0"/>
              <w:autoSpaceDN w:val="0"/>
              <w:adjustRightInd w:val="0"/>
              <w:spacing w:line="360" w:lineRule="auto"/>
              <w:rPr>
                <w:rFonts w:ascii="宋体" w:hAnsi="宋体"/>
                <w:color w:val="auto"/>
              </w:rPr>
            </w:pPr>
          </w:p>
        </w:tc>
        <w:tc>
          <w:tcPr>
            <w:tcW w:w="1080" w:type="dxa"/>
            <w:tcBorders>
              <w:top w:val="single" w:color="auto" w:sz="6" w:space="0"/>
              <w:left w:val="single" w:color="auto" w:sz="6" w:space="0"/>
              <w:bottom w:val="single" w:color="auto" w:sz="6" w:space="0"/>
              <w:right w:val="single" w:color="auto" w:sz="6" w:space="0"/>
            </w:tcBorders>
          </w:tcPr>
          <w:p w14:paraId="5B6BEC90">
            <w:pPr>
              <w:autoSpaceDE w:val="0"/>
              <w:autoSpaceDN w:val="0"/>
              <w:adjustRightInd w:val="0"/>
              <w:spacing w:line="360" w:lineRule="auto"/>
              <w:rPr>
                <w:rFonts w:ascii="宋体" w:hAnsi="宋体"/>
                <w:color w:val="auto"/>
              </w:rPr>
            </w:pPr>
          </w:p>
        </w:tc>
        <w:tc>
          <w:tcPr>
            <w:tcW w:w="1192" w:type="dxa"/>
            <w:tcBorders>
              <w:top w:val="single" w:color="auto" w:sz="6" w:space="0"/>
              <w:left w:val="single" w:color="auto" w:sz="6" w:space="0"/>
              <w:bottom w:val="single" w:color="auto" w:sz="6" w:space="0"/>
              <w:right w:val="single" w:color="auto" w:sz="6" w:space="0"/>
            </w:tcBorders>
          </w:tcPr>
          <w:p w14:paraId="2EDAD696">
            <w:pPr>
              <w:autoSpaceDE w:val="0"/>
              <w:autoSpaceDN w:val="0"/>
              <w:adjustRightInd w:val="0"/>
              <w:spacing w:line="360" w:lineRule="auto"/>
              <w:rPr>
                <w:rFonts w:ascii="宋体" w:hAnsi="宋体"/>
                <w:color w:val="auto"/>
              </w:rPr>
            </w:pPr>
          </w:p>
        </w:tc>
      </w:tr>
      <w:tr w14:paraId="2A4871AA">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23B32664">
            <w:pPr>
              <w:autoSpaceDE w:val="0"/>
              <w:autoSpaceDN w:val="0"/>
              <w:adjustRightInd w:val="0"/>
              <w:spacing w:line="480" w:lineRule="exact"/>
              <w:jc w:val="center"/>
              <w:rPr>
                <w:rFonts w:ascii="宋体" w:hAnsi="宋体"/>
                <w:color w:val="auto"/>
              </w:rPr>
            </w:pPr>
            <w:r>
              <w:rPr>
                <w:rFonts w:hint="eastAsia" w:ascii="宋体" w:hAnsi="宋体"/>
                <w:color w:val="auto"/>
              </w:rPr>
              <w:t>2</w:t>
            </w:r>
          </w:p>
        </w:tc>
        <w:tc>
          <w:tcPr>
            <w:tcW w:w="1134" w:type="dxa"/>
            <w:tcBorders>
              <w:top w:val="single" w:color="auto" w:sz="6" w:space="0"/>
              <w:left w:val="single" w:color="auto" w:sz="6" w:space="0"/>
              <w:bottom w:val="single" w:color="auto" w:sz="6" w:space="0"/>
              <w:right w:val="single" w:color="auto" w:sz="6" w:space="0"/>
            </w:tcBorders>
          </w:tcPr>
          <w:p w14:paraId="11F3F489">
            <w:pPr>
              <w:autoSpaceDE w:val="0"/>
              <w:autoSpaceDN w:val="0"/>
              <w:adjustRightInd w:val="0"/>
              <w:spacing w:line="360" w:lineRule="auto"/>
              <w:rPr>
                <w:rFonts w:ascii="宋体" w:hAnsi="宋体"/>
                <w:color w:val="auto"/>
              </w:rPr>
            </w:pPr>
          </w:p>
        </w:tc>
        <w:tc>
          <w:tcPr>
            <w:tcW w:w="1500" w:type="dxa"/>
            <w:tcBorders>
              <w:top w:val="single" w:color="auto" w:sz="6" w:space="0"/>
              <w:left w:val="single" w:color="auto" w:sz="6" w:space="0"/>
              <w:bottom w:val="single" w:color="auto" w:sz="6" w:space="0"/>
              <w:right w:val="single" w:color="auto" w:sz="6" w:space="0"/>
            </w:tcBorders>
          </w:tcPr>
          <w:p w14:paraId="4D1C85FD">
            <w:pPr>
              <w:autoSpaceDE w:val="0"/>
              <w:autoSpaceDN w:val="0"/>
              <w:adjustRightInd w:val="0"/>
              <w:spacing w:line="360" w:lineRule="auto"/>
              <w:rPr>
                <w:rFonts w:ascii="宋体" w:hAnsi="宋体"/>
                <w:color w:val="auto"/>
              </w:rPr>
            </w:pPr>
          </w:p>
        </w:tc>
        <w:tc>
          <w:tcPr>
            <w:tcW w:w="1260" w:type="dxa"/>
            <w:tcBorders>
              <w:top w:val="single" w:color="auto" w:sz="6" w:space="0"/>
              <w:left w:val="single" w:color="auto" w:sz="6" w:space="0"/>
              <w:bottom w:val="single" w:color="auto" w:sz="6" w:space="0"/>
              <w:right w:val="single" w:color="auto" w:sz="6" w:space="0"/>
            </w:tcBorders>
          </w:tcPr>
          <w:p w14:paraId="7EDFD872">
            <w:pPr>
              <w:autoSpaceDE w:val="0"/>
              <w:autoSpaceDN w:val="0"/>
              <w:adjustRightInd w:val="0"/>
              <w:spacing w:line="360" w:lineRule="auto"/>
              <w:rPr>
                <w:rFonts w:ascii="宋体" w:hAnsi="宋体"/>
                <w:color w:val="auto"/>
              </w:rPr>
            </w:pPr>
          </w:p>
        </w:tc>
        <w:tc>
          <w:tcPr>
            <w:tcW w:w="642" w:type="dxa"/>
            <w:tcBorders>
              <w:top w:val="single" w:color="auto" w:sz="6" w:space="0"/>
              <w:left w:val="single" w:color="auto" w:sz="6" w:space="0"/>
              <w:bottom w:val="single" w:color="auto" w:sz="6" w:space="0"/>
              <w:right w:val="single" w:color="auto" w:sz="6" w:space="0"/>
            </w:tcBorders>
          </w:tcPr>
          <w:p w14:paraId="2B3F4411">
            <w:pPr>
              <w:autoSpaceDE w:val="0"/>
              <w:autoSpaceDN w:val="0"/>
              <w:adjustRightInd w:val="0"/>
              <w:spacing w:line="360" w:lineRule="auto"/>
              <w:rPr>
                <w:rFonts w:ascii="宋体" w:hAnsi="宋体"/>
                <w:color w:val="auto"/>
              </w:rPr>
            </w:pPr>
          </w:p>
        </w:tc>
        <w:tc>
          <w:tcPr>
            <w:tcW w:w="992" w:type="dxa"/>
            <w:tcBorders>
              <w:top w:val="single" w:color="auto" w:sz="6" w:space="0"/>
              <w:left w:val="single" w:color="auto" w:sz="6" w:space="0"/>
              <w:bottom w:val="single" w:color="auto" w:sz="6" w:space="0"/>
              <w:right w:val="single" w:color="auto" w:sz="6" w:space="0"/>
            </w:tcBorders>
          </w:tcPr>
          <w:p w14:paraId="2644F531">
            <w:pPr>
              <w:autoSpaceDE w:val="0"/>
              <w:autoSpaceDN w:val="0"/>
              <w:adjustRightInd w:val="0"/>
              <w:spacing w:line="360" w:lineRule="auto"/>
              <w:rPr>
                <w:rFonts w:ascii="宋体" w:hAnsi="宋体"/>
                <w:color w:val="auto"/>
              </w:rPr>
            </w:pPr>
          </w:p>
        </w:tc>
        <w:tc>
          <w:tcPr>
            <w:tcW w:w="1066" w:type="dxa"/>
            <w:tcBorders>
              <w:top w:val="single" w:color="auto" w:sz="6" w:space="0"/>
              <w:left w:val="single" w:color="auto" w:sz="6" w:space="0"/>
              <w:bottom w:val="single" w:color="auto" w:sz="6" w:space="0"/>
              <w:right w:val="single" w:color="auto" w:sz="6" w:space="0"/>
            </w:tcBorders>
          </w:tcPr>
          <w:p w14:paraId="295EFC6A">
            <w:pPr>
              <w:autoSpaceDE w:val="0"/>
              <w:autoSpaceDN w:val="0"/>
              <w:adjustRightInd w:val="0"/>
              <w:spacing w:line="360" w:lineRule="auto"/>
              <w:rPr>
                <w:rFonts w:ascii="宋体" w:hAnsi="宋体"/>
                <w:color w:val="auto"/>
              </w:rPr>
            </w:pPr>
          </w:p>
        </w:tc>
        <w:tc>
          <w:tcPr>
            <w:tcW w:w="1080" w:type="dxa"/>
            <w:tcBorders>
              <w:top w:val="single" w:color="auto" w:sz="6" w:space="0"/>
              <w:left w:val="single" w:color="auto" w:sz="6" w:space="0"/>
              <w:bottom w:val="single" w:color="auto" w:sz="6" w:space="0"/>
              <w:right w:val="single" w:color="auto" w:sz="6" w:space="0"/>
            </w:tcBorders>
          </w:tcPr>
          <w:p w14:paraId="653FABCC">
            <w:pPr>
              <w:autoSpaceDE w:val="0"/>
              <w:autoSpaceDN w:val="0"/>
              <w:adjustRightInd w:val="0"/>
              <w:spacing w:line="360" w:lineRule="auto"/>
              <w:rPr>
                <w:rFonts w:ascii="宋体" w:hAnsi="宋体"/>
                <w:color w:val="auto"/>
              </w:rPr>
            </w:pPr>
          </w:p>
        </w:tc>
        <w:tc>
          <w:tcPr>
            <w:tcW w:w="1192" w:type="dxa"/>
            <w:tcBorders>
              <w:top w:val="single" w:color="auto" w:sz="6" w:space="0"/>
              <w:left w:val="single" w:color="auto" w:sz="6" w:space="0"/>
              <w:bottom w:val="single" w:color="auto" w:sz="6" w:space="0"/>
              <w:right w:val="single" w:color="auto" w:sz="6" w:space="0"/>
            </w:tcBorders>
          </w:tcPr>
          <w:p w14:paraId="31B37D17">
            <w:pPr>
              <w:autoSpaceDE w:val="0"/>
              <w:autoSpaceDN w:val="0"/>
              <w:adjustRightInd w:val="0"/>
              <w:spacing w:line="360" w:lineRule="auto"/>
              <w:rPr>
                <w:rFonts w:ascii="宋体" w:hAnsi="宋体"/>
                <w:color w:val="auto"/>
              </w:rPr>
            </w:pPr>
          </w:p>
        </w:tc>
      </w:tr>
      <w:tr w14:paraId="5FD9A7C9">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30AB2BF2">
            <w:pPr>
              <w:autoSpaceDE w:val="0"/>
              <w:autoSpaceDN w:val="0"/>
              <w:adjustRightInd w:val="0"/>
              <w:spacing w:line="480" w:lineRule="exact"/>
              <w:jc w:val="center"/>
              <w:rPr>
                <w:rFonts w:ascii="宋体" w:hAnsi="宋体"/>
                <w:color w:val="auto"/>
              </w:rPr>
            </w:pPr>
            <w:r>
              <w:rPr>
                <w:rFonts w:hint="eastAsia" w:ascii="宋体" w:hAnsi="宋体"/>
                <w:color w:val="auto"/>
              </w:rPr>
              <w:t>…</w:t>
            </w:r>
          </w:p>
        </w:tc>
        <w:tc>
          <w:tcPr>
            <w:tcW w:w="1134" w:type="dxa"/>
            <w:tcBorders>
              <w:top w:val="single" w:color="auto" w:sz="6" w:space="0"/>
              <w:left w:val="single" w:color="auto" w:sz="6" w:space="0"/>
              <w:bottom w:val="single" w:color="auto" w:sz="6" w:space="0"/>
              <w:right w:val="single" w:color="auto" w:sz="6" w:space="0"/>
            </w:tcBorders>
          </w:tcPr>
          <w:p w14:paraId="6FEA127A">
            <w:pPr>
              <w:autoSpaceDE w:val="0"/>
              <w:autoSpaceDN w:val="0"/>
              <w:adjustRightInd w:val="0"/>
              <w:spacing w:line="360" w:lineRule="auto"/>
              <w:rPr>
                <w:rFonts w:ascii="宋体" w:hAnsi="宋体"/>
                <w:color w:val="auto"/>
              </w:rPr>
            </w:pPr>
          </w:p>
        </w:tc>
        <w:tc>
          <w:tcPr>
            <w:tcW w:w="1500" w:type="dxa"/>
            <w:tcBorders>
              <w:top w:val="single" w:color="auto" w:sz="6" w:space="0"/>
              <w:left w:val="single" w:color="auto" w:sz="6" w:space="0"/>
              <w:bottom w:val="single" w:color="auto" w:sz="6" w:space="0"/>
              <w:right w:val="single" w:color="auto" w:sz="6" w:space="0"/>
            </w:tcBorders>
          </w:tcPr>
          <w:p w14:paraId="72ACDBF8">
            <w:pPr>
              <w:autoSpaceDE w:val="0"/>
              <w:autoSpaceDN w:val="0"/>
              <w:adjustRightInd w:val="0"/>
              <w:spacing w:line="360" w:lineRule="auto"/>
              <w:rPr>
                <w:rFonts w:ascii="宋体" w:hAnsi="宋体"/>
                <w:color w:val="auto"/>
              </w:rPr>
            </w:pPr>
          </w:p>
        </w:tc>
        <w:tc>
          <w:tcPr>
            <w:tcW w:w="1260" w:type="dxa"/>
            <w:tcBorders>
              <w:top w:val="single" w:color="auto" w:sz="6" w:space="0"/>
              <w:left w:val="single" w:color="auto" w:sz="6" w:space="0"/>
              <w:bottom w:val="single" w:color="auto" w:sz="6" w:space="0"/>
              <w:right w:val="single" w:color="auto" w:sz="6" w:space="0"/>
            </w:tcBorders>
          </w:tcPr>
          <w:p w14:paraId="5202576A">
            <w:pPr>
              <w:autoSpaceDE w:val="0"/>
              <w:autoSpaceDN w:val="0"/>
              <w:adjustRightInd w:val="0"/>
              <w:spacing w:line="360" w:lineRule="auto"/>
              <w:rPr>
                <w:rFonts w:ascii="宋体" w:hAnsi="宋体"/>
                <w:color w:val="auto"/>
              </w:rPr>
            </w:pPr>
          </w:p>
        </w:tc>
        <w:tc>
          <w:tcPr>
            <w:tcW w:w="642" w:type="dxa"/>
            <w:tcBorders>
              <w:top w:val="single" w:color="auto" w:sz="6" w:space="0"/>
              <w:left w:val="single" w:color="auto" w:sz="6" w:space="0"/>
              <w:bottom w:val="single" w:color="auto" w:sz="6" w:space="0"/>
              <w:right w:val="single" w:color="auto" w:sz="6" w:space="0"/>
            </w:tcBorders>
          </w:tcPr>
          <w:p w14:paraId="18E9D4EF">
            <w:pPr>
              <w:autoSpaceDE w:val="0"/>
              <w:autoSpaceDN w:val="0"/>
              <w:adjustRightInd w:val="0"/>
              <w:spacing w:line="360" w:lineRule="auto"/>
              <w:rPr>
                <w:rFonts w:ascii="宋体" w:hAnsi="宋体"/>
                <w:color w:val="auto"/>
              </w:rPr>
            </w:pPr>
          </w:p>
        </w:tc>
        <w:tc>
          <w:tcPr>
            <w:tcW w:w="992" w:type="dxa"/>
            <w:tcBorders>
              <w:top w:val="single" w:color="auto" w:sz="6" w:space="0"/>
              <w:left w:val="single" w:color="auto" w:sz="6" w:space="0"/>
              <w:bottom w:val="single" w:color="auto" w:sz="6" w:space="0"/>
              <w:right w:val="single" w:color="auto" w:sz="6" w:space="0"/>
            </w:tcBorders>
          </w:tcPr>
          <w:p w14:paraId="69F5A6BD">
            <w:pPr>
              <w:autoSpaceDE w:val="0"/>
              <w:autoSpaceDN w:val="0"/>
              <w:adjustRightInd w:val="0"/>
              <w:spacing w:line="360" w:lineRule="auto"/>
              <w:rPr>
                <w:rFonts w:ascii="宋体" w:hAnsi="宋体"/>
                <w:color w:val="auto"/>
              </w:rPr>
            </w:pPr>
          </w:p>
        </w:tc>
        <w:tc>
          <w:tcPr>
            <w:tcW w:w="1066" w:type="dxa"/>
            <w:tcBorders>
              <w:top w:val="single" w:color="auto" w:sz="6" w:space="0"/>
              <w:left w:val="single" w:color="auto" w:sz="6" w:space="0"/>
              <w:bottom w:val="single" w:color="auto" w:sz="6" w:space="0"/>
              <w:right w:val="single" w:color="auto" w:sz="6" w:space="0"/>
            </w:tcBorders>
          </w:tcPr>
          <w:p w14:paraId="7D3CC4A1">
            <w:pPr>
              <w:autoSpaceDE w:val="0"/>
              <w:autoSpaceDN w:val="0"/>
              <w:adjustRightInd w:val="0"/>
              <w:spacing w:line="360" w:lineRule="auto"/>
              <w:rPr>
                <w:rFonts w:ascii="宋体" w:hAnsi="宋体"/>
                <w:color w:val="auto"/>
              </w:rPr>
            </w:pPr>
          </w:p>
        </w:tc>
        <w:tc>
          <w:tcPr>
            <w:tcW w:w="1080" w:type="dxa"/>
            <w:tcBorders>
              <w:top w:val="single" w:color="auto" w:sz="6" w:space="0"/>
              <w:left w:val="single" w:color="auto" w:sz="6" w:space="0"/>
              <w:bottom w:val="single" w:color="auto" w:sz="6" w:space="0"/>
              <w:right w:val="single" w:color="auto" w:sz="6" w:space="0"/>
            </w:tcBorders>
          </w:tcPr>
          <w:p w14:paraId="392520D6">
            <w:pPr>
              <w:autoSpaceDE w:val="0"/>
              <w:autoSpaceDN w:val="0"/>
              <w:adjustRightInd w:val="0"/>
              <w:spacing w:line="360" w:lineRule="auto"/>
              <w:rPr>
                <w:rFonts w:ascii="宋体" w:hAnsi="宋体"/>
                <w:color w:val="auto"/>
              </w:rPr>
            </w:pPr>
          </w:p>
        </w:tc>
        <w:tc>
          <w:tcPr>
            <w:tcW w:w="1192" w:type="dxa"/>
            <w:tcBorders>
              <w:top w:val="single" w:color="auto" w:sz="6" w:space="0"/>
              <w:left w:val="single" w:color="auto" w:sz="6" w:space="0"/>
              <w:bottom w:val="single" w:color="auto" w:sz="6" w:space="0"/>
              <w:right w:val="single" w:color="auto" w:sz="6" w:space="0"/>
            </w:tcBorders>
          </w:tcPr>
          <w:p w14:paraId="5EFAF193">
            <w:pPr>
              <w:autoSpaceDE w:val="0"/>
              <w:autoSpaceDN w:val="0"/>
              <w:adjustRightInd w:val="0"/>
              <w:spacing w:line="360" w:lineRule="auto"/>
              <w:rPr>
                <w:rFonts w:ascii="宋体" w:hAnsi="宋体"/>
                <w:color w:val="auto"/>
              </w:rPr>
            </w:pPr>
          </w:p>
        </w:tc>
      </w:tr>
      <w:tr w14:paraId="36D6FE82">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42E36A45">
            <w:pPr>
              <w:autoSpaceDE w:val="0"/>
              <w:autoSpaceDN w:val="0"/>
              <w:adjustRightInd w:val="0"/>
              <w:spacing w:line="360" w:lineRule="auto"/>
              <w:jc w:val="center"/>
              <w:rPr>
                <w:rFonts w:ascii="宋体" w:hAnsi="宋体"/>
                <w:color w:val="auto"/>
              </w:rPr>
            </w:pPr>
            <w:r>
              <w:rPr>
                <w:rFonts w:hint="eastAsia" w:ascii="宋体" w:hAnsi="宋体" w:cs="宋体"/>
                <w:color w:val="auto"/>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5A08E023">
            <w:pPr>
              <w:autoSpaceDE w:val="0"/>
              <w:autoSpaceDN w:val="0"/>
              <w:adjustRightInd w:val="0"/>
              <w:spacing w:line="360" w:lineRule="auto"/>
              <w:ind w:firstLine="105" w:firstLineChars="50"/>
              <w:rPr>
                <w:rFonts w:ascii="宋体" w:hAnsi="宋体" w:cs="宋体"/>
                <w:color w:val="auto"/>
                <w:lang w:val="zh-CN"/>
              </w:rPr>
            </w:pPr>
            <w:r>
              <w:rPr>
                <w:rFonts w:hint="eastAsia" w:ascii="宋体" w:hAnsi="宋体" w:cs="宋体"/>
                <w:color w:val="auto"/>
                <w:lang w:val="zh-CN"/>
              </w:rPr>
              <w:t>大写：　　　　　　小写：</w:t>
            </w:r>
          </w:p>
        </w:tc>
      </w:tr>
    </w:tbl>
    <w:p w14:paraId="4E17FEEC">
      <w:pPr>
        <w:autoSpaceDE w:val="0"/>
        <w:autoSpaceDN w:val="0"/>
        <w:adjustRightInd w:val="0"/>
        <w:spacing w:line="480" w:lineRule="auto"/>
        <w:rPr>
          <w:rFonts w:ascii="宋体" w:hAnsi="宋体" w:cs="宋体"/>
          <w:color w:val="auto"/>
          <w:lang w:val="zh-CN"/>
        </w:rPr>
      </w:pPr>
    </w:p>
    <w:p w14:paraId="59DE6E31">
      <w:pPr>
        <w:autoSpaceDE w:val="0"/>
        <w:autoSpaceDN w:val="0"/>
        <w:adjustRightInd w:val="0"/>
        <w:spacing w:line="480" w:lineRule="auto"/>
        <w:rPr>
          <w:rFonts w:ascii="宋体" w:hAnsi="宋体" w:cs="宋体"/>
          <w:color w:val="auto"/>
          <w:lang w:val="zh-CN"/>
        </w:rPr>
      </w:pPr>
      <w:r>
        <w:rPr>
          <w:rFonts w:hint="eastAsia" w:ascii="宋体" w:hAnsi="宋体" w:cs="宋体"/>
          <w:color w:val="auto"/>
          <w:lang w:val="zh-CN"/>
        </w:rPr>
        <w:t>投标人（并加盖公章）：</w:t>
      </w:r>
    </w:p>
    <w:p w14:paraId="2B1D171A">
      <w:pPr>
        <w:autoSpaceDE w:val="0"/>
        <w:autoSpaceDN w:val="0"/>
        <w:adjustRightInd w:val="0"/>
        <w:spacing w:line="480" w:lineRule="auto"/>
        <w:rPr>
          <w:rFonts w:ascii="宋体" w:hAnsi="宋体" w:cs="宋体"/>
          <w:color w:val="auto"/>
          <w:lang w:val="zh-CN"/>
        </w:rPr>
      </w:pPr>
    </w:p>
    <w:p w14:paraId="537B2E22">
      <w:pPr>
        <w:autoSpaceDE w:val="0"/>
        <w:autoSpaceDN w:val="0"/>
        <w:adjustRightInd w:val="0"/>
        <w:spacing w:line="480" w:lineRule="auto"/>
        <w:rPr>
          <w:rFonts w:ascii="宋体" w:hAnsi="宋体" w:cs="宋体"/>
          <w:color w:val="auto"/>
          <w:sz w:val="24"/>
          <w:szCs w:val="24"/>
          <w:lang w:val="zh-CN"/>
        </w:rPr>
      </w:pPr>
    </w:p>
    <w:p w14:paraId="27E3E9FF">
      <w:pPr>
        <w:autoSpaceDE w:val="0"/>
        <w:autoSpaceDN w:val="0"/>
        <w:adjustRightInd w:val="0"/>
        <w:spacing w:line="480" w:lineRule="auto"/>
        <w:rPr>
          <w:rFonts w:ascii="宋体" w:hAnsi="宋体" w:cs="宋体"/>
          <w:color w:val="auto"/>
          <w:sz w:val="24"/>
          <w:szCs w:val="24"/>
          <w:lang w:val="zh-CN"/>
        </w:rPr>
      </w:pPr>
    </w:p>
    <w:p w14:paraId="5CDC5559">
      <w:pPr>
        <w:autoSpaceDE w:val="0"/>
        <w:autoSpaceDN w:val="0"/>
        <w:adjustRightInd w:val="0"/>
        <w:spacing w:line="480" w:lineRule="auto"/>
        <w:rPr>
          <w:rFonts w:ascii="宋体" w:hAnsi="宋体" w:cs="宋体"/>
          <w:color w:val="auto"/>
          <w:sz w:val="24"/>
          <w:szCs w:val="24"/>
          <w:lang w:val="zh-CN"/>
        </w:rPr>
      </w:pPr>
    </w:p>
    <w:p w14:paraId="17A041EF">
      <w:pPr>
        <w:autoSpaceDE w:val="0"/>
        <w:autoSpaceDN w:val="0"/>
        <w:adjustRightInd w:val="0"/>
        <w:spacing w:line="480" w:lineRule="auto"/>
        <w:rPr>
          <w:rFonts w:ascii="宋体" w:hAnsi="宋体" w:cs="宋体"/>
          <w:color w:val="auto"/>
          <w:sz w:val="24"/>
          <w:szCs w:val="24"/>
          <w:lang w:val="zh-CN"/>
        </w:rPr>
      </w:pPr>
    </w:p>
    <w:p w14:paraId="14C76D94">
      <w:pPr>
        <w:autoSpaceDE w:val="0"/>
        <w:autoSpaceDN w:val="0"/>
        <w:adjustRightInd w:val="0"/>
        <w:spacing w:line="480" w:lineRule="auto"/>
        <w:rPr>
          <w:rFonts w:ascii="宋体" w:hAnsi="宋体" w:cs="宋体"/>
          <w:color w:val="auto"/>
          <w:sz w:val="24"/>
          <w:szCs w:val="24"/>
          <w:lang w:val="zh-CN"/>
        </w:rPr>
      </w:pPr>
    </w:p>
    <w:p w14:paraId="334DD706">
      <w:pPr>
        <w:autoSpaceDE w:val="0"/>
        <w:autoSpaceDN w:val="0"/>
        <w:adjustRightInd w:val="0"/>
        <w:spacing w:line="480" w:lineRule="auto"/>
        <w:jc w:val="center"/>
        <w:outlineLvl w:val="2"/>
        <w:rPr>
          <w:rFonts w:ascii="宋体" w:hAnsi="宋体"/>
          <w:b/>
          <w:bCs/>
          <w:color w:val="auto"/>
          <w:sz w:val="24"/>
          <w:szCs w:val="24"/>
        </w:rPr>
      </w:pPr>
      <w:r>
        <w:rPr>
          <w:rFonts w:ascii="宋体" w:hAnsi="宋体" w:cs="宋体"/>
          <w:color w:val="auto"/>
          <w:sz w:val="24"/>
          <w:szCs w:val="24"/>
          <w:lang w:val="zh-CN"/>
        </w:rPr>
        <w:br w:type="page"/>
      </w:r>
      <w:r>
        <w:rPr>
          <w:rFonts w:hint="eastAsia" w:ascii="宋体" w:hAnsi="宋体"/>
          <w:b/>
          <w:bCs/>
          <w:color w:val="auto"/>
          <w:sz w:val="24"/>
          <w:szCs w:val="24"/>
        </w:rPr>
        <w:t>4.2 技术规格偏离表（货物类项目提供）</w:t>
      </w:r>
    </w:p>
    <w:p w14:paraId="7EE2487D">
      <w:pPr>
        <w:spacing w:before="50" w:after="162" w:afterLines="50" w:line="360" w:lineRule="auto"/>
        <w:contextualSpacing/>
        <w:jc w:val="left"/>
        <w:rPr>
          <w:rFonts w:ascii="宋体" w:hAnsi="宋体"/>
          <w:color w:val="auto"/>
        </w:rPr>
      </w:pPr>
      <w:r>
        <w:rPr>
          <w:rFonts w:hint="eastAsia" w:ascii="宋体" w:hAnsi="宋体"/>
          <w:color w:val="auto"/>
        </w:rPr>
        <w:t>采购编号：</w:t>
      </w:r>
    </w:p>
    <w:p w14:paraId="4E62B38E">
      <w:pPr>
        <w:autoSpaceDE w:val="0"/>
        <w:autoSpaceDN w:val="0"/>
        <w:adjustRightInd w:val="0"/>
        <w:spacing w:line="360" w:lineRule="auto"/>
        <w:rPr>
          <w:rFonts w:ascii="宋体" w:hAnsi="宋体"/>
          <w:color w:val="auto"/>
        </w:rPr>
      </w:pPr>
      <w:r>
        <w:rPr>
          <w:rFonts w:hint="eastAsia" w:ascii="宋体" w:hAnsi="宋体"/>
          <w:color w:val="auto"/>
        </w:rPr>
        <w:t xml:space="preserve">项目名称：   </w:t>
      </w:r>
    </w:p>
    <w:p w14:paraId="76F9C22B">
      <w:pPr>
        <w:autoSpaceDE w:val="0"/>
        <w:autoSpaceDN w:val="0"/>
        <w:adjustRightInd w:val="0"/>
        <w:spacing w:line="360" w:lineRule="auto"/>
        <w:rPr>
          <w:rFonts w:hAnsi="宋体"/>
          <w:b/>
          <w:snapToGrid w:val="0"/>
          <w:color w:val="auto"/>
          <w:kern w:val="0"/>
        </w:rPr>
      </w:pPr>
    </w:p>
    <w:tbl>
      <w:tblPr>
        <w:tblStyle w:val="30"/>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14:paraId="6B90A872">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14:paraId="7BE29CC6">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14:paraId="1E72C486">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货物服务</w:t>
            </w:r>
          </w:p>
          <w:p w14:paraId="23C3CF8A">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14:paraId="68C0DDCE">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14:paraId="56249AEB">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招标文件</w:t>
            </w:r>
          </w:p>
          <w:p w14:paraId="296E39DB">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41712C66">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投标技术</w:t>
            </w:r>
          </w:p>
          <w:p w14:paraId="04905447">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14:paraId="268C09F8">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偏离</w:t>
            </w:r>
          </w:p>
          <w:p w14:paraId="51D78729">
            <w:pPr>
              <w:jc w:val="center"/>
              <w:rPr>
                <w:rFonts w:ascii="宋体" w:hAnsi="宋体" w:cs="宋体"/>
                <w:b/>
                <w:bCs/>
                <w:color w:val="auto"/>
              </w:rPr>
            </w:pPr>
            <w:r>
              <w:rPr>
                <w:rFonts w:hint="eastAsia" w:ascii="宋体" w:hAnsi="宋体" w:cs="宋体"/>
                <w:b/>
                <w:bCs/>
                <w:color w:val="auto"/>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14:paraId="3B0FB898">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偏离内容</w:t>
            </w:r>
          </w:p>
          <w:p w14:paraId="612D831A">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说明</w:t>
            </w:r>
          </w:p>
        </w:tc>
      </w:tr>
      <w:tr w14:paraId="4FADA790">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5D90D054">
            <w:pPr>
              <w:autoSpaceDE w:val="0"/>
              <w:autoSpaceDN w:val="0"/>
              <w:adjustRightInd w:val="0"/>
              <w:spacing w:line="480" w:lineRule="exact"/>
              <w:jc w:val="center"/>
              <w:rPr>
                <w:rFonts w:ascii="宋体" w:hAnsi="宋体"/>
                <w:bCs/>
                <w:color w:val="auto"/>
              </w:rPr>
            </w:pPr>
            <w:r>
              <w:rPr>
                <w:rFonts w:hint="eastAsia" w:ascii="宋体" w:hAnsi="宋体"/>
                <w:bCs/>
                <w:color w:val="auto"/>
              </w:rPr>
              <w:t>1</w:t>
            </w:r>
          </w:p>
        </w:tc>
        <w:tc>
          <w:tcPr>
            <w:tcW w:w="1418" w:type="dxa"/>
            <w:tcBorders>
              <w:top w:val="single" w:color="auto" w:sz="6" w:space="0"/>
              <w:left w:val="single" w:color="auto" w:sz="6" w:space="0"/>
              <w:bottom w:val="single" w:color="auto" w:sz="6" w:space="0"/>
              <w:right w:val="single" w:color="auto" w:sz="6" w:space="0"/>
            </w:tcBorders>
          </w:tcPr>
          <w:p w14:paraId="735D3791">
            <w:pPr>
              <w:autoSpaceDE w:val="0"/>
              <w:autoSpaceDN w:val="0"/>
              <w:adjustRightInd w:val="0"/>
              <w:spacing w:line="480" w:lineRule="exact"/>
              <w:rPr>
                <w:rFonts w:ascii="宋体" w:hAnsi="宋体"/>
                <w:b/>
                <w:bCs/>
                <w:color w:val="auto"/>
              </w:rPr>
            </w:pPr>
          </w:p>
        </w:tc>
        <w:tc>
          <w:tcPr>
            <w:tcW w:w="1276" w:type="dxa"/>
            <w:tcBorders>
              <w:top w:val="single" w:color="auto" w:sz="6" w:space="0"/>
              <w:left w:val="single" w:color="auto" w:sz="6" w:space="0"/>
              <w:bottom w:val="single" w:color="auto" w:sz="6" w:space="0"/>
              <w:right w:val="single" w:color="auto" w:sz="6" w:space="0"/>
            </w:tcBorders>
          </w:tcPr>
          <w:p w14:paraId="30DB7646">
            <w:pPr>
              <w:autoSpaceDE w:val="0"/>
              <w:autoSpaceDN w:val="0"/>
              <w:adjustRightInd w:val="0"/>
              <w:spacing w:line="480" w:lineRule="exact"/>
              <w:rPr>
                <w:rFonts w:ascii="宋体" w:hAnsi="宋体"/>
                <w:b/>
                <w:bCs/>
                <w:color w:val="auto"/>
              </w:rPr>
            </w:pPr>
          </w:p>
        </w:tc>
        <w:tc>
          <w:tcPr>
            <w:tcW w:w="1559" w:type="dxa"/>
            <w:tcBorders>
              <w:top w:val="single" w:color="auto" w:sz="6" w:space="0"/>
              <w:left w:val="single" w:color="auto" w:sz="6" w:space="0"/>
              <w:bottom w:val="single" w:color="auto" w:sz="6" w:space="0"/>
              <w:right w:val="single" w:color="auto" w:sz="6" w:space="0"/>
            </w:tcBorders>
          </w:tcPr>
          <w:p w14:paraId="7B383D7E">
            <w:pPr>
              <w:autoSpaceDE w:val="0"/>
              <w:autoSpaceDN w:val="0"/>
              <w:adjustRightInd w:val="0"/>
              <w:spacing w:line="480" w:lineRule="exact"/>
              <w:rPr>
                <w:rFonts w:ascii="宋体" w:hAnsi="宋体"/>
                <w:b/>
                <w:bCs/>
                <w:color w:val="auto"/>
              </w:rPr>
            </w:pPr>
          </w:p>
        </w:tc>
        <w:tc>
          <w:tcPr>
            <w:tcW w:w="1417" w:type="dxa"/>
            <w:tcBorders>
              <w:top w:val="single" w:color="auto" w:sz="6" w:space="0"/>
              <w:left w:val="single" w:color="auto" w:sz="6" w:space="0"/>
              <w:bottom w:val="single" w:color="auto" w:sz="6" w:space="0"/>
              <w:right w:val="single" w:color="auto" w:sz="6" w:space="0"/>
            </w:tcBorders>
          </w:tcPr>
          <w:p w14:paraId="4AB918FE">
            <w:pPr>
              <w:autoSpaceDE w:val="0"/>
              <w:autoSpaceDN w:val="0"/>
              <w:adjustRightInd w:val="0"/>
              <w:spacing w:line="480" w:lineRule="exact"/>
              <w:rPr>
                <w:rFonts w:ascii="宋体" w:hAnsi="宋体"/>
                <w:b/>
                <w:bCs/>
                <w:color w:val="auto"/>
              </w:rPr>
            </w:pPr>
          </w:p>
        </w:tc>
        <w:tc>
          <w:tcPr>
            <w:tcW w:w="1560" w:type="dxa"/>
            <w:tcBorders>
              <w:top w:val="single" w:color="auto" w:sz="6" w:space="0"/>
              <w:left w:val="single" w:color="auto" w:sz="6" w:space="0"/>
              <w:bottom w:val="single" w:color="auto" w:sz="6" w:space="0"/>
              <w:right w:val="single" w:color="auto" w:sz="6" w:space="0"/>
            </w:tcBorders>
          </w:tcPr>
          <w:p w14:paraId="3D8304B5">
            <w:pPr>
              <w:autoSpaceDE w:val="0"/>
              <w:autoSpaceDN w:val="0"/>
              <w:adjustRightInd w:val="0"/>
              <w:spacing w:line="480" w:lineRule="exact"/>
              <w:rPr>
                <w:rFonts w:ascii="宋体" w:hAnsi="宋体"/>
                <w:b/>
                <w:bCs/>
                <w:color w:val="auto"/>
              </w:rPr>
            </w:pPr>
          </w:p>
        </w:tc>
        <w:tc>
          <w:tcPr>
            <w:tcW w:w="1417" w:type="dxa"/>
            <w:tcBorders>
              <w:top w:val="single" w:color="auto" w:sz="6" w:space="0"/>
              <w:left w:val="single" w:color="auto" w:sz="6" w:space="0"/>
              <w:bottom w:val="single" w:color="auto" w:sz="6" w:space="0"/>
              <w:right w:val="single" w:color="auto" w:sz="6" w:space="0"/>
            </w:tcBorders>
            <w:vAlign w:val="center"/>
          </w:tcPr>
          <w:p w14:paraId="3DCDE4DE">
            <w:pPr>
              <w:autoSpaceDE w:val="0"/>
              <w:autoSpaceDN w:val="0"/>
              <w:adjustRightInd w:val="0"/>
              <w:spacing w:line="480" w:lineRule="exact"/>
              <w:jc w:val="center"/>
              <w:rPr>
                <w:rFonts w:ascii="宋体" w:hAnsi="宋体"/>
                <w:b/>
                <w:bCs/>
                <w:color w:val="auto"/>
              </w:rPr>
            </w:pPr>
          </w:p>
        </w:tc>
      </w:tr>
      <w:tr w14:paraId="53C48CC1">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4BFAD217">
            <w:pPr>
              <w:autoSpaceDE w:val="0"/>
              <w:autoSpaceDN w:val="0"/>
              <w:adjustRightInd w:val="0"/>
              <w:spacing w:line="480" w:lineRule="exact"/>
              <w:jc w:val="center"/>
              <w:rPr>
                <w:rFonts w:ascii="宋体" w:hAnsi="宋体"/>
                <w:bCs/>
                <w:color w:val="auto"/>
              </w:rPr>
            </w:pPr>
            <w:r>
              <w:rPr>
                <w:rFonts w:hint="eastAsia" w:ascii="宋体" w:hAnsi="宋体"/>
                <w:bCs/>
                <w:color w:val="auto"/>
              </w:rPr>
              <w:t>2</w:t>
            </w:r>
          </w:p>
        </w:tc>
        <w:tc>
          <w:tcPr>
            <w:tcW w:w="1418" w:type="dxa"/>
            <w:tcBorders>
              <w:top w:val="single" w:color="auto" w:sz="6" w:space="0"/>
              <w:left w:val="single" w:color="auto" w:sz="6" w:space="0"/>
              <w:bottom w:val="single" w:color="auto" w:sz="6" w:space="0"/>
              <w:right w:val="single" w:color="auto" w:sz="6" w:space="0"/>
            </w:tcBorders>
          </w:tcPr>
          <w:p w14:paraId="6B47CB9D">
            <w:pPr>
              <w:autoSpaceDE w:val="0"/>
              <w:autoSpaceDN w:val="0"/>
              <w:adjustRightInd w:val="0"/>
              <w:spacing w:line="480" w:lineRule="exact"/>
              <w:rPr>
                <w:rFonts w:ascii="宋体" w:hAnsi="宋体"/>
                <w:b/>
                <w:bCs/>
                <w:color w:val="auto"/>
              </w:rPr>
            </w:pPr>
          </w:p>
        </w:tc>
        <w:tc>
          <w:tcPr>
            <w:tcW w:w="1276" w:type="dxa"/>
            <w:tcBorders>
              <w:top w:val="single" w:color="auto" w:sz="6" w:space="0"/>
              <w:left w:val="single" w:color="auto" w:sz="6" w:space="0"/>
              <w:bottom w:val="single" w:color="auto" w:sz="6" w:space="0"/>
              <w:right w:val="single" w:color="auto" w:sz="6" w:space="0"/>
            </w:tcBorders>
          </w:tcPr>
          <w:p w14:paraId="2E212A75">
            <w:pPr>
              <w:autoSpaceDE w:val="0"/>
              <w:autoSpaceDN w:val="0"/>
              <w:adjustRightInd w:val="0"/>
              <w:spacing w:line="480" w:lineRule="exact"/>
              <w:rPr>
                <w:rFonts w:ascii="宋体" w:hAnsi="宋体"/>
                <w:b/>
                <w:bCs/>
                <w:color w:val="auto"/>
              </w:rPr>
            </w:pPr>
          </w:p>
        </w:tc>
        <w:tc>
          <w:tcPr>
            <w:tcW w:w="1559" w:type="dxa"/>
            <w:tcBorders>
              <w:top w:val="single" w:color="auto" w:sz="6" w:space="0"/>
              <w:left w:val="single" w:color="auto" w:sz="6" w:space="0"/>
              <w:bottom w:val="single" w:color="auto" w:sz="6" w:space="0"/>
              <w:right w:val="single" w:color="auto" w:sz="6" w:space="0"/>
            </w:tcBorders>
          </w:tcPr>
          <w:p w14:paraId="4B20260B">
            <w:pPr>
              <w:autoSpaceDE w:val="0"/>
              <w:autoSpaceDN w:val="0"/>
              <w:adjustRightInd w:val="0"/>
              <w:spacing w:line="480" w:lineRule="exact"/>
              <w:rPr>
                <w:rFonts w:ascii="宋体" w:hAnsi="宋体"/>
                <w:b/>
                <w:bCs/>
                <w:color w:val="auto"/>
              </w:rPr>
            </w:pPr>
          </w:p>
        </w:tc>
        <w:tc>
          <w:tcPr>
            <w:tcW w:w="1417" w:type="dxa"/>
            <w:tcBorders>
              <w:top w:val="single" w:color="auto" w:sz="6" w:space="0"/>
              <w:left w:val="single" w:color="auto" w:sz="6" w:space="0"/>
              <w:bottom w:val="single" w:color="auto" w:sz="6" w:space="0"/>
              <w:right w:val="single" w:color="auto" w:sz="6" w:space="0"/>
            </w:tcBorders>
          </w:tcPr>
          <w:p w14:paraId="287140FA">
            <w:pPr>
              <w:autoSpaceDE w:val="0"/>
              <w:autoSpaceDN w:val="0"/>
              <w:adjustRightInd w:val="0"/>
              <w:spacing w:line="480" w:lineRule="exact"/>
              <w:rPr>
                <w:rFonts w:ascii="宋体" w:hAnsi="宋体"/>
                <w:b/>
                <w:bCs/>
                <w:color w:val="auto"/>
              </w:rPr>
            </w:pPr>
          </w:p>
        </w:tc>
        <w:tc>
          <w:tcPr>
            <w:tcW w:w="1560" w:type="dxa"/>
            <w:tcBorders>
              <w:top w:val="single" w:color="auto" w:sz="6" w:space="0"/>
              <w:left w:val="single" w:color="auto" w:sz="6" w:space="0"/>
              <w:bottom w:val="single" w:color="auto" w:sz="6" w:space="0"/>
              <w:right w:val="single" w:color="auto" w:sz="6" w:space="0"/>
            </w:tcBorders>
          </w:tcPr>
          <w:p w14:paraId="4DFEE658">
            <w:pPr>
              <w:autoSpaceDE w:val="0"/>
              <w:autoSpaceDN w:val="0"/>
              <w:adjustRightInd w:val="0"/>
              <w:spacing w:line="480" w:lineRule="exact"/>
              <w:rPr>
                <w:rFonts w:ascii="宋体" w:hAnsi="宋体"/>
                <w:b/>
                <w:bCs/>
                <w:color w:val="auto"/>
              </w:rPr>
            </w:pPr>
          </w:p>
        </w:tc>
        <w:tc>
          <w:tcPr>
            <w:tcW w:w="1417" w:type="dxa"/>
            <w:tcBorders>
              <w:top w:val="single" w:color="auto" w:sz="6" w:space="0"/>
              <w:left w:val="single" w:color="auto" w:sz="6" w:space="0"/>
              <w:bottom w:val="single" w:color="auto" w:sz="6" w:space="0"/>
              <w:right w:val="single" w:color="auto" w:sz="6" w:space="0"/>
            </w:tcBorders>
            <w:vAlign w:val="center"/>
          </w:tcPr>
          <w:p w14:paraId="4CA7ED2D">
            <w:pPr>
              <w:autoSpaceDE w:val="0"/>
              <w:autoSpaceDN w:val="0"/>
              <w:adjustRightInd w:val="0"/>
              <w:spacing w:line="480" w:lineRule="exact"/>
              <w:jc w:val="center"/>
              <w:rPr>
                <w:rFonts w:ascii="宋体" w:hAnsi="宋体"/>
                <w:b/>
                <w:bCs/>
                <w:color w:val="auto"/>
              </w:rPr>
            </w:pPr>
          </w:p>
        </w:tc>
      </w:tr>
      <w:tr w14:paraId="2ADD7938">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02E752B0">
            <w:pPr>
              <w:autoSpaceDE w:val="0"/>
              <w:autoSpaceDN w:val="0"/>
              <w:adjustRightInd w:val="0"/>
              <w:spacing w:line="480" w:lineRule="exact"/>
              <w:jc w:val="center"/>
              <w:rPr>
                <w:rFonts w:ascii="宋体" w:hAnsi="宋体"/>
                <w:bCs/>
                <w:color w:val="auto"/>
              </w:rPr>
            </w:pPr>
            <w:r>
              <w:rPr>
                <w:rFonts w:hint="eastAsia" w:ascii="宋体" w:hAnsi="宋体"/>
                <w:color w:val="auto"/>
              </w:rPr>
              <w:t>…</w:t>
            </w:r>
          </w:p>
        </w:tc>
        <w:tc>
          <w:tcPr>
            <w:tcW w:w="1418" w:type="dxa"/>
            <w:tcBorders>
              <w:top w:val="single" w:color="auto" w:sz="6" w:space="0"/>
              <w:left w:val="single" w:color="auto" w:sz="6" w:space="0"/>
              <w:bottom w:val="single" w:color="auto" w:sz="6" w:space="0"/>
              <w:right w:val="single" w:color="auto" w:sz="6" w:space="0"/>
            </w:tcBorders>
          </w:tcPr>
          <w:p w14:paraId="6806E8A8">
            <w:pPr>
              <w:autoSpaceDE w:val="0"/>
              <w:autoSpaceDN w:val="0"/>
              <w:adjustRightInd w:val="0"/>
              <w:spacing w:line="480" w:lineRule="exact"/>
              <w:rPr>
                <w:rFonts w:ascii="宋体" w:hAnsi="宋体"/>
                <w:b/>
                <w:bCs/>
                <w:color w:val="auto"/>
              </w:rPr>
            </w:pPr>
          </w:p>
        </w:tc>
        <w:tc>
          <w:tcPr>
            <w:tcW w:w="1276" w:type="dxa"/>
            <w:tcBorders>
              <w:top w:val="single" w:color="auto" w:sz="6" w:space="0"/>
              <w:left w:val="single" w:color="auto" w:sz="6" w:space="0"/>
              <w:bottom w:val="single" w:color="auto" w:sz="6" w:space="0"/>
              <w:right w:val="single" w:color="auto" w:sz="6" w:space="0"/>
            </w:tcBorders>
          </w:tcPr>
          <w:p w14:paraId="45F1ED74">
            <w:pPr>
              <w:autoSpaceDE w:val="0"/>
              <w:autoSpaceDN w:val="0"/>
              <w:adjustRightInd w:val="0"/>
              <w:spacing w:line="480" w:lineRule="exact"/>
              <w:rPr>
                <w:rFonts w:ascii="宋体" w:hAnsi="宋体"/>
                <w:b/>
                <w:bCs/>
                <w:color w:val="auto"/>
              </w:rPr>
            </w:pPr>
          </w:p>
        </w:tc>
        <w:tc>
          <w:tcPr>
            <w:tcW w:w="1559" w:type="dxa"/>
            <w:tcBorders>
              <w:top w:val="single" w:color="auto" w:sz="6" w:space="0"/>
              <w:left w:val="single" w:color="auto" w:sz="6" w:space="0"/>
              <w:bottom w:val="single" w:color="auto" w:sz="6" w:space="0"/>
              <w:right w:val="single" w:color="auto" w:sz="6" w:space="0"/>
            </w:tcBorders>
          </w:tcPr>
          <w:p w14:paraId="544A0AC0">
            <w:pPr>
              <w:autoSpaceDE w:val="0"/>
              <w:autoSpaceDN w:val="0"/>
              <w:adjustRightInd w:val="0"/>
              <w:spacing w:line="480" w:lineRule="exact"/>
              <w:rPr>
                <w:rFonts w:ascii="宋体" w:hAnsi="宋体"/>
                <w:b/>
                <w:bCs/>
                <w:color w:val="auto"/>
              </w:rPr>
            </w:pPr>
          </w:p>
        </w:tc>
        <w:tc>
          <w:tcPr>
            <w:tcW w:w="1417" w:type="dxa"/>
            <w:tcBorders>
              <w:top w:val="single" w:color="auto" w:sz="6" w:space="0"/>
              <w:left w:val="single" w:color="auto" w:sz="6" w:space="0"/>
              <w:bottom w:val="single" w:color="auto" w:sz="6" w:space="0"/>
              <w:right w:val="single" w:color="auto" w:sz="6" w:space="0"/>
            </w:tcBorders>
          </w:tcPr>
          <w:p w14:paraId="7FA510C1">
            <w:pPr>
              <w:autoSpaceDE w:val="0"/>
              <w:autoSpaceDN w:val="0"/>
              <w:adjustRightInd w:val="0"/>
              <w:spacing w:line="480" w:lineRule="exact"/>
              <w:rPr>
                <w:rFonts w:ascii="宋体" w:hAnsi="宋体"/>
                <w:b/>
                <w:bCs/>
                <w:color w:val="auto"/>
              </w:rPr>
            </w:pPr>
          </w:p>
        </w:tc>
        <w:tc>
          <w:tcPr>
            <w:tcW w:w="1560" w:type="dxa"/>
            <w:tcBorders>
              <w:top w:val="single" w:color="auto" w:sz="6" w:space="0"/>
              <w:left w:val="single" w:color="auto" w:sz="6" w:space="0"/>
              <w:bottom w:val="single" w:color="auto" w:sz="6" w:space="0"/>
              <w:right w:val="single" w:color="auto" w:sz="6" w:space="0"/>
            </w:tcBorders>
          </w:tcPr>
          <w:p w14:paraId="7F254E5F">
            <w:pPr>
              <w:autoSpaceDE w:val="0"/>
              <w:autoSpaceDN w:val="0"/>
              <w:adjustRightInd w:val="0"/>
              <w:spacing w:line="480" w:lineRule="exact"/>
              <w:rPr>
                <w:rFonts w:ascii="宋体" w:hAnsi="宋体"/>
                <w:b/>
                <w:bCs/>
                <w:color w:val="auto"/>
              </w:rPr>
            </w:pPr>
          </w:p>
        </w:tc>
        <w:tc>
          <w:tcPr>
            <w:tcW w:w="1417" w:type="dxa"/>
            <w:tcBorders>
              <w:top w:val="single" w:color="auto" w:sz="6" w:space="0"/>
              <w:left w:val="single" w:color="auto" w:sz="6" w:space="0"/>
              <w:bottom w:val="single" w:color="auto" w:sz="6" w:space="0"/>
              <w:right w:val="single" w:color="auto" w:sz="6" w:space="0"/>
            </w:tcBorders>
            <w:vAlign w:val="center"/>
          </w:tcPr>
          <w:p w14:paraId="151DDB2C">
            <w:pPr>
              <w:autoSpaceDE w:val="0"/>
              <w:autoSpaceDN w:val="0"/>
              <w:adjustRightInd w:val="0"/>
              <w:spacing w:line="480" w:lineRule="exact"/>
              <w:jc w:val="center"/>
              <w:rPr>
                <w:rFonts w:ascii="宋体" w:hAnsi="宋体"/>
                <w:b/>
                <w:bCs/>
                <w:color w:val="auto"/>
              </w:rPr>
            </w:pPr>
          </w:p>
        </w:tc>
      </w:tr>
    </w:tbl>
    <w:p w14:paraId="7B5458E9">
      <w:pPr>
        <w:autoSpaceDE w:val="0"/>
        <w:autoSpaceDN w:val="0"/>
        <w:adjustRightInd w:val="0"/>
        <w:spacing w:line="480" w:lineRule="auto"/>
        <w:rPr>
          <w:rFonts w:ascii="宋体" w:hAnsi="宋体" w:cs="宋体"/>
          <w:color w:val="auto"/>
          <w:lang w:val="zh-CN"/>
        </w:rPr>
      </w:pPr>
    </w:p>
    <w:p w14:paraId="7C573CD1">
      <w:pPr>
        <w:autoSpaceDE w:val="0"/>
        <w:autoSpaceDN w:val="0"/>
        <w:adjustRightInd w:val="0"/>
        <w:spacing w:line="480" w:lineRule="auto"/>
        <w:rPr>
          <w:rFonts w:ascii="宋体" w:hAnsi="宋体" w:cs="宋体"/>
          <w:color w:val="auto"/>
          <w:lang w:val="zh-CN"/>
        </w:rPr>
      </w:pPr>
      <w:r>
        <w:rPr>
          <w:rFonts w:hint="eastAsia" w:ascii="宋体" w:hAnsi="宋体" w:cs="宋体"/>
          <w:color w:val="auto"/>
          <w:lang w:val="zh-CN"/>
        </w:rPr>
        <w:t>投标人（并加盖公章）：</w:t>
      </w:r>
    </w:p>
    <w:p w14:paraId="3B2B45A0">
      <w:pPr>
        <w:autoSpaceDE w:val="0"/>
        <w:autoSpaceDN w:val="0"/>
        <w:adjustRightInd w:val="0"/>
        <w:spacing w:line="480" w:lineRule="auto"/>
        <w:rPr>
          <w:rFonts w:ascii="宋体" w:hAnsi="宋体" w:cs="宋体"/>
          <w:color w:val="auto"/>
          <w:lang w:val="zh-CN"/>
        </w:rPr>
      </w:pPr>
    </w:p>
    <w:p w14:paraId="0C71BF45">
      <w:pPr>
        <w:autoSpaceDE w:val="0"/>
        <w:autoSpaceDN w:val="0"/>
        <w:adjustRightInd w:val="0"/>
        <w:spacing w:line="480" w:lineRule="auto"/>
        <w:rPr>
          <w:rFonts w:ascii="宋体" w:hAnsi="宋体" w:cs="宋体"/>
          <w:color w:val="auto"/>
          <w:lang w:val="zh-CN"/>
        </w:rPr>
      </w:pPr>
    </w:p>
    <w:p w14:paraId="74249175">
      <w:pPr>
        <w:autoSpaceDE w:val="0"/>
        <w:autoSpaceDN w:val="0"/>
        <w:adjustRightInd w:val="0"/>
        <w:spacing w:line="360" w:lineRule="auto"/>
        <w:jc w:val="center"/>
        <w:rPr>
          <w:rFonts w:ascii="宋体" w:hAnsi="宋体"/>
          <w:b/>
          <w:bCs/>
          <w:color w:val="auto"/>
          <w:sz w:val="24"/>
          <w:szCs w:val="24"/>
        </w:rPr>
      </w:pPr>
    </w:p>
    <w:p w14:paraId="02CA6EAC">
      <w:pPr>
        <w:autoSpaceDE w:val="0"/>
        <w:autoSpaceDN w:val="0"/>
        <w:adjustRightInd w:val="0"/>
        <w:spacing w:line="360" w:lineRule="auto"/>
        <w:jc w:val="center"/>
        <w:rPr>
          <w:rFonts w:ascii="宋体" w:hAnsi="宋体"/>
          <w:b/>
          <w:bCs/>
          <w:color w:val="auto"/>
          <w:sz w:val="24"/>
          <w:szCs w:val="24"/>
        </w:rPr>
      </w:pPr>
    </w:p>
    <w:p w14:paraId="391091A0">
      <w:pPr>
        <w:autoSpaceDE w:val="0"/>
        <w:autoSpaceDN w:val="0"/>
        <w:adjustRightInd w:val="0"/>
        <w:spacing w:line="360" w:lineRule="auto"/>
        <w:jc w:val="center"/>
        <w:rPr>
          <w:rFonts w:ascii="宋体" w:hAnsi="宋体"/>
          <w:b/>
          <w:bCs/>
          <w:color w:val="auto"/>
          <w:sz w:val="24"/>
          <w:szCs w:val="24"/>
        </w:rPr>
      </w:pPr>
    </w:p>
    <w:p w14:paraId="18589BAD">
      <w:pPr>
        <w:autoSpaceDE w:val="0"/>
        <w:autoSpaceDN w:val="0"/>
        <w:adjustRightInd w:val="0"/>
        <w:spacing w:line="360" w:lineRule="auto"/>
        <w:jc w:val="center"/>
        <w:rPr>
          <w:rFonts w:ascii="宋体" w:hAnsi="宋体"/>
          <w:b/>
          <w:bCs/>
          <w:color w:val="auto"/>
          <w:sz w:val="24"/>
          <w:szCs w:val="24"/>
        </w:rPr>
      </w:pPr>
    </w:p>
    <w:p w14:paraId="7A8C0955">
      <w:pPr>
        <w:autoSpaceDE w:val="0"/>
        <w:autoSpaceDN w:val="0"/>
        <w:adjustRightInd w:val="0"/>
        <w:spacing w:line="360" w:lineRule="auto"/>
        <w:jc w:val="center"/>
        <w:rPr>
          <w:rFonts w:ascii="宋体" w:hAnsi="宋体"/>
          <w:b/>
          <w:bCs/>
          <w:color w:val="auto"/>
          <w:sz w:val="24"/>
          <w:szCs w:val="24"/>
        </w:rPr>
      </w:pPr>
    </w:p>
    <w:p w14:paraId="2DDC6F64">
      <w:pPr>
        <w:autoSpaceDE w:val="0"/>
        <w:autoSpaceDN w:val="0"/>
        <w:adjustRightInd w:val="0"/>
        <w:spacing w:line="360" w:lineRule="auto"/>
        <w:jc w:val="center"/>
        <w:rPr>
          <w:rFonts w:ascii="宋体" w:hAnsi="宋体"/>
          <w:b/>
          <w:bCs/>
          <w:color w:val="auto"/>
          <w:sz w:val="24"/>
          <w:szCs w:val="24"/>
        </w:rPr>
      </w:pPr>
    </w:p>
    <w:p w14:paraId="2A44E7E4">
      <w:pPr>
        <w:autoSpaceDE w:val="0"/>
        <w:autoSpaceDN w:val="0"/>
        <w:adjustRightInd w:val="0"/>
        <w:spacing w:line="360" w:lineRule="auto"/>
        <w:jc w:val="center"/>
        <w:rPr>
          <w:rFonts w:ascii="宋体" w:hAnsi="宋体"/>
          <w:b/>
          <w:bCs/>
          <w:color w:val="auto"/>
          <w:sz w:val="24"/>
          <w:szCs w:val="24"/>
        </w:rPr>
      </w:pPr>
    </w:p>
    <w:p w14:paraId="6F6155F5">
      <w:pPr>
        <w:autoSpaceDE w:val="0"/>
        <w:autoSpaceDN w:val="0"/>
        <w:adjustRightInd w:val="0"/>
        <w:spacing w:line="360" w:lineRule="auto"/>
        <w:jc w:val="center"/>
        <w:rPr>
          <w:rFonts w:ascii="宋体" w:hAnsi="宋体"/>
          <w:b/>
          <w:bCs/>
          <w:color w:val="auto"/>
          <w:sz w:val="24"/>
          <w:szCs w:val="24"/>
        </w:rPr>
      </w:pPr>
    </w:p>
    <w:p w14:paraId="55988515">
      <w:pPr>
        <w:autoSpaceDE w:val="0"/>
        <w:autoSpaceDN w:val="0"/>
        <w:adjustRightInd w:val="0"/>
        <w:spacing w:line="360" w:lineRule="auto"/>
        <w:jc w:val="center"/>
        <w:rPr>
          <w:rFonts w:ascii="宋体" w:hAnsi="宋体"/>
          <w:b/>
          <w:bCs/>
          <w:color w:val="auto"/>
          <w:sz w:val="24"/>
          <w:szCs w:val="24"/>
        </w:rPr>
      </w:pPr>
    </w:p>
    <w:p w14:paraId="373569A8">
      <w:pPr>
        <w:autoSpaceDE w:val="0"/>
        <w:autoSpaceDN w:val="0"/>
        <w:adjustRightInd w:val="0"/>
        <w:spacing w:line="360" w:lineRule="auto"/>
        <w:jc w:val="center"/>
        <w:rPr>
          <w:rFonts w:ascii="宋体" w:hAnsi="宋体"/>
          <w:b/>
          <w:bCs/>
          <w:color w:val="auto"/>
          <w:sz w:val="24"/>
          <w:szCs w:val="24"/>
        </w:rPr>
      </w:pPr>
    </w:p>
    <w:p w14:paraId="5F9BF024">
      <w:pPr>
        <w:snapToGrid w:val="0"/>
        <w:spacing w:line="360" w:lineRule="auto"/>
        <w:jc w:val="center"/>
        <w:outlineLvl w:val="2"/>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4.3 技术方案（实施方案）</w:t>
      </w:r>
    </w:p>
    <w:p w14:paraId="49577EC7">
      <w:pPr>
        <w:snapToGrid w:val="0"/>
        <w:spacing w:line="360" w:lineRule="auto"/>
        <w:jc w:val="center"/>
        <w:rPr>
          <w:rFonts w:hAnsi="宋体"/>
          <w:b/>
          <w:snapToGrid w:val="0"/>
          <w:color w:val="auto"/>
          <w:kern w:val="0"/>
          <w:sz w:val="36"/>
          <w:szCs w:val="36"/>
        </w:rPr>
      </w:pPr>
    </w:p>
    <w:p w14:paraId="2561BDF7">
      <w:pPr>
        <w:autoSpaceDE w:val="0"/>
        <w:autoSpaceDN w:val="0"/>
        <w:adjustRightInd w:val="0"/>
        <w:spacing w:line="360" w:lineRule="auto"/>
        <w:jc w:val="center"/>
        <w:rPr>
          <w:rFonts w:ascii="宋体" w:hAnsi="宋体" w:cs="宋体"/>
          <w:color w:val="auto"/>
          <w:lang w:val="zh-CN"/>
        </w:rPr>
      </w:pPr>
      <w:r>
        <w:rPr>
          <w:rFonts w:hint="eastAsia" w:ascii="宋体" w:hAnsi="宋体" w:cs="宋体"/>
          <w:color w:val="auto"/>
          <w:lang w:val="zh-CN"/>
        </w:rPr>
        <w:t>（投标人根据招标文件要求自行编制）</w:t>
      </w:r>
    </w:p>
    <w:p w14:paraId="24473AB2">
      <w:pPr>
        <w:snapToGrid w:val="0"/>
        <w:spacing w:line="360" w:lineRule="auto"/>
        <w:jc w:val="center"/>
        <w:rPr>
          <w:rFonts w:hAnsi="宋体"/>
          <w:b/>
          <w:snapToGrid w:val="0"/>
          <w:color w:val="auto"/>
          <w:kern w:val="0"/>
          <w:sz w:val="36"/>
          <w:szCs w:val="36"/>
        </w:rPr>
      </w:pPr>
    </w:p>
    <w:p w14:paraId="273CE998">
      <w:pPr>
        <w:snapToGrid w:val="0"/>
        <w:spacing w:line="360" w:lineRule="auto"/>
        <w:jc w:val="center"/>
        <w:rPr>
          <w:rFonts w:hAnsi="宋体"/>
          <w:b/>
          <w:snapToGrid w:val="0"/>
          <w:color w:val="auto"/>
          <w:kern w:val="0"/>
          <w:sz w:val="36"/>
          <w:szCs w:val="36"/>
        </w:rPr>
      </w:pPr>
    </w:p>
    <w:p w14:paraId="19B036E9">
      <w:pPr>
        <w:snapToGrid w:val="0"/>
        <w:spacing w:line="360" w:lineRule="auto"/>
        <w:jc w:val="center"/>
        <w:rPr>
          <w:rFonts w:hAnsi="宋体"/>
          <w:b/>
          <w:snapToGrid w:val="0"/>
          <w:color w:val="auto"/>
          <w:kern w:val="0"/>
          <w:sz w:val="36"/>
          <w:szCs w:val="36"/>
        </w:rPr>
      </w:pPr>
    </w:p>
    <w:p w14:paraId="1279EC64">
      <w:pPr>
        <w:snapToGrid w:val="0"/>
        <w:spacing w:line="360" w:lineRule="auto"/>
        <w:jc w:val="center"/>
        <w:rPr>
          <w:rFonts w:hAnsi="宋体"/>
          <w:b/>
          <w:snapToGrid w:val="0"/>
          <w:color w:val="auto"/>
          <w:kern w:val="0"/>
          <w:sz w:val="36"/>
          <w:szCs w:val="36"/>
        </w:rPr>
      </w:pPr>
    </w:p>
    <w:p w14:paraId="608D8B02">
      <w:pPr>
        <w:snapToGrid w:val="0"/>
        <w:spacing w:line="360" w:lineRule="auto"/>
        <w:jc w:val="center"/>
        <w:rPr>
          <w:rFonts w:hAnsi="宋体"/>
          <w:b/>
          <w:snapToGrid w:val="0"/>
          <w:color w:val="auto"/>
          <w:kern w:val="0"/>
          <w:sz w:val="36"/>
          <w:szCs w:val="36"/>
        </w:rPr>
      </w:pPr>
    </w:p>
    <w:p w14:paraId="72364D01">
      <w:pPr>
        <w:snapToGrid w:val="0"/>
        <w:spacing w:line="360" w:lineRule="auto"/>
        <w:jc w:val="center"/>
        <w:rPr>
          <w:rFonts w:hAnsi="宋体"/>
          <w:b/>
          <w:snapToGrid w:val="0"/>
          <w:color w:val="auto"/>
          <w:kern w:val="0"/>
          <w:sz w:val="36"/>
          <w:szCs w:val="36"/>
        </w:rPr>
      </w:pPr>
    </w:p>
    <w:p w14:paraId="68B09C02">
      <w:pPr>
        <w:snapToGrid w:val="0"/>
        <w:spacing w:line="360" w:lineRule="auto"/>
        <w:jc w:val="center"/>
        <w:rPr>
          <w:rFonts w:hAnsi="宋体"/>
          <w:b/>
          <w:snapToGrid w:val="0"/>
          <w:color w:val="auto"/>
          <w:kern w:val="0"/>
          <w:sz w:val="36"/>
          <w:szCs w:val="36"/>
        </w:rPr>
      </w:pPr>
    </w:p>
    <w:p w14:paraId="41E73CC8">
      <w:pPr>
        <w:snapToGrid w:val="0"/>
        <w:spacing w:line="360" w:lineRule="auto"/>
        <w:jc w:val="center"/>
        <w:rPr>
          <w:rFonts w:hAnsi="宋体"/>
          <w:b/>
          <w:snapToGrid w:val="0"/>
          <w:color w:val="auto"/>
          <w:kern w:val="0"/>
          <w:sz w:val="36"/>
          <w:szCs w:val="36"/>
        </w:rPr>
      </w:pPr>
    </w:p>
    <w:p w14:paraId="3233BB54">
      <w:pPr>
        <w:snapToGrid w:val="0"/>
        <w:spacing w:line="360" w:lineRule="auto"/>
        <w:jc w:val="center"/>
        <w:rPr>
          <w:rFonts w:hAnsi="宋体"/>
          <w:b/>
          <w:snapToGrid w:val="0"/>
          <w:color w:val="auto"/>
          <w:kern w:val="0"/>
          <w:sz w:val="36"/>
          <w:szCs w:val="36"/>
        </w:rPr>
      </w:pPr>
    </w:p>
    <w:p w14:paraId="211BA25A">
      <w:pPr>
        <w:snapToGrid w:val="0"/>
        <w:spacing w:line="360" w:lineRule="auto"/>
        <w:jc w:val="center"/>
        <w:rPr>
          <w:rFonts w:hAnsi="宋体"/>
          <w:b/>
          <w:snapToGrid w:val="0"/>
          <w:color w:val="auto"/>
          <w:kern w:val="0"/>
          <w:sz w:val="36"/>
          <w:szCs w:val="36"/>
        </w:rPr>
      </w:pPr>
    </w:p>
    <w:p w14:paraId="61AA8BFA">
      <w:pPr>
        <w:snapToGrid w:val="0"/>
        <w:spacing w:line="360" w:lineRule="auto"/>
        <w:jc w:val="center"/>
        <w:rPr>
          <w:rFonts w:hAnsi="宋体"/>
          <w:b/>
          <w:snapToGrid w:val="0"/>
          <w:color w:val="auto"/>
          <w:kern w:val="0"/>
          <w:sz w:val="36"/>
          <w:szCs w:val="36"/>
        </w:rPr>
      </w:pPr>
    </w:p>
    <w:p w14:paraId="19122527">
      <w:pPr>
        <w:snapToGrid w:val="0"/>
        <w:spacing w:line="360" w:lineRule="auto"/>
        <w:jc w:val="center"/>
        <w:rPr>
          <w:rFonts w:hAnsi="宋体"/>
          <w:b/>
          <w:snapToGrid w:val="0"/>
          <w:color w:val="auto"/>
          <w:kern w:val="0"/>
          <w:sz w:val="36"/>
          <w:szCs w:val="36"/>
        </w:rPr>
      </w:pPr>
    </w:p>
    <w:p w14:paraId="160FF032">
      <w:pPr>
        <w:snapToGrid w:val="0"/>
        <w:spacing w:line="360" w:lineRule="auto"/>
        <w:jc w:val="center"/>
        <w:rPr>
          <w:rFonts w:hAnsi="宋体"/>
          <w:b/>
          <w:snapToGrid w:val="0"/>
          <w:color w:val="auto"/>
          <w:kern w:val="0"/>
          <w:sz w:val="36"/>
          <w:szCs w:val="36"/>
        </w:rPr>
      </w:pPr>
    </w:p>
    <w:p w14:paraId="71E08A5D">
      <w:pPr>
        <w:snapToGrid w:val="0"/>
        <w:spacing w:line="360" w:lineRule="auto"/>
        <w:jc w:val="center"/>
        <w:rPr>
          <w:rFonts w:hAnsi="宋体"/>
          <w:b/>
          <w:snapToGrid w:val="0"/>
          <w:color w:val="auto"/>
          <w:kern w:val="0"/>
          <w:sz w:val="36"/>
          <w:szCs w:val="36"/>
        </w:rPr>
      </w:pPr>
    </w:p>
    <w:p w14:paraId="653C5675">
      <w:pPr>
        <w:snapToGrid w:val="0"/>
        <w:spacing w:line="360" w:lineRule="auto"/>
        <w:jc w:val="center"/>
        <w:outlineLvl w:val="2"/>
        <w:rPr>
          <w:rFonts w:ascii="宋体" w:hAnsi="宋体"/>
          <w:b/>
          <w:bCs/>
          <w:color w:val="auto"/>
          <w:sz w:val="24"/>
          <w:szCs w:val="24"/>
        </w:rPr>
      </w:pPr>
      <w:r>
        <w:rPr>
          <w:rFonts w:hAnsi="宋体"/>
          <w:b/>
          <w:snapToGrid w:val="0"/>
          <w:color w:val="auto"/>
          <w:kern w:val="0"/>
          <w:sz w:val="36"/>
          <w:szCs w:val="36"/>
        </w:rPr>
        <w:br w:type="page"/>
      </w:r>
      <w:r>
        <w:rPr>
          <w:rFonts w:hint="eastAsia" w:ascii="宋体" w:hAnsi="宋体"/>
          <w:b/>
          <w:bCs/>
          <w:color w:val="auto"/>
          <w:sz w:val="24"/>
          <w:szCs w:val="24"/>
        </w:rPr>
        <w:t>4.4 业绩情况表</w:t>
      </w:r>
    </w:p>
    <w:p w14:paraId="775CA4A5">
      <w:pPr>
        <w:autoSpaceDE w:val="0"/>
        <w:autoSpaceDN w:val="0"/>
        <w:adjustRightInd w:val="0"/>
        <w:spacing w:line="360" w:lineRule="auto"/>
        <w:jc w:val="center"/>
        <w:rPr>
          <w:rFonts w:ascii="宋体" w:hAnsi="宋体"/>
          <w:b/>
          <w:bCs/>
          <w:color w:val="auto"/>
          <w:sz w:val="28"/>
          <w:szCs w:val="28"/>
        </w:rPr>
      </w:pPr>
    </w:p>
    <w:p w14:paraId="61E654F7">
      <w:pPr>
        <w:spacing w:before="50" w:after="162" w:afterLines="50" w:line="360" w:lineRule="auto"/>
        <w:contextualSpacing/>
        <w:jc w:val="left"/>
        <w:rPr>
          <w:rFonts w:ascii="宋体" w:hAnsi="宋体"/>
          <w:color w:val="auto"/>
        </w:rPr>
      </w:pPr>
      <w:r>
        <w:rPr>
          <w:rFonts w:hint="eastAsia" w:ascii="宋体" w:hAnsi="宋体"/>
          <w:color w:val="auto"/>
        </w:rPr>
        <w:t>采购编号：</w:t>
      </w:r>
    </w:p>
    <w:p w14:paraId="1EC9D698">
      <w:pPr>
        <w:snapToGrid w:val="0"/>
        <w:spacing w:line="360" w:lineRule="auto"/>
        <w:rPr>
          <w:rFonts w:ascii="宋体" w:hAnsi="宋体"/>
          <w:color w:val="auto"/>
        </w:rPr>
      </w:pPr>
      <w:r>
        <w:rPr>
          <w:rFonts w:hint="eastAsia" w:ascii="宋体" w:hAnsi="宋体"/>
          <w:color w:val="auto"/>
        </w:rPr>
        <w:t xml:space="preserve">项目名称：   </w:t>
      </w:r>
    </w:p>
    <w:p w14:paraId="1218484C">
      <w:pPr>
        <w:snapToGrid w:val="0"/>
        <w:spacing w:line="360" w:lineRule="auto"/>
        <w:rPr>
          <w:rFonts w:hAnsi="宋体"/>
          <w:b/>
          <w:snapToGrid w:val="0"/>
          <w:color w:val="auto"/>
          <w:kern w:val="0"/>
        </w:rPr>
      </w:pPr>
    </w:p>
    <w:tbl>
      <w:tblPr>
        <w:tblStyle w:val="30"/>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0751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4F081414">
            <w:pPr>
              <w:pStyle w:val="14"/>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序号</w:t>
            </w:r>
          </w:p>
        </w:tc>
        <w:tc>
          <w:tcPr>
            <w:tcW w:w="1808" w:type="dxa"/>
            <w:shd w:val="clear" w:color="auto" w:fill="F3F3F3"/>
            <w:vAlign w:val="center"/>
          </w:tcPr>
          <w:p w14:paraId="5D215FDE">
            <w:pPr>
              <w:pStyle w:val="14"/>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客户单位名称</w:t>
            </w:r>
          </w:p>
        </w:tc>
        <w:tc>
          <w:tcPr>
            <w:tcW w:w="3579" w:type="dxa"/>
            <w:shd w:val="clear" w:color="auto" w:fill="F3F3F3"/>
            <w:vAlign w:val="center"/>
          </w:tcPr>
          <w:p w14:paraId="25235059">
            <w:pPr>
              <w:pStyle w:val="14"/>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项目名称及主要内容</w:t>
            </w:r>
          </w:p>
        </w:tc>
        <w:tc>
          <w:tcPr>
            <w:tcW w:w="1440" w:type="dxa"/>
            <w:shd w:val="clear" w:color="auto" w:fill="F3F3F3"/>
            <w:vAlign w:val="center"/>
          </w:tcPr>
          <w:p w14:paraId="06E1CFE0">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合同金额</w:t>
            </w:r>
          </w:p>
          <w:p w14:paraId="1F0AE8DC">
            <w:pPr>
              <w:pStyle w:val="14"/>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（万元）</w:t>
            </w:r>
          </w:p>
        </w:tc>
        <w:tc>
          <w:tcPr>
            <w:tcW w:w="1706" w:type="dxa"/>
            <w:shd w:val="clear" w:color="auto" w:fill="F3F3F3"/>
            <w:vAlign w:val="center"/>
          </w:tcPr>
          <w:p w14:paraId="3E36C71D">
            <w:pPr>
              <w:pStyle w:val="14"/>
              <w:jc w:val="center"/>
              <w:rPr>
                <w:rFonts w:ascii="宋体" w:hAnsi="宋体" w:eastAsia="宋体" w:cs="Times New Roman"/>
                <w:b/>
                <w:bCs/>
                <w:color w:val="auto"/>
                <w:sz w:val="21"/>
                <w:szCs w:val="21"/>
              </w:rPr>
            </w:pPr>
            <w:r>
              <w:rPr>
                <w:rFonts w:hint="eastAsia" w:ascii="宋体" w:hAnsi="宋体" w:eastAsia="宋体" w:cs="宋体"/>
                <w:b/>
                <w:bCs/>
                <w:color w:val="auto"/>
                <w:sz w:val="21"/>
                <w:szCs w:val="21"/>
              </w:rPr>
              <w:t>联系人及电话</w:t>
            </w:r>
          </w:p>
        </w:tc>
      </w:tr>
      <w:tr w14:paraId="2419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5885FF6">
            <w:pPr>
              <w:pStyle w:val="14"/>
              <w:spacing w:line="360" w:lineRule="auto"/>
              <w:jc w:val="center"/>
              <w:rPr>
                <w:rFonts w:ascii="宋体" w:hAnsi="宋体" w:eastAsia="宋体" w:cs="宋体"/>
                <w:color w:val="auto"/>
                <w:sz w:val="21"/>
                <w:szCs w:val="21"/>
              </w:rPr>
            </w:pPr>
            <w:r>
              <w:rPr>
                <w:rFonts w:ascii="宋体" w:hAnsi="宋体" w:eastAsia="宋体" w:cs="宋体"/>
                <w:color w:val="auto"/>
                <w:sz w:val="21"/>
                <w:szCs w:val="21"/>
              </w:rPr>
              <w:t>1</w:t>
            </w:r>
          </w:p>
        </w:tc>
        <w:tc>
          <w:tcPr>
            <w:tcW w:w="1808" w:type="dxa"/>
            <w:tcBorders>
              <w:left w:val="single" w:color="auto" w:sz="4" w:space="0"/>
            </w:tcBorders>
            <w:vAlign w:val="center"/>
          </w:tcPr>
          <w:p w14:paraId="5FBB21C7">
            <w:pPr>
              <w:pStyle w:val="14"/>
              <w:spacing w:line="360" w:lineRule="auto"/>
              <w:rPr>
                <w:rFonts w:ascii="宋体" w:hAnsi="宋体" w:eastAsia="宋体" w:cs="Times New Roman"/>
                <w:color w:val="auto"/>
                <w:sz w:val="21"/>
                <w:szCs w:val="21"/>
              </w:rPr>
            </w:pPr>
          </w:p>
        </w:tc>
        <w:tc>
          <w:tcPr>
            <w:tcW w:w="3579" w:type="dxa"/>
            <w:tcBorders>
              <w:left w:val="single" w:color="auto" w:sz="4" w:space="0"/>
            </w:tcBorders>
            <w:vAlign w:val="center"/>
          </w:tcPr>
          <w:p w14:paraId="5A9D694E">
            <w:pPr>
              <w:pStyle w:val="14"/>
              <w:spacing w:line="360" w:lineRule="auto"/>
              <w:rPr>
                <w:rFonts w:ascii="宋体" w:hAnsi="宋体" w:eastAsia="宋体" w:cs="Times New Roman"/>
                <w:color w:val="auto"/>
                <w:sz w:val="21"/>
                <w:szCs w:val="21"/>
              </w:rPr>
            </w:pPr>
          </w:p>
        </w:tc>
        <w:tc>
          <w:tcPr>
            <w:tcW w:w="1440" w:type="dxa"/>
            <w:tcBorders>
              <w:left w:val="single" w:color="auto" w:sz="4" w:space="0"/>
            </w:tcBorders>
            <w:vAlign w:val="center"/>
          </w:tcPr>
          <w:p w14:paraId="29424757">
            <w:pPr>
              <w:pStyle w:val="14"/>
              <w:spacing w:line="360" w:lineRule="auto"/>
              <w:rPr>
                <w:rFonts w:ascii="宋体" w:hAnsi="宋体" w:eastAsia="宋体" w:cs="Times New Roman"/>
                <w:color w:val="auto"/>
                <w:sz w:val="21"/>
                <w:szCs w:val="21"/>
              </w:rPr>
            </w:pPr>
          </w:p>
        </w:tc>
        <w:tc>
          <w:tcPr>
            <w:tcW w:w="1706" w:type="dxa"/>
            <w:tcBorders>
              <w:left w:val="single" w:color="auto" w:sz="4" w:space="0"/>
            </w:tcBorders>
            <w:vAlign w:val="center"/>
          </w:tcPr>
          <w:p w14:paraId="579319FA">
            <w:pPr>
              <w:pStyle w:val="14"/>
              <w:spacing w:line="360" w:lineRule="auto"/>
              <w:rPr>
                <w:rFonts w:ascii="宋体" w:hAnsi="宋体" w:eastAsia="宋体" w:cs="Times New Roman"/>
                <w:color w:val="auto"/>
                <w:sz w:val="21"/>
                <w:szCs w:val="21"/>
              </w:rPr>
            </w:pPr>
          </w:p>
        </w:tc>
      </w:tr>
      <w:tr w14:paraId="590D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6C6F5B53">
            <w:pPr>
              <w:pStyle w:val="14"/>
              <w:spacing w:line="360" w:lineRule="auto"/>
              <w:jc w:val="center"/>
              <w:rPr>
                <w:rFonts w:ascii="宋体" w:hAnsi="宋体" w:eastAsia="宋体" w:cs="宋体"/>
                <w:color w:val="auto"/>
                <w:sz w:val="21"/>
                <w:szCs w:val="21"/>
              </w:rPr>
            </w:pPr>
            <w:r>
              <w:rPr>
                <w:rFonts w:ascii="宋体" w:hAnsi="宋体" w:eastAsia="宋体" w:cs="宋体"/>
                <w:color w:val="auto"/>
                <w:sz w:val="21"/>
                <w:szCs w:val="21"/>
              </w:rPr>
              <w:t>2</w:t>
            </w:r>
          </w:p>
        </w:tc>
        <w:tc>
          <w:tcPr>
            <w:tcW w:w="1808" w:type="dxa"/>
            <w:tcBorders>
              <w:left w:val="single" w:color="auto" w:sz="4" w:space="0"/>
            </w:tcBorders>
            <w:vAlign w:val="center"/>
          </w:tcPr>
          <w:p w14:paraId="586F8639">
            <w:pPr>
              <w:pStyle w:val="14"/>
              <w:spacing w:line="360" w:lineRule="auto"/>
              <w:rPr>
                <w:rFonts w:ascii="宋体" w:hAnsi="宋体" w:eastAsia="宋体" w:cs="Times New Roman"/>
                <w:color w:val="auto"/>
                <w:sz w:val="21"/>
                <w:szCs w:val="21"/>
              </w:rPr>
            </w:pPr>
          </w:p>
        </w:tc>
        <w:tc>
          <w:tcPr>
            <w:tcW w:w="3579" w:type="dxa"/>
            <w:tcBorders>
              <w:left w:val="single" w:color="auto" w:sz="4" w:space="0"/>
            </w:tcBorders>
            <w:vAlign w:val="center"/>
          </w:tcPr>
          <w:p w14:paraId="16A8A5B1">
            <w:pPr>
              <w:pStyle w:val="14"/>
              <w:spacing w:line="360" w:lineRule="auto"/>
              <w:rPr>
                <w:rFonts w:ascii="宋体" w:hAnsi="宋体" w:eastAsia="宋体" w:cs="Times New Roman"/>
                <w:color w:val="auto"/>
                <w:sz w:val="21"/>
                <w:szCs w:val="21"/>
              </w:rPr>
            </w:pPr>
          </w:p>
        </w:tc>
        <w:tc>
          <w:tcPr>
            <w:tcW w:w="1440" w:type="dxa"/>
            <w:tcBorders>
              <w:left w:val="single" w:color="auto" w:sz="4" w:space="0"/>
            </w:tcBorders>
            <w:vAlign w:val="center"/>
          </w:tcPr>
          <w:p w14:paraId="11A53FB2">
            <w:pPr>
              <w:pStyle w:val="14"/>
              <w:spacing w:line="360" w:lineRule="auto"/>
              <w:rPr>
                <w:rFonts w:ascii="宋体" w:hAnsi="宋体" w:eastAsia="宋体" w:cs="Times New Roman"/>
                <w:color w:val="auto"/>
                <w:sz w:val="21"/>
                <w:szCs w:val="21"/>
              </w:rPr>
            </w:pPr>
          </w:p>
        </w:tc>
        <w:tc>
          <w:tcPr>
            <w:tcW w:w="1706" w:type="dxa"/>
            <w:tcBorders>
              <w:left w:val="single" w:color="auto" w:sz="4" w:space="0"/>
            </w:tcBorders>
            <w:vAlign w:val="center"/>
          </w:tcPr>
          <w:p w14:paraId="5C338446">
            <w:pPr>
              <w:pStyle w:val="14"/>
              <w:spacing w:line="360" w:lineRule="auto"/>
              <w:rPr>
                <w:rFonts w:ascii="宋体" w:hAnsi="宋体" w:eastAsia="宋体" w:cs="Times New Roman"/>
                <w:color w:val="auto"/>
                <w:sz w:val="21"/>
                <w:szCs w:val="21"/>
              </w:rPr>
            </w:pPr>
          </w:p>
        </w:tc>
      </w:tr>
      <w:tr w14:paraId="2AFE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5A10EEC">
            <w:pPr>
              <w:pStyle w:val="14"/>
              <w:spacing w:line="360" w:lineRule="auto"/>
              <w:jc w:val="center"/>
              <w:rPr>
                <w:rFonts w:ascii="宋体" w:hAnsi="宋体" w:eastAsia="宋体" w:cs="宋体"/>
                <w:color w:val="auto"/>
                <w:sz w:val="21"/>
                <w:szCs w:val="21"/>
              </w:rPr>
            </w:pPr>
            <w:r>
              <w:rPr>
                <w:rFonts w:ascii="宋体" w:hAnsi="宋体" w:eastAsia="宋体" w:cs="宋体"/>
                <w:color w:val="auto"/>
                <w:sz w:val="21"/>
                <w:szCs w:val="21"/>
              </w:rPr>
              <w:t>3</w:t>
            </w:r>
          </w:p>
        </w:tc>
        <w:tc>
          <w:tcPr>
            <w:tcW w:w="1808" w:type="dxa"/>
            <w:tcBorders>
              <w:left w:val="single" w:color="auto" w:sz="4" w:space="0"/>
            </w:tcBorders>
            <w:vAlign w:val="center"/>
          </w:tcPr>
          <w:p w14:paraId="15A28D9B">
            <w:pPr>
              <w:pStyle w:val="14"/>
              <w:spacing w:line="360" w:lineRule="auto"/>
              <w:rPr>
                <w:rFonts w:ascii="宋体" w:hAnsi="宋体" w:eastAsia="宋体" w:cs="Times New Roman"/>
                <w:color w:val="auto"/>
                <w:sz w:val="21"/>
                <w:szCs w:val="21"/>
              </w:rPr>
            </w:pPr>
          </w:p>
        </w:tc>
        <w:tc>
          <w:tcPr>
            <w:tcW w:w="3579" w:type="dxa"/>
            <w:tcBorders>
              <w:left w:val="single" w:color="auto" w:sz="4" w:space="0"/>
            </w:tcBorders>
            <w:vAlign w:val="center"/>
          </w:tcPr>
          <w:p w14:paraId="4738EA4B">
            <w:pPr>
              <w:pStyle w:val="14"/>
              <w:spacing w:line="360" w:lineRule="auto"/>
              <w:rPr>
                <w:rFonts w:ascii="宋体" w:hAnsi="宋体" w:eastAsia="宋体" w:cs="Times New Roman"/>
                <w:color w:val="auto"/>
                <w:sz w:val="21"/>
                <w:szCs w:val="21"/>
              </w:rPr>
            </w:pPr>
          </w:p>
        </w:tc>
        <w:tc>
          <w:tcPr>
            <w:tcW w:w="1440" w:type="dxa"/>
            <w:tcBorders>
              <w:left w:val="single" w:color="auto" w:sz="4" w:space="0"/>
            </w:tcBorders>
            <w:vAlign w:val="center"/>
          </w:tcPr>
          <w:p w14:paraId="57EAA651">
            <w:pPr>
              <w:pStyle w:val="14"/>
              <w:spacing w:line="360" w:lineRule="auto"/>
              <w:rPr>
                <w:rFonts w:ascii="宋体" w:hAnsi="宋体" w:eastAsia="宋体" w:cs="Times New Roman"/>
                <w:color w:val="auto"/>
                <w:sz w:val="21"/>
                <w:szCs w:val="21"/>
              </w:rPr>
            </w:pPr>
          </w:p>
        </w:tc>
        <w:tc>
          <w:tcPr>
            <w:tcW w:w="1706" w:type="dxa"/>
            <w:tcBorders>
              <w:left w:val="single" w:color="auto" w:sz="4" w:space="0"/>
            </w:tcBorders>
            <w:vAlign w:val="center"/>
          </w:tcPr>
          <w:p w14:paraId="7A459FD6">
            <w:pPr>
              <w:pStyle w:val="14"/>
              <w:spacing w:line="360" w:lineRule="auto"/>
              <w:rPr>
                <w:rFonts w:ascii="宋体" w:hAnsi="宋体" w:eastAsia="宋体" w:cs="Times New Roman"/>
                <w:color w:val="auto"/>
                <w:sz w:val="21"/>
                <w:szCs w:val="21"/>
              </w:rPr>
            </w:pPr>
          </w:p>
        </w:tc>
      </w:tr>
      <w:tr w14:paraId="6660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3FF3B9E">
            <w:pPr>
              <w:pStyle w:val="14"/>
              <w:spacing w:line="360" w:lineRule="auto"/>
              <w:jc w:val="center"/>
              <w:rPr>
                <w:rFonts w:ascii="宋体" w:hAnsi="宋体" w:eastAsia="宋体" w:cs="宋体"/>
                <w:color w:val="auto"/>
                <w:sz w:val="21"/>
                <w:szCs w:val="21"/>
              </w:rPr>
            </w:pPr>
            <w:r>
              <w:rPr>
                <w:rFonts w:ascii="宋体" w:hAnsi="宋体" w:eastAsia="宋体" w:cs="宋体"/>
                <w:color w:val="auto"/>
                <w:sz w:val="21"/>
                <w:szCs w:val="21"/>
              </w:rPr>
              <w:t>4</w:t>
            </w:r>
          </w:p>
        </w:tc>
        <w:tc>
          <w:tcPr>
            <w:tcW w:w="1808" w:type="dxa"/>
            <w:tcBorders>
              <w:left w:val="single" w:color="auto" w:sz="4" w:space="0"/>
            </w:tcBorders>
            <w:vAlign w:val="center"/>
          </w:tcPr>
          <w:p w14:paraId="69E036A8">
            <w:pPr>
              <w:rPr>
                <w:rFonts w:ascii="宋体"/>
                <w:color w:val="auto"/>
              </w:rPr>
            </w:pPr>
          </w:p>
        </w:tc>
        <w:tc>
          <w:tcPr>
            <w:tcW w:w="3579" w:type="dxa"/>
            <w:tcBorders>
              <w:left w:val="single" w:color="auto" w:sz="4" w:space="0"/>
            </w:tcBorders>
            <w:vAlign w:val="center"/>
          </w:tcPr>
          <w:p w14:paraId="58DD4770">
            <w:pPr>
              <w:rPr>
                <w:rFonts w:ascii="宋体"/>
                <w:color w:val="auto"/>
              </w:rPr>
            </w:pPr>
          </w:p>
        </w:tc>
        <w:tc>
          <w:tcPr>
            <w:tcW w:w="1440" w:type="dxa"/>
            <w:tcBorders>
              <w:left w:val="single" w:color="auto" w:sz="4" w:space="0"/>
            </w:tcBorders>
            <w:vAlign w:val="center"/>
          </w:tcPr>
          <w:p w14:paraId="0DE3A1F8">
            <w:pPr>
              <w:rPr>
                <w:rFonts w:ascii="宋体"/>
                <w:color w:val="auto"/>
              </w:rPr>
            </w:pPr>
          </w:p>
        </w:tc>
        <w:tc>
          <w:tcPr>
            <w:tcW w:w="1706" w:type="dxa"/>
            <w:tcBorders>
              <w:left w:val="single" w:color="auto" w:sz="4" w:space="0"/>
            </w:tcBorders>
            <w:vAlign w:val="center"/>
          </w:tcPr>
          <w:p w14:paraId="52A0C5C3">
            <w:pPr>
              <w:rPr>
                <w:rFonts w:ascii="宋体"/>
                <w:color w:val="auto"/>
              </w:rPr>
            </w:pPr>
          </w:p>
        </w:tc>
      </w:tr>
      <w:tr w14:paraId="7C89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07D8B7CA">
            <w:pPr>
              <w:pStyle w:val="14"/>
              <w:spacing w:line="360" w:lineRule="auto"/>
              <w:jc w:val="center"/>
              <w:rPr>
                <w:rFonts w:ascii="宋体" w:hAnsi="宋体" w:eastAsia="宋体" w:cs="Times New Roman"/>
                <w:color w:val="auto"/>
                <w:sz w:val="21"/>
                <w:szCs w:val="21"/>
              </w:rPr>
            </w:pPr>
            <w:r>
              <w:rPr>
                <w:rFonts w:hint="eastAsia" w:ascii="宋体" w:hAnsi="宋体" w:eastAsia="宋体" w:cs="宋体"/>
                <w:color w:val="auto"/>
                <w:sz w:val="21"/>
                <w:szCs w:val="21"/>
              </w:rPr>
              <w:t>……</w:t>
            </w:r>
          </w:p>
        </w:tc>
        <w:tc>
          <w:tcPr>
            <w:tcW w:w="1808" w:type="dxa"/>
            <w:tcBorders>
              <w:left w:val="single" w:color="auto" w:sz="4" w:space="0"/>
            </w:tcBorders>
            <w:vAlign w:val="center"/>
          </w:tcPr>
          <w:p w14:paraId="1C34E873">
            <w:pPr>
              <w:rPr>
                <w:rFonts w:ascii="宋体"/>
                <w:color w:val="auto"/>
              </w:rPr>
            </w:pPr>
          </w:p>
        </w:tc>
        <w:tc>
          <w:tcPr>
            <w:tcW w:w="3579" w:type="dxa"/>
            <w:tcBorders>
              <w:left w:val="single" w:color="auto" w:sz="4" w:space="0"/>
            </w:tcBorders>
            <w:vAlign w:val="center"/>
          </w:tcPr>
          <w:p w14:paraId="03B93637">
            <w:pPr>
              <w:rPr>
                <w:rFonts w:ascii="宋体"/>
                <w:color w:val="auto"/>
              </w:rPr>
            </w:pPr>
          </w:p>
        </w:tc>
        <w:tc>
          <w:tcPr>
            <w:tcW w:w="1440" w:type="dxa"/>
            <w:tcBorders>
              <w:left w:val="single" w:color="auto" w:sz="4" w:space="0"/>
            </w:tcBorders>
            <w:vAlign w:val="center"/>
          </w:tcPr>
          <w:p w14:paraId="33C8C4D1">
            <w:pPr>
              <w:rPr>
                <w:rFonts w:ascii="宋体"/>
                <w:color w:val="auto"/>
              </w:rPr>
            </w:pPr>
          </w:p>
        </w:tc>
        <w:tc>
          <w:tcPr>
            <w:tcW w:w="1706" w:type="dxa"/>
            <w:tcBorders>
              <w:left w:val="single" w:color="auto" w:sz="4" w:space="0"/>
            </w:tcBorders>
            <w:vAlign w:val="center"/>
          </w:tcPr>
          <w:p w14:paraId="75BBBA70">
            <w:pPr>
              <w:rPr>
                <w:rFonts w:ascii="宋体"/>
                <w:color w:val="auto"/>
              </w:rPr>
            </w:pPr>
          </w:p>
        </w:tc>
      </w:tr>
    </w:tbl>
    <w:p w14:paraId="086038E4">
      <w:pPr>
        <w:autoSpaceDE w:val="0"/>
        <w:autoSpaceDN w:val="0"/>
        <w:adjustRightInd w:val="0"/>
        <w:spacing w:line="480" w:lineRule="auto"/>
        <w:rPr>
          <w:rFonts w:ascii="宋体" w:hAnsi="宋体" w:cs="宋体"/>
          <w:color w:val="auto"/>
          <w:lang w:val="zh-CN"/>
        </w:rPr>
      </w:pPr>
    </w:p>
    <w:p w14:paraId="369526CF">
      <w:pPr>
        <w:autoSpaceDE w:val="0"/>
        <w:autoSpaceDN w:val="0"/>
        <w:adjustRightInd w:val="0"/>
        <w:spacing w:line="480" w:lineRule="auto"/>
        <w:rPr>
          <w:rFonts w:ascii="宋体" w:hAnsi="宋体" w:cs="宋体"/>
          <w:color w:val="auto"/>
          <w:lang w:val="zh-CN"/>
        </w:rPr>
      </w:pPr>
      <w:r>
        <w:rPr>
          <w:rFonts w:hint="eastAsia" w:ascii="宋体" w:hAnsi="宋体" w:cs="宋体"/>
          <w:color w:val="auto"/>
          <w:lang w:val="zh-CN"/>
        </w:rPr>
        <w:t>投标人（并加盖公章）：</w:t>
      </w:r>
    </w:p>
    <w:p w14:paraId="1E69EDAB">
      <w:pPr>
        <w:autoSpaceDE w:val="0"/>
        <w:autoSpaceDN w:val="0"/>
        <w:adjustRightInd w:val="0"/>
        <w:spacing w:line="480" w:lineRule="auto"/>
        <w:rPr>
          <w:rFonts w:ascii="宋体" w:hAnsi="宋体" w:cs="宋体"/>
          <w:color w:val="auto"/>
          <w:lang w:val="zh-CN"/>
        </w:rPr>
      </w:pPr>
    </w:p>
    <w:p w14:paraId="2ECE7418">
      <w:pPr>
        <w:autoSpaceDE w:val="0"/>
        <w:autoSpaceDN w:val="0"/>
        <w:adjustRightInd w:val="0"/>
        <w:spacing w:line="480" w:lineRule="auto"/>
        <w:rPr>
          <w:rFonts w:ascii="宋体" w:hAnsi="宋体" w:cs="宋体"/>
          <w:color w:val="auto"/>
          <w:sz w:val="24"/>
          <w:szCs w:val="24"/>
          <w:lang w:val="zh-CN"/>
        </w:rPr>
      </w:pPr>
    </w:p>
    <w:p w14:paraId="2CE409F2">
      <w:pPr>
        <w:autoSpaceDE w:val="0"/>
        <w:autoSpaceDN w:val="0"/>
        <w:adjustRightInd w:val="0"/>
        <w:spacing w:line="360" w:lineRule="auto"/>
        <w:jc w:val="center"/>
        <w:rPr>
          <w:rFonts w:ascii="宋体" w:hAnsi="宋体"/>
          <w:b/>
          <w:bCs/>
          <w:color w:val="auto"/>
          <w:sz w:val="24"/>
          <w:szCs w:val="24"/>
        </w:rPr>
      </w:pPr>
    </w:p>
    <w:p w14:paraId="433D95AA">
      <w:pPr>
        <w:autoSpaceDE w:val="0"/>
        <w:autoSpaceDN w:val="0"/>
        <w:adjustRightInd w:val="0"/>
        <w:spacing w:line="360" w:lineRule="auto"/>
        <w:jc w:val="center"/>
        <w:rPr>
          <w:rFonts w:ascii="宋体" w:hAnsi="宋体"/>
          <w:b/>
          <w:bCs/>
          <w:color w:val="auto"/>
          <w:sz w:val="24"/>
          <w:szCs w:val="24"/>
        </w:rPr>
      </w:pPr>
    </w:p>
    <w:p w14:paraId="4B703745">
      <w:pPr>
        <w:autoSpaceDE w:val="0"/>
        <w:autoSpaceDN w:val="0"/>
        <w:adjustRightInd w:val="0"/>
        <w:spacing w:line="360" w:lineRule="auto"/>
        <w:jc w:val="center"/>
        <w:rPr>
          <w:rFonts w:ascii="宋体" w:hAnsi="宋体"/>
          <w:b/>
          <w:bCs/>
          <w:color w:val="auto"/>
          <w:sz w:val="24"/>
          <w:szCs w:val="24"/>
        </w:rPr>
      </w:pPr>
    </w:p>
    <w:p w14:paraId="34565B56">
      <w:pPr>
        <w:autoSpaceDE w:val="0"/>
        <w:autoSpaceDN w:val="0"/>
        <w:adjustRightInd w:val="0"/>
        <w:spacing w:line="360" w:lineRule="auto"/>
        <w:jc w:val="center"/>
        <w:rPr>
          <w:rFonts w:ascii="宋体" w:hAnsi="宋体"/>
          <w:b/>
          <w:bCs/>
          <w:color w:val="auto"/>
          <w:sz w:val="24"/>
          <w:szCs w:val="24"/>
        </w:rPr>
      </w:pPr>
    </w:p>
    <w:p w14:paraId="7171DAC2">
      <w:pPr>
        <w:autoSpaceDE w:val="0"/>
        <w:autoSpaceDN w:val="0"/>
        <w:adjustRightInd w:val="0"/>
        <w:spacing w:line="360" w:lineRule="auto"/>
        <w:jc w:val="center"/>
        <w:rPr>
          <w:rFonts w:ascii="宋体" w:hAnsi="宋体"/>
          <w:b/>
          <w:bCs/>
          <w:color w:val="auto"/>
          <w:sz w:val="24"/>
          <w:szCs w:val="24"/>
        </w:rPr>
      </w:pPr>
    </w:p>
    <w:p w14:paraId="6308EBC2">
      <w:pPr>
        <w:autoSpaceDE w:val="0"/>
        <w:autoSpaceDN w:val="0"/>
        <w:adjustRightInd w:val="0"/>
        <w:spacing w:line="360" w:lineRule="auto"/>
        <w:jc w:val="center"/>
        <w:rPr>
          <w:rFonts w:ascii="宋体" w:hAnsi="宋体"/>
          <w:b/>
          <w:bCs/>
          <w:color w:val="auto"/>
          <w:sz w:val="24"/>
          <w:szCs w:val="24"/>
        </w:rPr>
      </w:pPr>
    </w:p>
    <w:p w14:paraId="1D68CD8A">
      <w:pPr>
        <w:autoSpaceDE w:val="0"/>
        <w:autoSpaceDN w:val="0"/>
        <w:adjustRightInd w:val="0"/>
        <w:spacing w:line="360" w:lineRule="auto"/>
        <w:jc w:val="center"/>
        <w:rPr>
          <w:rFonts w:ascii="宋体" w:hAnsi="宋体"/>
          <w:b/>
          <w:bCs/>
          <w:color w:val="auto"/>
          <w:sz w:val="24"/>
          <w:szCs w:val="24"/>
        </w:rPr>
      </w:pPr>
    </w:p>
    <w:p w14:paraId="5721C949">
      <w:pPr>
        <w:autoSpaceDE w:val="0"/>
        <w:autoSpaceDN w:val="0"/>
        <w:adjustRightInd w:val="0"/>
        <w:spacing w:line="360" w:lineRule="auto"/>
        <w:jc w:val="center"/>
        <w:rPr>
          <w:rFonts w:ascii="宋体" w:hAnsi="宋体"/>
          <w:b/>
          <w:bCs/>
          <w:color w:val="auto"/>
          <w:sz w:val="24"/>
          <w:szCs w:val="24"/>
        </w:rPr>
      </w:pPr>
    </w:p>
    <w:p w14:paraId="4061560F">
      <w:pPr>
        <w:autoSpaceDE w:val="0"/>
        <w:autoSpaceDN w:val="0"/>
        <w:adjustRightInd w:val="0"/>
        <w:spacing w:line="360" w:lineRule="auto"/>
        <w:jc w:val="center"/>
        <w:outlineLvl w:val="2"/>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4.5 售后服务方案</w:t>
      </w:r>
    </w:p>
    <w:p w14:paraId="0E5086A0">
      <w:pPr>
        <w:autoSpaceDE w:val="0"/>
        <w:autoSpaceDN w:val="0"/>
        <w:adjustRightInd w:val="0"/>
        <w:spacing w:line="360" w:lineRule="auto"/>
        <w:jc w:val="center"/>
        <w:rPr>
          <w:rFonts w:ascii="宋体" w:hAnsi="宋体"/>
          <w:b/>
          <w:bCs/>
          <w:color w:val="auto"/>
          <w:sz w:val="36"/>
          <w:szCs w:val="36"/>
        </w:rPr>
      </w:pPr>
    </w:p>
    <w:p w14:paraId="58ADB146">
      <w:pPr>
        <w:autoSpaceDE w:val="0"/>
        <w:autoSpaceDN w:val="0"/>
        <w:adjustRightInd w:val="0"/>
        <w:spacing w:line="360" w:lineRule="auto"/>
        <w:jc w:val="center"/>
        <w:rPr>
          <w:rFonts w:ascii="宋体" w:hAnsi="宋体"/>
          <w:b/>
          <w:bCs/>
          <w:color w:val="auto"/>
          <w:sz w:val="36"/>
          <w:szCs w:val="36"/>
        </w:rPr>
      </w:pPr>
    </w:p>
    <w:p w14:paraId="532F8565">
      <w:pPr>
        <w:autoSpaceDE w:val="0"/>
        <w:autoSpaceDN w:val="0"/>
        <w:adjustRightInd w:val="0"/>
        <w:spacing w:line="360" w:lineRule="auto"/>
        <w:jc w:val="center"/>
        <w:rPr>
          <w:rFonts w:ascii="宋体" w:hAnsi="宋体" w:cs="宋体"/>
          <w:color w:val="auto"/>
          <w:lang w:val="zh-CN"/>
        </w:rPr>
      </w:pPr>
      <w:r>
        <w:rPr>
          <w:rFonts w:hint="eastAsia" w:ascii="宋体" w:hAnsi="宋体" w:cs="宋体"/>
          <w:color w:val="auto"/>
          <w:lang w:val="zh-CN"/>
        </w:rPr>
        <w:t>（投标人根据招标文件要求自行编制）</w:t>
      </w:r>
    </w:p>
    <w:p w14:paraId="3627E77F">
      <w:pPr>
        <w:autoSpaceDE w:val="0"/>
        <w:autoSpaceDN w:val="0"/>
        <w:adjustRightInd w:val="0"/>
        <w:spacing w:line="360" w:lineRule="auto"/>
        <w:jc w:val="center"/>
        <w:rPr>
          <w:rFonts w:ascii="宋体" w:hAnsi="宋体"/>
          <w:b/>
          <w:bCs/>
          <w:color w:val="auto"/>
          <w:sz w:val="36"/>
          <w:szCs w:val="36"/>
        </w:rPr>
      </w:pPr>
    </w:p>
    <w:p w14:paraId="3FE46EA4">
      <w:pPr>
        <w:autoSpaceDE w:val="0"/>
        <w:autoSpaceDN w:val="0"/>
        <w:adjustRightInd w:val="0"/>
        <w:spacing w:line="360" w:lineRule="auto"/>
        <w:jc w:val="center"/>
        <w:rPr>
          <w:rFonts w:ascii="宋体" w:hAnsi="宋体"/>
          <w:b/>
          <w:bCs/>
          <w:color w:val="auto"/>
          <w:sz w:val="36"/>
          <w:szCs w:val="36"/>
        </w:rPr>
      </w:pPr>
    </w:p>
    <w:p w14:paraId="0F3F6A49">
      <w:pPr>
        <w:autoSpaceDE w:val="0"/>
        <w:autoSpaceDN w:val="0"/>
        <w:adjustRightInd w:val="0"/>
        <w:spacing w:line="360" w:lineRule="auto"/>
        <w:jc w:val="center"/>
        <w:rPr>
          <w:rFonts w:ascii="宋体" w:hAnsi="宋体"/>
          <w:b/>
          <w:bCs/>
          <w:color w:val="auto"/>
          <w:sz w:val="36"/>
          <w:szCs w:val="36"/>
        </w:rPr>
      </w:pPr>
    </w:p>
    <w:p w14:paraId="02D32305">
      <w:pPr>
        <w:autoSpaceDE w:val="0"/>
        <w:autoSpaceDN w:val="0"/>
        <w:adjustRightInd w:val="0"/>
        <w:spacing w:line="360" w:lineRule="auto"/>
        <w:jc w:val="center"/>
        <w:rPr>
          <w:rFonts w:ascii="宋体" w:hAnsi="宋体"/>
          <w:b/>
          <w:bCs/>
          <w:color w:val="auto"/>
          <w:sz w:val="36"/>
          <w:szCs w:val="36"/>
        </w:rPr>
      </w:pPr>
    </w:p>
    <w:p w14:paraId="522F1AC0">
      <w:pPr>
        <w:autoSpaceDE w:val="0"/>
        <w:autoSpaceDN w:val="0"/>
        <w:adjustRightInd w:val="0"/>
        <w:spacing w:line="360" w:lineRule="auto"/>
        <w:jc w:val="center"/>
        <w:rPr>
          <w:rFonts w:ascii="宋体" w:hAnsi="宋体"/>
          <w:b/>
          <w:bCs/>
          <w:color w:val="auto"/>
          <w:sz w:val="36"/>
          <w:szCs w:val="36"/>
        </w:rPr>
      </w:pPr>
    </w:p>
    <w:p w14:paraId="30AD5AED">
      <w:pPr>
        <w:autoSpaceDE w:val="0"/>
        <w:autoSpaceDN w:val="0"/>
        <w:adjustRightInd w:val="0"/>
        <w:spacing w:line="360" w:lineRule="auto"/>
        <w:jc w:val="center"/>
        <w:rPr>
          <w:rFonts w:ascii="宋体" w:hAnsi="宋体"/>
          <w:b/>
          <w:bCs/>
          <w:color w:val="auto"/>
          <w:sz w:val="36"/>
          <w:szCs w:val="36"/>
        </w:rPr>
      </w:pPr>
    </w:p>
    <w:p w14:paraId="3D9D42EE">
      <w:pPr>
        <w:autoSpaceDE w:val="0"/>
        <w:autoSpaceDN w:val="0"/>
        <w:adjustRightInd w:val="0"/>
        <w:spacing w:line="360" w:lineRule="auto"/>
        <w:jc w:val="center"/>
        <w:rPr>
          <w:rFonts w:ascii="宋体" w:hAnsi="宋体"/>
          <w:b/>
          <w:bCs/>
          <w:color w:val="auto"/>
          <w:sz w:val="36"/>
          <w:szCs w:val="36"/>
        </w:rPr>
      </w:pPr>
    </w:p>
    <w:p w14:paraId="4EFBD080">
      <w:pPr>
        <w:autoSpaceDE w:val="0"/>
        <w:autoSpaceDN w:val="0"/>
        <w:adjustRightInd w:val="0"/>
        <w:spacing w:line="360" w:lineRule="auto"/>
        <w:jc w:val="center"/>
        <w:rPr>
          <w:rFonts w:ascii="宋体" w:hAnsi="宋体"/>
          <w:b/>
          <w:bCs/>
          <w:color w:val="auto"/>
          <w:sz w:val="36"/>
          <w:szCs w:val="36"/>
        </w:rPr>
      </w:pPr>
    </w:p>
    <w:p w14:paraId="62ADDDBF">
      <w:pPr>
        <w:autoSpaceDE w:val="0"/>
        <w:autoSpaceDN w:val="0"/>
        <w:adjustRightInd w:val="0"/>
        <w:spacing w:line="360" w:lineRule="auto"/>
        <w:jc w:val="center"/>
        <w:rPr>
          <w:rFonts w:ascii="宋体" w:hAnsi="宋体"/>
          <w:b/>
          <w:bCs/>
          <w:color w:val="auto"/>
          <w:sz w:val="36"/>
          <w:szCs w:val="36"/>
        </w:rPr>
      </w:pPr>
    </w:p>
    <w:p w14:paraId="4CC47B18">
      <w:pPr>
        <w:autoSpaceDE w:val="0"/>
        <w:autoSpaceDN w:val="0"/>
        <w:adjustRightInd w:val="0"/>
        <w:spacing w:line="360" w:lineRule="auto"/>
        <w:jc w:val="center"/>
        <w:rPr>
          <w:rFonts w:ascii="宋体" w:hAnsi="宋体"/>
          <w:b/>
          <w:bCs/>
          <w:color w:val="auto"/>
          <w:sz w:val="36"/>
          <w:szCs w:val="36"/>
        </w:rPr>
      </w:pPr>
    </w:p>
    <w:p w14:paraId="0D0AE03A">
      <w:pPr>
        <w:autoSpaceDE w:val="0"/>
        <w:autoSpaceDN w:val="0"/>
        <w:adjustRightInd w:val="0"/>
        <w:spacing w:line="360" w:lineRule="auto"/>
        <w:jc w:val="center"/>
        <w:rPr>
          <w:rFonts w:ascii="宋体" w:hAnsi="宋体"/>
          <w:b/>
          <w:bCs/>
          <w:color w:val="auto"/>
          <w:sz w:val="36"/>
          <w:szCs w:val="36"/>
        </w:rPr>
      </w:pPr>
    </w:p>
    <w:p w14:paraId="3D168716">
      <w:pPr>
        <w:autoSpaceDE w:val="0"/>
        <w:autoSpaceDN w:val="0"/>
        <w:adjustRightInd w:val="0"/>
        <w:spacing w:line="360" w:lineRule="auto"/>
        <w:jc w:val="center"/>
        <w:rPr>
          <w:rFonts w:ascii="宋体" w:hAnsi="宋体"/>
          <w:b/>
          <w:bCs/>
          <w:color w:val="auto"/>
          <w:sz w:val="36"/>
          <w:szCs w:val="36"/>
        </w:rPr>
      </w:pPr>
    </w:p>
    <w:p w14:paraId="5FED7658">
      <w:pPr>
        <w:autoSpaceDE w:val="0"/>
        <w:autoSpaceDN w:val="0"/>
        <w:adjustRightInd w:val="0"/>
        <w:spacing w:line="360" w:lineRule="auto"/>
        <w:jc w:val="center"/>
        <w:rPr>
          <w:rFonts w:ascii="宋体" w:hAnsi="宋体"/>
          <w:b/>
          <w:bCs/>
          <w:color w:val="auto"/>
          <w:sz w:val="36"/>
          <w:szCs w:val="36"/>
        </w:rPr>
      </w:pPr>
    </w:p>
    <w:p w14:paraId="217B905B">
      <w:pPr>
        <w:autoSpaceDE w:val="0"/>
        <w:autoSpaceDN w:val="0"/>
        <w:adjustRightInd w:val="0"/>
        <w:spacing w:line="360" w:lineRule="auto"/>
        <w:jc w:val="center"/>
        <w:rPr>
          <w:rFonts w:ascii="宋体" w:hAnsi="宋体"/>
          <w:b/>
          <w:bCs/>
          <w:color w:val="auto"/>
          <w:sz w:val="36"/>
          <w:szCs w:val="36"/>
        </w:rPr>
      </w:pPr>
    </w:p>
    <w:p w14:paraId="3B08866F">
      <w:pPr>
        <w:autoSpaceDE w:val="0"/>
        <w:autoSpaceDN w:val="0"/>
        <w:adjustRightInd w:val="0"/>
        <w:spacing w:line="360" w:lineRule="auto"/>
        <w:jc w:val="center"/>
        <w:rPr>
          <w:rFonts w:ascii="宋体" w:hAnsi="宋体"/>
          <w:b/>
          <w:bCs/>
          <w:color w:val="auto"/>
          <w:sz w:val="36"/>
          <w:szCs w:val="36"/>
        </w:rPr>
      </w:pPr>
    </w:p>
    <w:p w14:paraId="0414F128">
      <w:pPr>
        <w:autoSpaceDE w:val="0"/>
        <w:autoSpaceDN w:val="0"/>
        <w:adjustRightInd w:val="0"/>
        <w:spacing w:line="360" w:lineRule="auto"/>
        <w:jc w:val="center"/>
        <w:rPr>
          <w:rFonts w:ascii="宋体" w:hAnsi="宋体"/>
          <w:b/>
          <w:bCs/>
          <w:color w:val="auto"/>
          <w:sz w:val="36"/>
          <w:szCs w:val="36"/>
        </w:rPr>
      </w:pPr>
    </w:p>
    <w:p w14:paraId="1A2B42DB">
      <w:pPr>
        <w:autoSpaceDE w:val="0"/>
        <w:autoSpaceDN w:val="0"/>
        <w:adjustRightInd w:val="0"/>
        <w:spacing w:line="360" w:lineRule="auto"/>
        <w:jc w:val="center"/>
        <w:rPr>
          <w:rFonts w:ascii="宋体" w:hAnsi="宋体"/>
          <w:b/>
          <w:bCs/>
          <w:color w:val="auto"/>
          <w:sz w:val="36"/>
          <w:szCs w:val="36"/>
        </w:rPr>
      </w:pPr>
    </w:p>
    <w:p w14:paraId="7900801A">
      <w:pPr>
        <w:autoSpaceDE w:val="0"/>
        <w:autoSpaceDN w:val="0"/>
        <w:adjustRightInd w:val="0"/>
        <w:spacing w:line="360" w:lineRule="auto"/>
        <w:jc w:val="center"/>
        <w:outlineLvl w:val="2"/>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4.6“节能产品政府采购品目清单”强制节能产品情况（如有）</w:t>
      </w:r>
    </w:p>
    <w:p w14:paraId="6DAB29DC">
      <w:pPr>
        <w:autoSpaceDE w:val="0"/>
        <w:autoSpaceDN w:val="0"/>
        <w:adjustRightInd w:val="0"/>
        <w:spacing w:line="360" w:lineRule="auto"/>
        <w:jc w:val="center"/>
        <w:rPr>
          <w:rFonts w:ascii="宋体" w:hAnsi="宋体"/>
          <w:b/>
          <w:bCs/>
          <w:color w:val="auto"/>
          <w:sz w:val="28"/>
          <w:szCs w:val="28"/>
        </w:rPr>
      </w:pPr>
    </w:p>
    <w:p w14:paraId="4DA346C8">
      <w:pPr>
        <w:spacing w:before="50" w:after="162" w:afterLines="50" w:line="360" w:lineRule="auto"/>
        <w:contextualSpacing/>
        <w:jc w:val="left"/>
        <w:rPr>
          <w:rFonts w:ascii="宋体" w:hAnsi="宋体"/>
          <w:color w:val="auto"/>
        </w:rPr>
      </w:pPr>
      <w:r>
        <w:rPr>
          <w:rFonts w:hint="eastAsia" w:ascii="宋体" w:hAnsi="宋体"/>
          <w:color w:val="auto"/>
        </w:rPr>
        <w:t>采购编号：</w:t>
      </w:r>
    </w:p>
    <w:p w14:paraId="278F2B08">
      <w:pPr>
        <w:tabs>
          <w:tab w:val="left" w:pos="1800"/>
          <w:tab w:val="left" w:pos="5580"/>
        </w:tabs>
        <w:spacing w:line="360" w:lineRule="auto"/>
        <w:rPr>
          <w:rFonts w:ascii="宋体" w:hAnsi="宋体"/>
          <w:color w:val="auto"/>
        </w:rPr>
      </w:pPr>
      <w:r>
        <w:rPr>
          <w:rFonts w:hint="eastAsia" w:ascii="宋体" w:hAnsi="宋体"/>
          <w:color w:val="auto"/>
        </w:rPr>
        <w:t>项目名称：</w:t>
      </w:r>
    </w:p>
    <w:p w14:paraId="3954F261">
      <w:pPr>
        <w:tabs>
          <w:tab w:val="left" w:pos="1800"/>
          <w:tab w:val="left" w:pos="5580"/>
        </w:tabs>
        <w:spacing w:line="360" w:lineRule="auto"/>
        <w:rPr>
          <w:rFonts w:ascii="宋体" w:hAnsi="宋体"/>
          <w:color w:val="auto"/>
        </w:rPr>
      </w:pPr>
    </w:p>
    <w:tbl>
      <w:tblPr>
        <w:tblStyle w:val="30"/>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54D0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54F3CFA5">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374" w:type="dxa"/>
            <w:shd w:val="clear" w:color="auto" w:fill="F2F2F2"/>
            <w:vAlign w:val="center"/>
          </w:tcPr>
          <w:p w14:paraId="429ED0DF">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产品名称</w:t>
            </w:r>
          </w:p>
        </w:tc>
        <w:tc>
          <w:tcPr>
            <w:tcW w:w="1518" w:type="dxa"/>
            <w:shd w:val="clear" w:color="auto" w:fill="F2F2F2"/>
            <w:vAlign w:val="center"/>
          </w:tcPr>
          <w:p w14:paraId="0246D676">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品牌</w:t>
            </w:r>
          </w:p>
        </w:tc>
        <w:tc>
          <w:tcPr>
            <w:tcW w:w="1240" w:type="dxa"/>
            <w:shd w:val="clear" w:color="auto" w:fill="F2F2F2"/>
            <w:vAlign w:val="center"/>
          </w:tcPr>
          <w:p w14:paraId="051D1896">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产品型号</w:t>
            </w:r>
          </w:p>
        </w:tc>
        <w:tc>
          <w:tcPr>
            <w:tcW w:w="1648" w:type="dxa"/>
            <w:shd w:val="clear" w:color="auto" w:fill="F2F2F2"/>
            <w:vAlign w:val="center"/>
          </w:tcPr>
          <w:p w14:paraId="1970A1E4">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认证证书编号</w:t>
            </w:r>
          </w:p>
        </w:tc>
        <w:tc>
          <w:tcPr>
            <w:tcW w:w="1600" w:type="dxa"/>
            <w:shd w:val="clear" w:color="auto" w:fill="F2F2F2"/>
            <w:vAlign w:val="center"/>
          </w:tcPr>
          <w:p w14:paraId="221EF145">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证书有效期</w:t>
            </w:r>
          </w:p>
        </w:tc>
        <w:tc>
          <w:tcPr>
            <w:tcW w:w="1418" w:type="dxa"/>
            <w:shd w:val="clear" w:color="auto" w:fill="F2F2F2"/>
            <w:vAlign w:val="center"/>
          </w:tcPr>
          <w:p w14:paraId="24D00745">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认证机构</w:t>
            </w:r>
          </w:p>
        </w:tc>
      </w:tr>
      <w:tr w14:paraId="162A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65CCAA90">
            <w:pPr>
              <w:pStyle w:val="14"/>
              <w:spacing w:line="360" w:lineRule="auto"/>
              <w:jc w:val="center"/>
              <w:rPr>
                <w:rFonts w:ascii="宋体" w:hAnsi="宋体" w:eastAsia="宋体" w:cs="Times New Roman"/>
                <w:color w:val="auto"/>
                <w:sz w:val="21"/>
                <w:szCs w:val="21"/>
              </w:rPr>
            </w:pPr>
            <w:r>
              <w:rPr>
                <w:rFonts w:hint="eastAsia" w:ascii="宋体" w:hAnsi="宋体" w:eastAsia="宋体" w:cs="Times New Roman"/>
                <w:color w:val="auto"/>
                <w:sz w:val="21"/>
                <w:szCs w:val="21"/>
              </w:rPr>
              <w:t>1</w:t>
            </w:r>
          </w:p>
        </w:tc>
        <w:tc>
          <w:tcPr>
            <w:tcW w:w="1374" w:type="dxa"/>
            <w:tcBorders>
              <w:left w:val="single" w:color="auto" w:sz="4" w:space="0"/>
            </w:tcBorders>
            <w:vAlign w:val="center"/>
          </w:tcPr>
          <w:p w14:paraId="0C0B27CE">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6BF92570">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7DAB30BA">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72FA519F">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6B92A2D7">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17C15FE5">
            <w:pPr>
              <w:pStyle w:val="14"/>
              <w:spacing w:line="360" w:lineRule="auto"/>
              <w:rPr>
                <w:rFonts w:ascii="宋体" w:hAnsi="宋体" w:eastAsia="宋体" w:cs="Times New Roman"/>
                <w:color w:val="auto"/>
                <w:sz w:val="21"/>
                <w:szCs w:val="21"/>
              </w:rPr>
            </w:pPr>
          </w:p>
        </w:tc>
      </w:tr>
      <w:tr w14:paraId="217E6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6371861C">
            <w:pPr>
              <w:pStyle w:val="14"/>
              <w:spacing w:line="360" w:lineRule="auto"/>
              <w:jc w:val="center"/>
              <w:rPr>
                <w:rFonts w:ascii="宋体" w:hAnsi="宋体" w:eastAsia="宋体" w:cs="Times New Roman"/>
                <w:color w:val="auto"/>
                <w:sz w:val="21"/>
                <w:szCs w:val="21"/>
              </w:rPr>
            </w:pPr>
            <w:r>
              <w:rPr>
                <w:rFonts w:hint="eastAsia" w:ascii="宋体" w:hAnsi="宋体" w:eastAsia="宋体" w:cs="Times New Roman"/>
                <w:color w:val="auto"/>
                <w:sz w:val="21"/>
                <w:szCs w:val="21"/>
              </w:rPr>
              <w:t>2</w:t>
            </w:r>
          </w:p>
        </w:tc>
        <w:tc>
          <w:tcPr>
            <w:tcW w:w="1374" w:type="dxa"/>
            <w:tcBorders>
              <w:left w:val="single" w:color="auto" w:sz="4" w:space="0"/>
            </w:tcBorders>
            <w:vAlign w:val="center"/>
          </w:tcPr>
          <w:p w14:paraId="3449B1C5">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6D8C1BDE">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6702B20B">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35C4411B">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6705A2A9">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11AC949C">
            <w:pPr>
              <w:pStyle w:val="14"/>
              <w:spacing w:line="360" w:lineRule="auto"/>
              <w:rPr>
                <w:rFonts w:ascii="宋体" w:hAnsi="宋体" w:eastAsia="宋体" w:cs="Times New Roman"/>
                <w:color w:val="auto"/>
                <w:sz w:val="21"/>
                <w:szCs w:val="21"/>
              </w:rPr>
            </w:pPr>
          </w:p>
        </w:tc>
      </w:tr>
      <w:tr w14:paraId="74B8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EB8C1FE">
            <w:pPr>
              <w:pStyle w:val="14"/>
              <w:spacing w:line="360" w:lineRule="auto"/>
              <w:jc w:val="center"/>
              <w:rPr>
                <w:rFonts w:ascii="宋体" w:hAnsi="宋体" w:eastAsia="宋体" w:cs="Times New Roman"/>
                <w:color w:val="auto"/>
                <w:sz w:val="21"/>
                <w:szCs w:val="21"/>
              </w:rPr>
            </w:pPr>
            <w:r>
              <w:rPr>
                <w:rFonts w:hint="eastAsia" w:ascii="宋体" w:hAnsi="宋体" w:eastAsia="宋体" w:cs="宋体"/>
                <w:color w:val="auto"/>
                <w:sz w:val="21"/>
                <w:szCs w:val="21"/>
              </w:rPr>
              <w:t>…</w:t>
            </w:r>
          </w:p>
        </w:tc>
        <w:tc>
          <w:tcPr>
            <w:tcW w:w="1374" w:type="dxa"/>
            <w:tcBorders>
              <w:left w:val="single" w:color="auto" w:sz="4" w:space="0"/>
            </w:tcBorders>
            <w:vAlign w:val="center"/>
          </w:tcPr>
          <w:p w14:paraId="6C71CEA3">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475CD59C">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7CBCB5EB">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19F56417">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20D6DE2D">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547453AC">
            <w:pPr>
              <w:pStyle w:val="14"/>
              <w:spacing w:line="360" w:lineRule="auto"/>
              <w:rPr>
                <w:rFonts w:ascii="宋体" w:hAnsi="宋体" w:eastAsia="宋体" w:cs="Times New Roman"/>
                <w:color w:val="auto"/>
                <w:sz w:val="21"/>
                <w:szCs w:val="21"/>
              </w:rPr>
            </w:pPr>
          </w:p>
        </w:tc>
      </w:tr>
    </w:tbl>
    <w:p w14:paraId="3010EBD8">
      <w:pPr>
        <w:autoSpaceDE w:val="0"/>
        <w:autoSpaceDN w:val="0"/>
        <w:adjustRightInd w:val="0"/>
        <w:spacing w:line="480" w:lineRule="auto"/>
        <w:rPr>
          <w:rFonts w:ascii="宋体" w:hAnsi="宋体" w:cs="宋体"/>
          <w:color w:val="auto"/>
          <w:lang w:val="zh-CN"/>
        </w:rPr>
      </w:pPr>
      <w:r>
        <w:rPr>
          <w:rFonts w:hint="eastAsia" w:ascii="宋体" w:hAnsi="宋体" w:cs="宋体"/>
          <w:color w:val="auto"/>
          <w:lang w:val="zh-CN"/>
        </w:rPr>
        <w:t>投标人（并加盖公章）：</w:t>
      </w:r>
    </w:p>
    <w:p w14:paraId="298403FC">
      <w:pPr>
        <w:autoSpaceDE w:val="0"/>
        <w:autoSpaceDN w:val="0"/>
        <w:adjustRightInd w:val="0"/>
        <w:spacing w:line="480" w:lineRule="auto"/>
        <w:rPr>
          <w:rFonts w:ascii="宋体" w:hAnsi="宋体" w:cs="宋体"/>
          <w:color w:val="auto"/>
          <w:lang w:val="zh-CN"/>
        </w:rPr>
      </w:pPr>
    </w:p>
    <w:p w14:paraId="505661DD">
      <w:pPr>
        <w:snapToGrid w:val="0"/>
        <w:spacing w:line="500" w:lineRule="exact"/>
        <w:rPr>
          <w:rFonts w:ascii="宋体" w:hAnsi="宋体" w:cs="宋体"/>
          <w:color w:val="auto"/>
          <w:lang w:val="zh-CN"/>
        </w:rPr>
      </w:pPr>
    </w:p>
    <w:p w14:paraId="07DB5C52">
      <w:pPr>
        <w:rPr>
          <w:rFonts w:ascii="宋体" w:hAnsi="宋体" w:cs="宋体"/>
          <w:color w:val="auto"/>
          <w:lang w:val="zh-CN"/>
        </w:rPr>
      </w:pPr>
      <w:r>
        <w:rPr>
          <w:rFonts w:hint="eastAsia" w:ascii="宋体" w:hAnsi="宋体" w:cs="宋体"/>
          <w:color w:val="auto"/>
          <w:lang w:val="zh-CN"/>
        </w:rPr>
        <w:t>说明：所投产品节能认证证书须附后。</w:t>
      </w:r>
    </w:p>
    <w:p w14:paraId="78FE6F09">
      <w:pPr>
        <w:autoSpaceDE w:val="0"/>
        <w:autoSpaceDN w:val="0"/>
        <w:adjustRightInd w:val="0"/>
        <w:spacing w:line="360" w:lineRule="auto"/>
        <w:jc w:val="center"/>
        <w:rPr>
          <w:rFonts w:ascii="宋体" w:hAnsi="宋体"/>
          <w:b/>
          <w:bCs/>
          <w:color w:val="auto"/>
          <w:sz w:val="24"/>
          <w:szCs w:val="24"/>
        </w:rPr>
      </w:pPr>
    </w:p>
    <w:p w14:paraId="3285DE0A">
      <w:pPr>
        <w:autoSpaceDE w:val="0"/>
        <w:autoSpaceDN w:val="0"/>
        <w:adjustRightInd w:val="0"/>
        <w:spacing w:line="360" w:lineRule="auto"/>
        <w:jc w:val="center"/>
        <w:rPr>
          <w:rFonts w:ascii="宋体" w:hAnsi="宋体"/>
          <w:b/>
          <w:bCs/>
          <w:color w:val="auto"/>
          <w:sz w:val="24"/>
          <w:szCs w:val="24"/>
        </w:rPr>
      </w:pPr>
    </w:p>
    <w:p w14:paraId="60395B21">
      <w:pPr>
        <w:autoSpaceDE w:val="0"/>
        <w:autoSpaceDN w:val="0"/>
        <w:adjustRightInd w:val="0"/>
        <w:spacing w:line="360" w:lineRule="auto"/>
        <w:jc w:val="center"/>
        <w:rPr>
          <w:rFonts w:ascii="宋体" w:hAnsi="宋体"/>
          <w:b/>
          <w:bCs/>
          <w:color w:val="auto"/>
          <w:sz w:val="24"/>
          <w:szCs w:val="24"/>
        </w:rPr>
      </w:pPr>
    </w:p>
    <w:p w14:paraId="0F51FE39">
      <w:pPr>
        <w:autoSpaceDE w:val="0"/>
        <w:autoSpaceDN w:val="0"/>
        <w:adjustRightInd w:val="0"/>
        <w:spacing w:line="360" w:lineRule="auto"/>
        <w:jc w:val="center"/>
        <w:rPr>
          <w:rFonts w:ascii="宋体" w:hAnsi="宋体"/>
          <w:b/>
          <w:bCs/>
          <w:color w:val="auto"/>
          <w:sz w:val="24"/>
          <w:szCs w:val="24"/>
        </w:rPr>
      </w:pPr>
    </w:p>
    <w:p w14:paraId="7962E37E">
      <w:pPr>
        <w:autoSpaceDE w:val="0"/>
        <w:autoSpaceDN w:val="0"/>
        <w:adjustRightInd w:val="0"/>
        <w:spacing w:line="360" w:lineRule="auto"/>
        <w:jc w:val="center"/>
        <w:rPr>
          <w:rFonts w:ascii="宋体" w:hAnsi="宋体"/>
          <w:b/>
          <w:bCs/>
          <w:color w:val="auto"/>
          <w:sz w:val="24"/>
          <w:szCs w:val="24"/>
        </w:rPr>
      </w:pPr>
    </w:p>
    <w:p w14:paraId="53BC5AC1">
      <w:pPr>
        <w:autoSpaceDE w:val="0"/>
        <w:autoSpaceDN w:val="0"/>
        <w:adjustRightInd w:val="0"/>
        <w:spacing w:line="360" w:lineRule="auto"/>
        <w:jc w:val="center"/>
        <w:rPr>
          <w:rFonts w:ascii="宋体" w:hAnsi="宋体"/>
          <w:b/>
          <w:bCs/>
          <w:color w:val="auto"/>
          <w:sz w:val="24"/>
          <w:szCs w:val="24"/>
        </w:rPr>
      </w:pPr>
    </w:p>
    <w:p w14:paraId="4D15E351">
      <w:pPr>
        <w:autoSpaceDE w:val="0"/>
        <w:autoSpaceDN w:val="0"/>
        <w:adjustRightInd w:val="0"/>
        <w:spacing w:line="360" w:lineRule="auto"/>
        <w:jc w:val="center"/>
        <w:rPr>
          <w:rFonts w:ascii="宋体" w:hAnsi="宋体"/>
          <w:b/>
          <w:bCs/>
          <w:color w:val="auto"/>
          <w:sz w:val="24"/>
          <w:szCs w:val="24"/>
        </w:rPr>
      </w:pPr>
    </w:p>
    <w:p w14:paraId="1D4BBE98">
      <w:pPr>
        <w:autoSpaceDE w:val="0"/>
        <w:autoSpaceDN w:val="0"/>
        <w:adjustRightInd w:val="0"/>
        <w:spacing w:line="360" w:lineRule="auto"/>
        <w:jc w:val="center"/>
        <w:rPr>
          <w:rFonts w:ascii="宋体" w:hAnsi="宋体"/>
          <w:b/>
          <w:bCs/>
          <w:color w:val="auto"/>
          <w:sz w:val="24"/>
          <w:szCs w:val="24"/>
        </w:rPr>
      </w:pPr>
    </w:p>
    <w:p w14:paraId="0A08BFA9">
      <w:pPr>
        <w:autoSpaceDE w:val="0"/>
        <w:autoSpaceDN w:val="0"/>
        <w:adjustRightInd w:val="0"/>
        <w:spacing w:line="360" w:lineRule="auto"/>
        <w:jc w:val="center"/>
        <w:rPr>
          <w:rFonts w:ascii="宋体" w:hAnsi="宋体"/>
          <w:b/>
          <w:bCs/>
          <w:color w:val="auto"/>
          <w:sz w:val="24"/>
          <w:szCs w:val="24"/>
        </w:rPr>
      </w:pPr>
    </w:p>
    <w:p w14:paraId="66AA4667">
      <w:pPr>
        <w:autoSpaceDE w:val="0"/>
        <w:autoSpaceDN w:val="0"/>
        <w:adjustRightInd w:val="0"/>
        <w:spacing w:line="360" w:lineRule="auto"/>
        <w:jc w:val="center"/>
        <w:rPr>
          <w:rFonts w:ascii="宋体" w:hAnsi="宋体"/>
          <w:b/>
          <w:bCs/>
          <w:color w:val="auto"/>
          <w:sz w:val="24"/>
          <w:szCs w:val="24"/>
        </w:rPr>
      </w:pPr>
    </w:p>
    <w:p w14:paraId="5CA40FB1">
      <w:pPr>
        <w:autoSpaceDE w:val="0"/>
        <w:autoSpaceDN w:val="0"/>
        <w:adjustRightInd w:val="0"/>
        <w:spacing w:line="360" w:lineRule="auto"/>
        <w:jc w:val="center"/>
        <w:outlineLvl w:val="2"/>
        <w:rPr>
          <w:rFonts w:ascii="宋体" w:hAnsi="宋体"/>
          <w:b/>
          <w:bCs/>
          <w:color w:val="auto"/>
          <w:sz w:val="24"/>
          <w:szCs w:val="24"/>
        </w:rPr>
      </w:pPr>
      <w:r>
        <w:rPr>
          <w:rFonts w:ascii="宋体" w:hAnsi="宋体"/>
          <w:b/>
          <w:bCs/>
          <w:color w:val="auto"/>
          <w:sz w:val="24"/>
          <w:szCs w:val="24"/>
        </w:rPr>
        <w:br w:type="page"/>
      </w:r>
      <w:r>
        <w:rPr>
          <w:rFonts w:hint="eastAsia" w:ascii="宋体" w:hAnsi="宋体"/>
          <w:b/>
          <w:bCs/>
          <w:color w:val="auto"/>
          <w:sz w:val="24"/>
          <w:szCs w:val="24"/>
        </w:rPr>
        <w:t>4.7“节能产品政府采购品目清单”优先采购节能产品情况（如有）</w:t>
      </w:r>
    </w:p>
    <w:p w14:paraId="4A7B2D84">
      <w:pPr>
        <w:autoSpaceDE w:val="0"/>
        <w:autoSpaceDN w:val="0"/>
        <w:adjustRightInd w:val="0"/>
        <w:spacing w:line="360" w:lineRule="auto"/>
        <w:jc w:val="center"/>
        <w:rPr>
          <w:rFonts w:ascii="宋体" w:hAnsi="宋体"/>
          <w:b/>
          <w:bCs/>
          <w:color w:val="auto"/>
          <w:sz w:val="28"/>
          <w:szCs w:val="28"/>
        </w:rPr>
      </w:pPr>
    </w:p>
    <w:p w14:paraId="5F204872">
      <w:pPr>
        <w:spacing w:before="50" w:after="162" w:afterLines="50" w:line="360" w:lineRule="auto"/>
        <w:contextualSpacing/>
        <w:jc w:val="left"/>
        <w:rPr>
          <w:rFonts w:ascii="宋体" w:hAnsi="宋体"/>
          <w:color w:val="auto"/>
        </w:rPr>
      </w:pPr>
      <w:r>
        <w:rPr>
          <w:rFonts w:hint="eastAsia" w:ascii="宋体" w:hAnsi="宋体"/>
          <w:color w:val="auto"/>
        </w:rPr>
        <w:t>采购编号：</w:t>
      </w:r>
    </w:p>
    <w:p w14:paraId="40223E92">
      <w:pPr>
        <w:tabs>
          <w:tab w:val="left" w:pos="1800"/>
          <w:tab w:val="left" w:pos="5580"/>
        </w:tabs>
        <w:spacing w:line="360" w:lineRule="auto"/>
        <w:rPr>
          <w:rFonts w:ascii="宋体" w:hAnsi="宋体"/>
          <w:color w:val="auto"/>
        </w:rPr>
      </w:pPr>
      <w:r>
        <w:rPr>
          <w:rFonts w:hint="eastAsia" w:ascii="宋体" w:hAnsi="宋体"/>
          <w:color w:val="auto"/>
        </w:rPr>
        <w:t>项目名称：</w:t>
      </w:r>
    </w:p>
    <w:p w14:paraId="505989FC">
      <w:pPr>
        <w:tabs>
          <w:tab w:val="left" w:pos="1800"/>
          <w:tab w:val="left" w:pos="5580"/>
        </w:tabs>
        <w:spacing w:line="360" w:lineRule="auto"/>
        <w:rPr>
          <w:rFonts w:ascii="宋体" w:hAnsi="宋体"/>
          <w:color w:val="auto"/>
        </w:rPr>
      </w:pPr>
    </w:p>
    <w:tbl>
      <w:tblPr>
        <w:tblStyle w:val="30"/>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91C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12F4E261">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374" w:type="dxa"/>
            <w:shd w:val="clear" w:color="auto" w:fill="F2F2F2"/>
            <w:vAlign w:val="center"/>
          </w:tcPr>
          <w:p w14:paraId="6E92324F">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产品名称</w:t>
            </w:r>
          </w:p>
        </w:tc>
        <w:tc>
          <w:tcPr>
            <w:tcW w:w="1518" w:type="dxa"/>
            <w:shd w:val="clear" w:color="auto" w:fill="F2F2F2"/>
            <w:vAlign w:val="center"/>
          </w:tcPr>
          <w:p w14:paraId="6FC56CAB">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品牌</w:t>
            </w:r>
          </w:p>
        </w:tc>
        <w:tc>
          <w:tcPr>
            <w:tcW w:w="1240" w:type="dxa"/>
            <w:shd w:val="clear" w:color="auto" w:fill="F2F2F2"/>
            <w:vAlign w:val="center"/>
          </w:tcPr>
          <w:p w14:paraId="53679259">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产品型号</w:t>
            </w:r>
          </w:p>
        </w:tc>
        <w:tc>
          <w:tcPr>
            <w:tcW w:w="1648" w:type="dxa"/>
            <w:shd w:val="clear" w:color="auto" w:fill="F2F2F2"/>
            <w:vAlign w:val="center"/>
          </w:tcPr>
          <w:p w14:paraId="7A23F10B">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认证证书编号</w:t>
            </w:r>
          </w:p>
        </w:tc>
        <w:tc>
          <w:tcPr>
            <w:tcW w:w="1600" w:type="dxa"/>
            <w:shd w:val="clear" w:color="auto" w:fill="F2F2F2"/>
            <w:vAlign w:val="center"/>
          </w:tcPr>
          <w:p w14:paraId="4196BF19">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证书有效期</w:t>
            </w:r>
          </w:p>
        </w:tc>
        <w:tc>
          <w:tcPr>
            <w:tcW w:w="1418" w:type="dxa"/>
            <w:shd w:val="clear" w:color="auto" w:fill="F2F2F2"/>
            <w:vAlign w:val="center"/>
          </w:tcPr>
          <w:p w14:paraId="29BAC326">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认证机构</w:t>
            </w:r>
          </w:p>
        </w:tc>
      </w:tr>
      <w:tr w14:paraId="0A4C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7A8FDBF9">
            <w:pPr>
              <w:pStyle w:val="14"/>
              <w:spacing w:line="360" w:lineRule="auto"/>
              <w:jc w:val="center"/>
              <w:rPr>
                <w:rFonts w:ascii="宋体" w:hAnsi="宋体" w:eastAsia="宋体" w:cs="Times New Roman"/>
                <w:color w:val="auto"/>
                <w:sz w:val="21"/>
                <w:szCs w:val="21"/>
              </w:rPr>
            </w:pPr>
            <w:r>
              <w:rPr>
                <w:rFonts w:hint="eastAsia" w:ascii="宋体" w:hAnsi="宋体" w:eastAsia="宋体" w:cs="Times New Roman"/>
                <w:color w:val="auto"/>
                <w:sz w:val="21"/>
                <w:szCs w:val="21"/>
              </w:rPr>
              <w:t>1</w:t>
            </w:r>
          </w:p>
        </w:tc>
        <w:tc>
          <w:tcPr>
            <w:tcW w:w="1374" w:type="dxa"/>
            <w:tcBorders>
              <w:left w:val="single" w:color="auto" w:sz="4" w:space="0"/>
            </w:tcBorders>
            <w:vAlign w:val="center"/>
          </w:tcPr>
          <w:p w14:paraId="08F4CC52">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1B81D422">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2E5365F2">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3B6800D0">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555CF741">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53D09756">
            <w:pPr>
              <w:pStyle w:val="14"/>
              <w:spacing w:line="360" w:lineRule="auto"/>
              <w:rPr>
                <w:rFonts w:ascii="宋体" w:hAnsi="宋体" w:eastAsia="宋体" w:cs="Times New Roman"/>
                <w:color w:val="auto"/>
                <w:sz w:val="21"/>
                <w:szCs w:val="21"/>
              </w:rPr>
            </w:pPr>
          </w:p>
        </w:tc>
      </w:tr>
      <w:tr w14:paraId="1C7E7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4B94D355">
            <w:pPr>
              <w:pStyle w:val="14"/>
              <w:spacing w:line="360" w:lineRule="auto"/>
              <w:jc w:val="center"/>
              <w:rPr>
                <w:rFonts w:ascii="宋体" w:hAnsi="宋体" w:eastAsia="宋体" w:cs="Times New Roman"/>
                <w:color w:val="auto"/>
                <w:sz w:val="21"/>
                <w:szCs w:val="21"/>
              </w:rPr>
            </w:pPr>
            <w:r>
              <w:rPr>
                <w:rFonts w:hint="eastAsia" w:ascii="宋体" w:hAnsi="宋体" w:eastAsia="宋体" w:cs="Times New Roman"/>
                <w:color w:val="auto"/>
                <w:sz w:val="21"/>
                <w:szCs w:val="21"/>
              </w:rPr>
              <w:t>2</w:t>
            </w:r>
          </w:p>
        </w:tc>
        <w:tc>
          <w:tcPr>
            <w:tcW w:w="1374" w:type="dxa"/>
            <w:tcBorders>
              <w:left w:val="single" w:color="auto" w:sz="4" w:space="0"/>
            </w:tcBorders>
            <w:vAlign w:val="center"/>
          </w:tcPr>
          <w:p w14:paraId="052E23F0">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52C95EBA">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78C8216A">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02632728">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309F7069">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3C22FC8F">
            <w:pPr>
              <w:pStyle w:val="14"/>
              <w:spacing w:line="360" w:lineRule="auto"/>
              <w:rPr>
                <w:rFonts w:ascii="宋体" w:hAnsi="宋体" w:eastAsia="宋体" w:cs="Times New Roman"/>
                <w:color w:val="auto"/>
                <w:sz w:val="21"/>
                <w:szCs w:val="21"/>
              </w:rPr>
            </w:pPr>
          </w:p>
        </w:tc>
      </w:tr>
      <w:tr w14:paraId="6D8C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477032AC">
            <w:pPr>
              <w:pStyle w:val="14"/>
              <w:spacing w:line="360" w:lineRule="auto"/>
              <w:jc w:val="center"/>
              <w:rPr>
                <w:rFonts w:ascii="宋体" w:hAnsi="宋体" w:eastAsia="宋体" w:cs="Times New Roman"/>
                <w:color w:val="auto"/>
                <w:sz w:val="21"/>
                <w:szCs w:val="21"/>
              </w:rPr>
            </w:pPr>
            <w:r>
              <w:rPr>
                <w:rFonts w:hint="eastAsia" w:ascii="宋体" w:hAnsi="宋体" w:eastAsia="宋体" w:cs="宋体"/>
                <w:color w:val="auto"/>
                <w:sz w:val="21"/>
                <w:szCs w:val="21"/>
              </w:rPr>
              <w:t>…</w:t>
            </w:r>
          </w:p>
        </w:tc>
        <w:tc>
          <w:tcPr>
            <w:tcW w:w="1374" w:type="dxa"/>
            <w:tcBorders>
              <w:left w:val="single" w:color="auto" w:sz="4" w:space="0"/>
            </w:tcBorders>
            <w:vAlign w:val="center"/>
          </w:tcPr>
          <w:p w14:paraId="23D2A669">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62E4BC51">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00349435">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71DE7A73">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79408C57">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04563843">
            <w:pPr>
              <w:pStyle w:val="14"/>
              <w:spacing w:line="360" w:lineRule="auto"/>
              <w:rPr>
                <w:rFonts w:ascii="宋体" w:hAnsi="宋体" w:eastAsia="宋体" w:cs="Times New Roman"/>
                <w:color w:val="auto"/>
                <w:sz w:val="21"/>
                <w:szCs w:val="21"/>
              </w:rPr>
            </w:pPr>
          </w:p>
        </w:tc>
      </w:tr>
    </w:tbl>
    <w:p w14:paraId="1585719D">
      <w:pPr>
        <w:autoSpaceDE w:val="0"/>
        <w:autoSpaceDN w:val="0"/>
        <w:adjustRightInd w:val="0"/>
        <w:spacing w:line="480" w:lineRule="auto"/>
        <w:rPr>
          <w:rFonts w:ascii="宋体" w:hAnsi="宋体" w:cs="宋体"/>
          <w:color w:val="auto"/>
          <w:lang w:val="zh-CN"/>
        </w:rPr>
      </w:pPr>
      <w:r>
        <w:rPr>
          <w:rFonts w:hint="eastAsia" w:ascii="宋体" w:hAnsi="宋体" w:cs="宋体"/>
          <w:color w:val="auto"/>
          <w:lang w:val="zh-CN"/>
        </w:rPr>
        <w:t>投标人（并加盖公章）：</w:t>
      </w:r>
    </w:p>
    <w:p w14:paraId="723E3A20">
      <w:pPr>
        <w:autoSpaceDE w:val="0"/>
        <w:autoSpaceDN w:val="0"/>
        <w:adjustRightInd w:val="0"/>
        <w:spacing w:line="480" w:lineRule="auto"/>
        <w:rPr>
          <w:rFonts w:ascii="宋体" w:hAnsi="宋体" w:cs="宋体"/>
          <w:color w:val="auto"/>
          <w:lang w:val="zh-CN"/>
        </w:rPr>
      </w:pPr>
    </w:p>
    <w:p w14:paraId="7520A638">
      <w:pPr>
        <w:snapToGrid w:val="0"/>
        <w:spacing w:line="500" w:lineRule="exact"/>
        <w:rPr>
          <w:rFonts w:ascii="宋体" w:hAnsi="宋体" w:cs="宋体"/>
          <w:color w:val="auto"/>
          <w:lang w:val="zh-CN"/>
        </w:rPr>
      </w:pPr>
    </w:p>
    <w:p w14:paraId="6C1B17F6">
      <w:pPr>
        <w:rPr>
          <w:rFonts w:ascii="宋体" w:hAnsi="宋体" w:cs="宋体"/>
          <w:color w:val="auto"/>
          <w:lang w:val="zh-CN"/>
        </w:rPr>
      </w:pPr>
      <w:r>
        <w:rPr>
          <w:rFonts w:hint="eastAsia" w:ascii="宋体" w:hAnsi="宋体" w:cs="宋体"/>
          <w:color w:val="auto"/>
          <w:lang w:val="zh-CN"/>
        </w:rPr>
        <w:t>说明：所投产品节能认证证书须附后。</w:t>
      </w:r>
    </w:p>
    <w:p w14:paraId="3513F75D">
      <w:pPr>
        <w:rPr>
          <w:rFonts w:ascii="宋体" w:hAnsi="宋体" w:cs="宋体"/>
          <w:color w:val="auto"/>
          <w:lang w:val="zh-CN"/>
        </w:rPr>
      </w:pPr>
    </w:p>
    <w:p w14:paraId="3A955F8A">
      <w:pPr>
        <w:rPr>
          <w:rFonts w:ascii="宋体" w:hAnsi="宋体" w:cs="宋体"/>
          <w:color w:val="auto"/>
          <w:lang w:val="zh-CN"/>
        </w:rPr>
      </w:pPr>
    </w:p>
    <w:p w14:paraId="4CFCC788">
      <w:pPr>
        <w:rPr>
          <w:rFonts w:ascii="宋体" w:hAnsi="宋体" w:cs="宋体"/>
          <w:color w:val="auto"/>
          <w:lang w:val="zh-CN"/>
        </w:rPr>
      </w:pPr>
    </w:p>
    <w:p w14:paraId="4ED69036">
      <w:pPr>
        <w:rPr>
          <w:rFonts w:ascii="宋体" w:hAnsi="宋体" w:cs="宋体"/>
          <w:color w:val="auto"/>
          <w:lang w:val="zh-CN"/>
        </w:rPr>
      </w:pPr>
    </w:p>
    <w:p w14:paraId="42422E3F">
      <w:pPr>
        <w:rPr>
          <w:rFonts w:ascii="宋体" w:hAnsi="宋体" w:cs="宋体"/>
          <w:color w:val="auto"/>
          <w:lang w:val="zh-CN"/>
        </w:rPr>
      </w:pPr>
    </w:p>
    <w:p w14:paraId="7D330BF6">
      <w:pPr>
        <w:rPr>
          <w:rFonts w:ascii="宋体" w:hAnsi="宋体" w:cs="宋体"/>
          <w:color w:val="auto"/>
          <w:lang w:val="zh-CN"/>
        </w:rPr>
      </w:pPr>
    </w:p>
    <w:p w14:paraId="6E8D3866">
      <w:pPr>
        <w:rPr>
          <w:rFonts w:ascii="宋体" w:hAnsi="宋体" w:cs="宋体"/>
          <w:color w:val="auto"/>
          <w:lang w:val="zh-CN"/>
        </w:rPr>
      </w:pPr>
    </w:p>
    <w:p w14:paraId="53689945">
      <w:pPr>
        <w:rPr>
          <w:rFonts w:ascii="宋体" w:hAnsi="宋体" w:cs="宋体"/>
          <w:color w:val="auto"/>
          <w:lang w:val="zh-CN"/>
        </w:rPr>
      </w:pPr>
    </w:p>
    <w:p w14:paraId="067FBAB5">
      <w:pPr>
        <w:rPr>
          <w:rFonts w:ascii="宋体" w:hAnsi="宋体" w:cs="宋体"/>
          <w:color w:val="auto"/>
          <w:lang w:val="zh-CN"/>
        </w:rPr>
      </w:pPr>
    </w:p>
    <w:p w14:paraId="5A2BA652">
      <w:pPr>
        <w:rPr>
          <w:rFonts w:ascii="宋体" w:hAnsi="宋体" w:cs="宋体"/>
          <w:color w:val="auto"/>
          <w:lang w:val="zh-CN"/>
        </w:rPr>
      </w:pPr>
    </w:p>
    <w:p w14:paraId="66B636CD">
      <w:pPr>
        <w:rPr>
          <w:rFonts w:ascii="宋体" w:hAnsi="宋体" w:cs="宋体"/>
          <w:color w:val="auto"/>
          <w:lang w:val="zh-CN"/>
        </w:rPr>
      </w:pPr>
    </w:p>
    <w:p w14:paraId="4B4D6FCC">
      <w:pPr>
        <w:rPr>
          <w:rFonts w:ascii="宋体" w:hAnsi="宋体" w:cs="宋体"/>
          <w:color w:val="auto"/>
          <w:lang w:val="zh-CN"/>
        </w:rPr>
      </w:pPr>
    </w:p>
    <w:p w14:paraId="57CB7190">
      <w:pPr>
        <w:rPr>
          <w:rFonts w:ascii="宋体" w:hAnsi="宋体" w:cs="宋体"/>
          <w:color w:val="auto"/>
          <w:lang w:val="zh-CN"/>
        </w:rPr>
      </w:pPr>
    </w:p>
    <w:p w14:paraId="56DC9251">
      <w:pPr>
        <w:rPr>
          <w:rFonts w:ascii="宋体" w:hAnsi="宋体" w:cs="宋体"/>
          <w:color w:val="auto"/>
          <w:lang w:val="zh-CN"/>
        </w:rPr>
      </w:pPr>
    </w:p>
    <w:p w14:paraId="16FE5A20">
      <w:pPr>
        <w:rPr>
          <w:rFonts w:ascii="宋体" w:hAnsi="宋体" w:cs="宋体"/>
          <w:color w:val="auto"/>
          <w:lang w:val="zh-CN"/>
        </w:rPr>
      </w:pPr>
      <w:r>
        <w:rPr>
          <w:rFonts w:ascii="宋体" w:hAnsi="宋体" w:cs="宋体"/>
          <w:color w:val="auto"/>
          <w:lang w:val="zh-CN"/>
        </w:rPr>
        <w:br w:type="page"/>
      </w:r>
    </w:p>
    <w:p w14:paraId="65BD998E">
      <w:pPr>
        <w:autoSpaceDE w:val="0"/>
        <w:autoSpaceDN w:val="0"/>
        <w:adjustRightInd w:val="0"/>
        <w:spacing w:line="360" w:lineRule="auto"/>
        <w:jc w:val="center"/>
        <w:outlineLvl w:val="2"/>
        <w:rPr>
          <w:rFonts w:ascii="宋体" w:hAnsi="宋体"/>
          <w:b/>
          <w:bCs/>
          <w:color w:val="auto"/>
          <w:sz w:val="24"/>
          <w:szCs w:val="24"/>
        </w:rPr>
      </w:pPr>
      <w:r>
        <w:rPr>
          <w:rFonts w:hint="eastAsia" w:ascii="宋体" w:hAnsi="宋体"/>
          <w:b/>
          <w:bCs/>
          <w:color w:val="auto"/>
          <w:sz w:val="24"/>
          <w:szCs w:val="24"/>
        </w:rPr>
        <w:t>4.8 “环境标志产品政府采购品目清单”优先采购产品情况（如有）</w:t>
      </w:r>
    </w:p>
    <w:p w14:paraId="54F0E124">
      <w:pPr>
        <w:autoSpaceDE w:val="0"/>
        <w:autoSpaceDN w:val="0"/>
        <w:adjustRightInd w:val="0"/>
        <w:spacing w:line="360" w:lineRule="auto"/>
        <w:jc w:val="center"/>
        <w:rPr>
          <w:rFonts w:ascii="宋体" w:hAnsi="宋体"/>
          <w:b/>
          <w:bCs/>
          <w:color w:val="auto"/>
          <w:sz w:val="28"/>
          <w:szCs w:val="28"/>
        </w:rPr>
      </w:pPr>
    </w:p>
    <w:p w14:paraId="300624A5">
      <w:pPr>
        <w:spacing w:before="50" w:after="162" w:afterLines="50" w:line="360" w:lineRule="auto"/>
        <w:contextualSpacing/>
        <w:jc w:val="left"/>
        <w:rPr>
          <w:rFonts w:ascii="宋体" w:hAnsi="宋体"/>
          <w:color w:val="auto"/>
        </w:rPr>
      </w:pPr>
      <w:r>
        <w:rPr>
          <w:rFonts w:hint="eastAsia" w:ascii="宋体" w:hAnsi="宋体"/>
          <w:color w:val="auto"/>
        </w:rPr>
        <w:t>采购编号：</w:t>
      </w:r>
    </w:p>
    <w:p w14:paraId="3A81A66E">
      <w:pPr>
        <w:tabs>
          <w:tab w:val="left" w:pos="1800"/>
          <w:tab w:val="left" w:pos="5580"/>
        </w:tabs>
        <w:spacing w:line="360" w:lineRule="auto"/>
        <w:rPr>
          <w:rFonts w:ascii="宋体" w:hAnsi="宋体"/>
          <w:color w:val="auto"/>
        </w:rPr>
      </w:pPr>
      <w:r>
        <w:rPr>
          <w:rFonts w:hint="eastAsia" w:ascii="宋体" w:hAnsi="宋体"/>
          <w:color w:val="auto"/>
        </w:rPr>
        <w:t>项目名称：</w:t>
      </w:r>
    </w:p>
    <w:p w14:paraId="2986094E">
      <w:pPr>
        <w:tabs>
          <w:tab w:val="left" w:pos="1800"/>
          <w:tab w:val="left" w:pos="5580"/>
        </w:tabs>
        <w:spacing w:line="360" w:lineRule="auto"/>
        <w:rPr>
          <w:rFonts w:ascii="宋体" w:hAnsi="宋体"/>
          <w:color w:val="auto"/>
        </w:rPr>
      </w:pPr>
    </w:p>
    <w:tbl>
      <w:tblPr>
        <w:tblStyle w:val="30"/>
        <w:tblW w:w="9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1374"/>
        <w:gridCol w:w="1518"/>
        <w:gridCol w:w="1240"/>
        <w:gridCol w:w="1648"/>
        <w:gridCol w:w="1600"/>
        <w:gridCol w:w="1418"/>
      </w:tblGrid>
      <w:tr w14:paraId="74711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26" w:type="dxa"/>
            <w:shd w:val="clear" w:color="auto" w:fill="F2F2F2"/>
            <w:vAlign w:val="center"/>
          </w:tcPr>
          <w:p w14:paraId="68EF1990">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374" w:type="dxa"/>
            <w:shd w:val="clear" w:color="auto" w:fill="F2F2F2"/>
            <w:vAlign w:val="center"/>
          </w:tcPr>
          <w:p w14:paraId="23F1A818">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产品名称</w:t>
            </w:r>
          </w:p>
        </w:tc>
        <w:tc>
          <w:tcPr>
            <w:tcW w:w="1518" w:type="dxa"/>
            <w:shd w:val="clear" w:color="auto" w:fill="F2F2F2"/>
            <w:vAlign w:val="center"/>
          </w:tcPr>
          <w:p w14:paraId="546AE308">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品牌</w:t>
            </w:r>
          </w:p>
        </w:tc>
        <w:tc>
          <w:tcPr>
            <w:tcW w:w="1240" w:type="dxa"/>
            <w:shd w:val="clear" w:color="auto" w:fill="F2F2F2"/>
            <w:vAlign w:val="center"/>
          </w:tcPr>
          <w:p w14:paraId="6D62C7DE">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产品型号</w:t>
            </w:r>
          </w:p>
        </w:tc>
        <w:tc>
          <w:tcPr>
            <w:tcW w:w="1648" w:type="dxa"/>
            <w:shd w:val="clear" w:color="auto" w:fill="F2F2F2"/>
            <w:vAlign w:val="center"/>
          </w:tcPr>
          <w:p w14:paraId="399B2B81">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认证证书编号</w:t>
            </w:r>
          </w:p>
        </w:tc>
        <w:tc>
          <w:tcPr>
            <w:tcW w:w="1600" w:type="dxa"/>
            <w:shd w:val="clear" w:color="auto" w:fill="F2F2F2"/>
            <w:vAlign w:val="center"/>
          </w:tcPr>
          <w:p w14:paraId="4FB796CA">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证书有效期</w:t>
            </w:r>
          </w:p>
        </w:tc>
        <w:tc>
          <w:tcPr>
            <w:tcW w:w="1418" w:type="dxa"/>
            <w:shd w:val="clear" w:color="auto" w:fill="F2F2F2"/>
            <w:vAlign w:val="center"/>
          </w:tcPr>
          <w:p w14:paraId="29EB5324">
            <w:pPr>
              <w:pStyle w:val="14"/>
              <w:jc w:val="center"/>
              <w:rPr>
                <w:rFonts w:ascii="宋体" w:hAnsi="宋体" w:eastAsia="宋体" w:cs="宋体"/>
                <w:b/>
                <w:bCs/>
                <w:color w:val="auto"/>
                <w:sz w:val="21"/>
                <w:szCs w:val="21"/>
              </w:rPr>
            </w:pPr>
            <w:r>
              <w:rPr>
                <w:rFonts w:hint="eastAsia" w:ascii="宋体" w:hAnsi="宋体" w:eastAsia="宋体" w:cs="宋体"/>
                <w:b/>
                <w:bCs/>
                <w:color w:val="auto"/>
                <w:sz w:val="21"/>
                <w:szCs w:val="21"/>
              </w:rPr>
              <w:t>认证机构</w:t>
            </w:r>
          </w:p>
        </w:tc>
      </w:tr>
      <w:tr w14:paraId="3C41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C7FA009">
            <w:pPr>
              <w:pStyle w:val="14"/>
              <w:spacing w:line="360" w:lineRule="auto"/>
              <w:jc w:val="center"/>
              <w:rPr>
                <w:rFonts w:ascii="宋体" w:hAnsi="宋体" w:eastAsia="宋体" w:cs="Times New Roman"/>
                <w:color w:val="auto"/>
                <w:sz w:val="21"/>
                <w:szCs w:val="21"/>
              </w:rPr>
            </w:pPr>
            <w:r>
              <w:rPr>
                <w:rFonts w:hint="eastAsia" w:ascii="宋体" w:hAnsi="宋体" w:eastAsia="宋体" w:cs="Times New Roman"/>
                <w:color w:val="auto"/>
                <w:sz w:val="21"/>
                <w:szCs w:val="21"/>
              </w:rPr>
              <w:t>1</w:t>
            </w:r>
          </w:p>
        </w:tc>
        <w:tc>
          <w:tcPr>
            <w:tcW w:w="1374" w:type="dxa"/>
            <w:tcBorders>
              <w:left w:val="single" w:color="auto" w:sz="4" w:space="0"/>
            </w:tcBorders>
            <w:vAlign w:val="center"/>
          </w:tcPr>
          <w:p w14:paraId="70F44789">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7EB3FE81">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1AE1EF54">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11003F89">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7D63C1D6">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4A9F0CDF">
            <w:pPr>
              <w:pStyle w:val="14"/>
              <w:spacing w:line="360" w:lineRule="auto"/>
              <w:rPr>
                <w:rFonts w:ascii="宋体" w:hAnsi="宋体" w:eastAsia="宋体" w:cs="Times New Roman"/>
                <w:color w:val="auto"/>
                <w:sz w:val="21"/>
                <w:szCs w:val="21"/>
              </w:rPr>
            </w:pPr>
          </w:p>
        </w:tc>
      </w:tr>
      <w:tr w14:paraId="5F5F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3DB6B318">
            <w:pPr>
              <w:pStyle w:val="14"/>
              <w:spacing w:line="360" w:lineRule="auto"/>
              <w:jc w:val="center"/>
              <w:rPr>
                <w:rFonts w:ascii="宋体" w:hAnsi="宋体" w:eastAsia="宋体" w:cs="Times New Roman"/>
                <w:color w:val="auto"/>
                <w:sz w:val="21"/>
                <w:szCs w:val="21"/>
              </w:rPr>
            </w:pPr>
            <w:r>
              <w:rPr>
                <w:rFonts w:hint="eastAsia" w:ascii="宋体" w:hAnsi="宋体" w:eastAsia="宋体" w:cs="Times New Roman"/>
                <w:color w:val="auto"/>
                <w:sz w:val="21"/>
                <w:szCs w:val="21"/>
              </w:rPr>
              <w:t>2</w:t>
            </w:r>
          </w:p>
        </w:tc>
        <w:tc>
          <w:tcPr>
            <w:tcW w:w="1374" w:type="dxa"/>
            <w:tcBorders>
              <w:left w:val="single" w:color="auto" w:sz="4" w:space="0"/>
            </w:tcBorders>
            <w:vAlign w:val="center"/>
          </w:tcPr>
          <w:p w14:paraId="4EB24A95">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793A0FE9">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7447E0A5">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1AB455CA">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705A5A81">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44E753B7">
            <w:pPr>
              <w:pStyle w:val="14"/>
              <w:spacing w:line="360" w:lineRule="auto"/>
              <w:rPr>
                <w:rFonts w:ascii="宋体" w:hAnsi="宋体" w:eastAsia="宋体" w:cs="Times New Roman"/>
                <w:color w:val="auto"/>
                <w:sz w:val="21"/>
                <w:szCs w:val="21"/>
              </w:rPr>
            </w:pPr>
          </w:p>
        </w:tc>
      </w:tr>
      <w:tr w14:paraId="2B05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26" w:type="dxa"/>
            <w:vAlign w:val="center"/>
          </w:tcPr>
          <w:p w14:paraId="50B6B59C">
            <w:pPr>
              <w:pStyle w:val="14"/>
              <w:spacing w:line="360" w:lineRule="auto"/>
              <w:jc w:val="center"/>
              <w:rPr>
                <w:rFonts w:ascii="宋体" w:hAnsi="宋体" w:eastAsia="宋体" w:cs="Times New Roman"/>
                <w:color w:val="auto"/>
                <w:sz w:val="21"/>
                <w:szCs w:val="21"/>
              </w:rPr>
            </w:pPr>
            <w:r>
              <w:rPr>
                <w:rFonts w:hint="eastAsia" w:ascii="宋体" w:hAnsi="宋体" w:eastAsia="宋体" w:cs="宋体"/>
                <w:color w:val="auto"/>
                <w:sz w:val="21"/>
                <w:szCs w:val="21"/>
              </w:rPr>
              <w:t>…</w:t>
            </w:r>
          </w:p>
        </w:tc>
        <w:tc>
          <w:tcPr>
            <w:tcW w:w="1374" w:type="dxa"/>
            <w:tcBorders>
              <w:left w:val="single" w:color="auto" w:sz="4" w:space="0"/>
            </w:tcBorders>
            <w:vAlign w:val="center"/>
          </w:tcPr>
          <w:p w14:paraId="74A9B1C3">
            <w:pPr>
              <w:pStyle w:val="14"/>
              <w:spacing w:line="360" w:lineRule="auto"/>
              <w:rPr>
                <w:rFonts w:ascii="宋体" w:hAnsi="宋体" w:eastAsia="宋体" w:cs="Times New Roman"/>
                <w:color w:val="auto"/>
                <w:sz w:val="21"/>
                <w:szCs w:val="21"/>
              </w:rPr>
            </w:pPr>
          </w:p>
        </w:tc>
        <w:tc>
          <w:tcPr>
            <w:tcW w:w="1518" w:type="dxa"/>
            <w:tcBorders>
              <w:left w:val="single" w:color="auto" w:sz="4" w:space="0"/>
            </w:tcBorders>
            <w:vAlign w:val="center"/>
          </w:tcPr>
          <w:p w14:paraId="334E9BFE">
            <w:pPr>
              <w:pStyle w:val="14"/>
              <w:spacing w:line="360" w:lineRule="auto"/>
              <w:rPr>
                <w:rFonts w:ascii="宋体" w:hAnsi="宋体" w:eastAsia="宋体" w:cs="Times New Roman"/>
                <w:color w:val="auto"/>
                <w:sz w:val="21"/>
                <w:szCs w:val="21"/>
              </w:rPr>
            </w:pPr>
          </w:p>
        </w:tc>
        <w:tc>
          <w:tcPr>
            <w:tcW w:w="1240" w:type="dxa"/>
            <w:tcBorders>
              <w:left w:val="single" w:color="auto" w:sz="4" w:space="0"/>
            </w:tcBorders>
          </w:tcPr>
          <w:p w14:paraId="47CDE8FA">
            <w:pPr>
              <w:pStyle w:val="14"/>
              <w:spacing w:line="360" w:lineRule="auto"/>
              <w:rPr>
                <w:rFonts w:ascii="宋体" w:hAnsi="宋体" w:eastAsia="宋体" w:cs="Times New Roman"/>
                <w:color w:val="auto"/>
                <w:sz w:val="21"/>
                <w:szCs w:val="21"/>
              </w:rPr>
            </w:pPr>
          </w:p>
        </w:tc>
        <w:tc>
          <w:tcPr>
            <w:tcW w:w="1648" w:type="dxa"/>
            <w:tcBorders>
              <w:left w:val="single" w:color="auto" w:sz="4" w:space="0"/>
            </w:tcBorders>
          </w:tcPr>
          <w:p w14:paraId="797D60F6">
            <w:pPr>
              <w:pStyle w:val="14"/>
              <w:spacing w:line="360" w:lineRule="auto"/>
              <w:rPr>
                <w:rFonts w:ascii="宋体" w:hAnsi="宋体" w:eastAsia="宋体" w:cs="Times New Roman"/>
                <w:color w:val="auto"/>
                <w:sz w:val="21"/>
                <w:szCs w:val="21"/>
              </w:rPr>
            </w:pPr>
          </w:p>
        </w:tc>
        <w:tc>
          <w:tcPr>
            <w:tcW w:w="1600" w:type="dxa"/>
            <w:tcBorders>
              <w:left w:val="single" w:color="auto" w:sz="4" w:space="0"/>
            </w:tcBorders>
          </w:tcPr>
          <w:p w14:paraId="3AAA5CE2">
            <w:pPr>
              <w:pStyle w:val="14"/>
              <w:spacing w:line="360" w:lineRule="auto"/>
              <w:rPr>
                <w:rFonts w:ascii="宋体" w:hAnsi="宋体" w:eastAsia="宋体" w:cs="Times New Roman"/>
                <w:color w:val="auto"/>
                <w:sz w:val="21"/>
                <w:szCs w:val="21"/>
              </w:rPr>
            </w:pPr>
          </w:p>
        </w:tc>
        <w:tc>
          <w:tcPr>
            <w:tcW w:w="1418" w:type="dxa"/>
            <w:tcBorders>
              <w:left w:val="single" w:color="auto" w:sz="4" w:space="0"/>
            </w:tcBorders>
          </w:tcPr>
          <w:p w14:paraId="70ACE436">
            <w:pPr>
              <w:pStyle w:val="14"/>
              <w:spacing w:line="360" w:lineRule="auto"/>
              <w:rPr>
                <w:rFonts w:ascii="宋体" w:hAnsi="宋体" w:eastAsia="宋体" w:cs="Times New Roman"/>
                <w:color w:val="auto"/>
                <w:sz w:val="21"/>
                <w:szCs w:val="21"/>
              </w:rPr>
            </w:pPr>
          </w:p>
        </w:tc>
      </w:tr>
    </w:tbl>
    <w:p w14:paraId="64BE12EF">
      <w:pPr>
        <w:autoSpaceDE w:val="0"/>
        <w:autoSpaceDN w:val="0"/>
        <w:adjustRightInd w:val="0"/>
        <w:spacing w:line="480" w:lineRule="auto"/>
        <w:rPr>
          <w:rFonts w:ascii="宋体" w:hAnsi="宋体" w:cs="宋体"/>
          <w:color w:val="auto"/>
          <w:lang w:val="zh-CN"/>
        </w:rPr>
      </w:pPr>
      <w:r>
        <w:rPr>
          <w:rFonts w:hint="eastAsia" w:ascii="宋体" w:hAnsi="宋体" w:cs="宋体"/>
          <w:color w:val="auto"/>
          <w:lang w:val="zh-CN"/>
        </w:rPr>
        <w:t>投标人（并加盖公章）：</w:t>
      </w:r>
    </w:p>
    <w:p w14:paraId="016F6D7A">
      <w:pPr>
        <w:autoSpaceDE w:val="0"/>
        <w:autoSpaceDN w:val="0"/>
        <w:adjustRightInd w:val="0"/>
        <w:spacing w:line="480" w:lineRule="auto"/>
        <w:rPr>
          <w:rFonts w:ascii="宋体" w:hAnsi="宋体" w:cs="宋体"/>
          <w:color w:val="auto"/>
          <w:lang w:val="zh-CN"/>
        </w:rPr>
      </w:pPr>
    </w:p>
    <w:p w14:paraId="7422C4AB">
      <w:pPr>
        <w:snapToGrid w:val="0"/>
        <w:spacing w:line="500" w:lineRule="exact"/>
        <w:rPr>
          <w:rFonts w:ascii="宋体" w:hAnsi="宋体" w:cs="宋体"/>
          <w:color w:val="auto"/>
          <w:lang w:val="zh-CN"/>
        </w:rPr>
      </w:pPr>
    </w:p>
    <w:p w14:paraId="0BAEE192">
      <w:pPr>
        <w:spacing w:line="360" w:lineRule="auto"/>
        <w:rPr>
          <w:rFonts w:ascii="宋体" w:hAnsi="宋体"/>
          <w:b/>
          <w:bCs/>
          <w:color w:val="auto"/>
          <w:sz w:val="36"/>
          <w:szCs w:val="36"/>
        </w:rPr>
      </w:pPr>
      <w:r>
        <w:rPr>
          <w:rFonts w:hint="eastAsia" w:ascii="宋体" w:hAnsi="宋体" w:cs="宋体"/>
          <w:color w:val="auto"/>
          <w:lang w:val="zh-CN"/>
        </w:rPr>
        <w:t>说明：所投产品环境标志产品认证证书须附后。</w:t>
      </w:r>
    </w:p>
    <w:p w14:paraId="715E9AEC">
      <w:pPr>
        <w:spacing w:line="360" w:lineRule="auto"/>
        <w:jc w:val="center"/>
        <w:rPr>
          <w:rFonts w:ascii="宋体" w:hAnsi="宋体" w:cs="宋体"/>
          <w:color w:val="auto"/>
          <w:lang w:val="zh-CN"/>
        </w:rPr>
      </w:pPr>
    </w:p>
    <w:p w14:paraId="338C8449">
      <w:pPr>
        <w:spacing w:line="360" w:lineRule="auto"/>
        <w:jc w:val="center"/>
        <w:rPr>
          <w:rFonts w:ascii="宋体" w:hAnsi="宋体" w:cs="宋体"/>
          <w:color w:val="auto"/>
          <w:lang w:val="zh-CN"/>
        </w:rPr>
      </w:pPr>
    </w:p>
    <w:p w14:paraId="10E8831A">
      <w:pPr>
        <w:spacing w:line="360" w:lineRule="auto"/>
        <w:jc w:val="center"/>
        <w:rPr>
          <w:rFonts w:ascii="宋体" w:hAnsi="宋体" w:cs="宋体"/>
          <w:color w:val="auto"/>
          <w:lang w:val="zh-CN"/>
        </w:rPr>
      </w:pPr>
    </w:p>
    <w:p w14:paraId="7D55BDDA">
      <w:pPr>
        <w:spacing w:line="360" w:lineRule="auto"/>
        <w:jc w:val="center"/>
        <w:rPr>
          <w:rFonts w:ascii="宋体" w:hAnsi="宋体" w:cs="宋体"/>
          <w:color w:val="auto"/>
          <w:lang w:val="zh-CN"/>
        </w:rPr>
      </w:pPr>
    </w:p>
    <w:p w14:paraId="11AB0360">
      <w:pPr>
        <w:spacing w:line="360" w:lineRule="auto"/>
        <w:jc w:val="center"/>
        <w:rPr>
          <w:rFonts w:ascii="宋体" w:hAnsi="宋体" w:cs="宋体"/>
          <w:color w:val="auto"/>
          <w:lang w:val="zh-CN"/>
        </w:rPr>
      </w:pPr>
    </w:p>
    <w:p w14:paraId="329F0D23">
      <w:pPr>
        <w:spacing w:line="360" w:lineRule="auto"/>
        <w:jc w:val="center"/>
        <w:rPr>
          <w:rFonts w:ascii="宋体" w:hAnsi="宋体" w:cs="宋体"/>
          <w:color w:val="auto"/>
          <w:lang w:val="zh-CN"/>
        </w:rPr>
      </w:pPr>
    </w:p>
    <w:p w14:paraId="5AA81AD2">
      <w:pPr>
        <w:spacing w:line="360" w:lineRule="auto"/>
        <w:jc w:val="center"/>
        <w:rPr>
          <w:rFonts w:ascii="宋体" w:hAnsi="宋体" w:cs="宋体"/>
          <w:color w:val="auto"/>
          <w:lang w:val="zh-CN"/>
        </w:rPr>
      </w:pPr>
    </w:p>
    <w:p w14:paraId="46807336">
      <w:pPr>
        <w:spacing w:line="360" w:lineRule="auto"/>
        <w:jc w:val="center"/>
        <w:rPr>
          <w:rFonts w:ascii="宋体" w:hAnsi="宋体" w:cs="宋体"/>
          <w:color w:val="auto"/>
          <w:lang w:val="zh-CN"/>
        </w:rPr>
      </w:pPr>
    </w:p>
    <w:p w14:paraId="27596FE8">
      <w:pPr>
        <w:spacing w:line="360" w:lineRule="auto"/>
        <w:jc w:val="center"/>
        <w:rPr>
          <w:rFonts w:ascii="宋体" w:hAnsi="宋体" w:cs="宋体"/>
          <w:color w:val="auto"/>
          <w:lang w:val="zh-CN"/>
        </w:rPr>
      </w:pPr>
    </w:p>
    <w:p w14:paraId="34EE8C04">
      <w:pPr>
        <w:spacing w:line="360" w:lineRule="auto"/>
        <w:jc w:val="center"/>
        <w:rPr>
          <w:rFonts w:ascii="宋体" w:hAnsi="宋体" w:cs="宋体"/>
          <w:color w:val="auto"/>
          <w:lang w:val="zh-CN"/>
        </w:rPr>
      </w:pPr>
    </w:p>
    <w:p w14:paraId="0415B844">
      <w:pPr>
        <w:widowControl/>
        <w:spacing w:before="100" w:beforeAutospacing="1" w:after="100" w:afterAutospacing="1" w:line="360" w:lineRule="auto"/>
        <w:contextualSpacing/>
        <w:jc w:val="left"/>
        <w:rPr>
          <w:color w:val="auto"/>
        </w:rPr>
      </w:pPr>
      <w:bookmarkStart w:id="33" w:name="OLE_LINK13"/>
      <w:bookmarkStart w:id="34" w:name="OLE_LINK14"/>
      <w:r>
        <w:rPr>
          <w:rFonts w:ascii="宋体" w:hAnsi="宋体"/>
          <w:b/>
          <w:bCs/>
          <w:color w:val="auto"/>
          <w:sz w:val="24"/>
          <w:szCs w:val="24"/>
        </w:rPr>
        <w:br w:type="page"/>
      </w:r>
    </w:p>
    <w:p w14:paraId="49F10430">
      <w:pPr>
        <w:ind w:firstLine="2650" w:firstLineChars="1100"/>
        <w:outlineLvl w:val="2"/>
        <w:rPr>
          <w:rFonts w:ascii="宋体" w:hAnsi="宋体"/>
          <w:b/>
          <w:bCs/>
          <w:color w:val="auto"/>
          <w:sz w:val="24"/>
          <w:szCs w:val="24"/>
        </w:rPr>
      </w:pPr>
      <w:r>
        <w:rPr>
          <w:rFonts w:hint="eastAsia" w:ascii="宋体" w:hAnsi="宋体"/>
          <w:b/>
          <w:bCs/>
          <w:color w:val="auto"/>
          <w:sz w:val="24"/>
          <w:szCs w:val="24"/>
        </w:rPr>
        <w:t>4.9</w:t>
      </w:r>
      <w:r>
        <w:rPr>
          <w:rFonts w:ascii="宋体" w:hAnsi="宋体"/>
          <w:b/>
          <w:bCs/>
          <w:color w:val="auto"/>
          <w:sz w:val="24"/>
          <w:szCs w:val="24"/>
        </w:rPr>
        <w:t>中小企业声明函（货物）</w:t>
      </w:r>
    </w:p>
    <w:p w14:paraId="749CEECB">
      <w:pPr>
        <w:spacing w:line="360" w:lineRule="auto"/>
        <w:jc w:val="center"/>
        <w:rPr>
          <w:rFonts w:ascii="宋体" w:hAnsi="宋体"/>
          <w:b/>
          <w:bCs/>
          <w:color w:val="auto"/>
        </w:rPr>
      </w:pPr>
    </w:p>
    <w:p w14:paraId="56CD38F8">
      <w:pPr>
        <w:spacing w:line="360" w:lineRule="auto"/>
        <w:ind w:firstLine="707" w:firstLineChars="337"/>
        <w:jc w:val="left"/>
        <w:rPr>
          <w:color w:val="auto"/>
        </w:rPr>
      </w:pPr>
      <w:r>
        <w:rPr>
          <w:color w:val="auto"/>
        </w:rPr>
        <w:t>本公司（联合体）郑重声明，根据《政府采购促进中小企业发展管理办法》（财库﹝2020﹞46 号）的规定，本公司（联合体）参加</w:t>
      </w:r>
      <w:r>
        <w:rPr>
          <w:i/>
          <w:color w:val="auto"/>
          <w:u w:val="single"/>
        </w:rPr>
        <w:t>（单位名称）</w:t>
      </w:r>
      <w:r>
        <w:rPr>
          <w:color w:val="auto"/>
        </w:rPr>
        <w:t>的</w:t>
      </w:r>
      <w:r>
        <w:rPr>
          <w:i/>
          <w:color w:val="auto"/>
          <w:u w:val="single"/>
        </w:rPr>
        <w:t>（项目名称）</w:t>
      </w:r>
      <w:r>
        <w:rPr>
          <w:color w:val="auto"/>
        </w:rPr>
        <w:t>采购活动，提供的货物全部由符合政策要求的中小企业制造。相关企业（含联合体中的中小企业、签订分包意向协议的中小企业）的具体情况如下：</w:t>
      </w:r>
    </w:p>
    <w:p w14:paraId="148045CD">
      <w:pPr>
        <w:spacing w:line="360" w:lineRule="auto"/>
        <w:ind w:firstLine="707" w:firstLineChars="337"/>
        <w:jc w:val="left"/>
        <w:rPr>
          <w:color w:val="auto"/>
        </w:rPr>
      </w:pPr>
      <w:r>
        <w:rPr>
          <w:color w:val="auto"/>
        </w:rPr>
        <w:t xml:space="preserve">1. </w:t>
      </w:r>
      <w:r>
        <w:rPr>
          <w:i/>
          <w:color w:val="auto"/>
          <w:u w:val="single"/>
        </w:rPr>
        <w:t>（标的名称）</w:t>
      </w:r>
      <w:r>
        <w:rPr>
          <w:color w:val="auto"/>
        </w:rPr>
        <w:t>，属于</w:t>
      </w:r>
      <w:r>
        <w:rPr>
          <w:i/>
          <w:color w:val="auto"/>
          <w:u w:val="single"/>
        </w:rPr>
        <w:t>（采购文件中明确的所属行业）</w:t>
      </w:r>
      <w:r>
        <w:rPr>
          <w:color w:val="auto"/>
        </w:rPr>
        <w:t>行业；制造商为</w:t>
      </w:r>
      <w:r>
        <w:rPr>
          <w:i/>
          <w:color w:val="auto"/>
          <w:u w:val="single"/>
        </w:rPr>
        <w:t>（企业名称）</w:t>
      </w:r>
      <w:r>
        <w:rPr>
          <w:color w:val="auto"/>
        </w:rPr>
        <w:t>，从业人员人，营业收入为万元，资产总额为万元，属于</w:t>
      </w:r>
      <w:r>
        <w:rPr>
          <w:i/>
          <w:color w:val="auto"/>
          <w:u w:val="single"/>
        </w:rPr>
        <w:t>（中型企业、小型企业、微型企业）</w:t>
      </w:r>
      <w:r>
        <w:rPr>
          <w:color w:val="auto"/>
        </w:rPr>
        <w:t>；</w:t>
      </w:r>
    </w:p>
    <w:p w14:paraId="57B36D7B">
      <w:pPr>
        <w:spacing w:line="360" w:lineRule="auto"/>
        <w:ind w:firstLine="707" w:firstLineChars="337"/>
        <w:jc w:val="left"/>
        <w:rPr>
          <w:color w:val="auto"/>
        </w:rPr>
      </w:pPr>
      <w:r>
        <w:rPr>
          <w:color w:val="auto"/>
        </w:rPr>
        <w:t xml:space="preserve">2. </w:t>
      </w:r>
      <w:r>
        <w:rPr>
          <w:i/>
          <w:color w:val="auto"/>
          <w:u w:val="single"/>
        </w:rPr>
        <w:t>（标的名称）</w:t>
      </w:r>
      <w:r>
        <w:rPr>
          <w:color w:val="auto"/>
        </w:rPr>
        <w:t>，属于</w:t>
      </w:r>
      <w:r>
        <w:rPr>
          <w:i/>
          <w:color w:val="auto"/>
          <w:u w:val="single"/>
        </w:rPr>
        <w:t>（采购文件中明确的所属行业）</w:t>
      </w:r>
      <w:r>
        <w:rPr>
          <w:color w:val="auto"/>
        </w:rPr>
        <w:t>行业；制造商为</w:t>
      </w:r>
      <w:r>
        <w:rPr>
          <w:i/>
          <w:color w:val="auto"/>
          <w:u w:val="single"/>
        </w:rPr>
        <w:t>（企业名称）</w:t>
      </w:r>
      <w:r>
        <w:rPr>
          <w:color w:val="auto"/>
        </w:rPr>
        <w:t>，从业人员人，营业收入为万元，资产总额为万元，属于</w:t>
      </w:r>
      <w:r>
        <w:rPr>
          <w:i/>
          <w:color w:val="auto"/>
          <w:u w:val="single"/>
        </w:rPr>
        <w:t>（中型企业、小型企业、微型企业）</w:t>
      </w:r>
      <w:r>
        <w:rPr>
          <w:color w:val="auto"/>
        </w:rPr>
        <w:t>；</w:t>
      </w:r>
    </w:p>
    <w:p w14:paraId="57FE47D3">
      <w:pPr>
        <w:spacing w:line="360" w:lineRule="auto"/>
        <w:ind w:firstLine="707" w:firstLineChars="337"/>
        <w:jc w:val="left"/>
        <w:rPr>
          <w:color w:val="auto"/>
        </w:rPr>
      </w:pPr>
      <w:r>
        <w:rPr>
          <w:color w:val="auto"/>
        </w:rPr>
        <w:t xml:space="preserve">…… </w:t>
      </w:r>
    </w:p>
    <w:p w14:paraId="73FC0590">
      <w:pPr>
        <w:spacing w:line="360" w:lineRule="auto"/>
        <w:ind w:firstLine="707" w:firstLineChars="337"/>
        <w:jc w:val="left"/>
        <w:rPr>
          <w:color w:val="auto"/>
        </w:rPr>
      </w:pPr>
      <w:r>
        <w:rPr>
          <w:color w:val="auto"/>
        </w:rPr>
        <w:t>以上企业，不属于大企业的分支机构，不存在控股股东为大企业的情形，也不存在与大企业的负责人为同一人的情形。</w:t>
      </w:r>
    </w:p>
    <w:p w14:paraId="602ADC5F">
      <w:pPr>
        <w:spacing w:line="360" w:lineRule="auto"/>
        <w:ind w:firstLine="707" w:firstLineChars="337"/>
        <w:jc w:val="left"/>
        <w:rPr>
          <w:color w:val="auto"/>
        </w:rPr>
      </w:pPr>
      <w:r>
        <w:rPr>
          <w:color w:val="auto"/>
        </w:rPr>
        <w:t>本企业对上述声明内容的真实性负责。如有虚假，将依法承担相应责任。</w:t>
      </w:r>
    </w:p>
    <w:p w14:paraId="2E28C6D4">
      <w:pPr>
        <w:spacing w:line="360" w:lineRule="auto"/>
        <w:ind w:firstLine="707" w:firstLineChars="337"/>
        <w:jc w:val="left"/>
        <w:rPr>
          <w:color w:val="auto"/>
        </w:rPr>
      </w:pPr>
    </w:p>
    <w:p w14:paraId="22FF9176">
      <w:pPr>
        <w:spacing w:line="360" w:lineRule="auto"/>
        <w:ind w:firstLine="707" w:firstLineChars="337"/>
        <w:jc w:val="left"/>
        <w:rPr>
          <w:color w:val="auto"/>
        </w:rPr>
      </w:pPr>
    </w:p>
    <w:p w14:paraId="1456D49C">
      <w:pPr>
        <w:spacing w:line="480" w:lineRule="auto"/>
        <w:ind w:firstLine="5957" w:firstLineChars="2837"/>
        <w:jc w:val="left"/>
        <w:rPr>
          <w:color w:val="auto"/>
        </w:rPr>
      </w:pPr>
      <w:r>
        <w:rPr>
          <w:color w:val="auto"/>
        </w:rPr>
        <w:t>企业名称（盖章）：</w:t>
      </w:r>
    </w:p>
    <w:p w14:paraId="030401AC">
      <w:pPr>
        <w:spacing w:line="480" w:lineRule="auto"/>
        <w:ind w:firstLine="5957" w:firstLineChars="2837"/>
        <w:jc w:val="left"/>
        <w:rPr>
          <w:rFonts w:ascii="宋体" w:hAnsi="宋体" w:cs="Arial"/>
          <w:color w:val="auto"/>
        </w:rPr>
      </w:pPr>
      <w:r>
        <w:rPr>
          <w:color w:val="auto"/>
        </w:rPr>
        <w:t>日期：</w:t>
      </w:r>
    </w:p>
    <w:p w14:paraId="1B8C3FE8">
      <w:pPr>
        <w:spacing w:line="480" w:lineRule="auto"/>
        <w:ind w:left="4358" w:leftChars="2075"/>
        <w:rPr>
          <w:rFonts w:ascii="宋体" w:hAnsi="宋体" w:cs="Arial"/>
          <w:color w:val="auto"/>
        </w:rPr>
      </w:pPr>
    </w:p>
    <w:p w14:paraId="0EDE051B">
      <w:pPr>
        <w:widowControl/>
        <w:spacing w:before="100" w:beforeAutospacing="1" w:after="100" w:afterAutospacing="1" w:line="360" w:lineRule="auto"/>
        <w:contextualSpacing/>
        <w:jc w:val="left"/>
        <w:rPr>
          <w:rFonts w:ascii="宋体" w:hAnsi="宋体"/>
          <w:color w:val="auto"/>
        </w:rPr>
      </w:pPr>
      <w:r>
        <w:rPr>
          <w:rFonts w:hint="eastAsia" w:ascii="宋体" w:hAnsi="宋体"/>
          <w:color w:val="auto"/>
        </w:rPr>
        <w:t>说明：</w:t>
      </w:r>
    </w:p>
    <w:p w14:paraId="775CF9F9">
      <w:pPr>
        <w:widowControl/>
        <w:spacing w:before="100" w:beforeAutospacing="1" w:after="100" w:afterAutospacing="1" w:line="360" w:lineRule="auto"/>
        <w:contextualSpacing/>
        <w:jc w:val="left"/>
        <w:rPr>
          <w:rFonts w:ascii="宋体" w:hAnsi="宋体" w:cs="Arial"/>
          <w:color w:val="auto"/>
          <w:kern w:val="0"/>
        </w:rPr>
      </w:pPr>
      <w:r>
        <w:rPr>
          <w:rFonts w:hint="eastAsia" w:ascii="宋体" w:hAnsi="宋体" w:cs="Arial"/>
          <w:color w:val="auto"/>
          <w:kern w:val="0"/>
        </w:rPr>
        <w:t>1、</w:t>
      </w:r>
      <w:r>
        <w:rPr>
          <w:color w:val="auto"/>
        </w:rPr>
        <w:t>从业人员、营业收入、资产总额填报上一年度数据，无上一年度数据的新成立企业可不填报。</w:t>
      </w:r>
    </w:p>
    <w:p w14:paraId="0BB9519C">
      <w:pPr>
        <w:widowControl/>
        <w:spacing w:before="100" w:beforeAutospacing="1" w:after="100" w:afterAutospacing="1" w:line="360" w:lineRule="auto"/>
        <w:contextualSpacing/>
        <w:jc w:val="left"/>
        <w:rPr>
          <w:rFonts w:ascii="宋体" w:hAnsi="宋体" w:cs="Arial"/>
          <w:color w:val="auto"/>
          <w:kern w:val="0"/>
        </w:rPr>
      </w:pPr>
      <w:r>
        <w:rPr>
          <w:rFonts w:hint="eastAsia" w:ascii="宋体" w:hAnsi="宋体" w:cs="Arial"/>
          <w:color w:val="auto"/>
          <w:kern w:val="0"/>
        </w:rPr>
        <w:t>2、</w:t>
      </w:r>
      <w:r>
        <w:rPr>
          <w:rFonts w:ascii="宋体" w:hAnsi="宋体" w:cs="Arial"/>
          <w:color w:val="auto"/>
          <w:kern w:val="0"/>
        </w:rPr>
        <w:t>中小企业参加政府采购活动，应当出具</w:t>
      </w:r>
      <w:r>
        <w:rPr>
          <w:color w:val="auto"/>
        </w:rPr>
        <w:t>《中小企业声明函》，否则不得享受相关中小企业扶持政</w:t>
      </w:r>
      <w:r>
        <w:rPr>
          <w:rFonts w:ascii="宋体" w:hAnsi="宋体" w:cs="Arial"/>
          <w:color w:val="auto"/>
          <w:kern w:val="0"/>
        </w:rPr>
        <w:t>策。</w:t>
      </w:r>
    </w:p>
    <w:p w14:paraId="54841FB0">
      <w:pPr>
        <w:spacing w:line="360" w:lineRule="auto"/>
        <w:jc w:val="center"/>
        <w:rPr>
          <w:rFonts w:ascii="宋体" w:hAnsi="宋体"/>
          <w:bCs/>
          <w:color w:val="auto"/>
          <w:sz w:val="24"/>
          <w:szCs w:val="24"/>
        </w:rPr>
      </w:pPr>
    </w:p>
    <w:p w14:paraId="2D1848D0">
      <w:pPr>
        <w:autoSpaceDE w:val="0"/>
        <w:autoSpaceDN w:val="0"/>
        <w:adjustRightInd w:val="0"/>
        <w:spacing w:line="360" w:lineRule="auto"/>
        <w:jc w:val="center"/>
        <w:rPr>
          <w:rFonts w:ascii="宋体" w:hAnsi="宋体"/>
          <w:b/>
          <w:bCs/>
          <w:color w:val="auto"/>
          <w:sz w:val="24"/>
          <w:szCs w:val="24"/>
        </w:rPr>
      </w:pPr>
    </w:p>
    <w:p w14:paraId="7374999A">
      <w:pPr>
        <w:autoSpaceDE w:val="0"/>
        <w:autoSpaceDN w:val="0"/>
        <w:adjustRightInd w:val="0"/>
        <w:spacing w:line="360" w:lineRule="auto"/>
        <w:jc w:val="center"/>
        <w:rPr>
          <w:rFonts w:ascii="宋体" w:hAnsi="宋体"/>
          <w:b/>
          <w:bCs/>
          <w:color w:val="auto"/>
          <w:sz w:val="24"/>
          <w:szCs w:val="24"/>
        </w:rPr>
      </w:pPr>
    </w:p>
    <w:p w14:paraId="0ABBE5C1">
      <w:pPr>
        <w:widowControl/>
        <w:jc w:val="left"/>
        <w:rPr>
          <w:rFonts w:ascii="宋体" w:hAnsi="宋体"/>
          <w:b/>
          <w:bCs/>
          <w:color w:val="auto"/>
          <w:sz w:val="24"/>
          <w:szCs w:val="24"/>
        </w:rPr>
      </w:pPr>
      <w:r>
        <w:rPr>
          <w:rFonts w:ascii="宋体" w:hAnsi="宋体"/>
          <w:bCs/>
          <w:color w:val="auto"/>
          <w:sz w:val="24"/>
          <w:szCs w:val="24"/>
        </w:rPr>
        <w:br w:type="page"/>
      </w:r>
    </w:p>
    <w:p w14:paraId="175DB2A3">
      <w:pPr>
        <w:autoSpaceDE w:val="0"/>
        <w:autoSpaceDN w:val="0"/>
        <w:adjustRightInd w:val="0"/>
        <w:spacing w:line="360" w:lineRule="auto"/>
        <w:jc w:val="center"/>
        <w:outlineLvl w:val="2"/>
        <w:rPr>
          <w:rFonts w:ascii="宋体" w:hAnsi="宋体"/>
          <w:b/>
          <w:bCs/>
          <w:color w:val="auto"/>
          <w:sz w:val="24"/>
          <w:szCs w:val="24"/>
        </w:rPr>
      </w:pPr>
      <w:r>
        <w:rPr>
          <w:rFonts w:hint="eastAsia" w:ascii="宋体" w:hAnsi="宋体"/>
          <w:b/>
          <w:bCs/>
          <w:color w:val="auto"/>
          <w:sz w:val="24"/>
          <w:szCs w:val="24"/>
        </w:rPr>
        <w:t>4.10残疾人福利性单位声明函</w:t>
      </w:r>
    </w:p>
    <w:bookmarkEnd w:id="33"/>
    <w:bookmarkEnd w:id="34"/>
    <w:p w14:paraId="70766197">
      <w:pPr>
        <w:spacing w:line="360" w:lineRule="auto"/>
        <w:rPr>
          <w:rFonts w:ascii="宋体" w:hAnsi="宋体"/>
          <w:color w:val="auto"/>
        </w:rPr>
      </w:pPr>
    </w:p>
    <w:p w14:paraId="61D48BBC">
      <w:pPr>
        <w:spacing w:line="360" w:lineRule="auto"/>
        <w:ind w:firstLine="420" w:firstLineChars="200"/>
        <w:rPr>
          <w:rFonts w:ascii="宋体" w:hAnsi="宋体"/>
          <w:color w:val="auto"/>
        </w:rPr>
      </w:pPr>
      <w:r>
        <w:rPr>
          <w:rFonts w:hint="eastAsia" w:ascii="宋体" w:hAnsi="宋体"/>
          <w:color w:val="auto"/>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2465DC4D">
      <w:pPr>
        <w:spacing w:line="360" w:lineRule="auto"/>
        <w:ind w:firstLine="420" w:firstLineChars="200"/>
        <w:rPr>
          <w:rFonts w:ascii="宋体" w:hAnsi="宋体"/>
          <w:color w:val="auto"/>
        </w:rPr>
      </w:pPr>
      <w:r>
        <w:rPr>
          <w:rFonts w:hint="eastAsia" w:ascii="宋体" w:hAnsi="宋体"/>
          <w:color w:val="auto"/>
        </w:rPr>
        <w:t>本单位对上述声明的真实性负责。如有虚假，将依法承担相应责任。</w:t>
      </w:r>
    </w:p>
    <w:p w14:paraId="1D45AC41">
      <w:pPr>
        <w:spacing w:line="360" w:lineRule="auto"/>
        <w:rPr>
          <w:rFonts w:ascii="宋体" w:hAnsi="宋体"/>
          <w:color w:val="auto"/>
        </w:rPr>
      </w:pPr>
    </w:p>
    <w:p w14:paraId="429201DA">
      <w:pPr>
        <w:spacing w:line="360" w:lineRule="auto"/>
        <w:rPr>
          <w:rFonts w:ascii="宋体" w:hAnsi="宋体"/>
          <w:color w:val="auto"/>
        </w:rPr>
      </w:pPr>
    </w:p>
    <w:p w14:paraId="54EDF78F">
      <w:pPr>
        <w:spacing w:line="360" w:lineRule="auto"/>
        <w:rPr>
          <w:rFonts w:ascii="宋体" w:hAnsi="宋体"/>
          <w:color w:val="auto"/>
        </w:rPr>
      </w:pPr>
    </w:p>
    <w:p w14:paraId="6023BD09">
      <w:pPr>
        <w:adjustRightInd w:val="0"/>
        <w:snapToGrid w:val="0"/>
        <w:spacing w:line="360" w:lineRule="auto"/>
        <w:ind w:firstLine="3150" w:firstLineChars="1500"/>
        <w:rPr>
          <w:rFonts w:ascii="宋体" w:hAnsi="宋体" w:cs="宋体"/>
          <w:color w:val="auto"/>
        </w:rPr>
      </w:pPr>
      <w:r>
        <w:rPr>
          <w:rFonts w:hint="eastAsia" w:ascii="宋体" w:hAnsi="宋体"/>
          <w:color w:val="auto"/>
        </w:rPr>
        <w:t>单位名称（盖章）</w:t>
      </w:r>
      <w:r>
        <w:rPr>
          <w:rFonts w:hint="eastAsia" w:ascii="宋体" w:hAnsi="宋体" w:cs="宋体"/>
          <w:color w:val="auto"/>
        </w:rPr>
        <w:t>：</w:t>
      </w:r>
    </w:p>
    <w:p w14:paraId="0483B5A5">
      <w:pPr>
        <w:spacing w:line="480" w:lineRule="auto"/>
        <w:ind w:left="4358" w:leftChars="2075"/>
        <w:rPr>
          <w:rFonts w:ascii="宋体" w:hAnsi="宋体" w:cs="Arial"/>
          <w:color w:val="auto"/>
        </w:rPr>
      </w:pPr>
      <w:r>
        <w:rPr>
          <w:rFonts w:hint="eastAsia" w:ascii="宋体" w:hAnsi="宋体" w:cs="Arial"/>
          <w:color w:val="auto"/>
        </w:rPr>
        <w:t xml:space="preserve"> 日    期：      年    月    日</w:t>
      </w:r>
    </w:p>
    <w:p w14:paraId="214F06A8">
      <w:pPr>
        <w:spacing w:line="480" w:lineRule="auto"/>
        <w:ind w:left="4358" w:leftChars="2075"/>
        <w:rPr>
          <w:rFonts w:ascii="宋体" w:hAnsi="宋体" w:cs="Arial"/>
          <w:color w:val="auto"/>
        </w:rPr>
      </w:pPr>
    </w:p>
    <w:p w14:paraId="7A77D3C5">
      <w:pPr>
        <w:rPr>
          <w:color w:val="auto"/>
        </w:rPr>
      </w:pPr>
    </w:p>
    <w:p w14:paraId="53C3B754">
      <w:pPr>
        <w:rPr>
          <w:color w:val="auto"/>
        </w:rPr>
      </w:pPr>
    </w:p>
    <w:p w14:paraId="70636A93">
      <w:pPr>
        <w:rPr>
          <w:color w:val="auto"/>
        </w:rPr>
      </w:pPr>
    </w:p>
    <w:p w14:paraId="022B34C6">
      <w:pPr>
        <w:rPr>
          <w:color w:val="auto"/>
        </w:rPr>
      </w:pPr>
    </w:p>
    <w:p w14:paraId="1FA00183">
      <w:pPr>
        <w:rPr>
          <w:color w:val="auto"/>
        </w:rPr>
      </w:pPr>
    </w:p>
    <w:p w14:paraId="74FDEE99">
      <w:pPr>
        <w:rPr>
          <w:color w:val="auto"/>
        </w:rPr>
      </w:pPr>
    </w:p>
    <w:p w14:paraId="3E154977">
      <w:pPr>
        <w:autoSpaceDE w:val="0"/>
        <w:autoSpaceDN w:val="0"/>
        <w:adjustRightInd w:val="0"/>
        <w:spacing w:line="360" w:lineRule="auto"/>
        <w:jc w:val="center"/>
        <w:rPr>
          <w:color w:val="auto"/>
        </w:rPr>
      </w:pPr>
      <w:r>
        <w:rPr>
          <w:rFonts w:hint="eastAsia"/>
          <w:color w:val="auto"/>
        </w:rPr>
        <w:tab/>
      </w:r>
    </w:p>
    <w:p w14:paraId="19DB5D3F">
      <w:pPr>
        <w:autoSpaceDE w:val="0"/>
        <w:autoSpaceDN w:val="0"/>
        <w:adjustRightInd w:val="0"/>
        <w:spacing w:line="360" w:lineRule="auto"/>
        <w:jc w:val="center"/>
        <w:rPr>
          <w:color w:val="auto"/>
        </w:rPr>
      </w:pPr>
    </w:p>
    <w:p w14:paraId="5B631DA7">
      <w:pPr>
        <w:autoSpaceDE w:val="0"/>
        <w:autoSpaceDN w:val="0"/>
        <w:adjustRightInd w:val="0"/>
        <w:spacing w:line="360" w:lineRule="auto"/>
        <w:jc w:val="center"/>
        <w:rPr>
          <w:color w:val="auto"/>
        </w:rPr>
      </w:pPr>
    </w:p>
    <w:p w14:paraId="7DA845F6">
      <w:pPr>
        <w:autoSpaceDE w:val="0"/>
        <w:autoSpaceDN w:val="0"/>
        <w:adjustRightInd w:val="0"/>
        <w:spacing w:line="360" w:lineRule="auto"/>
        <w:jc w:val="center"/>
        <w:rPr>
          <w:color w:val="auto"/>
        </w:rPr>
      </w:pPr>
    </w:p>
    <w:p w14:paraId="756462FC">
      <w:pPr>
        <w:autoSpaceDE w:val="0"/>
        <w:autoSpaceDN w:val="0"/>
        <w:adjustRightInd w:val="0"/>
        <w:spacing w:line="360" w:lineRule="auto"/>
        <w:jc w:val="center"/>
        <w:rPr>
          <w:color w:val="auto"/>
        </w:rPr>
      </w:pPr>
    </w:p>
    <w:p w14:paraId="692ECB8A">
      <w:pPr>
        <w:autoSpaceDE w:val="0"/>
        <w:autoSpaceDN w:val="0"/>
        <w:adjustRightInd w:val="0"/>
        <w:spacing w:line="360" w:lineRule="auto"/>
        <w:jc w:val="center"/>
        <w:rPr>
          <w:color w:val="auto"/>
        </w:rPr>
      </w:pPr>
    </w:p>
    <w:p w14:paraId="22C16257">
      <w:pPr>
        <w:autoSpaceDE w:val="0"/>
        <w:autoSpaceDN w:val="0"/>
        <w:adjustRightInd w:val="0"/>
        <w:spacing w:line="360" w:lineRule="auto"/>
        <w:jc w:val="center"/>
        <w:rPr>
          <w:color w:val="auto"/>
        </w:rPr>
      </w:pPr>
    </w:p>
    <w:p w14:paraId="35253065">
      <w:pPr>
        <w:autoSpaceDE w:val="0"/>
        <w:autoSpaceDN w:val="0"/>
        <w:adjustRightInd w:val="0"/>
        <w:spacing w:line="360" w:lineRule="auto"/>
        <w:jc w:val="center"/>
        <w:rPr>
          <w:color w:val="auto"/>
        </w:rPr>
      </w:pPr>
    </w:p>
    <w:p w14:paraId="50B34F90">
      <w:pPr>
        <w:autoSpaceDE w:val="0"/>
        <w:autoSpaceDN w:val="0"/>
        <w:adjustRightInd w:val="0"/>
        <w:spacing w:line="360" w:lineRule="auto"/>
        <w:jc w:val="center"/>
        <w:rPr>
          <w:color w:val="auto"/>
        </w:rPr>
      </w:pPr>
    </w:p>
    <w:p w14:paraId="527E0225">
      <w:pPr>
        <w:autoSpaceDE w:val="0"/>
        <w:autoSpaceDN w:val="0"/>
        <w:adjustRightInd w:val="0"/>
        <w:spacing w:line="360" w:lineRule="auto"/>
        <w:jc w:val="center"/>
        <w:rPr>
          <w:color w:val="auto"/>
        </w:rPr>
      </w:pPr>
    </w:p>
    <w:p w14:paraId="2310AB53">
      <w:pPr>
        <w:autoSpaceDE w:val="0"/>
        <w:autoSpaceDN w:val="0"/>
        <w:adjustRightInd w:val="0"/>
        <w:spacing w:line="360" w:lineRule="auto"/>
        <w:jc w:val="center"/>
        <w:rPr>
          <w:color w:val="auto"/>
        </w:rPr>
      </w:pPr>
    </w:p>
    <w:p w14:paraId="49BEB95B">
      <w:pPr>
        <w:autoSpaceDE w:val="0"/>
        <w:autoSpaceDN w:val="0"/>
        <w:adjustRightInd w:val="0"/>
        <w:spacing w:line="360" w:lineRule="auto"/>
        <w:jc w:val="center"/>
        <w:outlineLvl w:val="2"/>
        <w:rPr>
          <w:rFonts w:ascii="宋体" w:hAnsi="宋体" w:cs="黑体"/>
          <w:b/>
          <w:bCs/>
          <w:color w:val="auto"/>
          <w:sz w:val="24"/>
          <w:szCs w:val="24"/>
        </w:rPr>
      </w:pPr>
      <w:r>
        <w:rPr>
          <w:rFonts w:hint="eastAsia" w:ascii="宋体" w:hAnsi="宋体" w:cs="黑体"/>
          <w:b/>
          <w:bCs/>
          <w:color w:val="auto"/>
          <w:sz w:val="24"/>
          <w:szCs w:val="24"/>
        </w:rPr>
        <w:t>4.11监狱企业证明函</w:t>
      </w:r>
    </w:p>
    <w:p w14:paraId="40F26EF4">
      <w:pPr>
        <w:autoSpaceDE w:val="0"/>
        <w:autoSpaceDN w:val="0"/>
        <w:adjustRightInd w:val="0"/>
        <w:spacing w:line="360" w:lineRule="auto"/>
        <w:ind w:firstLine="562"/>
        <w:jc w:val="left"/>
        <w:rPr>
          <w:rFonts w:ascii="宋体" w:hAnsi="宋体"/>
          <w:color w:val="auto"/>
          <w:sz w:val="24"/>
          <w:szCs w:val="24"/>
        </w:rPr>
      </w:pPr>
    </w:p>
    <w:p w14:paraId="3CE57DE5">
      <w:pPr>
        <w:autoSpaceDE w:val="0"/>
        <w:autoSpaceDN w:val="0"/>
        <w:adjustRightInd w:val="0"/>
        <w:spacing w:line="360" w:lineRule="auto"/>
        <w:ind w:firstLine="562"/>
        <w:jc w:val="left"/>
        <w:rPr>
          <w:rFonts w:ascii="宋体" w:hAnsi="宋体" w:cs="黑体"/>
          <w:color w:val="auto"/>
          <w:sz w:val="24"/>
          <w:szCs w:val="24"/>
        </w:rPr>
      </w:pPr>
      <w:r>
        <w:rPr>
          <w:rFonts w:hint="eastAsia" w:ascii="宋体" w:hAnsi="宋体"/>
          <w:color w:val="auto"/>
          <w:sz w:val="24"/>
          <w:szCs w:val="24"/>
        </w:rPr>
        <w:t>根据《财政部 司法部关于政府采购支持监狱企业发展有关问题的通知》（财库[2014]68 号）的规定，</w:t>
      </w:r>
      <w:r>
        <w:rPr>
          <w:rFonts w:hint="eastAsia" w:ascii="宋体" w:hAnsi="宋体" w:cs="黑体"/>
          <w:color w:val="auto"/>
          <w:sz w:val="24"/>
          <w:szCs w:val="24"/>
          <w:u w:val="single"/>
        </w:rPr>
        <w:t xml:space="preserve">（填写投标人全称）    </w:t>
      </w:r>
      <w:r>
        <w:rPr>
          <w:rFonts w:hint="eastAsia" w:ascii="宋体" w:hAnsi="宋体" w:cs="黑体"/>
          <w:color w:val="auto"/>
          <w:sz w:val="24"/>
          <w:szCs w:val="24"/>
        </w:rPr>
        <w:t xml:space="preserve">为监狱企业。 </w:t>
      </w:r>
    </w:p>
    <w:p w14:paraId="6D1244F6">
      <w:pPr>
        <w:autoSpaceDE w:val="0"/>
        <w:autoSpaceDN w:val="0"/>
        <w:adjustRightInd w:val="0"/>
        <w:spacing w:line="360" w:lineRule="auto"/>
        <w:ind w:firstLine="562"/>
        <w:jc w:val="left"/>
        <w:rPr>
          <w:rFonts w:ascii="宋体" w:hAnsi="宋体" w:cs="黑体"/>
          <w:color w:val="auto"/>
          <w:sz w:val="24"/>
          <w:szCs w:val="24"/>
        </w:rPr>
      </w:pPr>
      <w:r>
        <w:rPr>
          <w:rFonts w:hint="eastAsia" w:ascii="宋体" w:hAnsi="宋体" w:cs="黑体"/>
          <w:color w:val="auto"/>
          <w:sz w:val="24"/>
          <w:szCs w:val="24"/>
        </w:rPr>
        <w:t>特此声明。</w:t>
      </w:r>
    </w:p>
    <w:p w14:paraId="4FFBD392">
      <w:pPr>
        <w:autoSpaceDE w:val="0"/>
        <w:autoSpaceDN w:val="0"/>
        <w:adjustRightInd w:val="0"/>
        <w:spacing w:line="360" w:lineRule="auto"/>
        <w:ind w:firstLine="880" w:firstLineChars="367"/>
        <w:jc w:val="left"/>
        <w:rPr>
          <w:rFonts w:ascii="宋体" w:hAnsi="宋体" w:cs="黑体"/>
          <w:color w:val="auto"/>
          <w:sz w:val="24"/>
          <w:szCs w:val="24"/>
        </w:rPr>
      </w:pPr>
    </w:p>
    <w:p w14:paraId="68C21236">
      <w:pPr>
        <w:autoSpaceDE w:val="0"/>
        <w:autoSpaceDN w:val="0"/>
        <w:adjustRightInd w:val="0"/>
        <w:spacing w:line="360" w:lineRule="auto"/>
        <w:ind w:firstLine="880" w:firstLineChars="367"/>
        <w:jc w:val="left"/>
        <w:rPr>
          <w:rFonts w:ascii="宋体" w:hAnsi="宋体" w:cs="黑体"/>
          <w:color w:val="auto"/>
          <w:sz w:val="24"/>
          <w:szCs w:val="24"/>
        </w:rPr>
      </w:pPr>
      <w:r>
        <w:rPr>
          <w:rFonts w:hint="eastAsia" w:ascii="宋体" w:hAnsi="宋体" w:cs="黑体"/>
          <w:color w:val="auto"/>
          <w:sz w:val="24"/>
          <w:szCs w:val="24"/>
        </w:rPr>
        <w:t>省级以上监狱管理局、戒毒管理局（含新疆生产建设兵团） （盖章）：</w:t>
      </w:r>
    </w:p>
    <w:p w14:paraId="2AA7DD78">
      <w:pPr>
        <w:autoSpaceDE w:val="0"/>
        <w:autoSpaceDN w:val="0"/>
        <w:adjustRightInd w:val="0"/>
        <w:spacing w:line="360" w:lineRule="auto"/>
        <w:ind w:firstLine="2880" w:firstLineChars="1200"/>
        <w:jc w:val="left"/>
        <w:rPr>
          <w:rFonts w:ascii="宋体" w:hAnsi="宋体" w:cs="黑体"/>
          <w:color w:val="auto"/>
          <w:sz w:val="24"/>
          <w:szCs w:val="24"/>
        </w:rPr>
      </w:pPr>
      <w:r>
        <w:rPr>
          <w:rFonts w:hint="eastAsia" w:ascii="宋体" w:hAnsi="宋体" w:cs="黑体"/>
          <w:color w:val="auto"/>
          <w:sz w:val="24"/>
          <w:szCs w:val="24"/>
        </w:rPr>
        <w:t xml:space="preserve"> 日    期：  年  月 日 </w:t>
      </w:r>
    </w:p>
    <w:p w14:paraId="7435B011">
      <w:pPr>
        <w:autoSpaceDE w:val="0"/>
        <w:autoSpaceDN w:val="0"/>
        <w:adjustRightInd w:val="0"/>
        <w:spacing w:line="360" w:lineRule="auto"/>
        <w:ind w:firstLine="880" w:firstLineChars="367"/>
        <w:jc w:val="left"/>
        <w:rPr>
          <w:rFonts w:ascii="宋体" w:hAnsi="宋体" w:cs="黑体"/>
          <w:color w:val="auto"/>
          <w:sz w:val="24"/>
          <w:szCs w:val="24"/>
        </w:rPr>
      </w:pPr>
    </w:p>
    <w:p w14:paraId="05D99CC9">
      <w:pPr>
        <w:autoSpaceDE w:val="0"/>
        <w:autoSpaceDN w:val="0"/>
        <w:adjustRightInd w:val="0"/>
        <w:spacing w:line="360" w:lineRule="auto"/>
        <w:jc w:val="left"/>
        <w:rPr>
          <w:rFonts w:ascii="宋体" w:hAnsi="宋体" w:cs="黑体"/>
          <w:b/>
          <w:bCs/>
          <w:color w:val="auto"/>
          <w:sz w:val="24"/>
          <w:szCs w:val="24"/>
        </w:rPr>
      </w:pPr>
      <w:r>
        <w:rPr>
          <w:rFonts w:hint="eastAsia" w:ascii="宋体" w:hAnsi="宋体" w:cs="黑体"/>
          <w:b/>
          <w:bCs/>
          <w:color w:val="auto"/>
          <w:sz w:val="24"/>
          <w:szCs w:val="24"/>
        </w:rPr>
        <w:t>注：符合条件的监狱企业请提供本函，不符合的不提供本函。</w:t>
      </w:r>
    </w:p>
    <w:p w14:paraId="30CF0D69">
      <w:pPr>
        <w:rPr>
          <w:color w:val="auto"/>
        </w:rPr>
      </w:pPr>
    </w:p>
    <w:p w14:paraId="291C51CD">
      <w:pPr>
        <w:rPr>
          <w:color w:val="auto"/>
        </w:rPr>
      </w:pPr>
    </w:p>
    <w:p w14:paraId="6EC002A1">
      <w:pPr>
        <w:tabs>
          <w:tab w:val="left" w:pos="1993"/>
        </w:tabs>
        <w:rPr>
          <w:color w:val="auto"/>
        </w:rPr>
      </w:pPr>
    </w:p>
    <w:p w14:paraId="2CE70B58">
      <w:pPr>
        <w:rPr>
          <w:color w:val="auto"/>
        </w:rPr>
      </w:pPr>
    </w:p>
    <w:p w14:paraId="26AC915A">
      <w:pPr>
        <w:rPr>
          <w:color w:val="auto"/>
        </w:rPr>
      </w:pPr>
    </w:p>
    <w:p w14:paraId="73616A99">
      <w:pPr>
        <w:rPr>
          <w:color w:val="auto"/>
        </w:rPr>
      </w:pPr>
    </w:p>
    <w:p w14:paraId="4C3B31B7">
      <w:pPr>
        <w:rPr>
          <w:color w:val="auto"/>
        </w:rPr>
      </w:pPr>
    </w:p>
    <w:p w14:paraId="1C63261C">
      <w:pPr>
        <w:rPr>
          <w:color w:val="auto"/>
        </w:rPr>
      </w:pPr>
    </w:p>
    <w:p w14:paraId="5047F07A">
      <w:pPr>
        <w:rPr>
          <w:color w:val="auto"/>
        </w:rPr>
      </w:pPr>
    </w:p>
    <w:p w14:paraId="64D7EA05">
      <w:pPr>
        <w:rPr>
          <w:color w:val="auto"/>
        </w:rPr>
      </w:pPr>
    </w:p>
    <w:p w14:paraId="7752E6EB">
      <w:pPr>
        <w:autoSpaceDE w:val="0"/>
        <w:autoSpaceDN w:val="0"/>
        <w:adjustRightInd w:val="0"/>
        <w:spacing w:line="360" w:lineRule="auto"/>
        <w:rPr>
          <w:rFonts w:ascii="宋体" w:hAnsi="宋体" w:cs="黑体"/>
          <w:b/>
          <w:bCs/>
          <w:color w:val="auto"/>
          <w:sz w:val="28"/>
          <w:szCs w:val="28"/>
          <w:lang w:val="zh-CN"/>
        </w:rPr>
      </w:pPr>
    </w:p>
    <w:p w14:paraId="2E184BE4">
      <w:pPr>
        <w:autoSpaceDE w:val="0"/>
        <w:autoSpaceDN w:val="0"/>
        <w:adjustRightInd w:val="0"/>
        <w:spacing w:line="360" w:lineRule="auto"/>
        <w:rPr>
          <w:rFonts w:ascii="宋体" w:hAnsi="宋体" w:cs="黑体"/>
          <w:b/>
          <w:bCs/>
          <w:color w:val="auto"/>
          <w:sz w:val="28"/>
          <w:szCs w:val="28"/>
          <w:lang w:val="zh-CN"/>
        </w:rPr>
      </w:pPr>
    </w:p>
    <w:p w14:paraId="6597E4CF">
      <w:pPr>
        <w:autoSpaceDE w:val="0"/>
        <w:autoSpaceDN w:val="0"/>
        <w:adjustRightInd w:val="0"/>
        <w:spacing w:line="360" w:lineRule="auto"/>
        <w:rPr>
          <w:rFonts w:ascii="宋体" w:hAnsi="宋体" w:cs="黑体"/>
          <w:b/>
          <w:bCs/>
          <w:color w:val="auto"/>
          <w:sz w:val="28"/>
          <w:szCs w:val="28"/>
          <w:lang w:val="zh-CN"/>
        </w:rPr>
      </w:pPr>
    </w:p>
    <w:p w14:paraId="47A54A52">
      <w:pPr>
        <w:autoSpaceDE w:val="0"/>
        <w:autoSpaceDN w:val="0"/>
        <w:adjustRightInd w:val="0"/>
        <w:spacing w:line="360" w:lineRule="auto"/>
        <w:rPr>
          <w:rFonts w:ascii="宋体" w:hAnsi="宋体" w:cs="黑体"/>
          <w:b/>
          <w:bCs/>
          <w:color w:val="auto"/>
          <w:sz w:val="28"/>
          <w:szCs w:val="28"/>
          <w:lang w:val="zh-CN"/>
        </w:rPr>
      </w:pPr>
    </w:p>
    <w:p w14:paraId="464552AC">
      <w:pPr>
        <w:autoSpaceDE w:val="0"/>
        <w:autoSpaceDN w:val="0"/>
        <w:adjustRightInd w:val="0"/>
        <w:spacing w:line="360" w:lineRule="auto"/>
        <w:rPr>
          <w:rFonts w:ascii="宋体" w:hAnsi="宋体" w:cs="黑体"/>
          <w:b/>
          <w:bCs/>
          <w:color w:val="auto"/>
          <w:sz w:val="28"/>
          <w:szCs w:val="28"/>
          <w:lang w:val="zh-CN"/>
        </w:rPr>
      </w:pPr>
    </w:p>
    <w:p w14:paraId="29B97D2B">
      <w:pPr>
        <w:autoSpaceDE w:val="0"/>
        <w:autoSpaceDN w:val="0"/>
        <w:adjustRightInd w:val="0"/>
        <w:spacing w:line="360" w:lineRule="auto"/>
        <w:rPr>
          <w:rFonts w:ascii="宋体" w:hAnsi="宋体" w:cs="黑体"/>
          <w:b/>
          <w:bCs/>
          <w:color w:val="auto"/>
          <w:sz w:val="28"/>
          <w:szCs w:val="28"/>
          <w:lang w:val="zh-CN"/>
        </w:rPr>
      </w:pPr>
    </w:p>
    <w:p w14:paraId="32EB266E">
      <w:pPr>
        <w:autoSpaceDE w:val="0"/>
        <w:autoSpaceDN w:val="0"/>
        <w:adjustRightInd w:val="0"/>
        <w:spacing w:line="360" w:lineRule="auto"/>
        <w:rPr>
          <w:rFonts w:ascii="宋体" w:hAnsi="宋体" w:cs="黑体"/>
          <w:b/>
          <w:bCs/>
          <w:color w:val="auto"/>
          <w:sz w:val="28"/>
          <w:szCs w:val="28"/>
          <w:lang w:val="zh-CN"/>
        </w:rPr>
      </w:pPr>
    </w:p>
    <w:p w14:paraId="3B20DB25">
      <w:pPr>
        <w:autoSpaceDE w:val="0"/>
        <w:autoSpaceDN w:val="0"/>
        <w:adjustRightInd w:val="0"/>
        <w:spacing w:line="360" w:lineRule="auto"/>
        <w:rPr>
          <w:rFonts w:ascii="宋体" w:hAnsi="宋体" w:cs="黑体"/>
          <w:b/>
          <w:bCs/>
          <w:color w:val="auto"/>
          <w:sz w:val="28"/>
          <w:szCs w:val="28"/>
          <w:lang w:val="zh-CN"/>
        </w:rPr>
      </w:pPr>
    </w:p>
    <w:p w14:paraId="4CE76875">
      <w:pPr>
        <w:autoSpaceDE w:val="0"/>
        <w:autoSpaceDN w:val="0"/>
        <w:adjustRightInd w:val="0"/>
        <w:spacing w:line="360" w:lineRule="auto"/>
        <w:rPr>
          <w:rFonts w:ascii="宋体" w:hAnsi="宋体" w:cs="黑体"/>
          <w:b/>
          <w:bCs/>
          <w:color w:val="auto"/>
          <w:sz w:val="28"/>
          <w:szCs w:val="28"/>
          <w:lang w:val="zh-CN"/>
        </w:rPr>
      </w:pPr>
    </w:p>
    <w:p w14:paraId="14015B46">
      <w:pPr>
        <w:autoSpaceDE w:val="0"/>
        <w:autoSpaceDN w:val="0"/>
        <w:adjustRightInd w:val="0"/>
        <w:spacing w:line="360" w:lineRule="auto"/>
        <w:ind w:firstLine="2811" w:firstLineChars="1000"/>
        <w:outlineLvl w:val="0"/>
        <w:rPr>
          <w:rFonts w:ascii="宋体" w:hAnsi="宋体" w:cs="黑体"/>
          <w:b/>
          <w:bCs/>
          <w:color w:val="auto"/>
          <w:sz w:val="28"/>
          <w:szCs w:val="28"/>
          <w:lang w:val="zh-CN"/>
        </w:rPr>
      </w:pPr>
      <w:r>
        <w:rPr>
          <w:rFonts w:hint="eastAsia" w:ascii="宋体" w:hAnsi="宋体" w:cs="黑体"/>
          <w:b/>
          <w:bCs/>
          <w:color w:val="auto"/>
          <w:sz w:val="28"/>
          <w:szCs w:val="28"/>
          <w:lang w:val="zh-CN"/>
        </w:rPr>
        <w:t>五、</w:t>
      </w:r>
      <w:r>
        <w:rPr>
          <w:rFonts w:ascii="宋体" w:hAnsi="宋体" w:cs="黑体"/>
          <w:b/>
          <w:bCs/>
          <w:color w:val="auto"/>
          <w:sz w:val="28"/>
          <w:szCs w:val="28"/>
          <w:lang w:val="zh-CN"/>
        </w:rPr>
        <w:t>其他资料（若有）</w:t>
      </w:r>
    </w:p>
    <w:p w14:paraId="2634B89F">
      <w:pPr>
        <w:rPr>
          <w:color w:val="auto"/>
        </w:rPr>
      </w:pPr>
    </w:p>
    <w:p w14:paraId="5BBD6A40">
      <w:pPr>
        <w:rPr>
          <w:color w:val="auto"/>
        </w:rPr>
      </w:pPr>
    </w:p>
    <w:p w14:paraId="0672E83C">
      <w:pPr>
        <w:rPr>
          <w:color w:val="auto"/>
        </w:rPr>
      </w:pPr>
    </w:p>
    <w:p w14:paraId="3EF06590">
      <w:pPr>
        <w:spacing w:line="360" w:lineRule="auto"/>
        <w:jc w:val="center"/>
        <w:rPr>
          <w:rFonts w:ascii="宋体" w:hAnsi="宋体"/>
          <w:b/>
          <w:bCs/>
          <w:color w:val="auto"/>
          <w:sz w:val="28"/>
          <w:szCs w:val="28"/>
        </w:rPr>
      </w:pPr>
      <w:r>
        <w:rPr>
          <w:rFonts w:ascii="宋体" w:hAnsi="宋体"/>
          <w:b/>
          <w:bCs/>
          <w:color w:val="auto"/>
          <w:sz w:val="28"/>
          <w:szCs w:val="28"/>
        </w:rPr>
        <w:t>除招标文件另有规定外，投标人认为需要提交的其他证明材料或资料加盖投标人单位公章后应在此项下提交。</w:t>
      </w:r>
    </w:p>
    <w:p w14:paraId="276D0053">
      <w:pPr>
        <w:spacing w:line="360" w:lineRule="auto"/>
        <w:jc w:val="center"/>
        <w:rPr>
          <w:rFonts w:ascii="宋体" w:hAnsi="宋体"/>
          <w:b/>
          <w:bCs/>
          <w:color w:val="auto"/>
          <w:sz w:val="28"/>
          <w:szCs w:val="28"/>
        </w:rPr>
      </w:pPr>
      <w:r>
        <w:rPr>
          <w:rFonts w:ascii="宋体" w:hAnsi="宋体"/>
          <w:b/>
          <w:bCs/>
          <w:color w:val="auto"/>
          <w:sz w:val="28"/>
          <w:szCs w:val="28"/>
        </w:rPr>
        <w:t> </w:t>
      </w:r>
    </w:p>
    <w:p w14:paraId="1EE50F16">
      <w:pPr>
        <w:rPr>
          <w:color w:val="auto"/>
        </w:rPr>
      </w:pPr>
    </w:p>
    <w:p w14:paraId="22E2DC21">
      <w:pPr>
        <w:rPr>
          <w:color w:val="auto"/>
        </w:rPr>
      </w:pPr>
    </w:p>
    <w:p w14:paraId="0734E75E">
      <w:pPr>
        <w:rPr>
          <w:color w:val="auto"/>
        </w:rPr>
      </w:pPr>
    </w:p>
    <w:p w14:paraId="55D275F8">
      <w:pPr>
        <w:rPr>
          <w:color w:val="auto"/>
        </w:rPr>
      </w:pPr>
    </w:p>
    <w:p w14:paraId="0F6BB42E">
      <w:pPr>
        <w:rPr>
          <w:color w:val="auto"/>
        </w:rPr>
      </w:pPr>
    </w:p>
    <w:p w14:paraId="351E6A2F">
      <w:pPr>
        <w:rPr>
          <w:color w:val="auto"/>
        </w:rPr>
      </w:pPr>
    </w:p>
    <w:p w14:paraId="0190527A">
      <w:pPr>
        <w:rPr>
          <w:color w:val="auto"/>
        </w:rPr>
      </w:pPr>
    </w:p>
    <w:p w14:paraId="38E8E499">
      <w:pPr>
        <w:rPr>
          <w:color w:val="auto"/>
        </w:rPr>
      </w:pPr>
    </w:p>
    <w:p w14:paraId="21F01F17">
      <w:pPr>
        <w:rPr>
          <w:color w:val="auto"/>
        </w:rPr>
      </w:pPr>
    </w:p>
    <w:p w14:paraId="79C950F9">
      <w:pPr>
        <w:rPr>
          <w:color w:val="auto"/>
        </w:rPr>
      </w:pPr>
    </w:p>
    <w:p w14:paraId="2C70E453">
      <w:pPr>
        <w:rPr>
          <w:color w:val="auto"/>
        </w:rPr>
      </w:pPr>
    </w:p>
    <w:p w14:paraId="03204A0C">
      <w:pPr>
        <w:rPr>
          <w:color w:val="auto"/>
        </w:rPr>
      </w:pPr>
    </w:p>
    <w:p w14:paraId="754DADCA">
      <w:pPr>
        <w:rPr>
          <w:color w:val="auto"/>
        </w:rPr>
      </w:pPr>
    </w:p>
    <w:p w14:paraId="4DEFF2C4">
      <w:pPr>
        <w:rPr>
          <w:color w:val="auto"/>
        </w:rPr>
      </w:pPr>
    </w:p>
    <w:p w14:paraId="3B071D1A">
      <w:pPr>
        <w:rPr>
          <w:color w:val="auto"/>
        </w:rPr>
      </w:pPr>
    </w:p>
    <w:p w14:paraId="39628007">
      <w:pPr>
        <w:rPr>
          <w:color w:val="auto"/>
        </w:rPr>
      </w:pPr>
    </w:p>
    <w:p w14:paraId="7788AA0D">
      <w:pPr>
        <w:widowControl/>
        <w:spacing w:before="100" w:beforeAutospacing="1" w:after="100" w:afterAutospacing="1" w:line="360" w:lineRule="auto"/>
        <w:jc w:val="center"/>
        <w:rPr>
          <w:color w:val="auto"/>
        </w:rPr>
      </w:pPr>
    </w:p>
    <w:sectPr>
      <w:footerReference r:id="rId4" w:type="default"/>
      <w:pgSz w:w="11906" w:h="16838"/>
      <w:pgMar w:top="1531" w:right="1474" w:bottom="1361" w:left="1587" w:header="851" w:footer="992" w:gutter="0"/>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C19B98D-F74B-449C-A823-E51D9C524902}"/>
  </w:font>
  <w:font w:name="黑体">
    <w:panose1 w:val="02010609060101010101"/>
    <w:charset w:val="86"/>
    <w:family w:val="auto"/>
    <w:pitch w:val="default"/>
    <w:sig w:usb0="800002BF" w:usb1="38CF7CFA" w:usb2="00000016" w:usb3="00000000" w:csb0="00040001" w:csb1="00000000"/>
    <w:embedRegular r:id="rId2" w:fontKey="{FEF56B72-2816-4224-99D2-775CF0D1071B}"/>
  </w:font>
  <w:font w:name="Courier New">
    <w:panose1 w:val="02070309020205020404"/>
    <w:charset w:val="01"/>
    <w:family w:val="modern"/>
    <w:pitch w:val="default"/>
    <w:sig w:usb0="E0002EFF" w:usb1="C0007843" w:usb2="00000009" w:usb3="00000000" w:csb0="400001FF" w:csb1="FFFF0000"/>
    <w:embedRegular r:id="rId3" w:fontKey="{CBF03A7E-7CDB-4161-8759-FAE719D7FA8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96DE41B5-072A-44F9-9DAF-C7A98686E58B}"/>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5" w:fontKey="{BD9306A3-EAD4-4705-9D13-50D2195DB4AC}"/>
  </w:font>
  <w:font w:name="仿宋">
    <w:panose1 w:val="02010609060101010101"/>
    <w:charset w:val="86"/>
    <w:family w:val="modern"/>
    <w:pitch w:val="default"/>
    <w:sig w:usb0="800002BF" w:usb1="38CF7CFA" w:usb2="00000016" w:usb3="00000000" w:csb0="00040001" w:csb1="00000000"/>
    <w:embedRegular r:id="rId6" w:fontKey="{EE10EDD8-474C-46EF-8B39-C92C03461A8A}"/>
  </w:font>
  <w:font w:name="MS Mincho">
    <w:panose1 w:val="02020609040205080304"/>
    <w:charset w:val="80"/>
    <w:family w:val="modern"/>
    <w:pitch w:val="default"/>
    <w:sig w:usb0="E00002FF" w:usb1="6AC7FDFB" w:usb2="00000012" w:usb3="00000000" w:csb0="4002009F" w:csb1="DFD70000"/>
    <w:embedRegular r:id="rId7" w:fontKey="{32EA3727-E5F0-48D6-B220-045C18FF04D3}"/>
  </w:font>
  <w:font w:name="仿宋_GB2312">
    <w:altName w:val="仿宋"/>
    <w:panose1 w:val="00000000000000000000"/>
    <w:charset w:val="86"/>
    <w:family w:val="modern"/>
    <w:pitch w:val="default"/>
    <w:sig w:usb0="00000000" w:usb1="00000000" w:usb2="00000000" w:usb3="00000000" w:csb0="00040000" w:csb1="00000000"/>
    <w:embedRegular r:id="rId8" w:fontKey="{0AA9BEFE-F415-4E8D-A401-9D740924EC58}"/>
  </w:font>
  <w:font w:name="ˎ̥">
    <w:altName w:val="Times New Roman"/>
    <w:panose1 w:val="00000000000000000000"/>
    <w:charset w:val="00"/>
    <w:family w:val="roman"/>
    <w:pitch w:val="default"/>
    <w:sig w:usb0="00000000" w:usb1="00000000" w:usb2="00000000" w:usb3="00000000" w:csb0="00040001" w:csb1="00000000"/>
    <w:embedRegular r:id="rId9" w:fontKey="{36BDA836-309C-491A-9DD5-A34589FEA0CC}"/>
  </w:font>
  <w:font w:name="Lucida Sans Unicode">
    <w:panose1 w:val="020B0602030504020204"/>
    <w:charset w:val="00"/>
    <w:family w:val="swiss"/>
    <w:pitch w:val="default"/>
    <w:sig w:usb0="80001AFF" w:usb1="0000396B" w:usb2="00000000" w:usb3="00000000" w:csb0="200000BF" w:csb1="D7F70000"/>
    <w:embedRegular r:id="rId10" w:fontKey="{CA456A6E-94D2-4463-9525-9F9BA52B38FB}"/>
  </w:font>
  <w:font w:name="等线 Light">
    <w:panose1 w:val="02010600030101010101"/>
    <w:charset w:val="86"/>
    <w:family w:val="auto"/>
    <w:pitch w:val="default"/>
    <w:sig w:usb0="A00002BF" w:usb1="38CF7CFA" w:usb2="00000016" w:usb3="00000000" w:csb0="0004000F" w:csb1="00000000"/>
    <w:embedRegular r:id="rId11" w:fontKey="{79405D47-68B2-41E2-8BBF-3F3F83B49DC2}"/>
  </w:font>
  <w:font w:name="楷体">
    <w:panose1 w:val="02010609060101010101"/>
    <w:charset w:val="86"/>
    <w:family w:val="modern"/>
    <w:pitch w:val="default"/>
    <w:sig w:usb0="800002BF" w:usb1="38CF7CFA" w:usb2="00000016" w:usb3="00000000" w:csb0="00040001" w:csb1="00000000"/>
    <w:embedRegular r:id="rId12" w:fontKey="{321B3DF2-A773-458F-85EC-B4FB324A08B3}"/>
  </w:font>
  <w:font w:name="等线">
    <w:panose1 w:val="02010600030101010101"/>
    <w:charset w:val="86"/>
    <w:family w:val="auto"/>
    <w:pitch w:val="default"/>
    <w:sig w:usb0="A00002BF" w:usb1="38CF7CFA" w:usb2="00000016" w:usb3="00000000" w:csb0="0004000F" w:csb1="00000000"/>
    <w:embedRegular r:id="rId13" w:fontKey="{04302291-1261-4902-A678-9F96540E1BE5}"/>
  </w:font>
  <w:font w:name="方正小标宋简体">
    <w:panose1 w:val="03000509000000000000"/>
    <w:charset w:val="86"/>
    <w:family w:val="auto"/>
    <w:pitch w:val="default"/>
    <w:sig w:usb0="00000001" w:usb1="080E0000" w:usb2="00000000" w:usb3="00000000" w:csb0="00040000" w:csb1="00000000"/>
    <w:embedRegular r:id="rId14" w:fontKey="{69DE781E-89C1-414E-B51C-7D61A02D08FC}"/>
  </w:font>
  <w:font w:name="华文仿宋">
    <w:panose1 w:val="02010600040101010101"/>
    <w:charset w:val="86"/>
    <w:family w:val="auto"/>
    <w:pitch w:val="default"/>
    <w:sig w:usb0="00000287" w:usb1="080F0000" w:usb2="00000000" w:usb3="00000000" w:csb0="0004009F" w:csb1="DFD70000"/>
    <w:embedRegular r:id="rId15" w:fontKey="{679BDC32-6BC7-4037-88C1-4E6E5305509D}"/>
  </w:font>
  <w:font w:name="WPSEMBED1">
    <w:panose1 w:val="02020609040205080304"/>
    <w:charset w:val="80"/>
    <w:family w:val="auto"/>
    <w:pitch w:val="default"/>
    <w:sig w:usb0="E00002FF" w:usb1="6AC7FDFB" w:usb2="00000012" w:usb3="00000000" w:csb0="4002009F" w:csb1="DFD70000"/>
  </w:font>
  <w:font w:name="WPSEMBED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10890">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F6EF8">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49F6EF8">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326C5">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5EDB6">
                          <w:pPr>
                            <w:pStyle w:val="22"/>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D55EDB6">
                    <w:pPr>
                      <w:pStyle w:val="22"/>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EE5639"/>
    <w:multiLevelType w:val="singleLevel"/>
    <w:tmpl w:val="DEEE5639"/>
    <w:lvl w:ilvl="0" w:tentative="0">
      <w:start w:val="5"/>
      <w:numFmt w:val="upperLetter"/>
      <w:suff w:val="nothing"/>
      <w:lvlText w:val="%1、"/>
      <w:lvlJc w:val="left"/>
    </w:lvl>
  </w:abstractNum>
  <w:abstractNum w:abstractNumId="1">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0000008"/>
    <w:multiLevelType w:val="singleLevel"/>
    <w:tmpl w:val="00000008"/>
    <w:lvl w:ilvl="0" w:tentative="0">
      <w:start w:val="3"/>
      <w:numFmt w:val="decimal"/>
      <w:suff w:val="nothing"/>
      <w:lvlText w:val="%1、"/>
      <w:lvlJc w:val="left"/>
      <w:pPr>
        <w:ind w:left="0" w:firstLine="0"/>
      </w:pPr>
    </w:lvl>
  </w:abstractNum>
  <w:abstractNum w:abstractNumId="4">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5">
    <w:nsid w:val="1C2A9796"/>
    <w:multiLevelType w:val="singleLevel"/>
    <w:tmpl w:val="1C2A9796"/>
    <w:lvl w:ilvl="0" w:tentative="0">
      <w:start w:val="1"/>
      <w:numFmt w:val="decimal"/>
      <w:suff w:val="nothing"/>
      <w:lvlText w:val="%1、"/>
      <w:lvlJc w:val="left"/>
    </w:lvl>
  </w:abstractNum>
  <w:abstractNum w:abstractNumId="6">
    <w:nsid w:val="239C44F6"/>
    <w:multiLevelType w:val="multilevel"/>
    <w:tmpl w:val="239C44F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DB41073"/>
    <w:multiLevelType w:val="multilevel"/>
    <w:tmpl w:val="2DB4107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33B1E42"/>
    <w:multiLevelType w:val="singleLevel"/>
    <w:tmpl w:val="333B1E42"/>
    <w:lvl w:ilvl="0" w:tentative="0">
      <w:start w:val="1"/>
      <w:numFmt w:val="chineseCounting"/>
      <w:suff w:val="nothing"/>
      <w:lvlText w:val="%1、"/>
      <w:lvlJc w:val="left"/>
      <w:rPr>
        <w:rFonts w:hint="eastAsia"/>
      </w:rPr>
    </w:lvl>
  </w:abstractNum>
  <w:abstractNum w:abstractNumId="9">
    <w:nsid w:val="3C106099"/>
    <w:multiLevelType w:val="multilevel"/>
    <w:tmpl w:val="3C10609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EE21484"/>
    <w:multiLevelType w:val="singleLevel"/>
    <w:tmpl w:val="4EE21484"/>
    <w:lvl w:ilvl="0" w:tentative="0">
      <w:start w:val="6"/>
      <w:numFmt w:val="decimal"/>
      <w:suff w:val="nothing"/>
      <w:lvlText w:val="（%1）"/>
      <w:lvlJc w:val="left"/>
    </w:lvl>
  </w:abstractNum>
  <w:abstractNum w:abstractNumId="11">
    <w:nsid w:val="502F589B"/>
    <w:multiLevelType w:val="multilevel"/>
    <w:tmpl w:val="502F589B"/>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61E801C1"/>
    <w:multiLevelType w:val="singleLevel"/>
    <w:tmpl w:val="61E801C1"/>
    <w:lvl w:ilvl="0" w:tentative="0">
      <w:start w:val="1"/>
      <w:numFmt w:val="decimal"/>
      <w:suff w:val="nothing"/>
      <w:lvlText w:val="%1、"/>
      <w:lvlJc w:val="left"/>
    </w:lvl>
  </w:abstractNum>
  <w:abstractNum w:abstractNumId="14">
    <w:nsid w:val="715D4FD9"/>
    <w:multiLevelType w:val="multilevel"/>
    <w:tmpl w:val="715D4FD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2"/>
    <w:lvlOverride w:ilvl="0">
      <w:startOverride w:val="1"/>
      <w:lvl w:ilvl="0" w:tentative="1">
        <w:start w:val="1"/>
        <w:numFmt w:val="chineseCounting"/>
        <w:suff w:val="space"/>
        <w:lvlText w:val="第%1章"/>
        <w:lvlJc w:val="left"/>
        <w:pPr>
          <w:ind w:left="0" w:firstLine="0"/>
        </w:pPr>
        <w:rPr>
          <w:rFonts w:hint="eastAsia" w:ascii="宋体" w:hAnsi="宋体" w:eastAsia="宋体"/>
        </w:rPr>
      </w:lvl>
    </w:lvlOverride>
    <w:lvlOverride w:ilvl="1">
      <w:startOverride w:val="1"/>
      <w:lvl w:ilvl="1" w:tentative="1">
        <w:start w:val="1"/>
        <w:numFmt w:val="decimal"/>
        <w:lvlText w:val="%2."/>
        <w:lvlJc w:val="left"/>
        <w:pPr>
          <w:tabs>
            <w:tab w:val="left" w:pos="1440"/>
          </w:tabs>
          <w:ind w:left="1440" w:hanging="360"/>
        </w:pPr>
      </w:lvl>
    </w:lvlOverride>
    <w:lvlOverride w:ilvl="2">
      <w:startOverride w:val="1"/>
      <w:lvl w:ilvl="2" w:tentative="1">
        <w:start w:val="1"/>
        <w:numFmt w:val="decimal"/>
        <w:lvlText w:val="%3."/>
        <w:lvlJc w:val="left"/>
        <w:pPr>
          <w:tabs>
            <w:tab w:val="left" w:pos="2160"/>
          </w:tabs>
          <w:ind w:left="2160" w:hanging="360"/>
        </w:pPr>
      </w:lvl>
    </w:lvlOverride>
    <w:lvlOverride w:ilvl="3">
      <w:startOverride w:val="1"/>
      <w:lvl w:ilvl="3" w:tentative="1">
        <w:start w:val="1"/>
        <w:numFmt w:val="decimal"/>
        <w:lvlText w:val="%4."/>
        <w:lvlJc w:val="left"/>
        <w:pPr>
          <w:tabs>
            <w:tab w:val="left" w:pos="2880"/>
          </w:tabs>
          <w:ind w:left="2880" w:hanging="360"/>
        </w:pPr>
      </w:lvl>
    </w:lvlOverride>
    <w:lvlOverride w:ilvl="4">
      <w:startOverride w:val="1"/>
      <w:lvl w:ilvl="4" w:tentative="1">
        <w:start w:val="1"/>
        <w:numFmt w:val="decimal"/>
        <w:lvlText w:val="%5."/>
        <w:lvlJc w:val="left"/>
        <w:pPr>
          <w:tabs>
            <w:tab w:val="left" w:pos="3600"/>
          </w:tabs>
          <w:ind w:left="3600" w:hanging="360"/>
        </w:pPr>
      </w:lvl>
    </w:lvlOverride>
    <w:lvlOverride w:ilvl="5">
      <w:startOverride w:val="1"/>
      <w:lvl w:ilvl="5" w:tentative="1">
        <w:start w:val="1"/>
        <w:numFmt w:val="decimal"/>
        <w:lvlText w:val="%6."/>
        <w:lvlJc w:val="left"/>
        <w:pPr>
          <w:tabs>
            <w:tab w:val="left" w:pos="4320"/>
          </w:tabs>
          <w:ind w:left="4320" w:hanging="360"/>
        </w:pPr>
      </w:lvl>
    </w:lvlOverride>
    <w:lvlOverride w:ilvl="6">
      <w:startOverride w:val="1"/>
      <w:lvl w:ilvl="6" w:tentative="1">
        <w:start w:val="1"/>
        <w:numFmt w:val="decimal"/>
        <w:lvlText w:val="%7."/>
        <w:lvlJc w:val="left"/>
        <w:pPr>
          <w:tabs>
            <w:tab w:val="left" w:pos="5040"/>
          </w:tabs>
          <w:ind w:left="5040" w:hanging="360"/>
        </w:pPr>
      </w:lvl>
    </w:lvlOverride>
    <w:lvlOverride w:ilvl="7">
      <w:startOverride w:val="1"/>
      <w:lvl w:ilvl="7" w:tentative="1">
        <w:start w:val="1"/>
        <w:numFmt w:val="decimal"/>
        <w:lvlText w:val="%8."/>
        <w:lvlJc w:val="left"/>
        <w:pPr>
          <w:tabs>
            <w:tab w:val="left" w:pos="5760"/>
          </w:tabs>
          <w:ind w:left="5760" w:hanging="360"/>
        </w:pPr>
      </w:lvl>
    </w:lvlOverride>
    <w:lvlOverride w:ilvl="8">
      <w:startOverride w:val="1"/>
      <w:lvl w:ilvl="8" w:tentative="1">
        <w:start w:val="1"/>
        <w:numFmt w:val="decimal"/>
        <w:lvlText w:val="%9."/>
        <w:lvlJc w:val="left"/>
        <w:pPr>
          <w:tabs>
            <w:tab w:val="left" w:pos="6480"/>
          </w:tabs>
          <w:ind w:left="6480" w:hanging="360"/>
        </w:pPr>
      </w:lvl>
    </w:lvlOverride>
  </w:num>
  <w:num w:numId="2">
    <w:abstractNumId w:val="13"/>
  </w:num>
  <w:num w:numId="3">
    <w:abstractNumId w:val="5"/>
  </w:num>
  <w:num w:numId="4">
    <w:abstractNumId w:val="11"/>
  </w:num>
  <w:num w:numId="5">
    <w:abstractNumId w:val="6"/>
  </w:num>
  <w:num w:numId="6">
    <w:abstractNumId w:val="9"/>
  </w:num>
  <w:num w:numId="7">
    <w:abstractNumId w:val="7"/>
  </w:num>
  <w:num w:numId="8">
    <w:abstractNumId w:val="14"/>
  </w:num>
  <w:num w:numId="9">
    <w:abstractNumId w:val="1"/>
  </w:num>
  <w:num w:numId="10">
    <w:abstractNumId w:val="4"/>
  </w:num>
  <w:num w:numId="11">
    <w:abstractNumId w:val="2"/>
  </w:num>
  <w:num w:numId="12">
    <w:abstractNumId w:val="3"/>
    <w:lvlOverride w:ilvl="0">
      <w:startOverride w:val="3"/>
      <w:lvl w:ilvl="0" w:tentative="1">
        <w:start w:val="3"/>
        <w:numFmt w:val="decimal"/>
        <w:suff w:val="nothing"/>
        <w:lvlText w:val="%1、"/>
        <w:lvlJc w:val="left"/>
        <w:pPr>
          <w:ind w:left="0" w:firstLine="0"/>
        </w:pPr>
      </w:lvl>
    </w:lvlOverride>
  </w:num>
  <w:num w:numId="13">
    <w:abstractNumId w:val="10"/>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hideSpellingErrors/>
  <w:documentProtection w:enforcement="0"/>
  <w:defaultTabStop w:val="420"/>
  <w:drawingGridHorizontalSpacing w:val="105"/>
  <w:drawingGridVerticalSpacing w:val="162"/>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OTM5MmQyNzg0MmYwMmU5ZTAxMmMzOGZhMWVlY2UzOTIifQ=="/>
  </w:docVars>
  <w:rsids>
    <w:rsidRoot w:val="00127C3F"/>
    <w:rsid w:val="00031B5E"/>
    <w:rsid w:val="00037D6A"/>
    <w:rsid w:val="000444AE"/>
    <w:rsid w:val="00094D3A"/>
    <w:rsid w:val="000B67D9"/>
    <w:rsid w:val="001223A1"/>
    <w:rsid w:val="00127C3F"/>
    <w:rsid w:val="00130FCC"/>
    <w:rsid w:val="00135EA6"/>
    <w:rsid w:val="00140B45"/>
    <w:rsid w:val="00153C0A"/>
    <w:rsid w:val="00161D56"/>
    <w:rsid w:val="00166CD6"/>
    <w:rsid w:val="001810D4"/>
    <w:rsid w:val="00184C4C"/>
    <w:rsid w:val="001E3736"/>
    <w:rsid w:val="0025203D"/>
    <w:rsid w:val="002A07A8"/>
    <w:rsid w:val="0030174D"/>
    <w:rsid w:val="00314986"/>
    <w:rsid w:val="00324CE4"/>
    <w:rsid w:val="0032671E"/>
    <w:rsid w:val="00344FF1"/>
    <w:rsid w:val="00385C6F"/>
    <w:rsid w:val="0038795F"/>
    <w:rsid w:val="003A6C12"/>
    <w:rsid w:val="003B3422"/>
    <w:rsid w:val="003B749A"/>
    <w:rsid w:val="003C5E08"/>
    <w:rsid w:val="003E6455"/>
    <w:rsid w:val="00400BB2"/>
    <w:rsid w:val="004A3949"/>
    <w:rsid w:val="004B6CA8"/>
    <w:rsid w:val="004C1633"/>
    <w:rsid w:val="00522DF9"/>
    <w:rsid w:val="00545F44"/>
    <w:rsid w:val="005A0D25"/>
    <w:rsid w:val="00625A42"/>
    <w:rsid w:val="006C0270"/>
    <w:rsid w:val="006D48A1"/>
    <w:rsid w:val="00717C3D"/>
    <w:rsid w:val="00720763"/>
    <w:rsid w:val="00735AF1"/>
    <w:rsid w:val="0078231B"/>
    <w:rsid w:val="007C1E83"/>
    <w:rsid w:val="007F21CF"/>
    <w:rsid w:val="0080481D"/>
    <w:rsid w:val="00817002"/>
    <w:rsid w:val="00833D2F"/>
    <w:rsid w:val="00840F2D"/>
    <w:rsid w:val="0089108E"/>
    <w:rsid w:val="008910D5"/>
    <w:rsid w:val="008A3E30"/>
    <w:rsid w:val="008F26BE"/>
    <w:rsid w:val="0090272E"/>
    <w:rsid w:val="00954021"/>
    <w:rsid w:val="00986D3B"/>
    <w:rsid w:val="009966AD"/>
    <w:rsid w:val="009C5D3F"/>
    <w:rsid w:val="009D56F7"/>
    <w:rsid w:val="009D7747"/>
    <w:rsid w:val="009F208A"/>
    <w:rsid w:val="009F4BC1"/>
    <w:rsid w:val="00A52F90"/>
    <w:rsid w:val="00A652EC"/>
    <w:rsid w:val="00AA0A39"/>
    <w:rsid w:val="00AA3ADB"/>
    <w:rsid w:val="00AB0A67"/>
    <w:rsid w:val="00AC076C"/>
    <w:rsid w:val="00AD5DBC"/>
    <w:rsid w:val="00AF5386"/>
    <w:rsid w:val="00B12332"/>
    <w:rsid w:val="00B602C1"/>
    <w:rsid w:val="00C17335"/>
    <w:rsid w:val="00C30B8D"/>
    <w:rsid w:val="00C416D1"/>
    <w:rsid w:val="00C423C2"/>
    <w:rsid w:val="00C87959"/>
    <w:rsid w:val="00CD172C"/>
    <w:rsid w:val="00D14F75"/>
    <w:rsid w:val="00D23CB5"/>
    <w:rsid w:val="00D616C2"/>
    <w:rsid w:val="00D632E4"/>
    <w:rsid w:val="00DD0D27"/>
    <w:rsid w:val="00DD69D6"/>
    <w:rsid w:val="00E235F2"/>
    <w:rsid w:val="00E25E51"/>
    <w:rsid w:val="00E71C08"/>
    <w:rsid w:val="00EA0F35"/>
    <w:rsid w:val="00EF198D"/>
    <w:rsid w:val="00F0411C"/>
    <w:rsid w:val="00F147A2"/>
    <w:rsid w:val="00F23C4A"/>
    <w:rsid w:val="00F44607"/>
    <w:rsid w:val="00F60015"/>
    <w:rsid w:val="00F651CD"/>
    <w:rsid w:val="00F70110"/>
    <w:rsid w:val="00F862BC"/>
    <w:rsid w:val="00F90F21"/>
    <w:rsid w:val="00F93808"/>
    <w:rsid w:val="00F95A5C"/>
    <w:rsid w:val="00FC7878"/>
    <w:rsid w:val="00FF6F8A"/>
    <w:rsid w:val="013C246A"/>
    <w:rsid w:val="01F43005"/>
    <w:rsid w:val="01FC7347"/>
    <w:rsid w:val="021B5AD2"/>
    <w:rsid w:val="026C6D7F"/>
    <w:rsid w:val="027908D8"/>
    <w:rsid w:val="03036479"/>
    <w:rsid w:val="03316EBA"/>
    <w:rsid w:val="03515C37"/>
    <w:rsid w:val="03990047"/>
    <w:rsid w:val="03D97C4D"/>
    <w:rsid w:val="03FB0AB2"/>
    <w:rsid w:val="041832BC"/>
    <w:rsid w:val="04272E41"/>
    <w:rsid w:val="0429473C"/>
    <w:rsid w:val="042B1E5C"/>
    <w:rsid w:val="043F5018"/>
    <w:rsid w:val="04E32EE0"/>
    <w:rsid w:val="057C2B5A"/>
    <w:rsid w:val="059C6184"/>
    <w:rsid w:val="05A53977"/>
    <w:rsid w:val="05D1027B"/>
    <w:rsid w:val="05E21783"/>
    <w:rsid w:val="06115055"/>
    <w:rsid w:val="064F32AC"/>
    <w:rsid w:val="068B6266"/>
    <w:rsid w:val="06C47189"/>
    <w:rsid w:val="070B6B66"/>
    <w:rsid w:val="070D6323"/>
    <w:rsid w:val="07C65365"/>
    <w:rsid w:val="086329D2"/>
    <w:rsid w:val="08671438"/>
    <w:rsid w:val="095A6F62"/>
    <w:rsid w:val="09A80FE4"/>
    <w:rsid w:val="0A2B5EC1"/>
    <w:rsid w:val="0A4A7733"/>
    <w:rsid w:val="0AD078C9"/>
    <w:rsid w:val="0B7828E0"/>
    <w:rsid w:val="0BD579A7"/>
    <w:rsid w:val="0BDE4A1E"/>
    <w:rsid w:val="0BE4425F"/>
    <w:rsid w:val="0C104FD7"/>
    <w:rsid w:val="0C466793"/>
    <w:rsid w:val="0C88075A"/>
    <w:rsid w:val="0CD123A1"/>
    <w:rsid w:val="0CD21ED4"/>
    <w:rsid w:val="0D3C216F"/>
    <w:rsid w:val="0DB241E0"/>
    <w:rsid w:val="0DDC4EE2"/>
    <w:rsid w:val="0E364E11"/>
    <w:rsid w:val="0E4B1F3E"/>
    <w:rsid w:val="0E666BD4"/>
    <w:rsid w:val="0E7E0566"/>
    <w:rsid w:val="0EBA5ACB"/>
    <w:rsid w:val="0EEF520C"/>
    <w:rsid w:val="0F242EBB"/>
    <w:rsid w:val="0F45757A"/>
    <w:rsid w:val="0F863695"/>
    <w:rsid w:val="0FA82B18"/>
    <w:rsid w:val="0FED59A3"/>
    <w:rsid w:val="100C6E19"/>
    <w:rsid w:val="10F7015B"/>
    <w:rsid w:val="110B4BEE"/>
    <w:rsid w:val="111921EA"/>
    <w:rsid w:val="112C6057"/>
    <w:rsid w:val="1170063A"/>
    <w:rsid w:val="11A51B4E"/>
    <w:rsid w:val="11D81985"/>
    <w:rsid w:val="12B74E4F"/>
    <w:rsid w:val="14151024"/>
    <w:rsid w:val="145C4695"/>
    <w:rsid w:val="148D664A"/>
    <w:rsid w:val="148E5193"/>
    <w:rsid w:val="14CE1D18"/>
    <w:rsid w:val="14FE5E73"/>
    <w:rsid w:val="15793121"/>
    <w:rsid w:val="16A14DF1"/>
    <w:rsid w:val="17435EA8"/>
    <w:rsid w:val="17742506"/>
    <w:rsid w:val="188E53A1"/>
    <w:rsid w:val="18EB4A4A"/>
    <w:rsid w:val="190C66B7"/>
    <w:rsid w:val="19A06F43"/>
    <w:rsid w:val="1AAE21D3"/>
    <w:rsid w:val="1BC82E20"/>
    <w:rsid w:val="1BF71070"/>
    <w:rsid w:val="1C0C5403"/>
    <w:rsid w:val="1C6963B1"/>
    <w:rsid w:val="1C6C15C7"/>
    <w:rsid w:val="1C867C34"/>
    <w:rsid w:val="1CA60E2C"/>
    <w:rsid w:val="1CF91D01"/>
    <w:rsid w:val="1D0508E6"/>
    <w:rsid w:val="1D13734B"/>
    <w:rsid w:val="1D601A77"/>
    <w:rsid w:val="1E0F71F0"/>
    <w:rsid w:val="1E7D6144"/>
    <w:rsid w:val="1EF74148"/>
    <w:rsid w:val="1F3C492E"/>
    <w:rsid w:val="1F8B663F"/>
    <w:rsid w:val="1FBA719F"/>
    <w:rsid w:val="2013014B"/>
    <w:rsid w:val="203112BF"/>
    <w:rsid w:val="20431ADC"/>
    <w:rsid w:val="21A016D4"/>
    <w:rsid w:val="21FC44C6"/>
    <w:rsid w:val="22665141"/>
    <w:rsid w:val="22735C83"/>
    <w:rsid w:val="22B83BEE"/>
    <w:rsid w:val="232606A5"/>
    <w:rsid w:val="236D4BE5"/>
    <w:rsid w:val="2393640A"/>
    <w:rsid w:val="23A75F8B"/>
    <w:rsid w:val="23B911FF"/>
    <w:rsid w:val="23CE11F0"/>
    <w:rsid w:val="23E57F8F"/>
    <w:rsid w:val="23F7499F"/>
    <w:rsid w:val="246202E3"/>
    <w:rsid w:val="24DE244E"/>
    <w:rsid w:val="255369DE"/>
    <w:rsid w:val="266E670C"/>
    <w:rsid w:val="267038F6"/>
    <w:rsid w:val="26931DF1"/>
    <w:rsid w:val="27BC0CDD"/>
    <w:rsid w:val="27BF3F2A"/>
    <w:rsid w:val="27E84A5F"/>
    <w:rsid w:val="284B4BF5"/>
    <w:rsid w:val="289805C4"/>
    <w:rsid w:val="28A54DA8"/>
    <w:rsid w:val="28C74374"/>
    <w:rsid w:val="28EB63A0"/>
    <w:rsid w:val="294568CF"/>
    <w:rsid w:val="29862E35"/>
    <w:rsid w:val="29914BC0"/>
    <w:rsid w:val="299E3412"/>
    <w:rsid w:val="2A0E696C"/>
    <w:rsid w:val="2A296BD3"/>
    <w:rsid w:val="2A4144C9"/>
    <w:rsid w:val="2A6C04FB"/>
    <w:rsid w:val="2AA22AE3"/>
    <w:rsid w:val="2AD668B0"/>
    <w:rsid w:val="2B292C68"/>
    <w:rsid w:val="2B863343"/>
    <w:rsid w:val="2B891BAB"/>
    <w:rsid w:val="2B9E0153"/>
    <w:rsid w:val="2C76209C"/>
    <w:rsid w:val="2C99172D"/>
    <w:rsid w:val="2CCF2E80"/>
    <w:rsid w:val="2D8C6D3A"/>
    <w:rsid w:val="2D940DB4"/>
    <w:rsid w:val="2DDD3AA0"/>
    <w:rsid w:val="2E9D6233"/>
    <w:rsid w:val="2EE25C78"/>
    <w:rsid w:val="2F4C6852"/>
    <w:rsid w:val="2FA11189"/>
    <w:rsid w:val="2FE53342"/>
    <w:rsid w:val="2FEF4390"/>
    <w:rsid w:val="30027F55"/>
    <w:rsid w:val="30030473"/>
    <w:rsid w:val="30055B63"/>
    <w:rsid w:val="307A0EB7"/>
    <w:rsid w:val="309378DC"/>
    <w:rsid w:val="30EC6FAC"/>
    <w:rsid w:val="327A5DE3"/>
    <w:rsid w:val="32B200B9"/>
    <w:rsid w:val="32D00AE0"/>
    <w:rsid w:val="32DA76F4"/>
    <w:rsid w:val="33465261"/>
    <w:rsid w:val="335D6292"/>
    <w:rsid w:val="33F51E2D"/>
    <w:rsid w:val="34292D6D"/>
    <w:rsid w:val="348770E9"/>
    <w:rsid w:val="34D4418C"/>
    <w:rsid w:val="35D3265F"/>
    <w:rsid w:val="35F5085E"/>
    <w:rsid w:val="36252EF1"/>
    <w:rsid w:val="364411AA"/>
    <w:rsid w:val="36696273"/>
    <w:rsid w:val="36792218"/>
    <w:rsid w:val="368F3A68"/>
    <w:rsid w:val="36A54032"/>
    <w:rsid w:val="36C029F1"/>
    <w:rsid w:val="36D13079"/>
    <w:rsid w:val="36F8468B"/>
    <w:rsid w:val="37294C63"/>
    <w:rsid w:val="373C4996"/>
    <w:rsid w:val="374152AB"/>
    <w:rsid w:val="37621146"/>
    <w:rsid w:val="377C3129"/>
    <w:rsid w:val="378E6AFE"/>
    <w:rsid w:val="37B93FC8"/>
    <w:rsid w:val="37E93B2C"/>
    <w:rsid w:val="37EB7526"/>
    <w:rsid w:val="37EF1A09"/>
    <w:rsid w:val="38004B5A"/>
    <w:rsid w:val="38313FBC"/>
    <w:rsid w:val="38433B03"/>
    <w:rsid w:val="38663459"/>
    <w:rsid w:val="38963E7A"/>
    <w:rsid w:val="38DD3F57"/>
    <w:rsid w:val="39210238"/>
    <w:rsid w:val="3922266C"/>
    <w:rsid w:val="39276C29"/>
    <w:rsid w:val="39302A0C"/>
    <w:rsid w:val="39994CC1"/>
    <w:rsid w:val="39A503F4"/>
    <w:rsid w:val="3A6B4283"/>
    <w:rsid w:val="3AB70656"/>
    <w:rsid w:val="3B0202E4"/>
    <w:rsid w:val="3B037579"/>
    <w:rsid w:val="3B126D29"/>
    <w:rsid w:val="3B874CE9"/>
    <w:rsid w:val="3BC85B12"/>
    <w:rsid w:val="3BE9676F"/>
    <w:rsid w:val="3C027831"/>
    <w:rsid w:val="3C1D799B"/>
    <w:rsid w:val="3C3605B2"/>
    <w:rsid w:val="3DB46FC5"/>
    <w:rsid w:val="3E1946B1"/>
    <w:rsid w:val="3E4715EC"/>
    <w:rsid w:val="3EA10BF2"/>
    <w:rsid w:val="3EE871B2"/>
    <w:rsid w:val="3F766BE5"/>
    <w:rsid w:val="4016769E"/>
    <w:rsid w:val="408B2BA9"/>
    <w:rsid w:val="40A90699"/>
    <w:rsid w:val="40BD0CA9"/>
    <w:rsid w:val="40E439A9"/>
    <w:rsid w:val="417B4800"/>
    <w:rsid w:val="42087906"/>
    <w:rsid w:val="427A6373"/>
    <w:rsid w:val="42C42F84"/>
    <w:rsid w:val="435B1A11"/>
    <w:rsid w:val="439D43EB"/>
    <w:rsid w:val="44387208"/>
    <w:rsid w:val="44624F5D"/>
    <w:rsid w:val="4473751E"/>
    <w:rsid w:val="449B19EA"/>
    <w:rsid w:val="454E6BB7"/>
    <w:rsid w:val="455E3D2A"/>
    <w:rsid w:val="45B44BE2"/>
    <w:rsid w:val="45E55242"/>
    <w:rsid w:val="463C13D9"/>
    <w:rsid w:val="46A44B8D"/>
    <w:rsid w:val="46BE36AC"/>
    <w:rsid w:val="46F307D4"/>
    <w:rsid w:val="47987BA0"/>
    <w:rsid w:val="47C54534"/>
    <w:rsid w:val="47E726FC"/>
    <w:rsid w:val="484C07B1"/>
    <w:rsid w:val="484D673E"/>
    <w:rsid w:val="48761612"/>
    <w:rsid w:val="48A2736B"/>
    <w:rsid w:val="48C45A72"/>
    <w:rsid w:val="49117D29"/>
    <w:rsid w:val="495D0DAA"/>
    <w:rsid w:val="49BB523D"/>
    <w:rsid w:val="49C70A83"/>
    <w:rsid w:val="49ED5C3C"/>
    <w:rsid w:val="49F23521"/>
    <w:rsid w:val="4A16650E"/>
    <w:rsid w:val="4A372D9B"/>
    <w:rsid w:val="4A6873F9"/>
    <w:rsid w:val="4AE83C54"/>
    <w:rsid w:val="4B100CB1"/>
    <w:rsid w:val="4B9C438C"/>
    <w:rsid w:val="4C263299"/>
    <w:rsid w:val="4C27651E"/>
    <w:rsid w:val="4C477E4D"/>
    <w:rsid w:val="4C754753"/>
    <w:rsid w:val="4CE27F9F"/>
    <w:rsid w:val="4CF662CC"/>
    <w:rsid w:val="4CF94DF7"/>
    <w:rsid w:val="4D0A544B"/>
    <w:rsid w:val="4DE82A5F"/>
    <w:rsid w:val="4DFB09E5"/>
    <w:rsid w:val="4DFF04B8"/>
    <w:rsid w:val="4E615F3B"/>
    <w:rsid w:val="4E7B3B9E"/>
    <w:rsid w:val="4EC015B1"/>
    <w:rsid w:val="4ECA0966"/>
    <w:rsid w:val="4FE6207D"/>
    <w:rsid w:val="50461888"/>
    <w:rsid w:val="506348EA"/>
    <w:rsid w:val="507C1E50"/>
    <w:rsid w:val="509F58CF"/>
    <w:rsid w:val="50D44075"/>
    <w:rsid w:val="513B3A7C"/>
    <w:rsid w:val="513C0738"/>
    <w:rsid w:val="51EF2FA5"/>
    <w:rsid w:val="522E6888"/>
    <w:rsid w:val="52387361"/>
    <w:rsid w:val="528E5B6A"/>
    <w:rsid w:val="53426FA9"/>
    <w:rsid w:val="53973D89"/>
    <w:rsid w:val="53E10292"/>
    <w:rsid w:val="53ED3510"/>
    <w:rsid w:val="54187B75"/>
    <w:rsid w:val="54856AA5"/>
    <w:rsid w:val="54AA4A12"/>
    <w:rsid w:val="54CE0E1F"/>
    <w:rsid w:val="5517298F"/>
    <w:rsid w:val="554906DE"/>
    <w:rsid w:val="55563E2B"/>
    <w:rsid w:val="5602427A"/>
    <w:rsid w:val="56EA300E"/>
    <w:rsid w:val="57025865"/>
    <w:rsid w:val="573568B4"/>
    <w:rsid w:val="57561C61"/>
    <w:rsid w:val="57925AB5"/>
    <w:rsid w:val="585D60C3"/>
    <w:rsid w:val="5881231D"/>
    <w:rsid w:val="58BE710D"/>
    <w:rsid w:val="58EA7CFB"/>
    <w:rsid w:val="594554D5"/>
    <w:rsid w:val="596770F7"/>
    <w:rsid w:val="598E36D9"/>
    <w:rsid w:val="598F0FBB"/>
    <w:rsid w:val="599807F7"/>
    <w:rsid w:val="59D800F7"/>
    <w:rsid w:val="59FD3F80"/>
    <w:rsid w:val="5A4C1545"/>
    <w:rsid w:val="5A846A32"/>
    <w:rsid w:val="5A9B2ED2"/>
    <w:rsid w:val="5AA92197"/>
    <w:rsid w:val="5AFD7032"/>
    <w:rsid w:val="5B31259A"/>
    <w:rsid w:val="5B7976B8"/>
    <w:rsid w:val="5B94049F"/>
    <w:rsid w:val="5BBD1715"/>
    <w:rsid w:val="5BE1554B"/>
    <w:rsid w:val="5BFB136A"/>
    <w:rsid w:val="5C127619"/>
    <w:rsid w:val="5C4E56D8"/>
    <w:rsid w:val="5C5A3793"/>
    <w:rsid w:val="5CA24F06"/>
    <w:rsid w:val="5CF652D9"/>
    <w:rsid w:val="5D013284"/>
    <w:rsid w:val="5D621B6D"/>
    <w:rsid w:val="5DD1051C"/>
    <w:rsid w:val="5DD60DF1"/>
    <w:rsid w:val="5E7B72A3"/>
    <w:rsid w:val="5EC412EB"/>
    <w:rsid w:val="5F9C7879"/>
    <w:rsid w:val="5FD62AFD"/>
    <w:rsid w:val="5FEF006C"/>
    <w:rsid w:val="601147A8"/>
    <w:rsid w:val="618C7E67"/>
    <w:rsid w:val="61A8587F"/>
    <w:rsid w:val="61F27016"/>
    <w:rsid w:val="62045246"/>
    <w:rsid w:val="62765006"/>
    <w:rsid w:val="62F65735"/>
    <w:rsid w:val="630E6300"/>
    <w:rsid w:val="631B72A6"/>
    <w:rsid w:val="63424364"/>
    <w:rsid w:val="63660521"/>
    <w:rsid w:val="636874DE"/>
    <w:rsid w:val="640B5B00"/>
    <w:rsid w:val="64637F29"/>
    <w:rsid w:val="649F0354"/>
    <w:rsid w:val="64FA6301"/>
    <w:rsid w:val="650E38E9"/>
    <w:rsid w:val="659515FB"/>
    <w:rsid w:val="65CA24A3"/>
    <w:rsid w:val="65D24D0D"/>
    <w:rsid w:val="65F32214"/>
    <w:rsid w:val="661861B7"/>
    <w:rsid w:val="662D17CA"/>
    <w:rsid w:val="66666A8A"/>
    <w:rsid w:val="666E2599"/>
    <w:rsid w:val="66992010"/>
    <w:rsid w:val="66BA7997"/>
    <w:rsid w:val="66E40392"/>
    <w:rsid w:val="66EE1B2E"/>
    <w:rsid w:val="672C55DE"/>
    <w:rsid w:val="675015E0"/>
    <w:rsid w:val="679A67D7"/>
    <w:rsid w:val="681E4749"/>
    <w:rsid w:val="68262975"/>
    <w:rsid w:val="68D04E68"/>
    <w:rsid w:val="694B09D7"/>
    <w:rsid w:val="69706FE5"/>
    <w:rsid w:val="69780DF6"/>
    <w:rsid w:val="6A084C6B"/>
    <w:rsid w:val="6AC67AF8"/>
    <w:rsid w:val="6B5415A7"/>
    <w:rsid w:val="6BCC7750"/>
    <w:rsid w:val="6C11595D"/>
    <w:rsid w:val="6C22745F"/>
    <w:rsid w:val="6CB422B3"/>
    <w:rsid w:val="6D0407E9"/>
    <w:rsid w:val="6D30394E"/>
    <w:rsid w:val="6D4318D3"/>
    <w:rsid w:val="6D7E28B5"/>
    <w:rsid w:val="6DC36570"/>
    <w:rsid w:val="6ECB1B80"/>
    <w:rsid w:val="6F3B134D"/>
    <w:rsid w:val="7013724F"/>
    <w:rsid w:val="7078380A"/>
    <w:rsid w:val="71945D07"/>
    <w:rsid w:val="727B566C"/>
    <w:rsid w:val="728E7CA0"/>
    <w:rsid w:val="72B62107"/>
    <w:rsid w:val="72BD5C84"/>
    <w:rsid w:val="72D03C09"/>
    <w:rsid w:val="72D42934"/>
    <w:rsid w:val="72E72D49"/>
    <w:rsid w:val="73297413"/>
    <w:rsid w:val="7395275D"/>
    <w:rsid w:val="74BE0523"/>
    <w:rsid w:val="75524DAA"/>
    <w:rsid w:val="75862CA5"/>
    <w:rsid w:val="76723F74"/>
    <w:rsid w:val="76830461"/>
    <w:rsid w:val="77B93321"/>
    <w:rsid w:val="78194E59"/>
    <w:rsid w:val="78880AE2"/>
    <w:rsid w:val="78D91CE2"/>
    <w:rsid w:val="7913111B"/>
    <w:rsid w:val="794E11B1"/>
    <w:rsid w:val="79764FD6"/>
    <w:rsid w:val="798211E5"/>
    <w:rsid w:val="79FA4411"/>
    <w:rsid w:val="7A056F68"/>
    <w:rsid w:val="7A336FAC"/>
    <w:rsid w:val="7ADE350C"/>
    <w:rsid w:val="7AFD18AC"/>
    <w:rsid w:val="7AFF6719"/>
    <w:rsid w:val="7B7D109C"/>
    <w:rsid w:val="7BCB1412"/>
    <w:rsid w:val="7C747617"/>
    <w:rsid w:val="7CAA2DC4"/>
    <w:rsid w:val="7CAF2AE1"/>
    <w:rsid w:val="7CE87156"/>
    <w:rsid w:val="7E037BD3"/>
    <w:rsid w:val="7F1C3D32"/>
    <w:rsid w:val="7F390D5A"/>
    <w:rsid w:val="7F7F5D03"/>
    <w:rsid w:val="7F9F3680"/>
    <w:rsid w:val="7FB14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link w:val="37"/>
    <w:autoRedefine/>
    <w:qFormat/>
    <w:uiPriority w:val="0"/>
    <w:pPr>
      <w:keepNext/>
      <w:keepLines/>
      <w:spacing w:before="340" w:after="330" w:line="576" w:lineRule="auto"/>
      <w:outlineLvl w:val="0"/>
    </w:pPr>
    <w:rPr>
      <w:rFonts w:cs="Times New Roman"/>
      <w:b/>
      <w:kern w:val="44"/>
      <w:sz w:val="44"/>
      <w:szCs w:val="20"/>
    </w:rPr>
  </w:style>
  <w:style w:type="paragraph" w:styleId="3">
    <w:name w:val="heading 2"/>
    <w:basedOn w:val="1"/>
    <w:next w:val="1"/>
    <w:link w:val="38"/>
    <w:autoRedefine/>
    <w:qFormat/>
    <w:uiPriority w:val="0"/>
    <w:pPr>
      <w:keepNext/>
      <w:keepLines/>
      <w:framePr w:hSpace="180" w:wrap="around" w:vAnchor="text" w:hAnchor="page" w:x="1585" w:y="479"/>
      <w:suppressOverlap/>
      <w:adjustRightInd w:val="0"/>
      <w:spacing w:before="160" w:after="160" w:line="240" w:lineRule="atLeast"/>
      <w:ind w:left="965" w:hanging="425"/>
      <w:jc w:val="center"/>
      <w:textAlignment w:val="baseline"/>
      <w:outlineLvl w:val="1"/>
    </w:pPr>
    <w:rPr>
      <w:rFonts w:ascii="黑体" w:hAnsi="Arial" w:eastAsia="黑体" w:cs="Times New Roman"/>
      <w:kern w:val="0"/>
      <w:sz w:val="28"/>
      <w:szCs w:val="28"/>
    </w:rPr>
  </w:style>
  <w:style w:type="paragraph" w:styleId="4">
    <w:name w:val="heading 3"/>
    <w:basedOn w:val="1"/>
    <w:next w:val="1"/>
    <w:link w:val="39"/>
    <w:autoRedefine/>
    <w:qFormat/>
    <w:uiPriority w:val="0"/>
    <w:pPr>
      <w:keepNext/>
      <w:keepLines/>
      <w:spacing w:before="260" w:after="260" w:line="413" w:lineRule="auto"/>
      <w:ind w:left="720" w:hanging="720"/>
      <w:outlineLvl w:val="2"/>
    </w:pPr>
    <w:rPr>
      <w:rFonts w:ascii="Calibri" w:hAnsi="Calibri" w:cs="Times New Roman"/>
      <w:b/>
      <w:sz w:val="32"/>
      <w:szCs w:val="24"/>
    </w:rPr>
  </w:style>
  <w:style w:type="paragraph" w:styleId="5">
    <w:name w:val="heading 4"/>
    <w:basedOn w:val="4"/>
    <w:next w:val="1"/>
    <w:link w:val="40"/>
    <w:autoRedefine/>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1"/>
    <w:autoRedefine/>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2"/>
    <w:autoRedefine/>
    <w:qFormat/>
    <w:uiPriority w:val="0"/>
    <w:pPr>
      <w:keepNext/>
      <w:keepLines/>
      <w:spacing w:before="240" w:after="64" w:line="317" w:lineRule="auto"/>
      <w:ind w:left="1151" w:hanging="1151"/>
      <w:outlineLvl w:val="5"/>
    </w:pPr>
    <w:rPr>
      <w:rFonts w:ascii="Arial" w:hAnsi="Arial" w:eastAsia="黑体" w:cs="Times New Roman"/>
      <w:b/>
      <w:sz w:val="24"/>
      <w:szCs w:val="24"/>
    </w:rPr>
  </w:style>
  <w:style w:type="paragraph" w:styleId="8">
    <w:name w:val="heading 7"/>
    <w:basedOn w:val="1"/>
    <w:next w:val="1"/>
    <w:link w:val="43"/>
    <w:autoRedefine/>
    <w:qFormat/>
    <w:uiPriority w:val="0"/>
    <w:pPr>
      <w:keepNext/>
      <w:keepLines/>
      <w:spacing w:before="240" w:after="64" w:line="317" w:lineRule="auto"/>
      <w:ind w:left="1296" w:hanging="1296"/>
      <w:outlineLvl w:val="6"/>
    </w:pPr>
    <w:rPr>
      <w:rFonts w:ascii="Calibri" w:hAnsi="Calibri" w:cs="Times New Roman"/>
      <w:b/>
      <w:sz w:val="24"/>
      <w:szCs w:val="24"/>
    </w:rPr>
  </w:style>
  <w:style w:type="paragraph" w:styleId="9">
    <w:name w:val="heading 8"/>
    <w:basedOn w:val="1"/>
    <w:next w:val="1"/>
    <w:link w:val="44"/>
    <w:autoRedefine/>
    <w:qFormat/>
    <w:uiPriority w:val="0"/>
    <w:pPr>
      <w:keepNext/>
      <w:keepLines/>
      <w:spacing w:before="240" w:after="64" w:line="317" w:lineRule="auto"/>
      <w:ind w:left="1440" w:hanging="1440"/>
      <w:outlineLvl w:val="7"/>
    </w:pPr>
    <w:rPr>
      <w:rFonts w:ascii="Arial" w:hAnsi="Arial" w:eastAsia="黑体" w:cs="Times New Roman"/>
      <w:sz w:val="24"/>
      <w:szCs w:val="24"/>
    </w:rPr>
  </w:style>
  <w:style w:type="paragraph" w:styleId="10">
    <w:name w:val="heading 9"/>
    <w:basedOn w:val="1"/>
    <w:next w:val="1"/>
    <w:link w:val="45"/>
    <w:autoRedefine/>
    <w:qFormat/>
    <w:uiPriority w:val="0"/>
    <w:pPr>
      <w:keepNext/>
      <w:keepLines/>
      <w:spacing w:before="240" w:after="64" w:line="317" w:lineRule="auto"/>
      <w:ind w:left="1583" w:hanging="1583"/>
      <w:outlineLvl w:val="8"/>
    </w:pPr>
    <w:rPr>
      <w:rFonts w:ascii="Arial" w:hAnsi="Arial" w:eastAsia="黑体" w:cs="Times New Roman"/>
      <w:szCs w:val="24"/>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11">
    <w:name w:val="table of authorities"/>
    <w:basedOn w:val="1"/>
    <w:next w:val="1"/>
    <w:autoRedefine/>
    <w:qFormat/>
    <w:uiPriority w:val="0"/>
    <w:pPr>
      <w:ind w:left="200" w:leftChars="200"/>
    </w:pPr>
  </w:style>
  <w:style w:type="paragraph" w:styleId="12">
    <w:name w:val="Normal Indent"/>
    <w:basedOn w:val="1"/>
    <w:next w:val="13"/>
    <w:autoRedefine/>
    <w:qFormat/>
    <w:uiPriority w:val="0"/>
    <w:pPr>
      <w:ind w:firstLine="425"/>
    </w:pPr>
    <w:rPr>
      <w:rFonts w:cs="Times New Roman"/>
    </w:rPr>
  </w:style>
  <w:style w:type="paragraph" w:customStyle="1" w:styleId="13">
    <w:name w:val="目录 21"/>
    <w:next w:val="1"/>
    <w:autoRedefine/>
    <w:qFormat/>
    <w:uiPriority w:val="0"/>
    <w:pPr>
      <w:wordWrap w:val="0"/>
      <w:ind w:left="425"/>
      <w:jc w:val="both"/>
    </w:pPr>
    <w:rPr>
      <w:rFonts w:ascii="Times New Roman" w:hAnsi="Times New Roman" w:eastAsia="宋体" w:cs="Times New Roman"/>
      <w:sz w:val="21"/>
      <w:lang w:val="en-US" w:eastAsia="zh-CN" w:bidi="ar-SA"/>
    </w:rPr>
  </w:style>
  <w:style w:type="paragraph" w:styleId="14">
    <w:name w:val="caption"/>
    <w:basedOn w:val="1"/>
    <w:next w:val="1"/>
    <w:autoRedefine/>
    <w:qFormat/>
    <w:uiPriority w:val="0"/>
    <w:rPr>
      <w:rFonts w:ascii="Arial" w:hAnsi="Arial" w:eastAsia="黑体" w:cs="Arial"/>
      <w:sz w:val="20"/>
      <w:szCs w:val="20"/>
    </w:rPr>
  </w:style>
  <w:style w:type="paragraph" w:styleId="15">
    <w:name w:val="toa heading"/>
    <w:basedOn w:val="1"/>
    <w:next w:val="1"/>
    <w:autoRedefine/>
    <w:qFormat/>
    <w:uiPriority w:val="0"/>
    <w:rPr>
      <w:rFonts w:ascii="Arial" w:hAnsi="Arial"/>
      <w:sz w:val="24"/>
    </w:rPr>
  </w:style>
  <w:style w:type="paragraph" w:styleId="16">
    <w:name w:val="Body Text"/>
    <w:basedOn w:val="1"/>
    <w:autoRedefine/>
    <w:qFormat/>
    <w:uiPriority w:val="0"/>
    <w:pPr>
      <w:spacing w:after="120"/>
    </w:pPr>
    <w:rPr>
      <w:rFonts w:ascii="Calibri" w:hAnsi="Calibri" w:cs="Times New Roman"/>
      <w:kern w:val="0"/>
      <w:sz w:val="20"/>
    </w:rPr>
  </w:style>
  <w:style w:type="paragraph" w:styleId="17">
    <w:name w:val="Body Text Indent"/>
    <w:basedOn w:val="1"/>
    <w:next w:val="12"/>
    <w:autoRedefine/>
    <w:qFormat/>
    <w:uiPriority w:val="0"/>
    <w:pPr>
      <w:spacing w:after="120"/>
      <w:ind w:left="200" w:leftChars="200"/>
    </w:pPr>
    <w:rPr>
      <w:rFonts w:ascii="Calibri" w:hAnsi="Calibri" w:cs="Times New Roman"/>
      <w:kern w:val="0"/>
      <w:sz w:val="20"/>
    </w:rPr>
  </w:style>
  <w:style w:type="paragraph" w:styleId="18">
    <w:name w:val="Plain Text"/>
    <w:basedOn w:val="1"/>
    <w:autoRedefine/>
    <w:qFormat/>
    <w:uiPriority w:val="0"/>
    <w:rPr>
      <w:rFonts w:cs="Times New Roman"/>
      <w:kern w:val="0"/>
      <w:sz w:val="24"/>
      <w:szCs w:val="24"/>
    </w:rPr>
  </w:style>
  <w:style w:type="paragraph" w:styleId="19">
    <w:name w:val="Date"/>
    <w:basedOn w:val="1"/>
    <w:next w:val="1"/>
    <w:autoRedefine/>
    <w:qFormat/>
    <w:uiPriority w:val="0"/>
    <w:pPr>
      <w:ind w:left="2500" w:leftChars="2500"/>
    </w:pPr>
    <w:rPr>
      <w:rFonts w:ascii="Calibri" w:hAnsi="Calibri" w:cs="Times New Roman"/>
      <w:kern w:val="0"/>
      <w:sz w:val="20"/>
    </w:rPr>
  </w:style>
  <w:style w:type="paragraph" w:styleId="20">
    <w:name w:val="Body Text Indent 2"/>
    <w:basedOn w:val="1"/>
    <w:autoRedefine/>
    <w:qFormat/>
    <w:uiPriority w:val="0"/>
    <w:pPr>
      <w:spacing w:after="120" w:line="480" w:lineRule="auto"/>
      <w:ind w:left="200" w:leftChars="200"/>
    </w:pPr>
  </w:style>
  <w:style w:type="paragraph" w:styleId="21">
    <w:name w:val="Balloon Text"/>
    <w:basedOn w:val="1"/>
    <w:autoRedefine/>
    <w:qFormat/>
    <w:uiPriority w:val="0"/>
    <w:rPr>
      <w:sz w:val="18"/>
      <w:szCs w:val="18"/>
    </w:rPr>
  </w:style>
  <w:style w:type="paragraph" w:styleId="22">
    <w:name w:val="footer"/>
    <w:basedOn w:val="1"/>
    <w:autoRedefine/>
    <w:qFormat/>
    <w:uiPriority w:val="0"/>
    <w:pPr>
      <w:snapToGrid w:val="0"/>
      <w:jc w:val="left"/>
    </w:pPr>
    <w:rPr>
      <w:rFonts w:cs="Times New Roman"/>
      <w:kern w:val="0"/>
      <w:sz w:val="18"/>
      <w:szCs w:val="18"/>
    </w:rPr>
  </w:style>
  <w:style w:type="paragraph" w:styleId="23">
    <w:name w:val="header"/>
    <w:basedOn w:val="1"/>
    <w:autoRedefine/>
    <w:qFormat/>
    <w:uiPriority w:val="0"/>
    <w:pPr>
      <w:tabs>
        <w:tab w:val="center" w:pos="4153"/>
        <w:tab w:val="right" w:pos="8306"/>
      </w:tabs>
      <w:snapToGrid w:val="0"/>
    </w:pPr>
    <w:rPr>
      <w:rFonts w:ascii="Calibri" w:hAnsi="Calibri" w:cs="Times New Roman"/>
      <w:kern w:val="0"/>
      <w:sz w:val="18"/>
    </w:rPr>
  </w:style>
  <w:style w:type="paragraph" w:styleId="24">
    <w:name w:val="Body Text 2"/>
    <w:basedOn w:val="1"/>
    <w:next w:val="1"/>
    <w:autoRedefine/>
    <w:qFormat/>
    <w:uiPriority w:val="0"/>
    <w:pPr>
      <w:widowControl/>
      <w:spacing w:before="100" w:beforeAutospacing="1" w:after="100" w:afterAutospacing="1"/>
      <w:jc w:val="left"/>
    </w:pPr>
    <w:rPr>
      <w:rFonts w:ascii="宋体" w:hAnsi="宋体"/>
      <w:kern w:val="0"/>
      <w:sz w:val="24"/>
    </w:rPr>
  </w:style>
  <w:style w:type="paragraph" w:styleId="25">
    <w:name w:val="Message Header"/>
    <w:basedOn w:val="1"/>
    <w:next w:val="1"/>
    <w:autoRedefine/>
    <w:qFormat/>
    <w:uiPriority w:val="0"/>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Times New Roman"/>
      <w:kern w:val="0"/>
      <w:sz w:val="20"/>
    </w:rPr>
  </w:style>
  <w:style w:type="paragraph" w:styleId="26">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27">
    <w:name w:val="Normal (Web)"/>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styleId="28">
    <w:name w:val="Body Text First Indent"/>
    <w:basedOn w:val="16"/>
    <w:next w:val="29"/>
    <w:autoRedefine/>
    <w:qFormat/>
    <w:uiPriority w:val="0"/>
    <w:pPr>
      <w:spacing w:before="100" w:beforeAutospacing="1"/>
      <w:ind w:firstLine="100" w:firstLineChars="100"/>
    </w:pPr>
    <w:rPr>
      <w:rFonts w:ascii="宋体" w:hAnsi="Times New Roman"/>
      <w:sz w:val="34"/>
      <w:szCs w:val="34"/>
    </w:rPr>
  </w:style>
  <w:style w:type="paragraph" w:styleId="29">
    <w:name w:val="Body Text First Indent 2"/>
    <w:basedOn w:val="17"/>
    <w:next w:val="1"/>
    <w:autoRedefine/>
    <w:qFormat/>
    <w:uiPriority w:val="0"/>
    <w:pPr>
      <w:ind w:firstLine="200" w:firstLineChars="200"/>
    </w:pPr>
    <w:rPr>
      <w:rFonts w:ascii="Times New Roman" w:hAnsi="Times New Roman"/>
    </w:rPr>
  </w:style>
  <w:style w:type="table" w:styleId="31">
    <w:name w:val="Table Grid"/>
    <w:basedOn w:val="30"/>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autoRedefine/>
    <w:qFormat/>
    <w:uiPriority w:val="0"/>
    <w:rPr>
      <w:color w:val="000000"/>
      <w:u w:val="none"/>
    </w:rPr>
  </w:style>
  <w:style w:type="character" w:styleId="34">
    <w:name w:val="Emphasis"/>
    <w:basedOn w:val="32"/>
    <w:autoRedefine/>
    <w:qFormat/>
    <w:uiPriority w:val="0"/>
  </w:style>
  <w:style w:type="character" w:styleId="35">
    <w:name w:val="Hyperlink"/>
    <w:basedOn w:val="32"/>
    <w:autoRedefine/>
    <w:qFormat/>
    <w:uiPriority w:val="0"/>
    <w:rPr>
      <w:color w:val="000000"/>
      <w:u w:val="none"/>
    </w:rPr>
  </w:style>
  <w:style w:type="paragraph" w:customStyle="1" w:styleId="36">
    <w:name w:val="toc 21"/>
    <w:next w:val="1"/>
    <w:autoRedefine/>
    <w:qFormat/>
    <w:uiPriority w:val="0"/>
    <w:pPr>
      <w:wordWrap w:val="0"/>
      <w:ind w:left="425"/>
      <w:jc w:val="both"/>
    </w:pPr>
    <w:rPr>
      <w:rFonts w:ascii="Times New Roman" w:hAnsi="Times New Roman" w:eastAsia="宋体" w:cs="Times New Roman"/>
      <w:sz w:val="21"/>
      <w:lang w:val="en-US" w:eastAsia="zh-CN" w:bidi="ar-SA"/>
    </w:rPr>
  </w:style>
  <w:style w:type="character" w:customStyle="1" w:styleId="37">
    <w:name w:val="标题 1 字符"/>
    <w:basedOn w:val="32"/>
    <w:link w:val="2"/>
    <w:autoRedefine/>
    <w:qFormat/>
    <w:uiPriority w:val="0"/>
    <w:rPr>
      <w:rFonts w:ascii="Times New Roman" w:hAnsi="Times New Roman" w:eastAsia="宋体" w:cs="Times New Roman"/>
      <w:b/>
      <w:kern w:val="44"/>
      <w:sz w:val="44"/>
      <w:szCs w:val="20"/>
      <w:lang w:val="en-US" w:eastAsia="zh-CN" w:bidi="ar-SA"/>
    </w:rPr>
  </w:style>
  <w:style w:type="character" w:customStyle="1" w:styleId="38">
    <w:name w:val="标题 2 字符"/>
    <w:basedOn w:val="32"/>
    <w:link w:val="3"/>
    <w:autoRedefine/>
    <w:qFormat/>
    <w:uiPriority w:val="0"/>
    <w:rPr>
      <w:rFonts w:ascii="黑体" w:hAnsi="Arial" w:eastAsia="黑体" w:cs="Times New Roman"/>
      <w:sz w:val="28"/>
      <w:szCs w:val="28"/>
    </w:rPr>
  </w:style>
  <w:style w:type="character" w:customStyle="1" w:styleId="39">
    <w:name w:val="标题 3 字符"/>
    <w:basedOn w:val="32"/>
    <w:link w:val="4"/>
    <w:autoRedefine/>
    <w:qFormat/>
    <w:uiPriority w:val="0"/>
    <w:rPr>
      <w:rFonts w:ascii="Calibri" w:hAnsi="Calibri" w:eastAsia="宋体" w:cs="Times New Roman"/>
      <w:b/>
      <w:kern w:val="2"/>
      <w:sz w:val="32"/>
      <w:szCs w:val="24"/>
      <w:lang w:val="en-US" w:eastAsia="zh-CN" w:bidi="ar-SA"/>
    </w:rPr>
  </w:style>
  <w:style w:type="character" w:customStyle="1" w:styleId="40">
    <w:name w:val="标题 4 字符"/>
    <w:basedOn w:val="39"/>
    <w:link w:val="5"/>
    <w:autoRedefine/>
    <w:qFormat/>
    <w:uiPriority w:val="0"/>
    <w:rPr>
      <w:rFonts w:ascii="Arial" w:hAnsi="Arial" w:eastAsia="黑体" w:cs="Times New Roman"/>
      <w:kern w:val="2"/>
      <w:sz w:val="28"/>
      <w:szCs w:val="24"/>
      <w:lang w:val="en-US" w:eastAsia="zh-CN" w:bidi="ar-SA"/>
    </w:rPr>
  </w:style>
  <w:style w:type="character" w:customStyle="1" w:styleId="41">
    <w:name w:val="标题 5 字符"/>
    <w:basedOn w:val="32"/>
    <w:link w:val="6"/>
    <w:autoRedefine/>
    <w:qFormat/>
    <w:uiPriority w:val="0"/>
    <w:rPr>
      <w:rFonts w:ascii="Calibri" w:hAnsi="Calibri" w:eastAsia="宋体" w:cs="Times New Roman"/>
      <w:b/>
      <w:kern w:val="2"/>
      <w:sz w:val="28"/>
      <w:szCs w:val="24"/>
      <w:lang w:val="en-US" w:eastAsia="zh-CN" w:bidi="ar-SA"/>
    </w:rPr>
  </w:style>
  <w:style w:type="character" w:customStyle="1" w:styleId="42">
    <w:name w:val="标题 6 字符"/>
    <w:basedOn w:val="32"/>
    <w:link w:val="7"/>
    <w:autoRedefine/>
    <w:qFormat/>
    <w:uiPriority w:val="0"/>
    <w:rPr>
      <w:rFonts w:ascii="Arial" w:hAnsi="Arial" w:eastAsia="黑体" w:cs="Times New Roman"/>
      <w:b/>
      <w:kern w:val="2"/>
      <w:sz w:val="24"/>
      <w:szCs w:val="24"/>
      <w:lang w:val="en-US" w:eastAsia="zh-CN" w:bidi="ar-SA"/>
    </w:rPr>
  </w:style>
  <w:style w:type="character" w:customStyle="1" w:styleId="43">
    <w:name w:val="标题 7 字符"/>
    <w:basedOn w:val="32"/>
    <w:link w:val="8"/>
    <w:autoRedefine/>
    <w:qFormat/>
    <w:uiPriority w:val="0"/>
    <w:rPr>
      <w:rFonts w:ascii="Calibri" w:hAnsi="Calibri" w:eastAsia="宋体" w:cs="Times New Roman"/>
      <w:b/>
      <w:kern w:val="2"/>
      <w:sz w:val="24"/>
      <w:szCs w:val="24"/>
      <w:lang w:val="en-US" w:eastAsia="zh-CN" w:bidi="ar-SA"/>
    </w:rPr>
  </w:style>
  <w:style w:type="character" w:customStyle="1" w:styleId="44">
    <w:name w:val="标题 8 字符"/>
    <w:basedOn w:val="32"/>
    <w:link w:val="9"/>
    <w:autoRedefine/>
    <w:qFormat/>
    <w:uiPriority w:val="0"/>
    <w:rPr>
      <w:rFonts w:ascii="Arial" w:hAnsi="Arial" w:eastAsia="黑体" w:cs="Times New Roman"/>
      <w:kern w:val="2"/>
      <w:sz w:val="24"/>
      <w:szCs w:val="24"/>
      <w:lang w:val="en-US" w:eastAsia="zh-CN" w:bidi="ar-SA"/>
    </w:rPr>
  </w:style>
  <w:style w:type="character" w:customStyle="1" w:styleId="45">
    <w:name w:val="标题 9 字符"/>
    <w:basedOn w:val="32"/>
    <w:link w:val="10"/>
    <w:autoRedefine/>
    <w:qFormat/>
    <w:uiPriority w:val="0"/>
    <w:rPr>
      <w:rFonts w:ascii="Arial" w:hAnsi="Arial" w:eastAsia="黑体" w:cs="Times New Roman"/>
      <w:kern w:val="2"/>
      <w:sz w:val="21"/>
      <w:szCs w:val="24"/>
      <w:lang w:val="en-US" w:eastAsia="zh-CN" w:bidi="ar-SA"/>
    </w:rPr>
  </w:style>
  <w:style w:type="character" w:customStyle="1" w:styleId="46">
    <w:name w:val="正文缩进 Char"/>
    <w:autoRedefine/>
    <w:qFormat/>
    <w:uiPriority w:val="0"/>
    <w:rPr>
      <w:rFonts w:ascii="Times New Roman" w:hAnsi="Times New Roman" w:eastAsia="宋体" w:cs="Times New Roman"/>
      <w:szCs w:val="21"/>
    </w:rPr>
  </w:style>
  <w:style w:type="paragraph" w:customStyle="1" w:styleId="47">
    <w:name w:val="列表 21"/>
    <w:basedOn w:val="1"/>
    <w:autoRedefine/>
    <w:qFormat/>
    <w:uiPriority w:val="0"/>
    <w:pPr>
      <w:suppressAutoHyphens/>
      <w:ind w:left="100" w:hanging="200"/>
    </w:pPr>
  </w:style>
  <w:style w:type="paragraph" w:customStyle="1" w:styleId="48">
    <w:name w:val="列出段落1"/>
    <w:basedOn w:val="1"/>
    <w:autoRedefine/>
    <w:qFormat/>
    <w:uiPriority w:val="0"/>
    <w:pPr>
      <w:ind w:firstLine="200" w:firstLineChars="200"/>
    </w:pPr>
  </w:style>
  <w:style w:type="paragraph" w:customStyle="1" w:styleId="49">
    <w:name w:val="样式 正文首行缩进 2 + Arial"/>
    <w:basedOn w:val="1"/>
    <w:next w:val="1"/>
    <w:autoRedefine/>
    <w:qFormat/>
    <w:uiPriority w:val="0"/>
    <w:pPr>
      <w:spacing w:after="120" w:line="320" w:lineRule="atLeast"/>
      <w:ind w:firstLine="200" w:firstLineChars="200"/>
    </w:pPr>
    <w:rPr>
      <w:rFonts w:ascii="Arial" w:hAnsi="Arial"/>
    </w:rPr>
  </w:style>
  <w:style w:type="paragraph" w:customStyle="1" w:styleId="50">
    <w:name w:val="_Style 3"/>
    <w:basedOn w:val="1"/>
    <w:autoRedefine/>
    <w:qFormat/>
    <w:uiPriority w:val="0"/>
    <w:pPr>
      <w:ind w:firstLine="200" w:firstLineChars="200"/>
    </w:pPr>
  </w:style>
  <w:style w:type="paragraph" w:customStyle="1" w:styleId="51">
    <w:name w:val="列出段落11"/>
    <w:basedOn w:val="1"/>
    <w:next w:val="48"/>
    <w:autoRedefine/>
    <w:qFormat/>
    <w:uiPriority w:val="0"/>
    <w:pPr>
      <w:ind w:firstLine="200" w:firstLineChars="200"/>
    </w:pPr>
  </w:style>
  <w:style w:type="paragraph" w:customStyle="1" w:styleId="52">
    <w:name w:val="正文缩进1"/>
    <w:basedOn w:val="1"/>
    <w:qFormat/>
    <w:uiPriority w:val="0"/>
    <w:pPr>
      <w:adjustRightInd w:val="0"/>
      <w:spacing w:line="360" w:lineRule="atLeast"/>
      <w:ind w:firstLine="200" w:firstLineChars="200"/>
      <w:jc w:val="left"/>
      <w:textAlignment w:val="baseline"/>
    </w:pPr>
    <w:rPr>
      <w:rFonts w:cs="Times New Roman"/>
      <w:kern w:val="0"/>
      <w:sz w:val="24"/>
      <w:szCs w:val="24"/>
    </w:rPr>
  </w:style>
  <w:style w:type="paragraph" w:customStyle="1" w:styleId="53">
    <w:name w:val="日期1"/>
    <w:basedOn w:val="1"/>
    <w:next w:val="1"/>
    <w:autoRedefine/>
    <w:qFormat/>
    <w:uiPriority w:val="0"/>
    <w:rPr>
      <w:rFonts w:cs="Times New Roman"/>
      <w:kern w:val="0"/>
      <w:sz w:val="24"/>
      <w:szCs w:val="24"/>
    </w:rPr>
  </w:style>
  <w:style w:type="paragraph" w:customStyle="1" w:styleId="54">
    <w:name w:val="HtmlNormal"/>
    <w:basedOn w:val="1"/>
    <w:autoRedefine/>
    <w:qFormat/>
    <w:uiPriority w:val="0"/>
    <w:pPr>
      <w:jc w:val="left"/>
      <w:textAlignment w:val="baseline"/>
    </w:pPr>
    <w:rPr>
      <w:rFonts w:ascii="Calibri" w:hAnsi="Calibri"/>
      <w:kern w:val="0"/>
      <w:sz w:val="24"/>
      <w:szCs w:val="22"/>
    </w:rPr>
  </w:style>
  <w:style w:type="paragraph" w:customStyle="1" w:styleId="55">
    <w:name w:val="样式 样式 样式 样式 标题 2 + 宋体 五号 非加粗 黑色 + 段前: 6 磅 段后: 0 磅 行距: 单倍行距 + 段前:..."/>
    <w:basedOn w:val="1"/>
    <w:autoRedefine/>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56">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正文文本缩进1"/>
    <w:basedOn w:val="1"/>
    <w:autoRedefine/>
    <w:qFormat/>
    <w:uiPriority w:val="0"/>
    <w:pPr>
      <w:spacing w:line="360" w:lineRule="auto"/>
      <w:ind w:firstLine="200" w:firstLineChars="200"/>
    </w:pPr>
    <w:rPr>
      <w:rFonts w:ascii="宋体" w:cs="宋体"/>
      <w:kern w:val="0"/>
      <w:sz w:val="24"/>
      <w:szCs w:val="24"/>
    </w:rPr>
  </w:style>
  <w:style w:type="paragraph" w:customStyle="1" w:styleId="58">
    <w:name w:val="Default"/>
    <w:autoRedefine/>
    <w:qFormat/>
    <w:uiPriority w:val="0"/>
    <w:pPr>
      <w:widowControl w:val="0"/>
      <w:autoSpaceDE w:val="0"/>
      <w:autoSpaceDN w:val="0"/>
      <w:adjustRightInd w:val="0"/>
    </w:pPr>
    <w:rPr>
      <w:rFonts w:ascii="宋体" w:hAnsi="Times New Roman" w:eastAsia="宋体" w:cs="Times New Roman"/>
      <w:color w:val="000000"/>
      <w:sz w:val="22"/>
      <w:lang w:val="en-US" w:eastAsia="zh-CN" w:bidi="ar-SA"/>
    </w:rPr>
  </w:style>
  <w:style w:type="paragraph" w:customStyle="1" w:styleId="59">
    <w:name w:val="UserStyle_104"/>
    <w:basedOn w:val="1"/>
    <w:autoRedefine/>
    <w:qFormat/>
    <w:uiPriority w:val="0"/>
    <w:pPr>
      <w:textAlignment w:val="baseline"/>
    </w:pPr>
    <w:rPr>
      <w:rFonts w:ascii="宋体" w:hAnsi="宋体"/>
      <w:szCs w:val="20"/>
      <w:lang w:val="zh-CN" w:bidi="zh-CN"/>
    </w:rPr>
  </w:style>
  <w:style w:type="paragraph" w:customStyle="1" w:styleId="60">
    <w:name w:val="Normal_26"/>
    <w:next w:val="1"/>
    <w:qFormat/>
    <w:uiPriority w:val="0"/>
    <w:pPr>
      <w:widowControl w:val="0"/>
      <w:suppressAutoHyphens/>
      <w:jc w:val="both"/>
    </w:pPr>
    <w:rPr>
      <w:rFonts w:ascii="Calibri" w:hAnsi="Calibri" w:eastAsia="宋体" w:cs="Times New Roman"/>
      <w:kern w:val="2"/>
      <w:sz w:val="21"/>
      <w:szCs w:val="22"/>
      <w:lang w:val="en-US" w:eastAsia="zh-CN" w:bidi="ar-SA"/>
    </w:rPr>
  </w:style>
  <w:style w:type="paragraph" w:customStyle="1" w:styleId="61">
    <w:name w:val="样式_0"/>
    <w:autoRedefine/>
    <w:qFormat/>
    <w:uiPriority w:val="0"/>
    <w:pPr>
      <w:widowControl w:val="0"/>
      <w:suppressAutoHyphens/>
      <w:autoSpaceDE w:val="0"/>
    </w:pPr>
    <w:rPr>
      <w:rFonts w:ascii="宋体" w:hAnsi="宋体" w:eastAsia="宋体" w:cs="宋体"/>
      <w:sz w:val="24"/>
      <w:szCs w:val="24"/>
      <w:lang w:val="en-US" w:eastAsia="zh-CN" w:bidi="ar-SA"/>
    </w:rPr>
  </w:style>
  <w:style w:type="paragraph" w:customStyle="1" w:styleId="62">
    <w:name w:val="pa-3"/>
    <w:basedOn w:val="1"/>
    <w:autoRedefine/>
    <w:qFormat/>
    <w:uiPriority w:val="0"/>
    <w:pPr>
      <w:widowControl/>
      <w:spacing w:before="150" w:after="150" w:line="360" w:lineRule="auto"/>
      <w:jc w:val="left"/>
    </w:pPr>
    <w:rPr>
      <w:rFonts w:ascii="宋体" w:hAnsi="Calibri" w:cs="宋体"/>
      <w:kern w:val="0"/>
      <w:sz w:val="24"/>
      <w:szCs w:val="24"/>
    </w:rPr>
  </w:style>
  <w:style w:type="paragraph" w:customStyle="1" w:styleId="63">
    <w:name w:val="Other|1"/>
    <w:basedOn w:val="1"/>
    <w:qFormat/>
    <w:uiPriority w:val="0"/>
    <w:pPr>
      <w:spacing w:line="560" w:lineRule="exact"/>
    </w:pPr>
    <w:rPr>
      <w:rFonts w:ascii="宋体" w:hAnsi="宋体" w:cs="宋体"/>
      <w:sz w:val="15"/>
      <w:szCs w:val="15"/>
      <w:lang w:val="zh-TW" w:eastAsia="zh-TW" w:bidi="zh-TW"/>
    </w:rPr>
  </w:style>
  <w:style w:type="paragraph" w:customStyle="1" w:styleId="6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p0"/>
    <w:basedOn w:val="1"/>
    <w:autoRedefine/>
    <w:qFormat/>
    <w:uiPriority w:val="0"/>
    <w:pPr>
      <w:widowControl/>
    </w:pPr>
    <w:rPr>
      <w:kern w:val="0"/>
    </w:rPr>
  </w:style>
  <w:style w:type="paragraph" w:customStyle="1" w:styleId="66">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67">
    <w:name w:val="font151"/>
    <w:autoRedefine/>
    <w:qFormat/>
    <w:uiPriority w:val="0"/>
    <w:rPr>
      <w:rFonts w:ascii="宋体" w:hAnsi="宋体" w:eastAsia="宋体" w:cs="宋体"/>
      <w:color w:val="000000"/>
      <w:sz w:val="18"/>
      <w:szCs w:val="18"/>
      <w:u w:val="none"/>
    </w:rPr>
  </w:style>
  <w:style w:type="character" w:customStyle="1" w:styleId="68">
    <w:name w:val="font101"/>
    <w:autoRedefine/>
    <w:qFormat/>
    <w:uiPriority w:val="0"/>
    <w:rPr>
      <w:rFonts w:ascii="微软雅黑" w:hAnsi="微软雅黑" w:eastAsia="微软雅黑" w:cs="微软雅黑"/>
      <w:b/>
      <w:bCs/>
      <w:color w:val="000000"/>
      <w:sz w:val="18"/>
      <w:szCs w:val="18"/>
      <w:u w:val="none"/>
    </w:rPr>
  </w:style>
  <w:style w:type="character" w:customStyle="1" w:styleId="69">
    <w:name w:val="font51"/>
    <w:qFormat/>
    <w:uiPriority w:val="0"/>
    <w:rPr>
      <w:rFonts w:ascii="微软雅黑" w:hAnsi="微软雅黑" w:eastAsia="微软雅黑" w:cs="微软雅黑"/>
      <w:color w:val="000000"/>
      <w:sz w:val="18"/>
      <w:szCs w:val="18"/>
      <w:u w:val="none"/>
    </w:rPr>
  </w:style>
  <w:style w:type="character" w:customStyle="1" w:styleId="70">
    <w:name w:val="NormalCharacter"/>
    <w:autoRedefine/>
    <w:qFormat/>
    <w:uiPriority w:val="0"/>
  </w:style>
  <w:style w:type="character" w:customStyle="1" w:styleId="71">
    <w:name w:val="15"/>
    <w:basedOn w:val="32"/>
    <w:autoRedefine/>
    <w:qFormat/>
    <w:uiPriority w:val="0"/>
    <w:rPr>
      <w:rFonts w:ascii="宋体" w:hAnsi="宋体" w:eastAsia="宋体"/>
      <w:b/>
      <w:bCs/>
      <w:color w:val="auto"/>
      <w:sz w:val="20"/>
      <w:szCs w:val="20"/>
    </w:rPr>
  </w:style>
  <w:style w:type="character" w:customStyle="1" w:styleId="72">
    <w:name w:val="font161"/>
    <w:qFormat/>
    <w:uiPriority w:val="0"/>
    <w:rPr>
      <w:rFonts w:ascii="微软雅黑" w:hAnsi="微软雅黑" w:eastAsia="微软雅黑" w:cs="微软雅黑"/>
      <w:color w:val="FF0000"/>
      <w:sz w:val="18"/>
      <w:szCs w:val="18"/>
      <w:u w:val="none"/>
    </w:rPr>
  </w:style>
  <w:style w:type="character" w:customStyle="1" w:styleId="73">
    <w:name w:val="font01"/>
    <w:autoRedefine/>
    <w:qFormat/>
    <w:uiPriority w:val="0"/>
    <w:rPr>
      <w:rFonts w:ascii="宋体" w:hAnsi="宋体" w:eastAsia="宋体" w:cs="宋体"/>
      <w:color w:val="000000"/>
      <w:sz w:val="24"/>
      <w:szCs w:val="24"/>
      <w:u w:val="none"/>
    </w:rPr>
  </w:style>
  <w:style w:type="character" w:customStyle="1" w:styleId="74">
    <w:name w:val="font121"/>
    <w:autoRedefine/>
    <w:qFormat/>
    <w:uiPriority w:val="0"/>
    <w:rPr>
      <w:rFonts w:ascii="宋体" w:hAnsi="宋体" w:eastAsia="宋体" w:cs="宋体"/>
      <w:color w:val="FF0000"/>
      <w:sz w:val="16"/>
      <w:szCs w:val="16"/>
      <w:u w:val="none"/>
    </w:rPr>
  </w:style>
  <w:style w:type="character" w:customStyle="1" w:styleId="75">
    <w:name w:val="font21"/>
    <w:qFormat/>
    <w:uiPriority w:val="0"/>
    <w:rPr>
      <w:rFonts w:ascii="宋体" w:hAnsi="宋体" w:eastAsia="宋体" w:cs="宋体"/>
      <w:color w:val="000000"/>
      <w:sz w:val="16"/>
      <w:szCs w:val="16"/>
      <w:u w:val="none"/>
    </w:rPr>
  </w:style>
  <w:style w:type="character" w:customStyle="1" w:styleId="76">
    <w:name w:val="font71"/>
    <w:autoRedefine/>
    <w:qFormat/>
    <w:uiPriority w:val="0"/>
    <w:rPr>
      <w:rFonts w:ascii="宋体" w:hAnsi="宋体" w:eastAsia="宋体" w:cs="宋体"/>
      <w:color w:val="000000"/>
      <w:sz w:val="16"/>
      <w:szCs w:val="16"/>
      <w:u w:val="none"/>
    </w:rPr>
  </w:style>
  <w:style w:type="character" w:customStyle="1" w:styleId="77">
    <w:name w:val="font81"/>
    <w:autoRedefine/>
    <w:qFormat/>
    <w:uiPriority w:val="0"/>
    <w:rPr>
      <w:rFonts w:ascii="宋体" w:hAnsi="宋体" w:eastAsia="宋体" w:cs="宋体"/>
      <w:color w:val="000000"/>
      <w:sz w:val="16"/>
      <w:szCs w:val="16"/>
      <w:u w:val="none"/>
    </w:rPr>
  </w:style>
  <w:style w:type="character" w:customStyle="1" w:styleId="78">
    <w:name w:val="纯文本 Char1"/>
    <w:autoRedefine/>
    <w:qFormat/>
    <w:uiPriority w:val="0"/>
    <w:rPr>
      <w:rFonts w:ascii="宋体" w:hAnsi="Courier New" w:eastAsia="宋体" w:cs="Courier New"/>
      <w:szCs w:val="21"/>
    </w:rPr>
  </w:style>
  <w:style w:type="character" w:customStyle="1" w:styleId="79">
    <w:name w:val="正文首行缩进 Char1"/>
    <w:autoRedefine/>
    <w:qFormat/>
    <w:uiPriority w:val="0"/>
    <w:rPr>
      <w:rFonts w:ascii="Times New Roman" w:hAnsi="Times New Roman" w:eastAsia="宋体" w:cs="Calibri"/>
      <w:szCs w:val="21"/>
    </w:rPr>
  </w:style>
  <w:style w:type="character" w:customStyle="1" w:styleId="80">
    <w:name w:val="信息标题 Char1"/>
    <w:autoRedefine/>
    <w:qFormat/>
    <w:uiPriority w:val="0"/>
    <w:rPr>
      <w:rFonts w:ascii="Cambria" w:hAnsi="Cambria" w:eastAsia="宋体" w:cs="Times New Roman"/>
      <w:sz w:val="24"/>
      <w:szCs w:val="24"/>
      <w:shd w:val="pct20" w:color="auto" w:fill="auto"/>
    </w:rPr>
  </w:style>
  <w:style w:type="character" w:customStyle="1" w:styleId="81">
    <w:name w:val="正文文本缩进 Char1"/>
    <w:autoRedefine/>
    <w:qFormat/>
    <w:uiPriority w:val="0"/>
    <w:rPr>
      <w:rFonts w:ascii="Times New Roman" w:hAnsi="Times New Roman" w:eastAsia="宋体" w:cs="Calibri"/>
      <w:szCs w:val="21"/>
    </w:rPr>
  </w:style>
  <w:style w:type="character" w:customStyle="1" w:styleId="82">
    <w:name w:val="HTML 预设格式 Char1"/>
    <w:autoRedefine/>
    <w:qFormat/>
    <w:uiPriority w:val="0"/>
    <w:rPr>
      <w:rFonts w:ascii="Courier New" w:hAnsi="Courier New" w:eastAsia="宋体" w:cs="Courier New"/>
      <w:sz w:val="20"/>
      <w:szCs w:val="20"/>
    </w:rPr>
  </w:style>
  <w:style w:type="character" w:customStyle="1" w:styleId="83">
    <w:name w:val="纯文本 Char2"/>
    <w:autoRedefine/>
    <w:qFormat/>
    <w:uiPriority w:val="0"/>
    <w:rPr>
      <w:rFonts w:ascii="宋体" w:hAnsi="Courier New" w:cs="Courier New"/>
      <w:kern w:val="2"/>
      <w:sz w:val="21"/>
      <w:szCs w:val="21"/>
    </w:rPr>
  </w:style>
  <w:style w:type="character" w:customStyle="1" w:styleId="84">
    <w:name w:val="ca-5"/>
    <w:basedOn w:val="32"/>
    <w:autoRedefine/>
    <w:qFormat/>
    <w:uiPriority w:val="0"/>
  </w:style>
  <w:style w:type="character" w:customStyle="1" w:styleId="85">
    <w:name w:val="font11"/>
    <w:autoRedefine/>
    <w:qFormat/>
    <w:uiPriority w:val="0"/>
    <w:rPr>
      <w:rFonts w:ascii="宋体" w:hAnsi="宋体" w:eastAsia="宋体" w:cs="宋体"/>
      <w:color w:val="000000"/>
      <w:sz w:val="22"/>
      <w:szCs w:val="22"/>
      <w:u w:val="none"/>
    </w:rPr>
  </w:style>
  <w:style w:type="character" w:customStyle="1" w:styleId="86">
    <w:name w:val="right"/>
    <w:basedOn w:val="32"/>
    <w:autoRedefine/>
    <w:qFormat/>
    <w:uiPriority w:val="0"/>
    <w:rPr>
      <w:color w:val="999999"/>
      <w:sz w:val="14"/>
      <w:szCs w:val="14"/>
    </w:rPr>
  </w:style>
  <w:style w:type="character" w:customStyle="1" w:styleId="87">
    <w:name w:val="red"/>
    <w:basedOn w:val="32"/>
    <w:autoRedefine/>
    <w:qFormat/>
    <w:uiPriority w:val="0"/>
    <w:rPr>
      <w:color w:val="FF0000"/>
      <w:sz w:val="14"/>
      <w:szCs w:val="14"/>
    </w:rPr>
  </w:style>
  <w:style w:type="character" w:customStyle="1" w:styleId="88">
    <w:name w:val="red1"/>
    <w:basedOn w:val="32"/>
    <w:autoRedefine/>
    <w:qFormat/>
    <w:uiPriority w:val="0"/>
    <w:rPr>
      <w:color w:val="FF0000"/>
      <w:sz w:val="14"/>
      <w:szCs w:val="14"/>
    </w:rPr>
  </w:style>
  <w:style w:type="character" w:customStyle="1" w:styleId="89">
    <w:name w:val="red2"/>
    <w:basedOn w:val="32"/>
    <w:autoRedefine/>
    <w:qFormat/>
    <w:uiPriority w:val="0"/>
    <w:rPr>
      <w:color w:val="CC0000"/>
    </w:rPr>
  </w:style>
  <w:style w:type="character" w:customStyle="1" w:styleId="90">
    <w:name w:val="red3"/>
    <w:basedOn w:val="32"/>
    <w:autoRedefine/>
    <w:qFormat/>
    <w:uiPriority w:val="0"/>
    <w:rPr>
      <w:color w:val="FF0000"/>
    </w:rPr>
  </w:style>
  <w:style w:type="character" w:customStyle="1" w:styleId="91">
    <w:name w:val="hover25"/>
    <w:basedOn w:val="32"/>
    <w:autoRedefine/>
    <w:qFormat/>
    <w:uiPriority w:val="0"/>
  </w:style>
  <w:style w:type="character" w:customStyle="1" w:styleId="92">
    <w:name w:val="green"/>
    <w:basedOn w:val="32"/>
    <w:autoRedefine/>
    <w:qFormat/>
    <w:uiPriority w:val="0"/>
    <w:rPr>
      <w:color w:val="66AE00"/>
      <w:sz w:val="14"/>
      <w:szCs w:val="14"/>
    </w:rPr>
  </w:style>
  <w:style w:type="character" w:customStyle="1" w:styleId="93">
    <w:name w:val="green1"/>
    <w:basedOn w:val="32"/>
    <w:autoRedefine/>
    <w:qFormat/>
    <w:uiPriority w:val="0"/>
    <w:rPr>
      <w:color w:val="66AE00"/>
      <w:sz w:val="14"/>
      <w:szCs w:val="14"/>
    </w:rPr>
  </w:style>
  <w:style w:type="character" w:customStyle="1" w:styleId="94">
    <w:name w:val="active"/>
    <w:basedOn w:val="32"/>
    <w:autoRedefine/>
    <w:qFormat/>
    <w:uiPriority w:val="0"/>
    <w:rPr>
      <w:color w:val="FFFFFF"/>
      <w:shd w:val="clear" w:color="auto" w:fill="2B7AFC"/>
    </w:rPr>
  </w:style>
  <w:style w:type="character" w:customStyle="1" w:styleId="95">
    <w:name w:val="blue"/>
    <w:basedOn w:val="32"/>
    <w:autoRedefine/>
    <w:qFormat/>
    <w:uiPriority w:val="0"/>
    <w:rPr>
      <w:color w:val="0371C6"/>
      <w:sz w:val="16"/>
      <w:szCs w:val="16"/>
    </w:rPr>
  </w:style>
  <w:style w:type="character" w:customStyle="1" w:styleId="96">
    <w:name w:val="gb-jt"/>
    <w:basedOn w:val="32"/>
    <w:autoRedefine/>
    <w:qFormat/>
    <w:uiPriority w:val="0"/>
  </w:style>
  <w:style w:type="character" w:customStyle="1" w:styleId="97">
    <w:name w:val="active4"/>
    <w:basedOn w:val="32"/>
    <w:autoRedefine/>
    <w:qFormat/>
    <w:uiPriority w:val="0"/>
    <w:rPr>
      <w:color w:val="FFFFFF"/>
      <w:shd w:val="clear" w:color="auto" w:fill="2B7AFC"/>
    </w:rPr>
  </w:style>
  <w:style w:type="character" w:customStyle="1" w:styleId="98">
    <w:name w:val="font61"/>
    <w:basedOn w:val="32"/>
    <w:autoRedefine/>
    <w:qFormat/>
    <w:uiPriority w:val="0"/>
    <w:rPr>
      <w:rFonts w:ascii="黑体" w:hAnsi="宋体" w:eastAsia="黑体" w:cs="黑体"/>
      <w:color w:val="000000"/>
      <w:sz w:val="24"/>
      <w:szCs w:val="24"/>
      <w:u w:val="none"/>
    </w:rPr>
  </w:style>
  <w:style w:type="character" w:customStyle="1" w:styleId="99">
    <w:name w:val="font41"/>
    <w:basedOn w:val="32"/>
    <w:autoRedefine/>
    <w:qFormat/>
    <w:uiPriority w:val="0"/>
    <w:rPr>
      <w:rFonts w:ascii="黑体" w:hAnsi="宋体" w:eastAsia="黑体" w:cs="黑体"/>
      <w:color w:val="000000"/>
      <w:sz w:val="24"/>
      <w:szCs w:val="24"/>
      <w:u w:val="none"/>
    </w:rPr>
  </w:style>
  <w:style w:type="character" w:customStyle="1" w:styleId="100">
    <w:name w:val="font31"/>
    <w:basedOn w:val="32"/>
    <w:autoRedefine/>
    <w:qFormat/>
    <w:uiPriority w:val="0"/>
    <w:rPr>
      <w:rFonts w:ascii="黑体" w:hAnsi="宋体" w:eastAsia="黑体" w:cs="黑体"/>
      <w:color w:val="000000"/>
      <w:sz w:val="24"/>
      <w:szCs w:val="24"/>
      <w:u w:val="none"/>
    </w:rPr>
  </w:style>
  <w:style w:type="character" w:customStyle="1" w:styleId="101">
    <w:name w:val="font111"/>
    <w:basedOn w:val="32"/>
    <w:autoRedefine/>
    <w:qFormat/>
    <w:uiPriority w:val="0"/>
    <w:rPr>
      <w:rFonts w:ascii="黑体" w:hAnsi="宋体" w:eastAsia="黑体" w:cs="黑体"/>
      <w:color w:val="FF0000"/>
      <w:sz w:val="24"/>
      <w:szCs w:val="24"/>
      <w:u w:val="none"/>
    </w:rPr>
  </w:style>
  <w:style w:type="character" w:customStyle="1" w:styleId="102">
    <w:name w:val="font122"/>
    <w:basedOn w:val="32"/>
    <w:autoRedefine/>
    <w:qFormat/>
    <w:uiPriority w:val="0"/>
    <w:rPr>
      <w:rFonts w:ascii="Times New Roman" w:hAnsi="Times New Roman" w:cs="Times New Roman"/>
      <w:color w:val="FF0000"/>
      <w:sz w:val="24"/>
      <w:szCs w:val="24"/>
      <w:u w:val="none"/>
    </w:rPr>
  </w:style>
  <w:style w:type="character" w:customStyle="1" w:styleId="103">
    <w:name w:val="font131"/>
    <w:basedOn w:val="32"/>
    <w:autoRedefine/>
    <w:qFormat/>
    <w:uiPriority w:val="0"/>
    <w:rPr>
      <w:rFonts w:ascii="黑体" w:hAnsi="宋体" w:eastAsia="黑体" w:cs="黑体"/>
      <w:color w:val="FF0000"/>
      <w:sz w:val="24"/>
      <w:szCs w:val="24"/>
      <w:u w:val="none"/>
    </w:rPr>
  </w:style>
  <w:style w:type="character" w:customStyle="1" w:styleId="104">
    <w:name w:val="font141"/>
    <w:basedOn w:val="32"/>
    <w:autoRedefine/>
    <w:qFormat/>
    <w:uiPriority w:val="0"/>
    <w:rPr>
      <w:rFonts w:ascii="Times New Roman" w:hAnsi="Times New Roman" w:cs="Times New Roman"/>
      <w:color w:val="FF0000"/>
      <w:sz w:val="24"/>
      <w:szCs w:val="24"/>
      <w:u w:val="none"/>
    </w:rPr>
  </w:style>
  <w:style w:type="character" w:customStyle="1" w:styleId="105">
    <w:name w:val="font91"/>
    <w:basedOn w:val="32"/>
    <w:autoRedefine/>
    <w:qFormat/>
    <w:uiPriority w:val="0"/>
    <w:rPr>
      <w:rFonts w:ascii="黑体" w:hAnsi="宋体" w:eastAsia="黑体" w:cs="黑体"/>
      <w:color w:val="FF0000"/>
      <w:sz w:val="24"/>
      <w:szCs w:val="24"/>
      <w:u w:val="none"/>
    </w:rPr>
  </w:style>
  <w:style w:type="character" w:customStyle="1" w:styleId="106">
    <w:name w:val="16"/>
    <w:basedOn w:val="32"/>
    <w:autoRedefine/>
    <w:qFormat/>
    <w:uiPriority w:val="0"/>
    <w:rPr>
      <w:rFonts w:ascii="微软雅黑" w:hAnsi="微软雅黑" w:eastAsia="微软雅黑"/>
      <w:b/>
      <w:bCs/>
      <w:color w:val="auto"/>
      <w:sz w:val="20"/>
      <w:szCs w:val="20"/>
    </w:rPr>
  </w:style>
  <w:style w:type="character" w:customStyle="1" w:styleId="107">
    <w:name w:val="18"/>
    <w:basedOn w:val="32"/>
    <w:autoRedefine/>
    <w:qFormat/>
    <w:uiPriority w:val="0"/>
    <w:rPr>
      <w:rFonts w:ascii="宋体" w:hAnsi="宋体" w:eastAsia="宋体"/>
      <w:color w:val="auto"/>
      <w:sz w:val="20"/>
      <w:szCs w:val="20"/>
    </w:rPr>
  </w:style>
  <w:style w:type="character" w:customStyle="1" w:styleId="108">
    <w:name w:val="20"/>
    <w:basedOn w:val="32"/>
    <w:autoRedefine/>
    <w:qFormat/>
    <w:uiPriority w:val="0"/>
    <w:rPr>
      <w:rFonts w:ascii="Arial" w:hAnsi="Arial"/>
      <w:color w:val="auto"/>
      <w:sz w:val="20"/>
      <w:szCs w:val="20"/>
    </w:rPr>
  </w:style>
  <w:style w:type="character" w:customStyle="1" w:styleId="109">
    <w:name w:val="17"/>
    <w:basedOn w:val="32"/>
    <w:autoRedefine/>
    <w:qFormat/>
    <w:uiPriority w:val="0"/>
    <w:rPr>
      <w:rFonts w:ascii="宋体" w:hAnsi="宋体" w:eastAsia="宋体"/>
      <w:color w:val="FF0000"/>
      <w:sz w:val="20"/>
      <w:szCs w:val="20"/>
    </w:rPr>
  </w:style>
  <w:style w:type="character" w:customStyle="1" w:styleId="110">
    <w:name w:val="19"/>
    <w:basedOn w:val="32"/>
    <w:autoRedefine/>
    <w:qFormat/>
    <w:uiPriority w:val="0"/>
    <w:rPr>
      <w:rFonts w:ascii="宋体" w:hAnsi="宋体" w:eastAsia="宋体"/>
      <w:b/>
      <w:bCs/>
      <w:color w:val="FF0000"/>
      <w:sz w:val="20"/>
      <w:szCs w:val="20"/>
    </w:rPr>
  </w:style>
  <w:style w:type="paragraph" w:styleId="111">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678 0 1 1 1 1"/>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AC167B-5CDF-4EFE-BD7C-37DBFA50314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4317</Words>
  <Characters>5016</Characters>
  <Lines>696</Lines>
  <Paragraphs>196</Paragraphs>
  <TotalTime>192</TotalTime>
  <ScaleCrop>false</ScaleCrop>
  <LinksUpToDate>false</LinksUpToDate>
  <CharactersWithSpaces>5153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2025-08-21T14:53:00Z</dcterms:created>
  <dc:creator>中科经纬工程技术有限公司:闫鹏生</dc:creator>
  <cp:lastModifiedBy>lwp88</cp:lastModifiedBy>
  <cp:lastPrinted>2025-08-07T02:10:00Z</cp:lastPrinted>
  <dcterms:modified xsi:type="dcterms:W3CDTF">2025-10-14T07:02:20Z</dcterms:modified>
  <dc:title>长招采公字[2024]014号长葛市教育体育局陈寔路幼儿园教玩具、图书、教师办公室设施、餐厨具、安防等设备购置项目（不见面开标）</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2B952D2047824C959B54C49784BCA3C6_13</vt:lpwstr>
  </property>
  <property fmtid="{D5CDD505-2E9C-101B-9397-08002B2CF9AE}" pid="4" name="KSOTemplateDocerSaveRecord">
    <vt:lpwstr>eyJoZGlkIjoiNmU0N2YzYjBiYmZjMmE1Mzc1N2U1ZmJiMzc2YTIzM2YiLCJ1c2VySWQiOiIyOTI2NzM3NjkifQ==</vt:lpwstr>
  </property>
</Properties>
</file>