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auto"/>
        <w:jc w:val="center"/>
        <w:rPr>
          <w:rFonts w:ascii="宋体" w:hAnsi="宋体" w:cs="宋体"/>
          <w:b/>
          <w:spacing w:val="36"/>
          <w:sz w:val="52"/>
        </w:rPr>
      </w:pPr>
      <w:r>
        <w:rPr>
          <w:rFonts w:hint="eastAsia" w:ascii="宋体" w:hAnsi="宋体" w:cs="宋体"/>
          <w:b/>
          <w:spacing w:val="36"/>
          <w:sz w:val="52"/>
        </w:rPr>
        <w:t>周口市公共资源交易中心</w:t>
      </w:r>
    </w:p>
    <w:p>
      <w:pPr>
        <w:tabs>
          <w:tab w:val="left" w:pos="315"/>
          <w:tab w:val="left" w:pos="8820"/>
        </w:tabs>
        <w:spacing w:line="500" w:lineRule="auto"/>
        <w:ind w:right="267"/>
        <w:jc w:val="center"/>
        <w:rPr>
          <w:rFonts w:ascii="宋体" w:hAnsi="宋体" w:cs="宋体"/>
          <w:b/>
          <w:sz w:val="48"/>
        </w:rPr>
      </w:pPr>
    </w:p>
    <w:p>
      <w:pPr>
        <w:tabs>
          <w:tab w:val="left" w:pos="315"/>
          <w:tab w:val="left" w:pos="8820"/>
        </w:tabs>
        <w:spacing w:line="500" w:lineRule="auto"/>
        <w:ind w:right="267"/>
        <w:jc w:val="center"/>
        <w:rPr>
          <w:rFonts w:ascii="宋体" w:hAnsi="宋体" w:cs="宋体"/>
          <w:b/>
          <w:sz w:val="52"/>
        </w:rPr>
      </w:pPr>
    </w:p>
    <w:p>
      <w:pPr>
        <w:tabs>
          <w:tab w:val="left" w:pos="315"/>
          <w:tab w:val="left" w:pos="8820"/>
        </w:tabs>
        <w:spacing w:line="500" w:lineRule="auto"/>
        <w:ind w:right="267"/>
        <w:jc w:val="center"/>
        <w:rPr>
          <w:rFonts w:ascii="宋体" w:hAnsi="宋体" w:cs="宋体"/>
          <w:b/>
          <w:sz w:val="52"/>
        </w:rPr>
      </w:pPr>
    </w:p>
    <w:p>
      <w:pPr>
        <w:tabs>
          <w:tab w:val="left" w:pos="315"/>
          <w:tab w:val="left" w:pos="8820"/>
        </w:tabs>
        <w:spacing w:line="500" w:lineRule="auto"/>
        <w:ind w:right="267"/>
        <w:jc w:val="center"/>
        <w:rPr>
          <w:rFonts w:ascii="宋体" w:hAnsi="宋体" w:cs="宋体"/>
          <w:b/>
          <w:sz w:val="72"/>
          <w:szCs w:val="72"/>
        </w:rPr>
      </w:pPr>
      <w:r>
        <w:rPr>
          <w:rFonts w:hint="eastAsia" w:ascii="宋体" w:hAnsi="宋体" w:cs="宋体"/>
          <w:b/>
          <w:sz w:val="72"/>
          <w:szCs w:val="72"/>
        </w:rPr>
        <w:t>竞争性磋商文件</w:t>
      </w:r>
    </w:p>
    <w:p>
      <w:pPr>
        <w:tabs>
          <w:tab w:val="left" w:pos="315"/>
          <w:tab w:val="left" w:pos="8820"/>
        </w:tabs>
        <w:spacing w:line="500" w:lineRule="auto"/>
        <w:ind w:right="267"/>
        <w:jc w:val="center"/>
        <w:rPr>
          <w:rFonts w:ascii="宋体" w:hAnsi="宋体" w:cs="宋体"/>
          <w:sz w:val="44"/>
        </w:rPr>
      </w:pPr>
    </w:p>
    <w:p>
      <w:pPr>
        <w:tabs>
          <w:tab w:val="left" w:pos="315"/>
          <w:tab w:val="left" w:pos="8820"/>
        </w:tabs>
        <w:ind w:right="267"/>
        <w:rPr>
          <w:rFonts w:ascii="宋体" w:hAnsi="宋体" w:cs="宋体"/>
          <w:sz w:val="44"/>
        </w:rPr>
      </w:pPr>
    </w:p>
    <w:p>
      <w:pPr>
        <w:tabs>
          <w:tab w:val="left" w:pos="315"/>
          <w:tab w:val="left" w:pos="8820"/>
        </w:tabs>
        <w:spacing w:line="500" w:lineRule="auto"/>
        <w:ind w:right="267"/>
        <w:rPr>
          <w:rFonts w:ascii="宋体" w:hAnsi="宋体" w:cs="宋体"/>
          <w:b/>
          <w:sz w:val="36"/>
        </w:rPr>
      </w:pPr>
    </w:p>
    <w:p>
      <w:pPr>
        <w:tabs>
          <w:tab w:val="left" w:pos="315"/>
          <w:tab w:val="left" w:pos="8820"/>
        </w:tabs>
        <w:spacing w:line="500" w:lineRule="auto"/>
        <w:ind w:right="267"/>
        <w:rPr>
          <w:rFonts w:ascii="宋体" w:hAnsi="宋体" w:cs="宋体"/>
          <w:b/>
          <w:sz w:val="36"/>
        </w:rPr>
      </w:pPr>
    </w:p>
    <w:p>
      <w:pPr>
        <w:tabs>
          <w:tab w:val="left" w:pos="315"/>
          <w:tab w:val="left" w:pos="8820"/>
        </w:tabs>
        <w:spacing w:line="500" w:lineRule="auto"/>
        <w:ind w:right="267"/>
        <w:jc w:val="center"/>
        <w:rPr>
          <w:rFonts w:ascii="宋体" w:hAnsi="宋体" w:cs="宋体"/>
          <w:sz w:val="32"/>
        </w:rPr>
      </w:pPr>
    </w:p>
    <w:p>
      <w:pPr>
        <w:tabs>
          <w:tab w:val="left" w:pos="315"/>
          <w:tab w:val="left" w:pos="8820"/>
        </w:tabs>
        <w:spacing w:line="500" w:lineRule="auto"/>
        <w:ind w:right="267"/>
        <w:jc w:val="center"/>
        <w:rPr>
          <w:rFonts w:ascii="宋体" w:hAnsi="宋体" w:cs="宋体"/>
          <w:b/>
          <w:sz w:val="52"/>
        </w:rPr>
      </w:pPr>
    </w:p>
    <w:p>
      <w:pPr>
        <w:tabs>
          <w:tab w:val="left" w:pos="315"/>
          <w:tab w:val="left" w:pos="8820"/>
        </w:tabs>
        <w:spacing w:line="600" w:lineRule="auto"/>
        <w:ind w:right="267"/>
        <w:rPr>
          <w:rFonts w:hint="eastAsia" w:ascii="宋体" w:hAnsi="宋体" w:eastAsia="宋体" w:cs="宋体"/>
          <w:b/>
          <w:sz w:val="28"/>
          <w:szCs w:val="28"/>
          <w:lang w:eastAsia="zh-CN"/>
        </w:rPr>
      </w:pPr>
      <w:r>
        <w:rPr>
          <w:rFonts w:hint="eastAsia" w:ascii="宋体" w:hAnsi="宋体" w:cs="宋体"/>
          <w:b/>
          <w:sz w:val="28"/>
          <w:szCs w:val="28"/>
        </w:rPr>
        <w:t xml:space="preserve">项目名称: </w:t>
      </w:r>
      <w:r>
        <w:rPr>
          <w:rFonts w:hint="eastAsia" w:ascii="宋体" w:hAnsi="宋体" w:cs="宋体"/>
          <w:b/>
          <w:sz w:val="28"/>
          <w:szCs w:val="28"/>
          <w:lang w:eastAsia="zh-CN"/>
        </w:rPr>
        <w:t>商水县自然资源局汾河省级湿地公园湿地保护修复项目</w:t>
      </w:r>
    </w:p>
    <w:p>
      <w:pPr>
        <w:tabs>
          <w:tab w:val="left" w:pos="315"/>
          <w:tab w:val="left" w:pos="8820"/>
        </w:tabs>
        <w:spacing w:line="600" w:lineRule="auto"/>
        <w:ind w:right="267"/>
        <w:rPr>
          <w:rFonts w:hint="default" w:ascii="宋体" w:hAnsi="宋体" w:eastAsia="宋体" w:cs="宋体"/>
          <w:b/>
          <w:sz w:val="28"/>
          <w:szCs w:val="28"/>
          <w:highlight w:val="none"/>
          <w:lang w:val="en-US" w:eastAsia="zh-CN"/>
        </w:rPr>
      </w:pPr>
      <w:r>
        <w:rPr>
          <w:rFonts w:hint="eastAsia" w:ascii="宋体" w:hAnsi="宋体" w:cs="宋体"/>
          <w:b/>
          <w:sz w:val="28"/>
          <w:szCs w:val="28"/>
        </w:rPr>
        <w:t xml:space="preserve">项目编号: </w:t>
      </w:r>
      <w:r>
        <w:rPr>
          <w:rFonts w:hint="eastAsia" w:ascii="宋体" w:hAnsi="宋体" w:cs="宋体"/>
          <w:b/>
          <w:sz w:val="28"/>
          <w:szCs w:val="28"/>
          <w:highlight w:val="none"/>
        </w:rPr>
        <w:t>2023-0</w:t>
      </w:r>
      <w:r>
        <w:rPr>
          <w:rFonts w:hint="eastAsia" w:ascii="宋体" w:hAnsi="宋体" w:cs="宋体"/>
          <w:b/>
          <w:sz w:val="28"/>
          <w:szCs w:val="28"/>
          <w:highlight w:val="none"/>
          <w:lang w:val="en-US" w:eastAsia="zh-CN"/>
        </w:rPr>
        <w:t>8</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38</w:t>
      </w:r>
    </w:p>
    <w:p>
      <w:pPr>
        <w:tabs>
          <w:tab w:val="left" w:pos="315"/>
          <w:tab w:val="left" w:pos="8820"/>
        </w:tabs>
        <w:spacing w:line="600" w:lineRule="auto"/>
        <w:ind w:right="267"/>
        <w:jc w:val="center"/>
        <w:rPr>
          <w:rFonts w:ascii="宋体" w:hAnsi="宋体" w:cs="宋体"/>
          <w:b/>
          <w:bCs/>
          <w:sz w:val="28"/>
          <w:szCs w:val="28"/>
        </w:rPr>
      </w:pPr>
      <w:r>
        <w:rPr>
          <w:rFonts w:hint="eastAsia" w:ascii="宋体" w:hAnsi="宋体" w:cs="宋体"/>
          <w:b/>
          <w:bCs/>
          <w:sz w:val="28"/>
          <w:szCs w:val="28"/>
        </w:rPr>
        <w:t>2023年</w:t>
      </w:r>
      <w:r>
        <w:rPr>
          <w:rFonts w:hint="eastAsia" w:ascii="宋体" w:hAnsi="宋体" w:cs="宋体"/>
          <w:b/>
          <w:bCs/>
          <w:sz w:val="28"/>
          <w:szCs w:val="28"/>
          <w:lang w:val="en-US" w:eastAsia="zh-CN"/>
        </w:rPr>
        <w:t>8</w:t>
      </w:r>
      <w:r>
        <w:rPr>
          <w:rFonts w:hint="eastAsia" w:ascii="宋体" w:hAnsi="宋体" w:cs="宋体"/>
          <w:b/>
          <w:bCs/>
          <w:sz w:val="28"/>
          <w:szCs w:val="28"/>
        </w:rPr>
        <w:t>月</w:t>
      </w:r>
    </w:p>
    <w:p/>
    <w:p>
      <w:pPr>
        <w:rPr>
          <w:rFonts w:ascii="宋体"/>
          <w:sz w:val="28"/>
          <w:szCs w:val="28"/>
          <w:u w:val="single"/>
        </w:rPr>
      </w:pPr>
      <w:r>
        <w:rPr>
          <w:rFonts w:hint="eastAsia" w:ascii="宋体"/>
          <w:sz w:val="28"/>
          <w:szCs w:val="28"/>
          <w:u w:val="single"/>
        </w:rPr>
        <w:br w:type="page"/>
      </w:r>
    </w:p>
    <w:p>
      <w:pPr>
        <w:pStyle w:val="2"/>
        <w:ind w:firstLine="280"/>
        <w:rPr>
          <w:rFonts w:ascii="宋体"/>
          <w:sz w:val="28"/>
          <w:szCs w:val="28"/>
          <w:u w:val="single"/>
        </w:rPr>
      </w:pPr>
    </w:p>
    <w:p>
      <w:pPr>
        <w:pStyle w:val="2"/>
        <w:ind w:firstLine="210"/>
        <w:rPr>
          <w:color w:val="000000" w:themeColor="text1"/>
        </w:rPr>
      </w:pPr>
    </w:p>
    <w:p>
      <w:pPr>
        <w:pStyle w:val="2"/>
        <w:ind w:firstLine="210"/>
        <w:rPr>
          <w:color w:val="000000" w:themeColor="text1"/>
        </w:rPr>
      </w:pPr>
    </w:p>
    <w:p>
      <w:pPr>
        <w:pStyle w:val="2"/>
        <w:ind w:firstLine="210"/>
        <w:rPr>
          <w:color w:val="000000" w:themeColor="text1"/>
        </w:rPr>
      </w:pPr>
    </w:p>
    <w:p>
      <w:pPr>
        <w:pStyle w:val="2"/>
        <w:ind w:firstLine="360"/>
        <w:rPr>
          <w:rFonts w:ascii="宋体" w:hAnsi="宋体" w:cs="宋体"/>
          <w:color w:val="000000" w:themeColor="text1"/>
        </w:rPr>
      </w:pPr>
      <w:r>
        <w:rPr>
          <w:rFonts w:hint="eastAsia" w:ascii="宋体" w:hAnsi="宋体" w:cs="宋体"/>
          <w:color w:val="000000" w:themeColor="text1"/>
          <w:sz w:val="36"/>
        </w:rPr>
        <w:t xml:space="preserve"> </w:t>
      </w:r>
    </w:p>
    <w:sdt>
      <w:sdtPr>
        <w:rPr>
          <w:rFonts w:hint="eastAsia" w:ascii="宋体" w:hAnsi="宋体" w:eastAsia="宋体" w:cs="宋体"/>
          <w:color w:val="000000" w:themeColor="text1"/>
          <w:kern w:val="2"/>
          <w:sz w:val="21"/>
          <w:szCs w:val="24"/>
          <w:lang w:val="zh-CN"/>
        </w:rPr>
        <w:id w:val="-975455869"/>
        <w:docPartObj>
          <w:docPartGallery w:val="Table of Contents"/>
          <w:docPartUnique/>
        </w:docPartObj>
      </w:sdtPr>
      <w:sdtEndPr>
        <w:rPr>
          <w:rFonts w:hint="eastAsia" w:ascii="宋体" w:hAnsi="宋体" w:eastAsia="宋体" w:cs="宋体"/>
          <w:b/>
          <w:bCs/>
          <w:color w:val="000000" w:themeColor="text1"/>
          <w:kern w:val="2"/>
          <w:sz w:val="21"/>
          <w:szCs w:val="24"/>
          <w:lang w:val="zh-CN"/>
        </w:rPr>
      </w:sdtEndPr>
      <w:sdtContent>
        <w:p>
          <w:pPr>
            <w:pStyle w:val="150"/>
            <w:jc w:val="center"/>
            <w:rPr>
              <w:rFonts w:ascii="宋体" w:hAnsi="宋体" w:eastAsia="宋体" w:cs="宋体"/>
              <w:b/>
              <w:bCs/>
              <w:color w:val="000000" w:themeColor="text1"/>
            </w:rPr>
          </w:pPr>
          <w:r>
            <w:rPr>
              <w:rFonts w:hint="eastAsia" w:ascii="宋体" w:hAnsi="宋体" w:eastAsia="宋体" w:cs="宋体"/>
              <w:b/>
              <w:bCs/>
              <w:color w:val="000000" w:themeColor="text1"/>
              <w:lang w:val="zh-CN"/>
            </w:rPr>
            <w:t>目录</w:t>
          </w:r>
        </w:p>
        <w:p>
          <w:pPr>
            <w:pStyle w:val="33"/>
            <w:tabs>
              <w:tab w:val="right" w:leader="dot" w:pos="8290"/>
            </w:tabs>
            <w:rPr>
              <w:rFonts w:ascii="宋体" w:hAnsi="宋体" w:cs="宋体"/>
              <w:caps w:val="0"/>
              <w:color w:val="000000" w:themeColor="text1"/>
              <w:sz w:val="24"/>
              <w:szCs w:val="28"/>
            </w:rPr>
          </w:pP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TOC \o "1-3" \h \z \u </w:instrText>
          </w:r>
          <w:r>
            <w:rPr>
              <w:rFonts w:hint="eastAsia" w:ascii="宋体" w:hAnsi="宋体" w:cs="宋体"/>
              <w:color w:val="000000" w:themeColor="text1"/>
              <w:sz w:val="24"/>
              <w:szCs w:val="32"/>
            </w:rPr>
            <w:fldChar w:fldCharType="separate"/>
          </w:r>
          <w:r>
            <w:fldChar w:fldCharType="begin"/>
          </w:r>
          <w:r>
            <w:instrText xml:space="preserve"> HYPERLINK \l "_Toc98348544" </w:instrText>
          </w:r>
          <w:r>
            <w:fldChar w:fldCharType="separate"/>
          </w:r>
          <w:r>
            <w:rPr>
              <w:rStyle w:val="52"/>
              <w:rFonts w:hint="eastAsia" w:ascii="宋体" w:hAnsi="宋体" w:cs="宋体"/>
              <w:color w:val="000000" w:themeColor="text1"/>
              <w:sz w:val="24"/>
              <w:szCs w:val="32"/>
            </w:rPr>
            <w:t>第一章    竞争性磋商邀请函</w:t>
          </w:r>
          <w:r>
            <w:rPr>
              <w:rFonts w:hint="eastAsia" w:ascii="宋体" w:hAnsi="宋体" w:cs="宋体"/>
              <w:color w:val="000000" w:themeColor="text1"/>
              <w:sz w:val="24"/>
              <w:szCs w:val="32"/>
            </w:rPr>
            <w:tab/>
          </w: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PAGEREF _Toc98348544 \h </w:instrText>
          </w:r>
          <w:r>
            <w:rPr>
              <w:rFonts w:hint="eastAsia" w:ascii="宋体" w:hAnsi="宋体" w:cs="宋体"/>
              <w:color w:val="000000" w:themeColor="text1"/>
              <w:sz w:val="24"/>
              <w:szCs w:val="32"/>
            </w:rPr>
            <w:fldChar w:fldCharType="separate"/>
          </w:r>
          <w:r>
            <w:rPr>
              <w:rFonts w:hint="eastAsia" w:ascii="宋体" w:hAnsi="宋体" w:cs="宋体"/>
              <w:color w:val="000000" w:themeColor="text1"/>
              <w:sz w:val="24"/>
              <w:szCs w:val="32"/>
            </w:rPr>
            <w:t>3</w:t>
          </w:r>
          <w:r>
            <w:rPr>
              <w:rFonts w:hint="eastAsia" w:ascii="宋体" w:hAnsi="宋体" w:cs="宋体"/>
              <w:color w:val="000000" w:themeColor="text1"/>
              <w:sz w:val="24"/>
              <w:szCs w:val="32"/>
            </w:rPr>
            <w:fldChar w:fldCharType="end"/>
          </w:r>
          <w:r>
            <w:rPr>
              <w:rFonts w:hint="eastAsia" w:ascii="宋体" w:hAnsi="宋体" w:cs="宋体"/>
              <w:color w:val="000000" w:themeColor="text1"/>
              <w:sz w:val="24"/>
              <w:szCs w:val="32"/>
            </w:rPr>
            <w:fldChar w:fldCharType="end"/>
          </w:r>
        </w:p>
        <w:p>
          <w:pPr>
            <w:pStyle w:val="33"/>
            <w:tabs>
              <w:tab w:val="right" w:leader="dot" w:pos="8290"/>
            </w:tabs>
            <w:rPr>
              <w:rFonts w:ascii="宋体" w:hAnsi="宋体" w:cs="宋体"/>
              <w:caps w:val="0"/>
              <w:color w:val="000000" w:themeColor="text1"/>
              <w:sz w:val="24"/>
              <w:szCs w:val="28"/>
            </w:rPr>
          </w:pPr>
          <w:r>
            <w:fldChar w:fldCharType="begin"/>
          </w:r>
          <w:r>
            <w:instrText xml:space="preserve"> HYPERLINK \l "_Toc98348552" </w:instrText>
          </w:r>
          <w:r>
            <w:fldChar w:fldCharType="separate"/>
          </w:r>
          <w:r>
            <w:rPr>
              <w:rStyle w:val="52"/>
              <w:rFonts w:hint="eastAsia" w:ascii="宋体" w:hAnsi="宋体" w:cs="宋体"/>
              <w:color w:val="000000" w:themeColor="text1"/>
              <w:sz w:val="24"/>
              <w:szCs w:val="32"/>
            </w:rPr>
            <w:t>第二章    供应商须知</w:t>
          </w:r>
          <w:r>
            <w:rPr>
              <w:rFonts w:hint="eastAsia" w:ascii="宋体" w:hAnsi="宋体" w:cs="宋体"/>
              <w:color w:val="000000" w:themeColor="text1"/>
              <w:sz w:val="24"/>
              <w:szCs w:val="32"/>
            </w:rPr>
            <w:tab/>
          </w: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PAGEREF _Toc98348552 \h </w:instrText>
          </w:r>
          <w:r>
            <w:rPr>
              <w:rFonts w:hint="eastAsia" w:ascii="宋体" w:hAnsi="宋体" w:cs="宋体"/>
              <w:color w:val="000000" w:themeColor="text1"/>
              <w:sz w:val="24"/>
              <w:szCs w:val="32"/>
            </w:rPr>
            <w:fldChar w:fldCharType="separate"/>
          </w:r>
          <w:r>
            <w:rPr>
              <w:rFonts w:hint="eastAsia" w:ascii="宋体" w:hAnsi="宋体" w:cs="宋体"/>
              <w:color w:val="000000" w:themeColor="text1"/>
              <w:sz w:val="24"/>
              <w:szCs w:val="32"/>
            </w:rPr>
            <w:t>6</w:t>
          </w:r>
          <w:r>
            <w:rPr>
              <w:rFonts w:hint="eastAsia" w:ascii="宋体" w:hAnsi="宋体" w:cs="宋体"/>
              <w:color w:val="000000" w:themeColor="text1"/>
              <w:sz w:val="24"/>
              <w:szCs w:val="32"/>
            </w:rPr>
            <w:fldChar w:fldCharType="end"/>
          </w:r>
          <w:r>
            <w:rPr>
              <w:rFonts w:hint="eastAsia" w:ascii="宋体" w:hAnsi="宋体" w:cs="宋体"/>
              <w:color w:val="000000" w:themeColor="text1"/>
              <w:sz w:val="24"/>
              <w:szCs w:val="32"/>
            </w:rPr>
            <w:fldChar w:fldCharType="end"/>
          </w:r>
        </w:p>
        <w:p>
          <w:pPr>
            <w:pStyle w:val="33"/>
            <w:tabs>
              <w:tab w:val="right" w:leader="dot" w:pos="8290"/>
            </w:tabs>
            <w:rPr>
              <w:rFonts w:ascii="宋体" w:hAnsi="宋体" w:cs="宋体"/>
              <w:caps w:val="0"/>
              <w:color w:val="000000" w:themeColor="text1"/>
              <w:sz w:val="24"/>
              <w:szCs w:val="28"/>
            </w:rPr>
          </w:pPr>
          <w:r>
            <w:fldChar w:fldCharType="begin"/>
          </w:r>
          <w:r>
            <w:instrText xml:space="preserve"> HYPERLINK \l "_Toc98348553" </w:instrText>
          </w:r>
          <w:r>
            <w:fldChar w:fldCharType="separate"/>
          </w:r>
          <w:r>
            <w:rPr>
              <w:rStyle w:val="52"/>
              <w:rFonts w:hint="eastAsia" w:ascii="宋体" w:hAnsi="宋体" w:cs="宋体"/>
              <w:color w:val="000000" w:themeColor="text1"/>
              <w:sz w:val="24"/>
              <w:szCs w:val="32"/>
            </w:rPr>
            <w:t>第三章    采购项目内容及要求</w:t>
          </w:r>
          <w:r>
            <w:rPr>
              <w:rFonts w:hint="eastAsia" w:ascii="宋体" w:hAnsi="宋体" w:cs="宋体"/>
              <w:color w:val="000000" w:themeColor="text1"/>
              <w:sz w:val="24"/>
              <w:szCs w:val="32"/>
            </w:rPr>
            <w:tab/>
          </w: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PAGEREF _Toc98348553 \h </w:instrText>
          </w:r>
          <w:r>
            <w:rPr>
              <w:rFonts w:hint="eastAsia" w:ascii="宋体" w:hAnsi="宋体" w:cs="宋体"/>
              <w:color w:val="000000" w:themeColor="text1"/>
              <w:sz w:val="24"/>
              <w:szCs w:val="32"/>
            </w:rPr>
            <w:fldChar w:fldCharType="separate"/>
          </w:r>
          <w:r>
            <w:rPr>
              <w:rFonts w:hint="eastAsia" w:ascii="宋体" w:hAnsi="宋体" w:cs="宋体"/>
              <w:color w:val="000000" w:themeColor="text1"/>
              <w:sz w:val="24"/>
              <w:szCs w:val="32"/>
            </w:rPr>
            <w:t>24</w:t>
          </w:r>
          <w:r>
            <w:rPr>
              <w:rFonts w:hint="eastAsia" w:ascii="宋体" w:hAnsi="宋体" w:cs="宋体"/>
              <w:color w:val="000000" w:themeColor="text1"/>
              <w:sz w:val="24"/>
              <w:szCs w:val="32"/>
            </w:rPr>
            <w:fldChar w:fldCharType="end"/>
          </w:r>
          <w:r>
            <w:rPr>
              <w:rFonts w:hint="eastAsia" w:ascii="宋体" w:hAnsi="宋体" w:cs="宋体"/>
              <w:color w:val="000000" w:themeColor="text1"/>
              <w:sz w:val="24"/>
              <w:szCs w:val="32"/>
            </w:rPr>
            <w:fldChar w:fldCharType="end"/>
          </w:r>
        </w:p>
        <w:p>
          <w:pPr>
            <w:pStyle w:val="33"/>
            <w:tabs>
              <w:tab w:val="right" w:leader="dot" w:pos="8290"/>
            </w:tabs>
            <w:rPr>
              <w:rFonts w:ascii="宋体" w:hAnsi="宋体" w:cs="宋体"/>
              <w:caps w:val="0"/>
              <w:color w:val="000000" w:themeColor="text1"/>
              <w:sz w:val="24"/>
              <w:szCs w:val="28"/>
            </w:rPr>
          </w:pPr>
          <w:r>
            <w:fldChar w:fldCharType="begin"/>
          </w:r>
          <w:r>
            <w:instrText xml:space="preserve"> HYPERLINK \l "_Toc98348554" </w:instrText>
          </w:r>
          <w:r>
            <w:fldChar w:fldCharType="separate"/>
          </w:r>
          <w:r>
            <w:rPr>
              <w:rStyle w:val="52"/>
              <w:rFonts w:hint="eastAsia" w:ascii="宋体" w:hAnsi="宋体" w:cs="宋体"/>
              <w:color w:val="000000" w:themeColor="text1"/>
              <w:sz w:val="24"/>
              <w:szCs w:val="32"/>
            </w:rPr>
            <w:t>第四章    响应性文件内容及格式</w:t>
          </w:r>
          <w:r>
            <w:rPr>
              <w:rFonts w:hint="eastAsia" w:ascii="宋体" w:hAnsi="宋体" w:cs="宋体"/>
              <w:color w:val="000000" w:themeColor="text1"/>
              <w:sz w:val="24"/>
              <w:szCs w:val="32"/>
            </w:rPr>
            <w:tab/>
          </w: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PAGEREF _Toc98348554 \h </w:instrText>
          </w:r>
          <w:r>
            <w:rPr>
              <w:rFonts w:hint="eastAsia" w:ascii="宋体" w:hAnsi="宋体" w:cs="宋体"/>
              <w:color w:val="000000" w:themeColor="text1"/>
              <w:sz w:val="24"/>
              <w:szCs w:val="32"/>
            </w:rPr>
            <w:fldChar w:fldCharType="separate"/>
          </w:r>
          <w:r>
            <w:rPr>
              <w:rFonts w:hint="eastAsia" w:ascii="宋体" w:hAnsi="宋体" w:cs="宋体"/>
              <w:color w:val="000000" w:themeColor="text1"/>
              <w:sz w:val="24"/>
              <w:szCs w:val="32"/>
            </w:rPr>
            <w:t>26</w:t>
          </w:r>
          <w:r>
            <w:rPr>
              <w:rFonts w:hint="eastAsia" w:ascii="宋体" w:hAnsi="宋体" w:cs="宋体"/>
              <w:color w:val="000000" w:themeColor="text1"/>
              <w:sz w:val="24"/>
              <w:szCs w:val="32"/>
            </w:rPr>
            <w:fldChar w:fldCharType="end"/>
          </w:r>
          <w:r>
            <w:rPr>
              <w:rFonts w:hint="eastAsia" w:ascii="宋体" w:hAnsi="宋体" w:cs="宋体"/>
              <w:color w:val="000000" w:themeColor="text1"/>
              <w:sz w:val="24"/>
              <w:szCs w:val="32"/>
            </w:rPr>
            <w:fldChar w:fldCharType="end"/>
          </w:r>
        </w:p>
        <w:p>
          <w:pPr>
            <w:pStyle w:val="33"/>
            <w:tabs>
              <w:tab w:val="right" w:leader="dot" w:pos="8290"/>
            </w:tabs>
            <w:rPr>
              <w:rFonts w:ascii="宋体" w:hAnsi="宋体" w:cs="宋体"/>
              <w:caps w:val="0"/>
              <w:color w:val="000000" w:themeColor="text1"/>
              <w:sz w:val="24"/>
              <w:szCs w:val="28"/>
            </w:rPr>
          </w:pPr>
          <w:r>
            <w:fldChar w:fldCharType="begin"/>
          </w:r>
          <w:r>
            <w:instrText xml:space="preserve"> HYPERLINK \l "_Toc98348555" </w:instrText>
          </w:r>
          <w:r>
            <w:fldChar w:fldCharType="separate"/>
          </w:r>
          <w:r>
            <w:rPr>
              <w:rStyle w:val="52"/>
              <w:rFonts w:hint="eastAsia" w:ascii="宋体" w:hAnsi="宋体" w:cs="宋体"/>
              <w:color w:val="000000" w:themeColor="text1"/>
              <w:sz w:val="24"/>
              <w:szCs w:val="32"/>
            </w:rPr>
            <w:t>第五章    周口市政府采购合同（工程类）标准文本</w:t>
          </w:r>
          <w:r>
            <w:rPr>
              <w:rFonts w:hint="eastAsia" w:ascii="宋体" w:hAnsi="宋体" w:cs="宋体"/>
              <w:color w:val="000000" w:themeColor="text1"/>
              <w:sz w:val="24"/>
              <w:szCs w:val="32"/>
            </w:rPr>
            <w:tab/>
          </w:r>
          <w:r>
            <w:rPr>
              <w:rFonts w:hint="eastAsia" w:ascii="宋体" w:hAnsi="宋体" w:cs="宋体"/>
              <w:color w:val="000000" w:themeColor="text1"/>
              <w:sz w:val="24"/>
              <w:szCs w:val="32"/>
            </w:rPr>
            <w:fldChar w:fldCharType="begin"/>
          </w:r>
          <w:r>
            <w:rPr>
              <w:rFonts w:hint="eastAsia" w:ascii="宋体" w:hAnsi="宋体" w:cs="宋体"/>
              <w:color w:val="000000" w:themeColor="text1"/>
              <w:sz w:val="24"/>
              <w:szCs w:val="32"/>
            </w:rPr>
            <w:instrText xml:space="preserve"> PAGEREF _Toc98348555 \h </w:instrText>
          </w:r>
          <w:r>
            <w:rPr>
              <w:rFonts w:hint="eastAsia" w:ascii="宋体" w:hAnsi="宋体" w:cs="宋体"/>
              <w:color w:val="000000" w:themeColor="text1"/>
              <w:sz w:val="24"/>
              <w:szCs w:val="32"/>
            </w:rPr>
            <w:fldChar w:fldCharType="separate"/>
          </w:r>
          <w:r>
            <w:rPr>
              <w:rFonts w:hint="eastAsia" w:ascii="宋体" w:hAnsi="宋体" w:cs="宋体"/>
              <w:color w:val="000000" w:themeColor="text1"/>
              <w:sz w:val="24"/>
              <w:szCs w:val="32"/>
            </w:rPr>
            <w:t>43</w:t>
          </w:r>
          <w:r>
            <w:rPr>
              <w:rFonts w:hint="eastAsia" w:ascii="宋体" w:hAnsi="宋体" w:cs="宋体"/>
              <w:color w:val="000000" w:themeColor="text1"/>
              <w:sz w:val="24"/>
              <w:szCs w:val="32"/>
            </w:rPr>
            <w:fldChar w:fldCharType="end"/>
          </w:r>
          <w:r>
            <w:rPr>
              <w:rFonts w:hint="eastAsia" w:ascii="宋体" w:hAnsi="宋体" w:cs="宋体"/>
              <w:color w:val="000000" w:themeColor="text1"/>
              <w:sz w:val="24"/>
              <w:szCs w:val="32"/>
            </w:rPr>
            <w:fldChar w:fldCharType="end"/>
          </w:r>
        </w:p>
        <w:p>
          <w:pPr>
            <w:rPr>
              <w:rFonts w:ascii="宋体" w:hAnsi="宋体" w:cs="宋体"/>
              <w:color w:val="000000" w:themeColor="text1"/>
            </w:rPr>
          </w:pPr>
          <w:r>
            <w:rPr>
              <w:rFonts w:hint="eastAsia" w:ascii="宋体" w:hAnsi="宋体" w:cs="宋体"/>
              <w:b/>
              <w:bCs/>
              <w:color w:val="000000" w:themeColor="text1"/>
              <w:sz w:val="24"/>
              <w:szCs w:val="32"/>
              <w:lang w:val="zh-CN"/>
            </w:rPr>
            <w:fldChar w:fldCharType="end"/>
          </w:r>
        </w:p>
      </w:sdtContent>
    </w:sdt>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4"/>
        <w:jc w:val="center"/>
        <w:rPr>
          <w:rFonts w:ascii="宋体" w:hAnsi="宋体" w:cs="宋体"/>
          <w:b w:val="0"/>
          <w:color w:val="000000" w:themeColor="text1"/>
          <w:sz w:val="32"/>
          <w:szCs w:val="32"/>
        </w:rPr>
      </w:pPr>
      <w:bookmarkStart w:id="0" w:name="_Toc98348544"/>
      <w:r>
        <w:rPr>
          <w:rFonts w:hint="eastAsia" w:ascii="宋体" w:hAnsi="宋体" w:cs="宋体"/>
          <w:color w:val="000000" w:themeColor="text1"/>
          <w:sz w:val="32"/>
          <w:szCs w:val="32"/>
        </w:rPr>
        <w:t>第一章    竞争性磋商邀请函</w:t>
      </w:r>
      <w:bookmarkEnd w:id="0"/>
    </w:p>
    <w:p>
      <w:pPr>
        <w:spacing w:line="360" w:lineRule="auto"/>
        <w:ind w:firstLine="480" w:firstLineChars="200"/>
        <w:jc w:val="left"/>
        <w:rPr>
          <w:rFonts w:ascii="宋体" w:hAnsi="宋体" w:cs="宋体"/>
          <w:color w:val="000000" w:themeColor="text1"/>
          <w:sz w:val="24"/>
        </w:rPr>
      </w:pPr>
      <w:bookmarkStart w:id="1" w:name="_Toc28359089"/>
      <w:bookmarkStart w:id="2" w:name="_Toc28359012"/>
      <w:bookmarkStart w:id="3" w:name="_Toc35393798"/>
      <w:bookmarkStart w:id="4" w:name="_Toc35393629"/>
      <w:bookmarkStart w:id="5" w:name="OLE_LINK3"/>
      <w:r>
        <w:rPr>
          <w:rFonts w:hint="eastAsia" w:ascii="宋体" w:hAnsi="宋体" w:cs="宋体"/>
          <w:color w:val="000000" w:themeColor="text1"/>
          <w:sz w:val="24"/>
        </w:rPr>
        <w:t>项目概况</w:t>
      </w:r>
    </w:p>
    <w:p>
      <w:pPr>
        <w:autoSpaceDE w:val="0"/>
        <w:autoSpaceDN w:val="0"/>
        <w:spacing w:line="360" w:lineRule="auto"/>
        <w:ind w:firstLine="482" w:firstLineChars="200"/>
        <w:rPr>
          <w:rFonts w:ascii="宋体" w:hAnsi="宋体" w:cs="宋体"/>
          <w:color w:val="000000" w:themeColor="text1"/>
          <w:sz w:val="24"/>
        </w:rPr>
      </w:pPr>
      <w:r>
        <w:rPr>
          <w:rFonts w:hint="eastAsia" w:ascii="宋体" w:hAnsi="宋体" w:cs="宋体"/>
          <w:b/>
          <w:bCs/>
          <w:color w:val="000000" w:themeColor="text1"/>
          <w:sz w:val="24"/>
          <w:lang w:eastAsia="zh-CN"/>
        </w:rPr>
        <w:t>商水县自然资源局汾河省级湿地公园湿地保护修复项目</w:t>
      </w:r>
      <w:r>
        <w:rPr>
          <w:rFonts w:hint="eastAsia" w:ascii="宋体" w:hAnsi="宋体" w:cs="宋体"/>
          <w:color w:val="000000" w:themeColor="text1"/>
          <w:sz w:val="24"/>
        </w:rPr>
        <w:t>的潜在投标人应在周口市公共资源交易中心网（</w:t>
      </w:r>
      <w:r>
        <w:fldChar w:fldCharType="begin"/>
      </w:r>
      <w:r>
        <w:instrText xml:space="preserve"> HYPERLINK "http://jyzx.zhoukou.gov.cn）获取招标文件，并于2022年" </w:instrText>
      </w:r>
      <w:r>
        <w:fldChar w:fldCharType="separate"/>
      </w:r>
      <w:r>
        <w:rPr>
          <w:rStyle w:val="52"/>
          <w:rFonts w:hint="eastAsia" w:ascii="宋体" w:hAnsi="宋体" w:cs="宋体"/>
          <w:color w:val="000000" w:themeColor="text1"/>
          <w:sz w:val="24"/>
        </w:rPr>
        <w:t>http://jyzx.zhoukou.gov.cn）获取竞争性磋商文件，并于2023年</w:t>
      </w:r>
      <w:r>
        <w:rPr>
          <w:rStyle w:val="52"/>
          <w:rFonts w:hint="eastAsia" w:ascii="宋体" w:hAnsi="宋体" w:cs="宋体"/>
          <w:color w:val="000000" w:themeColor="text1"/>
          <w:sz w:val="24"/>
        </w:rPr>
        <w:fldChar w:fldCharType="end"/>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12</w:t>
      </w:r>
      <w:r>
        <w:rPr>
          <w:rFonts w:hint="eastAsia" w:ascii="宋体" w:hAnsi="宋体" w:cs="宋体"/>
          <w:color w:val="000000" w:themeColor="text1"/>
          <w:sz w:val="24"/>
          <w:u w:val="single"/>
        </w:rPr>
        <w:t>日10点00分</w:t>
      </w:r>
      <w:r>
        <w:rPr>
          <w:rFonts w:hint="eastAsia" w:ascii="宋体" w:hAnsi="宋体" w:cs="宋体"/>
          <w:bCs/>
          <w:color w:val="000000" w:themeColor="text1"/>
          <w:sz w:val="24"/>
        </w:rPr>
        <w:t>（北京时间）</w:t>
      </w:r>
      <w:r>
        <w:rPr>
          <w:rFonts w:hint="eastAsia" w:ascii="宋体" w:hAnsi="宋体" w:cs="宋体"/>
          <w:color w:val="000000" w:themeColor="text1"/>
          <w:sz w:val="24"/>
        </w:rPr>
        <w:t>前递交响应文件。</w:t>
      </w:r>
    </w:p>
    <w:p>
      <w:pPr>
        <w:pStyle w:val="5"/>
        <w:autoSpaceDE w:val="0"/>
        <w:autoSpaceDN w:val="0"/>
        <w:spacing w:line="360" w:lineRule="auto"/>
        <w:jc w:val="left"/>
        <w:rPr>
          <w:rFonts w:ascii="宋体" w:hAnsi="宋体" w:cs="宋体"/>
          <w:color w:val="000000" w:themeColor="text1"/>
          <w:sz w:val="24"/>
        </w:rPr>
      </w:pPr>
      <w:bookmarkStart w:id="6" w:name="_Toc98348545"/>
      <w:r>
        <w:rPr>
          <w:rFonts w:hint="eastAsia" w:ascii="宋体" w:hAnsi="宋体" w:cs="宋体"/>
          <w:color w:val="000000" w:themeColor="text1"/>
          <w:sz w:val="24"/>
        </w:rPr>
        <w:t>一、项目基本情况</w:t>
      </w:r>
      <w:bookmarkEnd w:id="1"/>
      <w:bookmarkEnd w:id="2"/>
      <w:bookmarkEnd w:id="3"/>
      <w:bookmarkEnd w:id="4"/>
      <w:bookmarkEnd w:id="6"/>
    </w:p>
    <w:p>
      <w:pPr>
        <w:autoSpaceDE w:val="0"/>
        <w:autoSpaceDN w:val="0"/>
        <w:spacing w:line="360" w:lineRule="auto"/>
        <w:ind w:firstLine="240" w:firstLineChars="100"/>
        <w:rPr>
          <w:rFonts w:ascii="宋体" w:hAnsi="宋体" w:cs="宋体"/>
          <w:color w:val="000000" w:themeColor="text1"/>
          <w:sz w:val="24"/>
          <w:highlight w:val="yellow"/>
        </w:rPr>
      </w:pPr>
      <w:r>
        <w:rPr>
          <w:rFonts w:hint="eastAsia" w:ascii="宋体" w:hAnsi="宋体" w:cs="宋体"/>
          <w:color w:val="000000" w:themeColor="text1"/>
          <w:sz w:val="24"/>
        </w:rPr>
        <w:t>项目编号：2023-08-38</w:t>
      </w:r>
      <w:bookmarkStart w:id="58" w:name="_GoBack"/>
      <w:bookmarkEnd w:id="58"/>
    </w:p>
    <w:p>
      <w:pPr>
        <w:autoSpaceDE w:val="0"/>
        <w:autoSpaceDN w:val="0"/>
        <w:spacing w:line="360" w:lineRule="auto"/>
        <w:ind w:firstLine="240" w:firstLineChars="100"/>
        <w:rPr>
          <w:rFonts w:hint="eastAsia" w:ascii="宋体" w:hAnsi="宋体" w:eastAsia="宋体" w:cs="宋体"/>
          <w:color w:val="000000" w:themeColor="text1"/>
          <w:sz w:val="24"/>
          <w:u w:val="single"/>
          <w:lang w:eastAsia="zh-CN"/>
        </w:rPr>
      </w:pPr>
      <w:r>
        <w:rPr>
          <w:rFonts w:hint="eastAsia" w:ascii="宋体" w:hAnsi="宋体" w:cs="宋体"/>
          <w:color w:val="000000" w:themeColor="text1"/>
          <w:sz w:val="24"/>
        </w:rPr>
        <w:t>项目名称：</w:t>
      </w:r>
      <w:r>
        <w:rPr>
          <w:rFonts w:hint="eastAsia" w:ascii="宋体" w:hAnsi="宋体" w:cs="宋体"/>
          <w:color w:val="000000" w:themeColor="text1"/>
          <w:sz w:val="24"/>
          <w:lang w:eastAsia="zh-CN"/>
        </w:rPr>
        <w:t>商水县自然资源局汾河省级湿地公园湿地保护修复项目</w:t>
      </w:r>
    </w:p>
    <w:p>
      <w:pPr>
        <w:autoSpaceDE w:val="0"/>
        <w:autoSpaceDN w:val="0"/>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采购方式：竞争性磋商</w:t>
      </w:r>
    </w:p>
    <w:p>
      <w:pPr>
        <w:autoSpaceDE w:val="0"/>
        <w:autoSpaceDN w:val="0"/>
        <w:spacing w:line="360" w:lineRule="auto"/>
        <w:ind w:firstLine="240" w:firstLineChars="100"/>
        <w:rPr>
          <w:rFonts w:hint="eastAsia" w:ascii="宋体" w:hAnsi="宋体" w:eastAsia="宋体" w:cs="宋体"/>
          <w:color w:val="000000" w:themeColor="text1"/>
          <w:sz w:val="24"/>
          <w:lang w:val="en-US" w:eastAsia="zh-CN"/>
        </w:rPr>
      </w:pPr>
      <w:r>
        <w:rPr>
          <w:rFonts w:hint="eastAsia" w:ascii="宋体" w:hAnsi="宋体" w:cs="宋体"/>
          <w:color w:val="000000" w:themeColor="text1"/>
          <w:sz w:val="24"/>
        </w:rPr>
        <w:t>预算金额：1084717.20</w:t>
      </w:r>
      <w:r>
        <w:rPr>
          <w:rFonts w:hint="eastAsia" w:ascii="宋体" w:hAnsi="宋体" w:cs="宋体"/>
          <w:color w:val="000000" w:themeColor="text1"/>
          <w:sz w:val="24"/>
          <w:lang w:val="en-US" w:eastAsia="zh-CN"/>
        </w:rPr>
        <w:t>元</w:t>
      </w:r>
    </w:p>
    <w:p>
      <w:pPr>
        <w:autoSpaceDE w:val="0"/>
        <w:autoSpaceDN w:val="0"/>
        <w:spacing w:line="360" w:lineRule="auto"/>
        <w:ind w:firstLine="240" w:firstLineChars="100"/>
        <w:rPr>
          <w:rFonts w:hint="eastAsia" w:ascii="宋体" w:hAnsi="宋体" w:eastAsia="宋体" w:cs="宋体"/>
          <w:color w:val="000000" w:themeColor="text1"/>
          <w:sz w:val="24"/>
          <w:lang w:val="en-US" w:eastAsia="zh-CN"/>
        </w:rPr>
      </w:pPr>
      <w:r>
        <w:rPr>
          <w:rFonts w:hint="eastAsia" w:ascii="宋体" w:hAnsi="宋体" w:cs="宋体"/>
          <w:color w:val="000000" w:themeColor="text1"/>
          <w:sz w:val="24"/>
        </w:rPr>
        <w:t>最高限价：1084717.20</w:t>
      </w:r>
      <w:r>
        <w:rPr>
          <w:rFonts w:hint="eastAsia" w:ascii="宋体" w:hAnsi="宋体" w:cs="宋体"/>
          <w:color w:val="000000" w:themeColor="text1"/>
          <w:sz w:val="24"/>
          <w:lang w:val="en-US" w:eastAsia="zh-CN"/>
        </w:rPr>
        <w:t>元</w:t>
      </w:r>
    </w:p>
    <w:p>
      <w:pPr>
        <w:pStyle w:val="42"/>
        <w:snapToGrid w:val="0"/>
        <w:spacing w:before="0" w:beforeAutospacing="0" w:after="0" w:afterAutospacing="0" w:line="360" w:lineRule="auto"/>
        <w:ind w:firstLine="240" w:firstLineChars="100"/>
        <w:jc w:val="both"/>
        <w:rPr>
          <w:rFonts w:cs="宋体"/>
          <w:color w:val="000000" w:themeColor="text1"/>
          <w:kern w:val="2"/>
          <w:szCs w:val="24"/>
        </w:rPr>
      </w:pPr>
      <w:r>
        <w:rPr>
          <w:rFonts w:hint="eastAsia" w:cs="宋体"/>
          <w:color w:val="000000" w:themeColor="text1"/>
        </w:rPr>
        <w:t>包划分：</w:t>
      </w:r>
      <w:r>
        <w:rPr>
          <w:rFonts w:hint="eastAsia" w:cs="宋体"/>
          <w:color w:val="000000" w:themeColor="text1"/>
          <w:kern w:val="2"/>
          <w:szCs w:val="24"/>
          <w:lang w:val="en-US" w:eastAsia="zh-CN"/>
        </w:rPr>
        <w:t>2</w:t>
      </w:r>
      <w:r>
        <w:rPr>
          <w:rFonts w:hint="eastAsia" w:cs="宋体"/>
          <w:color w:val="000000" w:themeColor="text1"/>
          <w:kern w:val="2"/>
          <w:szCs w:val="24"/>
        </w:rPr>
        <w:t>个包</w:t>
      </w:r>
    </w:p>
    <w:tbl>
      <w:tblPr>
        <w:tblStyle w:val="46"/>
        <w:tblpPr w:leftFromText="180" w:rightFromText="180" w:vertAnchor="text" w:horzAnchor="margin" w:tblpX="1" w:tblpY="1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638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41" w:type="pct"/>
            <w:noWrap w:val="0"/>
            <w:vAlign w:val="center"/>
          </w:tcPr>
          <w:p>
            <w:pPr>
              <w:bidi w:val="0"/>
              <w:rPr>
                <w:rFonts w:hint="eastAsia"/>
              </w:rPr>
            </w:pPr>
            <w:r>
              <w:rPr>
                <w:rFonts w:hint="eastAsia"/>
              </w:rPr>
              <w:t>包号</w:t>
            </w:r>
          </w:p>
        </w:tc>
        <w:tc>
          <w:tcPr>
            <w:tcW w:w="3481" w:type="pct"/>
            <w:noWrap w:val="0"/>
            <w:vAlign w:val="center"/>
          </w:tcPr>
          <w:p>
            <w:pPr>
              <w:bidi w:val="0"/>
              <w:rPr>
                <w:rFonts w:hint="eastAsia"/>
              </w:rPr>
            </w:pPr>
            <w:r>
              <w:rPr>
                <w:rFonts w:hint="eastAsia"/>
              </w:rPr>
              <w:t>包名称</w:t>
            </w:r>
          </w:p>
        </w:tc>
        <w:tc>
          <w:tcPr>
            <w:tcW w:w="1077" w:type="pct"/>
            <w:noWrap w:val="0"/>
            <w:vAlign w:val="center"/>
          </w:tcPr>
          <w:p>
            <w:pPr>
              <w:bidi w:val="0"/>
              <w:rPr>
                <w:rFonts w:hint="eastAsia"/>
              </w:rP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1" w:type="pct"/>
            <w:noWrap w:val="0"/>
            <w:vAlign w:val="center"/>
          </w:tcPr>
          <w:p>
            <w:pPr>
              <w:bidi w:val="0"/>
              <w:rPr>
                <w:rFonts w:hint="eastAsia"/>
              </w:rPr>
            </w:pPr>
            <w:r>
              <w:rPr>
                <w:rFonts w:hint="eastAsia"/>
                <w:lang w:val="en-US" w:eastAsia="zh-CN"/>
              </w:rPr>
              <w:t>1</w:t>
            </w:r>
          </w:p>
        </w:tc>
        <w:tc>
          <w:tcPr>
            <w:tcW w:w="3481" w:type="pct"/>
            <w:noWrap w:val="0"/>
            <w:vAlign w:val="center"/>
          </w:tcPr>
          <w:p>
            <w:pPr>
              <w:bidi w:val="0"/>
              <w:rPr>
                <w:rFonts w:hint="default"/>
                <w:lang w:val="en-US" w:eastAsia="zh-CN"/>
              </w:rPr>
            </w:pPr>
            <w:r>
              <w:rPr>
                <w:rFonts w:hint="eastAsia"/>
                <w:lang w:val="en-US" w:eastAsia="zh-CN"/>
              </w:rPr>
              <w:t>商水县自然资源局汾河省级湿地公园湿地保护修复项目1标段</w:t>
            </w:r>
          </w:p>
        </w:tc>
        <w:tc>
          <w:tcPr>
            <w:tcW w:w="1077" w:type="pct"/>
            <w:noWrap w:val="0"/>
            <w:vAlign w:val="center"/>
          </w:tcPr>
          <w:p>
            <w:pPr>
              <w:bidi w:val="0"/>
              <w:rPr>
                <w:rFonts w:hint="eastAsia"/>
                <w:lang w:eastAsia="zh-CN"/>
              </w:rPr>
            </w:pPr>
            <w:r>
              <w:rPr>
                <w:rFonts w:hint="eastAsia"/>
                <w:lang w:val="en-US" w:eastAsia="zh-CN"/>
              </w:rPr>
              <w:t>863717.2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1" w:type="pct"/>
            <w:noWrap w:val="0"/>
            <w:vAlign w:val="center"/>
          </w:tcPr>
          <w:p>
            <w:pPr>
              <w:bidi w:val="0"/>
              <w:rPr>
                <w:rFonts w:hint="default"/>
                <w:lang w:val="en-US" w:eastAsia="zh-CN"/>
              </w:rPr>
            </w:pPr>
            <w:r>
              <w:rPr>
                <w:rFonts w:hint="eastAsia"/>
                <w:lang w:val="en-US" w:eastAsia="zh-CN"/>
              </w:rPr>
              <w:t>2</w:t>
            </w:r>
          </w:p>
        </w:tc>
        <w:tc>
          <w:tcPr>
            <w:tcW w:w="3481" w:type="pct"/>
            <w:noWrap w:val="0"/>
            <w:vAlign w:val="center"/>
          </w:tcPr>
          <w:p>
            <w:pPr>
              <w:bidi w:val="0"/>
              <w:rPr>
                <w:rFonts w:hint="default"/>
                <w:lang w:val="en-US" w:eastAsia="zh-CN"/>
              </w:rPr>
            </w:pPr>
            <w:r>
              <w:rPr>
                <w:rFonts w:hint="eastAsia"/>
                <w:lang w:val="en-US" w:eastAsia="zh-CN"/>
              </w:rPr>
              <w:t>商水县自然资源局汾河省级湿地公园湿地保护修复项目2标段</w:t>
            </w:r>
          </w:p>
        </w:tc>
        <w:tc>
          <w:tcPr>
            <w:tcW w:w="1077" w:type="pct"/>
            <w:noWrap w:val="0"/>
            <w:vAlign w:val="center"/>
          </w:tcPr>
          <w:p>
            <w:pPr>
              <w:bidi w:val="0"/>
              <w:rPr>
                <w:rFonts w:hint="default"/>
                <w:lang w:val="en-US" w:eastAsia="zh-CN"/>
              </w:rPr>
            </w:pPr>
            <w:r>
              <w:rPr>
                <w:rFonts w:hint="eastAsia"/>
                <w:lang w:val="en-US" w:eastAsia="zh-CN"/>
              </w:rPr>
              <w:t>221000</w:t>
            </w:r>
          </w:p>
        </w:tc>
      </w:tr>
    </w:tbl>
    <w:p>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采购需求：详见竞争性磋商文件及工程量清单</w:t>
      </w:r>
    </w:p>
    <w:p>
      <w:pPr>
        <w:pStyle w:val="2"/>
        <w:spacing w:line="276" w:lineRule="auto"/>
        <w:ind w:firstLine="480" w:firstLineChars="200"/>
        <w:rPr>
          <w:rFonts w:ascii="宋体" w:hAnsi="宋体" w:cs="宋体"/>
          <w:color w:val="000000" w:themeColor="text1"/>
          <w:sz w:val="24"/>
        </w:rPr>
      </w:pPr>
      <w:r>
        <w:rPr>
          <w:rFonts w:hint="eastAsia" w:ascii="宋体" w:hAnsi="宋体" w:cs="宋体"/>
          <w:color w:val="000000" w:themeColor="text1"/>
          <w:sz w:val="24"/>
        </w:rPr>
        <w:t>工期：180日历天</w:t>
      </w:r>
    </w:p>
    <w:p>
      <w:pPr>
        <w:autoSpaceDE w:val="0"/>
        <w:autoSpaceDN w:val="0"/>
        <w:spacing w:line="276" w:lineRule="auto"/>
        <w:ind w:firstLine="480" w:firstLineChars="200"/>
        <w:rPr>
          <w:rFonts w:ascii="宋体" w:hAnsi="宋体" w:cs="宋体"/>
          <w:color w:val="000000" w:themeColor="text1"/>
          <w:sz w:val="24"/>
        </w:rPr>
      </w:pPr>
      <w:r>
        <w:rPr>
          <w:rFonts w:hint="eastAsia" w:ascii="宋体" w:hAnsi="宋体" w:cs="宋体"/>
          <w:color w:val="000000" w:themeColor="text1"/>
          <w:sz w:val="24"/>
        </w:rPr>
        <w:t>合同履行期限：180日历天</w:t>
      </w:r>
    </w:p>
    <w:p>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是否接受进口产品：否</w:t>
      </w:r>
    </w:p>
    <w:p>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本项目是否接受联合体投标:否</w:t>
      </w:r>
    </w:p>
    <w:p>
      <w:pPr>
        <w:spacing w:line="360" w:lineRule="auto"/>
        <w:ind w:firstLine="480" w:firstLineChars="200"/>
        <w:rPr>
          <w:rFonts w:hint="eastAsia" w:ascii="宋体" w:hAnsi="宋体" w:cs="宋体" w:eastAsiaTheme="minorEastAsia"/>
          <w:color w:val="000000" w:themeColor="text1"/>
          <w:sz w:val="24"/>
          <w:lang w:eastAsia="zh-CN"/>
        </w:rPr>
      </w:pPr>
      <w:bookmarkStart w:id="7" w:name="_Toc35393799"/>
      <w:bookmarkStart w:id="8" w:name="_Toc28359090"/>
      <w:bookmarkStart w:id="9" w:name="_Toc28359013"/>
      <w:bookmarkStart w:id="10" w:name="_Toc35393630"/>
      <w:bookmarkStart w:id="11" w:name="_Toc98348546"/>
      <w:r>
        <w:rPr>
          <w:rFonts w:hint="eastAsia" w:asciiTheme="minorEastAsia" w:hAnsiTheme="minorEastAsia" w:eastAsiaTheme="minorEastAsia" w:cstheme="minorEastAsia"/>
          <w:color w:val="000000" w:themeColor="text1"/>
          <w:sz w:val="24"/>
        </w:rPr>
        <w:t>本项目是否为只面向中小企业采购：</w:t>
      </w:r>
      <w:r>
        <w:rPr>
          <w:rFonts w:hint="eastAsia" w:asciiTheme="minorEastAsia" w:hAnsiTheme="minorEastAsia" w:eastAsiaTheme="minorEastAsia" w:cstheme="minorEastAsia"/>
          <w:color w:val="000000" w:themeColor="text1"/>
          <w:sz w:val="24"/>
          <w:lang w:val="en-US" w:eastAsia="zh-CN"/>
        </w:rPr>
        <w:t>否</w:t>
      </w:r>
    </w:p>
    <w:p>
      <w:pPr>
        <w:pStyle w:val="5"/>
        <w:autoSpaceDE w:val="0"/>
        <w:autoSpaceDN w:val="0"/>
        <w:spacing w:line="360" w:lineRule="auto"/>
        <w:jc w:val="left"/>
        <w:rPr>
          <w:rFonts w:ascii="宋体" w:hAnsi="宋体" w:cs="宋体"/>
          <w:color w:val="000000" w:themeColor="text1"/>
          <w:sz w:val="24"/>
        </w:rPr>
      </w:pPr>
      <w:r>
        <w:rPr>
          <w:rFonts w:hint="eastAsia" w:ascii="宋体" w:hAnsi="宋体" w:cs="宋体"/>
          <w:color w:val="000000" w:themeColor="text1"/>
          <w:sz w:val="24"/>
        </w:rPr>
        <w:t>二、申请人的资格要求：</w:t>
      </w:r>
      <w:bookmarkEnd w:id="7"/>
      <w:bookmarkEnd w:id="8"/>
      <w:bookmarkEnd w:id="9"/>
      <w:bookmarkEnd w:id="10"/>
      <w:bookmarkEnd w:id="11"/>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1.满足《中华人民共和国政府采购法》第二十二条规定；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（1）具有独立承担民事责任的能力； </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（3）具有履行合同所必需的设备和专业技术能力； </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（4）有依法缴纳税收和社会保障资金的良好记录； </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（5）参加政府采购活动前三年内，在经营活动中没有重大违法记录； </w:t>
      </w:r>
    </w:p>
    <w:p>
      <w:pPr>
        <w:adjustRightInd w:val="0"/>
        <w:snapToGrid w:val="0"/>
        <w:spacing w:line="360" w:lineRule="auto"/>
        <w:ind w:firstLine="480" w:firstLineChars="200"/>
        <w:rPr>
          <w:rFonts w:ascii="宋体" w:hAnsi="宋体" w:cs="宋体"/>
          <w:color w:val="000000" w:themeColor="text1"/>
        </w:rPr>
      </w:pPr>
      <w:r>
        <w:rPr>
          <w:rFonts w:hint="eastAsia" w:ascii="宋体" w:hAnsi="宋体" w:cs="宋体"/>
          <w:color w:val="000000" w:themeColor="text1"/>
          <w:sz w:val="24"/>
        </w:rPr>
        <w:t xml:space="preserve">（6）法律、行政法规规定的其他条件。 </w:t>
      </w:r>
    </w:p>
    <w:p>
      <w:pPr>
        <w:autoSpaceDE w:val="0"/>
        <w:autoSpaceDN w:val="0"/>
        <w:spacing w:line="360" w:lineRule="auto"/>
        <w:ind w:firstLine="540"/>
        <w:rPr>
          <w:rFonts w:ascii="宋体" w:hAnsi="宋体" w:cs="宋体"/>
          <w:color w:val="000000" w:themeColor="text1"/>
          <w:sz w:val="24"/>
        </w:rPr>
      </w:pPr>
      <w:bookmarkStart w:id="12" w:name="_Toc28359014"/>
      <w:bookmarkStart w:id="13" w:name="_Toc28359091"/>
      <w:r>
        <w:rPr>
          <w:rFonts w:hint="eastAsia" w:ascii="宋体" w:hAnsi="宋体" w:cs="宋体"/>
          <w:color w:val="000000" w:themeColor="text1"/>
          <w:sz w:val="24"/>
        </w:rPr>
        <w:t xml:space="preserve">2.落实政府采购政策需满足的资格要求：促进中小企业和监狱企业发展扶持政策、政府强制采购节能产品强制采购、节能产品及环境标志产品优先采购、促进残疾人就业政府采购政策。 </w:t>
      </w:r>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3.本项目的特定资格要求：</w:t>
      </w:r>
      <w:bookmarkStart w:id="14" w:name="_Toc35393631"/>
      <w:bookmarkStart w:id="15" w:name="_Toc35393800"/>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1）依据财库[2016]125号文件规定，对列入失信被执行人、重大税收违法失信主体、税收违法黑名单、政府采购严重违法失信行为记录名单及其他不符合《中华人民共和国政府采购法》第二十二条规定条件的供应商，拒绝其参与本次政府采购活动。投标人需通过“信用中国”网站(www.creditchina.gov.cn)、</w:t>
      </w:r>
      <w:r>
        <w:rPr>
          <w:rFonts w:hint="eastAsia" w:asciiTheme="minorEastAsia" w:hAnsiTheme="minorEastAsia" w:eastAsiaTheme="minorEastAsia" w:cstheme="minorEastAsia"/>
          <w:color w:val="000000" w:themeColor="text1"/>
          <w:sz w:val="24"/>
        </w:rPr>
        <w:t>“中国执行信息公开网”</w:t>
      </w:r>
      <w:r>
        <w:rPr>
          <w:rFonts w:hint="eastAsia" w:ascii="宋体" w:hAnsi="宋体" w:cs="宋体"/>
          <w:color w:val="000000" w:themeColor="text1"/>
          <w:sz w:val="24"/>
        </w:rPr>
        <w:t>对“列入失信被执行人、重大税收违法失信主体响应文件中提供网站查询截屏，查询时间公告后有效、税收违法黑名单、政府采购严重违法失信行为记录名单”企业和法定代表人的查询，通过中国政府采购网(www.ccgp.gov.cn)对“政府采购严重违法失信行为信息记录”企业信用记录查询（响应文件中提供网站查询截屏，查询时间公告后有效）。</w:t>
      </w:r>
    </w:p>
    <w:p>
      <w:pPr>
        <w:autoSpaceDE w:val="0"/>
        <w:autoSpaceDN w:val="0"/>
        <w:spacing w:line="360" w:lineRule="auto"/>
        <w:ind w:firstLine="540"/>
        <w:rPr>
          <w:rFonts w:ascii="宋体" w:hAnsi="宋体" w:cs="宋体"/>
          <w:color w:val="000000" w:themeColor="text1"/>
          <w:sz w:val="24"/>
          <w:u w:val="none"/>
        </w:rPr>
      </w:pPr>
      <w:r>
        <w:rPr>
          <w:rFonts w:hint="eastAsia" w:ascii="宋体" w:hAnsi="宋体" w:cs="宋体"/>
          <w:color w:val="000000" w:themeColor="text1"/>
          <w:sz w:val="24"/>
          <w:u w:val="none"/>
        </w:rPr>
        <w:t>（2）</w:t>
      </w:r>
      <w:r>
        <w:rPr>
          <w:rFonts w:hint="eastAsia" w:ascii="宋体" w:hAnsi="宋体" w:cs="宋体"/>
          <w:color w:val="000000" w:themeColor="text1"/>
          <w:sz w:val="24"/>
          <w:u w:val="none"/>
          <w:lang w:val="en-US" w:eastAsia="zh-CN"/>
        </w:rPr>
        <w:t>1标段</w:t>
      </w:r>
      <w:r>
        <w:rPr>
          <w:rFonts w:hint="eastAsia" w:ascii="宋体" w:hAnsi="宋体" w:cs="宋体"/>
          <w:color w:val="000000" w:themeColor="text1"/>
          <w:sz w:val="24"/>
          <w:u w:val="none"/>
        </w:rPr>
        <w:t>供应商须具备市政公用工程施工总承包叁级及以上资质，并在人员、设备、资金等方面具有相应的施工能力，须具有有效的安全生产许可证；拟派项目经理须具备市政公用工程专业贰级及以上注册建造师执业资格，具备有效的安全生产考核合格证书，且未担任其他在建工程的项目经理。</w:t>
      </w:r>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三、获取采购文件</w:t>
      </w:r>
      <w:bookmarkEnd w:id="12"/>
      <w:bookmarkEnd w:id="13"/>
      <w:bookmarkEnd w:id="14"/>
      <w:bookmarkEnd w:id="15"/>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时间：</w:t>
      </w:r>
      <w:r>
        <w:rPr>
          <w:rFonts w:hint="eastAsia" w:ascii="宋体" w:hAnsi="宋体" w:cs="宋体"/>
          <w:color w:val="000000" w:themeColor="text1"/>
          <w:sz w:val="24"/>
          <w:u w:val="single"/>
        </w:rPr>
        <w:t>2023年</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w:t>
      </w:r>
      <w:r>
        <w:rPr>
          <w:rFonts w:hint="eastAsia" w:ascii="宋体" w:hAnsi="宋体" w:cs="宋体"/>
          <w:color w:val="000000" w:themeColor="text1"/>
          <w:sz w:val="24"/>
          <w:u w:val="single"/>
        </w:rPr>
        <w:t>日</w:t>
      </w:r>
      <w:r>
        <w:rPr>
          <w:rFonts w:hint="eastAsia" w:ascii="宋体" w:hAnsi="宋体" w:cs="宋体"/>
          <w:color w:val="000000" w:themeColor="text1"/>
          <w:sz w:val="24"/>
        </w:rPr>
        <w:t>至</w:t>
      </w:r>
      <w:r>
        <w:rPr>
          <w:rFonts w:hint="eastAsia" w:ascii="宋体" w:hAnsi="宋体" w:cs="宋体"/>
          <w:color w:val="000000" w:themeColor="text1"/>
          <w:sz w:val="24"/>
          <w:u w:val="single"/>
        </w:rPr>
        <w:t>2023年</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8</w:t>
      </w:r>
      <w:r>
        <w:rPr>
          <w:rFonts w:hint="eastAsia" w:ascii="宋体" w:hAnsi="宋体" w:cs="宋体"/>
          <w:color w:val="000000" w:themeColor="text1"/>
          <w:sz w:val="24"/>
          <w:u w:val="single"/>
        </w:rPr>
        <w:t>日</w:t>
      </w:r>
      <w:r>
        <w:rPr>
          <w:rFonts w:hint="eastAsia" w:ascii="宋体" w:hAnsi="宋体" w:cs="宋体"/>
          <w:color w:val="000000" w:themeColor="text1"/>
          <w:sz w:val="24"/>
        </w:rPr>
        <w:t>（北京时间，法定节假日除外 ）</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地点：周口市公共资源交易中心网（http://jyzx.zhoukou.gov.cn）</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方式：供应商请在网站自主注册后下载采购文件（zkzf格式）及资料，需办理CA数字证书后方可提交响应文件，具体办理事宜请查阅周口市公共资源交易中心网站。</w:t>
      </w:r>
    </w:p>
    <w:p>
      <w:pPr>
        <w:autoSpaceDE w:val="0"/>
        <w:autoSpaceDN w:val="0"/>
        <w:spacing w:line="360" w:lineRule="auto"/>
        <w:ind w:firstLine="540"/>
        <w:rPr>
          <w:rFonts w:ascii="宋体" w:hAnsi="宋体" w:cs="宋体"/>
          <w:color w:val="000000" w:themeColor="text1"/>
          <w:sz w:val="24"/>
        </w:rPr>
      </w:pPr>
      <w:r>
        <w:rPr>
          <w:rFonts w:hint="eastAsia" w:ascii="宋体" w:hAnsi="宋体" w:cs="宋体"/>
          <w:color w:val="000000" w:themeColor="text1"/>
          <w:sz w:val="24"/>
        </w:rPr>
        <w:t>售价：0</w:t>
      </w:r>
    </w:p>
    <w:p>
      <w:pPr>
        <w:pStyle w:val="5"/>
        <w:autoSpaceDE w:val="0"/>
        <w:autoSpaceDN w:val="0"/>
        <w:spacing w:line="360" w:lineRule="auto"/>
        <w:jc w:val="left"/>
        <w:rPr>
          <w:rFonts w:ascii="宋体" w:hAnsi="宋体" w:cs="宋体"/>
          <w:color w:val="000000" w:themeColor="text1"/>
          <w:sz w:val="24"/>
        </w:rPr>
      </w:pPr>
      <w:bookmarkStart w:id="16" w:name="_Toc35393632"/>
      <w:bookmarkStart w:id="17" w:name="_Toc28359015"/>
      <w:bookmarkStart w:id="18" w:name="_Toc28359092"/>
      <w:bookmarkStart w:id="19" w:name="_Toc98348547"/>
      <w:bookmarkStart w:id="20" w:name="_Toc35393801"/>
      <w:r>
        <w:rPr>
          <w:rFonts w:hint="eastAsia" w:ascii="宋体" w:hAnsi="宋体" w:cs="宋体"/>
          <w:color w:val="000000" w:themeColor="text1"/>
          <w:sz w:val="24"/>
        </w:rPr>
        <w:t>四、响应文件提交</w:t>
      </w:r>
      <w:bookmarkEnd w:id="16"/>
      <w:bookmarkEnd w:id="17"/>
      <w:bookmarkEnd w:id="18"/>
      <w:bookmarkEnd w:id="19"/>
      <w:bookmarkEnd w:id="20"/>
    </w:p>
    <w:p>
      <w:pPr>
        <w:autoSpaceDE w:val="0"/>
        <w:autoSpaceDN w:val="0"/>
        <w:spacing w:line="360" w:lineRule="auto"/>
        <w:ind w:firstLine="480" w:firstLineChars="200"/>
        <w:rPr>
          <w:rFonts w:ascii="宋体" w:hAnsi="宋体" w:cs="宋体"/>
          <w:bCs/>
          <w:color w:val="000000" w:themeColor="text1"/>
          <w:sz w:val="24"/>
          <w:u w:val="single"/>
        </w:rPr>
      </w:pPr>
      <w:r>
        <w:rPr>
          <w:rFonts w:hint="eastAsia" w:ascii="宋体" w:hAnsi="宋体" w:cs="宋体"/>
          <w:color w:val="000000" w:themeColor="text1"/>
          <w:sz w:val="24"/>
        </w:rPr>
        <w:t>截止时间：</w:t>
      </w:r>
      <w:r>
        <w:rPr>
          <w:rFonts w:hint="eastAsia" w:ascii="宋体" w:hAnsi="宋体" w:cs="宋体"/>
          <w:color w:val="000000" w:themeColor="text1"/>
          <w:sz w:val="24"/>
          <w:u w:val="single"/>
        </w:rPr>
        <w:t>2023年</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12</w:t>
      </w:r>
      <w:r>
        <w:rPr>
          <w:rFonts w:hint="eastAsia" w:ascii="宋体" w:hAnsi="宋体" w:cs="宋体"/>
          <w:color w:val="000000" w:themeColor="text1"/>
          <w:sz w:val="24"/>
          <w:u w:val="single"/>
        </w:rPr>
        <w:t>日10点00分</w:t>
      </w:r>
      <w:r>
        <w:rPr>
          <w:rFonts w:hint="eastAsia" w:ascii="宋体" w:hAnsi="宋体" w:cs="宋体"/>
          <w:bCs/>
          <w:color w:val="000000" w:themeColor="text1"/>
          <w:sz w:val="24"/>
        </w:rPr>
        <w:t>（北京时间）</w:t>
      </w:r>
    </w:p>
    <w:p>
      <w:pPr>
        <w:autoSpaceDE w:val="0"/>
        <w:autoSpaceDN w:val="0"/>
        <w:spacing w:line="360" w:lineRule="auto"/>
        <w:ind w:firstLine="480" w:firstLineChars="200"/>
        <w:rPr>
          <w:rFonts w:ascii="宋体" w:hAnsi="宋体" w:cs="宋体"/>
          <w:bCs/>
          <w:color w:val="000000" w:themeColor="text1"/>
          <w:sz w:val="24"/>
          <w:u w:val="single"/>
        </w:rPr>
      </w:pPr>
      <w:r>
        <w:rPr>
          <w:rFonts w:hint="eastAsia" w:ascii="宋体" w:hAnsi="宋体" w:cs="宋体"/>
          <w:color w:val="000000" w:themeColor="text1"/>
          <w:sz w:val="24"/>
        </w:rPr>
        <w:t>地点：加密电子响应文件须在投标截止时间前通过</w:t>
      </w:r>
      <w:r>
        <w:rPr>
          <w:rFonts w:hint="eastAsia" w:ascii="宋体" w:hAnsi="宋体" w:cs="宋体"/>
          <w:color w:val="000000" w:themeColor="text1"/>
          <w:spacing w:val="-6"/>
          <w:sz w:val="24"/>
        </w:rPr>
        <w:t>周口市公共资源交易中心网</w:t>
      </w:r>
      <w:r>
        <w:rPr>
          <w:rFonts w:hint="eastAsia" w:ascii="宋体" w:hAnsi="宋体" w:cs="宋体"/>
          <w:color w:val="000000" w:themeColor="text1"/>
          <w:sz w:val="24"/>
        </w:rPr>
        <w:t>（网址http://jyzx.zhoukou.gov.cn）。</w:t>
      </w:r>
    </w:p>
    <w:p>
      <w:pPr>
        <w:pStyle w:val="5"/>
        <w:autoSpaceDE w:val="0"/>
        <w:autoSpaceDN w:val="0"/>
        <w:spacing w:line="360" w:lineRule="auto"/>
        <w:jc w:val="left"/>
        <w:rPr>
          <w:rFonts w:ascii="宋体" w:hAnsi="宋体" w:cs="宋体"/>
          <w:color w:val="000000" w:themeColor="text1"/>
          <w:sz w:val="24"/>
        </w:rPr>
      </w:pPr>
      <w:bookmarkStart w:id="21" w:name="_Toc28359016"/>
      <w:bookmarkStart w:id="22" w:name="_Toc35393802"/>
      <w:bookmarkStart w:id="23" w:name="_Toc28359093"/>
      <w:bookmarkStart w:id="24" w:name="_Toc98348548"/>
      <w:bookmarkStart w:id="25" w:name="_Toc35393633"/>
      <w:r>
        <w:rPr>
          <w:rFonts w:hint="eastAsia" w:ascii="宋体" w:hAnsi="宋体" w:cs="宋体"/>
          <w:color w:val="000000" w:themeColor="text1"/>
          <w:sz w:val="24"/>
        </w:rPr>
        <w:t>五、开启（竞争性磋商方式必须填写）</w:t>
      </w:r>
      <w:bookmarkEnd w:id="21"/>
      <w:bookmarkEnd w:id="22"/>
      <w:bookmarkEnd w:id="23"/>
      <w:bookmarkEnd w:id="24"/>
      <w:bookmarkEnd w:id="25"/>
    </w:p>
    <w:p>
      <w:pPr>
        <w:autoSpaceDE w:val="0"/>
        <w:autoSpaceDN w:val="0"/>
        <w:spacing w:line="360" w:lineRule="auto"/>
        <w:ind w:firstLine="480" w:firstLineChars="200"/>
        <w:rPr>
          <w:rFonts w:ascii="宋体" w:hAnsi="宋体" w:cs="宋体"/>
          <w:bCs/>
          <w:color w:val="000000" w:themeColor="text1"/>
          <w:sz w:val="24"/>
          <w:u w:val="single"/>
        </w:rPr>
      </w:pPr>
      <w:r>
        <w:rPr>
          <w:rFonts w:hint="eastAsia" w:ascii="宋体" w:hAnsi="宋体" w:cs="宋体"/>
          <w:color w:val="000000" w:themeColor="text1"/>
          <w:sz w:val="24"/>
        </w:rPr>
        <w:t>时间：</w:t>
      </w:r>
      <w:r>
        <w:rPr>
          <w:rFonts w:hint="eastAsia" w:ascii="宋体" w:hAnsi="宋体" w:cs="宋体"/>
          <w:color w:val="000000" w:themeColor="text1"/>
          <w:sz w:val="24"/>
          <w:u w:val="single"/>
        </w:rPr>
        <w:t>2023年</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12</w:t>
      </w:r>
      <w:r>
        <w:rPr>
          <w:rFonts w:hint="eastAsia" w:ascii="宋体" w:hAnsi="宋体" w:cs="宋体"/>
          <w:color w:val="000000" w:themeColor="text1"/>
          <w:sz w:val="24"/>
          <w:u w:val="single"/>
        </w:rPr>
        <w:t>日10点00分</w:t>
      </w:r>
      <w:r>
        <w:rPr>
          <w:rFonts w:hint="eastAsia" w:ascii="宋体" w:hAnsi="宋体" w:cs="宋体"/>
          <w:bCs/>
          <w:color w:val="000000" w:themeColor="text1"/>
          <w:sz w:val="24"/>
        </w:rPr>
        <w:t>（北京时间）</w:t>
      </w:r>
    </w:p>
    <w:p>
      <w:pPr>
        <w:autoSpaceDE w:val="0"/>
        <w:autoSpaceDN w:val="0"/>
        <w:spacing w:line="360" w:lineRule="auto"/>
        <w:ind w:firstLine="480" w:firstLineChars="200"/>
        <w:jc w:val="left"/>
        <w:rPr>
          <w:rFonts w:ascii="宋体" w:hAnsi="宋体" w:cs="宋体"/>
          <w:bCs/>
          <w:color w:val="000000" w:themeColor="text1"/>
          <w:sz w:val="24"/>
          <w:u w:val="single"/>
        </w:rPr>
      </w:pPr>
      <w:r>
        <w:rPr>
          <w:rFonts w:hint="eastAsia" w:ascii="宋体" w:hAnsi="宋体" w:cs="宋体"/>
          <w:color w:val="000000" w:themeColor="text1"/>
          <w:sz w:val="24"/>
        </w:rPr>
        <w:t>地点：周口市公共资源交易中心开标室</w:t>
      </w:r>
    </w:p>
    <w:p>
      <w:pPr>
        <w:pStyle w:val="5"/>
        <w:autoSpaceDE w:val="0"/>
        <w:autoSpaceDN w:val="0"/>
        <w:spacing w:line="360" w:lineRule="auto"/>
        <w:jc w:val="left"/>
        <w:rPr>
          <w:rFonts w:ascii="宋体" w:hAnsi="宋体" w:cs="宋体"/>
          <w:color w:val="000000" w:themeColor="text1"/>
          <w:sz w:val="24"/>
        </w:rPr>
      </w:pPr>
      <w:bookmarkStart w:id="26" w:name="_Toc35393634"/>
      <w:bookmarkStart w:id="27" w:name="_Toc28359094"/>
      <w:bookmarkStart w:id="28" w:name="_Toc35393803"/>
      <w:bookmarkStart w:id="29" w:name="_Toc98348549"/>
      <w:bookmarkStart w:id="30" w:name="_Toc28359017"/>
      <w:r>
        <w:rPr>
          <w:rFonts w:hint="eastAsia" w:ascii="宋体" w:hAnsi="宋体" w:cs="宋体"/>
          <w:color w:val="000000" w:themeColor="text1"/>
          <w:sz w:val="24"/>
        </w:rPr>
        <w:t>六、公告期限</w:t>
      </w:r>
      <w:bookmarkEnd w:id="26"/>
      <w:bookmarkEnd w:id="27"/>
      <w:bookmarkEnd w:id="28"/>
      <w:bookmarkEnd w:id="29"/>
      <w:bookmarkEnd w:id="30"/>
    </w:p>
    <w:p>
      <w:pPr>
        <w:autoSpaceDE w:val="0"/>
        <w:autoSpaceDN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自本公告发布之日起5个工作日。</w:t>
      </w:r>
    </w:p>
    <w:p>
      <w:pPr>
        <w:pStyle w:val="5"/>
        <w:autoSpaceDE w:val="0"/>
        <w:autoSpaceDN w:val="0"/>
        <w:spacing w:line="360" w:lineRule="auto"/>
        <w:jc w:val="left"/>
        <w:rPr>
          <w:rFonts w:ascii="宋体" w:hAnsi="宋体" w:cs="宋体"/>
          <w:color w:val="000000" w:themeColor="text1"/>
          <w:sz w:val="24"/>
        </w:rPr>
      </w:pPr>
      <w:bookmarkStart w:id="31" w:name="_Toc35393804"/>
      <w:bookmarkStart w:id="32" w:name="_Toc35393635"/>
      <w:bookmarkStart w:id="33" w:name="_Toc98348550"/>
      <w:r>
        <w:rPr>
          <w:rFonts w:hint="eastAsia" w:ascii="宋体" w:hAnsi="宋体" w:cs="宋体"/>
          <w:color w:val="000000" w:themeColor="text1"/>
          <w:sz w:val="24"/>
        </w:rPr>
        <w:t>七、其他补充事宜</w:t>
      </w:r>
      <w:bookmarkEnd w:id="31"/>
      <w:bookmarkEnd w:id="32"/>
      <w:bookmarkEnd w:id="33"/>
    </w:p>
    <w:p>
      <w:pPr>
        <w:pStyle w:val="5"/>
        <w:autoSpaceDE w:val="0"/>
        <w:autoSpaceDN w:val="0"/>
        <w:spacing w:line="360" w:lineRule="auto"/>
        <w:jc w:val="left"/>
        <w:rPr>
          <w:rFonts w:ascii="宋体" w:hAnsi="宋体" w:cs="宋体"/>
          <w:color w:val="000000" w:themeColor="text1"/>
          <w:sz w:val="24"/>
        </w:rPr>
      </w:pPr>
      <w:bookmarkStart w:id="34" w:name="_Toc35393805"/>
      <w:bookmarkStart w:id="35" w:name="_Toc28359018"/>
      <w:bookmarkStart w:id="36" w:name="_Toc98348551"/>
      <w:bookmarkStart w:id="37" w:name="_Toc35393636"/>
      <w:bookmarkStart w:id="38" w:name="_Toc28359095"/>
      <w:r>
        <w:rPr>
          <w:rFonts w:hint="eastAsia" w:ascii="宋体" w:hAnsi="宋体" w:cs="宋体"/>
          <w:color w:val="000000" w:themeColor="text1"/>
          <w:sz w:val="24"/>
        </w:rPr>
        <w:t>八、凡对本次采购提出询问，请按以下方式联系。</w:t>
      </w:r>
      <w:bookmarkEnd w:id="34"/>
      <w:bookmarkEnd w:id="35"/>
      <w:bookmarkEnd w:id="36"/>
      <w:bookmarkEnd w:id="37"/>
      <w:bookmarkEnd w:id="38"/>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1.采购人信息</w:t>
      </w:r>
    </w:p>
    <w:p>
      <w:pPr>
        <w:adjustRightInd w:val="0"/>
        <w:snapToGrid w:val="0"/>
        <w:spacing w:line="360" w:lineRule="auto"/>
        <w:ind w:firstLine="480" w:firstLineChars="200"/>
        <w:jc w:val="left"/>
        <w:rPr>
          <w:rFonts w:hint="eastAsia" w:cs="宋体" w:asciiTheme="minorEastAsia" w:hAnsiTheme="minorEastAsia" w:eastAsiaTheme="minorEastAsia"/>
          <w:color w:val="000000" w:themeColor="text1"/>
          <w:sz w:val="24"/>
          <w:lang w:eastAsia="zh-CN"/>
        </w:rPr>
      </w:pPr>
      <w:r>
        <w:rPr>
          <w:rFonts w:hint="eastAsia" w:cs="宋体" w:asciiTheme="minorEastAsia" w:hAnsiTheme="minorEastAsia" w:eastAsiaTheme="minorEastAsia"/>
          <w:color w:val="000000" w:themeColor="text1"/>
          <w:sz w:val="24"/>
        </w:rPr>
        <w:t>名 称:</w:t>
      </w:r>
      <w:r>
        <w:rPr>
          <w:rFonts w:hint="eastAsia" w:cs="宋体" w:asciiTheme="minorEastAsia" w:hAnsiTheme="minorEastAsia" w:eastAsiaTheme="minorEastAsia"/>
          <w:color w:val="000000" w:themeColor="text1"/>
          <w:sz w:val="24"/>
          <w:lang w:eastAsia="zh-CN"/>
        </w:rPr>
        <w:t>商水县自然资源局</w:t>
      </w:r>
      <w:r>
        <w:rPr>
          <w:rFonts w:hint="eastAsia" w:cs="宋体" w:asciiTheme="minorEastAsia" w:hAnsiTheme="minorEastAsia" w:eastAsiaTheme="minorEastAsia"/>
          <w:color w:val="000000" w:themeColor="text1"/>
          <w:sz w:val="24"/>
          <w:lang w:val="en-US" w:eastAsia="zh-CN"/>
        </w:rPr>
        <w:t xml:space="preserve">  </w:t>
      </w:r>
      <w:r>
        <w:rPr>
          <w:rFonts w:hint="eastAsia" w:cs="宋体" w:asciiTheme="minorEastAsia" w:hAnsiTheme="minorEastAsia" w:eastAsiaTheme="minorEastAsia"/>
          <w:color w:val="000000" w:themeColor="text1"/>
          <w:sz w:val="24"/>
        </w:rPr>
        <w:t>地址：</w:t>
      </w:r>
      <w:r>
        <w:rPr>
          <w:rFonts w:hint="eastAsia" w:cs="宋体" w:asciiTheme="minorEastAsia" w:hAnsiTheme="minorEastAsia" w:eastAsiaTheme="minorEastAsia"/>
          <w:color w:val="000000" w:themeColor="text1"/>
          <w:sz w:val="24"/>
          <w:lang w:eastAsia="zh-CN"/>
        </w:rPr>
        <w:t>商水县富商路西段北侧</w:t>
      </w:r>
    </w:p>
    <w:p>
      <w:pPr>
        <w:adjustRightInd w:val="0"/>
        <w:snapToGrid w:val="0"/>
        <w:spacing w:line="360" w:lineRule="auto"/>
        <w:ind w:firstLine="480" w:firstLineChars="200"/>
        <w:jc w:val="left"/>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项目联</w:t>
      </w:r>
      <w:r>
        <w:rPr>
          <w:rFonts w:hint="eastAsia" w:cs="宋体" w:asciiTheme="minorEastAsia" w:hAnsiTheme="minorEastAsia" w:eastAsiaTheme="minorEastAsia"/>
          <w:color w:val="000000" w:themeColor="text1"/>
          <w:sz w:val="24"/>
          <w:highlight w:val="none"/>
        </w:rPr>
        <w:t>系人：</w:t>
      </w:r>
      <w:r>
        <w:rPr>
          <w:rFonts w:hint="eastAsia" w:cs="宋体" w:asciiTheme="minorEastAsia" w:hAnsiTheme="minorEastAsia" w:eastAsiaTheme="minorEastAsia"/>
          <w:color w:val="000000" w:themeColor="text1"/>
          <w:sz w:val="24"/>
          <w:highlight w:val="none"/>
          <w:lang w:val="en-US" w:eastAsia="zh-CN"/>
        </w:rPr>
        <w:t xml:space="preserve">胡慧 </w:t>
      </w:r>
      <w:r>
        <w:rPr>
          <w:rFonts w:hint="eastAsia" w:cs="宋体" w:asciiTheme="minorEastAsia" w:hAnsiTheme="minorEastAsia" w:eastAsiaTheme="minorEastAsia"/>
          <w:color w:val="000000" w:themeColor="text1"/>
          <w:sz w:val="24"/>
          <w:highlight w:val="none"/>
        </w:rPr>
        <w:t xml:space="preserve"> </w:t>
      </w:r>
      <w:r>
        <w:rPr>
          <w:rFonts w:hint="eastAsia" w:cs="宋体" w:asciiTheme="minorEastAsia" w:hAnsiTheme="minorEastAsia" w:eastAsiaTheme="minorEastAsia"/>
          <w:color w:val="000000" w:themeColor="text1"/>
          <w:sz w:val="24"/>
        </w:rPr>
        <w:t xml:space="preserve"> 联系方式：</w:t>
      </w:r>
      <w:bookmarkStart w:id="39" w:name="_Toc28359009"/>
      <w:bookmarkStart w:id="40" w:name="_Toc28359086"/>
      <w:r>
        <w:rPr>
          <w:rFonts w:hint="eastAsia" w:cs="宋体" w:asciiTheme="minorEastAsia" w:hAnsiTheme="minorEastAsia" w:eastAsiaTheme="minorEastAsia"/>
          <w:color w:val="000000" w:themeColor="text1"/>
          <w:sz w:val="24"/>
        </w:rPr>
        <w:t xml:space="preserve">0394-5602689 </w:t>
      </w:r>
    </w:p>
    <w:p>
      <w:pPr>
        <w:adjustRightInd w:val="0"/>
        <w:snapToGrid w:val="0"/>
        <w:spacing w:line="360" w:lineRule="auto"/>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2.采购代理机构信息</w:t>
      </w:r>
      <w:bookmarkEnd w:id="39"/>
      <w:bookmarkEnd w:id="40"/>
    </w:p>
    <w:p>
      <w:pPr>
        <w:adjustRightInd w:val="0"/>
        <w:snapToGrid w:val="0"/>
        <w:spacing w:line="360" w:lineRule="auto"/>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名 称：周口市公共资源交易中心政府采购中心</w:t>
      </w:r>
    </w:p>
    <w:p>
      <w:pPr>
        <w:adjustRightInd w:val="0"/>
        <w:snapToGrid w:val="0"/>
        <w:spacing w:line="360" w:lineRule="auto"/>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地　址：周口市光明路与政通路交叉口向北100米路东</w:t>
      </w:r>
    </w:p>
    <w:p>
      <w:pPr>
        <w:adjustRightInd w:val="0"/>
        <w:snapToGrid w:val="0"/>
        <w:spacing w:line="360" w:lineRule="auto"/>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项目联系人：</w:t>
      </w:r>
      <w:r>
        <w:rPr>
          <w:rFonts w:hint="eastAsia" w:cs="宋体" w:asciiTheme="minorEastAsia" w:hAnsiTheme="minorEastAsia" w:eastAsiaTheme="minorEastAsia"/>
          <w:color w:val="000000" w:themeColor="text1"/>
          <w:sz w:val="24"/>
          <w:lang w:val="en-US" w:eastAsia="zh-CN"/>
        </w:rPr>
        <w:t xml:space="preserve">闫浩宇  </w:t>
      </w:r>
      <w:r>
        <w:rPr>
          <w:rFonts w:hint="eastAsia" w:cs="宋体"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z w:val="24"/>
          <w:lang w:val="en-US" w:eastAsia="zh-CN"/>
        </w:rPr>
        <w:t xml:space="preserve">  </w:t>
      </w:r>
      <w:r>
        <w:rPr>
          <w:rFonts w:hint="eastAsia" w:cs="宋体" w:asciiTheme="minorEastAsia" w:hAnsiTheme="minorEastAsia" w:eastAsiaTheme="minorEastAsia"/>
          <w:color w:val="000000" w:themeColor="text1"/>
          <w:sz w:val="24"/>
        </w:rPr>
        <w:t xml:space="preserve">联系方式： </w:t>
      </w:r>
      <w:r>
        <w:rPr>
          <w:rFonts w:cs="宋体" w:asciiTheme="minorEastAsia" w:hAnsiTheme="minorEastAsia" w:eastAsiaTheme="minorEastAsia"/>
          <w:color w:val="000000" w:themeColor="text1"/>
          <w:sz w:val="24"/>
        </w:rPr>
        <w:t>0394</w:t>
      </w:r>
      <w:r>
        <w:rPr>
          <w:rFonts w:hint="eastAsia" w:cs="宋体" w:asciiTheme="minorEastAsia" w:hAnsiTheme="minorEastAsia" w:eastAsiaTheme="minorEastAsia"/>
          <w:color w:val="000000" w:themeColor="text1"/>
          <w:sz w:val="24"/>
        </w:rPr>
        <w:t>-</w:t>
      </w:r>
      <w:r>
        <w:rPr>
          <w:rFonts w:cs="宋体" w:asciiTheme="minorEastAsia" w:hAnsiTheme="minorEastAsia" w:eastAsiaTheme="minorEastAsia"/>
          <w:color w:val="000000" w:themeColor="text1"/>
          <w:sz w:val="24"/>
        </w:rPr>
        <w:t>8106517</w:t>
      </w:r>
    </w:p>
    <w:p>
      <w:pPr>
        <w:pStyle w:val="2"/>
        <w:numPr>
          <w:ilvl w:val="0"/>
          <w:numId w:val="4"/>
        </w:numPr>
        <w:adjustRightInd w:val="0"/>
        <w:snapToGrid w:val="0"/>
        <w:spacing w:after="0" w:line="360" w:lineRule="auto"/>
        <w:ind w:firstLine="480" w:firstLineChars="200"/>
        <w:rPr>
          <w:rFonts w:hint="eastAsia"/>
          <w:color w:val="000000" w:themeColor="text1"/>
          <w:sz w:val="24"/>
        </w:rPr>
      </w:pPr>
      <w:r>
        <w:rPr>
          <w:rFonts w:hint="eastAsia"/>
          <w:color w:val="000000" w:themeColor="text1"/>
          <w:sz w:val="24"/>
        </w:rPr>
        <w:t>监督单位：</w:t>
      </w:r>
      <w:r>
        <w:rPr>
          <w:rFonts w:hint="eastAsia" w:ascii="宋体" w:hAnsi="宋体" w:cs="宋体"/>
          <w:color w:val="000000" w:themeColor="text1"/>
          <w:sz w:val="24"/>
          <w:lang w:val="en-US" w:eastAsia="zh-CN"/>
        </w:rPr>
        <w:t>商水县财政局政府采购监督处</w:t>
      </w:r>
    </w:p>
    <w:p>
      <w:pPr>
        <w:pStyle w:val="2"/>
        <w:numPr>
          <w:ilvl w:val="0"/>
          <w:numId w:val="0"/>
        </w:numPr>
        <w:adjustRightInd w:val="0"/>
        <w:snapToGrid w:val="0"/>
        <w:spacing w:after="0" w:line="360" w:lineRule="auto"/>
        <w:ind w:firstLine="480" w:firstLineChars="200"/>
        <w:rPr>
          <w:color w:val="000000" w:themeColor="text1"/>
          <w:sz w:val="24"/>
        </w:rPr>
      </w:pPr>
      <w:r>
        <w:rPr>
          <w:rFonts w:hint="eastAsia"/>
          <w:color w:val="000000" w:themeColor="text1"/>
          <w:sz w:val="24"/>
        </w:rPr>
        <w:t xml:space="preserve">联系方式：0394-5440793  </w:t>
      </w:r>
    </w:p>
    <w:p>
      <w:pPr>
        <w:pStyle w:val="2"/>
        <w:adjustRightInd w:val="0"/>
        <w:snapToGrid w:val="0"/>
        <w:spacing w:after="0" w:line="360" w:lineRule="auto"/>
        <w:ind w:firstLine="480" w:firstLineChars="200"/>
        <w:rPr>
          <w:color w:val="000000" w:themeColor="text1"/>
        </w:rPr>
      </w:pPr>
      <w:r>
        <w:rPr>
          <w:rFonts w:hint="eastAsia"/>
          <w:color w:val="000000" w:themeColor="text1"/>
          <w:sz w:val="24"/>
        </w:rPr>
        <w:t xml:space="preserve"> </w:t>
      </w:r>
    </w:p>
    <w:p>
      <w:pPr>
        <w:pStyle w:val="2"/>
        <w:ind w:firstLine="0" w:firstLineChars="0"/>
        <w:rPr>
          <w:rFonts w:ascii="宋体" w:hAnsi="宋体" w:cs="宋体"/>
          <w:color w:val="000000" w:themeColor="text1"/>
        </w:rPr>
      </w:pPr>
    </w:p>
    <w:p>
      <w:pPr>
        <w:pStyle w:val="18"/>
        <w:adjustRightInd w:val="0"/>
        <w:snapToGrid w:val="0"/>
        <w:spacing w:line="360" w:lineRule="auto"/>
        <w:ind w:firstLine="4200" w:firstLineChars="1750"/>
        <w:rPr>
          <w:rFonts w:ascii="宋体" w:hAnsi="宋体" w:cs="宋体"/>
          <w:color w:val="000000" w:themeColor="text1"/>
          <w:sz w:val="24"/>
        </w:rPr>
      </w:pPr>
      <w:r>
        <w:rPr>
          <w:rFonts w:hint="eastAsia" w:ascii="宋体" w:hAnsi="宋体" w:cs="宋体"/>
          <w:color w:val="000000" w:themeColor="text1"/>
          <w:sz w:val="24"/>
        </w:rPr>
        <w:t>周口市公共资源交易中心政府采购中心</w:t>
      </w:r>
    </w:p>
    <w:p>
      <w:pPr>
        <w:pStyle w:val="42"/>
        <w:shd w:val="clear" w:color="auto" w:fill="FFFFFF"/>
        <w:adjustRightInd w:val="0"/>
        <w:snapToGrid w:val="0"/>
        <w:spacing w:before="0" w:beforeAutospacing="0" w:after="0" w:afterAutospacing="0" w:line="360" w:lineRule="auto"/>
        <w:ind w:firstLine="5280" w:firstLineChars="2200"/>
        <w:rPr>
          <w:rFonts w:cs="宋体"/>
          <w:color w:val="000000" w:themeColor="text1"/>
          <w:kern w:val="2"/>
          <w:szCs w:val="24"/>
        </w:rPr>
      </w:pPr>
      <w:r>
        <w:rPr>
          <w:rFonts w:hint="eastAsia" w:cs="宋体"/>
          <w:color w:val="000000" w:themeColor="text1"/>
          <w:szCs w:val="24"/>
        </w:rPr>
        <w:t>2023年</w:t>
      </w:r>
      <w:r>
        <w:rPr>
          <w:rFonts w:hint="eastAsia" w:cs="宋体"/>
          <w:color w:val="000000" w:themeColor="text1"/>
          <w:szCs w:val="24"/>
          <w:lang w:val="en-US" w:eastAsia="zh-CN"/>
        </w:rPr>
        <w:t>9</w:t>
      </w:r>
      <w:r>
        <w:rPr>
          <w:rFonts w:hint="eastAsia" w:cs="宋体"/>
          <w:color w:val="000000" w:themeColor="text1"/>
          <w:szCs w:val="24"/>
        </w:rPr>
        <w:t>月</w:t>
      </w:r>
      <w:r>
        <w:rPr>
          <w:rFonts w:hint="eastAsia" w:cs="宋体"/>
          <w:color w:val="000000" w:themeColor="text1"/>
          <w:szCs w:val="24"/>
          <w:lang w:val="en-US" w:eastAsia="zh-CN"/>
        </w:rPr>
        <w:t>1</w:t>
      </w:r>
      <w:r>
        <w:rPr>
          <w:rFonts w:hint="eastAsia" w:cs="宋体"/>
          <w:color w:val="000000" w:themeColor="text1"/>
          <w:szCs w:val="24"/>
        </w:rPr>
        <w:t>日</w:t>
      </w:r>
    </w:p>
    <w:bookmarkEnd w:id="5"/>
    <w:p>
      <w:pPr>
        <w:pStyle w:val="45"/>
        <w:adjustRightInd w:val="0"/>
        <w:snapToGrid w:val="0"/>
        <w:spacing w:line="360" w:lineRule="auto"/>
        <w:ind w:firstLine="0" w:firstLineChars="0"/>
        <w:rPr>
          <w:rFonts w:ascii="宋体" w:hAnsi="宋体" w:eastAsia="宋体" w:cs="宋体"/>
          <w:color w:val="000000" w:themeColor="text1"/>
          <w:sz w:val="24"/>
        </w:rPr>
      </w:pPr>
    </w:p>
    <w:p>
      <w:pPr>
        <w:pStyle w:val="45"/>
        <w:adjustRightInd w:val="0"/>
        <w:snapToGrid w:val="0"/>
        <w:spacing w:line="360" w:lineRule="auto"/>
        <w:ind w:firstLine="0" w:firstLineChars="0"/>
        <w:rPr>
          <w:rFonts w:ascii="宋体" w:hAnsi="宋体" w:eastAsia="宋体" w:cs="宋体"/>
          <w:color w:val="000000" w:themeColor="text1"/>
          <w:sz w:val="24"/>
        </w:rPr>
      </w:pPr>
    </w:p>
    <w:p>
      <w:pPr>
        <w:pStyle w:val="45"/>
        <w:adjustRightInd w:val="0"/>
        <w:snapToGrid w:val="0"/>
        <w:spacing w:line="360" w:lineRule="auto"/>
        <w:ind w:firstLine="0" w:firstLineChars="0"/>
        <w:rPr>
          <w:rFonts w:ascii="宋体" w:hAnsi="宋体" w:eastAsia="宋体" w:cs="宋体"/>
          <w:color w:val="000000" w:themeColor="text1"/>
          <w:sz w:val="24"/>
        </w:rPr>
      </w:pPr>
    </w:p>
    <w:p>
      <w:pPr>
        <w:pStyle w:val="45"/>
        <w:adjustRightInd w:val="0"/>
        <w:snapToGrid w:val="0"/>
        <w:spacing w:line="360" w:lineRule="auto"/>
        <w:ind w:firstLine="0" w:firstLineChars="0"/>
        <w:rPr>
          <w:rFonts w:ascii="宋体" w:hAnsi="宋体" w:eastAsia="宋体" w:cs="宋体"/>
          <w:color w:val="000000" w:themeColor="text1"/>
          <w:sz w:val="24"/>
        </w:rPr>
      </w:pPr>
    </w:p>
    <w:p>
      <w:pPr>
        <w:pStyle w:val="4"/>
        <w:jc w:val="center"/>
        <w:rPr>
          <w:rFonts w:hint="eastAsia" w:ascii="宋体" w:hAnsi="宋体" w:cs="宋体"/>
          <w:color w:val="000000" w:themeColor="text1"/>
          <w:sz w:val="32"/>
        </w:rPr>
        <w:sectPr>
          <w:footerReference r:id="rId4" w:type="first"/>
          <w:footerReference r:id="rId3" w:type="default"/>
          <w:pgSz w:w="11906" w:h="16838"/>
          <w:pgMar w:top="1474" w:right="1474" w:bottom="1474" w:left="1474" w:header="851" w:footer="743" w:gutter="0"/>
          <w:pgNumType w:start="1"/>
          <w:cols w:space="0" w:num="1"/>
          <w:titlePg/>
          <w:docGrid w:type="lines" w:linePitch="312" w:charSpace="0"/>
        </w:sectPr>
      </w:pPr>
      <w:bookmarkStart w:id="41" w:name="_Toc98348552"/>
    </w:p>
    <w:p>
      <w:pPr>
        <w:pStyle w:val="4"/>
        <w:jc w:val="center"/>
        <w:rPr>
          <w:rFonts w:ascii="宋体" w:hAnsi="宋体" w:cs="宋体"/>
          <w:b w:val="0"/>
          <w:color w:val="000000" w:themeColor="text1"/>
          <w:sz w:val="32"/>
        </w:rPr>
      </w:pPr>
      <w:r>
        <w:rPr>
          <w:rFonts w:hint="eastAsia" w:ascii="宋体" w:hAnsi="宋体" w:cs="宋体"/>
          <w:color w:val="000000" w:themeColor="text1"/>
          <w:sz w:val="32"/>
        </w:rPr>
        <w:t>第二章    供应商须知</w:t>
      </w:r>
      <w:bookmarkEnd w:id="41"/>
    </w:p>
    <w:tbl>
      <w:tblPr>
        <w:tblStyle w:val="46"/>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pPr>
              <w:jc w:val="center"/>
              <w:rPr>
                <w:rFonts w:ascii="宋体" w:hAnsi="宋体" w:cs="宋体"/>
                <w:color w:val="000000" w:themeColor="text1"/>
                <w:sz w:val="24"/>
              </w:rPr>
            </w:pPr>
            <w:r>
              <w:rPr>
                <w:rFonts w:hint="eastAsia" w:ascii="宋体" w:hAnsi="宋体" w:cs="宋体"/>
                <w:color w:val="000000" w:themeColor="text1"/>
                <w:sz w:val="24"/>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序号</w:t>
            </w: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条款</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项目概况</w:t>
            </w:r>
          </w:p>
        </w:tc>
        <w:tc>
          <w:tcPr>
            <w:tcW w:w="6615" w:type="dxa"/>
            <w:vAlign w:val="center"/>
          </w:tcPr>
          <w:p>
            <w:pPr>
              <w:rPr>
                <w:rFonts w:hint="eastAsia" w:ascii="宋体" w:hAnsi="宋体" w:eastAsia="宋体" w:cs="宋体"/>
                <w:color w:val="000000" w:themeColor="text1"/>
                <w:sz w:val="24"/>
                <w:lang w:eastAsia="zh-CN"/>
              </w:rPr>
            </w:pPr>
            <w:r>
              <w:rPr>
                <w:rFonts w:hint="eastAsia" w:ascii="宋体" w:hAnsi="宋体" w:cs="宋体"/>
                <w:color w:val="000000" w:themeColor="text1"/>
                <w:sz w:val="24"/>
              </w:rPr>
              <w:t>1）项目名称：</w:t>
            </w:r>
            <w:r>
              <w:rPr>
                <w:rFonts w:hint="eastAsia" w:ascii="宋体" w:hAnsi="宋体" w:cs="宋体"/>
                <w:color w:val="000000" w:themeColor="text1"/>
                <w:sz w:val="24"/>
                <w:lang w:eastAsia="zh-CN"/>
              </w:rPr>
              <w:t>商水县自然资源局汾河省级湿地公园湿地保护修复项目</w:t>
            </w:r>
          </w:p>
          <w:p>
            <w:pPr>
              <w:rPr>
                <w:rFonts w:hint="eastAsia" w:ascii="宋体" w:hAnsi="宋体" w:cs="宋体"/>
                <w:color w:val="000000" w:themeColor="text1"/>
                <w:sz w:val="24"/>
              </w:rPr>
            </w:pPr>
            <w:r>
              <w:rPr>
                <w:rFonts w:hint="eastAsia" w:ascii="宋体" w:hAnsi="宋体" w:cs="宋体"/>
                <w:color w:val="000000" w:themeColor="text1"/>
                <w:sz w:val="24"/>
              </w:rPr>
              <w:t>2）采购内容：详见竞争性磋商文件及工程量清单</w:t>
            </w:r>
          </w:p>
          <w:p>
            <w:pPr>
              <w:rPr>
                <w:rFonts w:hint="eastAsia" w:cs="宋体" w:asciiTheme="minorEastAsia" w:hAnsiTheme="minorEastAsia" w:eastAsiaTheme="minorEastAsia"/>
                <w:color w:val="000000" w:themeColor="text1"/>
                <w:sz w:val="24"/>
                <w:lang w:eastAsia="zh-CN"/>
              </w:rPr>
            </w:pPr>
            <w:r>
              <w:rPr>
                <w:rFonts w:hint="eastAsia" w:ascii="宋体" w:hAnsi="宋体" w:cs="宋体"/>
                <w:color w:val="000000" w:themeColor="text1"/>
                <w:sz w:val="24"/>
              </w:rPr>
              <w:t>3）采购人：</w:t>
            </w:r>
            <w:r>
              <w:rPr>
                <w:rFonts w:hint="eastAsia" w:cs="宋体" w:asciiTheme="minorEastAsia" w:hAnsiTheme="minorEastAsia" w:eastAsiaTheme="minorEastAsia"/>
                <w:color w:val="000000" w:themeColor="text1"/>
                <w:sz w:val="24"/>
                <w:lang w:eastAsia="zh-CN"/>
              </w:rPr>
              <w:t>商水县自然资源局</w:t>
            </w:r>
          </w:p>
          <w:p>
            <w:pPr>
              <w:rPr>
                <w:rFonts w:ascii="宋体" w:hAnsi="宋体" w:cs="宋体"/>
                <w:color w:val="000000" w:themeColor="text1"/>
                <w:sz w:val="24"/>
              </w:rPr>
            </w:pPr>
            <w:r>
              <w:rPr>
                <w:rFonts w:hint="eastAsia" w:ascii="宋体" w:hAnsi="宋体" w:cs="宋体"/>
                <w:color w:val="000000" w:themeColor="text1"/>
                <w:sz w:val="24"/>
              </w:rPr>
              <w:t>4）采购代理机构：周口市公共资源交易中心政府采购中心</w:t>
            </w:r>
          </w:p>
          <w:p>
            <w:pPr>
              <w:pStyle w:val="2"/>
              <w:ind w:firstLine="0" w:firstLineChars="0"/>
              <w:rPr>
                <w:rFonts w:hint="default" w:ascii="宋体" w:hAnsi="宋体" w:eastAsia="宋体" w:cs="宋体"/>
                <w:color w:val="000000" w:themeColor="text1"/>
                <w:lang w:val="en-US" w:eastAsia="zh-CN"/>
              </w:rPr>
            </w:pPr>
            <w:r>
              <w:rPr>
                <w:rFonts w:hint="eastAsia" w:ascii="宋体" w:hAnsi="宋体" w:cs="宋体"/>
                <w:color w:val="000000" w:themeColor="text1"/>
                <w:sz w:val="24"/>
              </w:rPr>
              <w:t>5) 监督部门：</w:t>
            </w:r>
            <w:r>
              <w:rPr>
                <w:rFonts w:hint="eastAsia" w:ascii="宋体" w:hAnsi="宋体" w:cs="宋体"/>
                <w:color w:val="000000" w:themeColor="text1"/>
                <w:sz w:val="24"/>
                <w:lang w:val="en-US" w:eastAsia="zh-CN"/>
              </w:rPr>
              <w:t>商水县财政局政府采购监督处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left="-4" w:leftChars="-4" w:hanging="4" w:hangingChars="2"/>
              <w:jc w:val="center"/>
              <w:rPr>
                <w:rFonts w:ascii="宋体" w:hAnsi="宋体" w:cs="宋体"/>
                <w:color w:val="000000" w:themeColor="text1"/>
                <w:sz w:val="24"/>
              </w:rPr>
            </w:pPr>
            <w:r>
              <w:rPr>
                <w:rFonts w:hint="eastAsia" w:ascii="宋体" w:hAnsi="宋体" w:cs="宋体"/>
                <w:color w:val="000000" w:themeColor="text1"/>
                <w:sz w:val="24"/>
              </w:rPr>
              <w:t>对供应商的资格要求</w:t>
            </w:r>
          </w:p>
        </w:tc>
        <w:tc>
          <w:tcPr>
            <w:tcW w:w="6615" w:type="dxa"/>
            <w:vAlign w:val="center"/>
          </w:tcPr>
          <w:p>
            <w:pPr>
              <w:spacing w:before="156" w:beforeLines="50"/>
              <w:ind w:left="-4" w:leftChars="-4" w:hanging="4" w:hangingChars="2"/>
              <w:rPr>
                <w:rFonts w:ascii="宋体" w:hAnsi="宋体" w:cs="宋体"/>
                <w:color w:val="000000" w:themeColor="text1"/>
                <w:sz w:val="24"/>
              </w:rPr>
            </w:pPr>
            <w:r>
              <w:rPr>
                <w:rFonts w:hint="eastAsia" w:ascii="宋体" w:hAnsi="宋体" w:cs="宋体"/>
                <w:color w:val="000000" w:themeColor="text1"/>
                <w:sz w:val="24"/>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报价费用</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无论报价和磋商的过程和结果如何，供应商自行承担所有与参加报价及磋商有关活动的全部费用。评审费用由采购人自行解决。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5"/>
              </w:numPr>
              <w:spacing w:before="156" w:beforeLines="50"/>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响应文件语言</w:t>
            </w:r>
          </w:p>
        </w:tc>
        <w:tc>
          <w:tcPr>
            <w:tcW w:w="6615" w:type="dxa"/>
            <w:vAlign w:val="center"/>
          </w:tcPr>
          <w:p>
            <w:pPr>
              <w:snapToGrid w:val="0"/>
              <w:rPr>
                <w:rFonts w:ascii="宋体" w:hAnsi="宋体" w:cs="宋体"/>
                <w:color w:val="000000" w:themeColor="text1"/>
                <w:sz w:val="24"/>
              </w:rPr>
            </w:pPr>
            <w:r>
              <w:rPr>
                <w:rFonts w:hint="eastAsia" w:ascii="宋体" w:hAnsi="宋体" w:cs="宋体"/>
                <w:color w:val="000000" w:themeColor="text1"/>
                <w:sz w:val="24"/>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5"/>
              </w:numPr>
              <w:spacing w:before="156" w:beforeLines="50"/>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报价货币</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响应范围</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竞争性磋商文件及工程量清单包含的全部内容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响应文件有效期</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响应文件递交截止之日起60天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tabs>
                <w:tab w:val="left" w:pos="8640"/>
              </w:tabs>
              <w:spacing w:before="156" w:beforeLines="50"/>
              <w:ind w:left="-2" w:leftChars="-1"/>
              <w:jc w:val="center"/>
              <w:rPr>
                <w:rFonts w:ascii="宋体" w:hAnsi="宋体" w:cs="宋体"/>
                <w:color w:val="000000" w:themeColor="text1"/>
                <w:sz w:val="24"/>
              </w:rPr>
            </w:pPr>
            <w:r>
              <w:rPr>
                <w:rFonts w:hint="eastAsia" w:ascii="宋体" w:hAnsi="宋体" w:cs="宋体"/>
                <w:color w:val="000000" w:themeColor="text1"/>
                <w:sz w:val="24"/>
              </w:rPr>
              <w:t>响应文件的组成</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供应商应按本磋商文件规定的格式，填写并提供相关文件或资料，本磋商文件第三部分要求的文件和资料也须一并提供。供应商还可根据自己的理解，提供其他必要的技术响应、资料及附件；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tabs>
                <w:tab w:val="left" w:pos="8640"/>
              </w:tabs>
              <w:spacing w:before="156" w:beforeLines="50"/>
              <w:ind w:left="-2" w:leftChars="-1"/>
              <w:jc w:val="center"/>
              <w:rPr>
                <w:rFonts w:ascii="宋体" w:hAnsi="宋体" w:cs="宋体"/>
                <w:color w:val="000000" w:themeColor="text1"/>
                <w:sz w:val="24"/>
              </w:rPr>
            </w:pPr>
            <w:r>
              <w:rPr>
                <w:rFonts w:hint="eastAsia" w:ascii="宋体" w:hAnsi="宋体" w:cs="宋体"/>
                <w:color w:val="000000" w:themeColor="text1"/>
                <w:sz w:val="24"/>
              </w:rPr>
              <w:t>响应文件封面要求</w:t>
            </w:r>
          </w:p>
        </w:tc>
        <w:tc>
          <w:tcPr>
            <w:tcW w:w="6615" w:type="dxa"/>
            <w:vAlign w:val="center"/>
          </w:tcPr>
          <w:p>
            <w:pPr>
              <w:tabs>
                <w:tab w:val="left" w:pos="8640"/>
              </w:tabs>
              <w:rPr>
                <w:rFonts w:ascii="宋体" w:hAnsi="宋体" w:cs="宋体"/>
                <w:color w:val="000000" w:themeColor="text1"/>
                <w:sz w:val="24"/>
              </w:rPr>
            </w:pPr>
            <w:r>
              <w:rPr>
                <w:rFonts w:hint="eastAsia" w:ascii="宋体" w:hAnsi="宋体" w:cs="宋体"/>
                <w:color w:val="000000" w:themeColor="text1"/>
                <w:sz w:val="24"/>
              </w:rPr>
              <w:t>列明项目名称、本磋商文件编号、供应商名称</w:t>
            </w:r>
            <w:r>
              <w:rPr>
                <w:rFonts w:hint="eastAsia" w:ascii="宋体" w:hAnsi="宋体" w:cs="宋体"/>
                <w:color w:val="auto"/>
                <w:sz w:val="24"/>
              </w:rPr>
              <w:t>及地址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响应文件份数要求</w:t>
            </w:r>
          </w:p>
        </w:tc>
        <w:tc>
          <w:tcPr>
            <w:tcW w:w="6615" w:type="dxa"/>
            <w:vAlign w:val="center"/>
          </w:tcPr>
          <w:p>
            <w:pPr>
              <w:tabs>
                <w:tab w:val="left" w:pos="8640"/>
              </w:tabs>
              <w:ind w:left="-2" w:leftChars="-1"/>
              <w:rPr>
                <w:rFonts w:ascii="宋体" w:hAnsi="宋体" w:cs="宋体"/>
                <w:color w:val="000000" w:themeColor="text1"/>
                <w:sz w:val="24"/>
              </w:rPr>
            </w:pPr>
            <w:r>
              <w:rPr>
                <w:rFonts w:hint="eastAsia" w:ascii="宋体" w:hAnsi="宋体" w:cs="宋体"/>
                <w:color w:val="000000" w:themeColor="text1"/>
                <w:sz w:val="24"/>
              </w:rPr>
              <w:t>加密的电子响应文件须在投标截止时间前成功上传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响应文件装订和密封要求</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竞争性磋商文件的澄清</w:t>
            </w:r>
          </w:p>
        </w:tc>
        <w:tc>
          <w:tcPr>
            <w:tcW w:w="6615" w:type="dxa"/>
            <w:vAlign w:val="center"/>
          </w:tcPr>
          <w:p>
            <w:pPr>
              <w:rPr>
                <w:rFonts w:ascii="宋体" w:hAnsi="宋体" w:cs="宋体"/>
                <w:color w:val="000000" w:themeColor="text1"/>
                <w:sz w:val="24"/>
              </w:rPr>
            </w:pPr>
            <w:r>
              <w:rPr>
                <w:rFonts w:hint="eastAsia" w:ascii="宋体" w:hAnsi="宋体" w:cs="宋体"/>
                <w:color w:val="000000" w:themeColor="text1"/>
                <w:sz w:val="24"/>
              </w:rPr>
              <w:t>任何要求对竞争性磋商文件进行澄清的供应商，均应以书面形式或传真通知采购人，采购人如认为必要，将以书面形式予以答复。澄清或修改的内容可能影响响应文件编制的，采购人、采购代理机构应当在提交响应文件截止时间至少5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响应文件递交截止时间</w:t>
            </w:r>
          </w:p>
        </w:tc>
        <w:tc>
          <w:tcPr>
            <w:tcW w:w="6615" w:type="dxa"/>
            <w:vAlign w:val="center"/>
          </w:tcPr>
          <w:p>
            <w:pPr>
              <w:ind w:firstLine="360" w:firstLineChars="150"/>
              <w:rPr>
                <w:rFonts w:ascii="宋体" w:hAnsi="宋体" w:cs="宋体"/>
                <w:color w:val="000000" w:themeColor="text1"/>
                <w:sz w:val="24"/>
              </w:rPr>
            </w:pPr>
            <w:r>
              <w:rPr>
                <w:rFonts w:hint="eastAsia" w:ascii="宋体" w:hAnsi="宋体" w:cs="宋体"/>
                <w:color w:val="000000" w:themeColor="text1"/>
                <w:sz w:val="24"/>
              </w:rPr>
              <w:t xml:space="preserve">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响应文件递交地点</w:t>
            </w:r>
          </w:p>
        </w:tc>
        <w:tc>
          <w:tcPr>
            <w:tcW w:w="6615" w:type="dxa"/>
            <w:vAlign w:val="center"/>
          </w:tcPr>
          <w:p>
            <w:pPr>
              <w:rPr>
                <w:rFonts w:ascii="宋体" w:hAnsi="宋体"/>
                <w:color w:val="000000" w:themeColor="text1"/>
                <w:sz w:val="24"/>
              </w:rPr>
            </w:pPr>
            <w:r>
              <w:rPr>
                <w:rFonts w:hint="eastAsia" w:ascii="宋体" w:hAnsi="宋体"/>
                <w:color w:val="000000" w:themeColor="text1"/>
                <w:sz w:val="24"/>
              </w:rPr>
              <w:t>周口市公共资源交易中心网</w:t>
            </w:r>
          </w:p>
          <w:p>
            <w:pPr>
              <w:rPr>
                <w:rFonts w:ascii="宋体" w:hAnsi="宋体" w:cs="宋体" w:eastAsiaTheme="minorEastAsia"/>
                <w:color w:val="000000" w:themeColor="text1"/>
                <w:sz w:val="24"/>
              </w:rPr>
            </w:pPr>
            <w:r>
              <w:rPr>
                <w:rFonts w:hint="eastAsia" w:ascii="宋体" w:hAnsi="宋体"/>
                <w:color w:val="000000" w:themeColor="text1"/>
                <w:sz w:val="24"/>
              </w:rPr>
              <w:t>网址：周口市公共资源电子交易服务平台会员系统（网址</w:t>
            </w:r>
            <w:r>
              <w:rPr>
                <w:rFonts w:hint="eastAsia" w:asciiTheme="minorEastAsia" w:hAnsiTheme="minorEastAsia" w:eastAsiaTheme="minorEastAsia"/>
                <w:color w:val="000000" w:themeColor="text1"/>
              </w:rPr>
              <w:t>http://jyzx.zhoukou.gov.cn）</w:t>
            </w:r>
          </w:p>
          <w:p>
            <w:pPr>
              <w:spacing w:line="560" w:lineRule="exact"/>
              <w:rPr>
                <w:rFonts w:ascii="宋体" w:hAnsi="宋体" w:cs="宋体"/>
                <w:color w:val="000000" w:themeColor="text1"/>
                <w:sz w:val="24"/>
              </w:rPr>
            </w:pPr>
            <w:r>
              <w:rPr>
                <w:rFonts w:hint="eastAsia" w:ascii="宋体" w:hAnsi="宋体" w:cs="宋体"/>
                <w:color w:val="000000" w:themeColor="text1"/>
                <w:sz w:val="24"/>
              </w:rPr>
              <w:t>（本项目实行网上远程开标无须到现场提交响应文件）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磋商时间</w:t>
            </w:r>
          </w:p>
        </w:tc>
        <w:tc>
          <w:tcPr>
            <w:tcW w:w="6615" w:type="dxa"/>
            <w:vAlign w:val="center"/>
          </w:tcPr>
          <w:p>
            <w:pPr>
              <w:tabs>
                <w:tab w:val="left" w:pos="8640"/>
              </w:tabs>
              <w:ind w:left="-2" w:leftChars="-1" w:firstLine="240" w:firstLineChars="100"/>
              <w:rPr>
                <w:rFonts w:ascii="宋体" w:hAnsi="宋体" w:cs="宋体"/>
                <w:color w:val="000000" w:themeColor="text1"/>
                <w:sz w:val="24"/>
              </w:rPr>
            </w:pPr>
            <w:r>
              <w:rPr>
                <w:rFonts w:hint="eastAsia" w:ascii="宋体" w:hAnsi="宋体" w:cs="宋体"/>
                <w:color w:val="000000" w:themeColor="text1"/>
                <w:sz w:val="24"/>
              </w:rPr>
              <w:t xml:space="preserve"> 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磋商程序和内容</w:t>
            </w:r>
          </w:p>
        </w:tc>
        <w:tc>
          <w:tcPr>
            <w:tcW w:w="6615" w:type="dxa"/>
            <w:vAlign w:val="center"/>
          </w:tcPr>
          <w:p>
            <w:pPr>
              <w:tabs>
                <w:tab w:val="left" w:pos="8640"/>
              </w:tabs>
              <w:rPr>
                <w:rFonts w:ascii="宋体" w:hAnsi="宋体" w:cs="宋体"/>
                <w:color w:val="000000" w:themeColor="text1"/>
                <w:sz w:val="24"/>
              </w:rPr>
            </w:pPr>
            <w:r>
              <w:rPr>
                <w:rFonts w:hint="eastAsia" w:ascii="宋体" w:hAnsi="宋体" w:cs="宋体"/>
                <w:color w:val="000000" w:themeColor="text1"/>
                <w:sz w:val="24"/>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jc w:val="center"/>
              <w:rPr>
                <w:rFonts w:ascii="宋体" w:hAnsi="宋体" w:cs="宋体"/>
                <w:color w:val="000000" w:themeColor="text1"/>
                <w:sz w:val="24"/>
              </w:rPr>
            </w:pPr>
            <w:r>
              <w:rPr>
                <w:rFonts w:hint="eastAsia" w:ascii="宋体" w:hAnsi="宋体" w:cs="宋体"/>
                <w:color w:val="000000" w:themeColor="text1"/>
                <w:sz w:val="24"/>
              </w:rPr>
              <w:t>授予合同</w:t>
            </w:r>
          </w:p>
        </w:tc>
        <w:tc>
          <w:tcPr>
            <w:tcW w:w="6615" w:type="dxa"/>
            <w:vAlign w:val="center"/>
          </w:tcPr>
          <w:p>
            <w:pPr>
              <w:tabs>
                <w:tab w:val="left" w:pos="8640"/>
              </w:tabs>
              <w:jc w:val="left"/>
              <w:rPr>
                <w:rFonts w:ascii="宋体" w:hAnsi="宋体" w:cs="宋体"/>
                <w:color w:val="000000" w:themeColor="text1"/>
                <w:sz w:val="24"/>
              </w:rPr>
            </w:pPr>
            <w:r>
              <w:rPr>
                <w:rFonts w:hint="eastAsia" w:ascii="宋体" w:hAnsi="宋体" w:cs="宋体"/>
                <w:color w:val="000000" w:themeColor="text1"/>
                <w:sz w:val="24"/>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18"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rPr>
            </w:pPr>
            <w:r>
              <w:rPr>
                <w:rFonts w:hint="eastAsia" w:ascii="宋体" w:hAnsi="宋体" w:cs="宋体"/>
                <w:color w:val="000000" w:themeColor="text1"/>
                <w:sz w:val="24"/>
              </w:rPr>
              <w:t>签订合同</w:t>
            </w:r>
          </w:p>
        </w:tc>
        <w:tc>
          <w:tcPr>
            <w:tcW w:w="6615" w:type="dxa"/>
            <w:vAlign w:val="center"/>
          </w:tcPr>
          <w:p>
            <w:pPr>
              <w:tabs>
                <w:tab w:val="left" w:pos="8640"/>
              </w:tabs>
              <w:ind w:left="-2" w:leftChars="-1"/>
              <w:rPr>
                <w:rFonts w:ascii="宋体" w:hAnsi="宋体" w:cs="宋体"/>
                <w:color w:val="000000" w:themeColor="text1"/>
                <w:sz w:val="24"/>
              </w:rPr>
            </w:pPr>
            <w:r>
              <w:rPr>
                <w:rFonts w:hint="eastAsia" w:ascii="宋体" w:hAnsi="宋体" w:cs="宋体"/>
                <w:color w:val="000000" w:themeColor="text1"/>
                <w:sz w:val="24"/>
              </w:rPr>
              <w:t>1）接到成交通知书30天内，成交供应商应与采购人签订采购合同。</w:t>
            </w:r>
          </w:p>
          <w:p>
            <w:pPr>
              <w:tabs>
                <w:tab w:val="left" w:pos="8640"/>
              </w:tabs>
              <w:ind w:left="-2" w:leftChars="-1"/>
              <w:rPr>
                <w:rFonts w:ascii="宋体" w:hAnsi="宋体" w:cs="宋体"/>
                <w:color w:val="000000" w:themeColor="text1"/>
                <w:sz w:val="24"/>
              </w:rPr>
            </w:pPr>
            <w:r>
              <w:rPr>
                <w:rFonts w:hint="eastAsia" w:ascii="宋体" w:hAnsi="宋体" w:cs="宋体"/>
                <w:color w:val="000000" w:themeColor="text1"/>
                <w:sz w:val="24"/>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rPr>
            </w:pPr>
            <w:r>
              <w:rPr>
                <w:rFonts w:hint="eastAsia" w:ascii="宋体" w:hAnsi="宋体" w:cs="宋体"/>
                <w:color w:val="000000" w:themeColor="text1"/>
                <w:sz w:val="24"/>
              </w:rPr>
              <w:t>投标保证金</w:t>
            </w:r>
          </w:p>
        </w:tc>
        <w:tc>
          <w:tcPr>
            <w:tcW w:w="6615" w:type="dxa"/>
            <w:vAlign w:val="center"/>
          </w:tcPr>
          <w:p>
            <w:pPr>
              <w:tabs>
                <w:tab w:val="left" w:pos="8640"/>
              </w:tabs>
              <w:ind w:left="-2" w:leftChars="-1"/>
              <w:rPr>
                <w:rFonts w:ascii="宋体" w:hAnsi="宋体" w:cs="宋体"/>
                <w:color w:val="000000" w:themeColor="text1"/>
                <w:sz w:val="24"/>
              </w:rPr>
            </w:pPr>
            <w:r>
              <w:rPr>
                <w:rFonts w:hint="eastAsia" w:ascii="宋体" w:hAnsi="宋体" w:cs="宋体"/>
                <w:color w:val="000000" w:themeColor="text1"/>
                <w:sz w:val="24"/>
              </w:rPr>
              <w:t>本项目不需要交纳投标保证金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tabs>
                <w:tab w:val="left" w:pos="8640"/>
              </w:tabs>
              <w:ind w:left="-2" w:leftChars="-1"/>
              <w:jc w:val="center"/>
              <w:rPr>
                <w:rFonts w:ascii="宋体" w:hAnsi="宋体" w:cs="宋体"/>
                <w:color w:val="000000" w:themeColor="text1"/>
                <w:sz w:val="24"/>
              </w:rPr>
            </w:pPr>
            <w:r>
              <w:rPr>
                <w:rFonts w:hint="eastAsia" w:ascii="宋体" w:hAnsi="宋体" w:cs="宋体"/>
                <w:color w:val="000000" w:themeColor="text1"/>
                <w:sz w:val="24"/>
              </w:rPr>
              <w:t>工期</w:t>
            </w:r>
          </w:p>
        </w:tc>
        <w:tc>
          <w:tcPr>
            <w:tcW w:w="6615" w:type="dxa"/>
            <w:vAlign w:val="center"/>
          </w:tcPr>
          <w:p>
            <w:pPr>
              <w:tabs>
                <w:tab w:val="left" w:pos="8640"/>
              </w:tabs>
              <w:ind w:left="-2" w:leftChars="-1"/>
              <w:rPr>
                <w:rFonts w:ascii="宋体" w:hAnsi="宋体" w:cs="宋体"/>
                <w:color w:val="000000" w:themeColor="text1"/>
                <w:sz w:val="24"/>
              </w:rPr>
            </w:pPr>
            <w:r>
              <w:rPr>
                <w:rFonts w:hint="eastAsia" w:ascii="宋体" w:hAnsi="宋体" w:cs="宋体"/>
                <w:color w:val="000000" w:themeColor="text1"/>
                <w:sz w:val="24"/>
              </w:rPr>
              <w:t>180日历天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rPr>
            </w:pPr>
            <w:r>
              <w:rPr>
                <w:rFonts w:hint="eastAsia" w:ascii="宋体" w:hAnsi="宋体" w:cs="宋体"/>
                <w:color w:val="000000" w:themeColor="text1"/>
                <w:sz w:val="24"/>
              </w:rPr>
              <w:t>履约保证金</w:t>
            </w:r>
          </w:p>
        </w:tc>
        <w:tc>
          <w:tcPr>
            <w:tcW w:w="6615" w:type="dxa"/>
            <w:vAlign w:val="center"/>
          </w:tcPr>
          <w:p>
            <w:pPr>
              <w:tabs>
                <w:tab w:val="left" w:pos="8640"/>
              </w:tabs>
              <w:jc w:val="left"/>
              <w:rPr>
                <w:rFonts w:ascii="宋体" w:hAnsi="宋体" w:cs="宋体"/>
                <w:color w:val="000000" w:themeColor="text1"/>
                <w:sz w:val="24"/>
              </w:rPr>
            </w:pPr>
            <w:r>
              <w:rPr>
                <w:rFonts w:hint="eastAsia" w:ascii="宋体" w:hAnsi="宋体" w:cs="宋体"/>
                <w:color w:val="000000" w:themeColor="text1"/>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tabs>
                <w:tab w:val="left" w:pos="8640"/>
              </w:tabs>
              <w:ind w:left="-2" w:leftChars="-1"/>
              <w:jc w:val="center"/>
              <w:rPr>
                <w:rFonts w:ascii="宋体" w:hAnsi="宋体" w:cs="宋体"/>
                <w:color w:val="0000FF"/>
                <w:sz w:val="24"/>
                <w:highlight w:val="none"/>
              </w:rPr>
            </w:pPr>
            <w:r>
              <w:rPr>
                <w:rFonts w:hint="eastAsia" w:ascii="宋体" w:hAnsi="宋体" w:cs="宋体"/>
                <w:color w:val="000000" w:themeColor="text1"/>
                <w:sz w:val="24"/>
                <w:highlight w:val="none"/>
              </w:rPr>
              <w:t>付款方式</w:t>
            </w:r>
          </w:p>
        </w:tc>
        <w:tc>
          <w:tcPr>
            <w:tcW w:w="6615" w:type="dxa"/>
            <w:vAlign w:val="center"/>
          </w:tcPr>
          <w:p>
            <w:pPr>
              <w:tabs>
                <w:tab w:val="left" w:pos="8640"/>
              </w:tabs>
              <w:ind w:left="-2" w:leftChars="-1"/>
              <w:rPr>
                <w:rFonts w:hint="default" w:eastAsia="宋体"/>
                <w:highlight w:val="none"/>
                <w:lang w:val="en-US" w:eastAsia="zh-CN"/>
              </w:rPr>
            </w:pPr>
            <w:r>
              <w:rPr>
                <w:rFonts w:hint="eastAsia" w:ascii="宋体" w:hAnsi="宋体" w:cs="宋体"/>
                <w:color w:val="000000" w:themeColor="text1"/>
                <w:sz w:val="24"/>
                <w:highlight w:val="none"/>
                <w:lang w:val="en-US" w:eastAsia="zh-CN"/>
              </w:rPr>
              <w:t>1标段：</w:t>
            </w:r>
            <w:r>
              <w:rPr>
                <w:rFonts w:hint="eastAsia" w:ascii="宋体" w:hAnsi="宋体" w:cs="宋体"/>
                <w:color w:val="000000" w:themeColor="text1"/>
                <w:sz w:val="24"/>
                <w:highlight w:val="none"/>
              </w:rPr>
              <w:t>项目完成总工程量支付总工程款的60%；工程竣工验收合格，审计结束支付总工程款的37%；</w:t>
            </w:r>
            <w:r>
              <w:rPr>
                <w:rFonts w:hint="eastAsia" w:ascii="宋体" w:hAnsi="宋体" w:cs="宋体"/>
                <w:color w:val="000000" w:themeColor="text1"/>
                <w:sz w:val="24"/>
                <w:highlight w:val="none"/>
                <w:lang w:val="en-US" w:eastAsia="zh-CN"/>
              </w:rPr>
              <w:t>一年后</w:t>
            </w:r>
            <w:r>
              <w:rPr>
                <w:rFonts w:hint="eastAsia" w:ascii="宋体" w:hAnsi="宋体" w:cs="宋体"/>
                <w:color w:val="000000" w:themeColor="text1"/>
                <w:sz w:val="24"/>
                <w:highlight w:val="none"/>
              </w:rPr>
              <w:t>支付3%尾款。</w:t>
            </w:r>
            <w:r>
              <w:rPr>
                <w:rFonts w:hint="eastAsia" w:ascii="宋体" w:hAnsi="宋体" w:cs="宋体"/>
                <w:color w:val="000000" w:themeColor="text1"/>
                <w:sz w:val="24"/>
                <w:highlight w:val="none"/>
                <w:lang w:val="en-US" w:eastAsia="zh-CN"/>
              </w:rPr>
              <w:t>2标段：验收合格后付清项目总额。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勘察现场</w:t>
            </w:r>
          </w:p>
        </w:tc>
        <w:tc>
          <w:tcPr>
            <w:tcW w:w="6615" w:type="dxa"/>
            <w:vAlign w:val="center"/>
          </w:tcPr>
          <w:p>
            <w:pPr>
              <w:bidi w:val="0"/>
              <w:rPr>
                <w:rFonts w:hint="default"/>
                <w:highlight w:val="none"/>
                <w:lang w:val="en-US" w:eastAsia="zh-CN"/>
              </w:rPr>
            </w:pPr>
            <w:r>
              <w:rPr>
                <w:rFonts w:hint="eastAsia"/>
                <w:highlight w:val="none"/>
                <w:lang w:val="en-US" w:eastAsia="zh-CN"/>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rPr>
            </w:pPr>
            <w:r>
              <w:rPr>
                <w:rFonts w:hint="eastAsia" w:ascii="宋体" w:hAnsi="宋体" w:cs="宋体"/>
                <w:color w:val="000000" w:themeColor="text1"/>
                <w:sz w:val="24"/>
              </w:rPr>
              <w:t>其他</w:t>
            </w:r>
          </w:p>
        </w:tc>
        <w:tc>
          <w:tcPr>
            <w:tcW w:w="6615" w:type="dxa"/>
            <w:vAlign w:val="center"/>
          </w:tcPr>
          <w:p>
            <w:pPr>
              <w:widowControl/>
              <w:adjustRightInd w:val="0"/>
              <w:snapToGrid w:val="0"/>
              <w:spacing w:line="460" w:lineRule="exact"/>
              <w:rPr>
                <w:rFonts w:hint="eastAsia" w:ascii="宋体" w:hAnsi="宋体" w:eastAsia="宋体" w:cs="宋体"/>
                <w:b/>
                <w:color w:val="000000" w:themeColor="text1"/>
                <w:sz w:val="24"/>
                <w:lang w:val="en-US" w:eastAsia="zh-CN"/>
              </w:rPr>
            </w:pPr>
            <w:r>
              <w:rPr>
                <w:rFonts w:hint="eastAsia" w:ascii="宋体" w:hAnsi="宋体" w:cs="宋体"/>
                <w:b/>
                <w:color w:val="000000" w:themeColor="text1"/>
                <w:sz w:val="24"/>
              </w:rPr>
              <w:t>本项目招标控制价</w:t>
            </w:r>
            <w:r>
              <w:rPr>
                <w:rFonts w:hint="eastAsia" w:ascii="宋体" w:hAnsi="宋体" w:cs="宋体"/>
                <w:b/>
                <w:color w:val="000000" w:themeColor="text1"/>
                <w:sz w:val="24"/>
                <w:lang w:eastAsia="zh-CN"/>
              </w:rPr>
              <w:t>：</w:t>
            </w:r>
            <w:r>
              <w:rPr>
                <w:rFonts w:hint="eastAsia" w:ascii="宋体" w:hAnsi="宋体" w:cs="宋体"/>
                <w:color w:val="000000" w:themeColor="text1"/>
                <w:sz w:val="24"/>
              </w:rPr>
              <w:t>1084717.20</w:t>
            </w:r>
            <w:r>
              <w:rPr>
                <w:rFonts w:hint="eastAsia" w:ascii="宋体" w:hAnsi="宋体" w:cs="宋体"/>
                <w:color w:val="000000" w:themeColor="text1"/>
                <w:sz w:val="24"/>
                <w:lang w:val="en-US" w:eastAsia="zh-CN"/>
              </w:rPr>
              <w:t>元</w:t>
            </w:r>
          </w:p>
          <w:p>
            <w:pPr>
              <w:tabs>
                <w:tab w:val="left" w:pos="8640"/>
              </w:tabs>
              <w:jc w:val="left"/>
              <w:rPr>
                <w:rFonts w:ascii="宋体" w:hAnsi="宋体" w:cs="宋体"/>
                <w:color w:val="000000" w:themeColor="text1"/>
                <w:sz w:val="24"/>
              </w:rPr>
            </w:pPr>
            <w:r>
              <w:rPr>
                <w:rFonts w:hint="eastAsia" w:ascii="宋体" w:hAnsi="宋体" w:cs="宋体"/>
                <w:b/>
                <w:color w:val="000000" w:themeColor="text1"/>
                <w:sz w:val="24"/>
              </w:rPr>
              <w:t>竞争性磋商申请报价高于招标控制价的视无效投标。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5"/>
              </w:numPr>
              <w:spacing w:before="156" w:beforeLines="50"/>
              <w:jc w:val="center"/>
              <w:rPr>
                <w:rFonts w:ascii="宋体" w:hAnsi="宋体" w:cs="宋体"/>
                <w:color w:val="000000" w:themeColor="text1"/>
                <w:sz w:val="24"/>
              </w:rPr>
            </w:pPr>
          </w:p>
        </w:tc>
        <w:tc>
          <w:tcPr>
            <w:tcW w:w="1995" w:type="dxa"/>
            <w:vAlign w:val="center"/>
          </w:tcPr>
          <w:p>
            <w:pPr>
              <w:spacing w:before="156" w:beforeLines="50"/>
              <w:ind w:firstLine="14" w:firstLineChars="6"/>
              <w:jc w:val="center"/>
              <w:rPr>
                <w:rFonts w:ascii="宋体" w:hAnsi="宋体" w:cs="宋体"/>
                <w:color w:val="000000" w:themeColor="text1"/>
                <w:sz w:val="24"/>
              </w:rPr>
            </w:pPr>
            <w:r>
              <w:rPr>
                <w:rFonts w:hint="eastAsia" w:ascii="宋体" w:hAnsi="宋体" w:cs="宋体"/>
                <w:color w:val="000000" w:themeColor="text1"/>
                <w:sz w:val="24"/>
              </w:rPr>
              <w:t>报价</w:t>
            </w:r>
          </w:p>
        </w:tc>
        <w:tc>
          <w:tcPr>
            <w:tcW w:w="6615" w:type="dxa"/>
            <w:vAlign w:val="center"/>
          </w:tcPr>
          <w:p>
            <w:pPr>
              <w:tabs>
                <w:tab w:val="left" w:pos="8640"/>
              </w:tabs>
              <w:jc w:val="left"/>
              <w:rPr>
                <w:rFonts w:ascii="宋体" w:hAnsi="宋体" w:cs="宋体"/>
                <w:b/>
                <w:color w:val="000000" w:themeColor="text1"/>
                <w:sz w:val="24"/>
              </w:rPr>
            </w:pPr>
            <w:r>
              <w:rPr>
                <w:rFonts w:hint="eastAsia" w:ascii="宋体" w:hAnsi="宋体" w:cs="宋体"/>
                <w:b/>
                <w:color w:val="000000" w:themeColor="text1"/>
                <w:sz w:val="24"/>
              </w:rPr>
              <w:t>本项目采用一次报价</w:t>
            </w:r>
          </w:p>
        </w:tc>
      </w:tr>
    </w:tbl>
    <w:p>
      <w:pPr>
        <w:pStyle w:val="45"/>
        <w:ind w:firstLine="0" w:firstLineChars="0"/>
        <w:rPr>
          <w:rFonts w:ascii="宋体" w:hAnsi="宋体" w:eastAsia="宋体" w:cs="宋体"/>
          <w:b/>
          <w:color w:val="000000" w:themeColor="text1"/>
          <w:sz w:val="24"/>
        </w:rPr>
      </w:pPr>
    </w:p>
    <w:p>
      <w:pPr>
        <w:spacing w:line="720" w:lineRule="auto"/>
        <w:jc w:val="center"/>
        <w:rPr>
          <w:rFonts w:ascii="宋体" w:hAnsi="宋体" w:cs="宋体"/>
          <w:b/>
          <w:color w:val="000000" w:themeColor="text1"/>
          <w:sz w:val="24"/>
        </w:rPr>
      </w:pPr>
    </w:p>
    <w:p>
      <w:pPr>
        <w:spacing w:line="720" w:lineRule="auto"/>
        <w:jc w:val="center"/>
        <w:rPr>
          <w:rFonts w:ascii="宋体" w:hAnsi="宋体" w:cs="宋体"/>
          <w:b/>
          <w:color w:val="000000" w:themeColor="text1"/>
          <w:sz w:val="24"/>
        </w:rPr>
      </w:pPr>
    </w:p>
    <w:p>
      <w:pPr>
        <w:pStyle w:val="2"/>
        <w:ind w:firstLine="241"/>
        <w:rPr>
          <w:rFonts w:ascii="宋体" w:hAnsi="宋体" w:cs="宋体"/>
          <w:b/>
          <w:color w:val="000000" w:themeColor="text1"/>
          <w:sz w:val="24"/>
        </w:rPr>
      </w:pPr>
    </w:p>
    <w:p>
      <w:pPr>
        <w:pStyle w:val="2"/>
        <w:ind w:firstLine="241"/>
        <w:rPr>
          <w:rFonts w:ascii="宋体" w:hAnsi="宋体" w:cs="宋体"/>
          <w:b/>
          <w:color w:val="000000" w:themeColor="text1"/>
          <w:sz w:val="24"/>
        </w:rPr>
      </w:pPr>
    </w:p>
    <w:p>
      <w:pPr>
        <w:spacing w:line="720" w:lineRule="auto"/>
        <w:jc w:val="center"/>
        <w:rPr>
          <w:rFonts w:hint="eastAsia" w:ascii="宋体" w:hAnsi="宋体" w:cs="宋体"/>
          <w:b/>
          <w:color w:val="000000" w:themeColor="text1"/>
          <w:sz w:val="24"/>
        </w:rPr>
        <w:sectPr>
          <w:pgSz w:w="11906" w:h="16838"/>
          <w:pgMar w:top="1474" w:right="1474" w:bottom="1474" w:left="1474" w:header="851" w:footer="743" w:gutter="0"/>
          <w:pgNumType w:start="1"/>
          <w:cols w:space="0" w:num="1"/>
          <w:titlePg/>
          <w:docGrid w:type="lines" w:linePitch="312" w:charSpace="0"/>
        </w:sectPr>
      </w:pP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一、总则</w:t>
      </w:r>
    </w:p>
    <w:p>
      <w:pPr>
        <w:spacing w:line="56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1．适用范围</w:t>
      </w:r>
    </w:p>
    <w:p>
      <w:pPr>
        <w:spacing w:line="56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1.1本竞争性磋商文件仅适用于本次竞争性磋商邀请函中所述</w:t>
      </w:r>
      <w:r>
        <w:rPr>
          <w:rFonts w:hint="eastAsia" w:ascii="宋体" w:hAnsi="宋体" w:cs="宋体"/>
          <w:bCs/>
          <w:color w:val="000000" w:themeColor="text1"/>
          <w:sz w:val="24"/>
        </w:rPr>
        <w:t>项目。</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2．定义</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2.1“采购代理机构”：周口市公共资源交易中心政府采购中心。</w:t>
      </w:r>
    </w:p>
    <w:p>
      <w:pPr>
        <w:tabs>
          <w:tab w:val="left" w:pos="0"/>
        </w:tabs>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2.2“采购人”： </w:t>
      </w:r>
      <w:r>
        <w:rPr>
          <w:rFonts w:hint="eastAsia" w:ascii="宋体" w:hAnsi="宋体" w:cs="宋体"/>
          <w:color w:val="000000" w:themeColor="text1"/>
          <w:sz w:val="24"/>
          <w:lang w:val="en-US" w:eastAsia="zh-CN"/>
        </w:rPr>
        <w:t>商水县自然资源局</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2.4“供应商代表”：系指代表供应商参加本次竞争性磋商活动的供应商的法定代表人或其委托代理人。</w:t>
      </w:r>
    </w:p>
    <w:p>
      <w:pPr>
        <w:tabs>
          <w:tab w:val="left" w:pos="720"/>
          <w:tab w:val="left" w:pos="819"/>
        </w:tabs>
        <w:autoSpaceDE w:val="0"/>
        <w:autoSpaceDN w:val="0"/>
        <w:spacing w:before="194" w:line="388" w:lineRule="auto"/>
        <w:ind w:right="612" w:firstLine="480" w:firstLineChars="200"/>
        <w:rPr>
          <w:rFonts w:ascii="宋体" w:hAnsi="宋体" w:cs="宋体"/>
          <w:color w:val="000000" w:themeColor="text1"/>
          <w:sz w:val="24"/>
        </w:rPr>
      </w:pPr>
      <w:r>
        <w:rPr>
          <w:rFonts w:hint="eastAsia" w:ascii="宋体" w:hAnsi="宋体" w:cs="宋体"/>
          <w:color w:val="000000" w:themeColor="text1"/>
          <w:sz w:val="24"/>
        </w:rPr>
        <w:t>2.5“工程“：——指磋商供应商按磋商文件规定，须为采购人提供的工程施工及服务。</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2.8“不具备良好的商业信誉”是指：</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（1）有重大违法记录的（满三年的除外）；</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（2）被各级财政部门列入政府采购严重违法失信行为信息记录的（期限已满的除外）；</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（3）被各级政府采购监督管理部门禁止在一定期限内参加政府采购活动等处罚的（期限已满的除外）；</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（4）被各级法院列入失信名单的（已依法解除的除外）；</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（5）法律法规规定的其他情形。</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3.采购预算</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3.1本次采购预算：见公告。</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4.合格的供应商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4.1.1符合供应商资格条件（详见第一部分供应商资格条件），并提供合格供应商的声明函</w:t>
      </w:r>
    </w:p>
    <w:p>
      <w:pPr>
        <w:widowControl/>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4.1.2 政府采购供应商诚信承诺书；</w:t>
      </w:r>
    </w:p>
    <w:p>
      <w:pPr>
        <w:pStyle w:val="91"/>
        <w:spacing w:line="360" w:lineRule="auto"/>
        <w:ind w:firstLine="480" w:firstLineChars="200"/>
        <w:rPr>
          <w:rFonts w:hAnsi="宋体" w:eastAsia="宋体"/>
          <w:color w:val="000000" w:themeColor="text1"/>
          <w:kern w:val="2"/>
          <w:sz w:val="24"/>
          <w:lang w:val="en-US"/>
        </w:rPr>
      </w:pPr>
      <w:r>
        <w:rPr>
          <w:rFonts w:hint="eastAsia" w:hAnsi="宋体" w:eastAsia="宋体"/>
          <w:color w:val="000000" w:themeColor="text1"/>
          <w:kern w:val="2"/>
          <w:sz w:val="24"/>
          <w:lang w:val="en-US"/>
        </w:rPr>
        <w:t>4.1.3 供应商自觉抵制政府采购领域商业贿赂行为承诺书；</w:t>
      </w:r>
    </w:p>
    <w:p>
      <w:pPr>
        <w:pStyle w:val="91"/>
        <w:spacing w:line="360" w:lineRule="auto"/>
        <w:ind w:firstLine="480" w:firstLineChars="200"/>
        <w:rPr>
          <w:rFonts w:hAnsi="宋体" w:eastAsia="宋体"/>
          <w:color w:val="000000" w:themeColor="text1"/>
          <w:spacing w:val="15"/>
          <w:sz w:val="24"/>
        </w:rPr>
      </w:pPr>
      <w:r>
        <w:rPr>
          <w:rFonts w:hint="eastAsia" w:hAnsi="宋体" w:eastAsia="宋体"/>
          <w:color w:val="000000" w:themeColor="text1"/>
          <w:kern w:val="2"/>
          <w:sz w:val="24"/>
          <w:lang w:val="en-US"/>
        </w:rPr>
        <w:t>4.2符合本竞争性磋商文件规定的供应商资格要求及</w:t>
      </w:r>
      <w:r>
        <w:rPr>
          <w:rFonts w:hint="eastAsia" w:hAnsi="宋体" w:eastAsia="宋体"/>
          <w:color w:val="000000" w:themeColor="text1"/>
          <w:sz w:val="24"/>
        </w:rPr>
        <w:t>项目要求的其它条件，并按照要求提供相关证明材料。</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4.3供应商应遵守国家法律、法规有关竞争性磋商的规定。</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4.4 凡通过磋商小组符合性审查的供应商均为合格供应商。未通过符合性审查的供应商将视为不响应本项目的竞争性磋商文件被否决。</w:t>
      </w:r>
    </w:p>
    <w:p>
      <w:pPr>
        <w:spacing w:line="560" w:lineRule="exact"/>
        <w:ind w:firstLine="480" w:firstLineChars="200"/>
        <w:rPr>
          <w:rFonts w:ascii="宋体" w:hAnsi="宋体" w:cs="宋体"/>
          <w:color w:val="000000" w:themeColor="text1"/>
          <w:sz w:val="24"/>
          <w:u w:val="none"/>
        </w:rPr>
      </w:pPr>
      <w:r>
        <w:rPr>
          <w:rFonts w:hint="eastAsia" w:ascii="宋体" w:hAnsi="宋体" w:cs="宋体"/>
          <w:color w:val="000000" w:themeColor="text1"/>
          <w:sz w:val="24"/>
          <w:u w:val="none"/>
        </w:rPr>
        <w:t>注：单位负责人为同一人或者存在直接控股、管理关系的不同供应商，不得参加同一合同项下的政府采购活动。</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5.竞争性磋商文件的约束力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5.l供应商一旦参加竞争性磋商会，即被认为接受了本竞争性磋商文件中的所有条款和规定。</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5.3本磋商文件由采购人负责解释。</w:t>
      </w:r>
    </w:p>
    <w:p>
      <w:pPr>
        <w:pStyle w:val="45"/>
        <w:ind w:firstLine="480"/>
        <w:rPr>
          <w:rFonts w:ascii="宋体" w:hAnsi="宋体" w:eastAsia="宋体" w:cs="宋体"/>
          <w:color w:val="000000" w:themeColor="text1"/>
          <w:sz w:val="24"/>
        </w:rPr>
      </w:pP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二、竞争性磋商文件</w:t>
      </w:r>
    </w:p>
    <w:p>
      <w:pPr>
        <w:tabs>
          <w:tab w:val="left" w:pos="632"/>
          <w:tab w:val="left" w:pos="790"/>
        </w:tabs>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6．竞争性磋商文件的组成</w:t>
      </w:r>
    </w:p>
    <w:p>
      <w:pPr>
        <w:autoSpaceDE w:val="0"/>
        <w:autoSpaceDN w:val="0"/>
        <w:adjustRightInd w:val="0"/>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6.1竞争性磋商</w:t>
      </w:r>
      <w:r>
        <w:rPr>
          <w:rFonts w:hint="eastAsia" w:ascii="宋体" w:hAnsi="宋体" w:cs="宋体"/>
          <w:color w:val="000000" w:themeColor="text1"/>
          <w:sz w:val="24"/>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（1）竞争性磋商邀请函；</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（2）供应商须知；</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（3）采购项目内容及要求；</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（4）响应性文件内容及格式；</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（5）周口市政府采购合同（工程类）标准文本。</w:t>
      </w:r>
    </w:p>
    <w:p>
      <w:pPr>
        <w:spacing w:line="560" w:lineRule="auto"/>
        <w:ind w:firstLine="480"/>
        <w:rPr>
          <w:rFonts w:ascii="宋体" w:hAnsi="宋体" w:cs="宋体"/>
          <w:color w:val="000000" w:themeColor="text1"/>
          <w:sz w:val="24"/>
        </w:rPr>
      </w:pPr>
      <w:r>
        <w:rPr>
          <w:rFonts w:hint="eastAsia" w:ascii="宋体" w:hAnsi="宋体" w:cs="宋体"/>
          <w:color w:val="000000" w:themeColor="text1"/>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ascii="宋体" w:hAnsi="宋体" w:cs="宋体"/>
          <w:color w:val="000000" w:themeColor="text1"/>
          <w:sz w:val="24"/>
        </w:rPr>
        <w:t>投标人如对竞争性蹉商文件无异议</w:t>
      </w:r>
      <w:r>
        <w:rPr>
          <w:rFonts w:hint="eastAsia" w:ascii="宋体" w:hAnsi="宋体" w:cs="宋体"/>
          <w:color w:val="000000" w:themeColor="text1"/>
          <w:sz w:val="24"/>
        </w:rPr>
        <w:t>，</w:t>
      </w:r>
      <w:r>
        <w:rPr>
          <w:rFonts w:ascii="宋体" w:hAnsi="宋体" w:cs="宋体"/>
          <w:color w:val="000000" w:themeColor="text1"/>
          <w:sz w:val="24"/>
        </w:rPr>
        <w:t>出具确认书</w:t>
      </w:r>
      <w:r>
        <w:rPr>
          <w:rFonts w:hint="eastAsia" w:ascii="宋体" w:hAnsi="宋体" w:cs="宋体"/>
          <w:color w:val="000000" w:themeColor="text1"/>
          <w:sz w:val="24"/>
        </w:rPr>
        <w:t>，</w:t>
      </w:r>
      <w:r>
        <w:rPr>
          <w:rFonts w:ascii="宋体" w:hAnsi="宋体" w:cs="宋体"/>
          <w:color w:val="000000" w:themeColor="text1"/>
          <w:sz w:val="24"/>
        </w:rPr>
        <w:t>确认竞争性蹉商文件清晰无异议</w:t>
      </w:r>
      <w:r>
        <w:rPr>
          <w:rFonts w:hint="eastAsia" w:ascii="宋体" w:hAnsi="宋体" w:cs="宋体"/>
          <w:color w:val="000000" w:themeColor="text1"/>
          <w:sz w:val="24"/>
        </w:rPr>
        <w:t>。</w:t>
      </w:r>
      <w:r>
        <w:rPr>
          <w:rFonts w:ascii="宋体" w:hAnsi="宋体" w:cs="宋体"/>
          <w:color w:val="000000" w:themeColor="text1"/>
          <w:sz w:val="24"/>
        </w:rPr>
        <w:t>确认书作为资格审查资料</w:t>
      </w:r>
      <w:r>
        <w:rPr>
          <w:rFonts w:hint="eastAsia" w:ascii="宋体" w:hAnsi="宋体" w:cs="宋体"/>
          <w:color w:val="000000" w:themeColor="text1"/>
          <w:sz w:val="24"/>
        </w:rPr>
        <w:t>。</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7.竞争性磋商文件的澄清与修改</w:t>
      </w:r>
    </w:p>
    <w:p>
      <w:pPr>
        <w:autoSpaceDE w:val="0"/>
        <w:autoSpaceDN w:val="0"/>
        <w:adjustRightInd w:val="0"/>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三、响应性文件的编制</w:t>
      </w:r>
    </w:p>
    <w:p>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8.要求</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8.1供应商应仔细阅读、并充分理解竞争性磋商文件的所有内容，按照竞争性磋商文件的要求编制、提交响应性文件</w:t>
      </w:r>
      <w:r>
        <w:rPr>
          <w:rFonts w:hint="eastAsia" w:ascii="宋体" w:hAnsi="宋体" w:cs="宋体"/>
          <w:color w:val="000000" w:themeColor="text1"/>
          <w:spacing w:val="-3"/>
          <w:sz w:val="24"/>
        </w:rPr>
        <w:t>，如果有异议在规定的时间内提出。</w:t>
      </w:r>
      <w:r>
        <w:rPr>
          <w:rFonts w:hint="eastAsia" w:ascii="宋体" w:hAnsi="宋体" w:cs="宋体"/>
          <w:color w:val="000000" w:themeColor="text1"/>
          <w:sz w:val="24"/>
        </w:rPr>
        <w:t>响应性文件应对竞争性磋商文件的要求作出实质性响应，并保证及承诺所提供的全部资料的真实性、合法性，否则其响应性文件将作为无效处理。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8.2任何对竞争性磋商文件的忽略或误解不能作为响应性文件没有完全响应竞争性磋商文件的有效理由。</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8.3供应商没有按照竞争性磋商文件要求提供全部资料，或者供应商没有对竞争性磋商文件在各方面都作出实质性响应是供应商的风险，并可能导致其响应性文件被拒绝。</w:t>
      </w:r>
    </w:p>
    <w:p>
      <w:pPr>
        <w:pStyle w:val="2"/>
        <w:spacing w:line="360" w:lineRule="auto"/>
        <w:ind w:firstLine="240"/>
        <w:rPr>
          <w:rFonts w:ascii="宋体" w:hAnsi="宋体" w:cs="宋体"/>
          <w:color w:val="000000" w:themeColor="text1"/>
          <w:sz w:val="24"/>
        </w:rPr>
      </w:pPr>
      <w:r>
        <w:rPr>
          <w:rFonts w:hint="eastAsia" w:ascii="宋体" w:hAnsi="宋体" w:cs="宋体"/>
          <w:color w:val="000000" w:themeColor="text1"/>
          <w:sz w:val="24"/>
        </w:rPr>
        <w:t>8.4 供应商需承诺自行承担参加竞争性磋商采购活动有关的全部费用，竞争性磋商组织人在任何情况下均无义务和责任承担上述费用。</w:t>
      </w:r>
    </w:p>
    <w:p>
      <w:pPr>
        <w:widowControl/>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9.响应性文件的语言及度量衡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9.1响应性文件以及供应商与采购代理机构之间的所有书面往来都应用简体中文书写。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9.2供应商使用其他语言的，以中文翻译为准。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9.4本竞争性磋商文件所表述的时间均为北京时间。</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10.响应性文件的组成</w:t>
      </w:r>
    </w:p>
    <w:p>
      <w:pPr>
        <w:widowControl/>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10.1响应性文件由资格性证明材料、符合性证明材料、其他材料等组成。具体内容和格式见竞争性磋商文件第四章。</w:t>
      </w:r>
    </w:p>
    <w:p>
      <w:pPr>
        <w:spacing w:line="560" w:lineRule="auto"/>
        <w:ind w:firstLine="480"/>
        <w:rPr>
          <w:rFonts w:ascii="宋体" w:hAnsi="宋体" w:cs="宋体"/>
          <w:color w:val="000000" w:themeColor="text1"/>
          <w:sz w:val="24"/>
        </w:rPr>
      </w:pPr>
      <w:r>
        <w:rPr>
          <w:rFonts w:hint="eastAsia" w:ascii="宋体" w:hAnsi="宋体" w:cs="宋体"/>
          <w:color w:val="000000" w:themeColor="text1"/>
          <w:sz w:val="24"/>
        </w:rPr>
        <w:t>10.2响应文件应编制连续页码，除特殊规格的图纸或方案、图片资料等外，均应按A4规格制作。</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11.响应性文件格式</w:t>
      </w:r>
    </w:p>
    <w:p>
      <w:pPr>
        <w:widowControl/>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2" w:firstLineChars="200"/>
        <w:rPr>
          <w:rFonts w:ascii="宋体" w:hAnsi="宋体" w:cs="宋体"/>
          <w:b/>
          <w:bCs/>
          <w:color w:val="000000" w:themeColor="text1"/>
          <w:kern w:val="0"/>
          <w:sz w:val="24"/>
        </w:rPr>
      </w:pPr>
      <w:r>
        <w:rPr>
          <w:rFonts w:hint="eastAsia" w:ascii="宋体" w:hAnsi="宋体" w:cs="宋体"/>
          <w:b/>
          <w:bCs/>
          <w:color w:val="000000" w:themeColor="text1"/>
          <w:kern w:val="0"/>
          <w:sz w:val="24"/>
        </w:rPr>
        <w:t>12.竞争性磋商报价</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12.1报价包括所投工程、税费、材料、现场落地、验收和交付后约定期限内免费维保等工作所发生的一切应有费用。确保整体通过用户方及有关主管部门验收，所发生的的验收费用由供应商承诺承担；</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12.2最终报价不得超过采购预算。</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12.3报价均须以人民币为计算单位。</w:t>
      </w:r>
    </w:p>
    <w:p>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 xml:space="preserve">13．响应性文件有效期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13.l响应性文件有效期为响应文件递交截止之日起60天，有效期短于此规定的响应性文件将被视为无效。</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14.响应性文件的签署、盖章</w:t>
      </w:r>
    </w:p>
    <w:p>
      <w:pPr>
        <w:spacing w:line="560" w:lineRule="exact"/>
        <w:ind w:firstLine="480" w:firstLineChars="200"/>
        <w:rPr>
          <w:rFonts w:ascii="宋体" w:hAnsi="宋体" w:cs="宋体"/>
          <w:color w:val="000000" w:themeColor="text1"/>
          <w:sz w:val="24"/>
          <w:highlight w:val="yellow"/>
        </w:rPr>
      </w:pPr>
      <w:r>
        <w:rPr>
          <w:rFonts w:hint="eastAsia" w:ascii="宋体" w:hAnsi="宋体" w:cs="宋体"/>
          <w:color w:val="000000" w:themeColor="text1"/>
          <w:sz w:val="24"/>
        </w:rPr>
        <w:t>14.1</w:t>
      </w:r>
      <w:r>
        <w:rPr>
          <w:rFonts w:hint="eastAsia" w:ascii="宋体" w:hAnsi="宋体" w:cs="宋体"/>
          <w:color w:val="000000" w:themeColor="text1"/>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highlight w:val="none"/>
        </w:rPr>
        <w:t>14.2响应性文件应无涂改和行间插</w:t>
      </w:r>
      <w:r>
        <w:rPr>
          <w:rFonts w:hint="eastAsia" w:ascii="宋体" w:hAnsi="宋体" w:cs="宋体"/>
          <w:color w:val="000000" w:themeColor="text1"/>
          <w:sz w:val="24"/>
        </w:rPr>
        <w:t>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14.3供应商提交的资料应证明其满足竞争性磋商文件要求，该文件可以是文字资料、图纸和数据等详细描述的资料。</w:t>
      </w:r>
    </w:p>
    <w:p>
      <w:pPr>
        <w:numPr>
          <w:ilvl w:val="0"/>
          <w:numId w:val="6"/>
        </w:num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响应性文件的递交</w:t>
      </w:r>
    </w:p>
    <w:p>
      <w:pPr>
        <w:spacing w:line="560" w:lineRule="exact"/>
        <w:ind w:firstLine="240" w:firstLineChars="100"/>
        <w:rPr>
          <w:rFonts w:ascii="宋体" w:hAnsi="宋体" w:cs="宋体"/>
          <w:color w:val="000000" w:themeColor="text1"/>
          <w:sz w:val="24"/>
        </w:rPr>
      </w:pPr>
      <w:r>
        <w:rPr>
          <w:rFonts w:hint="eastAsia" w:ascii="宋体" w:hAnsi="宋体" w:cs="宋体"/>
          <w:color w:val="000000" w:themeColor="text1"/>
          <w:sz w:val="24"/>
        </w:rPr>
        <w:t>加密的电子磋商响应文件，应在磋商截止时间前通过周口市公共资源交易中心会员系统上传；本项目实行网上远程开标，未加密的电子响应文件和纸质响应文件均不再提交。在解密响应文件开始时30分钟内进行解密，超时视为放弃递交响应文件。</w:t>
      </w:r>
    </w:p>
    <w:p>
      <w:pPr>
        <w:spacing w:line="560" w:lineRule="exact"/>
        <w:rPr>
          <w:rFonts w:ascii="宋体" w:hAnsi="宋体" w:cs="宋体"/>
          <w:color w:val="000000" w:themeColor="text1"/>
          <w:sz w:val="24"/>
        </w:rPr>
      </w:pPr>
      <w:r>
        <w:rPr>
          <w:rFonts w:hint="eastAsia" w:ascii="宋体" w:hAnsi="宋体" w:cs="宋体"/>
          <w:color w:val="000000" w:themeColor="text1"/>
          <w:sz w:val="24"/>
        </w:rPr>
        <w:t>注：加密的电子响应文件为使用周口市公共资源交易中心提供的电子标书制作工具软件（http://jyzx.zhoukou.gov.cn网上下载）制作生成的加密版响应文件。投标人报名成功后，如未在竞争性磋商文件规定的投标时间截止前上传网上响应文件，投标无效。</w:t>
      </w:r>
    </w:p>
    <w:p>
      <w:pPr>
        <w:spacing w:line="560" w:lineRule="exact"/>
        <w:rPr>
          <w:rFonts w:ascii="宋体" w:hAnsi="宋体" w:cs="宋体"/>
          <w:color w:val="000000" w:themeColor="text1"/>
          <w:sz w:val="24"/>
        </w:rPr>
      </w:pPr>
      <w:r>
        <w:rPr>
          <w:rFonts w:hint="eastAsia" w:ascii="宋体" w:hAnsi="宋体" w:cs="宋体"/>
          <w:color w:val="000000" w:themeColor="text1"/>
          <w:sz w:val="24"/>
        </w:rPr>
        <w:t>供应商须使用单位CA证书进行电子响应文件远程解密，详见周口市公共资源电子交易中心网站（网址：http://jyzx.zhoukou.gov.cn）办事指南《不见面开标远程在线解密会员端操作手册操作指南》。</w:t>
      </w:r>
    </w:p>
    <w:p>
      <w:pPr>
        <w:spacing w:line="560" w:lineRule="exact"/>
        <w:rPr>
          <w:rFonts w:ascii="宋体" w:hAnsi="宋体" w:cs="宋体"/>
          <w:b/>
          <w:color w:val="000000" w:themeColor="text1"/>
          <w:sz w:val="24"/>
        </w:rPr>
      </w:pPr>
      <w:r>
        <w:rPr>
          <w:rFonts w:hint="eastAsia" w:ascii="宋体" w:hAnsi="宋体" w:cs="宋体"/>
          <w:b/>
          <w:color w:val="000000" w:themeColor="text1"/>
          <w:sz w:val="24"/>
        </w:rPr>
        <w:t>16.响应性文件的递交</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16.2若采购人推迟了响应性文件接收截止时间，采购人和供应商受响应性文件接收截止时间制约的所有权利和义务均应以新的截止时间为准。 </w:t>
      </w:r>
    </w:p>
    <w:p>
      <w:pPr>
        <w:pStyle w:val="74"/>
        <w:spacing w:line="560" w:lineRule="exact"/>
        <w:ind w:firstLine="482" w:firstLineChars="200"/>
        <w:rPr>
          <w:rFonts w:ascii="宋体" w:hAnsi="宋体"/>
          <w:b/>
          <w:color w:val="000000" w:themeColor="text1"/>
          <w:sz w:val="24"/>
          <w:szCs w:val="24"/>
        </w:rPr>
      </w:pPr>
      <w:r>
        <w:rPr>
          <w:rFonts w:hint="eastAsia" w:ascii="宋体" w:hAnsi="宋体"/>
          <w:b/>
          <w:bCs/>
          <w:color w:val="000000" w:themeColor="text1"/>
          <w:sz w:val="24"/>
          <w:szCs w:val="24"/>
        </w:rPr>
        <w:t>17</w:t>
      </w:r>
      <w:r>
        <w:rPr>
          <w:rFonts w:hint="eastAsia" w:ascii="宋体" w:hAnsi="宋体"/>
          <w:b/>
          <w:color w:val="000000" w:themeColor="text1"/>
          <w:sz w:val="24"/>
          <w:szCs w:val="24"/>
        </w:rPr>
        <w:t>.响应性文件的修改和撤回</w:t>
      </w:r>
    </w:p>
    <w:p>
      <w:pPr>
        <w:pStyle w:val="74"/>
        <w:spacing w:line="560" w:lineRule="exact"/>
        <w:ind w:left="279" w:leftChars="133" w:firstLine="240" w:firstLineChars="100"/>
        <w:rPr>
          <w:rFonts w:ascii="宋体" w:hAnsi="宋体"/>
          <w:b/>
          <w:bCs/>
          <w:color w:val="000000" w:themeColor="text1"/>
          <w:sz w:val="24"/>
          <w:szCs w:val="24"/>
        </w:rPr>
      </w:pPr>
      <w:r>
        <w:rPr>
          <w:rFonts w:hint="eastAsia" w:ascii="宋体" w:hAnsi="宋体"/>
          <w:color w:val="000000" w:themeColor="text1"/>
          <w:sz w:val="24"/>
          <w:szCs w:val="24"/>
        </w:rPr>
        <w:t>17.1供应商在提交响应性文件截止时间前，可以对已上传的响应文件进行撤回补充、修改或撤回，补充、修改，之后进行再次上传，再次上传内容作为响应性文件的组成部分。</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17.2响应性文件的补充、修改文件应按照本竞争性磋商文件有关规定进行密封、签署，修改后的加密的电子响应文件须在投标截止时间前成功上传。 </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17.3供应商在响应性文件接收截止时间后不得修改、撤回响应性文件。供应商在响应性文件接收截止时间后修改响应性文件的，将被拒绝接受。</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17.4供应商有下列情形之一的，采购人将拒绝接受其响应性文件：</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17.4.1在竞争性磋商文件规定的响应性文件接收截止时间之后递交响应性文件的；</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17.4.2响应性文件未按竞争性磋商文件规定密封、签署、盖章的；</w:t>
      </w:r>
    </w:p>
    <w:p>
      <w:pPr>
        <w:pStyle w:val="74"/>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17.4.3一个供应商不止递交一套响应性文件的。</w:t>
      </w: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五、竞争性磋商</w:t>
      </w:r>
    </w:p>
    <w:p>
      <w:pPr>
        <w:spacing w:line="560" w:lineRule="exact"/>
        <w:ind w:firstLine="482" w:firstLineChars="200"/>
        <w:rPr>
          <w:rFonts w:ascii="宋体" w:hAnsi="宋体" w:cs="宋体"/>
          <w:b/>
          <w:color w:val="000000" w:themeColor="text1"/>
          <w:sz w:val="24"/>
          <w:lang w:val="zh-CN"/>
        </w:rPr>
      </w:pPr>
      <w:r>
        <w:rPr>
          <w:rFonts w:hint="eastAsia" w:ascii="宋体" w:hAnsi="宋体" w:cs="宋体"/>
          <w:b/>
          <w:color w:val="000000" w:themeColor="text1"/>
          <w:sz w:val="24"/>
        </w:rPr>
        <w:t>18.组建</w:t>
      </w:r>
      <w:r>
        <w:rPr>
          <w:rFonts w:hint="eastAsia" w:ascii="宋体" w:hAnsi="宋体" w:cs="宋体"/>
          <w:b/>
          <w:color w:val="000000" w:themeColor="text1"/>
          <w:sz w:val="24"/>
          <w:lang w:val="zh-CN"/>
        </w:rPr>
        <w:t>竞争性磋商小组</w:t>
      </w:r>
    </w:p>
    <w:p>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18.1采购人根据采购项目的特点依法组建竞争性磋商小组。</w:t>
      </w:r>
    </w:p>
    <w:p>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18.2竞争性磋商小组</w:t>
      </w:r>
      <w:r>
        <w:rPr>
          <w:rFonts w:hint="eastAsia" w:ascii="宋体" w:hAnsi="宋体" w:cs="宋体"/>
          <w:bCs/>
          <w:color w:val="000000" w:themeColor="text1"/>
          <w:kern w:val="0"/>
          <w:sz w:val="24"/>
        </w:rPr>
        <w:t>确认竞争性磋商文件，并</w:t>
      </w:r>
      <w:r>
        <w:rPr>
          <w:rFonts w:hint="eastAsia" w:ascii="宋体" w:hAnsi="宋体" w:cs="宋体"/>
          <w:color w:val="000000" w:themeColor="text1"/>
          <w:kern w:val="0"/>
          <w:sz w:val="24"/>
        </w:rPr>
        <w:t>负责具体评审事务，根据有关法律法规和竞争性磋商文件规定的评审程序，按照评审方法及评审标准独立履行竞争性磋商小组职责。</w:t>
      </w:r>
    </w:p>
    <w:p>
      <w:pPr>
        <w:pStyle w:val="2"/>
        <w:spacing w:line="360" w:lineRule="auto"/>
        <w:ind w:firstLine="360" w:firstLineChars="150"/>
        <w:rPr>
          <w:rFonts w:ascii="宋体" w:hAnsi="宋体" w:cs="宋体"/>
          <w:color w:val="000000" w:themeColor="text1"/>
          <w:kern w:val="0"/>
          <w:sz w:val="24"/>
        </w:rPr>
      </w:pPr>
      <w:r>
        <w:rPr>
          <w:rFonts w:hint="eastAsia" w:ascii="宋体" w:hAnsi="宋体" w:cs="宋体"/>
          <w:color w:val="000000" w:themeColor="text1"/>
          <w:kern w:val="0"/>
          <w:sz w:val="24"/>
        </w:rPr>
        <w:t>18.3投标人不得以任何方式干扰、影响评标工作。</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19.资格性和符合性审查</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响应文件为响应文件无效。</w:t>
      </w:r>
    </w:p>
    <w:p>
      <w:pPr>
        <w:spacing w:line="560" w:lineRule="exact"/>
        <w:ind w:firstLine="480" w:firstLineChars="200"/>
        <w:rPr>
          <w:rFonts w:ascii="宋体" w:hAnsi="宋体" w:cs="宋体"/>
          <w:b/>
          <w:bCs/>
          <w:color w:val="000000" w:themeColor="text1"/>
          <w:sz w:val="24"/>
        </w:rPr>
      </w:pPr>
      <w:r>
        <w:rPr>
          <w:rFonts w:hint="eastAsia" w:ascii="宋体" w:hAnsi="宋体" w:cs="宋体"/>
          <w:color w:val="000000" w:themeColor="text1"/>
          <w:sz w:val="24"/>
        </w:rPr>
        <w:t>19.1.1资格性审查的内容包括：竞争性磋商文件规定的供应商资格条件；</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19.2.1符合性审查的内容包括：</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（1）响应性文件的有效性(签署情况等)；</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（2）响应性文件的完整性；</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（3）对竞争性磋商文件的响应程度（是否存在重大负偏离等）。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注意事项：资格性、符合性证明材料见竞争性磋商文件第四章规定。</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19.6竞争性磋商小组审定响应性文件的响应性只根据响应性文件本身的内容而不寻求外部证据。</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19.7.1未按竞争性磋商文件规定要求</w:t>
      </w:r>
      <w:r>
        <w:rPr>
          <w:rFonts w:hint="eastAsia" w:ascii="宋体" w:hAnsi="宋体" w:cs="宋体"/>
          <w:color w:val="000000" w:themeColor="text1"/>
          <w:sz w:val="24"/>
          <w:lang w:val="zh-CN"/>
        </w:rPr>
        <w:t>签署、盖章的；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19.7.2资格证明文件不全的，或不符合竞争性磋商文件中规定的资格要求的；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19.7.3供应商代表未能出具有效身份证明，或与身份不符的；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19.7.4不符合竞争性磋商文件规定的实质性要求的；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19.7.5响应性文件内容不齐全或内容虚假的；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19.7.6响应性文件的实质性内容未使用中文表述；</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19.7.7响应性文件的内容修改处未按规定签名或盖章的；</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19.7.8违反法律、行政法规、竞争性磋商文件规定的其他情形的。</w:t>
      </w:r>
    </w:p>
    <w:p>
      <w:pPr>
        <w:pStyle w:val="45"/>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19.7.9不同供应商在同一台计算机生成的响应文件。</w:t>
      </w:r>
    </w:p>
    <w:p>
      <w:pPr>
        <w:pStyle w:val="45"/>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19.7.10未提供经会计师事务所或审计机构审计的财务会计报表，包括资产负债表、现金流量表、利润表和财务情况说明书；</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19.8.1不同供应商的响应性文件互相混装的；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19.8.2不同供应商授权同一人作为供应商委托代理人的；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19.8.3不同供应商的响应性文件载明的项目管理成员为同一人的；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19.8.4有证据证明供应商与采购人、采购代理机构或者其他供应商串通的其他情形；</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19.8.5竞争性磋商小组认定的其他串通情形。</w:t>
      </w:r>
    </w:p>
    <w:p>
      <w:pPr>
        <w:pStyle w:val="56"/>
        <w:rPr>
          <w:rFonts w:ascii="宋体" w:hAnsi="宋体" w:cs="宋体"/>
          <w:color w:val="000000" w:themeColor="text1"/>
          <w:sz w:val="24"/>
          <w:szCs w:val="24"/>
        </w:rPr>
      </w:pPr>
    </w:p>
    <w:tbl>
      <w:tblPr>
        <w:tblStyle w:val="4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10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92"/>
              <w:pBdr>
                <w:bottom w:val="none" w:color="auto" w:sz="0" w:space="0"/>
              </w:pBdr>
              <w:tabs>
                <w:tab w:val="clear" w:pos="4153"/>
                <w:tab w:val="clear" w:pos="8306"/>
              </w:tabs>
              <w:snapToGrid w:val="0"/>
              <w:spacing w:line="360" w:lineRule="auto"/>
              <w:ind w:right="-10"/>
              <w:textAlignment w:val="auto"/>
              <w:rPr>
                <w:rFonts w:ascii="宋体" w:hAnsi="宋体" w:cs="宋体"/>
                <w:b/>
                <w:color w:val="000000" w:themeColor="text1"/>
                <w:kern w:val="2"/>
                <w:szCs w:val="24"/>
              </w:rPr>
            </w:pPr>
            <w:r>
              <w:rPr>
                <w:rFonts w:hint="eastAsia" w:ascii="宋体" w:hAnsi="宋体" w:cs="宋体"/>
                <w:b/>
                <w:color w:val="000000" w:themeColor="text1"/>
                <w:kern w:val="2"/>
                <w:szCs w:val="24"/>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序号</w:t>
            </w:r>
          </w:p>
        </w:tc>
        <w:tc>
          <w:tcPr>
            <w:tcW w:w="2665" w:type="dxa"/>
            <w:tcBorders>
              <w:bottom w:val="single" w:color="auto" w:sz="4" w:space="0"/>
            </w:tcBorders>
            <w:vAlign w:val="center"/>
          </w:tcPr>
          <w:p>
            <w:pPr>
              <w:pStyle w:val="92"/>
              <w:pBdr>
                <w:bottom w:val="none" w:color="auto" w:sz="0" w:space="0"/>
              </w:pBdr>
              <w:tabs>
                <w:tab w:val="clear" w:pos="4153"/>
                <w:tab w:val="clear" w:pos="8306"/>
              </w:tabs>
              <w:snapToGrid w:val="0"/>
              <w:spacing w:line="360" w:lineRule="auto"/>
              <w:ind w:right="-10"/>
              <w:textAlignment w:val="auto"/>
              <w:rPr>
                <w:rFonts w:ascii="宋体" w:hAnsi="宋体" w:cs="宋体"/>
                <w:color w:val="000000" w:themeColor="text1"/>
                <w:kern w:val="2"/>
                <w:szCs w:val="24"/>
              </w:rPr>
            </w:pPr>
            <w:r>
              <w:rPr>
                <w:rFonts w:hint="eastAsia" w:ascii="宋体" w:hAnsi="宋体" w:cs="宋体"/>
                <w:color w:val="000000" w:themeColor="text1"/>
                <w:kern w:val="2"/>
                <w:szCs w:val="24"/>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指标要求</w:t>
            </w:r>
          </w:p>
        </w:tc>
        <w:tc>
          <w:tcPr>
            <w:tcW w:w="1070"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是否</w:t>
            </w:r>
          </w:p>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通过</w:t>
            </w:r>
          </w:p>
        </w:tc>
        <w:tc>
          <w:tcPr>
            <w:tcW w:w="2126"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响应文件格式及</w:t>
            </w:r>
          </w:p>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营业执照</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2</w:t>
            </w:r>
          </w:p>
        </w:tc>
        <w:tc>
          <w:tcPr>
            <w:tcW w:w="2665" w:type="dxa"/>
            <w:vAlign w:val="center"/>
          </w:tcPr>
          <w:p>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法定代表人及身份证</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3</w:t>
            </w:r>
          </w:p>
        </w:tc>
        <w:tc>
          <w:tcPr>
            <w:tcW w:w="2665" w:type="dxa"/>
            <w:vAlign w:val="center"/>
          </w:tcPr>
          <w:p>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纳税凭证和社保证明</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4</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财务审计报告</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5</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“信用中国”“中国政府采购网”查询</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6</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响应文件签字盖章格式</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7</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工期</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8</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响应文件有效期</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9</w:t>
            </w:r>
          </w:p>
        </w:tc>
        <w:tc>
          <w:tcPr>
            <w:tcW w:w="2665"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工程技术要求</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10</w:t>
            </w:r>
          </w:p>
        </w:tc>
        <w:tc>
          <w:tcPr>
            <w:tcW w:w="2665" w:type="dxa"/>
            <w:vAlign w:val="center"/>
          </w:tcPr>
          <w:p>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其他实质性要求</w:t>
            </w:r>
          </w:p>
        </w:tc>
        <w:tc>
          <w:tcPr>
            <w:tcW w:w="1937" w:type="dxa"/>
            <w:vAlign w:val="center"/>
          </w:tcPr>
          <w:p>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见竞争性磋商文件</w:t>
            </w:r>
          </w:p>
        </w:tc>
        <w:tc>
          <w:tcPr>
            <w:tcW w:w="1070" w:type="dxa"/>
            <w:vAlign w:val="center"/>
          </w:tcPr>
          <w:p>
            <w:pPr>
              <w:adjustRightInd w:val="0"/>
              <w:snapToGrid w:val="0"/>
              <w:spacing w:line="360" w:lineRule="auto"/>
              <w:ind w:right="-10"/>
              <w:rPr>
                <w:rFonts w:ascii="宋体" w:hAnsi="宋体" w:cs="宋体"/>
                <w:color w:val="000000" w:themeColor="text1"/>
                <w:sz w:val="24"/>
              </w:rPr>
            </w:pPr>
          </w:p>
        </w:tc>
        <w:tc>
          <w:tcPr>
            <w:tcW w:w="2126"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11</w:t>
            </w:r>
          </w:p>
        </w:tc>
        <w:tc>
          <w:tcPr>
            <w:tcW w:w="2665" w:type="dxa"/>
            <w:vAlign w:val="center"/>
          </w:tcPr>
          <w:p>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结论</w:t>
            </w:r>
          </w:p>
        </w:tc>
        <w:tc>
          <w:tcPr>
            <w:tcW w:w="5133" w:type="dxa"/>
            <w:gridSpan w:val="3"/>
            <w:vAlign w:val="center"/>
          </w:tcPr>
          <w:p>
            <w:pPr>
              <w:adjustRightInd w:val="0"/>
              <w:snapToGrid w:val="0"/>
              <w:spacing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是否通过审查</w:t>
            </w:r>
          </w:p>
        </w:tc>
      </w:tr>
    </w:tbl>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20.响应性文件的澄清</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20.4供应商的书面澄清材料作为响应性文件的补充。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20.5竞争性磋商小组不得接受供应商主动提出的澄清和解释。 </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20.6并非每个供应商都将被询问、澄清。</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21.竞争性磋商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21.1资格性审查和符合性审查合格的供应商，将进入本次竞争性磋商程序。</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21.2竞争性磋商将按照供应商的签到顺序进行。</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21.3磋商内容包括：</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21.3.1按照竞争性磋商文件中商务部分的内容，对照供应商提交的响应文件逐一进行比较各项指标和要求。</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21.3.2按照竞争性磋商文件中技术部分的内容，对照供应商提交的响应文件逐一进行比较各项指标和要求。</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21.3.4在磋商中，磋商的任何一方不得透露与磋商有关的其他供应商的技术资料及其他信息。</w:t>
      </w:r>
    </w:p>
    <w:p>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21.4</w:t>
      </w:r>
      <w:r>
        <w:rPr>
          <w:rFonts w:hint="eastAsia" w:ascii="宋体" w:hAnsi="宋体" w:cs="宋体"/>
          <w:color w:val="000000" w:themeColor="text1"/>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21.4.1</w:t>
      </w:r>
      <w:r>
        <w:rPr>
          <w:rFonts w:hint="eastAsia" w:ascii="宋体" w:hAnsi="宋体" w:cs="宋体"/>
          <w:color w:val="000000" w:themeColor="text1"/>
          <w:sz w:val="24"/>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21.4.2</w:t>
      </w:r>
      <w:r>
        <w:rPr>
          <w:rFonts w:hint="eastAsia" w:ascii="宋体" w:hAnsi="宋体" w:cs="宋体"/>
          <w:color w:val="000000" w:themeColor="text1"/>
          <w:sz w:val="24"/>
          <w:lang w:val="zh-CN"/>
        </w:rPr>
        <w:t>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21.5</w:t>
      </w:r>
      <w:r>
        <w:rPr>
          <w:rFonts w:hint="eastAsia" w:ascii="宋体" w:hAnsi="宋体" w:cs="宋体"/>
          <w:sz w:val="24"/>
          <w:lang w:val="zh-CN"/>
        </w:rPr>
        <w:t>可选择一次报价或多次报价</w:t>
      </w:r>
    </w:p>
    <w:p>
      <w:pPr>
        <w:spacing w:line="560" w:lineRule="exact"/>
        <w:ind w:firstLine="240" w:firstLineChars="100"/>
        <w:rPr>
          <w:rFonts w:ascii="宋体" w:hAnsi="宋体" w:cs="宋体"/>
          <w:sz w:val="24"/>
          <w:lang w:val="zh-CN"/>
        </w:rPr>
      </w:pPr>
      <w:r>
        <w:rPr>
          <w:rFonts w:hint="eastAsia" w:ascii="宋体" w:hAnsi="宋体" w:cs="宋体"/>
          <w:sz w:val="24"/>
        </w:rPr>
        <w:t>1.</w:t>
      </w:r>
      <w:r>
        <w:rPr>
          <w:rFonts w:hint="eastAsia" w:ascii="宋体" w:hAnsi="宋体" w:cs="宋体"/>
          <w:sz w:val="24"/>
          <w:lang w:val="zh-CN"/>
        </w:rPr>
        <w:t>本次竞争性磋商的报价为一次报价，依据供应商的投标函和开标记</w:t>
      </w:r>
      <w:r>
        <w:rPr>
          <w:rFonts w:hint="eastAsia" w:ascii="宋体" w:hAnsi="宋体" w:cs="宋体"/>
          <w:sz w:val="24"/>
        </w:rPr>
        <w:t>录上的报价</w:t>
      </w:r>
      <w:r>
        <w:rPr>
          <w:rFonts w:hint="eastAsia" w:ascii="宋体" w:hAnsi="宋体" w:cs="宋体"/>
          <w:sz w:val="24"/>
          <w:lang w:val="zh-CN"/>
        </w:rPr>
        <w:t>。</w:t>
      </w:r>
    </w:p>
    <w:p>
      <w:pPr>
        <w:rPr>
          <w:rFonts w:ascii="宋体" w:hAnsi="宋体" w:cs="宋体"/>
          <w:b/>
          <w:sz w:val="24"/>
        </w:rPr>
      </w:pPr>
      <w:r>
        <w:rPr>
          <w:rFonts w:hint="eastAsia" w:ascii="宋体" w:hAnsi="宋体" w:cs="宋体"/>
          <w:b/>
          <w:sz w:val="24"/>
        </w:rPr>
        <w:br w:type="page"/>
      </w:r>
    </w:p>
    <w:p>
      <w:pPr>
        <w:pStyle w:val="55"/>
        <w:numPr>
          <w:ilvl w:val="0"/>
          <w:numId w:val="0"/>
        </w:numPr>
        <w:tabs>
          <w:tab w:val="clear" w:pos="432"/>
        </w:tabs>
        <w:jc w:val="both"/>
        <w:rPr>
          <w:lang w:val="zh-CN"/>
        </w:rPr>
      </w:pP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六、评定标准</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22.竞争性磋商过程及保密原则</w:t>
      </w:r>
    </w:p>
    <w:p>
      <w:pPr>
        <w:spacing w:line="46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22.1磋商小组采用综合评分法对有效供应商的响应文件和报价进行评审。磋商委员会按照投标人综合得分由高到低推荐中标候选人，采购人将从评委会推荐的中标候选人中依次选取成交供应商。</w:t>
      </w:r>
    </w:p>
    <w:p>
      <w:pPr>
        <w:pStyle w:val="2"/>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22.1.1供应商需承诺不得相互串通投标或者与采购人串通投标，不得向采购人或者评标委员会成员行贿谋取中标。</w:t>
      </w:r>
    </w:p>
    <w:p>
      <w:pPr>
        <w:pStyle w:val="2"/>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22.1.2供应商不得妨碍其他供应商的公平竞争，不得损害采购人或其他供应商的合法权益，供应商不得采取其他不正当手段谋取中标。</w:t>
      </w:r>
    </w:p>
    <w:p>
      <w:pPr>
        <w:spacing w:line="46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22.1.3采购代理机构在评标结束后2个工作日内将评标报告送采购人。采购人自收到评标报告之日起５个工作日内，在评标报告确定的中标候选人名单中确定中标人。</w:t>
      </w:r>
    </w:p>
    <w:p>
      <w:pPr>
        <w:pStyle w:val="29"/>
        <w:spacing w:after="0" w:line="560" w:lineRule="exact"/>
        <w:ind w:left="0" w:leftChars="0" w:firstLine="480" w:firstLineChars="200"/>
        <w:rPr>
          <w:rFonts w:ascii="宋体" w:hAnsi="宋体" w:cs="宋体"/>
          <w:bCs/>
          <w:color w:val="000000" w:themeColor="text1"/>
          <w:sz w:val="24"/>
        </w:rPr>
      </w:pPr>
      <w:r>
        <w:rPr>
          <w:rFonts w:hint="eastAsia" w:ascii="宋体" w:hAnsi="宋体" w:cs="宋体"/>
          <w:bCs/>
          <w:color w:val="000000" w:themeColor="text1"/>
          <w:sz w:val="24"/>
        </w:rPr>
        <w:t>22.2对通过初步审查的响应文件，采用百分制综合评分法进行评价。</w:t>
      </w:r>
    </w:p>
    <w:p>
      <w:pPr>
        <w:spacing w:line="360" w:lineRule="auto"/>
        <w:ind w:right="-92" w:rightChars="-44"/>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1标段</w:t>
      </w:r>
      <w:r>
        <w:rPr>
          <w:rFonts w:hint="eastAsia" w:ascii="宋体" w:hAnsi="宋体" w:cs="宋体"/>
          <w:color w:val="000000" w:themeColor="text1"/>
          <w:sz w:val="24"/>
        </w:rPr>
        <w:t>评标方法：</w:t>
      </w:r>
    </w:p>
    <w:tbl>
      <w:tblPr>
        <w:tblStyle w:val="46"/>
        <w:tblW w:w="9410" w:type="dxa"/>
        <w:jc w:val="center"/>
        <w:tblLayout w:type="fixed"/>
        <w:tblCellMar>
          <w:top w:w="0" w:type="dxa"/>
          <w:left w:w="108" w:type="dxa"/>
          <w:bottom w:w="0" w:type="dxa"/>
          <w:right w:w="108" w:type="dxa"/>
        </w:tblCellMar>
      </w:tblPr>
      <w:tblGrid>
        <w:gridCol w:w="1200"/>
        <w:gridCol w:w="1480"/>
        <w:gridCol w:w="4164"/>
        <w:gridCol w:w="2566"/>
      </w:tblGrid>
      <w:tr>
        <w:tblPrEx>
          <w:tblCellMar>
            <w:top w:w="0" w:type="dxa"/>
            <w:left w:w="108" w:type="dxa"/>
            <w:bottom w:w="0" w:type="dxa"/>
            <w:right w:w="108" w:type="dxa"/>
          </w:tblCellMar>
        </w:tblPrEx>
        <w:trPr>
          <w:trHeight w:val="252"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rPr>
            </w:pPr>
            <w:r>
              <w:rPr>
                <w:rFonts w:hint="eastAsia" w:ascii="宋体" w:hAnsi="宋体" w:cs="宋体"/>
                <w:b/>
                <w:bCs/>
                <w:color w:val="000000"/>
                <w:sz w:val="24"/>
              </w:rPr>
              <w:t>评分指标</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rPr>
            </w:pPr>
            <w:r>
              <w:rPr>
                <w:rFonts w:hint="eastAsia" w:ascii="宋体" w:hAnsi="宋体" w:cs="宋体"/>
                <w:b/>
                <w:bCs/>
                <w:color w:val="000000"/>
                <w:sz w:val="24"/>
              </w:rPr>
              <w:t>分值</w:t>
            </w:r>
          </w:p>
        </w:tc>
        <w:tc>
          <w:tcPr>
            <w:tcW w:w="4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rPr>
            </w:pPr>
            <w:r>
              <w:rPr>
                <w:rFonts w:hint="eastAsia" w:ascii="宋体" w:hAnsi="宋体" w:cs="宋体"/>
                <w:b/>
                <w:bCs/>
                <w:color w:val="000000"/>
                <w:sz w:val="24"/>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rPr>
            </w:pPr>
            <w:r>
              <w:rPr>
                <w:rFonts w:hint="eastAsia" w:ascii="宋体" w:hAnsi="宋体" w:cs="宋体"/>
                <w:b/>
                <w:bCs/>
                <w:color w:val="000000"/>
                <w:sz w:val="24"/>
              </w:rPr>
              <w:t>评分依据</w:t>
            </w:r>
          </w:p>
        </w:tc>
      </w:tr>
      <w:tr>
        <w:tblPrEx>
          <w:tblCellMar>
            <w:top w:w="0" w:type="dxa"/>
            <w:left w:w="108" w:type="dxa"/>
            <w:bottom w:w="0" w:type="dxa"/>
            <w:right w:w="108" w:type="dxa"/>
          </w:tblCellMar>
        </w:tblPrEx>
        <w:trPr>
          <w:trHeight w:val="70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rPr>
            </w:pPr>
            <w:r>
              <w:rPr>
                <w:rFonts w:hint="eastAsia" w:ascii="宋体" w:hAnsi="宋体" w:cs="宋体"/>
                <w:sz w:val="24"/>
              </w:rPr>
              <w:t>报价得分（30分）</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rPr>
            </w:pPr>
            <w:r>
              <w:rPr>
                <w:rFonts w:hint="eastAsia" w:ascii="宋体" w:hAnsi="宋体" w:cs="宋体"/>
                <w:sz w:val="24"/>
              </w:rPr>
              <w:t>（30分）</w:t>
            </w:r>
          </w:p>
        </w:tc>
        <w:tc>
          <w:tcPr>
            <w:tcW w:w="6730"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bCs/>
                <w:sz w:val="24"/>
                <w:szCs w:val="20"/>
              </w:rPr>
            </w:pPr>
            <w:r>
              <w:rPr>
                <w:rFonts w:hint="eastAsia" w:ascii="宋体" w:hAnsi="宋体" w:cs="宋体"/>
                <w:bCs/>
                <w:sz w:val="24"/>
                <w:szCs w:val="20"/>
              </w:rPr>
              <w:t>满足磋商文件要求且最后报价最低的供应商的价格为磋商基准价，其价格分为满分。其他供应商的价格分统一按照下列公式计算：</w:t>
            </w:r>
          </w:p>
          <w:p>
            <w:pPr>
              <w:ind w:firstLine="480" w:firstLineChars="200"/>
              <w:rPr>
                <w:rFonts w:ascii="宋体" w:hAnsi="宋体" w:cs="宋体"/>
                <w:bCs/>
                <w:sz w:val="24"/>
                <w:szCs w:val="20"/>
              </w:rPr>
            </w:pPr>
            <w:r>
              <w:rPr>
                <w:rFonts w:hint="eastAsia" w:ascii="宋体" w:hAnsi="宋体" w:cs="宋体"/>
                <w:bCs/>
                <w:sz w:val="24"/>
                <w:szCs w:val="20"/>
              </w:rPr>
              <w:t>磋商报价得分=（磋商基准价/最后磋商报价）×30</w:t>
            </w:r>
          </w:p>
          <w:p>
            <w:pPr>
              <w:tabs>
                <w:tab w:val="left" w:pos="5130"/>
              </w:tabs>
              <w:adjustRightInd w:val="0"/>
              <w:snapToGrid w:val="0"/>
              <w:spacing w:line="360" w:lineRule="auto"/>
              <w:rPr>
                <w:rFonts w:ascii="宋体" w:hAnsi="宋体" w:cs="宋体"/>
                <w:bCs/>
                <w:sz w:val="24"/>
                <w:szCs w:val="20"/>
              </w:rPr>
            </w:pPr>
            <w:r>
              <w:rPr>
                <w:rFonts w:hint="eastAsia" w:ascii="宋体" w:hAnsi="宋体" w:cs="宋体"/>
                <w:bCs/>
                <w:sz w:val="24"/>
                <w:szCs w:val="20"/>
              </w:rPr>
              <w:t>备注：价格分计算保留小数点后二位。</w:t>
            </w:r>
          </w:p>
          <w:p>
            <w:pPr>
              <w:spacing w:line="320" w:lineRule="exact"/>
              <w:rPr>
                <w:rFonts w:ascii="宋体" w:hAnsi="宋体" w:cs="宋体"/>
                <w:sz w:val="24"/>
              </w:rPr>
            </w:pPr>
            <w:r>
              <w:rPr>
                <w:rFonts w:hint="eastAsia" w:ascii="宋体" w:hAnsi="宋体" w:cs="宋体"/>
                <w:sz w:val="24"/>
              </w:rPr>
              <w:t>注：</w:t>
            </w:r>
          </w:p>
          <w:p>
            <w:pPr>
              <w:spacing w:line="320" w:lineRule="exact"/>
              <w:rPr>
                <w:rFonts w:ascii="宋体" w:hAnsi="宋体" w:cs="宋体"/>
                <w:sz w:val="24"/>
              </w:rPr>
            </w:pPr>
            <w:r>
              <w:rPr>
                <w:rFonts w:hint="eastAsia" w:ascii="宋体" w:hAnsi="宋体" w:cs="宋体"/>
                <w:sz w:val="24"/>
              </w:rPr>
              <w:t>1.若投标人投标价格均超过控制价，做废标处理。</w:t>
            </w:r>
          </w:p>
          <w:p>
            <w:pPr>
              <w:spacing w:line="320" w:lineRule="exact"/>
              <w:rPr>
                <w:rFonts w:ascii="宋体" w:hAnsi="宋体" w:cs="宋体"/>
                <w:sz w:val="24"/>
              </w:rPr>
            </w:pPr>
            <w:r>
              <w:rPr>
                <w:rFonts w:hint="eastAsia" w:ascii="宋体" w:hAnsi="宋体" w:cs="宋体"/>
                <w:sz w:val="24"/>
              </w:rPr>
              <w:t>2.对小型、微型、监狱企业、残疾人福利性单位投标报价给予5%的扣除，用扣除后的价格参与评审。参加本项目的中小企业应当提供《中小企业声明函》（格式详见《政府采购促进中小企业发展管理办法》）。</w:t>
            </w:r>
          </w:p>
          <w:p>
            <w:pPr>
              <w:spacing w:line="320" w:lineRule="exact"/>
              <w:rPr>
                <w:rFonts w:ascii="宋体" w:hAnsi="宋体" w:cs="宋体"/>
                <w:sz w:val="24"/>
              </w:rPr>
            </w:pPr>
            <w:r>
              <w:rPr>
                <w:rFonts w:hint="eastAsia" w:ascii="宋体" w:hAnsi="宋体" w:cs="宋体"/>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CellMar>
            <w:top w:w="0" w:type="dxa"/>
            <w:left w:w="108" w:type="dxa"/>
            <w:bottom w:w="0" w:type="dxa"/>
            <w:right w:w="108" w:type="dxa"/>
          </w:tblCellMar>
        </w:tblPrEx>
        <w:trPr>
          <w:trHeight w:val="415" w:hRule="atLeast"/>
          <w:jc w:val="center"/>
        </w:trPr>
        <w:tc>
          <w:tcPr>
            <w:tcW w:w="120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技术部分</w:t>
            </w:r>
          </w:p>
          <w:p>
            <w:pPr>
              <w:spacing w:line="320" w:lineRule="exact"/>
              <w:jc w:val="center"/>
              <w:rPr>
                <w:rFonts w:ascii="宋体" w:hAnsi="宋体" w:cs="宋体"/>
                <w:sz w:val="24"/>
              </w:rPr>
            </w:pPr>
            <w:r>
              <w:rPr>
                <w:rFonts w:hint="eastAsia" w:ascii="宋体" w:hAnsi="宋体" w:cs="宋体"/>
                <w:sz w:val="24"/>
              </w:rPr>
              <w:t>(54分）</w:t>
            </w:r>
          </w:p>
        </w:tc>
        <w:tc>
          <w:tcPr>
            <w:tcW w:w="1480" w:type="dxa"/>
            <w:tcBorders>
              <w:top w:val="single" w:color="auto" w:sz="4" w:space="0"/>
              <w:left w:val="single" w:color="auto" w:sz="4" w:space="0"/>
              <w:right w:val="single" w:color="auto" w:sz="4" w:space="0"/>
            </w:tcBorders>
            <w:vAlign w:val="center"/>
          </w:tcPr>
          <w:p>
            <w:pPr>
              <w:pStyle w:val="2"/>
              <w:ind w:firstLine="0" w:firstLineChars="0"/>
              <w:jc w:val="left"/>
              <w:rPr>
                <w:rFonts w:ascii="宋体" w:hAnsi="宋体" w:cs="宋体"/>
                <w:sz w:val="24"/>
              </w:rPr>
            </w:pPr>
            <w:r>
              <w:rPr>
                <w:rFonts w:hint="eastAsia" w:cs="宋体" w:asciiTheme="minorEastAsia" w:hAnsiTheme="minorEastAsia" w:eastAsiaTheme="minorEastAsia"/>
                <w:sz w:val="24"/>
              </w:rPr>
              <w:t>施工方案和技术措施</w:t>
            </w: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分）</w:t>
            </w:r>
          </w:p>
        </w:tc>
        <w:tc>
          <w:tcPr>
            <w:tcW w:w="6730" w:type="dxa"/>
            <w:gridSpan w:val="2"/>
            <w:tcBorders>
              <w:top w:val="single" w:color="auto" w:sz="4" w:space="0"/>
              <w:left w:val="single" w:color="auto" w:sz="4" w:space="0"/>
              <w:right w:val="single" w:color="auto" w:sz="4" w:space="0"/>
            </w:tcBorders>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color w:val="auto"/>
                <w:sz w:val="24"/>
              </w:rPr>
              <w:t>施工方案</w:t>
            </w:r>
            <w:r>
              <w:rPr>
                <w:rFonts w:hint="eastAsia" w:cs="宋体" w:asciiTheme="minorEastAsia" w:hAnsiTheme="minorEastAsia" w:eastAsiaTheme="minorEastAsia"/>
                <w:sz w:val="24"/>
              </w:rPr>
              <w:t>和技术措施</w:t>
            </w:r>
            <w:r>
              <w:rPr>
                <w:rFonts w:cs="宋体" w:asciiTheme="minorEastAsia" w:hAnsiTheme="minorEastAsia" w:eastAsiaTheme="minorEastAsia"/>
                <w:sz w:val="24"/>
              </w:rPr>
              <w:t>9</w:t>
            </w:r>
            <w:r>
              <w:rPr>
                <w:rFonts w:hint="eastAsia" w:cs="宋体" w:asciiTheme="minorEastAsia" w:hAnsiTheme="minorEastAsia" w:eastAsiaTheme="minorEastAsia"/>
                <w:sz w:val="24"/>
              </w:rPr>
              <w:t>分；</w:t>
            </w:r>
          </w:p>
          <w:p>
            <w:pPr>
              <w:spacing w:line="400" w:lineRule="exact"/>
              <w:rPr>
                <w:rFonts w:ascii="宋体" w:hAnsi="宋体" w:cs="宋体"/>
                <w:sz w:val="24"/>
              </w:rPr>
            </w:pPr>
            <w:r>
              <w:rPr>
                <w:rFonts w:hint="eastAsia" w:cs="宋体" w:asciiTheme="minorEastAsia" w:hAnsiTheme="minorEastAsia" w:eastAsiaTheme="minorEastAsia"/>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4"/>
              </w:rPr>
            </w:pPr>
            <w:r>
              <w:rPr>
                <w:rFonts w:hint="eastAsia" w:cs="宋体" w:asciiTheme="minorEastAsia" w:hAnsiTheme="minorEastAsia" w:eastAsiaTheme="minorEastAsia"/>
                <w:sz w:val="24"/>
              </w:rPr>
              <w:t>质量管理体系与措施（</w:t>
            </w:r>
            <w:r>
              <w:rPr>
                <w:rFonts w:cs="宋体" w:asciiTheme="minorEastAsia" w:hAnsiTheme="minorEastAsia" w:eastAsiaTheme="minorEastAsia"/>
                <w:sz w:val="24"/>
              </w:rPr>
              <w:t>8</w:t>
            </w:r>
            <w:r>
              <w:rPr>
                <w:rFonts w:hint="eastAsia" w:cs="宋体" w:asciiTheme="minorEastAsia" w:hAnsiTheme="minorEastAsia" w:eastAsiaTheme="minorEastAsia"/>
                <w:sz w:val="24"/>
              </w:rPr>
              <w:t>分）</w:t>
            </w:r>
          </w:p>
        </w:tc>
        <w:tc>
          <w:tcPr>
            <w:tcW w:w="6730" w:type="dxa"/>
            <w:gridSpan w:val="2"/>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1、质量管理体系与保证措施</w:t>
            </w:r>
            <w:r>
              <w:rPr>
                <w:rFonts w:cs="宋体" w:asciiTheme="minorEastAsia" w:hAnsiTheme="minorEastAsia" w:eastAsiaTheme="minorEastAsia"/>
                <w:sz w:val="24"/>
              </w:rPr>
              <w:t>8</w:t>
            </w:r>
            <w:r>
              <w:rPr>
                <w:rFonts w:hint="eastAsia" w:cs="宋体" w:asciiTheme="minorEastAsia" w:hAnsiTheme="minorEastAsia" w:eastAsiaTheme="minorEastAsia"/>
                <w:sz w:val="24"/>
              </w:rPr>
              <w:t>分。</w:t>
            </w:r>
          </w:p>
          <w:p>
            <w:pPr>
              <w:spacing w:line="400" w:lineRule="exact"/>
              <w:rPr>
                <w:rFonts w:ascii="宋体" w:hAnsi="宋体" w:cs="宋体"/>
                <w:sz w:val="24"/>
              </w:rPr>
            </w:pPr>
            <w:r>
              <w:rPr>
                <w:rFonts w:hint="eastAsia" w:cs="宋体" w:asciiTheme="minorEastAsia" w:hAnsiTheme="minorEastAsia" w:eastAsiaTheme="minorEastAsia"/>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4"/>
              </w:rPr>
            </w:pPr>
            <w:r>
              <w:rPr>
                <w:rFonts w:hint="eastAsia" w:cs="宋体" w:asciiTheme="minorEastAsia" w:hAnsiTheme="minorEastAsia" w:eastAsiaTheme="minorEastAsia"/>
                <w:sz w:val="24"/>
              </w:rPr>
              <w:t>安全管理体系与措施（</w:t>
            </w:r>
            <w:r>
              <w:rPr>
                <w:rFonts w:cs="宋体" w:asciiTheme="minorEastAsia" w:hAnsiTheme="minorEastAsia" w:eastAsiaTheme="minorEastAsia"/>
                <w:sz w:val="24"/>
              </w:rPr>
              <w:t>8</w:t>
            </w:r>
            <w:r>
              <w:rPr>
                <w:rFonts w:hint="eastAsia" w:cs="宋体" w:asciiTheme="minorEastAsia" w:hAnsiTheme="minorEastAsia" w:eastAsiaTheme="minorEastAsia"/>
                <w:sz w:val="24"/>
              </w:rPr>
              <w:t>分）</w:t>
            </w:r>
          </w:p>
        </w:tc>
        <w:tc>
          <w:tcPr>
            <w:tcW w:w="6730" w:type="dxa"/>
            <w:gridSpan w:val="2"/>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1、施工安全生产保障体系，安全管理目标8分；</w:t>
            </w:r>
          </w:p>
          <w:p>
            <w:pPr>
              <w:spacing w:line="400" w:lineRule="exact"/>
              <w:rPr>
                <w:rFonts w:ascii="宋体" w:hAnsi="宋体" w:cs="宋体"/>
                <w:sz w:val="24"/>
              </w:rPr>
            </w:pPr>
            <w:r>
              <w:rPr>
                <w:rFonts w:hint="eastAsia" w:cs="宋体" w:asciiTheme="minorEastAsia" w:hAnsiTheme="minorEastAsia" w:eastAsiaTheme="minorEastAsia"/>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asciiTheme="minorEastAsia" w:hAnsiTheme="minorEastAsia" w:eastAsiaTheme="minorEastAsia"/>
                <w:sz w:val="24"/>
              </w:rPr>
            </w:pPr>
            <w:r>
              <w:rPr>
                <w:rFonts w:hint="eastAsia" w:asciiTheme="minorEastAsia" w:hAnsiTheme="minorEastAsia" w:eastAsiaTheme="minorEastAsia"/>
                <w:sz w:val="24"/>
              </w:rPr>
              <w:t>文明施工、</w:t>
            </w:r>
            <w:r>
              <w:rPr>
                <w:rFonts w:hint="eastAsia" w:cs="宋体" w:asciiTheme="minorEastAsia" w:hAnsiTheme="minorEastAsia" w:eastAsiaTheme="minorEastAsia"/>
                <w:sz w:val="24"/>
              </w:rPr>
              <w:t>环境保护管理体系</w:t>
            </w:r>
            <w:r>
              <w:rPr>
                <w:rFonts w:hint="eastAsia" w:asciiTheme="minorEastAsia" w:hAnsiTheme="minorEastAsia" w:eastAsiaTheme="minorEastAsia"/>
                <w:sz w:val="24"/>
              </w:rPr>
              <w:t>及施工现场扬尘治理措施</w:t>
            </w:r>
          </w:p>
          <w:p>
            <w:pPr>
              <w:pStyle w:val="2"/>
              <w:ind w:firstLine="0" w:firstLineChars="0"/>
              <w:rPr>
                <w:rFonts w:ascii="宋体" w:hAnsi="宋体" w:cs="宋体"/>
                <w:sz w:val="24"/>
              </w:rPr>
            </w:pPr>
            <w:r>
              <w:rPr>
                <w:rFonts w:hint="eastAsia" w:asciiTheme="minorEastAsia" w:hAnsiTheme="minorEastAsia" w:eastAsiaTheme="minorEastAsia"/>
                <w:sz w:val="24"/>
              </w:rPr>
              <w:t>（9分）</w:t>
            </w:r>
          </w:p>
        </w:tc>
        <w:tc>
          <w:tcPr>
            <w:tcW w:w="6730" w:type="dxa"/>
            <w:gridSpan w:val="2"/>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1、供应商</w:t>
            </w:r>
            <w:r>
              <w:rPr>
                <w:rFonts w:hint="eastAsia" w:asciiTheme="minorEastAsia" w:hAnsiTheme="minorEastAsia" w:eastAsiaTheme="minorEastAsia"/>
                <w:sz w:val="24"/>
              </w:rPr>
              <w:t>提供文明施工、</w:t>
            </w:r>
            <w:r>
              <w:rPr>
                <w:rFonts w:hint="eastAsia" w:cs="宋体" w:asciiTheme="minorEastAsia" w:hAnsiTheme="minorEastAsia" w:eastAsiaTheme="minorEastAsia"/>
                <w:sz w:val="24"/>
              </w:rPr>
              <w:t>环境保护管理体系</w:t>
            </w:r>
            <w:r>
              <w:rPr>
                <w:rFonts w:hint="eastAsia" w:asciiTheme="minorEastAsia" w:hAnsiTheme="minorEastAsia" w:eastAsiaTheme="minorEastAsia"/>
                <w:sz w:val="24"/>
              </w:rPr>
              <w:t>、施工现场扬尘治理措施</w:t>
            </w:r>
            <w:r>
              <w:rPr>
                <w:rFonts w:hint="eastAsia" w:cs="宋体" w:asciiTheme="minorEastAsia" w:hAnsiTheme="minorEastAsia" w:eastAsiaTheme="minorEastAsia"/>
                <w:sz w:val="24"/>
              </w:rPr>
              <w:t>9分；</w:t>
            </w:r>
          </w:p>
          <w:p>
            <w:pPr>
              <w:spacing w:line="400" w:lineRule="exact"/>
              <w:rPr>
                <w:rFonts w:ascii="宋体" w:hAnsi="宋体" w:cs="宋体"/>
                <w:sz w:val="24"/>
              </w:rPr>
            </w:pPr>
            <w:r>
              <w:rPr>
                <w:rFonts w:hint="eastAsia" w:cs="宋体" w:asciiTheme="minorEastAsia" w:hAnsiTheme="minorEastAsia" w:eastAsiaTheme="minorEastAsia"/>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4"/>
              </w:rPr>
            </w:pPr>
            <w:r>
              <w:rPr>
                <w:rFonts w:hint="eastAsia" w:asciiTheme="minorEastAsia" w:hAnsiTheme="minorEastAsia" w:eastAsiaTheme="minorEastAsia"/>
                <w:sz w:val="24"/>
              </w:rPr>
              <w:t>工程进度计划与措施（</w:t>
            </w:r>
            <w:r>
              <w:rPr>
                <w:rFonts w:asciiTheme="minorEastAsia" w:hAnsiTheme="minorEastAsia" w:eastAsiaTheme="minorEastAsia"/>
                <w:sz w:val="24"/>
              </w:rPr>
              <w:t>7</w:t>
            </w:r>
            <w:r>
              <w:rPr>
                <w:rFonts w:hint="eastAsia" w:asciiTheme="minorEastAsia" w:hAnsiTheme="minorEastAsia" w:eastAsiaTheme="minorEastAsia"/>
                <w:sz w:val="24"/>
              </w:rPr>
              <w:t>分）</w:t>
            </w:r>
          </w:p>
        </w:tc>
        <w:tc>
          <w:tcPr>
            <w:tcW w:w="6730" w:type="dxa"/>
            <w:gridSpan w:val="2"/>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 xml:space="preserve">1、工程进度计划与措施 </w:t>
            </w:r>
            <w:r>
              <w:rPr>
                <w:rFonts w:cs="宋体" w:asciiTheme="minorEastAsia" w:hAnsiTheme="minorEastAsia" w:eastAsiaTheme="minorEastAsia"/>
                <w:sz w:val="24"/>
              </w:rPr>
              <w:t>7</w:t>
            </w:r>
            <w:r>
              <w:rPr>
                <w:rFonts w:hint="eastAsia" w:cs="宋体" w:asciiTheme="minorEastAsia" w:hAnsiTheme="minorEastAsia" w:eastAsiaTheme="minorEastAsia"/>
                <w:sz w:val="24"/>
              </w:rPr>
              <w:t>分；</w:t>
            </w:r>
          </w:p>
          <w:p>
            <w:pPr>
              <w:spacing w:line="400" w:lineRule="exact"/>
              <w:rPr>
                <w:rFonts w:ascii="宋体" w:hAnsi="宋体" w:cs="宋体"/>
                <w:sz w:val="24"/>
              </w:rPr>
            </w:pPr>
            <w:r>
              <w:rPr>
                <w:rFonts w:hint="eastAsia" w:cs="宋体" w:asciiTheme="minorEastAsia" w:hAnsiTheme="minorEastAsia" w:eastAsiaTheme="minorEastAsia"/>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right w:val="single" w:color="auto" w:sz="4" w:space="0"/>
            </w:tcBorders>
            <w:vAlign w:val="center"/>
          </w:tcPr>
          <w:p>
            <w:pPr>
              <w:pStyle w:val="2"/>
              <w:adjustRightInd w:val="0"/>
              <w:snapToGrid w:val="0"/>
              <w:spacing w:after="0"/>
              <w:ind w:firstLine="0" w:firstLineChars="0"/>
              <w:rPr>
                <w:rFonts w:ascii="宋体" w:hAnsi="宋体" w:cs="宋体"/>
                <w:sz w:val="24"/>
              </w:rPr>
            </w:pPr>
            <w:r>
              <w:rPr>
                <w:rFonts w:hint="eastAsia" w:cs="宋体" w:asciiTheme="minorEastAsia" w:hAnsiTheme="minorEastAsia" w:eastAsiaTheme="minorEastAsia"/>
                <w:sz w:val="24"/>
              </w:rPr>
              <w:t>施工进度表或网络计划图（</w:t>
            </w:r>
            <w:r>
              <w:rPr>
                <w:rFonts w:cs="宋体" w:asciiTheme="minorEastAsia" w:hAnsiTheme="minorEastAsia" w:eastAsiaTheme="minorEastAsia"/>
                <w:sz w:val="24"/>
              </w:rPr>
              <w:t>7</w:t>
            </w:r>
            <w:r>
              <w:rPr>
                <w:rFonts w:hint="eastAsia" w:cs="宋体" w:asciiTheme="minorEastAsia" w:hAnsiTheme="minorEastAsia" w:eastAsiaTheme="minorEastAsia"/>
                <w:sz w:val="24"/>
              </w:rPr>
              <w:t>分）</w:t>
            </w:r>
          </w:p>
        </w:tc>
        <w:tc>
          <w:tcPr>
            <w:tcW w:w="6730" w:type="dxa"/>
            <w:gridSpan w:val="2"/>
            <w:tcBorders>
              <w:top w:val="single" w:color="auto" w:sz="4" w:space="0"/>
              <w:left w:val="single" w:color="auto" w:sz="4" w:space="0"/>
              <w:right w:val="single" w:color="auto" w:sz="4" w:space="0"/>
            </w:tcBorders>
            <w:vAlign w:val="center"/>
          </w:tcPr>
          <w:p>
            <w:pPr>
              <w:pStyle w:val="44"/>
              <w:spacing w:after="0" w:line="400" w:lineRule="exact"/>
              <w:ind w:right="-21" w:firstLine="0" w:firstLineChars="0"/>
              <w:rPr>
                <w:rFonts w:ascii="宋体" w:cs="宋体"/>
                <w:sz w:val="24"/>
              </w:rPr>
            </w:pPr>
            <w:r>
              <w:rPr>
                <w:rFonts w:hint="eastAsia" w:ascii="宋体" w:cs="宋体"/>
                <w:sz w:val="24"/>
              </w:rPr>
              <w:t>1、</w:t>
            </w:r>
            <w:r>
              <w:rPr>
                <w:rFonts w:hint="eastAsia" w:cs="宋体" w:asciiTheme="minorEastAsia" w:hAnsiTheme="minorEastAsia" w:eastAsiaTheme="minorEastAsia"/>
                <w:sz w:val="24"/>
              </w:rPr>
              <w:t>施工进度表或网络计划图</w:t>
            </w:r>
            <w:r>
              <w:rPr>
                <w:rFonts w:ascii="宋体" w:cs="宋体"/>
                <w:sz w:val="24"/>
              </w:rPr>
              <w:t>7</w:t>
            </w:r>
            <w:r>
              <w:rPr>
                <w:rFonts w:hint="eastAsia" w:ascii="宋体" w:cs="宋体"/>
                <w:sz w:val="24"/>
              </w:rPr>
              <w:t>分；</w:t>
            </w:r>
          </w:p>
          <w:p>
            <w:pPr>
              <w:pStyle w:val="44"/>
              <w:spacing w:after="0" w:line="400" w:lineRule="exact"/>
              <w:ind w:right="-21" w:firstLine="0" w:firstLineChars="0"/>
              <w:rPr>
                <w:rFonts w:ascii="宋体" w:hAnsi="宋体" w:cs="宋体"/>
                <w:sz w:val="24"/>
              </w:rPr>
            </w:pPr>
            <w:r>
              <w:rPr>
                <w:rFonts w:hint="eastAsia" w:ascii="宋体" w:cs="宋体"/>
                <w:sz w:val="24"/>
              </w:rPr>
              <w:t>2、不提供不得分。</w:t>
            </w:r>
          </w:p>
        </w:tc>
      </w:tr>
      <w:tr>
        <w:tblPrEx>
          <w:tblCellMar>
            <w:top w:w="0" w:type="dxa"/>
            <w:left w:w="108" w:type="dxa"/>
            <w:bottom w:w="0" w:type="dxa"/>
            <w:right w:w="108" w:type="dxa"/>
          </w:tblCellMar>
        </w:tblPrEx>
        <w:trPr>
          <w:trHeight w:val="369" w:hRule="atLeast"/>
          <w:jc w:val="center"/>
        </w:trPr>
        <w:tc>
          <w:tcPr>
            <w:tcW w:w="1200"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cs="宋体"/>
                <w:sz w:val="24"/>
              </w:rPr>
            </w:pPr>
            <w:r>
              <w:rPr>
                <w:rFonts w:hint="eastAsia" w:cs="宋体" w:asciiTheme="minorEastAsia" w:hAnsiTheme="minorEastAsia" w:eastAsiaTheme="minorEastAsia"/>
                <w:sz w:val="24"/>
              </w:rPr>
              <w:t>风险管理措施（6分）</w:t>
            </w:r>
          </w:p>
        </w:tc>
        <w:tc>
          <w:tcPr>
            <w:tcW w:w="67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有风险防控管理措施齐全，风险预控符合规范要求，风险控制要点定位准确，具备各阶段风险控制及应急措施。得6分，不提供不得分。</w:t>
            </w:r>
          </w:p>
        </w:tc>
      </w:tr>
      <w:tr>
        <w:tblPrEx>
          <w:tblCellMar>
            <w:top w:w="0" w:type="dxa"/>
            <w:left w:w="108" w:type="dxa"/>
            <w:bottom w:w="0" w:type="dxa"/>
            <w:right w:w="108" w:type="dxa"/>
          </w:tblCellMar>
        </w:tblPrEx>
        <w:trPr>
          <w:trHeight w:val="1420"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rPr>
            </w:pPr>
            <w:r>
              <w:rPr>
                <w:rFonts w:hint="eastAsia" w:ascii="宋体" w:hAnsi="宋体" w:cs="宋体"/>
                <w:sz w:val="24"/>
              </w:rPr>
              <w:t>商务部分</w:t>
            </w:r>
          </w:p>
          <w:p>
            <w:pPr>
              <w:spacing w:line="320" w:lineRule="exact"/>
              <w:rPr>
                <w:rFonts w:ascii="宋体" w:hAnsi="宋体" w:cs="宋体"/>
                <w:sz w:val="24"/>
              </w:rPr>
            </w:pPr>
            <w:r>
              <w:rPr>
                <w:rFonts w:hint="eastAsia" w:ascii="宋体" w:hAnsi="宋体" w:cs="宋体"/>
                <w:sz w:val="24"/>
              </w:rPr>
              <w:t>（16分）</w:t>
            </w: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sz w:val="24"/>
              </w:rPr>
            </w:pPr>
            <w:r>
              <w:rPr>
                <w:rFonts w:hint="eastAsia" w:cs="宋体" w:asciiTheme="minorEastAsia" w:hAnsiTheme="minorEastAsia" w:eastAsiaTheme="minorEastAsia"/>
                <w:sz w:val="24"/>
              </w:rPr>
              <w:t>业绩（</w:t>
            </w:r>
            <w:r>
              <w:rPr>
                <w:rFonts w:cs="宋体" w:asciiTheme="minorEastAsia" w:hAnsiTheme="minorEastAsia" w:eastAsiaTheme="minorEastAsia"/>
                <w:sz w:val="24"/>
              </w:rPr>
              <w:t>4</w:t>
            </w:r>
            <w:r>
              <w:rPr>
                <w:rFonts w:hint="eastAsia" w:cs="宋体" w:asciiTheme="minorEastAsia" w:hAnsiTheme="minorEastAsia" w:eastAsiaTheme="minorEastAsia"/>
                <w:sz w:val="24"/>
              </w:rPr>
              <w:t>分）</w:t>
            </w:r>
          </w:p>
        </w:tc>
        <w:tc>
          <w:tcPr>
            <w:tcW w:w="6730" w:type="dxa"/>
            <w:gridSpan w:val="2"/>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sz w:val="24"/>
              </w:rPr>
            </w:pPr>
            <w:r>
              <w:rPr>
                <w:rFonts w:hint="eastAsia" w:cs="宋体" w:asciiTheme="minorEastAsia" w:hAnsiTheme="minorEastAsia" w:eastAsiaTheme="minorEastAsia"/>
                <w:sz w:val="24"/>
              </w:rPr>
              <w:t>企业业绩，每附1个得2分（2019年1月1日以来类似的业绩，须附合同协议书和中标通知书</w:t>
            </w:r>
            <w:r>
              <w:rPr>
                <w:rFonts w:cs="宋体" w:asciiTheme="minorEastAsia" w:hAnsiTheme="minorEastAsia" w:eastAsiaTheme="minorEastAsia"/>
                <w:sz w:val="24"/>
              </w:rPr>
              <w:t>扫描件</w:t>
            </w:r>
            <w:r>
              <w:rPr>
                <w:rFonts w:hint="eastAsia" w:cs="宋体" w:asciiTheme="minorEastAsia" w:hAnsiTheme="minorEastAsia" w:eastAsiaTheme="minorEastAsia"/>
                <w:sz w:val="24"/>
              </w:rPr>
              <w:t>，</w:t>
            </w:r>
            <w:r>
              <w:rPr>
                <w:rFonts w:cs="宋体" w:asciiTheme="minorEastAsia" w:hAnsiTheme="minorEastAsia" w:eastAsiaTheme="minorEastAsia"/>
                <w:sz w:val="24"/>
              </w:rPr>
              <w:t>资料不全不得分</w:t>
            </w:r>
            <w:r>
              <w:rPr>
                <w:rFonts w:hint="eastAsia" w:cs="宋体" w:asciiTheme="minorEastAsia" w:hAnsiTheme="minorEastAsia" w:eastAsiaTheme="minorEastAsia"/>
                <w:sz w:val="24"/>
              </w:rPr>
              <w:t>）最高得</w:t>
            </w:r>
            <w:r>
              <w:rPr>
                <w:rFonts w:cs="宋体" w:asciiTheme="minorEastAsia" w:hAnsiTheme="minorEastAsia" w:eastAsiaTheme="minorEastAsia"/>
                <w:sz w:val="24"/>
              </w:rPr>
              <w:t>4</w:t>
            </w:r>
            <w:r>
              <w:rPr>
                <w:rFonts w:hint="eastAsia" w:cs="宋体" w:asciiTheme="minorEastAsia" w:hAnsiTheme="minorEastAsia" w:eastAsiaTheme="minorEastAsia"/>
                <w:sz w:val="24"/>
              </w:rPr>
              <w:t>分）</w:t>
            </w:r>
          </w:p>
        </w:tc>
      </w:tr>
      <w:tr>
        <w:tblPrEx>
          <w:tblCellMar>
            <w:top w:w="0" w:type="dxa"/>
            <w:left w:w="108" w:type="dxa"/>
            <w:bottom w:w="0" w:type="dxa"/>
            <w:right w:w="108" w:type="dxa"/>
          </w:tblCellMar>
        </w:tblPrEx>
        <w:trPr>
          <w:trHeight w:val="14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sz w:val="24"/>
              </w:rPr>
            </w:pPr>
            <w:r>
              <w:rPr>
                <w:rFonts w:hint="eastAsia" w:cs="宋体" w:asciiTheme="minorEastAsia" w:hAnsiTheme="minorEastAsia" w:eastAsiaTheme="minorEastAsia"/>
                <w:sz w:val="24"/>
              </w:rPr>
              <w:t>投标人承诺书（1</w:t>
            </w:r>
            <w:r>
              <w:rPr>
                <w:rFonts w:cs="宋体" w:asciiTheme="minorEastAsia" w:hAnsiTheme="minorEastAsia" w:eastAsiaTheme="minorEastAsia"/>
                <w:sz w:val="24"/>
              </w:rPr>
              <w:t>2</w:t>
            </w:r>
            <w:r>
              <w:rPr>
                <w:rFonts w:hint="eastAsia" w:cs="宋体" w:asciiTheme="minorEastAsia" w:hAnsiTheme="minorEastAsia" w:eastAsiaTheme="minorEastAsia"/>
                <w:sz w:val="24"/>
              </w:rPr>
              <w:t>分）</w:t>
            </w:r>
          </w:p>
        </w:tc>
        <w:tc>
          <w:tcPr>
            <w:tcW w:w="6730" w:type="dxa"/>
            <w:gridSpan w:val="2"/>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eastAsiaTheme="minorEastAsia"/>
                <w:sz w:val="24"/>
              </w:rPr>
            </w:pPr>
            <w:r>
              <w:rPr>
                <w:rFonts w:hint="eastAsia" w:cs="宋体" w:asciiTheme="minorEastAsia" w:hAnsiTheme="minorEastAsia" w:eastAsiaTheme="minorEastAsia"/>
                <w:sz w:val="24"/>
              </w:rPr>
              <w:t>投标人有对人员、设备、安全生产目标、农民工工资、质量、工期等方面做出承诺，得1</w:t>
            </w:r>
            <w:r>
              <w:rPr>
                <w:rFonts w:cs="宋体" w:asciiTheme="minorEastAsia" w:hAnsiTheme="minorEastAsia" w:eastAsiaTheme="minorEastAsia"/>
                <w:sz w:val="24"/>
              </w:rPr>
              <w:t>2</w:t>
            </w:r>
            <w:r>
              <w:rPr>
                <w:rFonts w:hint="eastAsia" w:cs="宋体" w:asciiTheme="minorEastAsia" w:hAnsiTheme="minorEastAsia" w:eastAsiaTheme="minorEastAsia"/>
                <w:sz w:val="24"/>
              </w:rPr>
              <w:t>分。每缺一项扣2分。</w:t>
            </w:r>
          </w:p>
        </w:tc>
      </w:tr>
    </w:tbl>
    <w:p>
      <w:pPr>
        <w:pStyle w:val="2"/>
        <w:ind w:firstLine="210"/>
        <w:rPr>
          <w:color w:val="000000" w:themeColor="text1"/>
        </w:rPr>
      </w:pPr>
    </w:p>
    <w:p>
      <w:pPr>
        <w:bidi w:val="0"/>
        <w:rPr>
          <w:rFonts w:hint="eastAsia"/>
          <w:lang w:val="en-US" w:eastAsia="zh-CN"/>
        </w:rPr>
        <w:sectPr>
          <w:pgSz w:w="11906" w:h="16838"/>
          <w:pgMar w:top="1474" w:right="1474" w:bottom="1474" w:left="1474" w:header="851" w:footer="743" w:gutter="0"/>
          <w:pgNumType w:start="1"/>
          <w:cols w:space="0" w:num="1"/>
          <w:titlePg/>
          <w:docGrid w:type="lines" w:linePitch="312" w:charSpace="0"/>
        </w:sectPr>
      </w:pPr>
    </w:p>
    <w:p>
      <w:pPr>
        <w:bidi w:val="0"/>
        <w:rPr>
          <w:rFonts w:hint="eastAsia"/>
          <w:lang w:val="en-US" w:eastAsia="zh-CN"/>
        </w:rPr>
      </w:pPr>
      <w:r>
        <w:rPr>
          <w:rFonts w:hint="eastAsia"/>
          <w:lang w:val="en-US" w:eastAsia="zh-CN"/>
        </w:rPr>
        <w:t>2标段评分办法</w:t>
      </w:r>
    </w:p>
    <w:tbl>
      <w:tblPr>
        <w:tblStyle w:val="46"/>
        <w:tblW w:w="5000" w:type="pct"/>
        <w:jc w:val="center"/>
        <w:tblLayout w:type="autofit"/>
        <w:tblCellMar>
          <w:top w:w="0" w:type="dxa"/>
          <w:left w:w="10" w:type="dxa"/>
          <w:bottom w:w="0" w:type="dxa"/>
          <w:right w:w="10" w:type="dxa"/>
        </w:tblCellMar>
      </w:tblPr>
      <w:tblGrid>
        <w:gridCol w:w="985"/>
        <w:gridCol w:w="1118"/>
        <w:gridCol w:w="4620"/>
        <w:gridCol w:w="2451"/>
      </w:tblGrid>
      <w:tr>
        <w:tblPrEx>
          <w:tblCellMar>
            <w:top w:w="0" w:type="dxa"/>
            <w:left w:w="10" w:type="dxa"/>
            <w:bottom w:w="0" w:type="dxa"/>
            <w:right w:w="10" w:type="dxa"/>
          </w:tblCellMar>
        </w:tblPrEx>
        <w:trPr>
          <w:jc w:val="center"/>
        </w:trPr>
        <w:tc>
          <w:tcPr>
            <w:tcW w:w="53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评分指标</w:t>
            </w:r>
          </w:p>
        </w:tc>
        <w:tc>
          <w:tcPr>
            <w:tcW w:w="60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分值</w:t>
            </w:r>
          </w:p>
        </w:tc>
        <w:tc>
          <w:tcPr>
            <w:tcW w:w="251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指标说明及评分标准</w:t>
            </w:r>
          </w:p>
        </w:tc>
        <w:tc>
          <w:tcPr>
            <w:tcW w:w="13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评分依据</w:t>
            </w:r>
          </w:p>
        </w:tc>
      </w:tr>
      <w:tr>
        <w:tblPrEx>
          <w:tblCellMar>
            <w:top w:w="0" w:type="dxa"/>
            <w:left w:w="10" w:type="dxa"/>
            <w:bottom w:w="0" w:type="dxa"/>
            <w:right w:w="10" w:type="dxa"/>
          </w:tblCellMar>
        </w:tblPrEx>
        <w:trPr>
          <w:jc w:val="center"/>
        </w:trPr>
        <w:tc>
          <w:tcPr>
            <w:tcW w:w="53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报价得分（</w:t>
            </w:r>
            <w:r>
              <w:rPr>
                <w:rFonts w:hint="eastAsia"/>
                <w:lang w:val="en-US" w:eastAsia="zh-CN"/>
              </w:rPr>
              <w:t>40</w:t>
            </w:r>
            <w:r>
              <w:t>分）</w:t>
            </w:r>
          </w:p>
        </w:tc>
        <w:tc>
          <w:tcPr>
            <w:tcW w:w="60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pPr>
            <w:r>
              <w:t>（</w:t>
            </w:r>
            <w:r>
              <w:rPr>
                <w:rFonts w:hint="eastAsia"/>
                <w:lang w:val="en-US" w:eastAsia="zh-CN"/>
              </w:rPr>
              <w:t>40</w:t>
            </w:r>
            <w:r>
              <w:t>分）</w:t>
            </w:r>
          </w:p>
        </w:tc>
        <w:tc>
          <w:tcPr>
            <w:tcW w:w="3852"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bidi w:val="0"/>
              <w:rPr>
                <w:rFonts w:hint="eastAsia"/>
              </w:rPr>
            </w:pPr>
            <w:r>
              <w:rPr>
                <w:rFonts w:hint="eastAsia"/>
              </w:rPr>
              <w:t>1）价格分采用低价优先法计算，即通过资格性和符合性审查且投标价格最低的投标报价为评标基准价，其价格得分为满分</w:t>
            </w:r>
            <w:r>
              <w:rPr>
                <w:rFonts w:hint="eastAsia"/>
                <w:lang w:val="en-US" w:eastAsia="zh-CN"/>
              </w:rPr>
              <w:t>4</w:t>
            </w:r>
            <w:r>
              <w:rPr>
                <w:rFonts w:hint="eastAsia"/>
              </w:rPr>
              <w:t>0分。</w:t>
            </w:r>
          </w:p>
          <w:p>
            <w:pPr>
              <w:bidi w:val="0"/>
              <w:rPr>
                <w:rFonts w:hint="eastAsia"/>
              </w:rPr>
            </w:pPr>
            <w:r>
              <w:rPr>
                <w:rFonts w:hint="eastAsia"/>
              </w:rPr>
              <w:t>（2）其他投标人的价格分统一按照下列公式计算：</w:t>
            </w:r>
          </w:p>
          <w:p>
            <w:pPr>
              <w:bidi w:val="0"/>
              <w:rPr>
                <w:rFonts w:hint="eastAsia"/>
              </w:rPr>
            </w:pPr>
            <w:r>
              <w:rPr>
                <w:rFonts w:hint="eastAsia"/>
              </w:rPr>
              <w:t>投标报价得分=(评标基准价／投标报价)×</w:t>
            </w:r>
            <w:r>
              <w:rPr>
                <w:rFonts w:hint="eastAsia"/>
                <w:lang w:val="en-US" w:eastAsia="zh-CN"/>
              </w:rPr>
              <w:t>4</w:t>
            </w:r>
            <w:r>
              <w:rPr>
                <w:rFonts w:hint="eastAsia"/>
              </w:rPr>
              <w:t>0</w:t>
            </w:r>
          </w:p>
          <w:p>
            <w:pPr>
              <w:bidi w:val="0"/>
              <w:rPr>
                <w:rFonts w:hint="eastAsia"/>
              </w:rPr>
            </w:pPr>
            <w:r>
              <w:rPr>
                <w:rFonts w:hint="eastAsia"/>
              </w:rPr>
              <w:t>备注：价格分计算保留小数点后二位。</w:t>
            </w:r>
          </w:p>
          <w:p>
            <w:pPr>
              <w:bidi w:val="0"/>
              <w:rPr>
                <w:rFonts w:hint="eastAsia"/>
              </w:rPr>
            </w:pPr>
            <w:r>
              <w:rPr>
                <w:rFonts w:hint="eastAsia"/>
              </w:rPr>
              <w:t>根据财政部、工信部关于印发《政府采购促进中小企业发展管理办法》的通知（财库〔2020〕46号 ）文件规定：</w:t>
            </w:r>
          </w:p>
          <w:p>
            <w:pPr>
              <w:bidi w:val="0"/>
              <w:rPr>
                <w:rFonts w:hint="eastAsia"/>
              </w:rPr>
            </w:pPr>
            <w:r>
              <w:rPr>
                <w:rFonts w:hint="eastAsia"/>
              </w:rPr>
              <w:t>（1）对小微企业报价给予10%扣除，请按照《政府采购促进中小企业发展管理办法》要求提供中小企业声明函。</w:t>
            </w:r>
          </w:p>
          <w:p>
            <w:pPr>
              <w:bidi w:val="0"/>
              <w:rPr>
                <w:rFonts w:hint="eastAsia"/>
              </w:rPr>
            </w:pPr>
            <w:r>
              <w:rPr>
                <w:rFonts w:hint="eastAsia"/>
              </w:rPr>
              <w:t>（2）关于监狱企业：视同小微企业。须提供由省级以上监狱管理局、戒毒管理局（含新疆生产建设兵团）出具的属于监狱企业的证明文件，否则不考虑价格扣除。</w:t>
            </w:r>
          </w:p>
          <w:p>
            <w:pPr>
              <w:bidi w:val="0"/>
              <w:rPr>
                <w:rFonts w:hint="eastAsia"/>
              </w:rPr>
            </w:pPr>
            <w:r>
              <w:rPr>
                <w:rFonts w:hint="eastAsia"/>
              </w:rPr>
              <w:t>（3）关于残疾人福利性单位：视同小微企业。须提供完整的“残疾人福利性单位声明函”，否则在价格评审时不予考虑价格扣除。残疾人福利性单位属于小型、微型企业的，不重复享受政策。</w:t>
            </w:r>
          </w:p>
          <w:p>
            <w:pPr>
              <w:bidi w:val="0"/>
            </w:pPr>
            <w:r>
              <w:rPr>
                <w:rFonts w:hint="eastAsia"/>
              </w:rPr>
              <w:t>（4）没有提供有效证明材料的供应商将被视为不接受投标总价的扣除，用原投标总价参与评审。</w:t>
            </w:r>
          </w:p>
        </w:tc>
      </w:tr>
      <w:tr>
        <w:tblPrEx>
          <w:tblCellMar>
            <w:top w:w="0" w:type="dxa"/>
            <w:left w:w="10" w:type="dxa"/>
            <w:bottom w:w="0" w:type="dxa"/>
            <w:right w:w="10" w:type="dxa"/>
          </w:tblCellMar>
        </w:tblPrEx>
        <w:trPr>
          <w:jc w:val="center"/>
        </w:trPr>
        <w:tc>
          <w:tcPr>
            <w:tcW w:w="537" w:type="pc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rPr>
                <w:highlight w:val="none"/>
              </w:rPr>
            </w:pPr>
            <w:r>
              <w:rPr>
                <w:highlight w:val="none"/>
              </w:rPr>
              <w:t>技术部分</w:t>
            </w:r>
          </w:p>
          <w:p>
            <w:pPr>
              <w:bidi w:val="0"/>
              <w:rPr>
                <w:highlight w:val="none"/>
              </w:rPr>
            </w:pPr>
            <w:r>
              <w:rPr>
                <w:highlight w:val="none"/>
              </w:rPr>
              <w:t>(</w:t>
            </w:r>
            <w:r>
              <w:rPr>
                <w:rFonts w:hint="eastAsia"/>
                <w:highlight w:val="none"/>
                <w:lang w:val="en-US" w:eastAsia="zh-CN"/>
              </w:rPr>
              <w:t>30</w:t>
            </w:r>
            <w:r>
              <w:rPr>
                <w:highlight w:val="none"/>
              </w:rPr>
              <w:t>分）</w:t>
            </w:r>
          </w:p>
        </w:tc>
        <w:tc>
          <w:tcPr>
            <w:tcW w:w="609" w:type="pc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pPr>
            <w:r>
              <w:rPr>
                <w:highlight w:val="none"/>
              </w:rPr>
              <w:t>(</w:t>
            </w:r>
            <w:r>
              <w:rPr>
                <w:rFonts w:hint="eastAsia"/>
                <w:highlight w:val="none"/>
                <w:lang w:val="en-US" w:eastAsia="zh-CN"/>
              </w:rPr>
              <w:t>30</w:t>
            </w:r>
            <w:r>
              <w:rPr>
                <w:highlight w:val="none"/>
              </w:rPr>
              <w:t>分）</w:t>
            </w:r>
          </w:p>
        </w:tc>
        <w:tc>
          <w:tcPr>
            <w:tcW w:w="3852" w:type="pct"/>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rPr>
                <w:rFonts w:hint="eastAsia"/>
                <w:lang w:val="zh-CN" w:eastAsia="zh-CN"/>
              </w:rPr>
            </w:pPr>
            <w:r>
              <w:rPr>
                <w:rFonts w:hint="eastAsia"/>
                <w:lang w:val="en-US" w:eastAsia="zh-CN"/>
              </w:rPr>
              <w:t>服务措施和方案（30分）</w:t>
            </w:r>
            <w:r>
              <w:rPr>
                <w:rFonts w:hint="eastAsia"/>
                <w:lang w:val="zh-CN" w:eastAsia="zh-CN"/>
              </w:rPr>
              <w:t xml:space="preserve"> </w:t>
            </w:r>
          </w:p>
          <w:p>
            <w:pPr>
              <w:numPr>
                <w:ilvl w:val="0"/>
                <w:numId w:val="7"/>
              </w:numPr>
              <w:bidi w:val="0"/>
              <w:rPr>
                <w:rFonts w:hint="eastAsia"/>
                <w:lang w:val="en-US" w:eastAsia="zh-CN"/>
              </w:rPr>
            </w:pPr>
            <w:r>
              <w:rPr>
                <w:rFonts w:hint="eastAsia"/>
                <w:lang w:val="zh-CN" w:eastAsia="zh-CN"/>
              </w:rPr>
              <w:t>图书分编加工方案与措施</w:t>
            </w:r>
            <w:r>
              <w:rPr>
                <w:rFonts w:hint="eastAsia"/>
                <w:lang w:val="en-US" w:eastAsia="zh-CN"/>
              </w:rPr>
              <w:t>6分，不提供不得分。</w:t>
            </w:r>
          </w:p>
          <w:p>
            <w:pPr>
              <w:numPr>
                <w:ilvl w:val="0"/>
                <w:numId w:val="7"/>
              </w:numPr>
              <w:bidi w:val="0"/>
              <w:rPr>
                <w:rFonts w:hint="eastAsia"/>
                <w:lang w:val="en-US" w:eastAsia="zh-CN"/>
              </w:rPr>
            </w:pPr>
            <w:r>
              <w:rPr>
                <w:rFonts w:hint="eastAsia"/>
                <w:lang w:val="zh-CN" w:eastAsia="zh-CN"/>
              </w:rPr>
              <w:t>人员工作流程计划配备</w:t>
            </w:r>
            <w:r>
              <w:rPr>
                <w:rFonts w:hint="eastAsia"/>
                <w:lang w:val="en-US" w:eastAsia="zh-CN"/>
              </w:rPr>
              <w:t>6分，不提供不得分。</w:t>
            </w:r>
          </w:p>
          <w:p>
            <w:pPr>
              <w:numPr>
                <w:ilvl w:val="0"/>
                <w:numId w:val="7"/>
              </w:numPr>
              <w:bidi w:val="0"/>
              <w:rPr>
                <w:rFonts w:hint="eastAsia"/>
                <w:lang w:val="en-US" w:eastAsia="zh-CN"/>
              </w:rPr>
            </w:pPr>
            <w:r>
              <w:rPr>
                <w:rFonts w:hint="eastAsia"/>
                <w:lang w:val="zh-CN" w:eastAsia="zh-CN"/>
              </w:rPr>
              <w:t>保证图书质量措施</w:t>
            </w:r>
            <w:r>
              <w:rPr>
                <w:rFonts w:hint="eastAsia"/>
                <w:lang w:val="en-US" w:eastAsia="zh-CN"/>
              </w:rPr>
              <w:t>6分，不提供不得分。</w:t>
            </w:r>
          </w:p>
          <w:p>
            <w:pPr>
              <w:numPr>
                <w:ilvl w:val="0"/>
                <w:numId w:val="7"/>
              </w:numPr>
              <w:bidi w:val="0"/>
              <w:rPr>
                <w:rFonts w:hint="default"/>
                <w:lang w:val="en-US" w:eastAsia="zh-CN"/>
              </w:rPr>
            </w:pPr>
            <w:r>
              <w:rPr>
                <w:rFonts w:hint="eastAsia"/>
                <w:lang w:val="en-US" w:eastAsia="zh-CN"/>
              </w:rPr>
              <w:t>图书</w:t>
            </w:r>
            <w:r>
              <w:rPr>
                <w:rFonts w:hint="eastAsia"/>
                <w:lang w:val="zh-CN" w:eastAsia="zh-CN"/>
              </w:rPr>
              <w:t>质量缺陷处罚的承诺</w:t>
            </w:r>
            <w:r>
              <w:rPr>
                <w:rFonts w:hint="eastAsia"/>
                <w:lang w:val="en-US" w:eastAsia="zh-CN"/>
              </w:rPr>
              <w:t>6分，不提供不得分。</w:t>
            </w:r>
          </w:p>
          <w:p>
            <w:pPr>
              <w:numPr>
                <w:ilvl w:val="0"/>
                <w:numId w:val="7"/>
              </w:numPr>
              <w:bidi w:val="0"/>
            </w:pPr>
            <w:r>
              <w:rPr>
                <w:rFonts w:hint="eastAsia"/>
                <w:lang w:val="zh-CN" w:eastAsia="zh-CN"/>
              </w:rPr>
              <w:t>保证按时</w:t>
            </w:r>
            <w:r>
              <w:rPr>
                <w:rFonts w:hint="eastAsia"/>
                <w:lang w:val="en-US" w:eastAsia="zh-CN"/>
              </w:rPr>
              <w:t>交货</w:t>
            </w:r>
            <w:r>
              <w:rPr>
                <w:rFonts w:hint="eastAsia"/>
                <w:lang w:val="zh-CN" w:eastAsia="zh-CN"/>
              </w:rPr>
              <w:t>措施</w:t>
            </w:r>
            <w:r>
              <w:rPr>
                <w:rFonts w:hint="eastAsia"/>
                <w:lang w:val="en-US" w:eastAsia="zh-CN"/>
              </w:rPr>
              <w:t>6分，不提供不得分。</w:t>
            </w:r>
          </w:p>
        </w:tc>
      </w:tr>
      <w:tr>
        <w:tblPrEx>
          <w:tblCellMar>
            <w:top w:w="0" w:type="dxa"/>
            <w:left w:w="10" w:type="dxa"/>
            <w:bottom w:w="0" w:type="dxa"/>
            <w:right w:w="10" w:type="dxa"/>
          </w:tblCellMar>
        </w:tblPrEx>
        <w:trPr>
          <w:jc w:val="center"/>
        </w:trPr>
        <w:tc>
          <w:tcPr>
            <w:tcW w:w="537" w:type="pc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rPr>
                <w:highlight w:val="none"/>
              </w:rPr>
            </w:pPr>
            <w:r>
              <w:rPr>
                <w:highlight w:val="none"/>
              </w:rPr>
              <w:t>商务部分</w:t>
            </w:r>
          </w:p>
          <w:p>
            <w:pPr>
              <w:bidi w:val="0"/>
              <w:rPr>
                <w:highlight w:val="none"/>
              </w:rPr>
            </w:pPr>
            <w:r>
              <w:rPr>
                <w:rFonts w:hint="eastAsia"/>
                <w:highlight w:val="none"/>
                <w:lang w:val="en-US" w:eastAsia="zh-CN"/>
              </w:rPr>
              <w:t>（30</w:t>
            </w:r>
            <w:r>
              <w:rPr>
                <w:highlight w:val="none"/>
              </w:rPr>
              <w:t>分）</w:t>
            </w:r>
          </w:p>
        </w:tc>
        <w:tc>
          <w:tcPr>
            <w:tcW w:w="609" w:type="pc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pPr>
            <w:r>
              <w:rPr>
                <w:highlight w:val="none"/>
              </w:rPr>
              <w:t>(</w:t>
            </w:r>
            <w:r>
              <w:rPr>
                <w:rFonts w:hint="eastAsia"/>
                <w:highlight w:val="none"/>
                <w:lang w:val="en-US" w:eastAsia="zh-CN"/>
              </w:rPr>
              <w:t>30</w:t>
            </w:r>
            <w:r>
              <w:rPr>
                <w:highlight w:val="none"/>
              </w:rPr>
              <w:t>分）</w:t>
            </w:r>
          </w:p>
        </w:tc>
        <w:tc>
          <w:tcPr>
            <w:tcW w:w="3852" w:type="pct"/>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bidi w:val="0"/>
              <w:rPr>
                <w:rFonts w:hint="eastAsia"/>
                <w:lang w:val="zh-CN" w:eastAsia="zh-CN"/>
              </w:rPr>
            </w:pPr>
            <w:r>
              <w:rPr>
                <w:rFonts w:hint="eastAsia"/>
                <w:lang w:val="en-US" w:eastAsia="zh-CN"/>
              </w:rPr>
              <w:t>1</w:t>
            </w:r>
            <w:r>
              <w:rPr>
                <w:rFonts w:hint="eastAsia"/>
                <w:lang w:val="zh-CN" w:eastAsia="zh-CN"/>
              </w:rPr>
              <w:t>、投标人具有“中国教育装备行业售后服务先进单位” （证书范围必须包括出版物的批发、图书批发）的得2分。（提供证明材料原件扫描件或复印件加盖投标人公章，不提供不得分）（2分）</w:t>
            </w:r>
          </w:p>
          <w:p>
            <w:pPr>
              <w:bidi w:val="0"/>
              <w:rPr>
                <w:rFonts w:hint="eastAsia"/>
                <w:lang w:val="zh-CN" w:eastAsia="zh-CN"/>
              </w:rPr>
            </w:pPr>
            <w:r>
              <w:rPr>
                <w:rFonts w:hint="eastAsia"/>
                <w:lang w:val="en-US" w:eastAsia="zh-CN"/>
              </w:rPr>
              <w:t>2</w:t>
            </w:r>
            <w:r>
              <w:rPr>
                <w:rFonts w:hint="eastAsia"/>
                <w:lang w:val="zh-CN" w:eastAsia="zh-CN"/>
              </w:rPr>
              <w:t>、投标单位是“十三五”民营书业全民阅读推广单位的得3分，（提供证明材料原件扫描件或复印件加盖投标人公章，不提供不得分）；（3分）</w:t>
            </w:r>
          </w:p>
          <w:p>
            <w:pPr>
              <w:bidi w:val="0"/>
              <w:rPr>
                <w:rFonts w:hint="eastAsia"/>
                <w:lang w:val="zh-CN" w:eastAsia="zh-CN"/>
              </w:rPr>
            </w:pPr>
            <w:r>
              <w:rPr>
                <w:rFonts w:hint="eastAsia"/>
                <w:lang w:val="en-US" w:eastAsia="zh-CN"/>
              </w:rPr>
              <w:t>3</w:t>
            </w:r>
            <w:r>
              <w:rPr>
                <w:rFonts w:hint="eastAsia"/>
                <w:lang w:val="zh-CN" w:eastAsia="zh-CN"/>
              </w:rPr>
              <w:t>、投标单位具有专业的服务队伍，附人员身份证复印件，每提供一人得2分，最多得10分。（以上证书人员需提供投标单位为其缴纳社会保险花名册）（提供证明材料原件扫描件或复印件加盖投标人公章，不提供不得分）；（10分）</w:t>
            </w:r>
          </w:p>
          <w:p>
            <w:pPr>
              <w:bidi w:val="0"/>
              <w:rPr>
                <w:rFonts w:hint="eastAsia"/>
                <w:lang w:val="zh-CN" w:eastAsia="zh-CN"/>
              </w:rPr>
            </w:pPr>
            <w:r>
              <w:rPr>
                <w:rFonts w:hint="eastAsia"/>
                <w:lang w:val="en-US" w:eastAsia="zh-CN"/>
              </w:rPr>
              <w:t>4</w:t>
            </w:r>
            <w:r>
              <w:rPr>
                <w:rFonts w:hint="eastAsia"/>
                <w:lang w:val="zh-CN" w:eastAsia="zh-CN"/>
              </w:rPr>
              <w:t>、投标人提供湿地宣传手册的内容包含并不限于汾河的湿地的介绍、汾河湿地保护的意义、汾河湿地特征、汾河湿地管理的具体措施、汾河湿地保护的价值、汾河湿地保护带给汾河沿岸居民的好处、以及本县湿地资源的现状介绍、湿地动植物与候鸟野生动物的关系等森林湿地小科普知识介绍，在投标文件中提供完全者得15分。不提供或者少提供不得分（15分）</w:t>
            </w:r>
          </w:p>
        </w:tc>
      </w:tr>
    </w:tbl>
    <w:p>
      <w:pPr>
        <w:bidi w:val="0"/>
        <w:rPr>
          <w:rFonts w:hint="default"/>
          <w:lang w:val="en-US" w:eastAsia="zh-CN"/>
        </w:rPr>
      </w:pPr>
    </w:p>
    <w:p>
      <w:pPr>
        <w:spacing w:line="560" w:lineRule="exact"/>
        <w:rPr>
          <w:rFonts w:ascii="宋体" w:hAnsi="宋体" w:cs="宋体"/>
          <w:b/>
          <w:color w:val="000000" w:themeColor="text1"/>
          <w:sz w:val="24"/>
        </w:rPr>
      </w:pPr>
      <w:r>
        <w:rPr>
          <w:rFonts w:hint="eastAsia" w:ascii="宋体" w:hAnsi="宋体" w:cs="宋体"/>
          <w:b/>
          <w:color w:val="000000" w:themeColor="text1"/>
          <w:sz w:val="24"/>
        </w:rPr>
        <w:t xml:space="preserve">  最终得分为磋商小组所有成员计分的算术平均值，计算保留小数点两位，小数点后第三位四舍五入。</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22.5若供应商的报价高于项目预算，磋商小组有权根据采购人意见及其实际情况，拒绝该报价。</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22.8在竞争性磋商期间，采购人将有专门人员与供应商进行联络。</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23.竞争性磋商终止</w:t>
      </w:r>
    </w:p>
    <w:p>
      <w:pPr>
        <w:spacing w:line="560" w:lineRule="exact"/>
        <w:ind w:firstLine="480" w:firstLineChars="200"/>
        <w:rPr>
          <w:rFonts w:ascii="宋体" w:hAnsi="宋体" w:cs="宋体"/>
          <w:b/>
          <w:color w:val="000000" w:themeColor="text1"/>
          <w:sz w:val="24"/>
        </w:rPr>
      </w:pPr>
      <w:r>
        <w:rPr>
          <w:rFonts w:hint="eastAsia" w:ascii="宋体" w:hAnsi="宋体" w:cs="宋体"/>
          <w:bCs/>
          <w:color w:val="000000" w:themeColor="text1"/>
          <w:sz w:val="24"/>
        </w:rPr>
        <w:t>23.1出现下列情形之一时，采购人有权宣布竞争性磋商终止，并将理由通知所有供应商：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（1）因情况变化，不再符合竞争性磋商适用情形的；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（2）出现影响采购公正的违法、违规行为的；</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（3）在采购过程中符合磋商文件要求的供应商不足3家的；</w:t>
      </w:r>
    </w:p>
    <w:p>
      <w:pPr>
        <w:spacing w:line="56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（4）在采购活动中因重大变故，采购任务取消的；</w:t>
      </w: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七、成交通知</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24.成交通知</w:t>
      </w:r>
    </w:p>
    <w:p>
      <w:pPr>
        <w:pStyle w:val="2"/>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24.1采购人应当自收到评审报告之日起5个工作日内在评审报告推荐的中标或者成交候选人中按顺序确定中标或者成交供应商。</w:t>
      </w:r>
    </w:p>
    <w:p>
      <w:pPr>
        <w:tabs>
          <w:tab w:val="left" w:pos="1800"/>
        </w:tabs>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24.2在发出成交公告后请采购人、中标人登录周口市公共资源交易中心网（http://jyzx.zhoukou.gov.cn）自行下载成交通知书。。</w:t>
      </w:r>
    </w:p>
    <w:p>
      <w:pPr>
        <w:tabs>
          <w:tab w:val="left" w:pos="1800"/>
        </w:tabs>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color w:val="000000" w:themeColor="text1"/>
          <w:sz w:val="24"/>
        </w:rPr>
      </w:pPr>
      <w:r>
        <w:rPr>
          <w:rFonts w:hint="eastAsia" w:ascii="宋体" w:hAnsi="宋体" w:cs="宋体"/>
          <w:b/>
          <w:color w:val="000000" w:themeColor="text1"/>
          <w:sz w:val="24"/>
        </w:rPr>
        <w:t>八、合同授予</w:t>
      </w:r>
    </w:p>
    <w:p>
      <w:pPr>
        <w:tabs>
          <w:tab w:val="left" w:pos="1620"/>
        </w:tabs>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25.签订合同及合同的执行</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25.1采购人、成交供应商在成交通知书发出之日起30日内，按照竞争性磋商文件确定的合同文本签订政府采购合同。</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25.2采购人不得向成交供应商提出超过竞争性磋商文件以外的任何要求作为签订合同的条件，不得与成交供应商订立背离竞争性磋商文件确定的合同文本协议。</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ascii="宋体" w:hAnsi="宋体" w:cs="宋体"/>
          <w:b/>
          <w:color w:val="000000" w:themeColor="text1"/>
          <w:sz w:val="24"/>
        </w:rPr>
      </w:pPr>
      <w:r>
        <w:rPr>
          <w:rFonts w:hint="eastAsia" w:ascii="宋体" w:hAnsi="宋体" w:cs="宋体"/>
          <w:b/>
          <w:color w:val="000000" w:themeColor="text1"/>
          <w:sz w:val="24"/>
        </w:rPr>
        <w:t>九、质疑处理</w:t>
      </w:r>
    </w:p>
    <w:p>
      <w:pPr>
        <w:rPr>
          <w:rFonts w:ascii="宋体" w:hAnsi="宋体" w:cs="宋体"/>
          <w:b/>
          <w:color w:val="000000" w:themeColor="text1"/>
          <w:sz w:val="24"/>
        </w:rPr>
      </w:pPr>
      <w:r>
        <w:rPr>
          <w:rFonts w:hint="eastAsia" w:ascii="宋体" w:hAnsi="宋体" w:cs="宋体"/>
          <w:b/>
          <w:color w:val="000000" w:themeColor="text1"/>
          <w:sz w:val="24"/>
        </w:rPr>
        <w:t>26.质疑程序及处理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26.3</w:t>
      </w:r>
      <w:r>
        <w:rPr>
          <w:rFonts w:hint="eastAsia" w:ascii="宋体" w:hAnsi="宋体" w:cs="宋体"/>
          <w:bCs/>
          <w:color w:val="000000" w:themeColor="text1"/>
          <w:sz w:val="24"/>
        </w:rPr>
        <w:t>质疑供应商行使质疑权时，必须遵守“实事求是”和“谨慎性”原则，承担使用虚假材料或恶意方式质疑的法律责任，</w:t>
      </w:r>
      <w:r>
        <w:rPr>
          <w:rFonts w:hint="eastAsia" w:ascii="宋体" w:hAnsi="宋体" w:cs="宋体"/>
          <w:color w:val="000000" w:themeColor="text1"/>
          <w:sz w:val="24"/>
        </w:rPr>
        <w:t>采购人</w:t>
      </w:r>
      <w:r>
        <w:rPr>
          <w:rFonts w:hint="eastAsia" w:ascii="宋体" w:hAnsi="宋体" w:cs="宋体"/>
          <w:bCs/>
          <w:color w:val="000000" w:themeColor="text1"/>
          <w:sz w:val="24"/>
        </w:rPr>
        <w:t>将遵循“谁过错谁负担”的原则，由过错方提交相关的调查论证费用。</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rPr>
          <w:rFonts w:ascii="宋体" w:hAnsi="宋体" w:cs="宋体"/>
          <w:color w:val="000000" w:themeColor="text1"/>
          <w:sz w:val="32"/>
        </w:rPr>
      </w:pPr>
      <w:bookmarkStart w:id="42" w:name="_Toc98348553"/>
      <w:r>
        <w:rPr>
          <w:rFonts w:hint="eastAsia" w:ascii="宋体" w:hAnsi="宋体" w:cs="宋体"/>
          <w:color w:val="000000" w:themeColor="text1"/>
          <w:sz w:val="32"/>
        </w:rPr>
        <w:br w:type="page"/>
      </w:r>
    </w:p>
    <w:p>
      <w:pPr>
        <w:pStyle w:val="4"/>
        <w:jc w:val="center"/>
        <w:rPr>
          <w:rFonts w:ascii="宋体" w:hAnsi="宋体" w:cs="宋体"/>
          <w:b w:val="0"/>
          <w:color w:val="000000" w:themeColor="text1"/>
          <w:sz w:val="32"/>
        </w:rPr>
      </w:pPr>
      <w:r>
        <w:rPr>
          <w:rFonts w:hint="eastAsia" w:ascii="宋体" w:hAnsi="宋体" w:cs="宋体"/>
          <w:color w:val="000000" w:themeColor="text1"/>
          <w:sz w:val="32"/>
        </w:rPr>
        <w:t>第三章 采购项目内容及要求</w:t>
      </w:r>
      <w:bookmarkEnd w:id="42"/>
    </w:p>
    <w:p>
      <w:pPr>
        <w:numPr>
          <w:ilvl w:val="0"/>
          <w:numId w:val="8"/>
        </w:numPr>
        <w:adjustRightInd w:val="0"/>
        <w:snapToGrid w:val="0"/>
        <w:spacing w:line="360" w:lineRule="auto"/>
        <w:ind w:left="0"/>
        <w:rPr>
          <w:rFonts w:ascii="宋体" w:hAnsi="宋体" w:cs="宋体"/>
          <w:b/>
          <w:color w:val="000000" w:themeColor="text1"/>
          <w:sz w:val="24"/>
          <w:szCs w:val="24"/>
        </w:rPr>
      </w:pPr>
      <w:r>
        <w:rPr>
          <w:rFonts w:hint="eastAsia" w:ascii="宋体" w:hAnsi="宋体" w:cs="宋体"/>
          <w:b/>
          <w:color w:val="000000" w:themeColor="text1"/>
          <w:sz w:val="24"/>
          <w:szCs w:val="24"/>
        </w:rPr>
        <w:t>本项目采购内容：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根据本项工程采购需求，本次项目内容如下：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 xml:space="preserve">1标段 </w:t>
      </w:r>
      <w:r>
        <w:rPr>
          <w:rFonts w:hint="eastAsia"/>
          <w:sz w:val="24"/>
          <w:szCs w:val="24"/>
        </w:rPr>
        <w:t>工程量清单及有关附表包括的全部内容。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u w:val="none"/>
          <w:lang w:val="en-US" w:eastAsia="zh-CN"/>
        </w:rPr>
      </w:pPr>
      <w:r>
        <w:rPr>
          <w:rFonts w:hint="eastAsia"/>
          <w:sz w:val="24"/>
          <w:szCs w:val="24"/>
          <w:highlight w:val="none"/>
          <w:u w:val="none"/>
          <w:lang w:val="en-US" w:eastAsia="zh-CN"/>
        </w:rPr>
        <w:t>2标段  湿地宣传图书3500本，湿地宣传册15000本。</w:t>
      </w:r>
    </w:p>
    <w:p>
      <w:pPr>
        <w:pStyle w:val="42"/>
        <w:keepNext w:val="0"/>
        <w:keepLines w:val="0"/>
        <w:widowControl/>
        <w:suppressLineNumbers w:val="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湿地宣传图书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应以中国湿地科普读本为主，要坚持正确的政治方向和导向，符合国家法律法规，内容科学、系统，数据权威。国内正规出版社。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default"/>
          <w:b/>
          <w:bCs/>
          <w:sz w:val="24"/>
          <w:szCs w:val="24"/>
          <w:lang w:val="en-US" w:eastAsia="zh-CN"/>
        </w:rPr>
        <w:t>湿地宣传册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bookmarkStart w:id="43" w:name="_bookmark2"/>
      <w:bookmarkEnd w:id="43"/>
      <w:r>
        <w:rPr>
          <w:rFonts w:hint="eastAsia"/>
          <w:sz w:val="24"/>
          <w:szCs w:val="32"/>
          <w:lang w:val="en-US" w:eastAsia="zh-CN"/>
        </w:rPr>
        <w:t>内容应以</w:t>
      </w:r>
      <w:r>
        <w:rPr>
          <w:sz w:val="24"/>
          <w:szCs w:val="32"/>
        </w:rPr>
        <w:t>宣传保护自然资源和生态环境</w:t>
      </w:r>
      <w:r>
        <w:rPr>
          <w:rFonts w:hint="eastAsia"/>
          <w:sz w:val="24"/>
          <w:szCs w:val="32"/>
          <w:lang w:eastAsia="zh-CN"/>
        </w:rPr>
        <w:t>，</w:t>
      </w:r>
      <w:r>
        <w:rPr>
          <w:rFonts w:hint="eastAsia"/>
          <w:sz w:val="24"/>
          <w:szCs w:val="32"/>
        </w:rPr>
        <w:t>保护湿地</w:t>
      </w:r>
      <w:r>
        <w:rPr>
          <w:rFonts w:hint="eastAsia"/>
          <w:sz w:val="24"/>
          <w:szCs w:val="32"/>
          <w:lang w:eastAsia="zh-CN"/>
        </w:rPr>
        <w:t>，</w:t>
      </w:r>
      <w:r>
        <w:rPr>
          <w:rFonts w:hint="eastAsia"/>
          <w:sz w:val="24"/>
          <w:szCs w:val="32"/>
        </w:rPr>
        <w:t>关爱家</w:t>
      </w:r>
      <w:r>
        <w:rPr>
          <w:rFonts w:hint="eastAsia"/>
          <w:sz w:val="24"/>
          <w:szCs w:val="32"/>
          <w:lang w:val="en-US" w:eastAsia="zh-CN"/>
        </w:rPr>
        <w:t>园</w:t>
      </w:r>
      <w:r>
        <w:rPr>
          <w:rFonts w:hint="eastAsia"/>
          <w:sz w:val="24"/>
          <w:szCs w:val="32"/>
          <w:lang w:eastAsia="zh-CN"/>
        </w:rPr>
        <w:t>，</w:t>
      </w:r>
      <w:r>
        <w:rPr>
          <w:rFonts w:hint="eastAsia"/>
          <w:sz w:val="24"/>
          <w:szCs w:val="32"/>
        </w:rPr>
        <w:t>湿地是什么？为什么要保护好湿地？湿地的作用、价值和给人类带来的好处，以及本县湿地资源、森林资源现状,湿地动植物与野生动物的关系等森林湿地小科普知识，本县一些重要的湿地及其教育基地简介</w:t>
      </w:r>
      <w:r>
        <w:rPr>
          <w:rFonts w:hint="eastAsia"/>
          <w:sz w:val="24"/>
          <w:szCs w:val="32"/>
          <w:lang w:eastAsia="zh-CN"/>
        </w:rPr>
        <w:t>，</w:t>
      </w:r>
      <w:r>
        <w:rPr>
          <w:rFonts w:hint="eastAsia"/>
          <w:sz w:val="24"/>
          <w:szCs w:val="32"/>
        </w:rPr>
        <w:t>图文并茂，通俗易懂</w:t>
      </w:r>
      <w:r>
        <w:rPr>
          <w:rFonts w:hint="eastAsia"/>
          <w:sz w:val="24"/>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u w:val="none"/>
          <w:lang w:val="en-US" w:eastAsia="zh-CN"/>
        </w:rPr>
      </w:pPr>
      <w:r>
        <w:rPr>
          <w:rFonts w:hint="eastAsia" w:ascii="宋体" w:hAnsi="宋体" w:cs="宋体"/>
          <w:b w:val="0"/>
          <w:bCs/>
          <w:color w:val="000000" w:themeColor="text1"/>
          <w:sz w:val="24"/>
          <w:szCs w:val="24"/>
          <w:u w:val="none"/>
        </w:rPr>
        <w:t>2、</w:t>
      </w:r>
      <w:r>
        <w:rPr>
          <w:rFonts w:hint="eastAsia" w:ascii="宋体" w:hAnsi="宋体" w:cs="宋体"/>
          <w:b w:val="0"/>
          <w:bCs/>
          <w:color w:val="000000" w:themeColor="text1"/>
          <w:sz w:val="24"/>
          <w:szCs w:val="24"/>
          <w:u w:val="none"/>
          <w:lang w:val="en-US" w:eastAsia="zh-CN"/>
        </w:rPr>
        <w:t>施工及供货要求</w:t>
      </w:r>
    </w:p>
    <w:p>
      <w:pPr>
        <w:pStyle w:val="18"/>
        <w:bidi w:val="0"/>
        <w:rPr>
          <w:rFonts w:hint="default"/>
          <w:b/>
          <w:bCs w:val="0"/>
          <w:i w:val="0"/>
          <w:iCs w:val="0"/>
          <w:sz w:val="24"/>
          <w:szCs w:val="24"/>
          <w:lang w:val="en-US" w:eastAsia="zh-CN"/>
        </w:rPr>
      </w:pPr>
      <w:r>
        <w:rPr>
          <w:rFonts w:hint="eastAsia"/>
          <w:b/>
          <w:bCs w:val="0"/>
          <w:i w:val="0"/>
          <w:iCs w:val="0"/>
          <w:sz w:val="24"/>
          <w:szCs w:val="24"/>
          <w:lang w:val="en-US" w:eastAsia="zh-CN"/>
        </w:rPr>
        <w:t>1标段施工要求</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2.1承包方式：包工包料。所需材料符合国家相关标准； 整体要求结实、美观、耐用，质量优良。</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2.2质量标准：合格。</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2.3工期：180天。</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2.4保修期：按相关行业标准或双方签订合同时约定。</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2.5提供7×12小时工程服务，接到服务请求后，1小时响应，12小时内上门并视情况解决问题。</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2.6施工的具体要求见施工图纸及工程效果图。</w:t>
      </w:r>
    </w:p>
    <w:p>
      <w:pPr>
        <w:pStyle w:val="18"/>
        <w:adjustRightInd w:val="0"/>
        <w:snapToGrid w:val="0"/>
        <w:spacing w:after="0" w:line="360" w:lineRule="auto"/>
        <w:ind w:firstLine="480" w:firstLineChars="200"/>
        <w:rPr>
          <w:rFonts w:ascii="宋体" w:hAnsi="宋体" w:cs="宋体"/>
          <w:b w:val="0"/>
          <w:bCs/>
          <w:color w:val="000000" w:themeColor="text1"/>
          <w:sz w:val="24"/>
          <w:szCs w:val="24"/>
        </w:rPr>
      </w:pPr>
      <w:r>
        <w:rPr>
          <w:rFonts w:hint="eastAsia" w:ascii="宋体" w:hAnsi="宋体" w:cs="宋体"/>
          <w:b w:val="0"/>
          <w:bCs/>
          <w:color w:val="000000" w:themeColor="text1"/>
          <w:sz w:val="24"/>
          <w:szCs w:val="24"/>
        </w:rPr>
        <w:t>2.7投标人工程预算以现场勘察、施工图纸、工程量清单、所需材料及工期等要求综合考虑。</w:t>
      </w:r>
    </w:p>
    <w:p>
      <w:pPr>
        <w:pStyle w:val="18"/>
        <w:adjustRightInd w:val="0"/>
        <w:snapToGrid w:val="0"/>
        <w:spacing w:after="0" w:line="360" w:lineRule="auto"/>
        <w:ind w:firstLine="480" w:firstLineChars="200"/>
        <w:rPr>
          <w:rFonts w:hint="eastAsia" w:ascii="宋体" w:hAnsi="宋体" w:cs="宋体"/>
          <w:b w:val="0"/>
          <w:bCs/>
          <w:color w:val="000000" w:themeColor="text1"/>
          <w:sz w:val="24"/>
          <w:szCs w:val="24"/>
        </w:rPr>
      </w:pPr>
      <w:r>
        <w:rPr>
          <w:rFonts w:hint="eastAsia" w:ascii="宋体" w:hAnsi="宋体" w:cs="宋体"/>
          <w:b w:val="0"/>
          <w:bCs/>
          <w:color w:val="000000" w:themeColor="text1"/>
          <w:sz w:val="24"/>
          <w:szCs w:val="24"/>
        </w:rPr>
        <w:t>2.8严格落实安全措施，周密组织，文明施工。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eastAsia="zh-CN"/>
        </w:rPr>
      </w:pPr>
      <w:r>
        <w:rPr>
          <w:rFonts w:hint="eastAsia"/>
          <w:b/>
          <w:bCs w:val="0"/>
          <w:sz w:val="24"/>
          <w:szCs w:val="24"/>
          <w:lang w:val="en-US" w:eastAsia="zh-CN"/>
        </w:rPr>
        <w:t>2标段供货要求</w:t>
      </w:r>
      <w:r>
        <w:rPr>
          <w:rFonts w:hint="eastAsia"/>
          <w:b w:val="0"/>
          <w:bCs/>
          <w:sz w:val="24"/>
          <w:szCs w:val="24"/>
          <w:lang w:val="en-US" w:eastAsia="zh-CN"/>
        </w:rPr>
        <w:t>：</w:t>
      </w:r>
      <w:r>
        <w:rPr>
          <w:rFonts w:hint="eastAsia" w:ascii="宋体" w:hAnsi="宋体" w:cs="宋体"/>
          <w:b w:val="0"/>
          <w:bCs/>
          <w:color w:val="000000" w:themeColor="text1"/>
          <w:sz w:val="24"/>
          <w:szCs w:val="24"/>
        </w:rPr>
        <w:t>符合国家相关标准</w:t>
      </w:r>
      <w:r>
        <w:rPr>
          <w:rFonts w:hint="eastAsia" w:ascii="宋体" w:hAnsi="宋体" w:cs="宋体"/>
          <w:b w:val="0"/>
          <w:bCs/>
          <w:color w:val="000000" w:themeColor="text1"/>
          <w:sz w:val="24"/>
          <w:szCs w:val="24"/>
          <w:lang w:eastAsia="zh-CN"/>
        </w:rPr>
        <w:t>。</w:t>
      </w:r>
      <w:r>
        <w:rPr>
          <w:rFonts w:hint="eastAsia"/>
          <w:sz w:val="24"/>
          <w:szCs w:val="32"/>
          <w:lang w:eastAsia="zh-CN"/>
        </w:rPr>
        <w:t>如未按采购人要求</w:t>
      </w:r>
      <w:r>
        <w:rPr>
          <w:rFonts w:hint="eastAsia"/>
          <w:sz w:val="24"/>
          <w:szCs w:val="32"/>
          <w:lang w:val="en-US" w:eastAsia="zh-CN"/>
        </w:rPr>
        <w:t>提供</w:t>
      </w:r>
      <w:r>
        <w:rPr>
          <w:rFonts w:hint="eastAsia"/>
          <w:sz w:val="24"/>
          <w:szCs w:val="32"/>
          <w:lang w:eastAsia="zh-CN"/>
        </w:rPr>
        <w:t>，出现质量问题，采购人有权拒收所有出现质量问题的</w:t>
      </w:r>
      <w:r>
        <w:rPr>
          <w:rFonts w:hint="eastAsia"/>
          <w:sz w:val="24"/>
          <w:szCs w:val="32"/>
          <w:lang w:val="en-US" w:eastAsia="zh-CN"/>
        </w:rPr>
        <w:t>宣传图书和宣传册</w:t>
      </w:r>
      <w:r>
        <w:rPr>
          <w:rFonts w:hint="eastAsia"/>
          <w:sz w:val="24"/>
          <w:szCs w:val="32"/>
          <w:lang w:eastAsia="zh-CN"/>
        </w:rPr>
        <w:t>，其责任由投标人自行承担。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val="0"/>
          <w:bCs/>
          <w:color w:val="000000" w:themeColor="text1"/>
          <w:sz w:val="24"/>
          <w:szCs w:val="24"/>
        </w:rPr>
      </w:pPr>
      <w:r>
        <w:rPr>
          <w:rFonts w:hint="eastAsia" w:ascii="宋体" w:hAnsi="宋体" w:cs="宋体"/>
          <w:b w:val="0"/>
          <w:bCs/>
          <w:color w:val="000000" w:themeColor="text1"/>
          <w:sz w:val="24"/>
          <w:szCs w:val="24"/>
        </w:rPr>
        <w:t>3、技术标准和要求：</w:t>
      </w:r>
    </w:p>
    <w:p>
      <w:pPr>
        <w:pStyle w:val="2"/>
        <w:adjustRightInd w:val="0"/>
        <w:snapToGrid w:val="0"/>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3.1依据设计文件的要求，本招标工程项目的材料、设备、施工须达到现行国家、行业和河南省的工程建设标准、规范的要求。</w:t>
      </w:r>
    </w:p>
    <w:p>
      <w:pPr>
        <w:pStyle w:val="2"/>
        <w:adjustRightInd w:val="0"/>
        <w:snapToGrid w:val="0"/>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3.2根据工程设计要求，该工程项目的材料、施工、安全除达到以上标准规范外，如有特殊项目的施工工艺标准要求，要以现地的最新的标准规范执行。</w:t>
      </w:r>
    </w:p>
    <w:p>
      <w:pPr>
        <w:pStyle w:val="2"/>
        <w:ind w:firstLine="0" w:firstLineChars="0"/>
        <w:rPr>
          <w:rFonts w:ascii="宋体" w:hAnsi="宋体" w:cs="宋体"/>
          <w:b/>
          <w:color w:val="000000" w:themeColor="text1"/>
          <w:sz w:val="24"/>
          <w:szCs w:val="24"/>
        </w:rPr>
      </w:pPr>
      <w:r>
        <w:rPr>
          <w:rFonts w:hint="eastAsia" w:ascii="宋体" w:hAnsi="宋体" w:cs="宋体"/>
          <w:b/>
          <w:color w:val="000000" w:themeColor="text1"/>
          <w:sz w:val="24"/>
          <w:szCs w:val="24"/>
        </w:rPr>
        <w:t>4、工程量清单：</w:t>
      </w:r>
    </w:p>
    <w:p>
      <w:pPr>
        <w:pStyle w:val="18"/>
        <w:adjustRightInd w:val="0"/>
        <w:snapToGrid w:val="0"/>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工程量清单：另附 </w:t>
      </w:r>
    </w:p>
    <w:p>
      <w:pPr>
        <w:pStyle w:val="18"/>
        <w:adjustRightInd w:val="0"/>
        <w:snapToGrid w:val="0"/>
        <w:spacing w:after="0" w:line="360" w:lineRule="auto"/>
        <w:rPr>
          <w:rFonts w:ascii="宋体" w:hAnsi="宋体" w:cs="宋体"/>
          <w:color w:val="000000" w:themeColor="text1"/>
          <w:sz w:val="24"/>
          <w:szCs w:val="24"/>
        </w:rPr>
      </w:pPr>
    </w:p>
    <w:p>
      <w:pPr>
        <w:rPr>
          <w:rFonts w:ascii="宋体" w:hAnsi="宋体" w:cs="宋体"/>
          <w:color w:val="000000" w:themeColor="text1"/>
          <w:sz w:val="32"/>
        </w:rPr>
      </w:pPr>
      <w:bookmarkStart w:id="44" w:name="_Toc98348554"/>
      <w:r>
        <w:rPr>
          <w:rFonts w:hint="eastAsia" w:ascii="宋体" w:hAnsi="宋体" w:cs="宋体"/>
          <w:color w:val="000000" w:themeColor="text1"/>
          <w:sz w:val="32"/>
        </w:rPr>
        <w:br w:type="page"/>
      </w:r>
    </w:p>
    <w:p>
      <w:pPr>
        <w:pStyle w:val="4"/>
        <w:jc w:val="center"/>
        <w:rPr>
          <w:rFonts w:ascii="宋体" w:hAnsi="宋体" w:cs="宋体"/>
          <w:color w:val="000000" w:themeColor="text1"/>
          <w:sz w:val="32"/>
        </w:rPr>
      </w:pPr>
      <w:r>
        <w:rPr>
          <w:rFonts w:hint="eastAsia" w:ascii="宋体" w:hAnsi="宋体" w:cs="宋体"/>
          <w:color w:val="000000" w:themeColor="text1"/>
          <w:sz w:val="32"/>
        </w:rPr>
        <w:t>第四章  响应性文件内容及格式</w:t>
      </w:r>
      <w:bookmarkEnd w:id="44"/>
    </w:p>
    <w:p>
      <w:pPr>
        <w:widowControl/>
        <w:spacing w:line="520" w:lineRule="exact"/>
        <w:ind w:firstLine="480" w:firstLineChars="200"/>
        <w:jc w:val="center"/>
        <w:rPr>
          <w:rFonts w:ascii="宋体" w:hAnsi="宋体" w:cs="宋体"/>
          <w:color w:val="000000" w:themeColor="text1"/>
          <w:sz w:val="24"/>
        </w:rPr>
      </w:pP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注：请供应商按照以下文件的要求格式、顺序制作响应性文件，并编制目录及页码，否则可能将影响对响应性文件的评价。 </w:t>
      </w:r>
    </w:p>
    <w:p>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重要提示：</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1.供应商提供的证明材料，除需要供应商填报或有特殊说明外，均须提供该材料的复印件或扫描件。 </w:t>
      </w:r>
    </w:p>
    <w:p>
      <w:pPr>
        <w:snapToGrid w:val="0"/>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2．供应商在编制响应性文件时，对于给定格式的文件内容，应按照给定的标准格式进行填报；对于没有给定标准格式的文件内容，可以由供应商自行设计。</w:t>
      </w: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snapToGrid w:val="0"/>
        <w:jc w:val="left"/>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br w:type="page"/>
      </w: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格式1</w:t>
      </w:r>
    </w:p>
    <w:p>
      <w:pPr>
        <w:spacing w:line="560" w:lineRule="exact"/>
        <w:jc w:val="center"/>
        <w:rPr>
          <w:rFonts w:ascii="宋体" w:hAnsi="宋体" w:cs="宋体"/>
          <w:color w:val="000000" w:themeColor="text1"/>
          <w:sz w:val="24"/>
        </w:rPr>
      </w:pPr>
      <w:r>
        <w:rPr>
          <w:rFonts w:hint="eastAsia" w:ascii="宋体" w:hAnsi="宋体" w:cs="宋体"/>
          <w:color w:val="000000" w:themeColor="text1"/>
          <w:sz w:val="24"/>
        </w:rPr>
        <w:t>响应性文件目录</w:t>
      </w:r>
    </w:p>
    <w:p>
      <w:pPr>
        <w:pStyle w:val="2"/>
        <w:ind w:firstLine="210"/>
        <w:rPr>
          <w:rFonts w:ascii="宋体" w:hAnsi="宋体" w:cs="宋体"/>
          <w:color w:val="000000" w:themeColor="text1"/>
        </w:rPr>
      </w:pPr>
      <w:r>
        <w:rPr>
          <w:rFonts w:hint="eastAsia" w:ascii="宋体" w:hAnsi="宋体" w:cs="宋体"/>
          <w:color w:val="000000" w:themeColor="text1"/>
        </w:rPr>
        <w:t>格式自拟</w:t>
      </w:r>
    </w:p>
    <w:p>
      <w:pPr>
        <w:widowControl/>
        <w:spacing w:line="480" w:lineRule="exac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jc w:val="left"/>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br w:type="page"/>
      </w: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格式2-1</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法定代表人身份证明书</w:t>
      </w:r>
    </w:p>
    <w:p>
      <w:pPr>
        <w:spacing w:line="360" w:lineRule="auto"/>
        <w:ind w:firstLine="840" w:firstLineChars="350"/>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同志，系我单位法定代表人，任</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职务。</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特此证明。</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附：联系地址：               </w:t>
      </w:r>
    </w:p>
    <w:p>
      <w:pPr>
        <w:spacing w:line="360" w:lineRule="auto"/>
        <w:ind w:firstLine="960" w:firstLineChars="400"/>
        <w:rPr>
          <w:rFonts w:ascii="宋体" w:hAnsi="宋体" w:cs="宋体"/>
          <w:b/>
          <w:color w:val="000000" w:themeColor="text1"/>
          <w:sz w:val="24"/>
        </w:rPr>
      </w:pPr>
      <w:r>
        <w:rPr>
          <w:rFonts w:hint="eastAsia" w:ascii="宋体" w:hAnsi="宋体" w:cs="宋体"/>
          <w:color w:val="000000" w:themeColor="text1"/>
          <w:sz w:val="24"/>
        </w:rPr>
        <w:t>联系电话：</w:t>
      </w:r>
    </w:p>
    <w:tbl>
      <w:tblPr>
        <w:tblStyle w:val="46"/>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color w:val="000000" w:themeColor="text1"/>
                <w:sz w:val="24"/>
              </w:rPr>
            </w:pPr>
          </w:p>
          <w:p>
            <w:pPr>
              <w:spacing w:line="480" w:lineRule="exact"/>
              <w:rPr>
                <w:rFonts w:ascii="宋体" w:hAnsi="宋体" w:cs="宋体"/>
                <w:b/>
                <w:bCs/>
                <w:color w:val="000000" w:themeColor="text1"/>
                <w:sz w:val="24"/>
              </w:rPr>
            </w:pPr>
          </w:p>
          <w:p>
            <w:pPr>
              <w:spacing w:line="480" w:lineRule="exact"/>
              <w:jc w:val="center"/>
              <w:rPr>
                <w:rFonts w:ascii="宋体" w:hAnsi="宋体" w:cs="宋体"/>
                <w:b/>
                <w:bCs/>
                <w:color w:val="000000" w:themeColor="text1"/>
                <w:sz w:val="24"/>
              </w:rPr>
            </w:pPr>
            <w:r>
              <w:rPr>
                <w:rFonts w:hint="eastAsia" w:ascii="宋体" w:hAnsi="宋体" w:cs="宋体"/>
                <w:b/>
                <w:bCs/>
                <w:color w:val="000000" w:themeColor="text1"/>
                <w:sz w:val="24"/>
              </w:rPr>
              <w:t>（※附：法定代表人身份证复印件或扫描件※）</w:t>
            </w:r>
          </w:p>
          <w:p>
            <w:pPr>
              <w:spacing w:line="480" w:lineRule="exact"/>
              <w:rPr>
                <w:rFonts w:ascii="宋体" w:hAnsi="宋体" w:cs="宋体"/>
                <w:color w:val="000000" w:themeColor="text1"/>
                <w:sz w:val="24"/>
              </w:rPr>
            </w:pPr>
          </w:p>
          <w:p>
            <w:pPr>
              <w:spacing w:line="480" w:lineRule="exact"/>
              <w:rPr>
                <w:rFonts w:ascii="宋体" w:hAnsi="宋体" w:cs="宋体"/>
                <w:color w:val="000000" w:themeColor="text1"/>
                <w:sz w:val="24"/>
              </w:rPr>
            </w:pPr>
          </w:p>
        </w:tc>
      </w:tr>
    </w:tbl>
    <w:p>
      <w:pPr>
        <w:spacing w:line="360" w:lineRule="auto"/>
        <w:ind w:firstLine="960" w:firstLineChars="400"/>
        <w:rPr>
          <w:rFonts w:ascii="宋体" w:hAnsi="宋体" w:cs="宋体"/>
          <w:color w:val="000000" w:themeColor="text1"/>
          <w:sz w:val="24"/>
        </w:rPr>
      </w:pPr>
    </w:p>
    <w:p>
      <w:pPr>
        <w:spacing w:line="360" w:lineRule="auto"/>
        <w:ind w:firstLine="3840" w:firstLineChars="1600"/>
        <w:rPr>
          <w:rFonts w:ascii="宋体" w:hAnsi="宋体" w:cs="宋体"/>
          <w:color w:val="000000" w:themeColor="text1"/>
          <w:sz w:val="24"/>
        </w:rPr>
      </w:pPr>
    </w:p>
    <w:p>
      <w:pPr>
        <w:spacing w:line="360" w:lineRule="auto"/>
        <w:ind w:firstLine="3840" w:firstLineChars="1600"/>
        <w:rPr>
          <w:rFonts w:ascii="宋体" w:hAnsi="宋体" w:cs="宋体"/>
          <w:color w:val="000000" w:themeColor="text1"/>
          <w:sz w:val="24"/>
        </w:rPr>
      </w:pPr>
    </w:p>
    <w:p>
      <w:pPr>
        <w:spacing w:line="360" w:lineRule="auto"/>
        <w:ind w:firstLine="3840" w:firstLineChars="1600"/>
        <w:rPr>
          <w:rFonts w:ascii="宋体" w:hAnsi="宋体" w:cs="宋体"/>
          <w:color w:val="000000" w:themeColor="text1"/>
          <w:sz w:val="24"/>
        </w:rPr>
      </w:pPr>
    </w:p>
    <w:p>
      <w:pPr>
        <w:spacing w:line="360" w:lineRule="auto"/>
        <w:jc w:val="center"/>
        <w:rPr>
          <w:rFonts w:ascii="宋体" w:hAnsi="宋体" w:cs="宋体"/>
          <w:color w:val="000000" w:themeColor="text1"/>
          <w:sz w:val="24"/>
        </w:rPr>
      </w:pPr>
    </w:p>
    <w:p>
      <w:pPr>
        <w:spacing w:line="360" w:lineRule="auto"/>
        <w:jc w:val="center"/>
        <w:rPr>
          <w:rFonts w:ascii="宋体" w:hAnsi="宋体" w:cs="宋体"/>
          <w:color w:val="000000" w:themeColor="text1"/>
          <w:sz w:val="24"/>
        </w:rPr>
      </w:pPr>
    </w:p>
    <w:p>
      <w:pPr>
        <w:spacing w:line="360" w:lineRule="auto"/>
        <w:jc w:val="center"/>
        <w:rPr>
          <w:rFonts w:ascii="宋体" w:hAnsi="宋体" w:cs="宋体"/>
          <w:color w:val="000000" w:themeColor="text1"/>
          <w:sz w:val="24"/>
        </w:rPr>
      </w:pPr>
    </w:p>
    <w:p>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 </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pPr>
        <w:spacing w:line="360" w:lineRule="auto"/>
        <w:jc w:val="center"/>
        <w:rPr>
          <w:rFonts w:ascii="宋体" w:hAnsi="宋体" w:cs="宋体"/>
          <w:color w:val="000000" w:themeColor="text1"/>
          <w:sz w:val="24"/>
        </w:rPr>
      </w:pPr>
    </w:p>
    <w:p>
      <w:pPr>
        <w:spacing w:line="360" w:lineRule="auto"/>
        <w:jc w:val="center"/>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spacing w:line="360" w:lineRule="auto"/>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br w:type="page"/>
      </w: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格式2-2</w:t>
      </w:r>
    </w:p>
    <w:p>
      <w:pPr>
        <w:spacing w:line="360" w:lineRule="auto"/>
        <w:ind w:firstLine="480" w:firstLineChars="200"/>
        <w:jc w:val="center"/>
        <w:rPr>
          <w:rFonts w:ascii="宋体" w:hAnsi="宋体" w:cs="宋体"/>
          <w:color w:val="000000" w:themeColor="text1"/>
          <w:sz w:val="24"/>
        </w:rPr>
      </w:pPr>
      <w:r>
        <w:rPr>
          <w:rFonts w:hint="eastAsia" w:ascii="宋体" w:hAnsi="宋体" w:cs="宋体"/>
          <w:color w:val="000000" w:themeColor="text1"/>
          <w:sz w:val="24"/>
        </w:rPr>
        <w:t>授权委托书</w:t>
      </w: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委托人授权</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（被委托人的姓名、职务）为委托人的委托代理人，就项目编号为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的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项目及合同的执行，以本单位名义处理一切与之有关的事务。</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本授权书于</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月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    签字生效，特此声明。</w:t>
      </w:r>
    </w:p>
    <w:p>
      <w:pPr>
        <w:spacing w:line="360" w:lineRule="auto"/>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委托人：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投标单位电子：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被委托人：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法定代表人：</w:t>
      </w:r>
    </w:p>
    <w:tbl>
      <w:tblPr>
        <w:tblStyle w:val="46"/>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color w:val="000000" w:themeColor="text1"/>
                <w:sz w:val="24"/>
              </w:rPr>
            </w:pPr>
          </w:p>
          <w:p>
            <w:pPr>
              <w:spacing w:line="480" w:lineRule="exact"/>
              <w:rPr>
                <w:rFonts w:ascii="宋体" w:hAnsi="宋体" w:cs="宋体"/>
                <w:b/>
                <w:bCs/>
                <w:color w:val="000000" w:themeColor="text1"/>
                <w:sz w:val="24"/>
              </w:rPr>
            </w:pPr>
          </w:p>
          <w:p>
            <w:pPr>
              <w:spacing w:line="480" w:lineRule="exact"/>
              <w:jc w:val="center"/>
              <w:rPr>
                <w:rFonts w:ascii="宋体" w:hAnsi="宋体" w:cs="宋体"/>
                <w:color w:val="000000" w:themeColor="text1"/>
                <w:sz w:val="24"/>
              </w:rPr>
            </w:pPr>
            <w:r>
              <w:rPr>
                <w:rFonts w:hint="eastAsia" w:ascii="宋体" w:hAnsi="宋体" w:cs="宋体"/>
                <w:b/>
                <w:bCs/>
                <w:color w:val="000000" w:themeColor="text1"/>
                <w:sz w:val="24"/>
              </w:rPr>
              <w:t>（※附：被委托人身份证复印件或扫描件※）</w:t>
            </w:r>
          </w:p>
        </w:tc>
      </w:tr>
    </w:tbl>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spacing w:line="360" w:lineRule="auto"/>
        <w:ind w:firstLine="4920" w:firstLineChars="2050"/>
        <w:rPr>
          <w:rFonts w:ascii="宋体" w:hAnsi="宋体" w:cs="宋体"/>
          <w:color w:val="000000" w:themeColor="text1"/>
          <w:sz w:val="24"/>
        </w:rPr>
      </w:pPr>
    </w:p>
    <w:p>
      <w:pPr>
        <w:spacing w:line="360" w:lineRule="auto"/>
        <w:jc w:val="center"/>
        <w:rPr>
          <w:rFonts w:ascii="宋体" w:hAnsi="宋体" w:cs="宋体"/>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供应商电子：                                       </w:t>
      </w:r>
    </w:p>
    <w:p>
      <w:pPr>
        <w:spacing w:line="360" w:lineRule="auto"/>
        <w:rPr>
          <w:rFonts w:ascii="宋体" w:hAnsi="宋体" w:cs="宋体"/>
          <w:color w:val="000000" w:themeColor="text1"/>
          <w:sz w:val="24"/>
        </w:rPr>
      </w:pPr>
      <w:r>
        <w:rPr>
          <w:rFonts w:hint="eastAsia" w:ascii="宋体" w:hAnsi="宋体" w:cs="宋体"/>
          <w:color w:val="000000" w:themeColor="text1"/>
          <w:sz w:val="24"/>
        </w:rPr>
        <w:t>年   月   日</w:t>
      </w:r>
    </w:p>
    <w:p>
      <w:pPr>
        <w:rPr>
          <w:rFonts w:ascii="宋体" w:hAnsi="宋体" w:cs="宋体"/>
          <w:color w:val="000000" w:themeColor="text1"/>
          <w:sz w:val="24"/>
        </w:rPr>
      </w:pPr>
      <w:r>
        <w:rPr>
          <w:rFonts w:hint="eastAsia" w:ascii="宋体" w:hAnsi="宋体" w:cs="宋体"/>
          <w:color w:val="000000" w:themeColor="text1"/>
          <w:sz w:val="24"/>
        </w:rPr>
        <w:br w:type="page"/>
      </w: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格式3</w:t>
      </w:r>
    </w:p>
    <w:p>
      <w:pPr>
        <w:spacing w:line="560" w:lineRule="exact"/>
        <w:jc w:val="center"/>
        <w:rPr>
          <w:rFonts w:ascii="宋体" w:hAnsi="宋体" w:cs="宋体"/>
          <w:color w:val="000000" w:themeColor="text1"/>
          <w:sz w:val="24"/>
        </w:rPr>
      </w:pPr>
      <w:r>
        <w:rPr>
          <w:rFonts w:hint="eastAsia" w:ascii="宋体" w:hAnsi="宋体" w:cs="宋体"/>
          <w:color w:val="000000" w:themeColor="text1"/>
          <w:sz w:val="24"/>
        </w:rPr>
        <w:t>投标函</w:t>
      </w:r>
    </w:p>
    <w:p>
      <w:pPr>
        <w:pStyle w:val="42"/>
        <w:shd w:val="clear" w:color="auto" w:fill="FFFFFF"/>
        <w:adjustRightInd w:val="0"/>
        <w:snapToGrid w:val="0"/>
        <w:spacing w:before="0" w:beforeAutospacing="0" w:after="0" w:afterAutospacing="0" w:line="360" w:lineRule="auto"/>
        <w:rPr>
          <w:rFonts w:cs="宋体"/>
          <w:color w:val="000000" w:themeColor="text1"/>
          <w:szCs w:val="24"/>
        </w:rPr>
      </w:pPr>
      <w:r>
        <w:rPr>
          <w:rFonts w:hint="eastAsia" w:cs="宋体"/>
          <w:color w:val="000000" w:themeColor="text1"/>
          <w:szCs w:val="24"/>
        </w:rPr>
        <w:t>致：周口市公共资源交易中心政府采购中心</w:t>
      </w:r>
    </w:p>
    <w:p>
      <w:pPr>
        <w:pStyle w:val="74"/>
        <w:ind w:firstLine="600" w:firstLineChars="250"/>
        <w:rPr>
          <w:rFonts w:ascii="宋体" w:hAnsi="宋体"/>
          <w:color w:val="000000" w:themeColor="text1"/>
          <w:sz w:val="24"/>
          <w:szCs w:val="24"/>
        </w:rPr>
      </w:pPr>
      <w:r>
        <w:rPr>
          <w:rFonts w:hint="eastAsia" w:ascii="宋体" w:hAnsi="宋体"/>
          <w:color w:val="000000" w:themeColor="text1"/>
          <w:sz w:val="24"/>
          <w:szCs w:val="24"/>
        </w:rPr>
        <w:t>根据贵方</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项目的竞争性磋商邀请（项目编号：</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），委托代理人</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(全名、职务)代表</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(供应商名称、地址)提交响应文件，报价为</w:t>
      </w:r>
      <w:r>
        <w:rPr>
          <w:rFonts w:hint="eastAsia" w:ascii="宋体" w:hAnsi="宋体"/>
          <w:color w:val="000000" w:themeColor="text1"/>
          <w:sz w:val="24"/>
          <w:szCs w:val="24"/>
          <w:u w:val="single"/>
        </w:rPr>
        <w:t>：      元，</w:t>
      </w:r>
      <w:r>
        <w:rPr>
          <w:rFonts w:hint="eastAsia" w:ascii="宋体" w:hAnsi="宋体"/>
          <w:color w:val="000000" w:themeColor="text1"/>
          <w:sz w:val="24"/>
          <w:szCs w:val="24"/>
        </w:rPr>
        <w:t>并对之负法律责任。</w:t>
      </w:r>
    </w:p>
    <w:p>
      <w:pPr>
        <w:ind w:firstLine="568" w:firstLineChars="237"/>
        <w:rPr>
          <w:rFonts w:ascii="宋体" w:hAnsi="宋体" w:cs="宋体"/>
          <w:color w:val="000000" w:themeColor="text1"/>
          <w:sz w:val="24"/>
        </w:rPr>
      </w:pPr>
      <w:r>
        <w:rPr>
          <w:rFonts w:hint="eastAsia" w:ascii="宋体" w:hAnsi="宋体" w:cs="宋体"/>
          <w:color w:val="000000" w:themeColor="text1"/>
          <w:sz w:val="24"/>
        </w:rPr>
        <w:t>据此函，宣布同意如下：</w:t>
      </w:r>
    </w:p>
    <w:p>
      <w:pPr>
        <w:ind w:firstLine="480" w:firstLineChars="200"/>
        <w:rPr>
          <w:rFonts w:ascii="宋体" w:hAnsi="宋体" w:cs="宋体"/>
          <w:color w:val="000000" w:themeColor="text1"/>
          <w:sz w:val="24"/>
        </w:rPr>
      </w:pPr>
      <w:r>
        <w:rPr>
          <w:rFonts w:hint="eastAsia" w:ascii="宋体" w:hAnsi="宋体" w:cs="宋体"/>
          <w:color w:val="000000" w:themeColor="text1"/>
          <w:sz w:val="24"/>
        </w:rPr>
        <w:t>(1)我们完全理解贵方不一定要接受最低报价，并同意本文件规定的响应性文件有效期。</w:t>
      </w:r>
    </w:p>
    <w:p>
      <w:pPr>
        <w:ind w:firstLine="480" w:firstLineChars="200"/>
        <w:rPr>
          <w:rFonts w:ascii="宋体" w:hAnsi="宋体" w:cs="宋体"/>
          <w:color w:val="000000" w:themeColor="text1"/>
          <w:sz w:val="24"/>
        </w:rPr>
      </w:pPr>
      <w:r>
        <w:rPr>
          <w:rFonts w:hint="eastAsia" w:ascii="宋体" w:hAnsi="宋体" w:cs="宋体"/>
          <w:color w:val="000000" w:themeColor="text1"/>
          <w:sz w:val="24"/>
        </w:rPr>
        <w:t>(2)我们已详细审核全部竞争性磋商文件，我们知道必须放弃提出含糊不清或误解的问题的权利。</w:t>
      </w:r>
    </w:p>
    <w:p>
      <w:pPr>
        <w:numPr>
          <w:ilvl w:val="0"/>
          <w:numId w:val="9"/>
        </w:numPr>
        <w:ind w:firstLine="480" w:firstLineChars="200"/>
        <w:rPr>
          <w:rFonts w:ascii="宋体" w:hAnsi="宋体" w:cs="宋体"/>
          <w:color w:val="000000" w:themeColor="text1"/>
          <w:sz w:val="24"/>
        </w:rPr>
      </w:pPr>
      <w:r>
        <w:rPr>
          <w:rFonts w:hint="eastAsia" w:ascii="宋体" w:hAnsi="宋体" w:cs="宋体"/>
          <w:color w:val="000000" w:themeColor="text1"/>
          <w:sz w:val="24"/>
        </w:rPr>
        <w:t>同意向贵方提供贵方可能另外要求的与其竞争性磋商有关的任何证据和资料。</w:t>
      </w:r>
    </w:p>
    <w:p>
      <w:pPr>
        <w:ind w:firstLine="480" w:firstLineChars="200"/>
        <w:rPr>
          <w:rFonts w:ascii="宋体" w:hAnsi="宋体" w:cs="宋体"/>
          <w:color w:val="000000" w:themeColor="text1"/>
          <w:sz w:val="24"/>
        </w:rPr>
      </w:pPr>
      <w:r>
        <w:rPr>
          <w:rFonts w:hint="eastAsia" w:ascii="宋体" w:hAnsi="宋体" w:cs="宋体"/>
          <w:color w:val="000000" w:themeColor="text1"/>
          <w:sz w:val="24"/>
        </w:rPr>
        <w:t>(4)一旦我们成交，我们将严格履行合同责任和义务。</w:t>
      </w:r>
    </w:p>
    <w:p>
      <w:pPr>
        <w:ind w:firstLine="480" w:firstLineChars="200"/>
        <w:rPr>
          <w:rFonts w:ascii="宋体" w:hAnsi="宋体" w:cs="宋体"/>
          <w:color w:val="000000" w:themeColor="text1"/>
          <w:sz w:val="24"/>
        </w:rPr>
      </w:pPr>
      <w:r>
        <w:rPr>
          <w:rFonts w:hint="eastAsia" w:ascii="宋体" w:hAnsi="宋体" w:cs="宋体"/>
          <w:color w:val="000000" w:themeColor="text1"/>
          <w:sz w:val="24"/>
        </w:rPr>
        <w:t>(5)我们完全理解不向未成交人解释未成交理由的义务。</w:t>
      </w:r>
    </w:p>
    <w:p>
      <w:pPr>
        <w:ind w:firstLine="480" w:firstLineChars="200"/>
        <w:rPr>
          <w:rFonts w:ascii="宋体" w:hAnsi="宋体" w:cs="宋体"/>
          <w:color w:val="000000" w:themeColor="text1"/>
          <w:sz w:val="24"/>
        </w:rPr>
      </w:pPr>
      <w:r>
        <w:rPr>
          <w:rFonts w:hint="eastAsia" w:ascii="宋体" w:hAnsi="宋体" w:cs="宋体"/>
          <w:color w:val="000000" w:themeColor="text1"/>
          <w:sz w:val="24"/>
        </w:rPr>
        <w:t>(6)与本次竞争性磋商有关的正式通讯地址为：</w:t>
      </w:r>
    </w:p>
    <w:p>
      <w:pPr>
        <w:ind w:firstLine="480" w:firstLineChars="200"/>
        <w:rPr>
          <w:rFonts w:ascii="宋体" w:hAnsi="宋体" w:cs="宋体"/>
          <w:color w:val="000000" w:themeColor="text1"/>
          <w:sz w:val="24"/>
        </w:rPr>
      </w:pPr>
      <w:r>
        <w:rPr>
          <w:rFonts w:hint="eastAsia" w:ascii="宋体" w:hAnsi="宋体" w:cs="宋体"/>
          <w:color w:val="000000" w:themeColor="text1"/>
          <w:sz w:val="24"/>
        </w:rPr>
        <w:t>地 址：                  邮 编：</w:t>
      </w:r>
    </w:p>
    <w:p>
      <w:pPr>
        <w:ind w:firstLine="480" w:firstLineChars="200"/>
        <w:rPr>
          <w:rFonts w:ascii="宋体" w:hAnsi="宋体" w:cs="宋体"/>
          <w:color w:val="000000" w:themeColor="text1"/>
          <w:sz w:val="24"/>
        </w:rPr>
      </w:pPr>
      <w:r>
        <w:rPr>
          <w:rFonts w:hint="eastAsia" w:ascii="宋体" w:hAnsi="宋体" w:cs="宋体"/>
          <w:color w:val="000000" w:themeColor="text1"/>
          <w:sz w:val="24"/>
        </w:rPr>
        <w:t>电 话：                  传 真：</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我们保证：</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(1)不提供虚假材料谋取成交；</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(2)不以不正当手段抵毁、排挤其他供应商；</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(3)不与采购人和其它供应商恶意串通；</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(4)不向采购人和采购代理机构提供不正当利益；</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(5)不拒绝有关部门监督检查或提供虚假情况。</w:t>
      </w:r>
    </w:p>
    <w:p>
      <w:pPr>
        <w:spacing w:line="560" w:lineRule="exact"/>
        <w:jc w:val="left"/>
        <w:rPr>
          <w:rFonts w:ascii="宋体" w:hAnsi="宋体" w:cs="宋体"/>
          <w:color w:val="000000" w:themeColor="text1"/>
          <w:sz w:val="24"/>
        </w:rPr>
      </w:pPr>
    </w:p>
    <w:p>
      <w:pPr>
        <w:spacing w:line="360" w:lineRule="auto"/>
        <w:jc w:val="left"/>
        <w:rPr>
          <w:rFonts w:ascii="宋体" w:hAnsi="宋体" w:cs="宋体"/>
          <w:color w:val="000000" w:themeColor="text1"/>
          <w:sz w:val="24"/>
        </w:rPr>
      </w:pPr>
    </w:p>
    <w:p>
      <w:pPr>
        <w:spacing w:line="360" w:lineRule="auto"/>
        <w:ind w:firstLine="3360" w:firstLineChars="1400"/>
        <w:jc w:val="left"/>
        <w:rPr>
          <w:rFonts w:ascii="宋体" w:hAnsi="宋体" w:cs="宋体"/>
          <w:color w:val="000000" w:themeColor="text1"/>
          <w:sz w:val="24"/>
        </w:rPr>
      </w:pPr>
      <w:r>
        <w:rPr>
          <w:rFonts w:hint="eastAsia" w:ascii="宋体" w:hAnsi="宋体" w:cs="宋体"/>
          <w:color w:val="000000" w:themeColor="text1"/>
          <w:sz w:val="24"/>
        </w:rPr>
        <w:t>供应商电子：</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格式4</w:t>
      </w:r>
    </w:p>
    <w:p>
      <w:pPr>
        <w:jc w:val="center"/>
        <w:rPr>
          <w:rFonts w:ascii="宋体" w:hAnsi="宋体" w:cs="宋体"/>
          <w:b/>
          <w:color w:val="000000" w:themeColor="text1"/>
          <w:sz w:val="24"/>
        </w:rPr>
      </w:pPr>
      <w:bookmarkStart w:id="45" w:name="_Toc495414231"/>
      <w:bookmarkStart w:id="46" w:name="_Toc197934561"/>
      <w:r>
        <w:rPr>
          <w:rFonts w:hint="eastAsia" w:ascii="宋体" w:hAnsi="宋体" w:cs="宋体"/>
          <w:color w:val="000000" w:themeColor="text1"/>
          <w:sz w:val="24"/>
        </w:rPr>
        <w:t>一．报价一览表</w:t>
      </w:r>
      <w:bookmarkEnd w:id="45"/>
      <w:bookmarkEnd w:id="46"/>
    </w:p>
    <w:tbl>
      <w:tblPr>
        <w:tblStyle w:val="4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投标人全称</w:t>
            </w:r>
          </w:p>
        </w:tc>
        <w:tc>
          <w:tcPr>
            <w:tcW w:w="6667" w:type="dxa"/>
            <w:tcBorders>
              <w:top w:val="nil"/>
            </w:tcBorders>
            <w:vAlign w:val="center"/>
          </w:tcPr>
          <w:p>
            <w:pPr>
              <w:spacing w:line="360" w:lineRule="auto"/>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投标报价</w:t>
            </w:r>
          </w:p>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（人民币）</w:t>
            </w:r>
          </w:p>
        </w:tc>
        <w:tc>
          <w:tcPr>
            <w:tcW w:w="6667" w:type="dxa"/>
            <w:tcBorders>
              <w:top w:val="nil"/>
            </w:tcBorders>
            <w:vAlign w:val="center"/>
          </w:tcPr>
          <w:p>
            <w:pPr>
              <w:spacing w:line="360" w:lineRule="auto"/>
              <w:ind w:right="-670"/>
              <w:rPr>
                <w:rFonts w:ascii="宋体" w:hAnsi="宋体" w:cs="宋体"/>
                <w:color w:val="000000" w:themeColor="text1"/>
                <w:sz w:val="24"/>
              </w:rPr>
            </w:pPr>
            <w:r>
              <w:rPr>
                <w:rFonts w:hint="eastAsia" w:ascii="宋体" w:hAnsi="宋体" w:cs="宋体"/>
                <w:color w:val="000000" w:themeColor="text1"/>
                <w:sz w:val="24"/>
              </w:rPr>
              <w:t xml:space="preserve">投标总价：        大写：          </w:t>
            </w:r>
          </w:p>
          <w:p>
            <w:pPr>
              <w:spacing w:line="360" w:lineRule="auto"/>
              <w:ind w:right="-670"/>
              <w:rPr>
                <w:rFonts w:ascii="宋体" w:hAnsi="宋体" w:cs="宋体"/>
                <w:color w:val="000000" w:themeColor="text1"/>
                <w:sz w:val="24"/>
              </w:rPr>
            </w:pPr>
            <w:r>
              <w:rPr>
                <w:rFonts w:hint="eastAsia" w:ascii="宋体" w:hAnsi="宋体" w:cs="宋体"/>
                <w:color w:val="000000" w:themeColor="text1"/>
                <w:sz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工期</w:t>
            </w:r>
          </w:p>
        </w:tc>
        <w:tc>
          <w:tcPr>
            <w:tcW w:w="6667" w:type="dxa"/>
            <w:tcBorders>
              <w:top w:val="nil"/>
            </w:tcBorders>
            <w:vAlign w:val="center"/>
          </w:tcPr>
          <w:p>
            <w:pPr>
              <w:spacing w:line="360" w:lineRule="auto"/>
              <w:ind w:right="-670"/>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质量标准</w:t>
            </w:r>
          </w:p>
        </w:tc>
        <w:tc>
          <w:tcPr>
            <w:tcW w:w="6667" w:type="dxa"/>
            <w:tcBorders>
              <w:top w:val="nil"/>
            </w:tcBorders>
            <w:vAlign w:val="center"/>
          </w:tcPr>
          <w:p>
            <w:pPr>
              <w:spacing w:line="360" w:lineRule="auto"/>
              <w:ind w:right="-670"/>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000000" w:themeColor="text1"/>
                <w:sz w:val="24"/>
              </w:rPr>
            </w:pPr>
            <w:r>
              <w:rPr>
                <w:rFonts w:hint="eastAsia" w:ascii="宋体" w:hAnsi="宋体" w:cs="宋体"/>
                <w:color w:val="000000" w:themeColor="text1"/>
                <w:sz w:val="24"/>
              </w:rPr>
              <w:t>响应文件有效期</w:t>
            </w:r>
          </w:p>
        </w:tc>
        <w:tc>
          <w:tcPr>
            <w:tcW w:w="6667" w:type="dxa"/>
            <w:tcBorders>
              <w:top w:val="nil"/>
            </w:tcBorders>
            <w:vAlign w:val="center"/>
          </w:tcPr>
          <w:p>
            <w:pPr>
              <w:spacing w:line="360" w:lineRule="auto"/>
              <w:ind w:right="-670"/>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备注</w:t>
            </w:r>
          </w:p>
        </w:tc>
        <w:tc>
          <w:tcPr>
            <w:tcW w:w="6667" w:type="dxa"/>
            <w:tcBorders>
              <w:top w:val="nil"/>
            </w:tcBorders>
            <w:vAlign w:val="center"/>
          </w:tcPr>
          <w:p>
            <w:pPr>
              <w:spacing w:line="360" w:lineRule="auto"/>
              <w:jc w:val="left"/>
              <w:rPr>
                <w:rFonts w:ascii="宋体" w:hAnsi="宋体" w:cs="宋体"/>
                <w:color w:val="000000" w:themeColor="text1"/>
                <w:sz w:val="24"/>
              </w:rPr>
            </w:pPr>
          </w:p>
        </w:tc>
      </w:tr>
    </w:tbl>
    <w:p>
      <w:pPr>
        <w:spacing w:before="100" w:beforeAutospacing="1" w:after="100" w:afterAutospacing="1" w:line="360" w:lineRule="auto"/>
        <w:ind w:firstLine="4920" w:firstLineChars="2050"/>
        <w:rPr>
          <w:rFonts w:ascii="宋体" w:hAnsi="宋体" w:cs="宋体"/>
          <w:color w:val="000000" w:themeColor="text1"/>
          <w:sz w:val="24"/>
        </w:rPr>
      </w:pPr>
      <w:r>
        <w:rPr>
          <w:rFonts w:hint="eastAsia" w:ascii="宋体" w:hAnsi="宋体" w:cs="宋体"/>
          <w:color w:val="000000" w:themeColor="text1"/>
          <w:sz w:val="24"/>
        </w:rPr>
        <w:t xml:space="preserve">供应商电子： </w:t>
      </w:r>
    </w:p>
    <w:p>
      <w:pPr>
        <w:spacing w:line="360" w:lineRule="auto"/>
        <w:rPr>
          <w:rFonts w:ascii="宋体" w:hAnsi="宋体" w:cs="宋体"/>
          <w:color w:val="000000" w:themeColor="text1"/>
          <w:sz w:val="24"/>
        </w:rPr>
      </w:pPr>
      <w:r>
        <w:rPr>
          <w:rFonts w:hint="eastAsia" w:ascii="宋体" w:hAnsi="宋体" w:cs="宋体"/>
          <w:color w:val="000000" w:themeColor="text1"/>
          <w:sz w:val="24"/>
        </w:rPr>
        <w:t>备注：</w:t>
      </w:r>
    </w:p>
    <w:p>
      <w:pPr>
        <w:spacing w:line="360" w:lineRule="auto"/>
        <w:rPr>
          <w:rFonts w:ascii="宋体" w:hAnsi="宋体" w:cs="宋体"/>
          <w:color w:val="000000" w:themeColor="text1"/>
          <w:sz w:val="24"/>
        </w:rPr>
      </w:pPr>
      <w:r>
        <w:rPr>
          <w:rFonts w:hint="eastAsia" w:ascii="宋体" w:hAnsi="宋体" w:cs="宋体"/>
          <w:color w:val="000000" w:themeColor="text1"/>
          <w:sz w:val="24"/>
        </w:rPr>
        <w:t>1、此表用于开标会唱标之用。</w:t>
      </w:r>
    </w:p>
    <w:p>
      <w:pPr>
        <w:spacing w:line="360" w:lineRule="auto"/>
        <w:jc w:val="left"/>
        <w:rPr>
          <w:rFonts w:ascii="宋体" w:hAnsi="宋体" w:cs="宋体"/>
          <w:color w:val="000000" w:themeColor="text1"/>
          <w:sz w:val="24"/>
        </w:rPr>
      </w:pPr>
      <w:bookmarkStart w:id="47" w:name="_Toc495414234"/>
      <w:bookmarkStart w:id="48" w:name="_Toc220232409"/>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格式5</w:t>
      </w:r>
    </w:p>
    <w:bookmarkEnd w:id="47"/>
    <w:bookmarkEnd w:id="48"/>
    <w:p>
      <w:pPr>
        <w:pStyle w:val="18"/>
        <w:rPr>
          <w:rFonts w:ascii="宋体" w:hAnsi="宋体" w:cs="宋体"/>
          <w:b/>
          <w:color w:val="000000" w:themeColor="text1"/>
          <w:sz w:val="20"/>
        </w:rPr>
      </w:pPr>
    </w:p>
    <w:p>
      <w:pPr>
        <w:pStyle w:val="18"/>
        <w:rPr>
          <w:rFonts w:ascii="宋体" w:hAnsi="宋体" w:cs="宋体"/>
          <w:b/>
          <w:color w:val="000000" w:themeColor="text1"/>
          <w:sz w:val="20"/>
        </w:rPr>
      </w:pPr>
    </w:p>
    <w:p>
      <w:pPr>
        <w:spacing w:before="185"/>
        <w:ind w:left="592" w:right="985"/>
        <w:jc w:val="center"/>
        <w:rPr>
          <w:rFonts w:ascii="宋体" w:hAnsi="宋体" w:cs="宋体"/>
          <w:b/>
          <w:color w:val="000000" w:themeColor="text1"/>
          <w:sz w:val="44"/>
        </w:rPr>
      </w:pPr>
      <w:r>
        <w:rPr>
          <w:rFonts w:hint="eastAsia" w:ascii="宋体" w:hAnsi="宋体" w:cs="宋体"/>
          <w:b/>
          <w:color w:val="000000" w:themeColor="text1"/>
          <w:sz w:val="44"/>
        </w:rPr>
        <w:t>施工图预算书</w:t>
      </w:r>
    </w:p>
    <w:p>
      <w:pPr>
        <w:pStyle w:val="18"/>
        <w:spacing w:before="4"/>
        <w:rPr>
          <w:rFonts w:ascii="宋体" w:hAnsi="宋体" w:cs="宋体"/>
          <w:b/>
          <w:color w:val="000000" w:themeColor="text1"/>
          <w:sz w:val="47"/>
        </w:rPr>
      </w:pPr>
    </w:p>
    <w:p>
      <w:pPr>
        <w:ind w:left="592" w:right="987"/>
        <w:jc w:val="center"/>
        <w:rPr>
          <w:rFonts w:ascii="宋体" w:hAnsi="宋体" w:cs="宋体"/>
          <w:b/>
          <w:color w:val="000000" w:themeColor="text1"/>
          <w:sz w:val="30"/>
        </w:rPr>
      </w:pPr>
      <w:r>
        <w:rPr>
          <w:rFonts w:hint="eastAsia" w:ascii="宋体" w:hAnsi="宋体" w:cs="宋体"/>
          <w:b/>
          <w:color w:val="000000" w:themeColor="text1"/>
          <w:sz w:val="30"/>
        </w:rPr>
        <w:t>（其格式按定额管理部门的规定）</w:t>
      </w: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jc w:val="center"/>
        <w:rPr>
          <w:rFonts w:ascii="宋体" w:hAnsi="宋体" w:cs="宋体"/>
          <w:b/>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60" w:lineRule="auto"/>
        <w:jc w:val="center"/>
        <w:rPr>
          <w:rFonts w:ascii="宋体" w:hAnsi="宋体" w:cs="宋体"/>
          <w:b/>
          <w:color w:val="000000" w:themeColor="text1"/>
          <w:sz w:val="24"/>
        </w:rPr>
      </w:pPr>
    </w:p>
    <w:p>
      <w:pPr>
        <w:spacing w:line="360" w:lineRule="auto"/>
        <w:jc w:val="left"/>
        <w:rPr>
          <w:rFonts w:ascii="宋体" w:hAnsi="宋体" w:cs="宋体"/>
          <w:color w:val="000000" w:themeColor="text1"/>
          <w:sz w:val="24"/>
        </w:rPr>
      </w:pPr>
      <w:r>
        <w:rPr>
          <w:rFonts w:hint="eastAsia" w:ascii="宋体" w:hAnsi="宋体" w:cs="宋体"/>
          <w:color w:val="000000" w:themeColor="text1"/>
          <w:sz w:val="24"/>
        </w:rPr>
        <w:t xml:space="preserve">格式6          </w:t>
      </w:r>
    </w:p>
    <w:p>
      <w:pPr>
        <w:spacing w:line="360" w:lineRule="auto"/>
        <w:ind w:firstLine="2800" w:firstLineChars="1000"/>
        <w:jc w:val="left"/>
        <w:rPr>
          <w:rFonts w:ascii="宋体" w:hAnsi="宋体" w:cs="宋体"/>
          <w:color w:val="000000" w:themeColor="text1"/>
          <w:sz w:val="24"/>
        </w:rPr>
      </w:pPr>
      <w:r>
        <w:rPr>
          <w:rFonts w:hint="eastAsia" w:ascii="宋体" w:hAnsi="宋体" w:cs="宋体"/>
          <w:color w:val="000000" w:themeColor="text1"/>
          <w:kern w:val="0"/>
          <w:sz w:val="28"/>
          <w:szCs w:val="28"/>
        </w:rPr>
        <w:t>施工组织设计</w:t>
      </w:r>
    </w:p>
    <w:p>
      <w:pPr>
        <w:autoSpaceDE w:val="0"/>
        <w:autoSpaceDN w:val="0"/>
        <w:adjustRightInd w:val="0"/>
        <w:spacing w:line="420" w:lineRule="exact"/>
        <w:ind w:firstLine="539" w:firstLineChars="257"/>
        <w:jc w:val="left"/>
        <w:rPr>
          <w:rFonts w:ascii="宋体" w:hAnsi="宋体" w:cs="宋体"/>
          <w:color w:val="000000" w:themeColor="text1"/>
          <w:kern w:val="0"/>
          <w:szCs w:val="21"/>
        </w:rPr>
      </w:pPr>
      <w:r>
        <w:rPr>
          <w:rFonts w:hint="eastAsia" w:ascii="宋体" w:hAnsi="宋体" w:cs="宋体"/>
          <w:color w:val="000000" w:themeColor="text1"/>
          <w:kern w:val="0"/>
          <w:szCs w:val="21"/>
        </w:rPr>
        <w:t>1. 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20" w:lineRule="exact"/>
        <w:ind w:firstLine="539" w:firstLineChars="257"/>
        <w:jc w:val="left"/>
        <w:rPr>
          <w:rFonts w:ascii="宋体" w:hAnsi="宋体" w:cs="宋体"/>
          <w:color w:val="000000" w:themeColor="text1"/>
          <w:kern w:val="0"/>
          <w:szCs w:val="21"/>
        </w:rPr>
      </w:pPr>
      <w:r>
        <w:rPr>
          <w:rFonts w:hint="eastAsia" w:ascii="宋体" w:hAnsi="宋体" w:cs="宋体"/>
          <w:color w:val="000000" w:themeColor="text1"/>
          <w:kern w:val="0"/>
          <w:szCs w:val="21"/>
        </w:rPr>
        <w:t>2. 施工组织设计除采用文字表述外可附下列图表，图表及格式要求附后。</w:t>
      </w:r>
    </w:p>
    <w:p>
      <w:pPr>
        <w:autoSpaceDE w:val="0"/>
        <w:autoSpaceDN w:val="0"/>
        <w:adjustRightInd w:val="0"/>
        <w:spacing w:line="42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附表一拟投入本工程的主要施工设备表</w:t>
      </w:r>
    </w:p>
    <w:p>
      <w:pPr>
        <w:autoSpaceDE w:val="0"/>
        <w:autoSpaceDN w:val="0"/>
        <w:adjustRightInd w:val="0"/>
        <w:spacing w:line="42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附表二拟配备本工程的试验和检测仪器设备表</w:t>
      </w:r>
    </w:p>
    <w:p>
      <w:pPr>
        <w:autoSpaceDE w:val="0"/>
        <w:autoSpaceDN w:val="0"/>
        <w:adjustRightInd w:val="0"/>
        <w:spacing w:line="42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附表三劳动力计划表</w:t>
      </w:r>
    </w:p>
    <w:p>
      <w:pPr>
        <w:autoSpaceDE w:val="0"/>
        <w:autoSpaceDN w:val="0"/>
        <w:adjustRightInd w:val="0"/>
        <w:spacing w:line="42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附表四计划开、竣工日期和施工进度网络图</w:t>
      </w:r>
    </w:p>
    <w:p>
      <w:pPr>
        <w:autoSpaceDE w:val="0"/>
        <w:autoSpaceDN w:val="0"/>
        <w:adjustRightInd w:val="0"/>
        <w:spacing w:line="420" w:lineRule="exact"/>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附表一：拟投入本工程的主要施工设备表</w:t>
      </w:r>
    </w:p>
    <w:p>
      <w:pPr>
        <w:autoSpaceDE w:val="0"/>
        <w:autoSpaceDN w:val="0"/>
        <w:adjustRightInd w:val="0"/>
        <w:spacing w:line="420" w:lineRule="exact"/>
        <w:jc w:val="left"/>
        <w:rPr>
          <w:rFonts w:ascii="宋体" w:hAnsi="宋体" w:cs="宋体"/>
          <w:color w:val="000000" w:themeColor="text1"/>
          <w:kern w:val="0"/>
          <w:sz w:val="24"/>
        </w:rPr>
      </w:pPr>
    </w:p>
    <w:tbl>
      <w:tblPr>
        <w:tblStyle w:val="4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序号</w:t>
            </w:r>
          </w:p>
        </w:tc>
        <w:tc>
          <w:tcPr>
            <w:tcW w:w="1207"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设备名称</w:t>
            </w:r>
          </w:p>
        </w:tc>
        <w:tc>
          <w:tcPr>
            <w:tcW w:w="927"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型号</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规格</w:t>
            </w:r>
          </w:p>
        </w:tc>
        <w:tc>
          <w:tcPr>
            <w:tcW w:w="927"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数量</w:t>
            </w:r>
          </w:p>
        </w:tc>
        <w:tc>
          <w:tcPr>
            <w:tcW w:w="928"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国别</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产地</w:t>
            </w:r>
          </w:p>
        </w:tc>
        <w:tc>
          <w:tcPr>
            <w:tcW w:w="928"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制造</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年份</w:t>
            </w:r>
          </w:p>
        </w:tc>
        <w:tc>
          <w:tcPr>
            <w:tcW w:w="1197"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额定功率</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w:t>
            </w:r>
            <w:r>
              <w:rPr>
                <w:rFonts w:hint="eastAsia" w:ascii="宋体" w:hAnsi="宋体" w:cs="宋体"/>
                <w:b/>
                <w:color w:val="000000" w:themeColor="text1"/>
                <w:kern w:val="0"/>
                <w:szCs w:val="21"/>
              </w:rPr>
              <w:t>KW</w:t>
            </w:r>
            <w:r>
              <w:rPr>
                <w:rFonts w:hint="eastAsia" w:ascii="宋体" w:hAnsi="宋体" w:cs="宋体"/>
                <w:color w:val="000000" w:themeColor="text1"/>
                <w:kern w:val="0"/>
                <w:szCs w:val="21"/>
              </w:rPr>
              <w:t>）</w:t>
            </w:r>
          </w:p>
        </w:tc>
        <w:tc>
          <w:tcPr>
            <w:tcW w:w="659"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生产</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能力</w:t>
            </w:r>
          </w:p>
        </w:tc>
        <w:tc>
          <w:tcPr>
            <w:tcW w:w="928"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用于施</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工部位</w:t>
            </w:r>
          </w:p>
        </w:tc>
        <w:tc>
          <w:tcPr>
            <w:tcW w:w="928"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0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9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65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0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9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65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0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9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65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0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9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65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0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97"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65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28"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bl>
    <w:p>
      <w:pPr>
        <w:autoSpaceDE w:val="0"/>
        <w:autoSpaceDN w:val="0"/>
        <w:adjustRightInd w:val="0"/>
        <w:spacing w:line="420" w:lineRule="exact"/>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附表二：拟配备本工程的试验和检测仪器设备表</w:t>
      </w:r>
    </w:p>
    <w:p>
      <w:pPr>
        <w:autoSpaceDE w:val="0"/>
        <w:autoSpaceDN w:val="0"/>
        <w:adjustRightInd w:val="0"/>
        <w:spacing w:line="420" w:lineRule="exact"/>
        <w:jc w:val="left"/>
        <w:rPr>
          <w:rFonts w:ascii="宋体" w:hAnsi="宋体" w:cs="宋体"/>
          <w:color w:val="000000" w:themeColor="text1"/>
          <w:kern w:val="0"/>
          <w:sz w:val="24"/>
        </w:rPr>
      </w:pPr>
    </w:p>
    <w:tbl>
      <w:tblPr>
        <w:tblStyle w:val="4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1228"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仪器设备</w:t>
            </w:r>
          </w:p>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名称</w:t>
            </w:r>
          </w:p>
        </w:tc>
        <w:tc>
          <w:tcPr>
            <w:tcW w:w="1026"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型号</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规格</w:t>
            </w:r>
          </w:p>
        </w:tc>
        <w:tc>
          <w:tcPr>
            <w:tcW w:w="1026"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数量</w:t>
            </w:r>
          </w:p>
        </w:tc>
        <w:tc>
          <w:tcPr>
            <w:tcW w:w="1025"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国别</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产地</w:t>
            </w:r>
          </w:p>
        </w:tc>
        <w:tc>
          <w:tcPr>
            <w:tcW w:w="884"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制造</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年份</w:t>
            </w:r>
          </w:p>
        </w:tc>
        <w:tc>
          <w:tcPr>
            <w:tcW w:w="1166" w:type="dxa"/>
            <w:vAlign w:val="center"/>
          </w:tcPr>
          <w:p>
            <w:pPr>
              <w:autoSpaceDE w:val="0"/>
              <w:autoSpaceDN w:val="0"/>
              <w:adjustRightInd w:val="0"/>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已使用台</w:t>
            </w:r>
          </w:p>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时数</w:t>
            </w:r>
          </w:p>
        </w:tc>
        <w:tc>
          <w:tcPr>
            <w:tcW w:w="1026"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用途</w:t>
            </w:r>
          </w:p>
        </w:tc>
        <w:tc>
          <w:tcPr>
            <w:tcW w:w="1026" w:type="dxa"/>
            <w:vAlign w:val="center"/>
          </w:tcPr>
          <w:p>
            <w:pPr>
              <w:autoSpaceDE w:val="0"/>
              <w:autoSpaceDN w:val="0"/>
              <w:adjustRightInd w:val="0"/>
              <w:spacing w:line="0" w:lineRule="atLeast"/>
              <w:jc w:val="center"/>
              <w:rPr>
                <w:rFonts w:ascii="宋体" w:hAnsi="宋体" w:cs="宋体"/>
                <w:color w:val="000000" w:themeColor="text1"/>
                <w:kern w:val="0"/>
                <w:sz w:val="24"/>
              </w:rPr>
            </w:pPr>
            <w:r>
              <w:rPr>
                <w:rFonts w:hint="eastAsia" w:ascii="宋体"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5"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88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6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5"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88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6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5"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88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6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5"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88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6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228"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5"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88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6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26"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bl>
    <w:p>
      <w:pPr>
        <w:autoSpaceDE w:val="0"/>
        <w:autoSpaceDN w:val="0"/>
        <w:adjustRightInd w:val="0"/>
        <w:spacing w:line="420" w:lineRule="exact"/>
        <w:jc w:val="left"/>
        <w:rPr>
          <w:rFonts w:ascii="宋体" w:hAnsi="宋体" w:cs="宋体"/>
          <w:color w:val="000000" w:themeColor="text1"/>
          <w:kern w:val="0"/>
          <w:sz w:val="28"/>
          <w:szCs w:val="28"/>
        </w:rPr>
      </w:pPr>
    </w:p>
    <w:p>
      <w:pPr>
        <w:autoSpaceDE w:val="0"/>
        <w:autoSpaceDN w:val="0"/>
        <w:adjustRightInd w:val="0"/>
        <w:spacing w:line="420" w:lineRule="exact"/>
        <w:jc w:val="left"/>
        <w:rPr>
          <w:rFonts w:ascii="宋体" w:hAnsi="宋体" w:cs="宋体"/>
          <w:color w:val="000000" w:themeColor="text1"/>
          <w:kern w:val="0"/>
          <w:sz w:val="28"/>
          <w:szCs w:val="28"/>
        </w:rPr>
      </w:pPr>
    </w:p>
    <w:p>
      <w:pPr>
        <w:pStyle w:val="2"/>
        <w:ind w:firstLine="210"/>
        <w:rPr>
          <w:rFonts w:ascii="宋体" w:hAnsi="宋体" w:cs="宋体"/>
          <w:color w:val="000000" w:themeColor="text1"/>
        </w:rPr>
      </w:pPr>
    </w:p>
    <w:p>
      <w:pPr>
        <w:autoSpaceDE w:val="0"/>
        <w:autoSpaceDN w:val="0"/>
        <w:adjustRightInd w:val="0"/>
        <w:spacing w:line="420" w:lineRule="exact"/>
        <w:jc w:val="left"/>
        <w:rPr>
          <w:rFonts w:ascii="宋体" w:hAnsi="宋体" w:cs="宋体"/>
          <w:color w:val="000000" w:themeColor="text1"/>
          <w:kern w:val="0"/>
          <w:sz w:val="28"/>
          <w:szCs w:val="28"/>
        </w:rPr>
      </w:pPr>
    </w:p>
    <w:p>
      <w:pPr>
        <w:autoSpaceDE w:val="0"/>
        <w:autoSpaceDN w:val="0"/>
        <w:adjustRightInd w:val="0"/>
        <w:spacing w:line="420" w:lineRule="exact"/>
        <w:jc w:val="left"/>
        <w:rPr>
          <w:rFonts w:ascii="宋体" w:hAnsi="宋体" w:cs="宋体"/>
          <w:color w:val="000000" w:themeColor="text1"/>
          <w:kern w:val="0"/>
          <w:szCs w:val="21"/>
        </w:rPr>
      </w:pPr>
      <w:r>
        <w:rPr>
          <w:rFonts w:hint="eastAsia" w:ascii="宋体" w:hAnsi="宋体" w:cs="宋体"/>
          <w:color w:val="000000" w:themeColor="text1"/>
          <w:kern w:val="0"/>
          <w:sz w:val="28"/>
          <w:szCs w:val="28"/>
        </w:rPr>
        <w:t>附表三：劳动力计划表</w:t>
      </w:r>
    </w:p>
    <w:p>
      <w:pPr>
        <w:autoSpaceDE w:val="0"/>
        <w:autoSpaceDN w:val="0"/>
        <w:adjustRightInd w:val="0"/>
        <w:spacing w:line="420" w:lineRule="exact"/>
        <w:jc w:val="right"/>
        <w:rPr>
          <w:rFonts w:ascii="宋体" w:hAnsi="宋体" w:cs="宋体"/>
          <w:color w:val="000000" w:themeColor="text1"/>
          <w:kern w:val="0"/>
          <w:szCs w:val="21"/>
        </w:rPr>
      </w:pPr>
      <w:r>
        <w:rPr>
          <w:rFonts w:hint="eastAsia" w:ascii="宋体" w:hAnsi="宋体" w:cs="宋体"/>
          <w:color w:val="000000" w:themeColor="text1"/>
          <w:kern w:val="0"/>
          <w:szCs w:val="21"/>
        </w:rPr>
        <w:t>单位：人</w:t>
      </w:r>
    </w:p>
    <w:tbl>
      <w:tblPr>
        <w:tblStyle w:val="4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工种</w:t>
            </w:r>
          </w:p>
        </w:tc>
        <w:tc>
          <w:tcPr>
            <w:tcW w:w="8136" w:type="dxa"/>
            <w:gridSpan w:val="7"/>
            <w:vAlign w:val="center"/>
          </w:tcPr>
          <w:p>
            <w:pPr>
              <w:autoSpaceDE w:val="0"/>
              <w:autoSpaceDN w:val="0"/>
              <w:adjustRightInd w:val="0"/>
              <w:spacing w:line="42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5" w:type="dxa"/>
            <w:vAlign w:val="center"/>
          </w:tcPr>
          <w:p>
            <w:pPr>
              <w:autoSpaceDE w:val="0"/>
              <w:autoSpaceDN w:val="0"/>
              <w:adjustRightInd w:val="0"/>
              <w:spacing w:line="420" w:lineRule="exac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5" w:type="dxa"/>
            <w:vAlign w:val="center"/>
          </w:tcPr>
          <w:p>
            <w:pPr>
              <w:autoSpaceDE w:val="0"/>
              <w:autoSpaceDN w:val="0"/>
              <w:adjustRightInd w:val="0"/>
              <w:spacing w:line="420" w:lineRule="exac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5" w:type="dxa"/>
            <w:vAlign w:val="center"/>
          </w:tcPr>
          <w:p>
            <w:pPr>
              <w:autoSpaceDE w:val="0"/>
              <w:autoSpaceDN w:val="0"/>
              <w:adjustRightInd w:val="0"/>
              <w:spacing w:line="420" w:lineRule="exac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1"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2" w:type="dxa"/>
            <w:vAlign w:val="center"/>
          </w:tcPr>
          <w:p>
            <w:pPr>
              <w:autoSpaceDE w:val="0"/>
              <w:autoSpaceDN w:val="0"/>
              <w:adjustRightInd w:val="0"/>
              <w:spacing w:line="420" w:lineRule="exact"/>
              <w:jc w:val="center"/>
              <w:rPr>
                <w:rFonts w:ascii="宋体" w:hAnsi="宋体" w:cs="宋体"/>
                <w:color w:val="000000" w:themeColor="text1"/>
                <w:kern w:val="0"/>
                <w:szCs w:val="21"/>
              </w:rPr>
            </w:pPr>
          </w:p>
        </w:tc>
        <w:tc>
          <w:tcPr>
            <w:tcW w:w="1165" w:type="dxa"/>
            <w:vAlign w:val="center"/>
          </w:tcPr>
          <w:p>
            <w:pPr>
              <w:autoSpaceDE w:val="0"/>
              <w:autoSpaceDN w:val="0"/>
              <w:adjustRightInd w:val="0"/>
              <w:spacing w:line="420" w:lineRule="exact"/>
              <w:jc w:val="center"/>
              <w:rPr>
                <w:rFonts w:ascii="宋体" w:hAnsi="宋体" w:cs="宋体"/>
                <w:color w:val="000000" w:themeColor="text1"/>
                <w:kern w:val="0"/>
                <w:szCs w:val="21"/>
              </w:rPr>
            </w:pPr>
          </w:p>
        </w:tc>
      </w:tr>
    </w:tbl>
    <w:p>
      <w:pPr>
        <w:autoSpaceDE w:val="0"/>
        <w:autoSpaceDN w:val="0"/>
        <w:adjustRightInd w:val="0"/>
        <w:spacing w:line="420" w:lineRule="exact"/>
        <w:jc w:val="left"/>
        <w:rPr>
          <w:rFonts w:ascii="宋体" w:hAnsi="宋体" w:cs="宋体"/>
          <w:color w:val="000000" w:themeColor="text1"/>
          <w:kern w:val="0"/>
          <w:sz w:val="28"/>
          <w:szCs w:val="28"/>
        </w:rPr>
      </w:pPr>
    </w:p>
    <w:p>
      <w:pPr>
        <w:autoSpaceDE w:val="0"/>
        <w:autoSpaceDN w:val="0"/>
        <w:adjustRightInd w:val="0"/>
        <w:spacing w:line="420" w:lineRule="exact"/>
        <w:jc w:val="left"/>
        <w:rPr>
          <w:rFonts w:ascii="宋体" w:hAnsi="宋体" w:cs="宋体"/>
          <w:color w:val="000000" w:themeColor="text1"/>
          <w:kern w:val="0"/>
          <w:sz w:val="28"/>
          <w:szCs w:val="28"/>
        </w:rPr>
      </w:pPr>
    </w:p>
    <w:p>
      <w:pPr>
        <w:autoSpaceDE w:val="0"/>
        <w:autoSpaceDN w:val="0"/>
        <w:adjustRightInd w:val="0"/>
        <w:spacing w:line="420" w:lineRule="exact"/>
        <w:jc w:val="left"/>
        <w:rPr>
          <w:rFonts w:ascii="宋体" w:hAnsi="宋体" w:cs="宋体"/>
          <w:color w:val="000000" w:themeColor="text1"/>
          <w:kern w:val="0"/>
          <w:sz w:val="28"/>
          <w:szCs w:val="28"/>
        </w:rPr>
      </w:pPr>
    </w:p>
    <w:p>
      <w:pPr>
        <w:autoSpaceDE w:val="0"/>
        <w:autoSpaceDN w:val="0"/>
        <w:adjustRightInd w:val="0"/>
        <w:spacing w:line="420" w:lineRule="exact"/>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附表四：计划开、竣工日期和施工进度网络图（或横道图）</w:t>
      </w:r>
    </w:p>
    <w:p>
      <w:pPr>
        <w:autoSpaceDE w:val="0"/>
        <w:autoSpaceDN w:val="0"/>
        <w:adjustRightInd w:val="0"/>
        <w:spacing w:line="42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1. 投标人应递交施工进度网络图或施工进度表，说明按竞争性磋商文件要求的计划工期进行施工的各个关键日期。</w:t>
      </w:r>
    </w:p>
    <w:p>
      <w:pPr>
        <w:autoSpaceDE w:val="0"/>
        <w:autoSpaceDN w:val="0"/>
        <w:adjustRightInd w:val="0"/>
        <w:spacing w:line="420" w:lineRule="exact"/>
        <w:ind w:firstLine="420" w:firstLineChars="200"/>
        <w:jc w:val="left"/>
        <w:rPr>
          <w:rFonts w:ascii="宋体" w:hAnsi="宋体" w:cs="宋体"/>
          <w:color w:val="000000" w:themeColor="text1"/>
          <w:kern w:val="0"/>
        </w:rPr>
      </w:pPr>
      <w:r>
        <w:rPr>
          <w:rFonts w:hint="eastAsia" w:ascii="宋体" w:hAnsi="宋体" w:cs="宋体"/>
          <w:color w:val="000000" w:themeColor="text1"/>
          <w:kern w:val="0"/>
        </w:rPr>
        <w:t>2. 施工进度表可采用网络图（或横道图）表示。</w:t>
      </w:r>
    </w:p>
    <w:p>
      <w:pPr>
        <w:pStyle w:val="18"/>
        <w:rPr>
          <w:rFonts w:ascii="宋体" w:hAnsi="宋体" w:cs="宋体"/>
          <w:color w:val="000000" w:themeColor="text1"/>
          <w:sz w:val="20"/>
        </w:rPr>
      </w:pPr>
    </w:p>
    <w:p>
      <w:pPr>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18"/>
        <w:spacing w:before="5"/>
        <w:rPr>
          <w:rFonts w:ascii="宋体" w:hAnsi="宋体" w:cs="宋体"/>
          <w:b/>
          <w:color w:val="000000" w:themeColor="text1"/>
          <w:sz w:val="20"/>
        </w:rPr>
      </w:pPr>
      <w:r>
        <w:rPr>
          <w:rFonts w:hint="eastAsia" w:ascii="宋体" w:hAnsi="宋体" w:cs="宋体"/>
          <w:color w:val="000000" w:themeColor="text1"/>
          <w:sz w:val="24"/>
        </w:rPr>
        <w:t xml:space="preserve">格式7                  </w:t>
      </w:r>
      <w:r>
        <w:rPr>
          <w:rFonts w:hint="eastAsia" w:ascii="宋体" w:hAnsi="宋体" w:cs="宋体"/>
          <w:color w:val="000000" w:themeColor="text1"/>
          <w:sz w:val="22"/>
        </w:rPr>
        <w:t xml:space="preserve">        </w:t>
      </w:r>
      <w:r>
        <w:rPr>
          <w:rFonts w:hint="eastAsia" w:ascii="宋体" w:hAnsi="宋体" w:cs="宋体"/>
          <w:color w:val="000000" w:themeColor="text1"/>
          <w:sz w:val="28"/>
        </w:rPr>
        <w:t xml:space="preserve"> </w:t>
      </w:r>
      <w:r>
        <w:rPr>
          <w:rFonts w:hint="eastAsia" w:ascii="宋体" w:hAnsi="宋体" w:cs="宋体"/>
          <w:b/>
          <w:color w:val="000000" w:themeColor="text1"/>
          <w:sz w:val="28"/>
        </w:rPr>
        <w:t>项目管理机构</w:t>
      </w:r>
    </w:p>
    <w:p>
      <w:pPr>
        <w:rPr>
          <w:rFonts w:ascii="宋体" w:hAnsi="宋体" w:cs="宋体"/>
          <w:color w:val="000000" w:themeColor="text1"/>
          <w:sz w:val="24"/>
        </w:rPr>
      </w:pPr>
    </w:p>
    <w:p>
      <w:pPr>
        <w:rPr>
          <w:rFonts w:ascii="宋体" w:hAnsi="宋体" w:cs="宋体"/>
          <w:color w:val="000000" w:themeColor="text1"/>
        </w:rPr>
      </w:pPr>
      <w:r>
        <w:rPr>
          <w:rFonts w:hint="eastAsia" w:ascii="宋体" w:hAnsi="宋体" w:cs="宋体"/>
          <w:color w:val="000000" w:themeColor="text1"/>
          <w:sz w:val="24"/>
        </w:rPr>
        <w:t>（一）项目管理机构组成表</w:t>
      </w:r>
    </w:p>
    <w:tbl>
      <w:tblPr>
        <w:tblStyle w:val="4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职务</w:t>
            </w:r>
          </w:p>
        </w:tc>
        <w:tc>
          <w:tcPr>
            <w:tcW w:w="1033" w:type="dxa"/>
            <w:vMerge w:val="restart"/>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姓名</w:t>
            </w:r>
          </w:p>
        </w:tc>
        <w:tc>
          <w:tcPr>
            <w:tcW w:w="1034" w:type="dxa"/>
            <w:vMerge w:val="restart"/>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职称</w:t>
            </w:r>
          </w:p>
        </w:tc>
        <w:tc>
          <w:tcPr>
            <w:tcW w:w="4791" w:type="dxa"/>
            <w:gridSpan w:val="4"/>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执业或职业资格证明</w:t>
            </w:r>
          </w:p>
        </w:tc>
        <w:tc>
          <w:tcPr>
            <w:tcW w:w="900" w:type="dxa"/>
            <w:vAlign w:val="center"/>
          </w:tcPr>
          <w:p>
            <w:pPr>
              <w:autoSpaceDE w:val="0"/>
              <w:autoSpaceDN w:val="0"/>
              <w:adjustRightInd w:val="0"/>
              <w:spacing w:line="42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Merge w:val="continue"/>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Merge w:val="continue"/>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证书名称</w:t>
            </w: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级别</w:t>
            </w: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证号</w:t>
            </w: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r>
              <w:rPr>
                <w:rFonts w:hint="eastAsia" w:ascii="宋体" w:hAnsi="宋体" w:cs="宋体"/>
                <w:color w:val="000000" w:themeColor="text1"/>
                <w:kern w:val="0"/>
                <w:szCs w:val="21"/>
              </w:rPr>
              <w:t>专业</w:t>
            </w: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3"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03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156"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12"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24"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1399" w:type="dxa"/>
            <w:vAlign w:val="center"/>
          </w:tcPr>
          <w:p>
            <w:pPr>
              <w:autoSpaceDE w:val="0"/>
              <w:autoSpaceDN w:val="0"/>
              <w:adjustRightInd w:val="0"/>
              <w:spacing w:line="420" w:lineRule="exact"/>
              <w:jc w:val="center"/>
              <w:rPr>
                <w:rFonts w:ascii="宋体" w:hAnsi="宋体" w:cs="宋体"/>
                <w:color w:val="000000" w:themeColor="text1"/>
                <w:kern w:val="0"/>
                <w:sz w:val="24"/>
              </w:rPr>
            </w:pPr>
          </w:p>
        </w:tc>
        <w:tc>
          <w:tcPr>
            <w:tcW w:w="900" w:type="dxa"/>
            <w:vAlign w:val="center"/>
          </w:tcPr>
          <w:p>
            <w:pPr>
              <w:autoSpaceDE w:val="0"/>
              <w:autoSpaceDN w:val="0"/>
              <w:adjustRightInd w:val="0"/>
              <w:spacing w:line="420" w:lineRule="exact"/>
              <w:jc w:val="center"/>
              <w:rPr>
                <w:rFonts w:ascii="宋体" w:hAnsi="宋体" w:cs="宋体"/>
                <w:color w:val="000000" w:themeColor="text1"/>
                <w:kern w:val="0"/>
                <w:sz w:val="24"/>
              </w:rPr>
            </w:pPr>
          </w:p>
        </w:tc>
      </w:tr>
    </w:tbl>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rPr>
          <w:rFonts w:ascii="宋体" w:hAnsi="宋体" w:cs="宋体"/>
          <w:color w:val="000000" w:themeColor="text1"/>
        </w:rPr>
      </w:pPr>
    </w:p>
    <w:p>
      <w:pPr>
        <w:pStyle w:val="55"/>
        <w:numPr>
          <w:ilvl w:val="0"/>
          <w:numId w:val="0"/>
        </w:numPr>
        <w:tabs>
          <w:tab w:val="clear" w:pos="432"/>
        </w:tabs>
        <w:jc w:val="both"/>
        <w:rPr>
          <w:color w:val="000000" w:themeColor="text1"/>
        </w:rPr>
      </w:pPr>
    </w:p>
    <w:p>
      <w:pPr>
        <w:rPr>
          <w:rFonts w:ascii="宋体" w:hAnsi="宋体" w:cs="宋体"/>
          <w:color w:val="000000" w:themeColor="text1"/>
          <w:sz w:val="24"/>
        </w:rPr>
      </w:pPr>
      <w:r>
        <w:rPr>
          <w:rFonts w:hint="eastAsia" w:ascii="宋体" w:hAnsi="宋体" w:cs="宋体"/>
          <w:color w:val="000000" w:themeColor="text1"/>
          <w:sz w:val="24"/>
        </w:rPr>
        <w:t>（二）主要人员简历表</w:t>
      </w:r>
    </w:p>
    <w:p>
      <w:pPr>
        <w:spacing w:line="420" w:lineRule="exact"/>
        <w:rPr>
          <w:rFonts w:ascii="宋体" w:hAnsi="宋体" w:cs="宋体"/>
          <w:color w:val="000000" w:themeColor="text1"/>
          <w:szCs w:val="21"/>
        </w:rPr>
      </w:pPr>
      <w:r>
        <w:rPr>
          <w:rFonts w:hint="eastAsia" w:ascii="宋体" w:hAnsi="宋体" w:cs="宋体"/>
          <w:color w:val="000000" w:themeColor="text1"/>
          <w:szCs w:val="21"/>
        </w:rPr>
        <w:t>附1：项目经理简历表</w:t>
      </w:r>
    </w:p>
    <w:p>
      <w:pPr>
        <w:spacing w:line="420" w:lineRule="exact"/>
        <w:ind w:firstLine="359" w:firstLineChars="171"/>
        <w:rPr>
          <w:rFonts w:ascii="宋体" w:hAnsi="宋体" w:cs="宋体"/>
          <w:color w:val="000000" w:themeColor="text1"/>
          <w:szCs w:val="21"/>
        </w:rPr>
      </w:pPr>
      <w:r>
        <w:rPr>
          <w:rFonts w:hint="eastAsia" w:ascii="宋体" w:hAnsi="宋体" w:cs="宋体"/>
          <w:color w:val="000000" w:themeColor="text1"/>
          <w:szCs w:val="21"/>
        </w:rPr>
        <w:t>项目经理应附建造师注册证书、安全生产考核合格证书、身份证，未担任其他在施建设工程项目项目经理的承诺书，管理过的项目业绩须附合同协议书或中标通知书复印件或扫描件。</w:t>
      </w:r>
    </w:p>
    <w:tbl>
      <w:tblPr>
        <w:tblStyle w:val="46"/>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姓  名</w:t>
            </w:r>
          </w:p>
        </w:tc>
        <w:tc>
          <w:tcPr>
            <w:tcW w:w="1098" w:type="dxa"/>
            <w:vAlign w:val="center"/>
          </w:tcPr>
          <w:p>
            <w:pPr>
              <w:jc w:val="center"/>
              <w:rPr>
                <w:rFonts w:ascii="宋体" w:hAnsi="宋体" w:cs="宋体"/>
                <w:color w:val="000000" w:themeColor="text1"/>
                <w:szCs w:val="21"/>
              </w:rPr>
            </w:pPr>
          </w:p>
        </w:tc>
        <w:tc>
          <w:tcPr>
            <w:tcW w:w="1203"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年  龄</w:t>
            </w:r>
          </w:p>
        </w:tc>
        <w:tc>
          <w:tcPr>
            <w:tcW w:w="1352" w:type="dxa"/>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学历</w:t>
            </w: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职  称</w:t>
            </w:r>
          </w:p>
        </w:tc>
        <w:tc>
          <w:tcPr>
            <w:tcW w:w="1098" w:type="dxa"/>
            <w:vAlign w:val="center"/>
          </w:tcPr>
          <w:p>
            <w:pPr>
              <w:jc w:val="center"/>
              <w:rPr>
                <w:rFonts w:ascii="宋体" w:hAnsi="宋体" w:cs="宋体"/>
                <w:color w:val="000000" w:themeColor="text1"/>
                <w:szCs w:val="21"/>
              </w:rPr>
            </w:pPr>
          </w:p>
        </w:tc>
        <w:tc>
          <w:tcPr>
            <w:tcW w:w="1203"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职  务</w:t>
            </w:r>
          </w:p>
        </w:tc>
        <w:tc>
          <w:tcPr>
            <w:tcW w:w="1352" w:type="dxa"/>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拟在本工程任职</w:t>
            </w:r>
          </w:p>
        </w:tc>
        <w:tc>
          <w:tcPr>
            <w:tcW w:w="225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ascii="宋体" w:hAnsi="宋体" w:cs="宋体"/>
                <w:color w:val="000000" w:themeColor="text1"/>
                <w:szCs w:val="21"/>
              </w:rPr>
            </w:pPr>
            <w:r>
              <w:rPr>
                <w:rFonts w:hint="eastAsia" w:ascii="宋体" w:hAnsi="宋体" w:cs="宋体"/>
                <w:color w:val="000000" w:themeColor="text1"/>
                <w:szCs w:val="21"/>
              </w:rPr>
              <w:t>注册建造师执业资格等级</w:t>
            </w:r>
          </w:p>
        </w:tc>
        <w:tc>
          <w:tcPr>
            <w:tcW w:w="1352"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 xml:space="preserve">      级</w:t>
            </w:r>
          </w:p>
        </w:tc>
        <w:tc>
          <w:tcPr>
            <w:tcW w:w="1954"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建造师专业</w:t>
            </w: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ascii="宋体" w:hAnsi="宋体" w:cs="宋体"/>
                <w:color w:val="000000" w:themeColor="text1"/>
                <w:szCs w:val="21"/>
              </w:rPr>
            </w:pPr>
            <w:r>
              <w:rPr>
                <w:rFonts w:hint="eastAsia" w:ascii="宋体" w:hAnsi="宋体" w:cs="宋体"/>
                <w:color w:val="000000" w:themeColor="text1"/>
                <w:szCs w:val="21"/>
              </w:rPr>
              <w:t>安全生产考核合格证书</w:t>
            </w:r>
          </w:p>
        </w:tc>
        <w:tc>
          <w:tcPr>
            <w:tcW w:w="5561" w:type="dxa"/>
            <w:gridSpan w:val="3"/>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毕业学校</w:t>
            </w:r>
          </w:p>
        </w:tc>
        <w:tc>
          <w:tcPr>
            <w:tcW w:w="7862" w:type="dxa"/>
            <w:gridSpan w:val="5"/>
            <w:vAlign w:val="center"/>
          </w:tcPr>
          <w:p>
            <w:pPr>
              <w:ind w:firstLine="840" w:firstLineChars="400"/>
              <w:rPr>
                <w:rFonts w:ascii="宋体" w:hAnsi="宋体" w:cs="宋体"/>
                <w:color w:val="000000" w:themeColor="text1"/>
                <w:szCs w:val="21"/>
              </w:rPr>
            </w:pPr>
            <w:r>
              <w:rPr>
                <w:rFonts w:hint="eastAsia" w:ascii="宋体" w:hAnsi="宋体" w:cs="宋体"/>
                <w:color w:val="000000" w:themeColor="text1"/>
                <w:szCs w:val="21"/>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pPr>
              <w:jc w:val="center"/>
              <w:rPr>
                <w:rFonts w:ascii="宋体" w:hAnsi="宋体" w:cs="宋体"/>
                <w:color w:val="000000" w:themeColor="text1"/>
                <w:szCs w:val="21"/>
              </w:rPr>
            </w:pPr>
            <w:r>
              <w:rPr>
                <w:rFonts w:hint="eastAsia" w:ascii="宋体" w:hAnsi="宋体" w:cs="宋体"/>
                <w:color w:val="000000" w:themeColor="text1"/>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时  间</w:t>
            </w:r>
          </w:p>
        </w:tc>
        <w:tc>
          <w:tcPr>
            <w:tcW w:w="3653" w:type="dxa"/>
            <w:gridSpan w:val="3"/>
            <w:vAlign w:val="center"/>
          </w:tcPr>
          <w:p>
            <w:pPr>
              <w:jc w:val="center"/>
              <w:rPr>
                <w:rFonts w:ascii="宋体" w:hAnsi="宋体" w:cs="宋体"/>
                <w:color w:val="000000" w:themeColor="text1"/>
                <w:szCs w:val="21"/>
              </w:rPr>
            </w:pPr>
            <w:r>
              <w:rPr>
                <w:rFonts w:hint="eastAsia" w:ascii="宋体" w:hAnsi="宋体" w:cs="宋体"/>
                <w:color w:val="000000" w:themeColor="text1"/>
                <w:szCs w:val="21"/>
              </w:rPr>
              <w:t>参加过的类似项目名称</w:t>
            </w:r>
          </w:p>
        </w:tc>
        <w:tc>
          <w:tcPr>
            <w:tcW w:w="1954"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工程概况说明</w:t>
            </w:r>
          </w:p>
        </w:tc>
        <w:tc>
          <w:tcPr>
            <w:tcW w:w="225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000000" w:themeColor="text1"/>
                <w:szCs w:val="21"/>
              </w:rPr>
            </w:pPr>
          </w:p>
        </w:tc>
        <w:tc>
          <w:tcPr>
            <w:tcW w:w="3653" w:type="dxa"/>
            <w:gridSpan w:val="3"/>
            <w:vAlign w:val="center"/>
          </w:tcPr>
          <w:p>
            <w:pPr>
              <w:jc w:val="center"/>
              <w:rPr>
                <w:rFonts w:ascii="宋体" w:hAnsi="宋体" w:cs="宋体"/>
                <w:color w:val="000000" w:themeColor="text1"/>
                <w:szCs w:val="21"/>
              </w:rPr>
            </w:pPr>
          </w:p>
        </w:tc>
        <w:tc>
          <w:tcPr>
            <w:tcW w:w="1954" w:type="dxa"/>
            <w:vAlign w:val="center"/>
          </w:tcPr>
          <w:p>
            <w:pPr>
              <w:jc w:val="center"/>
              <w:rPr>
                <w:rFonts w:ascii="宋体" w:hAnsi="宋体" w:cs="宋体"/>
                <w:color w:val="000000" w:themeColor="text1"/>
                <w:szCs w:val="21"/>
              </w:rPr>
            </w:pPr>
          </w:p>
        </w:tc>
        <w:tc>
          <w:tcPr>
            <w:tcW w:w="2255" w:type="dxa"/>
            <w:vAlign w:val="center"/>
          </w:tcPr>
          <w:p>
            <w:pPr>
              <w:jc w:val="center"/>
              <w:rPr>
                <w:rFonts w:ascii="宋体" w:hAnsi="宋体" w:cs="宋体"/>
                <w:color w:val="000000" w:themeColor="text1"/>
                <w:szCs w:val="21"/>
              </w:rPr>
            </w:pPr>
          </w:p>
        </w:tc>
      </w:tr>
    </w:tbl>
    <w:p>
      <w:pPr>
        <w:spacing w:line="420" w:lineRule="exact"/>
        <w:rPr>
          <w:rFonts w:ascii="宋体" w:hAnsi="宋体" w:cs="宋体"/>
          <w:color w:val="000000" w:themeColor="text1"/>
          <w:szCs w:val="2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420" w:lineRule="exact"/>
        <w:rPr>
          <w:rFonts w:ascii="宋体" w:hAnsi="宋体" w:cs="宋体"/>
          <w:color w:val="000000" w:themeColor="text1"/>
          <w:szCs w:val="21"/>
        </w:rPr>
      </w:pPr>
      <w:r>
        <w:rPr>
          <w:rFonts w:hint="eastAsia" w:ascii="宋体" w:hAnsi="宋体" w:cs="宋体"/>
          <w:color w:val="000000" w:themeColor="text1"/>
          <w:szCs w:val="21"/>
        </w:rPr>
        <w:t>附2：主要项目管理人员简历表</w:t>
      </w:r>
    </w:p>
    <w:p>
      <w:pPr>
        <w:spacing w:line="420" w:lineRule="exact"/>
        <w:ind w:firstLine="359" w:firstLineChars="171"/>
        <w:rPr>
          <w:rFonts w:ascii="宋体" w:hAnsi="宋体" w:cs="宋体"/>
          <w:color w:val="000000" w:themeColor="text1"/>
          <w:szCs w:val="21"/>
        </w:rPr>
      </w:pPr>
    </w:p>
    <w:p>
      <w:pPr>
        <w:spacing w:line="420" w:lineRule="exact"/>
        <w:ind w:firstLine="359" w:firstLineChars="171"/>
        <w:rPr>
          <w:rFonts w:ascii="宋体" w:hAnsi="宋体" w:cs="宋体"/>
          <w:color w:val="000000" w:themeColor="text1"/>
          <w:szCs w:val="21"/>
        </w:rPr>
      </w:pPr>
      <w:r>
        <w:rPr>
          <w:rFonts w:hint="eastAsia" w:ascii="宋体" w:hAnsi="宋体" w:cs="宋体"/>
          <w:color w:val="000000" w:themeColor="text1"/>
          <w:szCs w:val="21"/>
        </w:rPr>
        <w:t>主要项目管理人员指技术负责人、专职安全生产管理人员等岗位人员。</w:t>
      </w:r>
    </w:p>
    <w:tbl>
      <w:tblPr>
        <w:tblStyle w:val="46"/>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130"/>
        <w:gridCol w:w="2601"/>
        <w:gridCol w:w="1217"/>
        <w:gridCol w:w="3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5"/>
          </w:tcPr>
          <w:p>
            <w:pPr>
              <w:spacing w:line="420" w:lineRule="exact"/>
              <w:rPr>
                <w:rFonts w:ascii="宋体" w:hAnsi="宋体" w:cs="宋体"/>
                <w:color w:val="000000" w:themeColor="text1"/>
                <w:szCs w:val="21"/>
              </w:rPr>
            </w:pPr>
            <w:r>
              <w:rPr>
                <w:rFonts w:hint="eastAsia" w:ascii="宋体" w:hAnsi="宋体" w:cs="宋体"/>
                <w:color w:val="000000" w:themeColor="text1"/>
                <w:szCs w:val="21"/>
              </w:rPr>
              <w:t>岗位名称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819" w:type="dxa"/>
            <w:gridSpan w:val="2"/>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姓    名</w:t>
            </w:r>
          </w:p>
        </w:tc>
        <w:tc>
          <w:tcPr>
            <w:tcW w:w="2601" w:type="dxa"/>
            <w:tcBorders>
              <w:left w:val="single" w:color="auto" w:sz="4" w:space="0"/>
            </w:tcBorders>
          </w:tcPr>
          <w:p>
            <w:pPr>
              <w:spacing w:line="420" w:lineRule="exact"/>
              <w:rPr>
                <w:rFonts w:ascii="宋体" w:hAnsi="宋体" w:cs="宋体"/>
                <w:color w:val="000000" w:themeColor="text1"/>
                <w:szCs w:val="21"/>
              </w:rPr>
            </w:pPr>
          </w:p>
        </w:tc>
        <w:tc>
          <w:tcPr>
            <w:tcW w:w="1217" w:type="dxa"/>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年    龄</w:t>
            </w:r>
          </w:p>
        </w:tc>
        <w:tc>
          <w:tcPr>
            <w:tcW w:w="3203" w:type="dxa"/>
            <w:tcBorders>
              <w:left w:val="single" w:color="auto" w:sz="4" w:space="0"/>
            </w:tcBorders>
          </w:tcPr>
          <w:p>
            <w:pPr>
              <w:spacing w:line="420" w:lineRule="exact"/>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性    别</w:t>
            </w:r>
          </w:p>
        </w:tc>
        <w:tc>
          <w:tcPr>
            <w:tcW w:w="2601" w:type="dxa"/>
            <w:tcBorders>
              <w:left w:val="single" w:color="auto" w:sz="4" w:space="0"/>
            </w:tcBorders>
          </w:tcPr>
          <w:p>
            <w:pPr>
              <w:spacing w:line="420" w:lineRule="exact"/>
              <w:rPr>
                <w:rFonts w:ascii="宋体" w:hAnsi="宋体" w:cs="宋体"/>
                <w:color w:val="000000" w:themeColor="text1"/>
                <w:szCs w:val="21"/>
              </w:rPr>
            </w:pPr>
          </w:p>
        </w:tc>
        <w:tc>
          <w:tcPr>
            <w:tcW w:w="1217" w:type="dxa"/>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毕业学校</w:t>
            </w:r>
          </w:p>
        </w:tc>
        <w:tc>
          <w:tcPr>
            <w:tcW w:w="3203" w:type="dxa"/>
            <w:tcBorders>
              <w:left w:val="single" w:color="auto" w:sz="4" w:space="0"/>
            </w:tcBorders>
          </w:tcPr>
          <w:p>
            <w:pPr>
              <w:spacing w:line="420" w:lineRule="exact"/>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学历和专业</w:t>
            </w:r>
          </w:p>
        </w:tc>
        <w:tc>
          <w:tcPr>
            <w:tcW w:w="2601" w:type="dxa"/>
            <w:tcBorders>
              <w:left w:val="single" w:color="auto" w:sz="4" w:space="0"/>
            </w:tcBorders>
          </w:tcPr>
          <w:p>
            <w:pPr>
              <w:spacing w:line="420" w:lineRule="exact"/>
              <w:rPr>
                <w:rFonts w:ascii="宋体" w:hAnsi="宋体" w:cs="宋体"/>
                <w:color w:val="000000" w:themeColor="text1"/>
                <w:szCs w:val="21"/>
              </w:rPr>
            </w:pPr>
          </w:p>
        </w:tc>
        <w:tc>
          <w:tcPr>
            <w:tcW w:w="1217" w:type="dxa"/>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毕业时间</w:t>
            </w:r>
          </w:p>
        </w:tc>
        <w:tc>
          <w:tcPr>
            <w:tcW w:w="3203" w:type="dxa"/>
            <w:tcBorders>
              <w:left w:val="single" w:color="auto" w:sz="4" w:space="0"/>
            </w:tcBorders>
          </w:tcPr>
          <w:p>
            <w:pPr>
              <w:spacing w:line="420" w:lineRule="exact"/>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819" w:type="dxa"/>
            <w:gridSpan w:val="2"/>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拥有的执业资格</w:t>
            </w:r>
          </w:p>
        </w:tc>
        <w:tc>
          <w:tcPr>
            <w:tcW w:w="2601" w:type="dxa"/>
            <w:tcBorders>
              <w:left w:val="single" w:color="auto" w:sz="4" w:space="0"/>
            </w:tcBorders>
          </w:tcPr>
          <w:p>
            <w:pPr>
              <w:spacing w:line="420" w:lineRule="exact"/>
              <w:rPr>
                <w:rFonts w:ascii="宋体" w:hAnsi="宋体" w:cs="宋体"/>
                <w:color w:val="000000" w:themeColor="text1"/>
                <w:szCs w:val="21"/>
              </w:rPr>
            </w:pPr>
          </w:p>
        </w:tc>
        <w:tc>
          <w:tcPr>
            <w:tcW w:w="1217" w:type="dxa"/>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专业职称</w:t>
            </w:r>
          </w:p>
        </w:tc>
        <w:tc>
          <w:tcPr>
            <w:tcW w:w="3203" w:type="dxa"/>
            <w:tcBorders>
              <w:left w:val="single" w:color="auto" w:sz="4" w:space="0"/>
            </w:tcBorders>
          </w:tcPr>
          <w:p>
            <w:pPr>
              <w:spacing w:line="420" w:lineRule="exact"/>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执业资格证书编号</w:t>
            </w:r>
          </w:p>
        </w:tc>
        <w:tc>
          <w:tcPr>
            <w:tcW w:w="2601" w:type="dxa"/>
            <w:tcBorders>
              <w:left w:val="single" w:color="auto" w:sz="4" w:space="0"/>
            </w:tcBorders>
          </w:tcPr>
          <w:p>
            <w:pPr>
              <w:spacing w:line="420" w:lineRule="exact"/>
              <w:rPr>
                <w:rFonts w:ascii="宋体" w:hAnsi="宋体" w:cs="宋体"/>
                <w:color w:val="000000" w:themeColor="text1"/>
                <w:szCs w:val="21"/>
              </w:rPr>
            </w:pPr>
          </w:p>
        </w:tc>
        <w:tc>
          <w:tcPr>
            <w:tcW w:w="1217" w:type="dxa"/>
            <w:tcBorders>
              <w:right w:val="single" w:color="auto" w:sz="4" w:space="0"/>
            </w:tcBorders>
          </w:tcPr>
          <w:p>
            <w:pPr>
              <w:spacing w:line="420" w:lineRule="exact"/>
              <w:rPr>
                <w:rFonts w:ascii="宋体" w:hAnsi="宋体" w:cs="宋体"/>
                <w:color w:val="000000" w:themeColor="text1"/>
                <w:szCs w:val="21"/>
              </w:rPr>
            </w:pPr>
            <w:r>
              <w:rPr>
                <w:rFonts w:hint="eastAsia" w:ascii="宋体" w:hAnsi="宋体" w:cs="宋体"/>
                <w:color w:val="000000" w:themeColor="text1"/>
                <w:szCs w:val="21"/>
              </w:rPr>
              <w:t>工作年限</w:t>
            </w:r>
          </w:p>
        </w:tc>
        <w:tc>
          <w:tcPr>
            <w:tcW w:w="3203" w:type="dxa"/>
            <w:tcBorders>
              <w:left w:val="single" w:color="auto" w:sz="4" w:space="0"/>
            </w:tcBorders>
          </w:tcPr>
          <w:p>
            <w:pPr>
              <w:spacing w:line="420" w:lineRule="exact"/>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689" w:type="dxa"/>
            <w:tcBorders>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主</w:t>
            </w:r>
          </w:p>
          <w:p>
            <w:pPr>
              <w:rPr>
                <w:rFonts w:ascii="宋体" w:hAnsi="宋体" w:cs="宋体"/>
                <w:color w:val="000000" w:themeColor="text1"/>
                <w:szCs w:val="21"/>
              </w:rPr>
            </w:pPr>
            <w:r>
              <w:rPr>
                <w:rFonts w:hint="eastAsia" w:ascii="宋体" w:hAnsi="宋体" w:cs="宋体"/>
                <w:color w:val="000000" w:themeColor="text1"/>
                <w:szCs w:val="21"/>
              </w:rPr>
              <w:t>要</w:t>
            </w:r>
          </w:p>
          <w:p>
            <w:pPr>
              <w:rPr>
                <w:rFonts w:ascii="宋体" w:hAnsi="宋体" w:cs="宋体"/>
                <w:color w:val="000000" w:themeColor="text1"/>
                <w:szCs w:val="21"/>
              </w:rPr>
            </w:pPr>
            <w:r>
              <w:rPr>
                <w:rFonts w:hint="eastAsia" w:ascii="宋体" w:hAnsi="宋体" w:cs="宋体"/>
                <w:color w:val="000000" w:themeColor="text1"/>
                <w:szCs w:val="21"/>
              </w:rPr>
              <w:t>工</w:t>
            </w:r>
          </w:p>
          <w:p>
            <w:pPr>
              <w:rPr>
                <w:rFonts w:ascii="宋体" w:hAnsi="宋体" w:cs="宋体"/>
                <w:color w:val="000000" w:themeColor="text1"/>
                <w:szCs w:val="21"/>
              </w:rPr>
            </w:pPr>
            <w:r>
              <w:rPr>
                <w:rFonts w:hint="eastAsia" w:ascii="宋体" w:hAnsi="宋体" w:cs="宋体"/>
                <w:color w:val="000000" w:themeColor="text1"/>
                <w:szCs w:val="21"/>
              </w:rPr>
              <w:t>作</w:t>
            </w:r>
          </w:p>
          <w:p>
            <w:pPr>
              <w:rPr>
                <w:rFonts w:ascii="宋体" w:hAnsi="宋体" w:cs="宋体"/>
                <w:color w:val="000000" w:themeColor="text1"/>
                <w:szCs w:val="21"/>
              </w:rPr>
            </w:pPr>
            <w:r>
              <w:rPr>
                <w:rFonts w:hint="eastAsia" w:ascii="宋体" w:hAnsi="宋体" w:cs="宋体"/>
                <w:color w:val="000000" w:themeColor="text1"/>
                <w:szCs w:val="21"/>
              </w:rPr>
              <w:t>业</w:t>
            </w:r>
          </w:p>
          <w:p>
            <w:pPr>
              <w:rPr>
                <w:rFonts w:ascii="宋体" w:hAnsi="宋体" w:cs="宋体"/>
                <w:color w:val="000000" w:themeColor="text1"/>
                <w:szCs w:val="21"/>
              </w:rPr>
            </w:pPr>
            <w:r>
              <w:rPr>
                <w:rFonts w:hint="eastAsia" w:ascii="宋体" w:hAnsi="宋体" w:cs="宋体"/>
                <w:color w:val="000000" w:themeColor="text1"/>
                <w:szCs w:val="21"/>
              </w:rPr>
              <w:t>绩</w:t>
            </w:r>
          </w:p>
          <w:p>
            <w:pPr>
              <w:rPr>
                <w:rFonts w:ascii="宋体" w:hAnsi="宋体" w:cs="宋体"/>
                <w:color w:val="000000" w:themeColor="text1"/>
                <w:szCs w:val="21"/>
              </w:rPr>
            </w:pPr>
            <w:r>
              <w:rPr>
                <w:rFonts w:hint="eastAsia" w:ascii="宋体" w:hAnsi="宋体" w:cs="宋体"/>
                <w:color w:val="000000" w:themeColor="text1"/>
                <w:szCs w:val="21"/>
              </w:rPr>
              <w:t>及</w:t>
            </w:r>
          </w:p>
          <w:p>
            <w:pPr>
              <w:rPr>
                <w:rFonts w:ascii="宋体" w:hAnsi="宋体" w:cs="宋体"/>
                <w:color w:val="000000" w:themeColor="text1"/>
                <w:szCs w:val="21"/>
              </w:rPr>
            </w:pPr>
            <w:r>
              <w:rPr>
                <w:rFonts w:hint="eastAsia" w:ascii="宋体" w:hAnsi="宋体" w:cs="宋体"/>
                <w:color w:val="000000" w:themeColor="text1"/>
                <w:szCs w:val="21"/>
              </w:rPr>
              <w:t>担</w:t>
            </w:r>
          </w:p>
          <w:p>
            <w:pPr>
              <w:rPr>
                <w:rFonts w:ascii="宋体" w:hAnsi="宋体" w:cs="宋体"/>
                <w:color w:val="000000" w:themeColor="text1"/>
                <w:szCs w:val="21"/>
              </w:rPr>
            </w:pPr>
            <w:r>
              <w:rPr>
                <w:rFonts w:hint="eastAsia" w:ascii="宋体" w:hAnsi="宋体" w:cs="宋体"/>
                <w:color w:val="000000" w:themeColor="text1"/>
                <w:szCs w:val="21"/>
              </w:rPr>
              <w:t>任</w:t>
            </w:r>
          </w:p>
          <w:p>
            <w:pPr>
              <w:rPr>
                <w:rFonts w:ascii="宋体" w:hAnsi="宋体" w:cs="宋体"/>
                <w:color w:val="000000" w:themeColor="text1"/>
                <w:szCs w:val="21"/>
              </w:rPr>
            </w:pPr>
            <w:r>
              <w:rPr>
                <w:rFonts w:hint="eastAsia" w:ascii="宋体" w:hAnsi="宋体" w:cs="宋体"/>
                <w:color w:val="000000" w:themeColor="text1"/>
                <w:szCs w:val="21"/>
              </w:rPr>
              <w:t>的</w:t>
            </w:r>
          </w:p>
          <w:p>
            <w:pPr>
              <w:rPr>
                <w:rFonts w:ascii="宋体" w:hAnsi="宋体" w:cs="宋体"/>
                <w:color w:val="000000" w:themeColor="text1"/>
                <w:szCs w:val="21"/>
              </w:rPr>
            </w:pPr>
            <w:r>
              <w:rPr>
                <w:rFonts w:hint="eastAsia" w:ascii="宋体" w:hAnsi="宋体" w:cs="宋体"/>
                <w:color w:val="000000" w:themeColor="text1"/>
                <w:szCs w:val="21"/>
              </w:rPr>
              <w:t>主</w:t>
            </w:r>
          </w:p>
          <w:p>
            <w:pPr>
              <w:rPr>
                <w:rFonts w:ascii="宋体" w:hAnsi="宋体" w:cs="宋体"/>
                <w:color w:val="000000" w:themeColor="text1"/>
                <w:szCs w:val="21"/>
              </w:rPr>
            </w:pPr>
            <w:r>
              <w:rPr>
                <w:rFonts w:hint="eastAsia" w:ascii="宋体" w:hAnsi="宋体" w:cs="宋体"/>
                <w:color w:val="000000" w:themeColor="text1"/>
                <w:szCs w:val="21"/>
              </w:rPr>
              <w:t>要</w:t>
            </w:r>
          </w:p>
          <w:p>
            <w:pPr>
              <w:rPr>
                <w:rFonts w:ascii="宋体" w:hAnsi="宋体" w:cs="宋体"/>
                <w:color w:val="000000" w:themeColor="text1"/>
                <w:szCs w:val="21"/>
              </w:rPr>
            </w:pPr>
            <w:r>
              <w:rPr>
                <w:rFonts w:hint="eastAsia" w:ascii="宋体" w:hAnsi="宋体" w:cs="宋体"/>
                <w:color w:val="000000" w:themeColor="text1"/>
                <w:szCs w:val="21"/>
              </w:rPr>
              <w:t>工</w:t>
            </w:r>
          </w:p>
          <w:p>
            <w:pPr>
              <w:rPr>
                <w:rFonts w:ascii="宋体" w:hAnsi="宋体" w:cs="宋体"/>
                <w:color w:val="000000" w:themeColor="text1"/>
                <w:szCs w:val="21"/>
              </w:rPr>
            </w:pPr>
            <w:r>
              <w:rPr>
                <w:rFonts w:hint="eastAsia" w:ascii="宋体" w:hAnsi="宋体" w:cs="宋体"/>
                <w:color w:val="000000" w:themeColor="text1"/>
                <w:szCs w:val="21"/>
              </w:rPr>
              <w:t>作</w:t>
            </w:r>
          </w:p>
        </w:tc>
        <w:tc>
          <w:tcPr>
            <w:tcW w:w="8151" w:type="dxa"/>
            <w:gridSpan w:val="4"/>
            <w:tcBorders>
              <w:left w:val="single" w:color="auto" w:sz="4" w:space="0"/>
            </w:tcBorders>
            <w:vAlign w:val="center"/>
          </w:tcPr>
          <w:p>
            <w:pPr>
              <w:rPr>
                <w:rFonts w:ascii="宋体" w:hAnsi="宋体" w:cs="宋体"/>
                <w:color w:val="000000" w:themeColor="text1"/>
                <w:szCs w:val="21"/>
              </w:rPr>
            </w:pPr>
          </w:p>
        </w:tc>
      </w:tr>
    </w:tbl>
    <w:p>
      <w:pPr>
        <w:pStyle w:val="18"/>
        <w:rPr>
          <w:rFonts w:ascii="宋体" w:hAnsi="宋体" w:cs="宋体"/>
          <w:color w:val="000000" w:themeColor="text1"/>
          <w:sz w:val="24"/>
        </w:rPr>
      </w:pPr>
    </w:p>
    <w:p>
      <w:pPr>
        <w:pStyle w:val="18"/>
        <w:rPr>
          <w:rFonts w:ascii="宋体" w:hAnsi="宋体" w:cs="宋体"/>
          <w:color w:val="000000" w:themeColor="text1"/>
          <w:sz w:val="24"/>
        </w:rPr>
      </w:pPr>
    </w:p>
    <w:p>
      <w:pPr>
        <w:pStyle w:val="18"/>
        <w:rPr>
          <w:rFonts w:ascii="宋体" w:hAnsi="宋体" w:cs="宋体"/>
          <w:color w:val="000000" w:themeColor="text1"/>
          <w:sz w:val="24"/>
        </w:rPr>
      </w:pPr>
    </w:p>
    <w:p>
      <w:pPr>
        <w:pStyle w:val="18"/>
        <w:rPr>
          <w:rFonts w:ascii="宋体" w:hAnsi="宋体" w:cs="宋体"/>
          <w:color w:val="000000" w:themeColor="text1"/>
          <w:sz w:val="24"/>
        </w:rPr>
      </w:pPr>
    </w:p>
    <w:p>
      <w:pPr>
        <w:pStyle w:val="18"/>
        <w:rPr>
          <w:rFonts w:ascii="宋体" w:hAnsi="宋体" w:cs="宋体"/>
          <w:color w:val="000000" w:themeColor="text1"/>
          <w:sz w:val="24"/>
        </w:rPr>
      </w:pPr>
      <w:r>
        <w:rPr>
          <w:rFonts w:hint="eastAsia" w:ascii="宋体" w:hAnsi="宋体" w:cs="宋体"/>
          <w:color w:val="000000" w:themeColor="text1"/>
          <w:sz w:val="24"/>
        </w:rPr>
        <w:t>格式8</w:t>
      </w:r>
    </w:p>
    <w:p>
      <w:pPr>
        <w:pStyle w:val="18"/>
        <w:jc w:val="center"/>
        <w:rPr>
          <w:rFonts w:ascii="宋体" w:hAnsi="宋体" w:cs="宋体"/>
          <w:b/>
          <w:color w:val="000000" w:themeColor="text1"/>
          <w:sz w:val="32"/>
        </w:rPr>
      </w:pPr>
      <w:r>
        <w:rPr>
          <w:rFonts w:hint="eastAsia" w:ascii="宋体" w:hAnsi="宋体" w:cs="宋体"/>
          <w:b/>
          <w:color w:val="000000" w:themeColor="text1"/>
          <w:sz w:val="32"/>
        </w:rPr>
        <w:t>项目管理机构配备情况辅助说明资料</w:t>
      </w:r>
    </w:p>
    <w:p>
      <w:pPr>
        <w:pStyle w:val="18"/>
        <w:spacing w:before="66"/>
        <w:ind w:left="218"/>
        <w:rPr>
          <w:rFonts w:ascii="宋体" w:hAnsi="宋体" w:cs="宋体"/>
          <w:color w:val="000000" w:themeColor="text1"/>
        </w:rPr>
      </w:pPr>
      <w:r>
        <w:rPr>
          <w:rFonts w:hint="eastAsia" w:ascii="宋体" w:hAnsi="宋体" w:cs="宋体"/>
          <w:color w:val="000000" w:themeColor="text1"/>
        </w:rPr>
        <w:t>项目名称：</w:t>
      </w:r>
    </w:p>
    <w:p>
      <w:pPr>
        <w:pStyle w:val="18"/>
        <w:spacing w:before="10"/>
        <w:rPr>
          <w:rFonts w:ascii="宋体" w:hAnsi="宋体" w:cs="宋体"/>
          <w:color w:val="000000" w:themeColor="text1"/>
          <w:sz w:val="8"/>
        </w:rPr>
      </w:pPr>
    </w:p>
    <w:p>
      <w:pPr>
        <w:pStyle w:val="18"/>
        <w:spacing w:before="67" w:line="436" w:lineRule="auto"/>
        <w:ind w:left="218" w:right="611" w:firstLine="120"/>
        <w:rPr>
          <w:rFonts w:ascii="宋体" w:hAnsi="宋体" w:cs="宋体"/>
          <w:color w:val="000000" w:themeColor="text1"/>
        </w:rPr>
      </w:pPr>
      <w:r>
        <w:rPr>
          <w:rFonts w:hint="eastAsia" w:ascii="宋体" w:hAnsi="宋体" w:cs="宋体"/>
          <w:color w:val="000000" w:themeColor="text1"/>
        </w:rPr>
        <w:t>注：辅助说明资料主要包括管理机构和机构设置、职责分工有关复印资料及投标人认为有必要提供的资料。格式不做统一规定。</w:t>
      </w:r>
    </w:p>
    <w:p>
      <w:pPr>
        <w:pStyle w:val="18"/>
        <w:spacing w:before="1"/>
        <w:ind w:left="818"/>
        <w:rPr>
          <w:rFonts w:ascii="宋体" w:hAnsi="宋体" w:cs="宋体"/>
          <w:color w:val="000000" w:themeColor="text1"/>
        </w:rPr>
      </w:pPr>
    </w:p>
    <w:p>
      <w:pPr>
        <w:pStyle w:val="45"/>
        <w:ind w:firstLine="480"/>
        <w:rPr>
          <w:rFonts w:ascii="宋体" w:hAnsi="宋体" w:eastAsia="宋体" w:cs="宋体"/>
          <w:color w:val="000000" w:themeColor="text1"/>
          <w:sz w:val="24"/>
        </w:rPr>
      </w:pPr>
    </w:p>
    <w:p>
      <w:pPr>
        <w:pStyle w:val="45"/>
        <w:ind w:firstLine="480"/>
        <w:rPr>
          <w:rFonts w:ascii="宋体" w:hAnsi="宋体" w:eastAsia="宋体" w:cs="宋体"/>
          <w:color w:val="000000" w:themeColor="text1"/>
          <w:sz w:val="24"/>
        </w:rPr>
      </w:pPr>
    </w:p>
    <w:p>
      <w:pPr>
        <w:spacing w:line="380" w:lineRule="exact"/>
        <w:jc w:val="center"/>
        <w:rPr>
          <w:rFonts w:ascii="宋体" w:hAnsi="宋体" w:cs="宋体"/>
          <w:color w:val="000000" w:themeColor="text1"/>
          <w:sz w:val="24"/>
        </w:rPr>
      </w:pPr>
    </w:p>
    <w:p>
      <w:pPr>
        <w:spacing w:line="380" w:lineRule="exact"/>
        <w:jc w:val="center"/>
        <w:rPr>
          <w:rFonts w:ascii="宋体" w:hAnsi="宋体" w:cs="宋体"/>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80" w:lineRule="exact"/>
        <w:jc w:val="center"/>
        <w:rPr>
          <w:rFonts w:ascii="宋体" w:hAnsi="宋体" w:cs="宋体"/>
          <w:color w:val="000000" w:themeColor="text1"/>
          <w:sz w:val="24"/>
        </w:rPr>
      </w:pPr>
    </w:p>
    <w:p>
      <w:pPr>
        <w:spacing w:line="360" w:lineRule="auto"/>
        <w:rPr>
          <w:rFonts w:ascii="宋体" w:hAnsi="宋体" w:cs="宋体"/>
          <w:b/>
          <w:bCs/>
          <w:color w:val="000000" w:themeColor="text1"/>
          <w:sz w:val="24"/>
        </w:rPr>
      </w:pPr>
      <w:r>
        <w:rPr>
          <w:rFonts w:hint="eastAsia" w:ascii="宋体" w:hAnsi="宋体" w:cs="宋体"/>
          <w:color w:val="000000" w:themeColor="text1"/>
          <w:sz w:val="24"/>
        </w:rPr>
        <w:t>格式9</w:t>
      </w:r>
    </w:p>
    <w:p>
      <w:pPr>
        <w:spacing w:line="360" w:lineRule="auto"/>
        <w:jc w:val="center"/>
        <w:rPr>
          <w:rFonts w:ascii="宋体" w:hAnsi="宋体" w:cs="宋体"/>
          <w:b/>
          <w:color w:val="000000" w:themeColor="text1"/>
          <w:kern w:val="1"/>
          <w:sz w:val="24"/>
        </w:rPr>
      </w:pPr>
      <w:r>
        <w:rPr>
          <w:rFonts w:hint="eastAsia" w:ascii="宋体" w:hAnsi="宋体" w:cs="宋体"/>
          <w:b/>
          <w:color w:val="000000" w:themeColor="text1"/>
          <w:kern w:val="1"/>
          <w:sz w:val="24"/>
        </w:rPr>
        <w:t>近三年无重大违法承诺书</w:t>
      </w:r>
    </w:p>
    <w:p>
      <w:pPr>
        <w:spacing w:line="360" w:lineRule="auto"/>
        <w:rPr>
          <w:rFonts w:ascii="宋体" w:hAnsi="宋体" w:cs="宋体"/>
          <w:bCs/>
          <w:color w:val="000000" w:themeColor="text1"/>
          <w:sz w:val="24"/>
        </w:rPr>
      </w:pPr>
      <w:r>
        <w:rPr>
          <w:rFonts w:hint="eastAsia" w:ascii="宋体" w:hAnsi="宋体" w:cs="宋体"/>
          <w:bCs/>
          <w:color w:val="000000" w:themeColor="text1"/>
          <w:sz w:val="24"/>
        </w:rPr>
        <w:t>注：格式自拟</w:t>
      </w:r>
    </w:p>
    <w:p>
      <w:pPr>
        <w:spacing w:line="360" w:lineRule="auto"/>
        <w:rPr>
          <w:rFonts w:ascii="宋体" w:hAnsi="宋体" w:cs="宋体"/>
          <w:b/>
          <w:bCs/>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spacing w:line="380" w:lineRule="exact"/>
        <w:rPr>
          <w:rFonts w:ascii="宋体" w:hAnsi="宋体" w:cs="宋体"/>
          <w:color w:val="000000" w:themeColor="text1"/>
          <w:sz w:val="24"/>
        </w:rPr>
      </w:pPr>
      <w:r>
        <w:rPr>
          <w:rFonts w:hint="eastAsia" w:ascii="宋体" w:hAnsi="宋体" w:cs="宋体"/>
          <w:color w:val="000000" w:themeColor="text1"/>
          <w:sz w:val="24"/>
        </w:rPr>
        <w:t>格式10</w:t>
      </w:r>
    </w:p>
    <w:p>
      <w:pPr>
        <w:spacing w:line="380" w:lineRule="exact"/>
        <w:jc w:val="center"/>
        <w:rPr>
          <w:rFonts w:ascii="宋体" w:hAnsi="宋体" w:cs="宋体"/>
          <w:color w:val="000000" w:themeColor="text1"/>
          <w:sz w:val="24"/>
        </w:rPr>
      </w:pPr>
      <w:r>
        <w:rPr>
          <w:rFonts w:hint="eastAsia" w:ascii="宋体" w:hAnsi="宋体" w:cs="宋体"/>
          <w:color w:val="000000" w:themeColor="text1"/>
          <w:sz w:val="24"/>
        </w:rPr>
        <w:t>服务承诺</w:t>
      </w:r>
    </w:p>
    <w:p>
      <w:pPr>
        <w:spacing w:line="380" w:lineRule="exact"/>
        <w:jc w:val="center"/>
        <w:rPr>
          <w:rFonts w:ascii="宋体" w:hAnsi="宋体" w:cs="宋体"/>
          <w:color w:val="000000" w:themeColor="text1"/>
          <w:sz w:val="24"/>
        </w:rPr>
      </w:pPr>
    </w:p>
    <w:p>
      <w:pPr>
        <w:spacing w:line="360" w:lineRule="auto"/>
        <w:rPr>
          <w:rFonts w:ascii="宋体" w:hAnsi="宋体" w:cs="宋体"/>
          <w:bCs/>
          <w:color w:val="000000" w:themeColor="text1"/>
          <w:sz w:val="24"/>
        </w:rPr>
      </w:pPr>
      <w:r>
        <w:rPr>
          <w:rFonts w:hint="eastAsia" w:ascii="宋体" w:hAnsi="宋体" w:cs="宋体"/>
          <w:bCs/>
          <w:color w:val="000000" w:themeColor="text1"/>
          <w:sz w:val="24"/>
        </w:rPr>
        <w:t>注：格式自拟</w:t>
      </w:r>
    </w:p>
    <w:p>
      <w:pPr>
        <w:spacing w:line="380" w:lineRule="exact"/>
        <w:ind w:firstLine="360" w:firstLineChars="150"/>
        <w:rPr>
          <w:rFonts w:ascii="宋体" w:hAnsi="宋体" w:cs="宋体"/>
          <w:color w:val="000000" w:themeColor="text1"/>
          <w:sz w:val="24"/>
        </w:rPr>
      </w:pPr>
    </w:p>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pStyle w:val="56"/>
        <w:rPr>
          <w:rFonts w:ascii="宋体" w:hAnsi="宋体" w:cs="宋体"/>
          <w:color w:val="000000" w:themeColor="text1"/>
          <w:sz w:val="24"/>
          <w:szCs w:val="24"/>
        </w:rPr>
      </w:pPr>
    </w:p>
    <w:p>
      <w:pPr>
        <w:spacing w:line="380" w:lineRule="exact"/>
        <w:rPr>
          <w:rFonts w:ascii="宋体" w:hAnsi="宋体" w:cs="宋体"/>
          <w:color w:val="000000" w:themeColor="text1"/>
          <w:sz w:val="24"/>
        </w:rPr>
      </w:pPr>
    </w:p>
    <w:p>
      <w:pPr>
        <w:spacing w:line="380" w:lineRule="exact"/>
        <w:ind w:firstLine="4008" w:firstLineChars="1670"/>
        <w:rPr>
          <w:rFonts w:ascii="宋体" w:hAnsi="宋体" w:cs="宋体"/>
          <w:color w:val="000000" w:themeColor="text1"/>
          <w:sz w:val="24"/>
        </w:rPr>
      </w:pPr>
      <w:r>
        <w:rPr>
          <w:rFonts w:hint="eastAsia" w:ascii="宋体" w:hAnsi="宋体" w:cs="宋体"/>
          <w:color w:val="000000" w:themeColor="text1"/>
          <w:sz w:val="24"/>
        </w:rPr>
        <w:t>供应商电子：</w:t>
      </w:r>
    </w:p>
    <w:p>
      <w:pPr>
        <w:spacing w:line="380" w:lineRule="exact"/>
        <w:ind w:right="640" w:firstLine="1560" w:firstLineChars="650"/>
        <w:rPr>
          <w:rFonts w:ascii="宋体" w:hAnsi="宋体" w:cs="宋体"/>
          <w:color w:val="000000" w:themeColor="text1"/>
          <w:sz w:val="24"/>
        </w:rPr>
      </w:pPr>
    </w:p>
    <w:p>
      <w:pPr>
        <w:spacing w:line="380" w:lineRule="exact"/>
        <w:ind w:right="640" w:firstLine="4680" w:firstLineChars="1950"/>
        <w:rPr>
          <w:rFonts w:ascii="宋体" w:hAnsi="宋体" w:cs="宋体"/>
          <w:color w:val="000000" w:themeColor="text1"/>
          <w:sz w:val="24"/>
        </w:rPr>
      </w:pPr>
    </w:p>
    <w:p>
      <w:pPr>
        <w:spacing w:line="380" w:lineRule="exact"/>
        <w:jc w:val="center"/>
        <w:rPr>
          <w:rFonts w:ascii="宋体" w:hAnsi="宋体" w:cs="宋体"/>
          <w:color w:val="000000" w:themeColor="text1"/>
          <w:sz w:val="24"/>
        </w:rPr>
      </w:pPr>
    </w:p>
    <w:p>
      <w:pPr>
        <w:spacing w:line="380" w:lineRule="exact"/>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      年   月    日</w:t>
      </w:r>
    </w:p>
    <w:p>
      <w:pPr>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br w:type="page"/>
      </w:r>
    </w:p>
    <w:p>
      <w:pPr>
        <w:pStyle w:val="2"/>
        <w:ind w:firstLine="210"/>
        <w:rPr>
          <w:rFonts w:ascii="宋体" w:hAnsi="宋体" w:cs="宋体"/>
          <w:color w:val="000000" w:themeColor="text1"/>
        </w:rPr>
      </w:pPr>
    </w:p>
    <w:p>
      <w:pPr>
        <w:spacing w:line="360" w:lineRule="auto"/>
        <w:rPr>
          <w:rFonts w:ascii="宋体" w:hAnsi="宋体" w:cs="宋体"/>
          <w:color w:val="000000" w:themeColor="text1"/>
          <w:sz w:val="24"/>
        </w:rPr>
      </w:pPr>
      <w:r>
        <w:rPr>
          <w:rFonts w:hint="eastAsia" w:ascii="宋体" w:hAnsi="宋体" w:cs="宋体"/>
          <w:color w:val="000000" w:themeColor="text1"/>
          <w:sz w:val="24"/>
        </w:rPr>
        <w:t>格式11       其他资料</w:t>
      </w:r>
    </w:p>
    <w:p>
      <w:pPr>
        <w:pStyle w:val="2"/>
        <w:ind w:firstLine="240"/>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纳税和社保缴纳凭证、财务审计报告、信用中国、中国政府采购网查询截图等供应商认为需要提供的其他资料。</w:t>
      </w: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spacing w:line="360" w:lineRule="auto"/>
        <w:rPr>
          <w:rFonts w:ascii="宋体" w:hAnsi="宋体" w:cs="宋体"/>
          <w:color w:val="000000" w:themeColor="text1"/>
        </w:rPr>
      </w:pPr>
      <w:r>
        <w:rPr>
          <w:rFonts w:hint="eastAsia" w:ascii="宋体" w:hAnsi="宋体" w:cs="宋体"/>
          <w:color w:val="000000" w:themeColor="text1"/>
          <w:sz w:val="24"/>
        </w:rPr>
        <w:t>格式12</w:t>
      </w:r>
    </w:p>
    <w:p>
      <w:pPr>
        <w:spacing w:line="380" w:lineRule="exact"/>
        <w:jc w:val="center"/>
        <w:rPr>
          <w:rStyle w:val="86"/>
          <w:rFonts w:ascii="宋体" w:hAnsi="宋体" w:cs="宋体"/>
          <w:b/>
          <w:bCs/>
          <w:color w:val="000000" w:themeColor="text1"/>
          <w:sz w:val="28"/>
          <w:szCs w:val="28"/>
        </w:rPr>
      </w:pPr>
      <w:r>
        <w:rPr>
          <w:rStyle w:val="86"/>
          <w:rFonts w:hint="eastAsia" w:ascii="宋体" w:hAnsi="宋体" w:cs="宋体"/>
          <w:b/>
          <w:bCs/>
          <w:color w:val="000000" w:themeColor="text1"/>
          <w:sz w:val="28"/>
          <w:szCs w:val="28"/>
        </w:rPr>
        <w:t>政府采购供应商诚信承诺书</w:t>
      </w:r>
    </w:p>
    <w:p>
      <w:pPr>
        <w:spacing w:line="380" w:lineRule="exact"/>
        <w:jc w:val="center"/>
        <w:rPr>
          <w:rStyle w:val="86"/>
          <w:rFonts w:ascii="宋体" w:hAnsi="宋体" w:cs="宋体"/>
          <w:b/>
          <w:bCs/>
          <w:color w:val="000000" w:themeColor="text1"/>
          <w:sz w:val="24"/>
        </w:rPr>
      </w:pPr>
    </w:p>
    <w:p>
      <w:pPr>
        <w:spacing w:line="380" w:lineRule="exact"/>
        <w:ind w:firstLine="720" w:firstLineChars="300"/>
        <w:rPr>
          <w:rFonts w:ascii="宋体" w:hAnsi="宋体" w:cs="宋体"/>
          <w:color w:val="000000" w:themeColor="text1"/>
          <w:sz w:val="24"/>
        </w:rPr>
      </w:pPr>
      <w:r>
        <w:rPr>
          <w:rFonts w:hint="eastAsia" w:ascii="宋体" w:hAnsi="宋体" w:cs="宋体"/>
          <w:color w:val="000000" w:themeColor="text1"/>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color w:val="000000" w:themeColor="text1"/>
          <w:sz w:val="24"/>
        </w:rPr>
      </w:pPr>
      <w:r>
        <w:rPr>
          <w:rFonts w:hint="eastAsia" w:ascii="宋体" w:hAnsi="宋体" w:cs="宋体"/>
          <w:color w:val="000000" w:themeColor="text1"/>
          <w:sz w:val="24"/>
        </w:rPr>
        <w:t>（一）提供虚假材料谋取中标;</w:t>
      </w:r>
    </w:p>
    <w:p>
      <w:pPr>
        <w:spacing w:line="380" w:lineRule="exact"/>
        <w:rPr>
          <w:rFonts w:ascii="宋体" w:hAnsi="宋体" w:cs="宋体"/>
          <w:color w:val="000000" w:themeColor="text1"/>
          <w:sz w:val="24"/>
        </w:rPr>
      </w:pPr>
      <w:r>
        <w:rPr>
          <w:rFonts w:hint="eastAsia" w:ascii="宋体" w:hAnsi="宋体" w:cs="宋体"/>
          <w:color w:val="000000" w:themeColor="text1"/>
          <w:sz w:val="24"/>
        </w:rPr>
        <w:t>（二）采取不正当手段诋毁、排挤其他供应商;</w:t>
      </w:r>
    </w:p>
    <w:p>
      <w:pPr>
        <w:spacing w:line="380" w:lineRule="exact"/>
        <w:rPr>
          <w:rFonts w:ascii="宋体" w:hAnsi="宋体" w:cs="宋体"/>
          <w:color w:val="000000" w:themeColor="text1"/>
          <w:sz w:val="24"/>
        </w:rPr>
      </w:pPr>
      <w:r>
        <w:rPr>
          <w:rFonts w:hint="eastAsia" w:ascii="宋体" w:hAnsi="宋体" w:cs="宋体"/>
          <w:color w:val="000000" w:themeColor="text1"/>
          <w:sz w:val="24"/>
        </w:rPr>
        <w:t>（三）与招标采购单位、其他投标人恶意串通;</w:t>
      </w:r>
    </w:p>
    <w:p>
      <w:pPr>
        <w:spacing w:line="380" w:lineRule="exact"/>
        <w:rPr>
          <w:rFonts w:ascii="宋体" w:hAnsi="宋体" w:cs="宋体"/>
          <w:color w:val="000000" w:themeColor="text1"/>
          <w:sz w:val="24"/>
        </w:rPr>
      </w:pPr>
      <w:r>
        <w:rPr>
          <w:rFonts w:hint="eastAsia" w:ascii="宋体" w:hAnsi="宋体" w:cs="宋体"/>
          <w:color w:val="000000" w:themeColor="text1"/>
          <w:sz w:val="24"/>
        </w:rPr>
        <w:t>（四）向招标采购单位或提供其他不正当利益;</w:t>
      </w:r>
    </w:p>
    <w:p>
      <w:pPr>
        <w:spacing w:line="380" w:lineRule="exact"/>
        <w:rPr>
          <w:rFonts w:ascii="宋体" w:hAnsi="宋体" w:cs="宋体"/>
          <w:color w:val="000000" w:themeColor="text1"/>
          <w:sz w:val="24"/>
        </w:rPr>
      </w:pPr>
      <w:r>
        <w:rPr>
          <w:rFonts w:hint="eastAsia" w:ascii="宋体" w:hAnsi="宋体" w:cs="宋体"/>
          <w:color w:val="000000" w:themeColor="text1"/>
          <w:sz w:val="24"/>
        </w:rPr>
        <w:t>（五）在招标过程中与招标采购单位进行协商谈判、不按照竞争性磋商文件和响应文件订立合同，或者与采购人另立背离合同实质性内容协议;</w:t>
      </w:r>
    </w:p>
    <w:p>
      <w:pPr>
        <w:spacing w:line="380" w:lineRule="exact"/>
        <w:rPr>
          <w:rFonts w:ascii="宋体" w:hAnsi="宋体" w:cs="宋体"/>
          <w:color w:val="000000" w:themeColor="text1"/>
          <w:sz w:val="24"/>
        </w:rPr>
      </w:pPr>
      <w:r>
        <w:rPr>
          <w:rFonts w:hint="eastAsia" w:ascii="宋体" w:hAnsi="宋体" w:cs="宋体"/>
          <w:color w:val="000000" w:themeColor="text1"/>
          <w:sz w:val="24"/>
        </w:rPr>
        <w:t>（六）开标后擅自撤销投标，影响招标继续进行的或领取竞争性磋商文件纳投标保证金后不投标导致废标;</w:t>
      </w:r>
    </w:p>
    <w:p>
      <w:pPr>
        <w:spacing w:line="380" w:lineRule="exact"/>
        <w:rPr>
          <w:rFonts w:ascii="宋体" w:hAnsi="宋体" w:cs="宋体"/>
          <w:color w:val="000000" w:themeColor="text1"/>
          <w:sz w:val="24"/>
        </w:rPr>
      </w:pPr>
      <w:r>
        <w:rPr>
          <w:rFonts w:hint="eastAsia" w:ascii="宋体" w:hAnsi="宋体" w:cs="宋体"/>
          <w:color w:val="000000" w:themeColor="text1"/>
          <w:sz w:val="24"/>
        </w:rPr>
        <w:t>（七）中标后无正当理由，在规定时间内不与采购单位签订合同;</w:t>
      </w:r>
    </w:p>
    <w:p>
      <w:pPr>
        <w:spacing w:line="380" w:lineRule="exact"/>
        <w:rPr>
          <w:rFonts w:ascii="宋体" w:hAnsi="宋体" w:cs="宋体"/>
          <w:color w:val="000000" w:themeColor="text1"/>
          <w:sz w:val="24"/>
        </w:rPr>
      </w:pPr>
      <w:r>
        <w:rPr>
          <w:rFonts w:hint="eastAsia" w:ascii="宋体" w:hAnsi="宋体" w:cs="宋体"/>
          <w:color w:val="000000" w:themeColor="text1"/>
          <w:sz w:val="24"/>
        </w:rPr>
        <w:t>（八）将中标项目转让给他人或非法分包他人;</w:t>
      </w:r>
    </w:p>
    <w:p>
      <w:pPr>
        <w:spacing w:line="380" w:lineRule="exact"/>
        <w:rPr>
          <w:rFonts w:ascii="宋体" w:hAnsi="宋体" w:cs="宋体"/>
          <w:color w:val="000000" w:themeColor="text1"/>
          <w:sz w:val="24"/>
        </w:rPr>
      </w:pPr>
      <w:r>
        <w:rPr>
          <w:rFonts w:hint="eastAsia" w:ascii="宋体" w:hAnsi="宋体" w:cs="宋体"/>
          <w:color w:val="000000" w:themeColor="text1"/>
          <w:sz w:val="24"/>
        </w:rPr>
        <w:t>（九）无正当理由，拒绝履行合同义务;</w:t>
      </w:r>
    </w:p>
    <w:p>
      <w:pPr>
        <w:spacing w:line="380" w:lineRule="exact"/>
        <w:rPr>
          <w:rFonts w:ascii="宋体" w:hAnsi="宋体" w:cs="宋体"/>
          <w:color w:val="000000" w:themeColor="text1"/>
          <w:sz w:val="24"/>
        </w:rPr>
      </w:pPr>
      <w:r>
        <w:rPr>
          <w:rFonts w:hint="eastAsia" w:ascii="宋体" w:hAnsi="宋体" w:cs="宋体"/>
          <w:color w:val="000000" w:themeColor="text1"/>
          <w:sz w:val="24"/>
        </w:rPr>
        <w:t>（十）无正当理由放弃中标（成交）项目;</w:t>
      </w:r>
    </w:p>
    <w:p>
      <w:pPr>
        <w:spacing w:line="380" w:lineRule="exact"/>
        <w:rPr>
          <w:rFonts w:ascii="宋体" w:hAnsi="宋体" w:cs="宋体"/>
          <w:color w:val="000000" w:themeColor="text1"/>
          <w:sz w:val="24"/>
        </w:rPr>
      </w:pPr>
      <w:r>
        <w:rPr>
          <w:rFonts w:hint="eastAsia" w:ascii="宋体" w:hAnsi="宋体" w:cs="宋体"/>
          <w:color w:val="000000" w:themeColor="text1"/>
          <w:sz w:val="24"/>
        </w:rPr>
        <w:t>（十ー）撞自或与与采购人串通或接受采购人要求，在履约合同中通过减少货物数量，更换品牌、降低配置、技术要求、质量和服务标准等，却仍按原合同进行虚假验收或终止政府采购合同;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color w:val="000000" w:themeColor="text1"/>
          <w:sz w:val="24"/>
        </w:rPr>
      </w:pPr>
      <w:r>
        <w:rPr>
          <w:rFonts w:hint="eastAsia" w:ascii="宋体" w:hAnsi="宋体" w:cs="宋体"/>
          <w:color w:val="000000" w:themeColor="text1"/>
          <w:sz w:val="24"/>
        </w:rPr>
        <w:t>（十二）与采购人串通，对尚未履约完毕的采购项目出具虚假验收报告；</w:t>
      </w:r>
    </w:p>
    <w:p>
      <w:pPr>
        <w:spacing w:line="380" w:lineRule="exact"/>
        <w:rPr>
          <w:rFonts w:ascii="宋体" w:hAnsi="宋体" w:cs="宋体"/>
          <w:color w:val="000000" w:themeColor="text1"/>
          <w:sz w:val="24"/>
        </w:rPr>
      </w:pPr>
      <w:r>
        <w:rPr>
          <w:rFonts w:hint="eastAsia" w:ascii="宋体" w:hAnsi="宋体" w:cs="宋体"/>
          <w:color w:val="000000" w:themeColor="text1"/>
          <w:sz w:val="24"/>
        </w:rPr>
        <w:t>（十三）无不可抗力因素，拒绝提供售后服务、售后服务态度恶劣、故意提高维修配件价格（高于市场平均价）；</w:t>
      </w:r>
    </w:p>
    <w:p>
      <w:pPr>
        <w:spacing w:line="380" w:lineRule="exact"/>
        <w:rPr>
          <w:rFonts w:ascii="宋体" w:hAnsi="宋体" w:cs="宋体"/>
          <w:color w:val="000000" w:themeColor="text1"/>
          <w:sz w:val="24"/>
        </w:rPr>
      </w:pPr>
      <w:r>
        <w:rPr>
          <w:rFonts w:hint="eastAsia" w:ascii="宋体" w:hAnsi="宋体" w:cs="宋体"/>
          <w:color w:val="000000" w:themeColor="text1"/>
          <w:sz w:val="24"/>
        </w:rPr>
        <w:t>（十四）开标后对竞争性磋商文件的相关内容再进行质疑；</w:t>
      </w:r>
    </w:p>
    <w:p>
      <w:pPr>
        <w:spacing w:line="380" w:lineRule="exact"/>
        <w:rPr>
          <w:rFonts w:ascii="宋体" w:hAnsi="宋体" w:cs="宋体"/>
          <w:color w:val="000000" w:themeColor="text1"/>
          <w:sz w:val="24"/>
        </w:rPr>
      </w:pPr>
      <w:r>
        <w:rPr>
          <w:rFonts w:hint="eastAsia" w:ascii="宋体" w:hAnsi="宋体" w:cs="宋体"/>
          <w:color w:val="000000" w:themeColor="text1"/>
          <w:sz w:val="24"/>
        </w:rPr>
        <w:t>（十五）恶意投诉的行为：投诉经查无实据的、捏造事实或者提供虚假设诉材料；</w:t>
      </w:r>
    </w:p>
    <w:p>
      <w:pPr>
        <w:spacing w:line="380" w:lineRule="exact"/>
        <w:rPr>
          <w:rFonts w:ascii="宋体" w:hAnsi="宋体" w:cs="宋体"/>
          <w:color w:val="000000" w:themeColor="text1"/>
          <w:sz w:val="24"/>
        </w:rPr>
      </w:pPr>
      <w:r>
        <w:rPr>
          <w:rFonts w:hint="eastAsia" w:ascii="宋体" w:hAnsi="宋体" w:cs="宋体"/>
          <w:color w:val="000000" w:themeColor="text1"/>
          <w:sz w:val="24"/>
        </w:rPr>
        <w:t>（十六）拒绝有关部门监督检查或者提供虚假情况；</w:t>
      </w:r>
    </w:p>
    <w:p>
      <w:pPr>
        <w:spacing w:line="380" w:lineRule="exact"/>
        <w:rPr>
          <w:rFonts w:ascii="宋体" w:hAnsi="宋体" w:cs="宋体"/>
          <w:color w:val="000000" w:themeColor="text1"/>
          <w:sz w:val="24"/>
        </w:rPr>
      </w:pPr>
      <w:r>
        <w:rPr>
          <w:rFonts w:hint="eastAsia" w:ascii="宋体" w:hAnsi="宋体" w:cs="宋体"/>
          <w:color w:val="000000" w:themeColor="text1"/>
          <w:sz w:val="24"/>
        </w:rPr>
        <w:t>（十七）政府采购监管部门认定的其他政府采购活动中的不诚信行为。</w:t>
      </w:r>
    </w:p>
    <w:p>
      <w:pPr>
        <w:spacing w:line="380" w:lineRule="exact"/>
        <w:ind w:firstLine="3360" w:firstLineChars="1400"/>
        <w:rPr>
          <w:rFonts w:ascii="宋体" w:hAnsi="宋体" w:cs="宋体"/>
          <w:color w:val="000000" w:themeColor="text1"/>
          <w:sz w:val="24"/>
        </w:rPr>
      </w:pPr>
    </w:p>
    <w:p>
      <w:pPr>
        <w:spacing w:line="380" w:lineRule="exact"/>
        <w:ind w:firstLine="3360" w:firstLineChars="1400"/>
        <w:rPr>
          <w:rFonts w:ascii="宋体" w:hAnsi="宋体" w:cs="宋体"/>
          <w:color w:val="000000" w:themeColor="text1"/>
          <w:sz w:val="24"/>
        </w:rPr>
      </w:pPr>
      <w:r>
        <w:rPr>
          <w:rFonts w:hint="eastAsia" w:ascii="宋体" w:hAnsi="宋体" w:cs="宋体"/>
          <w:color w:val="000000" w:themeColor="text1"/>
          <w:sz w:val="24"/>
        </w:rPr>
        <w:t>供应商名称：（盖章）</w:t>
      </w:r>
    </w:p>
    <w:p>
      <w:pPr>
        <w:spacing w:line="380" w:lineRule="exact"/>
        <w:ind w:firstLine="3360" w:firstLineChars="1400"/>
        <w:rPr>
          <w:rFonts w:ascii="宋体" w:hAnsi="宋体" w:cs="宋体"/>
          <w:color w:val="000000" w:themeColor="text1"/>
          <w:sz w:val="24"/>
        </w:rPr>
      </w:pPr>
      <w:r>
        <w:rPr>
          <w:rFonts w:hint="eastAsia" w:ascii="宋体" w:hAnsi="宋体" w:cs="宋体"/>
          <w:color w:val="000000" w:themeColor="text1"/>
          <w:sz w:val="24"/>
        </w:rPr>
        <w:t>法人代表或授权委托人：（签字）</w:t>
      </w:r>
    </w:p>
    <w:p>
      <w:pPr>
        <w:spacing w:line="380" w:lineRule="exact"/>
        <w:ind w:firstLine="3360" w:firstLineChars="1400"/>
        <w:rPr>
          <w:rFonts w:ascii="宋体" w:hAnsi="宋体" w:cs="宋体"/>
          <w:color w:val="000000" w:themeColor="text1"/>
          <w:sz w:val="24"/>
        </w:rPr>
      </w:pPr>
    </w:p>
    <w:p>
      <w:pPr>
        <w:spacing w:line="380" w:lineRule="exact"/>
        <w:ind w:firstLine="3360" w:firstLineChars="1400"/>
        <w:rPr>
          <w:rFonts w:ascii="宋体" w:hAnsi="宋体" w:cs="宋体"/>
          <w:b/>
          <w:color w:val="000000" w:themeColor="text1"/>
          <w:sz w:val="24"/>
        </w:rPr>
      </w:pPr>
      <w:r>
        <w:rPr>
          <w:rFonts w:hint="eastAsia" w:ascii="宋体" w:hAnsi="宋体" w:cs="宋体"/>
          <w:color w:val="000000" w:themeColor="text1"/>
          <w:sz w:val="24"/>
        </w:rPr>
        <w:t>日期：年月日</w:t>
      </w:r>
    </w:p>
    <w:p>
      <w:pPr>
        <w:spacing w:line="360" w:lineRule="auto"/>
        <w:jc w:val="center"/>
        <w:rPr>
          <w:rFonts w:ascii="宋体" w:hAnsi="宋体" w:cs="宋体"/>
          <w:b/>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4"/>
        <w:jc w:val="center"/>
        <w:rPr>
          <w:rFonts w:ascii="宋体" w:hAnsi="宋体" w:cs="宋体"/>
          <w:b w:val="0"/>
          <w:color w:val="000000" w:themeColor="text1"/>
          <w:sz w:val="28"/>
        </w:rPr>
      </w:pPr>
      <w:bookmarkStart w:id="49" w:name="_Toc98348555"/>
      <w:r>
        <w:rPr>
          <w:rFonts w:hint="eastAsia" w:ascii="宋体" w:hAnsi="宋体" w:cs="宋体"/>
          <w:color w:val="000000" w:themeColor="text1"/>
          <w:sz w:val="28"/>
        </w:rPr>
        <w:t>第五章  周口市政府采购合同（工程类）标准文本</w:t>
      </w:r>
      <w:bookmarkEnd w:id="49"/>
    </w:p>
    <w:p>
      <w:pPr>
        <w:pStyle w:val="2"/>
        <w:ind w:firstLine="241"/>
        <w:jc w:val="center"/>
        <w:rPr>
          <w:rFonts w:ascii="宋体" w:hAnsi="宋体" w:cs="宋体"/>
          <w:b/>
          <w:color w:val="000000" w:themeColor="text1"/>
          <w:sz w:val="24"/>
        </w:rPr>
      </w:pPr>
      <w:r>
        <w:rPr>
          <w:rFonts w:hint="eastAsia" w:ascii="宋体" w:hAnsi="宋体" w:cs="宋体"/>
          <w:b/>
          <w:color w:val="000000" w:themeColor="text1"/>
          <w:sz w:val="24"/>
        </w:rPr>
        <w:t>（本合同版本仅供参考，最终以采购人确定的版本为准。）</w:t>
      </w:r>
    </w:p>
    <w:p>
      <w:pPr>
        <w:pStyle w:val="152"/>
        <w:spacing w:beforeLines="0" w:afterLines="0"/>
        <w:ind w:left="0" w:firstLine="640" w:firstLineChars="200"/>
        <w:rPr>
          <w:rFonts w:ascii="宋体" w:hAnsi="宋体" w:cs="宋体"/>
          <w:color w:val="000000" w:themeColor="text1"/>
          <w:sz w:val="32"/>
          <w:szCs w:val="32"/>
        </w:rPr>
      </w:pPr>
    </w:p>
    <w:p>
      <w:pPr>
        <w:pStyle w:val="152"/>
        <w:spacing w:beforeLines="0" w:afterLines="0"/>
        <w:ind w:left="0" w:firstLine="640" w:firstLineChars="200"/>
        <w:rPr>
          <w:rFonts w:ascii="宋体" w:hAnsi="宋体" w:cs="宋体"/>
          <w:color w:val="000000" w:themeColor="text1"/>
          <w:sz w:val="32"/>
          <w:szCs w:val="32"/>
        </w:rPr>
      </w:pPr>
    </w:p>
    <w:p>
      <w:pPr>
        <w:pStyle w:val="152"/>
        <w:spacing w:beforeLines="0" w:afterLines="0"/>
        <w:ind w:left="0" w:firstLine="640" w:firstLineChars="200"/>
        <w:rPr>
          <w:rFonts w:ascii="宋体" w:hAnsi="宋体" w:cs="宋体"/>
          <w:color w:val="000000" w:themeColor="text1"/>
          <w:sz w:val="32"/>
          <w:szCs w:val="32"/>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政府采购项目名称：</w:t>
      </w: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政府采购项目编号：</w:t>
      </w: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采      购    人：</w:t>
      </w: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供      应    商：</w:t>
      </w: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合  同  签 订 地：</w:t>
      </w:r>
    </w:p>
    <w:p>
      <w:pPr>
        <w:pStyle w:val="15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合 同 签订 时 间：</w:t>
      </w: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ind w:left="0" w:firstLine="600" w:firstLineChars="200"/>
        <w:rPr>
          <w:rFonts w:ascii="宋体" w:hAnsi="宋体" w:cs="宋体"/>
          <w:color w:val="000000" w:themeColor="text1"/>
          <w:sz w:val="30"/>
          <w:szCs w:val="30"/>
        </w:rPr>
      </w:pPr>
    </w:p>
    <w:p>
      <w:pPr>
        <w:pStyle w:val="152"/>
        <w:spacing w:beforeLines="0" w:afterLines="0" w:line="440" w:lineRule="exact"/>
        <w:ind w:left="0"/>
        <w:jc w:val="center"/>
        <w:rPr>
          <w:rFonts w:ascii="宋体" w:hAnsi="宋体" w:cs="宋体"/>
          <w:color w:val="000000" w:themeColor="text1"/>
          <w:sz w:val="32"/>
          <w:szCs w:val="32"/>
        </w:rPr>
      </w:pPr>
      <w:r>
        <w:rPr>
          <w:rFonts w:hint="eastAsia" w:ascii="宋体" w:hAnsi="宋体" w:cs="宋体"/>
          <w:color w:val="000000" w:themeColor="text1"/>
          <w:sz w:val="32"/>
          <w:szCs w:val="32"/>
        </w:rPr>
        <w:t>合同签订指引</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一、采购人在签订合同时应提供的资料：</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1、该政府采购项目的招标采购文件（以网上发布内容为准）；</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2、该政府采购项目竞争性磋商文件的澄清和修改内容（公告内容）；</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3、该政府采购项目评审报告；</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4、采购单位法人授权委托书（法人到场并签字的除外）；</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5、采购单位被授权人身份证件（法人到场并签字的除外）；</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6、采购人和中标供应商（或服务商，下同）约定的其它内容（不得超出招标采购文件实质性内容）。</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二、供应商在签订合同时应提供的资料：</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1、该政府采购项目的响应文件（纸质或DPF格式的电子响应文件）；</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2、针对该项目评审时评审委员会提出的质询答复（纸质并）；</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3、该政府采购项目中标通知书；</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4、供应商法人授权委托书（法人到场并签字的除外）；</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5、供应商被授权人身份证件（法人到场并签字的除外）；</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6、供应商和采购人约定的其它内容（不得超出招标采购文件实质性内容）。</w:t>
      </w:r>
    </w:p>
    <w:p>
      <w:pPr>
        <w:pStyle w:val="152"/>
        <w:spacing w:beforeLines="0" w:afterLines="0" w:line="440" w:lineRule="exact"/>
        <w:ind w:left="0" w:firstLine="420" w:firstLineChars="200"/>
        <w:rPr>
          <w:rFonts w:ascii="宋体" w:hAnsi="宋体" w:cs="宋体"/>
          <w:color w:val="000000" w:themeColor="text1"/>
          <w:sz w:val="30"/>
          <w:szCs w:val="30"/>
        </w:rPr>
      </w:pPr>
      <w:r>
        <w:rPr>
          <w:rFonts w:hint="eastAsia" w:ascii="宋体" w:hAnsi="宋体" w:cs="宋体"/>
          <w:color w:val="000000" w:themeColor="text1"/>
          <w:szCs w:val="21"/>
        </w:rPr>
        <w:t>三、本合同签订后二个工作日内有采购人在“周口市政府采购网”上进行合同公示。</w:t>
      </w:r>
    </w:p>
    <w:p>
      <w:pPr>
        <w:pStyle w:val="152"/>
        <w:spacing w:beforeLines="0" w:afterLines="0" w:line="440" w:lineRule="exact"/>
        <w:ind w:left="0"/>
        <w:jc w:val="center"/>
        <w:rPr>
          <w:rFonts w:ascii="宋体" w:hAnsi="宋体" w:cs="宋体"/>
          <w:color w:val="000000" w:themeColor="text1"/>
          <w:sz w:val="32"/>
          <w:szCs w:val="32"/>
        </w:rPr>
      </w:pPr>
      <w:r>
        <w:rPr>
          <w:rFonts w:hint="eastAsia" w:ascii="宋体" w:hAnsi="宋体" w:cs="宋体"/>
          <w:color w:val="000000" w:themeColor="text1"/>
          <w:sz w:val="32"/>
          <w:szCs w:val="32"/>
        </w:rPr>
        <w:t>供应商履约验收指引</w:t>
      </w:r>
    </w:p>
    <w:p>
      <w:pPr>
        <w:pStyle w:val="152"/>
        <w:spacing w:beforeLines="0" w:afterLines="0" w:line="440" w:lineRule="exact"/>
        <w:ind w:left="0" w:firstLine="420" w:firstLineChars="200"/>
        <w:rPr>
          <w:rFonts w:ascii="宋体" w:hAnsi="宋体" w:cs="宋体"/>
          <w:color w:val="000000" w:themeColor="text1"/>
          <w:szCs w:val="27"/>
        </w:rPr>
      </w:pPr>
      <w:r>
        <w:rPr>
          <w:rFonts w:hint="eastAsia" w:ascii="宋体" w:hAnsi="宋体" w:cs="宋体"/>
          <w:color w:val="000000" w:themeColor="text1"/>
          <w:szCs w:val="21"/>
        </w:rPr>
        <w:t>1、供应商不得擅自变更合同标的服务内容；</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2、不得以次充优，随意降低服务标准和水平；</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 对因客观上采购人采购需求发生变化造成的，应提供采、供双方的纸质备忘录材料；</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4、在满足验收条件5个工作日内通知采购人组织验收；</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5、供应商应提供需验收服务的清单、标准、达到的水平等量化资料；</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6、采、供双方约定的验收机构及相关人员组成情况。</w:t>
      </w:r>
    </w:p>
    <w:p>
      <w:pPr>
        <w:pStyle w:val="15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7、督促采购人在项目验收结束并达到相关要求后一个工作日内，在“周口市政府采购网”上进行“履约验收”公示。</w:t>
      </w:r>
    </w:p>
    <w:p>
      <w:pPr>
        <w:pStyle w:val="152"/>
        <w:spacing w:beforeLines="0" w:afterLines="0" w:line="440" w:lineRule="exact"/>
        <w:ind w:left="0" w:firstLine="420" w:firstLineChars="200"/>
        <w:rPr>
          <w:rFonts w:ascii="宋体" w:hAnsi="宋体" w:cs="宋体"/>
          <w:color w:val="000000" w:themeColor="text1"/>
          <w:szCs w:val="21"/>
        </w:rPr>
      </w:pPr>
    </w:p>
    <w:p>
      <w:pPr>
        <w:pStyle w:val="152"/>
        <w:spacing w:beforeLines="0" w:afterLines="0" w:line="440" w:lineRule="exact"/>
        <w:ind w:left="0" w:firstLine="420" w:firstLineChars="200"/>
        <w:rPr>
          <w:rFonts w:ascii="宋体" w:hAnsi="宋体" w:cs="宋体"/>
          <w:color w:val="000000" w:themeColor="text1"/>
          <w:szCs w:val="21"/>
        </w:rPr>
      </w:pPr>
    </w:p>
    <w:p>
      <w:pPr>
        <w:pStyle w:val="152"/>
        <w:spacing w:beforeLines="0" w:afterLines="0" w:line="440" w:lineRule="exact"/>
        <w:ind w:left="0" w:firstLine="420" w:firstLineChars="200"/>
        <w:rPr>
          <w:rFonts w:ascii="宋体" w:hAnsi="宋体" w:cs="宋体"/>
          <w:color w:val="000000" w:themeColor="text1"/>
          <w:szCs w:val="21"/>
        </w:rPr>
      </w:pPr>
    </w:p>
    <w:p>
      <w:pPr>
        <w:pStyle w:val="152"/>
        <w:spacing w:beforeLines="0" w:afterLines="0" w:line="440" w:lineRule="exact"/>
        <w:ind w:left="0" w:firstLine="420" w:firstLineChars="200"/>
        <w:rPr>
          <w:rFonts w:ascii="宋体" w:hAnsi="宋体" w:cs="宋体"/>
          <w:color w:val="000000" w:themeColor="text1"/>
          <w:szCs w:val="21"/>
        </w:rPr>
      </w:pPr>
    </w:p>
    <w:p>
      <w:pPr>
        <w:pStyle w:val="152"/>
        <w:spacing w:beforeLines="0" w:afterLines="0" w:line="60" w:lineRule="auto"/>
        <w:ind w:left="0" w:firstLine="420" w:firstLineChars="200"/>
        <w:rPr>
          <w:rFonts w:ascii="宋体" w:hAnsi="宋体" w:cs="宋体"/>
          <w:color w:val="000000" w:themeColor="text1"/>
          <w:szCs w:val="21"/>
        </w:rPr>
      </w:pPr>
    </w:p>
    <w:p>
      <w:pPr>
        <w:jc w:val="center"/>
        <w:rPr>
          <w:rFonts w:ascii="宋体" w:hAnsi="宋体" w:cs="宋体"/>
          <w:color w:val="000000" w:themeColor="text1"/>
          <w:sz w:val="36"/>
          <w:szCs w:val="36"/>
        </w:rPr>
      </w:pPr>
      <w:bookmarkStart w:id="50" w:name="_Toc48834555"/>
      <w:r>
        <w:rPr>
          <w:rFonts w:hint="eastAsia" w:ascii="宋体" w:hAnsi="宋体" w:cs="宋体"/>
          <w:color w:val="000000" w:themeColor="text1"/>
          <w:sz w:val="36"/>
          <w:szCs w:val="36"/>
        </w:rPr>
        <w:t>合同</w:t>
      </w:r>
      <w:bookmarkEnd w:id="50"/>
      <w:r>
        <w:rPr>
          <w:rFonts w:hint="eastAsia" w:ascii="宋体" w:hAnsi="宋体" w:cs="宋体"/>
          <w:color w:val="000000" w:themeColor="text1"/>
          <w:sz w:val="36"/>
          <w:szCs w:val="36"/>
        </w:rPr>
        <w:t>内容</w:t>
      </w:r>
    </w:p>
    <w:p>
      <w:pPr>
        <w:ind w:firstLine="420" w:firstLineChars="200"/>
        <w:rPr>
          <w:rFonts w:ascii="宋体" w:hAnsi="宋体" w:cs="宋体"/>
          <w:color w:val="000000" w:themeColor="text1"/>
        </w:rPr>
      </w:pPr>
    </w:p>
    <w:p>
      <w:pPr>
        <w:spacing w:line="460" w:lineRule="exact"/>
        <w:jc w:val="center"/>
        <w:rPr>
          <w:rFonts w:ascii="宋体" w:hAnsi="宋体" w:cs="宋体"/>
          <w:color w:val="000000" w:themeColor="text1"/>
          <w:sz w:val="32"/>
          <w:szCs w:val="32"/>
        </w:rPr>
      </w:pPr>
      <w:bookmarkStart w:id="51" w:name="_Toc427566452"/>
      <w:bookmarkStart w:id="52" w:name="_Toc351203494"/>
      <w:bookmarkStart w:id="53" w:name="_Toc428024701"/>
      <w:r>
        <w:rPr>
          <w:rFonts w:hint="eastAsia" w:ascii="宋体" w:hAnsi="宋体" w:cs="宋体"/>
          <w:color w:val="000000" w:themeColor="text1"/>
          <w:sz w:val="32"/>
          <w:szCs w:val="32"/>
        </w:rPr>
        <w:t>第一部分协议书</w:t>
      </w:r>
    </w:p>
    <w:p>
      <w:pPr>
        <w:spacing w:line="460" w:lineRule="exact"/>
        <w:ind w:firstLine="803" w:firstLineChars="200"/>
        <w:rPr>
          <w:rFonts w:ascii="宋体" w:hAnsi="宋体" w:cs="宋体"/>
          <w:b/>
          <w:color w:val="000000" w:themeColor="text1"/>
          <w:sz w:val="40"/>
          <w:szCs w:val="32"/>
        </w:rPr>
      </w:pP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发包人（全称）：</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承包人（全称）：</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22" w:firstLineChars="200"/>
        <w:rPr>
          <w:rFonts w:ascii="宋体" w:hAnsi="宋体" w:cs="宋体"/>
          <w:b/>
          <w:color w:val="000000" w:themeColor="text1"/>
        </w:rPr>
      </w:pPr>
      <w:r>
        <w:rPr>
          <w:rFonts w:hint="eastAsia" w:ascii="宋体" w:hAnsi="宋体" w:cs="宋体"/>
          <w:b/>
          <w:color w:val="000000" w:themeColor="text1"/>
        </w:rPr>
        <w:t>一、工程概况</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工程名称：</w:t>
      </w:r>
    </w:p>
    <w:p>
      <w:pPr>
        <w:ind w:firstLine="420" w:firstLineChars="200"/>
        <w:rPr>
          <w:rFonts w:ascii="宋体" w:hAnsi="宋体" w:cs="宋体"/>
          <w:color w:val="000000" w:themeColor="text1"/>
        </w:rPr>
      </w:pPr>
      <w:r>
        <w:rPr>
          <w:rFonts w:hint="eastAsia" w:ascii="宋体" w:hAnsi="宋体" w:cs="宋体"/>
          <w:color w:val="000000" w:themeColor="text1"/>
        </w:rPr>
        <w:t>工程地点：</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工程内容：</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工程立项批准文号：</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资金来源：</w:t>
      </w:r>
    </w:p>
    <w:p>
      <w:pPr>
        <w:ind w:firstLine="422" w:firstLineChars="200"/>
        <w:rPr>
          <w:rFonts w:ascii="宋体" w:hAnsi="宋体" w:cs="宋体"/>
          <w:b/>
          <w:color w:val="000000" w:themeColor="text1"/>
        </w:rPr>
      </w:pPr>
      <w:r>
        <w:rPr>
          <w:rFonts w:hint="eastAsia" w:ascii="宋体" w:hAnsi="宋体" w:cs="宋体"/>
          <w:b/>
          <w:color w:val="000000" w:themeColor="text1"/>
        </w:rPr>
        <w:t>二、工程承包范围</w:t>
      </w:r>
    </w:p>
    <w:p>
      <w:pPr>
        <w:spacing w:line="460" w:lineRule="exact"/>
        <w:ind w:firstLine="420" w:firstLineChars="200"/>
        <w:rPr>
          <w:rFonts w:ascii="宋体" w:hAnsi="宋体" w:cs="宋体"/>
          <w:color w:val="000000" w:themeColor="text1"/>
          <w:u w:val="single"/>
        </w:rPr>
      </w:pPr>
      <w:r>
        <w:rPr>
          <w:rFonts w:hint="eastAsia" w:ascii="宋体" w:hAnsi="宋体" w:cs="宋体"/>
          <w:color w:val="000000" w:themeColor="text1"/>
        </w:rPr>
        <w:t>承包范围：</w:t>
      </w:r>
      <w:r>
        <w:rPr>
          <w:rFonts w:hint="eastAsia" w:ascii="宋体" w:hAnsi="宋体" w:cs="宋体"/>
          <w:color w:val="000000" w:themeColor="text1"/>
          <w:u w:val="single"/>
        </w:rPr>
        <w:t>工程量清单中包含的所有内容</w:t>
      </w:r>
    </w:p>
    <w:p>
      <w:pPr>
        <w:ind w:firstLine="422" w:firstLineChars="200"/>
        <w:rPr>
          <w:rFonts w:ascii="宋体" w:hAnsi="宋体" w:cs="宋体"/>
          <w:b/>
          <w:color w:val="000000" w:themeColor="text1"/>
        </w:rPr>
      </w:pPr>
      <w:r>
        <w:rPr>
          <w:rFonts w:hint="eastAsia" w:ascii="宋体" w:hAnsi="宋体" w:cs="宋体"/>
          <w:b/>
          <w:color w:val="000000" w:themeColor="text1"/>
        </w:rPr>
        <w:t>三、合同工期</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开工日期：年月日</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竣工日期：年月日</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合同工期总日历天数：</w:t>
      </w:r>
      <w:r>
        <w:rPr>
          <w:rFonts w:hint="eastAsia" w:ascii="宋体" w:hAnsi="宋体" w:cs="宋体"/>
          <w:color w:val="000000" w:themeColor="text1"/>
          <w:u w:val="single"/>
        </w:rPr>
        <w:t>日历</w:t>
      </w:r>
      <w:r>
        <w:rPr>
          <w:rFonts w:hint="eastAsia" w:ascii="宋体" w:hAnsi="宋体" w:cs="宋体"/>
          <w:color w:val="000000" w:themeColor="text1"/>
        </w:rPr>
        <w:t>天（有效工期）</w:t>
      </w:r>
    </w:p>
    <w:p>
      <w:pPr>
        <w:ind w:firstLine="422" w:firstLineChars="200"/>
        <w:rPr>
          <w:rFonts w:ascii="宋体" w:hAnsi="宋体" w:cs="宋体"/>
          <w:b/>
          <w:color w:val="000000" w:themeColor="text1"/>
        </w:rPr>
      </w:pPr>
      <w:r>
        <w:rPr>
          <w:rFonts w:hint="eastAsia" w:ascii="宋体" w:hAnsi="宋体" w:cs="宋体"/>
          <w:b/>
          <w:color w:val="000000" w:themeColor="text1"/>
        </w:rPr>
        <w:t>四、质量标准</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工程质量标准：</w:t>
      </w:r>
      <w:r>
        <w:rPr>
          <w:rFonts w:hint="eastAsia" w:ascii="宋体" w:hAnsi="宋体" w:cs="宋体"/>
          <w:color w:val="000000" w:themeColor="text1"/>
          <w:u w:val="single"/>
        </w:rPr>
        <w:t>合格</w:t>
      </w:r>
    </w:p>
    <w:p>
      <w:pPr>
        <w:ind w:firstLine="422" w:firstLineChars="200"/>
        <w:rPr>
          <w:rFonts w:ascii="宋体" w:hAnsi="宋体" w:cs="宋体"/>
          <w:b/>
          <w:color w:val="000000" w:themeColor="text1"/>
        </w:rPr>
      </w:pPr>
      <w:r>
        <w:rPr>
          <w:rFonts w:hint="eastAsia" w:ascii="宋体" w:hAnsi="宋体" w:cs="宋体"/>
          <w:b/>
          <w:color w:val="000000" w:themeColor="text1"/>
        </w:rPr>
        <w:t>五、合同价款</w:t>
      </w:r>
    </w:p>
    <w:p>
      <w:pPr>
        <w:spacing w:line="460" w:lineRule="exact"/>
        <w:ind w:firstLine="420" w:firstLineChars="200"/>
        <w:rPr>
          <w:rFonts w:ascii="宋体" w:hAnsi="宋体" w:cs="宋体"/>
          <w:color w:val="000000" w:themeColor="text1"/>
          <w:u w:val="single"/>
        </w:rPr>
      </w:pPr>
      <w:r>
        <w:rPr>
          <w:rFonts w:hint="eastAsia" w:ascii="宋体" w:hAnsi="宋体" w:cs="宋体"/>
          <w:color w:val="000000" w:themeColor="text1"/>
        </w:rPr>
        <w:t xml:space="preserve">金额（大写）：(人民币)  </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 xml:space="preserve"> ￥：元(人民币)  </w:t>
      </w:r>
    </w:p>
    <w:p>
      <w:pPr>
        <w:ind w:firstLine="422" w:firstLineChars="200"/>
        <w:rPr>
          <w:rFonts w:ascii="宋体" w:hAnsi="宋体" w:cs="宋体"/>
          <w:b/>
          <w:color w:val="000000" w:themeColor="text1"/>
        </w:rPr>
      </w:pPr>
      <w:r>
        <w:rPr>
          <w:rFonts w:hint="eastAsia" w:ascii="宋体" w:hAnsi="宋体" w:cs="宋体"/>
          <w:b/>
          <w:color w:val="000000" w:themeColor="text1"/>
        </w:rPr>
        <w:t>六、组成合同的文件</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组成本合同的文件包括：</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1.本合同协议书</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2.中标通知书</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3.投标书及其附件</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4.本合同专用条款</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5.本合同通用条款</w:t>
      </w:r>
    </w:p>
    <w:p>
      <w:pPr>
        <w:tabs>
          <w:tab w:val="left" w:pos="6345"/>
        </w:tabs>
        <w:spacing w:line="460" w:lineRule="exact"/>
        <w:ind w:firstLine="420" w:firstLineChars="200"/>
        <w:rPr>
          <w:rFonts w:ascii="宋体" w:hAnsi="宋体" w:cs="宋体"/>
          <w:color w:val="000000" w:themeColor="text1"/>
        </w:rPr>
      </w:pPr>
      <w:r>
        <w:rPr>
          <w:rFonts w:hint="eastAsia" w:ascii="宋体" w:hAnsi="宋体" w:cs="宋体"/>
          <w:color w:val="000000" w:themeColor="text1"/>
        </w:rPr>
        <w:t>6.标准、规范及有关技术文件</w:t>
      </w:r>
      <w:r>
        <w:rPr>
          <w:rFonts w:hint="eastAsia" w:ascii="宋体" w:hAnsi="宋体" w:cs="宋体"/>
          <w:color w:val="000000" w:themeColor="text1"/>
        </w:rPr>
        <w:tab/>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7.图纸（含图纸会审纪要、路灯效果图及技术参数）</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8.工程量清单</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9.工程报价单或预算书</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10.应将“廉洁自律承诺书”附在响应文件中，否则视为不响应竞争性磋商文件；</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双方有关工程的洽商、变更等书面协议或文件视为本合同的组成部分。</w:t>
      </w:r>
    </w:p>
    <w:p>
      <w:pPr>
        <w:spacing w:line="460" w:lineRule="exact"/>
        <w:ind w:firstLine="422" w:firstLineChars="200"/>
        <w:rPr>
          <w:rFonts w:ascii="宋体" w:hAnsi="宋体" w:cs="宋体"/>
          <w:b/>
          <w:color w:val="000000" w:themeColor="text1"/>
        </w:rPr>
      </w:pPr>
      <w:r>
        <w:rPr>
          <w:rFonts w:hint="eastAsia" w:ascii="宋体" w:hAnsi="宋体" w:cs="宋体"/>
          <w:b/>
          <w:color w:val="000000" w:themeColor="text1"/>
        </w:rPr>
        <w:t>七、本协议书中有关词语含义与本合同第二部分《通用条款》中分别赋予它们的定义相同。</w:t>
      </w:r>
    </w:p>
    <w:p>
      <w:pPr>
        <w:spacing w:line="460" w:lineRule="exact"/>
        <w:ind w:firstLine="422" w:firstLineChars="200"/>
        <w:rPr>
          <w:rFonts w:ascii="宋体" w:hAnsi="宋体" w:cs="宋体"/>
          <w:b/>
          <w:color w:val="000000" w:themeColor="text1"/>
        </w:rPr>
      </w:pPr>
      <w:r>
        <w:rPr>
          <w:rFonts w:hint="eastAsia" w:ascii="宋体" w:hAnsi="宋体" w:cs="宋体"/>
          <w:b/>
          <w:color w:val="000000" w:themeColor="text1"/>
        </w:rPr>
        <w:t>八、承包人向发包人承诺按照合同约定进行施工、竣工并在质量保修期内承担工程质量保修责任。</w:t>
      </w:r>
    </w:p>
    <w:p>
      <w:pPr>
        <w:spacing w:line="460" w:lineRule="exact"/>
        <w:ind w:firstLine="422" w:firstLineChars="200"/>
        <w:rPr>
          <w:rFonts w:ascii="宋体" w:hAnsi="宋体" w:cs="宋体"/>
          <w:b/>
          <w:color w:val="000000" w:themeColor="text1"/>
        </w:rPr>
      </w:pPr>
      <w:r>
        <w:rPr>
          <w:rFonts w:hint="eastAsia" w:ascii="宋体" w:hAnsi="宋体" w:cs="宋体"/>
          <w:b/>
          <w:color w:val="000000" w:themeColor="text1"/>
        </w:rPr>
        <w:t>九、发包人向承包人承诺按照合同约定的期限和支付方式支付合同价款及其他应当支付的款项。</w:t>
      </w:r>
    </w:p>
    <w:p>
      <w:pPr>
        <w:spacing w:line="460" w:lineRule="exact"/>
        <w:ind w:firstLine="422" w:firstLineChars="200"/>
        <w:rPr>
          <w:rFonts w:ascii="宋体" w:hAnsi="宋体" w:cs="宋体"/>
          <w:b/>
          <w:color w:val="000000" w:themeColor="text1"/>
        </w:rPr>
      </w:pPr>
      <w:r>
        <w:rPr>
          <w:rFonts w:hint="eastAsia" w:ascii="宋体" w:hAnsi="宋体" w:cs="宋体"/>
          <w:b/>
          <w:color w:val="000000" w:themeColor="text1"/>
        </w:rPr>
        <w:t>十、合同生效</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合同订立时间：年月日</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合同订立地点：</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本合同双方约定：</w:t>
      </w:r>
      <w:r>
        <w:rPr>
          <w:rFonts w:hint="eastAsia" w:ascii="宋体" w:hAnsi="宋体" w:cs="宋体"/>
          <w:color w:val="000000" w:themeColor="text1"/>
          <w:u w:val="single"/>
        </w:rPr>
        <w:t>双方签字盖章后生效</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发包人：（公章）承包人：（公章）</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住所：住所：</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法定代表人：法定代表人：</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委托代理人：委托代理人：</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电话：电话：</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传真：传真：</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开户银行：开户银行：</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账号：账号：</w:t>
      </w:r>
    </w:p>
    <w:p>
      <w:pPr>
        <w:spacing w:line="460" w:lineRule="exact"/>
        <w:ind w:firstLine="420" w:firstLineChars="200"/>
        <w:rPr>
          <w:rFonts w:ascii="宋体" w:hAnsi="宋体" w:cs="宋体"/>
          <w:color w:val="000000" w:themeColor="text1"/>
        </w:rPr>
      </w:pPr>
      <w:r>
        <w:rPr>
          <w:rFonts w:hint="eastAsia" w:ascii="宋体" w:hAnsi="宋体" w:cs="宋体"/>
          <w:color w:val="000000" w:themeColor="text1"/>
        </w:rPr>
        <w:t>邮政编码：邮政编码：</w:t>
      </w: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rPr>
          <w:rFonts w:ascii="宋体" w:hAnsi="宋体" w:cs="宋体"/>
          <w:color w:val="000000" w:themeColor="text1"/>
        </w:rPr>
      </w:pPr>
    </w:p>
    <w:p>
      <w:pPr>
        <w:jc w:val="center"/>
        <w:rPr>
          <w:rFonts w:ascii="宋体" w:hAnsi="宋体" w:cs="宋体"/>
          <w:color w:val="000000" w:themeColor="text1"/>
        </w:rPr>
      </w:pPr>
      <w:bookmarkStart w:id="54" w:name="_Toc48834557"/>
      <w:r>
        <w:rPr>
          <w:rFonts w:hint="eastAsia" w:ascii="宋体" w:hAnsi="宋体" w:cs="宋体"/>
          <w:color w:val="000000" w:themeColor="text1"/>
          <w:sz w:val="32"/>
        </w:rPr>
        <w:t>第二部分 通用合同条款</w:t>
      </w:r>
      <w:bookmarkEnd w:id="51"/>
      <w:bookmarkEnd w:id="52"/>
      <w:bookmarkEnd w:id="53"/>
      <w:bookmarkEnd w:id="54"/>
    </w:p>
    <w:p>
      <w:pPr>
        <w:jc w:val="center"/>
        <w:rPr>
          <w:rFonts w:ascii="宋体" w:hAnsi="宋体" w:cs="宋体"/>
          <w:bCs/>
          <w:color w:val="000000" w:themeColor="text1"/>
          <w:sz w:val="32"/>
          <w:szCs w:val="32"/>
        </w:rPr>
      </w:pPr>
      <w:r>
        <w:rPr>
          <w:rFonts w:hint="eastAsia" w:ascii="宋体" w:hAnsi="宋体" w:cs="宋体"/>
          <w:bCs/>
          <w:color w:val="000000" w:themeColor="text1"/>
          <w:sz w:val="32"/>
          <w:szCs w:val="32"/>
        </w:rPr>
        <w:t>（根据国家相关示范文本）</w:t>
      </w:r>
    </w:p>
    <w:p>
      <w:pPr>
        <w:pStyle w:val="74"/>
        <w:spacing w:line="360" w:lineRule="auto"/>
        <w:ind w:firstLine="105" w:firstLineChars="50"/>
        <w:rPr>
          <w:rFonts w:ascii="宋体" w:hAnsi="宋体"/>
          <w:color w:val="000000" w:themeColor="text1"/>
        </w:rPr>
      </w:pPr>
    </w:p>
    <w:p>
      <w:pPr>
        <w:pStyle w:val="74"/>
        <w:spacing w:line="360" w:lineRule="auto"/>
        <w:ind w:firstLine="420" w:firstLineChars="200"/>
        <w:rPr>
          <w:rFonts w:ascii="宋体" w:hAnsi="宋体"/>
          <w:color w:val="000000" w:themeColor="text1"/>
        </w:rPr>
      </w:pPr>
      <w:r>
        <w:rPr>
          <w:rFonts w:hint="eastAsia" w:ascii="宋体" w:hAnsi="宋体"/>
          <w:color w:val="000000" w:themeColor="text1"/>
        </w:rPr>
        <w:t>参见建设工程施工合同</w:t>
      </w:r>
    </w:p>
    <w:p>
      <w:pPr>
        <w:pStyle w:val="74"/>
        <w:spacing w:line="360" w:lineRule="auto"/>
        <w:ind w:firstLine="420" w:firstLineChars="200"/>
        <w:rPr>
          <w:rFonts w:ascii="宋体" w:hAnsi="宋体"/>
          <w:color w:val="000000" w:themeColor="text1"/>
        </w:rPr>
      </w:pPr>
      <w:r>
        <w:fldChar w:fldCharType="begin"/>
      </w:r>
      <w:r>
        <w:instrText xml:space="preserve"> HYPERLINK "http://www.mohurd.gov.cn/wjfb/201710/W020171030112646.doc" \t "_blank" </w:instrText>
      </w:r>
      <w:r>
        <w:fldChar w:fldCharType="separate"/>
      </w:r>
      <w:r>
        <w:rPr>
          <w:rFonts w:hint="eastAsia" w:ascii="宋体" w:hAnsi="宋体"/>
          <w:color w:val="000000" w:themeColor="text1"/>
        </w:rPr>
        <w:t>建设工程施工合同（示范文本）》（GF-2017-0201）</w:t>
      </w:r>
      <w:r>
        <w:rPr>
          <w:rFonts w:hint="eastAsia" w:ascii="宋体" w:hAnsi="宋体"/>
          <w:color w:val="000000" w:themeColor="text1"/>
        </w:rPr>
        <w:fldChar w:fldCharType="end"/>
      </w:r>
    </w:p>
    <w:p>
      <w:pPr>
        <w:pStyle w:val="74"/>
        <w:spacing w:line="360" w:lineRule="auto"/>
        <w:ind w:firstLine="420" w:firstLineChars="200"/>
        <w:rPr>
          <w:rFonts w:ascii="宋体" w:hAnsi="宋体"/>
          <w:color w:val="000000" w:themeColor="text1"/>
        </w:rPr>
      </w:pPr>
      <w:r>
        <w:rPr>
          <w:rFonts w:hint="eastAsia" w:ascii="宋体" w:hAnsi="宋体"/>
          <w:color w:val="000000" w:themeColor="text1"/>
        </w:rPr>
        <w:t>通用合同条款内容。</w:t>
      </w:r>
    </w:p>
    <w:p>
      <w:pPr>
        <w:spacing w:line="360" w:lineRule="auto"/>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jc w:val="center"/>
        <w:rPr>
          <w:rFonts w:ascii="宋体" w:hAnsi="宋体" w:cs="宋体"/>
          <w:color w:val="000000" w:themeColor="text1"/>
        </w:rPr>
      </w:pPr>
      <w:bookmarkStart w:id="55" w:name="_Toc48834558"/>
      <w:bookmarkStart w:id="56" w:name="_Toc428024702"/>
      <w:bookmarkStart w:id="57" w:name="_Toc427566453"/>
      <w:r>
        <w:rPr>
          <w:rFonts w:hint="eastAsia" w:ascii="宋体" w:hAnsi="宋体" w:cs="宋体"/>
          <w:color w:val="000000" w:themeColor="text1"/>
          <w:sz w:val="32"/>
        </w:rPr>
        <w:t>第三部分 专用合同条款</w:t>
      </w:r>
      <w:bookmarkEnd w:id="55"/>
      <w:bookmarkEnd w:id="56"/>
      <w:bookmarkEnd w:id="57"/>
    </w:p>
    <w:p>
      <w:pPr>
        <w:jc w:val="center"/>
        <w:rPr>
          <w:rFonts w:ascii="宋体" w:hAnsi="宋体" w:cs="宋体"/>
          <w:color w:val="000000" w:themeColor="text1"/>
          <w:sz w:val="32"/>
          <w:szCs w:val="32"/>
        </w:rPr>
      </w:pPr>
      <w:r>
        <w:rPr>
          <w:rFonts w:hint="eastAsia" w:ascii="宋体" w:hAnsi="宋体" w:cs="宋体"/>
          <w:bCs/>
          <w:color w:val="000000" w:themeColor="text1"/>
          <w:sz w:val="32"/>
          <w:szCs w:val="32"/>
        </w:rPr>
        <w:t>（根据国家相关示范文本）</w:t>
      </w:r>
    </w:p>
    <w:p>
      <w:pPr>
        <w:spacing w:line="460" w:lineRule="exact"/>
        <w:rPr>
          <w:rFonts w:ascii="宋体" w:hAnsi="宋体" w:cs="宋体"/>
          <w:b/>
          <w:bCs/>
          <w:color w:val="000000" w:themeColor="text1"/>
        </w:rPr>
      </w:pP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一、词语定义及合同文件</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2. 合同文件及解释顺序</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合同文件组成及解释顺序</w:t>
      </w:r>
      <w:r>
        <w:rPr>
          <w:rFonts w:hint="eastAsia" w:ascii="宋体" w:hAnsi="宋体" w:cs="宋体"/>
          <w:color w:val="000000" w:themeColor="text1"/>
          <w:u w:val="single"/>
        </w:rPr>
        <w:t>执行通用条款第2. 1、2.2条</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3．语言文字和适用法律、标准及规范</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3.1本合同除使用汉语外，还使用</w:t>
      </w:r>
      <w:r>
        <w:rPr>
          <w:rFonts w:hint="eastAsia" w:ascii="宋体" w:hAnsi="宋体" w:cs="宋体"/>
          <w:color w:val="000000" w:themeColor="text1"/>
          <w:u w:val="single"/>
        </w:rPr>
        <w:t>/</w:t>
      </w:r>
      <w:r>
        <w:rPr>
          <w:rFonts w:hint="eastAsia" w:ascii="宋体" w:hAnsi="宋体" w:cs="宋体"/>
          <w:color w:val="000000" w:themeColor="text1"/>
        </w:rPr>
        <w:t>语言文字。</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3.2适用法律和法规</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需要明示的法律、行政法规：</w:t>
      </w:r>
      <w:r>
        <w:rPr>
          <w:rFonts w:hint="eastAsia" w:ascii="宋体" w:hAnsi="宋体" w:cs="宋体"/>
          <w:color w:val="000000" w:themeColor="text1"/>
          <w:u w:val="single"/>
        </w:rPr>
        <w:t>现行的国家或地方有关市政公用工程的法律、法规。</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3.3适用标准、规范</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适用标准、规范的名称：</w:t>
      </w:r>
      <w:r>
        <w:rPr>
          <w:rFonts w:hint="eastAsia" w:ascii="宋体" w:hAnsi="宋体" w:cs="宋体"/>
          <w:color w:val="000000" w:themeColor="text1"/>
          <w:u w:val="single"/>
        </w:rPr>
        <w:t>除竞争性磋商文件、工程设计罗列部分外，国家、河南省及周口市现行与本工程建设相关的标准和规范。</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发包人提供标准、规范的时间：</w:t>
      </w:r>
      <w:r>
        <w:rPr>
          <w:rFonts w:hint="eastAsia" w:ascii="宋体" w:hAnsi="宋体" w:cs="宋体"/>
          <w:color w:val="000000" w:themeColor="text1"/>
          <w:u w:val="single"/>
        </w:rPr>
        <w:t>/</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国内没有相应标准、规范时的约定：</w:t>
      </w:r>
      <w:r>
        <w:rPr>
          <w:rFonts w:hint="eastAsia" w:ascii="宋体" w:hAnsi="宋体" w:cs="宋体"/>
          <w:color w:val="000000" w:themeColor="text1"/>
          <w:u w:val="single"/>
        </w:rPr>
        <w:t>由发包人拟派工程师解决。</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4.图纸</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4.1发包人向承包人提供图纸日期和套数：</w:t>
      </w:r>
      <w:r>
        <w:rPr>
          <w:rFonts w:hint="eastAsia" w:ascii="宋体" w:hAnsi="宋体" w:cs="宋体"/>
          <w:color w:val="000000" w:themeColor="text1"/>
          <w:u w:val="single"/>
        </w:rPr>
        <w:t>合同签订后   天内提供施工图2套</w:t>
      </w:r>
      <w:r>
        <w:rPr>
          <w:rFonts w:hint="eastAsia" w:ascii="宋体" w:hAnsi="宋体" w:cs="宋体"/>
          <w:color w:val="000000" w:themeColor="text1"/>
        </w:rPr>
        <w:t>发包人对图纸的保密要求：</w:t>
      </w:r>
      <w:r>
        <w:rPr>
          <w:rFonts w:hint="eastAsia" w:ascii="宋体" w:hAnsi="宋体" w:cs="宋体"/>
          <w:color w:val="000000" w:themeColor="text1"/>
          <w:u w:val="single"/>
        </w:rPr>
        <w:t>不准向本工程外的工程提供图纸或图纸复印件</w:t>
      </w:r>
      <w:r>
        <w:rPr>
          <w:rFonts w:hint="eastAsia" w:ascii="宋体" w:hAnsi="宋体" w:cs="宋体"/>
          <w:color w:val="000000" w:themeColor="text1"/>
        </w:rPr>
        <w:t>使用国外图纸的要求及费用承担</w:t>
      </w:r>
      <w:r>
        <w:rPr>
          <w:rFonts w:hint="eastAsia" w:ascii="宋体" w:hAnsi="宋体" w:cs="宋体"/>
          <w:color w:val="000000" w:themeColor="text1"/>
          <w:u w:val="single"/>
        </w:rPr>
        <w:t xml:space="preserve">：    </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二、双方一般权利和义务</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5.工程师</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5.2监理单位委派的工程师</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姓名：职务：</w:t>
      </w:r>
      <w:r>
        <w:rPr>
          <w:rFonts w:hint="eastAsia" w:ascii="宋体" w:hAnsi="宋体" w:cs="宋体"/>
          <w:color w:val="000000" w:themeColor="text1"/>
          <w:u w:val="single"/>
        </w:rPr>
        <w:t>总监理工程师</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发包人委托的职权：</w:t>
      </w:r>
      <w:r>
        <w:rPr>
          <w:rFonts w:hint="eastAsia" w:ascii="宋体" w:hAnsi="宋体" w:cs="宋体"/>
          <w:color w:val="000000" w:themeColor="text1"/>
          <w:u w:val="single"/>
        </w:rPr>
        <w:t>施工组织设计及方案审批，质量监督权，工程量签认权，进出厂材料、设备检验及批准使用权，监理合同中赋予的职权。</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需要取得发包人批准才能行使的职权</w:t>
      </w:r>
      <w:r>
        <w:rPr>
          <w:rFonts w:hint="eastAsia" w:ascii="宋体" w:hAnsi="宋体" w:cs="宋体"/>
          <w:color w:val="000000" w:themeColor="text1"/>
          <w:u w:val="single"/>
        </w:rPr>
        <w:t>：发布开（停）工令，工期顺延签认，不称职人员撤换建议权。</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5.3发包人派驻的工程师</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姓名：职务：</w:t>
      </w:r>
      <w:r>
        <w:rPr>
          <w:rFonts w:hint="eastAsia" w:ascii="宋体" w:hAnsi="宋体" w:cs="宋体"/>
          <w:color w:val="000000" w:themeColor="text1"/>
          <w:u w:val="single"/>
        </w:rPr>
        <w:t>工程师</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职权：</w:t>
      </w:r>
      <w:r>
        <w:rPr>
          <w:rFonts w:hint="eastAsia" w:ascii="宋体" w:hAnsi="宋体" w:cs="宋体"/>
          <w:color w:val="000000" w:themeColor="text1"/>
          <w:u w:val="single"/>
        </w:rPr>
        <w:t>作为发包方代表处理与本工程建设相关的一切事宜。</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5.6不实行监理的，工程师的职权：</w:t>
      </w:r>
      <w:r>
        <w:rPr>
          <w:rFonts w:hint="eastAsia" w:ascii="宋体" w:hAnsi="宋体" w:cs="宋体"/>
          <w:color w:val="000000" w:themeColor="text1"/>
          <w:u w:val="single"/>
        </w:rPr>
        <w:t xml:space="preserve">/    </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6.项目经理</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姓名：职务：</w:t>
      </w:r>
      <w:r>
        <w:rPr>
          <w:rFonts w:hint="eastAsia" w:ascii="宋体" w:hAnsi="宋体" w:cs="宋体"/>
          <w:color w:val="000000" w:themeColor="text1"/>
          <w:u w:val="single"/>
        </w:rPr>
        <w:t>项目经理</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7.发包人工作</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7.1发包人应按约定的时间和要求完成以下工作：</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（1）施工场地具备施工条件的要求及完成的时间：</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已具备开工条件</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（2）将施工所需的水、电、电讯线路接至施工场地的时间、地点和供应要求：</w:t>
      </w:r>
      <w:r>
        <w:rPr>
          <w:rFonts w:hint="eastAsia" w:ascii="宋体" w:hAnsi="宋体" w:cs="宋体"/>
          <w:color w:val="000000" w:themeColor="text1"/>
          <w:u w:val="single"/>
        </w:rPr>
        <w:t>已具备</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（3）施工场地与公共道路的开通时间和要求：</w:t>
      </w:r>
      <w:r>
        <w:rPr>
          <w:rFonts w:hint="eastAsia" w:ascii="宋体" w:hAnsi="宋体" w:cs="宋体"/>
          <w:color w:val="000000" w:themeColor="text1"/>
          <w:u w:val="single"/>
        </w:rPr>
        <w:t>已开通</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（4）工程地质和地下管线资料的提供时间：</w:t>
      </w:r>
      <w:r>
        <w:rPr>
          <w:rFonts w:hint="eastAsia" w:ascii="宋体" w:hAnsi="宋体" w:cs="宋体"/>
          <w:color w:val="000000" w:themeColor="text1"/>
          <w:u w:val="single"/>
        </w:rPr>
        <w:t>开工前 天</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（5）由发包人办理的施工所需证件、批件的名称和完成时间：</w:t>
      </w:r>
      <w:r>
        <w:rPr>
          <w:rFonts w:hint="eastAsia" w:ascii="宋体" w:hAnsi="宋体" w:cs="宋体"/>
          <w:color w:val="000000" w:themeColor="text1"/>
          <w:u w:val="single"/>
        </w:rPr>
        <w:t>开工前 天（因施工单位的原因导致所需证件不能及时办理的，施工单位不得因此要求顺延工期）</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（6）水准点与坐标控制点交验要求：</w:t>
      </w:r>
      <w:r>
        <w:rPr>
          <w:rFonts w:hint="eastAsia" w:ascii="宋体" w:hAnsi="宋体" w:cs="宋体"/>
          <w:color w:val="000000" w:themeColor="text1"/>
          <w:u w:val="single"/>
        </w:rPr>
        <w:t>按照发包方提供的资料及现场交点进行校验</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（7）图纸会审和设计交底时间：</w:t>
      </w:r>
      <w:r>
        <w:rPr>
          <w:rFonts w:hint="eastAsia" w:ascii="宋体" w:hAnsi="宋体" w:cs="宋体"/>
          <w:color w:val="000000" w:themeColor="text1"/>
          <w:u w:val="single"/>
        </w:rPr>
        <w:t>开工前 天</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（8）协调处理施工场地周围地下管线和邻近建筑物、构筑物（含文物保护建筑）、古树名木的保护：</w:t>
      </w:r>
      <w:r>
        <w:rPr>
          <w:rFonts w:hint="eastAsia" w:ascii="宋体" w:hAnsi="宋体" w:cs="宋体"/>
          <w:color w:val="000000" w:themeColor="text1"/>
          <w:u w:val="single"/>
        </w:rPr>
        <w:t>承包方按照发包方要求和有关规定做好保护工作</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（9）双方约定发包人应做的其他工作：</w:t>
      </w:r>
      <w:r>
        <w:rPr>
          <w:rFonts w:hint="eastAsia" w:ascii="宋体" w:hAnsi="宋体" w:cs="宋体"/>
          <w:color w:val="000000" w:themeColor="text1"/>
          <w:u w:val="single"/>
        </w:rPr>
        <w:t>双方协商</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7.2发包人委托承包人办理的工作：</w:t>
      </w:r>
      <w:r>
        <w:rPr>
          <w:rFonts w:hint="eastAsia" w:ascii="宋体" w:hAnsi="宋体" w:cs="宋体"/>
          <w:color w:val="000000" w:themeColor="text1"/>
          <w:u w:val="single"/>
        </w:rPr>
        <w:t>承包方协助发包方做好施工期间与周边关系的协调工作。</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8.承包人工作</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8.1承包人应按约定时间和要求，完成以下工作：</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（1）需由设计资质等级和业务范围允许的承包人完成的设计文件提交时间：</w:t>
      </w:r>
      <w:r>
        <w:rPr>
          <w:rFonts w:hint="eastAsia" w:ascii="宋体" w:hAnsi="宋体" w:cs="宋体"/>
          <w:color w:val="000000" w:themeColor="text1"/>
          <w:u w:val="single"/>
        </w:rPr>
        <w:t>无</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（2）应提供计划、报表的名称及完成时间：</w:t>
      </w:r>
      <w:r>
        <w:rPr>
          <w:rFonts w:hint="eastAsia" w:ascii="宋体" w:hAnsi="宋体" w:cs="宋体"/>
          <w:color w:val="000000" w:themeColor="text1"/>
          <w:u w:val="single"/>
        </w:rPr>
        <w:t>开工前 日提供正式总进度计划表、详细的分部工程施工计划、资金使用计划等一式三份，每月 日提供当月实际完成工程量，报当月签证、变更和下月施工计划表。以上计划必须经过监理工程师签字认可后报发包人。</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（3）承担施工安全保卫工作及非夜间施工照明的责任和要求：</w:t>
      </w:r>
      <w:r>
        <w:rPr>
          <w:rFonts w:hint="eastAsia" w:ascii="宋体" w:hAnsi="宋体" w:cs="宋体"/>
          <w:color w:val="000000" w:themeColor="text1"/>
          <w:u w:val="single"/>
        </w:rPr>
        <w:t>负责施工现场的日夜值班保卫及夜间照明，对施工中的安全负全责。</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（4）向发包人提供的办公和生活房屋及设施的要求：</w:t>
      </w:r>
      <w:r>
        <w:rPr>
          <w:rFonts w:hint="eastAsia" w:ascii="宋体" w:hAnsi="宋体" w:cs="宋体"/>
          <w:color w:val="000000" w:themeColor="text1"/>
          <w:u w:val="single"/>
        </w:rPr>
        <w:t>双方协商。</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（5）需承包人办理的有关施工场地交通、环卫和施工噪音管理等手续：</w:t>
      </w:r>
      <w:r>
        <w:rPr>
          <w:rFonts w:hint="eastAsia" w:ascii="宋体" w:hAnsi="宋体" w:cs="宋体"/>
          <w:color w:val="000000" w:themeColor="text1"/>
          <w:u w:val="single"/>
        </w:rPr>
        <w:t>由施工单位掌握办理时间，以不影响施工正常进行为原则，并承担因此发生的费用。</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（6）已完工程成品保护的特殊要求及费用承担：</w:t>
      </w:r>
      <w:r>
        <w:rPr>
          <w:rFonts w:hint="eastAsia" w:ascii="宋体" w:hAnsi="宋体" w:cs="宋体"/>
          <w:color w:val="000000" w:themeColor="text1"/>
          <w:u w:val="single"/>
        </w:rPr>
        <w:t>施工期间的成品保护由承包方负责，质保期满、竣工综合移交验收后由发包方负责。</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（7）施工场地周围地下管线和邻近建筑物、构筑物（含文物保护建筑）、古树名木的保护要求及费用承担：</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（8）施工场地清洁卫生的要求：</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（9）双方约定承包人应做的其他工作：</w:t>
      </w:r>
    </w:p>
    <w:p>
      <w:pPr>
        <w:ind w:firstLine="422" w:firstLineChars="200"/>
        <w:rPr>
          <w:rFonts w:ascii="宋体" w:hAnsi="宋体" w:cs="宋体"/>
          <w:b/>
          <w:color w:val="000000" w:themeColor="text1"/>
        </w:rPr>
      </w:pPr>
      <w:r>
        <w:rPr>
          <w:rFonts w:hint="eastAsia" w:ascii="宋体" w:hAnsi="宋体" w:cs="宋体"/>
          <w:b/>
          <w:color w:val="000000" w:themeColor="text1"/>
        </w:rPr>
        <w:t>三、施工组织设计和工期</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9.进度计划</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9.1承包人提供施工组织设计（施工方案）和进度计划的时间：</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实施前 天提交施工组织设计（施工方案）和进度计划（含时标网络计划）</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工程师确认的时间</w:t>
      </w:r>
      <w:r>
        <w:rPr>
          <w:rFonts w:hint="eastAsia" w:ascii="宋体" w:hAnsi="宋体" w:cs="宋体"/>
          <w:color w:val="000000" w:themeColor="text1"/>
          <w:u w:val="single"/>
        </w:rPr>
        <w:t>：收到后 个工作日</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9.2群体工程中有关进度计划的要求：</w:t>
      </w:r>
      <w:r>
        <w:rPr>
          <w:rFonts w:hint="eastAsia" w:ascii="宋体" w:hAnsi="宋体" w:cs="宋体"/>
          <w:color w:val="000000" w:themeColor="text1"/>
          <w:u w:val="single"/>
        </w:rPr>
        <w:t>无</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13.工期延误</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13.1双方约定工期顺延的其他情况：</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四、质量与验收</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17.隐蔽工程和中间验收</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17.1双约定中间验收部位：</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19.工程试车</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19.5试车费用地承担：</w:t>
      </w:r>
      <w:r>
        <w:rPr>
          <w:rFonts w:hint="eastAsia" w:ascii="宋体" w:hAnsi="宋体" w:cs="宋体"/>
          <w:color w:val="000000" w:themeColor="text1"/>
          <w:u w:val="single"/>
        </w:rPr>
        <w:t>无</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五、安全施工：</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遵照国家、建设部、河南省及周口市现行有关规定执行。</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六、合同价款及调整</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23. 合同价款及调整</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23.2本合同价款采用</w:t>
      </w:r>
      <w:r>
        <w:rPr>
          <w:rFonts w:hint="eastAsia" w:ascii="宋体" w:hAnsi="宋体" w:cs="宋体"/>
          <w:color w:val="000000" w:themeColor="text1"/>
          <w:u w:val="single"/>
        </w:rPr>
        <w:t>（1）</w:t>
      </w:r>
      <w:r>
        <w:rPr>
          <w:rFonts w:hint="eastAsia" w:ascii="宋体" w:hAnsi="宋体" w:cs="宋体"/>
          <w:color w:val="000000" w:themeColor="text1"/>
        </w:rPr>
        <w:t>方式确定。</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（1）采用固定价格合同，合同价款中包括：</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rPr>
        <w:t>除下列原因外合同的固定总价均不得改变：</w:t>
      </w:r>
    </w:p>
    <w:p>
      <w:pPr>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rPr>
        <w:t>②如果直接取消某分部分项工程量清单项目，则该项目价款不予支付。</w:t>
      </w:r>
    </w:p>
    <w:p>
      <w:pPr>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rPr>
        <w:t>③措施费均为税后的包干价，不因设计变更而调增。</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（2）采用可调价格合同，合同价款调整方法：</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（3）采用成本加酬金合同，有关成本和酬金的约定：</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23.3双方约定合同价款的其他调整因素：</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rPr>
        <w:t>24.工程预付款</w:t>
      </w:r>
    </w:p>
    <w:p>
      <w:pPr>
        <w:spacing w:line="400" w:lineRule="exact"/>
        <w:ind w:firstLine="420" w:firstLineChars="200"/>
        <w:rPr>
          <w:rFonts w:ascii="宋体" w:hAnsi="宋体" w:cs="宋体"/>
          <w:color w:val="000000" w:themeColor="text1"/>
          <w:u w:val="single"/>
        </w:rPr>
      </w:pPr>
      <w:r>
        <w:rPr>
          <w:rFonts w:hint="eastAsia" w:ascii="宋体" w:hAnsi="宋体" w:cs="宋体"/>
          <w:color w:val="000000" w:themeColor="text1"/>
        </w:rPr>
        <w:t>发包人向承包人预付工程款的时间和金额或占合同价款总额的比例：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扣回工程款的时间、比例：</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25.工程量确认</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25.1承包人向工程师提交已完工程量报告的时间：</w:t>
      </w:r>
      <w:r>
        <w:rPr>
          <w:rFonts w:hint="eastAsia" w:ascii="宋体" w:hAnsi="宋体" w:cs="宋体"/>
          <w:color w:val="000000" w:themeColor="text1"/>
          <w:u w:val="single"/>
        </w:rPr>
        <w:t>每月 日前提供当月已完工程量报表三份，监理工程师在收到后 个工作日内审查完毕并报发包人审核，发包人在收到后 天内审核完毕。</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26. 工程款支付</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双方约定的工程款（进度款）支付的方式和时间：中标后双方协商。</w:t>
      </w:r>
    </w:p>
    <w:p>
      <w:pPr>
        <w:ind w:firstLine="422" w:firstLineChars="200"/>
        <w:rPr>
          <w:rFonts w:ascii="宋体" w:hAnsi="宋体" w:cs="宋体"/>
          <w:b/>
          <w:color w:val="000000" w:themeColor="text1"/>
        </w:rPr>
      </w:pPr>
      <w:r>
        <w:rPr>
          <w:rFonts w:hint="eastAsia" w:ascii="宋体" w:hAnsi="宋体" w:cs="宋体"/>
          <w:b/>
          <w:color w:val="000000" w:themeColor="text1"/>
        </w:rPr>
        <w:t>七、材料设备供应</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27.发包人供应材料设备</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27.4发包人供应的材料设备与一览表不符时，双方约定发包人承担责任如下：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（1）材料设备单价与一览表不符：</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（2）材料设备的品种、规格、型号、质量等级与一览表不符：</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（3）承包人可代为调剂串换的材料：</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（4）到货地点与一览表不符：</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（5）供应数量与一览表不符：</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（6）到货时间与一览表不符：</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27.6发包人供应材料设备的结算方法：</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28.承包人采购材料设备</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28．1承包人采购材料设备的约定：</w:t>
      </w:r>
      <w:r>
        <w:rPr>
          <w:rFonts w:hint="eastAsia" w:ascii="宋体" w:hAnsi="宋体" w:cs="宋体"/>
          <w:color w:val="000000" w:themeColor="text1"/>
          <w:u w:val="single"/>
        </w:rPr>
        <w:t>执行通用条款</w:t>
      </w:r>
    </w:p>
    <w:p>
      <w:pPr>
        <w:spacing w:line="480" w:lineRule="exact"/>
        <w:ind w:firstLine="422" w:firstLineChars="200"/>
        <w:rPr>
          <w:rFonts w:ascii="宋体" w:hAnsi="宋体" w:cs="宋体"/>
          <w:b/>
          <w:color w:val="000000" w:themeColor="text1"/>
          <w:u w:val="single"/>
        </w:rPr>
      </w:pPr>
      <w:r>
        <w:rPr>
          <w:rFonts w:hint="eastAsia" w:ascii="宋体" w:hAnsi="宋体" w:cs="宋体"/>
          <w:b/>
          <w:color w:val="000000" w:themeColor="text1"/>
        </w:rPr>
        <w:t>八、工程变更</w:t>
      </w:r>
      <w:r>
        <w:rPr>
          <w:rFonts w:hint="eastAsia" w:ascii="宋体" w:hAnsi="宋体" w:cs="宋体"/>
          <w:color w:val="000000" w:themeColor="text1"/>
          <w:u w:val="single"/>
        </w:rPr>
        <w:t>执行通用条款</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九、竣工验收与结算</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32.竣工验收</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32.1承包人提供竣工图的约定：</w:t>
      </w:r>
      <w:r>
        <w:rPr>
          <w:rFonts w:hint="eastAsia" w:ascii="宋体" w:hAnsi="宋体" w:cs="宋体"/>
          <w:color w:val="000000" w:themeColor="text1"/>
          <w:u w:val="single"/>
        </w:rPr>
        <w:t>提交竣工报告的同时提交竣工图 套</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32.6中间交工工程的范围和竣工时间：</w:t>
      </w:r>
      <w:r>
        <w:rPr>
          <w:rFonts w:hint="eastAsia" w:ascii="宋体" w:hAnsi="宋体" w:cs="宋体"/>
          <w:color w:val="000000" w:themeColor="text1"/>
          <w:u w:val="single"/>
        </w:rPr>
        <w:t>发包方和承包方协商</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十、违约、索赔和争议</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35.违约</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35.1本合同中关于发包人违约的具体责任如下：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本合同通用条款第24条约定发包人违约应承担的违约责任：</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本合同通用条款第26.4款约定发包人违约应承担的违约责任：</w:t>
      </w:r>
      <w:r>
        <w:rPr>
          <w:rFonts w:hint="eastAsia" w:ascii="宋体" w:hAnsi="宋体" w:cs="宋体"/>
          <w:color w:val="000000" w:themeColor="text1"/>
          <w:u w:val="single"/>
        </w:rPr>
        <w:t xml:space="preserve">    /                    </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本合同通用条款第33.3款约定发包人违约应承担的违约责任：</w:t>
      </w:r>
      <w:r>
        <w:rPr>
          <w:rFonts w:hint="eastAsia" w:ascii="宋体" w:hAnsi="宋体" w:cs="宋体"/>
          <w:color w:val="000000" w:themeColor="text1"/>
          <w:u w:val="single"/>
        </w:rPr>
        <w:t xml:space="preserve">          /                                      </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双方约定的发包人其他违约责任：</w:t>
      </w:r>
      <w:r>
        <w:rPr>
          <w:rFonts w:hint="eastAsia" w:ascii="宋体" w:hAnsi="宋体" w:cs="宋体"/>
          <w:color w:val="000000" w:themeColor="text1"/>
          <w:u w:val="single"/>
        </w:rPr>
        <w:t>双方协商解决</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35.2本合同中关于承包人违约的具体责任如下：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本合同通用条款第14.2款约定承包人违约应承担的违约责任：</w:t>
      </w:r>
      <w:r>
        <w:rPr>
          <w:rFonts w:hint="eastAsia" w:ascii="宋体" w:hAnsi="宋体" w:cs="宋体"/>
          <w:color w:val="000000" w:themeColor="text1"/>
          <w:u w:val="single"/>
        </w:rPr>
        <w:t>承包人不能按约定的竣工日期或监理工程师同意顺延的工期竣工的，每延期一天承包人应向发包人支付合同价款 ‰的违约金，并承担因此给发包方造成的其它经济损失。</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本合同通用条款第15.1条约定承包人违约应承担的违约责任：</w:t>
      </w:r>
      <w:r>
        <w:rPr>
          <w:rFonts w:hint="eastAsia" w:ascii="宋体" w:hAnsi="宋体" w:cs="宋体"/>
          <w:color w:val="000000" w:themeColor="text1"/>
          <w:u w:val="single"/>
        </w:rPr>
        <w:t>工程质量达不到约定的标准，承包人应承担因此导致的鉴定、检验及返工、拆除重建等费用，工期不予顺延，并向发包人支付合同总价 %的违约金</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双方约定的承包人其他违约责任：</w:t>
      </w:r>
      <w:r>
        <w:rPr>
          <w:rFonts w:hint="eastAsia" w:ascii="宋体" w:hAnsi="宋体" w:cs="宋体"/>
          <w:color w:val="000000" w:themeColor="text1"/>
          <w:u w:val="single"/>
        </w:rPr>
        <w:t>双方协商解决</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37.争议</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37.1双方约定，在履行合同过程中产生争议时：</w:t>
      </w:r>
    </w:p>
    <w:p>
      <w:pPr>
        <w:numPr>
          <w:ilvl w:val="0"/>
          <w:numId w:val="1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按本合同规定应该偿付的违约金、赔偿金、保管保养费和各种经济损失，应当在明确责任后10天内，按银行规定的结算办法付清，否则按逾期付款处理。</w:t>
      </w:r>
    </w:p>
    <w:p>
      <w:pPr>
        <w:spacing w:line="360" w:lineRule="auto"/>
        <w:ind w:firstLine="420" w:firstLineChars="200"/>
        <w:rPr>
          <w:rFonts w:ascii="宋体" w:hAnsi="宋体" w:cs="宋体"/>
          <w:color w:val="000000" w:themeColor="text1"/>
        </w:rPr>
      </w:pPr>
      <w:r>
        <w:rPr>
          <w:rFonts w:hint="eastAsia" w:ascii="宋体" w:hAnsi="宋体" w:cs="宋体"/>
          <w:color w:val="000000" w:themeColor="text1"/>
        </w:rPr>
        <w:t>（2）本合同如发生纠纷，当事人双方应当及时协商解决，协商不成时，任何一方均可请本项目政府采购监督管理部门调解，调解不成，按以下第（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color w:val="000000" w:themeColor="text1"/>
          <w:u w:val="single"/>
        </w:rPr>
        <w:t>周口仲裁委员会</w:t>
      </w:r>
      <w:r>
        <w:rPr>
          <w:rFonts w:hint="eastAsia" w:ascii="宋体" w:hAnsi="宋体" w:cs="宋体"/>
          <w:color w:val="000000" w:themeColor="text1"/>
        </w:rPr>
        <w:t>申请仲裁。②向合同签订地有级别管辖权的人民法院起诉。</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（3）甲、乙双方均有权利向本项目具有监管职能的政府采购监督管理部门举报反映对方在合同履约中的违法违纪行为。</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十一、其他</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38. 工程分包</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38.1本工程发包人同意承包人分包的工程：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分包施工单位为：</w:t>
      </w:r>
      <w:r>
        <w:rPr>
          <w:rFonts w:hint="eastAsia" w:ascii="宋体" w:hAnsi="宋体" w:cs="宋体"/>
          <w:color w:val="000000" w:themeColor="text1"/>
          <w:u w:val="single"/>
        </w:rPr>
        <w:t xml:space="preserve">                /                                                         </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39.不可抗力</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39.1双方关于不可抗力的约定：</w:t>
      </w:r>
      <w:r>
        <w:rPr>
          <w:rFonts w:hint="eastAsia" w:ascii="宋体" w:hAnsi="宋体" w:cs="宋体"/>
          <w:color w:val="000000" w:themeColor="text1"/>
          <w:u w:val="single"/>
        </w:rPr>
        <w:t>执行通用条款</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40.保险</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40.6本工程双方约定投保内容如下：</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（1）发包人投保内容：</w:t>
      </w:r>
      <w:r>
        <w:rPr>
          <w:rFonts w:hint="eastAsia" w:ascii="宋体" w:hAnsi="宋体" w:cs="宋体"/>
          <w:color w:val="000000" w:themeColor="text1"/>
          <w:u w:val="single"/>
        </w:rPr>
        <w:t>执行通用条款</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发包人委托承包人办理的保险事项：</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（2）承包人的投保内容：</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41.担保</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41.3本工程双方承包人提供履约担保，担保事项如下：</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（1）发包人向承包人提供履约担保，担保方式为：</w:t>
      </w:r>
      <w:r>
        <w:rPr>
          <w:rFonts w:hint="eastAsia" w:ascii="宋体" w:hAnsi="宋体" w:cs="宋体"/>
          <w:color w:val="000000" w:themeColor="text1"/>
          <w:u w:val="single"/>
        </w:rPr>
        <w:t>无</w:t>
      </w:r>
      <w:r>
        <w:rPr>
          <w:rFonts w:hint="eastAsia" w:ascii="宋体" w:hAnsi="宋体" w:cs="宋体"/>
          <w:color w:val="000000" w:themeColor="text1"/>
        </w:rPr>
        <w:t>担保合同作为本合同附件。</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（2）承包人向发包人提供履约担保，担保方式为：</w:t>
      </w:r>
      <w:r>
        <w:rPr>
          <w:rFonts w:hint="eastAsia" w:ascii="宋体" w:hAnsi="宋体" w:cs="宋体"/>
          <w:color w:val="000000" w:themeColor="text1"/>
          <w:u w:val="single"/>
        </w:rPr>
        <w:t>无</w:t>
      </w:r>
      <w:r>
        <w:rPr>
          <w:rFonts w:hint="eastAsia" w:ascii="宋体" w:hAnsi="宋体" w:cs="宋体"/>
          <w:color w:val="000000" w:themeColor="text1"/>
        </w:rPr>
        <w:t>担保合同作为本合同附件。</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（3）双方约定的其他担保事项：</w:t>
      </w:r>
    </w:p>
    <w:p>
      <w:pPr>
        <w:spacing w:line="480" w:lineRule="exact"/>
        <w:ind w:firstLine="422" w:firstLineChars="200"/>
        <w:rPr>
          <w:rFonts w:ascii="宋体" w:hAnsi="宋体" w:cs="宋体"/>
          <w:b/>
          <w:color w:val="000000" w:themeColor="text1"/>
        </w:rPr>
      </w:pPr>
      <w:r>
        <w:rPr>
          <w:rFonts w:hint="eastAsia" w:ascii="宋体" w:hAnsi="宋体" w:cs="宋体"/>
          <w:b/>
          <w:color w:val="000000" w:themeColor="text1"/>
        </w:rPr>
        <w:t>46.合同份数</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rPr>
        <w:t>46.1双方约定合同份数：</w:t>
      </w:r>
      <w:r>
        <w:rPr>
          <w:rFonts w:hint="eastAsia" w:ascii="宋体" w:hAnsi="宋体" w:cs="宋体"/>
          <w:color w:val="000000" w:themeColor="text1"/>
          <w:u w:val="single"/>
        </w:rPr>
        <w:t>一式陆份，正本贰份，副本肆份。</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47.补充条款</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1、有关工程量清单缺漏项的处理方法：根据实际情况，视情节由发包人、监理人、承包人三方协商解决，并由发包人、监理人、承包人三方核实确定后据实调整。</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2、承包人派驻施工现场的项目管理机构人员配备必须同响应文件一致。若确有特殊原因需要更换部分人员时，必须以书面形式征得监理工程师及发包人认可。否则，如承包人的本项目管理机构人员配备与响应文件不同时，每发现一人不同（项目经理及技术负责人除外），承包人应向发包人支付  元违约金，项目经理和技术负责人与响应文件不一致时，每发现一人，承包人应向发包人支付违约金 元。承包人必须在发包人指定的时间内安排原计划配备人员到场，否则，发包人有权终止合同，承包人赔偿因此给发包人带来的损失。</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3、承包人派驻施工现场的项目经理每周应有 个工作日在施工现场，特殊原因应向监理工程师及发包方派驻工地代表请假，无故不到施工现场或请假但未被批准仍不到施工现场按缺席处理，每发现项目经理或技术负责人一天不到施工现场的，承包方应向发包方支付 元违约金。</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4、因发包人拆迁等原因长期不能提供施工场地导致无法组织施工的工程，不影响已完工程的竣工验收和工程款的支付。</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5、人工费按国家和地方有关文件规定执行。</w:t>
      </w:r>
    </w:p>
    <w:p>
      <w:pPr>
        <w:spacing w:line="48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6、施工过程中如遇国家、地方等政策性调整，按规定执行。</w:t>
      </w:r>
    </w:p>
    <w:p>
      <w:pPr>
        <w:spacing w:line="440" w:lineRule="exact"/>
        <w:ind w:firstLine="420" w:firstLineChars="200"/>
        <w:rPr>
          <w:rFonts w:ascii="宋体" w:hAnsi="宋体" w:cs="宋体"/>
          <w:color w:val="000000" w:themeColor="text1"/>
          <w:u w:val="single"/>
        </w:rPr>
      </w:pPr>
      <w:r>
        <w:rPr>
          <w:rFonts w:hint="eastAsia" w:ascii="宋体" w:hAnsi="宋体" w:cs="宋体"/>
          <w:color w:val="000000" w:themeColor="text1"/>
          <w:u w:val="single"/>
        </w:rPr>
        <w:t>7、在保修期内给水工程的维护和维修，由承包方负责并承担全部费用。</w:t>
      </w:r>
    </w:p>
    <w:p>
      <w:pPr>
        <w:spacing w:line="480" w:lineRule="exact"/>
        <w:ind w:firstLine="420" w:firstLineChars="200"/>
        <w:rPr>
          <w:rFonts w:ascii="宋体" w:hAnsi="宋体" w:cs="宋体"/>
          <w:color w:val="000000" w:themeColor="text1"/>
        </w:rPr>
      </w:pPr>
      <w:r>
        <w:rPr>
          <w:rFonts w:hint="eastAsia" w:ascii="宋体" w:hAnsi="宋体" w:cs="宋体"/>
          <w:color w:val="000000" w:themeColor="text1"/>
        </w:rPr>
        <w:t>本合同未尽事宜，双方另行协商，协商内容作为本合同的附件，与本合同具有同等法律效力。</w:t>
      </w:r>
    </w:p>
    <w:p>
      <w:pPr>
        <w:spacing w:line="360" w:lineRule="auto"/>
        <w:ind w:firstLine="420" w:firstLineChars="200"/>
        <w:rPr>
          <w:rFonts w:ascii="宋体" w:hAnsi="宋体" w:cs="宋体"/>
          <w:color w:val="000000" w:themeColor="text1"/>
          <w:szCs w:val="21"/>
          <w:u w:val="single"/>
        </w:rPr>
      </w:pPr>
    </w:p>
    <w:p>
      <w:pPr>
        <w:spacing w:line="360" w:lineRule="auto"/>
        <w:ind w:firstLine="422" w:firstLineChars="200"/>
        <w:rPr>
          <w:rFonts w:ascii="宋体" w:hAnsi="宋体" w:cs="宋体"/>
          <w:b/>
          <w:color w:val="000000" w:themeColor="text1"/>
          <w:szCs w:val="21"/>
        </w:rPr>
      </w:pPr>
    </w:p>
    <w:p>
      <w:pPr>
        <w:spacing w:line="360" w:lineRule="auto"/>
        <w:ind w:firstLine="422" w:firstLineChars="200"/>
        <w:rPr>
          <w:rFonts w:ascii="宋体" w:hAnsi="宋体" w:cs="宋体"/>
          <w:b/>
          <w:color w:val="000000" w:themeColor="text1"/>
          <w:szCs w:val="21"/>
        </w:rPr>
      </w:pPr>
    </w:p>
    <w:p>
      <w:pPr>
        <w:spacing w:line="360" w:lineRule="auto"/>
        <w:ind w:firstLine="422" w:firstLineChars="200"/>
        <w:rPr>
          <w:rFonts w:ascii="宋体" w:hAnsi="宋体" w:cs="宋体"/>
          <w:b/>
          <w:color w:val="000000" w:themeColor="text1"/>
          <w:szCs w:val="21"/>
        </w:rPr>
      </w:pPr>
    </w:p>
    <w:p>
      <w:pPr>
        <w:spacing w:line="360" w:lineRule="auto"/>
        <w:rPr>
          <w:rFonts w:ascii="宋体" w:hAnsi="宋体" w:cs="宋体"/>
          <w:color w:val="000000" w:themeColor="text1"/>
          <w:sz w:val="44"/>
          <w:szCs w:val="44"/>
        </w:rPr>
      </w:pPr>
      <w:r>
        <w:rPr>
          <w:rFonts w:hint="eastAsia" w:ascii="宋体" w:hAnsi="宋体" w:cs="宋体"/>
          <w:color w:val="000000" w:themeColor="text1"/>
          <w:sz w:val="28"/>
          <w:szCs w:val="28"/>
        </w:rPr>
        <w:t>附件1：</w:t>
      </w:r>
    </w:p>
    <w:p>
      <w:pPr>
        <w:spacing w:line="360" w:lineRule="auto"/>
        <w:jc w:val="center"/>
        <w:rPr>
          <w:rFonts w:ascii="宋体" w:hAnsi="宋体" w:cs="宋体"/>
          <w:color w:val="000000" w:themeColor="text1"/>
          <w:sz w:val="44"/>
          <w:szCs w:val="44"/>
        </w:rPr>
      </w:pPr>
      <w:r>
        <w:rPr>
          <w:rFonts w:hint="eastAsia" w:ascii="宋体" w:hAnsi="宋体" w:cs="宋体"/>
          <w:color w:val="000000" w:themeColor="text1"/>
          <w:sz w:val="44"/>
          <w:szCs w:val="44"/>
        </w:rPr>
        <w:t>承包人承揽工程项目一览表</w:t>
      </w:r>
    </w:p>
    <w:tbl>
      <w:tblPr>
        <w:tblStyle w:val="4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单位工程名称</w:t>
            </w:r>
          </w:p>
        </w:tc>
        <w:tc>
          <w:tcPr>
            <w:tcW w:w="900"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建设</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规模</w:t>
            </w:r>
          </w:p>
        </w:tc>
        <w:tc>
          <w:tcPr>
            <w:tcW w:w="1319"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建筑面积（平方米）</w:t>
            </w:r>
          </w:p>
        </w:tc>
        <w:tc>
          <w:tcPr>
            <w:tcW w:w="682" w:type="dxa"/>
            <w:vAlign w:val="center"/>
          </w:tcPr>
          <w:p>
            <w:pPr>
              <w:spacing w:line="360" w:lineRule="auto"/>
              <w:ind w:right="-78" w:rightChars="-37"/>
              <w:jc w:val="center"/>
              <w:rPr>
                <w:rFonts w:ascii="宋体" w:hAnsi="宋体" w:cs="宋体"/>
                <w:color w:val="000000" w:themeColor="text1"/>
                <w:szCs w:val="21"/>
              </w:rPr>
            </w:pPr>
            <w:r>
              <w:rPr>
                <w:rFonts w:hint="eastAsia" w:ascii="宋体" w:hAnsi="宋体" w:cs="宋体"/>
                <w:color w:val="000000" w:themeColor="text1"/>
                <w:szCs w:val="21"/>
              </w:rPr>
              <w:t>结构</w:t>
            </w:r>
          </w:p>
        </w:tc>
        <w:tc>
          <w:tcPr>
            <w:tcW w:w="709"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层数</w:t>
            </w:r>
          </w:p>
        </w:tc>
        <w:tc>
          <w:tcPr>
            <w:tcW w:w="877"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跨度</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（米）</w:t>
            </w:r>
          </w:p>
        </w:tc>
        <w:tc>
          <w:tcPr>
            <w:tcW w:w="800"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设备</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安装</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内容</w:t>
            </w:r>
          </w:p>
        </w:tc>
        <w:tc>
          <w:tcPr>
            <w:tcW w:w="850"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工程</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造价</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（元）</w:t>
            </w:r>
          </w:p>
        </w:tc>
        <w:tc>
          <w:tcPr>
            <w:tcW w:w="709"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开工</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日期</w:t>
            </w:r>
          </w:p>
        </w:tc>
        <w:tc>
          <w:tcPr>
            <w:tcW w:w="709"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竣工</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000000" w:themeColor="text1"/>
                <w:szCs w:val="21"/>
              </w:rPr>
            </w:pPr>
          </w:p>
        </w:tc>
        <w:tc>
          <w:tcPr>
            <w:tcW w:w="900" w:type="dxa"/>
            <w:vAlign w:val="center"/>
          </w:tcPr>
          <w:p>
            <w:pPr>
              <w:spacing w:line="360" w:lineRule="auto"/>
              <w:ind w:firstLine="420" w:firstLineChars="200"/>
              <w:rPr>
                <w:rFonts w:ascii="宋体" w:hAnsi="宋体" w:cs="宋体"/>
                <w:color w:val="000000" w:themeColor="text1"/>
                <w:szCs w:val="21"/>
              </w:rPr>
            </w:pPr>
          </w:p>
        </w:tc>
        <w:tc>
          <w:tcPr>
            <w:tcW w:w="1319" w:type="dxa"/>
            <w:vAlign w:val="center"/>
          </w:tcPr>
          <w:p>
            <w:pPr>
              <w:spacing w:line="360" w:lineRule="auto"/>
              <w:ind w:firstLine="420" w:firstLineChars="200"/>
              <w:rPr>
                <w:rFonts w:ascii="宋体" w:hAnsi="宋体" w:cs="宋体"/>
                <w:color w:val="000000" w:themeColor="text1"/>
                <w:szCs w:val="21"/>
              </w:rPr>
            </w:pPr>
          </w:p>
        </w:tc>
        <w:tc>
          <w:tcPr>
            <w:tcW w:w="682"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877" w:type="dxa"/>
            <w:vAlign w:val="center"/>
          </w:tcPr>
          <w:p>
            <w:pPr>
              <w:spacing w:line="360" w:lineRule="auto"/>
              <w:ind w:firstLine="420" w:firstLineChars="200"/>
              <w:rPr>
                <w:rFonts w:ascii="宋体" w:hAnsi="宋体" w:cs="宋体"/>
                <w:color w:val="000000" w:themeColor="text1"/>
                <w:szCs w:val="21"/>
              </w:rPr>
            </w:pPr>
          </w:p>
        </w:tc>
        <w:tc>
          <w:tcPr>
            <w:tcW w:w="800" w:type="dxa"/>
            <w:vAlign w:val="center"/>
          </w:tcPr>
          <w:p>
            <w:pPr>
              <w:spacing w:line="360" w:lineRule="auto"/>
              <w:ind w:firstLine="420" w:firstLineChars="200"/>
              <w:rPr>
                <w:rFonts w:ascii="宋体" w:hAnsi="宋体" w:cs="宋体"/>
                <w:color w:val="000000" w:themeColor="text1"/>
                <w:szCs w:val="21"/>
              </w:rPr>
            </w:pPr>
          </w:p>
        </w:tc>
        <w:tc>
          <w:tcPr>
            <w:tcW w:w="850"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000000" w:themeColor="text1"/>
                <w:szCs w:val="21"/>
              </w:rPr>
            </w:pPr>
          </w:p>
        </w:tc>
        <w:tc>
          <w:tcPr>
            <w:tcW w:w="900" w:type="dxa"/>
            <w:vAlign w:val="center"/>
          </w:tcPr>
          <w:p>
            <w:pPr>
              <w:spacing w:line="360" w:lineRule="auto"/>
              <w:ind w:firstLine="420" w:firstLineChars="200"/>
              <w:rPr>
                <w:rFonts w:ascii="宋体" w:hAnsi="宋体" w:cs="宋体"/>
                <w:color w:val="000000" w:themeColor="text1"/>
                <w:szCs w:val="21"/>
              </w:rPr>
            </w:pPr>
          </w:p>
        </w:tc>
        <w:tc>
          <w:tcPr>
            <w:tcW w:w="1319" w:type="dxa"/>
            <w:vAlign w:val="center"/>
          </w:tcPr>
          <w:p>
            <w:pPr>
              <w:spacing w:line="360" w:lineRule="auto"/>
              <w:ind w:firstLine="420" w:firstLineChars="200"/>
              <w:rPr>
                <w:rFonts w:ascii="宋体" w:hAnsi="宋体" w:cs="宋体"/>
                <w:color w:val="000000" w:themeColor="text1"/>
                <w:szCs w:val="21"/>
              </w:rPr>
            </w:pPr>
          </w:p>
        </w:tc>
        <w:tc>
          <w:tcPr>
            <w:tcW w:w="682"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877" w:type="dxa"/>
            <w:vAlign w:val="center"/>
          </w:tcPr>
          <w:p>
            <w:pPr>
              <w:spacing w:line="360" w:lineRule="auto"/>
              <w:ind w:firstLine="420" w:firstLineChars="200"/>
              <w:rPr>
                <w:rFonts w:ascii="宋体" w:hAnsi="宋体" w:cs="宋体"/>
                <w:color w:val="000000" w:themeColor="text1"/>
                <w:szCs w:val="21"/>
              </w:rPr>
            </w:pPr>
          </w:p>
        </w:tc>
        <w:tc>
          <w:tcPr>
            <w:tcW w:w="800" w:type="dxa"/>
            <w:vAlign w:val="center"/>
          </w:tcPr>
          <w:p>
            <w:pPr>
              <w:spacing w:line="360" w:lineRule="auto"/>
              <w:ind w:firstLine="420" w:firstLineChars="200"/>
              <w:rPr>
                <w:rFonts w:ascii="宋体" w:hAnsi="宋体" w:cs="宋体"/>
                <w:color w:val="000000" w:themeColor="text1"/>
                <w:szCs w:val="21"/>
              </w:rPr>
            </w:pPr>
          </w:p>
        </w:tc>
        <w:tc>
          <w:tcPr>
            <w:tcW w:w="850"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000000" w:themeColor="text1"/>
                <w:szCs w:val="21"/>
              </w:rPr>
            </w:pPr>
          </w:p>
        </w:tc>
        <w:tc>
          <w:tcPr>
            <w:tcW w:w="900" w:type="dxa"/>
            <w:vAlign w:val="center"/>
          </w:tcPr>
          <w:p>
            <w:pPr>
              <w:spacing w:line="360" w:lineRule="auto"/>
              <w:ind w:firstLine="420" w:firstLineChars="200"/>
              <w:rPr>
                <w:rFonts w:ascii="宋体" w:hAnsi="宋体" w:cs="宋体"/>
                <w:color w:val="000000" w:themeColor="text1"/>
                <w:szCs w:val="21"/>
              </w:rPr>
            </w:pPr>
          </w:p>
        </w:tc>
        <w:tc>
          <w:tcPr>
            <w:tcW w:w="1319" w:type="dxa"/>
            <w:vAlign w:val="center"/>
          </w:tcPr>
          <w:p>
            <w:pPr>
              <w:spacing w:line="360" w:lineRule="auto"/>
              <w:ind w:firstLine="420" w:firstLineChars="200"/>
              <w:rPr>
                <w:rFonts w:ascii="宋体" w:hAnsi="宋体" w:cs="宋体"/>
                <w:color w:val="000000" w:themeColor="text1"/>
                <w:szCs w:val="21"/>
              </w:rPr>
            </w:pPr>
          </w:p>
        </w:tc>
        <w:tc>
          <w:tcPr>
            <w:tcW w:w="682"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877" w:type="dxa"/>
            <w:vAlign w:val="center"/>
          </w:tcPr>
          <w:p>
            <w:pPr>
              <w:spacing w:line="360" w:lineRule="auto"/>
              <w:ind w:firstLine="420" w:firstLineChars="200"/>
              <w:rPr>
                <w:rFonts w:ascii="宋体" w:hAnsi="宋体" w:cs="宋体"/>
                <w:color w:val="000000" w:themeColor="text1"/>
                <w:szCs w:val="21"/>
              </w:rPr>
            </w:pPr>
          </w:p>
        </w:tc>
        <w:tc>
          <w:tcPr>
            <w:tcW w:w="800" w:type="dxa"/>
            <w:vAlign w:val="center"/>
          </w:tcPr>
          <w:p>
            <w:pPr>
              <w:spacing w:line="360" w:lineRule="auto"/>
              <w:ind w:firstLine="420" w:firstLineChars="200"/>
              <w:rPr>
                <w:rFonts w:ascii="宋体" w:hAnsi="宋体" w:cs="宋体"/>
                <w:color w:val="000000" w:themeColor="text1"/>
                <w:szCs w:val="21"/>
              </w:rPr>
            </w:pPr>
          </w:p>
        </w:tc>
        <w:tc>
          <w:tcPr>
            <w:tcW w:w="850"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c>
          <w:tcPr>
            <w:tcW w:w="709" w:type="dxa"/>
            <w:vAlign w:val="center"/>
          </w:tcPr>
          <w:p>
            <w:pPr>
              <w:spacing w:line="360" w:lineRule="auto"/>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000000" w:themeColor="text1"/>
                <w:sz w:val="32"/>
              </w:rPr>
            </w:pPr>
          </w:p>
        </w:tc>
        <w:tc>
          <w:tcPr>
            <w:tcW w:w="900" w:type="dxa"/>
            <w:vAlign w:val="center"/>
          </w:tcPr>
          <w:p>
            <w:pPr>
              <w:spacing w:line="360" w:lineRule="auto"/>
              <w:ind w:firstLine="640" w:firstLineChars="200"/>
              <w:rPr>
                <w:rFonts w:ascii="宋体" w:hAnsi="宋体" w:cs="宋体"/>
                <w:color w:val="000000" w:themeColor="text1"/>
                <w:sz w:val="32"/>
              </w:rPr>
            </w:pPr>
          </w:p>
        </w:tc>
        <w:tc>
          <w:tcPr>
            <w:tcW w:w="1319" w:type="dxa"/>
            <w:vAlign w:val="center"/>
          </w:tcPr>
          <w:p>
            <w:pPr>
              <w:spacing w:line="360" w:lineRule="auto"/>
              <w:ind w:firstLine="640" w:firstLineChars="200"/>
              <w:rPr>
                <w:rFonts w:ascii="宋体" w:hAnsi="宋体" w:cs="宋体"/>
                <w:color w:val="000000" w:themeColor="text1"/>
                <w:sz w:val="32"/>
              </w:rPr>
            </w:pPr>
          </w:p>
        </w:tc>
        <w:tc>
          <w:tcPr>
            <w:tcW w:w="682"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877" w:type="dxa"/>
            <w:vAlign w:val="center"/>
          </w:tcPr>
          <w:p>
            <w:pPr>
              <w:spacing w:line="360" w:lineRule="auto"/>
              <w:ind w:firstLine="640" w:firstLineChars="200"/>
              <w:rPr>
                <w:rFonts w:ascii="宋体" w:hAnsi="宋体" w:cs="宋体"/>
                <w:color w:val="000000" w:themeColor="text1"/>
                <w:sz w:val="32"/>
              </w:rPr>
            </w:pPr>
          </w:p>
        </w:tc>
        <w:tc>
          <w:tcPr>
            <w:tcW w:w="800" w:type="dxa"/>
            <w:vAlign w:val="center"/>
          </w:tcPr>
          <w:p>
            <w:pPr>
              <w:spacing w:line="360" w:lineRule="auto"/>
              <w:ind w:firstLine="640" w:firstLineChars="200"/>
              <w:rPr>
                <w:rFonts w:ascii="宋体" w:hAnsi="宋体" w:cs="宋体"/>
                <w:color w:val="000000" w:themeColor="text1"/>
                <w:sz w:val="32"/>
              </w:rPr>
            </w:pPr>
          </w:p>
        </w:tc>
        <w:tc>
          <w:tcPr>
            <w:tcW w:w="850"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c>
          <w:tcPr>
            <w:tcW w:w="709" w:type="dxa"/>
            <w:vAlign w:val="center"/>
          </w:tcPr>
          <w:p>
            <w:pPr>
              <w:spacing w:line="360" w:lineRule="auto"/>
              <w:ind w:firstLine="640" w:firstLineChars="200"/>
              <w:rPr>
                <w:rFonts w:ascii="宋体" w:hAnsi="宋体" w:cs="宋体"/>
                <w:color w:val="000000" w:themeColor="text1"/>
                <w:sz w:val="32"/>
              </w:rPr>
            </w:pPr>
          </w:p>
        </w:tc>
      </w:tr>
    </w:tbl>
    <w:p>
      <w:pPr>
        <w:spacing w:line="360" w:lineRule="auto"/>
        <w:ind w:firstLine="643" w:firstLineChars="200"/>
        <w:rPr>
          <w:rFonts w:ascii="宋体" w:hAnsi="宋体" w:cs="宋体"/>
          <w:b/>
          <w:color w:val="000000" w:themeColor="text1"/>
          <w:sz w:val="32"/>
        </w:rPr>
      </w:pP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附件2：</w:t>
      </w:r>
    </w:p>
    <w:p>
      <w:pPr>
        <w:spacing w:line="360" w:lineRule="auto"/>
        <w:jc w:val="center"/>
        <w:rPr>
          <w:rFonts w:ascii="宋体" w:hAnsi="宋体" w:cs="宋体"/>
          <w:color w:val="000000" w:themeColor="text1"/>
          <w:sz w:val="44"/>
          <w:szCs w:val="44"/>
        </w:rPr>
      </w:pPr>
      <w:r>
        <w:rPr>
          <w:rFonts w:hint="eastAsia" w:ascii="宋体" w:hAnsi="宋体" w:cs="宋体"/>
          <w:color w:val="000000" w:themeColor="text1"/>
          <w:sz w:val="44"/>
          <w:szCs w:val="44"/>
        </w:rPr>
        <w:t>主要材料设备一览表</w:t>
      </w:r>
    </w:p>
    <w:tbl>
      <w:tblPr>
        <w:tblStyle w:val="4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1446"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材料</w:t>
            </w:r>
          </w:p>
          <w:p>
            <w:pPr>
              <w:jc w:val="center"/>
              <w:rPr>
                <w:rFonts w:ascii="宋体" w:hAnsi="宋体" w:cs="宋体"/>
                <w:color w:val="000000" w:themeColor="text1"/>
                <w:szCs w:val="21"/>
              </w:rPr>
            </w:pPr>
            <w:r>
              <w:rPr>
                <w:rFonts w:hint="eastAsia" w:ascii="宋体" w:hAnsi="宋体" w:cs="宋体"/>
                <w:color w:val="000000" w:themeColor="text1"/>
                <w:szCs w:val="21"/>
              </w:rPr>
              <w:t>设备</w:t>
            </w:r>
          </w:p>
          <w:p>
            <w:pPr>
              <w:jc w:val="center"/>
              <w:rPr>
                <w:rFonts w:ascii="宋体" w:hAnsi="宋体" w:cs="宋体"/>
                <w:color w:val="000000" w:themeColor="text1"/>
                <w:szCs w:val="21"/>
              </w:rPr>
            </w:pPr>
            <w:r>
              <w:rPr>
                <w:rFonts w:hint="eastAsia" w:ascii="宋体" w:hAnsi="宋体" w:cs="宋体"/>
                <w:color w:val="000000" w:themeColor="text1"/>
                <w:szCs w:val="21"/>
              </w:rPr>
              <w:t>品种</w:t>
            </w:r>
          </w:p>
        </w:tc>
        <w:tc>
          <w:tcPr>
            <w:tcW w:w="851"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规格</w:t>
            </w:r>
          </w:p>
          <w:p>
            <w:pPr>
              <w:jc w:val="center"/>
              <w:rPr>
                <w:rFonts w:ascii="宋体" w:hAnsi="宋体" w:cs="宋体"/>
                <w:color w:val="000000" w:themeColor="text1"/>
                <w:szCs w:val="21"/>
              </w:rPr>
            </w:pPr>
            <w:r>
              <w:rPr>
                <w:rFonts w:hint="eastAsia" w:ascii="宋体" w:hAnsi="宋体" w:cs="宋体"/>
                <w:color w:val="000000" w:themeColor="text1"/>
                <w:szCs w:val="21"/>
              </w:rPr>
              <w:t>型号</w:t>
            </w:r>
          </w:p>
        </w:tc>
        <w:tc>
          <w:tcPr>
            <w:tcW w:w="70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8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851"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单价</w:t>
            </w:r>
          </w:p>
        </w:tc>
        <w:tc>
          <w:tcPr>
            <w:tcW w:w="736"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质量等级</w:t>
            </w:r>
          </w:p>
        </w:tc>
        <w:tc>
          <w:tcPr>
            <w:tcW w:w="9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供应</w:t>
            </w:r>
          </w:p>
          <w:p>
            <w:pPr>
              <w:jc w:val="center"/>
              <w:rPr>
                <w:rFonts w:ascii="宋体" w:hAnsi="宋体" w:cs="宋体"/>
                <w:color w:val="000000" w:themeColor="text1"/>
                <w:szCs w:val="21"/>
              </w:rPr>
            </w:pPr>
            <w:r>
              <w:rPr>
                <w:rFonts w:hint="eastAsia" w:ascii="宋体" w:hAnsi="宋体" w:cs="宋体"/>
                <w:color w:val="000000" w:themeColor="text1"/>
                <w:szCs w:val="21"/>
              </w:rPr>
              <w:t>时间</w:t>
            </w:r>
          </w:p>
        </w:tc>
        <w:tc>
          <w:tcPr>
            <w:tcW w:w="108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送达</w:t>
            </w:r>
          </w:p>
          <w:p>
            <w:pPr>
              <w:jc w:val="center"/>
              <w:rPr>
                <w:rFonts w:ascii="宋体" w:hAnsi="宋体" w:cs="宋体"/>
                <w:color w:val="000000" w:themeColor="text1"/>
                <w:szCs w:val="21"/>
              </w:rPr>
            </w:pPr>
            <w:r>
              <w:rPr>
                <w:rFonts w:hint="eastAsia" w:ascii="宋体" w:hAnsi="宋体" w:cs="宋体"/>
                <w:color w:val="000000" w:themeColor="text1"/>
                <w:szCs w:val="21"/>
              </w:rPr>
              <w:t>地点</w:t>
            </w:r>
          </w:p>
        </w:tc>
        <w:tc>
          <w:tcPr>
            <w:tcW w:w="878"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000000" w:themeColor="text1"/>
                <w:sz w:val="40"/>
                <w:szCs w:val="32"/>
              </w:rPr>
            </w:pPr>
          </w:p>
        </w:tc>
        <w:tc>
          <w:tcPr>
            <w:tcW w:w="1446"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08" w:type="dxa"/>
            <w:vAlign w:val="center"/>
          </w:tcPr>
          <w:p>
            <w:pPr>
              <w:spacing w:line="360" w:lineRule="auto"/>
              <w:ind w:firstLine="800" w:firstLineChars="200"/>
              <w:rPr>
                <w:rFonts w:ascii="宋体" w:hAnsi="宋体" w:cs="宋体"/>
                <w:color w:val="000000" w:themeColor="text1"/>
                <w:sz w:val="40"/>
                <w:szCs w:val="32"/>
              </w:rPr>
            </w:pPr>
          </w:p>
        </w:tc>
        <w:tc>
          <w:tcPr>
            <w:tcW w:w="810" w:type="dxa"/>
            <w:vAlign w:val="center"/>
          </w:tcPr>
          <w:p>
            <w:pPr>
              <w:spacing w:line="360" w:lineRule="auto"/>
              <w:ind w:firstLine="800" w:firstLineChars="200"/>
              <w:rPr>
                <w:rFonts w:ascii="宋体" w:hAnsi="宋体" w:cs="宋体"/>
                <w:color w:val="000000" w:themeColor="text1"/>
                <w:sz w:val="40"/>
                <w:szCs w:val="32"/>
              </w:rPr>
            </w:pPr>
          </w:p>
        </w:tc>
        <w:tc>
          <w:tcPr>
            <w:tcW w:w="851" w:type="dxa"/>
            <w:vAlign w:val="center"/>
          </w:tcPr>
          <w:p>
            <w:pPr>
              <w:spacing w:line="360" w:lineRule="auto"/>
              <w:ind w:firstLine="800" w:firstLineChars="200"/>
              <w:rPr>
                <w:rFonts w:ascii="宋体" w:hAnsi="宋体" w:cs="宋体"/>
                <w:color w:val="000000" w:themeColor="text1"/>
                <w:sz w:val="40"/>
                <w:szCs w:val="32"/>
              </w:rPr>
            </w:pPr>
          </w:p>
        </w:tc>
        <w:tc>
          <w:tcPr>
            <w:tcW w:w="736" w:type="dxa"/>
            <w:vAlign w:val="center"/>
          </w:tcPr>
          <w:p>
            <w:pPr>
              <w:spacing w:line="360" w:lineRule="auto"/>
              <w:ind w:firstLine="800" w:firstLineChars="200"/>
              <w:rPr>
                <w:rFonts w:ascii="宋体" w:hAnsi="宋体" w:cs="宋体"/>
                <w:color w:val="000000" w:themeColor="text1"/>
                <w:sz w:val="40"/>
                <w:szCs w:val="32"/>
              </w:rPr>
            </w:pPr>
          </w:p>
        </w:tc>
        <w:tc>
          <w:tcPr>
            <w:tcW w:w="910" w:type="dxa"/>
            <w:vAlign w:val="center"/>
          </w:tcPr>
          <w:p>
            <w:pPr>
              <w:spacing w:line="360" w:lineRule="auto"/>
              <w:ind w:firstLine="800" w:firstLineChars="200"/>
              <w:rPr>
                <w:rFonts w:ascii="宋体" w:hAnsi="宋体" w:cs="宋体"/>
                <w:color w:val="000000" w:themeColor="text1"/>
                <w:sz w:val="40"/>
                <w:szCs w:val="32"/>
              </w:rPr>
            </w:pPr>
          </w:p>
        </w:tc>
        <w:tc>
          <w:tcPr>
            <w:tcW w:w="1088" w:type="dxa"/>
            <w:vAlign w:val="center"/>
          </w:tcPr>
          <w:p>
            <w:pPr>
              <w:spacing w:line="360" w:lineRule="auto"/>
              <w:ind w:firstLine="800" w:firstLineChars="200"/>
              <w:rPr>
                <w:rFonts w:ascii="宋体" w:hAnsi="宋体" w:cs="宋体"/>
                <w:color w:val="000000" w:themeColor="text1"/>
                <w:sz w:val="40"/>
                <w:szCs w:val="32"/>
              </w:rPr>
            </w:pPr>
          </w:p>
        </w:tc>
        <w:tc>
          <w:tcPr>
            <w:tcW w:w="878" w:type="dxa"/>
            <w:vAlign w:val="center"/>
          </w:tcPr>
          <w:p>
            <w:pPr>
              <w:spacing w:line="360" w:lineRule="auto"/>
              <w:ind w:firstLine="800" w:firstLineChars="200"/>
              <w:rPr>
                <w:rFonts w:ascii="宋体" w:hAnsi="宋体" w:cs="宋体"/>
                <w:color w:val="000000" w:themeColor="text1"/>
                <w:sz w:val="40"/>
                <w:szCs w:val="32"/>
              </w:rPr>
            </w:pPr>
          </w:p>
        </w:tc>
      </w:tr>
    </w:tbl>
    <w:p>
      <w:pPr>
        <w:spacing w:line="360" w:lineRule="auto"/>
        <w:rPr>
          <w:rFonts w:ascii="宋体" w:hAnsi="宋体" w:cs="宋体"/>
          <w:color w:val="000000" w:themeColor="text1"/>
          <w:sz w:val="28"/>
          <w:szCs w:val="28"/>
        </w:rPr>
      </w:pPr>
    </w:p>
    <w:p>
      <w:pPr>
        <w:spacing w:line="360" w:lineRule="auto"/>
        <w:rPr>
          <w:rFonts w:ascii="宋体" w:hAnsi="宋体" w:cs="宋体"/>
          <w:color w:val="000000" w:themeColor="text1"/>
          <w:sz w:val="28"/>
          <w:szCs w:val="28"/>
        </w:rPr>
      </w:pP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附件3：</w:t>
      </w:r>
    </w:p>
    <w:p>
      <w:pPr>
        <w:spacing w:line="360" w:lineRule="auto"/>
        <w:rPr>
          <w:rFonts w:ascii="宋体" w:hAnsi="宋体" w:cs="宋体"/>
          <w:b/>
          <w:bCs/>
          <w:color w:val="000000" w:themeColor="text1"/>
          <w:sz w:val="32"/>
        </w:rPr>
      </w:pPr>
    </w:p>
    <w:p>
      <w:pPr>
        <w:spacing w:line="360" w:lineRule="auto"/>
        <w:jc w:val="center"/>
        <w:rPr>
          <w:rFonts w:ascii="宋体" w:hAnsi="宋体" w:cs="宋体"/>
          <w:bCs/>
          <w:color w:val="000000" w:themeColor="text1"/>
          <w:sz w:val="36"/>
          <w:szCs w:val="36"/>
        </w:rPr>
      </w:pPr>
      <w:r>
        <w:rPr>
          <w:rFonts w:hint="eastAsia" w:ascii="宋体" w:hAnsi="宋体" w:cs="宋体"/>
          <w:bCs/>
          <w:color w:val="000000" w:themeColor="text1"/>
          <w:sz w:val="36"/>
          <w:szCs w:val="36"/>
        </w:rPr>
        <w:t>工程质量保修书</w:t>
      </w:r>
    </w:p>
    <w:p>
      <w:pPr>
        <w:spacing w:line="360" w:lineRule="auto"/>
        <w:ind w:firstLine="361" w:firstLineChars="200"/>
        <w:rPr>
          <w:rFonts w:ascii="宋体" w:hAnsi="宋体" w:cs="宋体"/>
          <w:b/>
          <w:bCs/>
          <w:color w:val="000000" w:themeColor="text1"/>
          <w:sz w:val="18"/>
          <w:szCs w:val="18"/>
        </w:rPr>
      </w:pP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发包人（全称）：</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承包人（全称）：</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为保证（工程名称）在合理使用期限内正常使用，发包人承包人协商一致签订工程质量保修书。承包人在质量保修期内按照有关管理规定及双方约定承担工程质量保修责任。</w:t>
      </w:r>
    </w:p>
    <w:p>
      <w:pPr>
        <w:ind w:firstLine="422" w:firstLineChars="200"/>
        <w:rPr>
          <w:rFonts w:ascii="宋体" w:hAnsi="宋体" w:cs="宋体"/>
          <w:b/>
          <w:color w:val="000000" w:themeColor="text1"/>
          <w:szCs w:val="21"/>
        </w:rPr>
      </w:pPr>
      <w:r>
        <w:rPr>
          <w:rFonts w:hint="eastAsia" w:ascii="宋体" w:hAnsi="宋体" w:cs="宋体"/>
          <w:b/>
          <w:color w:val="000000" w:themeColor="text1"/>
          <w:szCs w:val="21"/>
        </w:rPr>
        <w:t>一、工程质量保修范围和内容</w:t>
      </w:r>
    </w:p>
    <w:p>
      <w:pPr>
        <w:spacing w:line="44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22" w:firstLineChars="200"/>
        <w:rPr>
          <w:rFonts w:ascii="宋体" w:hAnsi="宋体" w:cs="宋体"/>
          <w:b/>
          <w:color w:val="000000" w:themeColor="text1"/>
          <w:szCs w:val="21"/>
        </w:rPr>
      </w:pPr>
      <w:r>
        <w:rPr>
          <w:rFonts w:hint="eastAsia" w:ascii="宋体" w:hAnsi="宋体" w:cs="宋体"/>
          <w:b/>
          <w:color w:val="000000" w:themeColor="text1"/>
          <w:szCs w:val="21"/>
        </w:rPr>
        <w:t>二、质量保修期</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质量保修期从工程实际竣工之日算起。分单项竣工验收的工程，按单项工程分别计算质量保修期。</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质量保修期自竣工验收合格之日起计算。</w:t>
      </w:r>
    </w:p>
    <w:p>
      <w:pPr>
        <w:ind w:firstLine="422" w:firstLineChars="200"/>
        <w:rPr>
          <w:rFonts w:ascii="宋体" w:hAnsi="宋体" w:cs="宋体"/>
          <w:b/>
          <w:color w:val="000000" w:themeColor="text1"/>
          <w:szCs w:val="21"/>
        </w:rPr>
      </w:pPr>
      <w:r>
        <w:rPr>
          <w:rFonts w:hint="eastAsia" w:ascii="宋体" w:hAnsi="宋体" w:cs="宋体"/>
          <w:b/>
          <w:color w:val="000000" w:themeColor="text1"/>
          <w:szCs w:val="21"/>
        </w:rPr>
        <w:t>三、质量保修责任</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3、在保修期内，无论发包方是否进入、占用或使用本工程，承包方均应继续承担合同中规定的责任及义务，直到合同终止。</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5、监理单位在工程质量保修期内的工作</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①、执行监理合同的约定，监督、检查承包方的工作，发现承包方未履行保修义务，除书面通知承包方，还应书面上报发包方。</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②、审批承包方编制的工程质量缺陷修整方案。</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③、承包方完成工程质量缺陷的修整后，组织有关部门进行验收，并将结果书面上报发包方。</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6、质量保修完成后，由发包人组织验收。</w:t>
      </w:r>
    </w:p>
    <w:p>
      <w:pPr>
        <w:ind w:firstLine="422" w:firstLineChars="200"/>
        <w:rPr>
          <w:rFonts w:ascii="宋体" w:hAnsi="宋体" w:cs="宋体"/>
          <w:b/>
          <w:color w:val="000000" w:themeColor="text1"/>
          <w:szCs w:val="21"/>
        </w:rPr>
      </w:pPr>
      <w:r>
        <w:rPr>
          <w:rFonts w:hint="eastAsia" w:ascii="宋体" w:hAnsi="宋体" w:cs="宋体"/>
          <w:b/>
          <w:color w:val="000000" w:themeColor="text1"/>
          <w:szCs w:val="21"/>
        </w:rPr>
        <w:t>四、保修费用</w:t>
      </w:r>
    </w:p>
    <w:p>
      <w:pPr>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保修费用由造成质量缺陷的责任方承担。</w:t>
      </w:r>
    </w:p>
    <w:p>
      <w:pPr>
        <w:ind w:firstLine="422" w:firstLineChars="200"/>
        <w:rPr>
          <w:rFonts w:ascii="宋体" w:hAnsi="宋体" w:cs="宋体"/>
          <w:b/>
          <w:color w:val="000000" w:themeColor="text1"/>
          <w:szCs w:val="21"/>
        </w:rPr>
      </w:pPr>
      <w:r>
        <w:rPr>
          <w:rFonts w:hint="eastAsia" w:ascii="宋体" w:hAnsi="宋体" w:cs="宋体"/>
          <w:b/>
          <w:color w:val="000000" w:themeColor="text1"/>
          <w:szCs w:val="21"/>
        </w:rPr>
        <w:t>五、其他</w:t>
      </w:r>
    </w:p>
    <w:p>
      <w:pPr>
        <w:spacing w:line="44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双方约定的其他工程质量保修事项：</w:t>
      </w:r>
      <w:r>
        <w:rPr>
          <w:rFonts w:hint="eastAsia" w:ascii="宋体" w:hAnsi="宋体" w:cs="宋体"/>
          <w:color w:val="000000" w:themeColor="text1"/>
          <w:szCs w:val="21"/>
          <w:u w:val="single"/>
        </w:rPr>
        <w:t>若承包方不能按期约定期限内履行保修责任，发包方有权自行维修，所产生的费用从质量保证金中扣除。</w:t>
      </w:r>
    </w:p>
    <w:p>
      <w:pPr>
        <w:spacing w:line="44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本工程质量保修书，由施工合同发包人、承包人双方在竣工验收前共同签署，作为施工合同附件，其有效期限至保修期满。</w:t>
      </w:r>
    </w:p>
    <w:p>
      <w:pPr>
        <w:spacing w:line="360" w:lineRule="auto"/>
        <w:ind w:firstLine="420" w:firstLineChars="200"/>
        <w:rPr>
          <w:rFonts w:ascii="宋体" w:hAnsi="宋体" w:cs="宋体"/>
          <w:color w:val="000000" w:themeColor="text1"/>
          <w:szCs w:val="21"/>
        </w:rPr>
      </w:pPr>
    </w:p>
    <w:p>
      <w:pPr>
        <w:spacing w:line="360" w:lineRule="auto"/>
        <w:ind w:firstLine="420" w:firstLineChars="200"/>
        <w:rPr>
          <w:rFonts w:ascii="宋体" w:hAnsi="宋体" w:cs="宋体"/>
          <w:color w:val="000000" w:themeColor="text1"/>
          <w:szCs w:val="21"/>
        </w:rPr>
      </w:pP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发包人（公章）：                       承包人（公章）：</w:t>
      </w:r>
    </w:p>
    <w:p>
      <w:pPr>
        <w:spacing w:line="360" w:lineRule="auto"/>
        <w:ind w:firstLine="420" w:firstLineChars="200"/>
        <w:rPr>
          <w:rFonts w:ascii="宋体" w:hAnsi="宋体" w:cs="宋体"/>
          <w:color w:val="000000" w:themeColor="text1"/>
          <w:szCs w:val="21"/>
        </w:rPr>
      </w:pP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法定代表人或                           法定代表人或</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委托代理人（签字）：                    委托代理人（签字）：</w:t>
      </w:r>
    </w:p>
    <w:p>
      <w:pPr>
        <w:spacing w:line="360" w:lineRule="auto"/>
        <w:ind w:firstLine="420" w:firstLineChars="200"/>
        <w:rPr>
          <w:rFonts w:ascii="宋体" w:hAnsi="宋体" w:cs="宋体"/>
          <w:color w:val="000000" w:themeColor="text1"/>
          <w:szCs w:val="21"/>
        </w:rPr>
      </w:pPr>
    </w:p>
    <w:p>
      <w:pPr>
        <w:spacing w:line="360" w:lineRule="auto"/>
        <w:ind w:firstLine="1785" w:firstLineChars="850"/>
        <w:rPr>
          <w:rFonts w:ascii="宋体" w:hAnsi="宋体" w:cs="宋体"/>
          <w:color w:val="000000" w:themeColor="text1"/>
        </w:rPr>
      </w:pPr>
      <w:r>
        <w:rPr>
          <w:rFonts w:hint="eastAsia" w:ascii="宋体" w:hAnsi="宋体" w:cs="宋体"/>
          <w:color w:val="000000" w:themeColor="text1"/>
          <w:szCs w:val="21"/>
        </w:rPr>
        <w:t>年   月   日                         年   月   日</w:t>
      </w:r>
    </w:p>
    <w:p>
      <w:pPr>
        <w:ind w:firstLine="420" w:firstLineChars="200"/>
        <w:rPr>
          <w:rFonts w:ascii="宋体" w:hAnsi="宋体" w:cs="宋体"/>
          <w:color w:val="000000" w:themeColor="text1"/>
        </w:rPr>
      </w:pPr>
    </w:p>
    <w:p>
      <w:pPr>
        <w:jc w:val="center"/>
        <w:rPr>
          <w:rFonts w:ascii="宋体" w:hAnsi="宋体" w:cs="宋体"/>
          <w:b/>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321"/>
        <w:jc w:val="center"/>
        <w:rPr>
          <w:rFonts w:ascii="宋体" w:hAnsi="宋体" w:cs="宋体"/>
          <w:b/>
          <w:color w:val="000000" w:themeColor="text1"/>
          <w:sz w:val="32"/>
          <w:szCs w:val="32"/>
        </w:rPr>
      </w:pPr>
      <w:r>
        <w:rPr>
          <w:rFonts w:hint="eastAsia" w:ascii="宋体" w:hAnsi="宋体" w:cs="宋体"/>
          <w:b/>
          <w:color w:val="000000" w:themeColor="text1"/>
          <w:sz w:val="32"/>
          <w:szCs w:val="32"/>
        </w:rPr>
        <w:t>周口市政府采购合同融资政策告知函</w:t>
      </w: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p>
    <w:p>
      <w:pPr>
        <w:pStyle w:val="2"/>
        <w:ind w:firstLine="240"/>
        <w:rPr>
          <w:rFonts w:ascii="宋体" w:hAnsi="宋体" w:cs="宋体"/>
          <w:color w:val="000000" w:themeColor="text1"/>
          <w:sz w:val="24"/>
        </w:rPr>
      </w:pPr>
      <w:r>
        <w:rPr>
          <w:rFonts w:hint="eastAsia" w:ascii="宋体" w:hAnsi="宋体" w:cs="宋体"/>
          <w:color w:val="000000" w:themeColor="text1"/>
          <w:sz w:val="24"/>
        </w:rPr>
        <w:t>各供应商：</w:t>
      </w:r>
    </w:p>
    <w:p>
      <w:pPr>
        <w:pStyle w:val="2"/>
        <w:ind w:firstLine="240"/>
        <w:rPr>
          <w:rFonts w:ascii="宋体" w:hAnsi="宋体" w:cs="宋体"/>
          <w:color w:val="000000" w:themeColor="text1"/>
          <w:sz w:val="24"/>
        </w:rPr>
      </w:pPr>
      <w:r>
        <w:rPr>
          <w:rFonts w:hint="eastAsia" w:ascii="宋体" w:hAnsi="宋体" w:cs="宋体"/>
          <w:color w:val="000000" w:themeColor="text1"/>
          <w:sz w:val="24"/>
        </w:rPr>
        <w:t>欢迎贵公司参与周口市政府采购活动！</w:t>
      </w:r>
    </w:p>
    <w:p>
      <w:pPr>
        <w:pStyle w:val="2"/>
        <w:ind w:firstLine="240"/>
        <w:rPr>
          <w:rFonts w:ascii="宋体" w:hAnsi="宋体" w:cs="宋体"/>
          <w:color w:val="000000" w:themeColor="text1"/>
          <w:sz w:val="24"/>
        </w:rPr>
      </w:pPr>
      <w:r>
        <w:rPr>
          <w:rFonts w:hint="eastAsia" w:ascii="宋体" w:hAnsi="宋体" w:cs="宋体"/>
          <w:color w:val="000000" w:themeColor="text1"/>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
        <w:ind w:firstLine="240"/>
        <w:rPr>
          <w:rFonts w:ascii="宋体" w:hAnsi="宋体" w:cs="宋体"/>
          <w:color w:val="000000" w:themeColor="text1"/>
          <w:sz w:val="24"/>
        </w:rPr>
      </w:pPr>
      <w:r>
        <w:rPr>
          <w:rFonts w:hint="eastAsia" w:ascii="宋体" w:hAnsi="宋体" w:cs="宋体"/>
          <w:color w:val="000000" w:themeColor="text1"/>
          <w:sz w:val="24"/>
        </w:rPr>
        <w:t>贷款渠道和提供贷款的金融机构，可在河南省政府采购网“河南省政府采购合同融资平台”查询联系。</w:t>
      </w:r>
    </w:p>
    <w:p>
      <w:pPr>
        <w:spacing w:line="360" w:lineRule="auto"/>
        <w:rPr>
          <w:rFonts w:ascii="宋体" w:hAnsi="宋体" w:cs="宋体"/>
          <w:b/>
          <w:bCs/>
          <w:color w:val="000000" w:themeColor="text1"/>
          <w:sz w:val="24"/>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p>
      <w:pPr>
        <w:pStyle w:val="2"/>
        <w:ind w:firstLine="210"/>
        <w:rPr>
          <w:rFonts w:ascii="宋体" w:hAnsi="宋体" w:cs="宋体"/>
          <w:color w:val="000000" w:themeColor="text1"/>
        </w:rPr>
      </w:pPr>
    </w:p>
    <w:sectPr>
      <w:pgSz w:w="11906" w:h="16838"/>
      <w:pgMar w:top="1474" w:right="1474" w:bottom="1474" w:left="1474" w:header="851" w:footer="743"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548390"/>
    </w:sdtPr>
    <w:sdtContent>
      <w:p>
        <w:pPr>
          <w:pStyle w:val="31"/>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37766"/>
    </w:sdtPr>
    <w:sdtContent>
      <w:p>
        <w:pPr>
          <w:pStyle w:val="31"/>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B07BF"/>
    <w:multiLevelType w:val="singleLevel"/>
    <w:tmpl w:val="9A7B07BF"/>
    <w:lvl w:ilvl="0" w:tentative="0">
      <w:start w:val="3"/>
      <w:numFmt w:val="decimal"/>
      <w:lvlText w:val="%1."/>
      <w:lvlJc w:val="left"/>
      <w:pPr>
        <w:tabs>
          <w:tab w:val="left" w:pos="312"/>
        </w:tabs>
      </w:pPr>
    </w:lvl>
  </w:abstractNum>
  <w:abstractNum w:abstractNumId="1">
    <w:nsid w:val="EA87F1C9"/>
    <w:multiLevelType w:val="singleLevel"/>
    <w:tmpl w:val="EA87F1C9"/>
    <w:lvl w:ilvl="0" w:tentative="0">
      <w:start w:val="1"/>
      <w:numFmt w:val="decimal"/>
      <w:suff w:val="nothing"/>
      <w:lvlText w:val="（%1）"/>
      <w:lvlJc w:val="left"/>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4054F6"/>
    <w:multiLevelType w:val="multilevel"/>
    <w:tmpl w:val="074054F6"/>
    <w:lvl w:ilvl="0" w:tentative="0">
      <w:start w:val="1"/>
      <w:numFmt w:val="decimal"/>
      <w:pStyle w:val="55"/>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49E55F3"/>
    <w:multiLevelType w:val="singleLevel"/>
    <w:tmpl w:val="249E55F3"/>
    <w:lvl w:ilvl="0" w:tentative="0">
      <w:start w:val="1"/>
      <w:numFmt w:val="decimal"/>
      <w:suff w:val="nothing"/>
      <w:lvlText w:val="（%1）"/>
      <w:lvlJc w:val="left"/>
    </w:lvl>
  </w:abstractNum>
  <w:abstractNum w:abstractNumId="7">
    <w:nsid w:val="3B7C487B"/>
    <w:multiLevelType w:val="multilevel"/>
    <w:tmpl w:val="3B7C487B"/>
    <w:lvl w:ilvl="0" w:tentative="0">
      <w:start w:val="1"/>
      <w:numFmt w:val="decimal"/>
      <w:pStyle w:val="13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582276"/>
    <w:multiLevelType w:val="singleLevel"/>
    <w:tmpl w:val="5A582276"/>
    <w:lvl w:ilvl="0" w:tentative="0">
      <w:start w:val="1"/>
      <w:numFmt w:val="decimal"/>
      <w:suff w:val="nothing"/>
      <w:lvlText w:val="%1、"/>
      <w:lvlJc w:val="left"/>
      <w:pPr>
        <w:ind w:left="284" w:firstLine="0"/>
      </w:pPr>
    </w:lvl>
  </w:abstractNum>
  <w:abstractNum w:abstractNumId="9">
    <w:nsid w:val="6FE15701"/>
    <w:multiLevelType w:val="multilevel"/>
    <w:tmpl w:val="6FE15701"/>
    <w:lvl w:ilvl="0" w:tentative="0">
      <w:start w:val="1"/>
      <w:numFmt w:val="japaneseCounting"/>
      <w:pStyle w:val="14"/>
      <w:lvlText w:val="第%1章"/>
      <w:lvlJc w:val="left"/>
      <w:pPr>
        <w:tabs>
          <w:tab w:val="left" w:pos="3630"/>
        </w:tabs>
        <w:ind w:left="3630" w:hanging="11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7"/>
  </w:num>
  <w:num w:numId="4">
    <w:abstractNumId w:val="0"/>
  </w:num>
  <w:num w:numId="5">
    <w:abstractNumId w:val="4"/>
  </w:num>
  <w:num w:numId="6">
    <w:abstractNumId w:val="3"/>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4N2MzOGE3YTQ4OTdlZjJjMWMxMTM3OWRlN2U3MmIifQ=="/>
    <w:docVar w:name="KSO_WPS_MARK_KEY" w:val="6d08c0fe-e86d-405a-a6d3-76b8435c5de2"/>
  </w:docVars>
  <w:rsids>
    <w:rsidRoot w:val="00172A27"/>
    <w:rsid w:val="00000473"/>
    <w:rsid w:val="00000EB7"/>
    <w:rsid w:val="00000EF8"/>
    <w:rsid w:val="00003AB0"/>
    <w:rsid w:val="000041E8"/>
    <w:rsid w:val="00006762"/>
    <w:rsid w:val="00006828"/>
    <w:rsid w:val="000102C8"/>
    <w:rsid w:val="00010B80"/>
    <w:rsid w:val="00010D52"/>
    <w:rsid w:val="000116EC"/>
    <w:rsid w:val="000129DA"/>
    <w:rsid w:val="00013396"/>
    <w:rsid w:val="0001390F"/>
    <w:rsid w:val="00013D3C"/>
    <w:rsid w:val="000144E9"/>
    <w:rsid w:val="00014E7F"/>
    <w:rsid w:val="000166DF"/>
    <w:rsid w:val="000176E7"/>
    <w:rsid w:val="000213BA"/>
    <w:rsid w:val="000225D9"/>
    <w:rsid w:val="00023585"/>
    <w:rsid w:val="000240DE"/>
    <w:rsid w:val="000247DD"/>
    <w:rsid w:val="00024866"/>
    <w:rsid w:val="00024C10"/>
    <w:rsid w:val="00027E59"/>
    <w:rsid w:val="0003097C"/>
    <w:rsid w:val="00032D0E"/>
    <w:rsid w:val="00034FFE"/>
    <w:rsid w:val="000353DA"/>
    <w:rsid w:val="00035478"/>
    <w:rsid w:val="00037C3B"/>
    <w:rsid w:val="00037CD1"/>
    <w:rsid w:val="0004092B"/>
    <w:rsid w:val="000410D0"/>
    <w:rsid w:val="0004275F"/>
    <w:rsid w:val="000428C3"/>
    <w:rsid w:val="00044123"/>
    <w:rsid w:val="00044689"/>
    <w:rsid w:val="000449D3"/>
    <w:rsid w:val="00045FE3"/>
    <w:rsid w:val="000462F8"/>
    <w:rsid w:val="00050196"/>
    <w:rsid w:val="000511E4"/>
    <w:rsid w:val="00052DCC"/>
    <w:rsid w:val="00053904"/>
    <w:rsid w:val="0005462A"/>
    <w:rsid w:val="000554ED"/>
    <w:rsid w:val="0005550A"/>
    <w:rsid w:val="00057B77"/>
    <w:rsid w:val="00057BB8"/>
    <w:rsid w:val="00064DFD"/>
    <w:rsid w:val="00072E3B"/>
    <w:rsid w:val="00074154"/>
    <w:rsid w:val="00074405"/>
    <w:rsid w:val="000829BC"/>
    <w:rsid w:val="00085194"/>
    <w:rsid w:val="00086641"/>
    <w:rsid w:val="00086B9C"/>
    <w:rsid w:val="00090B04"/>
    <w:rsid w:val="00091B49"/>
    <w:rsid w:val="00092032"/>
    <w:rsid w:val="000928CD"/>
    <w:rsid w:val="00094BB5"/>
    <w:rsid w:val="000972A7"/>
    <w:rsid w:val="000A1990"/>
    <w:rsid w:val="000A26CA"/>
    <w:rsid w:val="000A2A0D"/>
    <w:rsid w:val="000A31BC"/>
    <w:rsid w:val="000A3450"/>
    <w:rsid w:val="000A44B1"/>
    <w:rsid w:val="000A4727"/>
    <w:rsid w:val="000A5315"/>
    <w:rsid w:val="000A5910"/>
    <w:rsid w:val="000A6D57"/>
    <w:rsid w:val="000B3B85"/>
    <w:rsid w:val="000B63FB"/>
    <w:rsid w:val="000B7098"/>
    <w:rsid w:val="000B7DCA"/>
    <w:rsid w:val="000C0E0E"/>
    <w:rsid w:val="000C6D87"/>
    <w:rsid w:val="000D1060"/>
    <w:rsid w:val="000D13CD"/>
    <w:rsid w:val="000D2221"/>
    <w:rsid w:val="000D2F55"/>
    <w:rsid w:val="000D2FDB"/>
    <w:rsid w:val="000D565E"/>
    <w:rsid w:val="000D5EE1"/>
    <w:rsid w:val="000D6875"/>
    <w:rsid w:val="000D7821"/>
    <w:rsid w:val="000E2676"/>
    <w:rsid w:val="000E2AFD"/>
    <w:rsid w:val="000E397E"/>
    <w:rsid w:val="000E6798"/>
    <w:rsid w:val="000E6816"/>
    <w:rsid w:val="000F00E0"/>
    <w:rsid w:val="000F1943"/>
    <w:rsid w:val="000F1C54"/>
    <w:rsid w:val="000F24C7"/>
    <w:rsid w:val="000F2895"/>
    <w:rsid w:val="000F2C10"/>
    <w:rsid w:val="000F4217"/>
    <w:rsid w:val="000F4829"/>
    <w:rsid w:val="000F528F"/>
    <w:rsid w:val="000F7A85"/>
    <w:rsid w:val="00101C3F"/>
    <w:rsid w:val="0010437E"/>
    <w:rsid w:val="00105318"/>
    <w:rsid w:val="00105AF5"/>
    <w:rsid w:val="001066EA"/>
    <w:rsid w:val="00110380"/>
    <w:rsid w:val="00111435"/>
    <w:rsid w:val="00112A3E"/>
    <w:rsid w:val="001141BD"/>
    <w:rsid w:val="001148DF"/>
    <w:rsid w:val="00114EC3"/>
    <w:rsid w:val="0011768E"/>
    <w:rsid w:val="00117E49"/>
    <w:rsid w:val="00117FA8"/>
    <w:rsid w:val="00120244"/>
    <w:rsid w:val="00121C11"/>
    <w:rsid w:val="00123AA2"/>
    <w:rsid w:val="00123B53"/>
    <w:rsid w:val="00124AA7"/>
    <w:rsid w:val="00125D09"/>
    <w:rsid w:val="001302F5"/>
    <w:rsid w:val="00130C9E"/>
    <w:rsid w:val="0013116E"/>
    <w:rsid w:val="001337D6"/>
    <w:rsid w:val="00135212"/>
    <w:rsid w:val="001359F5"/>
    <w:rsid w:val="001360DB"/>
    <w:rsid w:val="00136327"/>
    <w:rsid w:val="00142AE8"/>
    <w:rsid w:val="00142C35"/>
    <w:rsid w:val="00144E58"/>
    <w:rsid w:val="00146C5A"/>
    <w:rsid w:val="00150D42"/>
    <w:rsid w:val="00151055"/>
    <w:rsid w:val="001554F0"/>
    <w:rsid w:val="00156E7B"/>
    <w:rsid w:val="00157047"/>
    <w:rsid w:val="00163FD1"/>
    <w:rsid w:val="00164517"/>
    <w:rsid w:val="001670CA"/>
    <w:rsid w:val="00170FFC"/>
    <w:rsid w:val="001722BF"/>
    <w:rsid w:val="00172A27"/>
    <w:rsid w:val="001740C8"/>
    <w:rsid w:val="001741A6"/>
    <w:rsid w:val="0017512B"/>
    <w:rsid w:val="00176151"/>
    <w:rsid w:val="0018079E"/>
    <w:rsid w:val="00184381"/>
    <w:rsid w:val="00184875"/>
    <w:rsid w:val="00186974"/>
    <w:rsid w:val="00187487"/>
    <w:rsid w:val="00190D28"/>
    <w:rsid w:val="00191897"/>
    <w:rsid w:val="00192F31"/>
    <w:rsid w:val="00195842"/>
    <w:rsid w:val="00195D4F"/>
    <w:rsid w:val="00196563"/>
    <w:rsid w:val="00196EC8"/>
    <w:rsid w:val="001A0695"/>
    <w:rsid w:val="001A0CE2"/>
    <w:rsid w:val="001A0E62"/>
    <w:rsid w:val="001A0FE9"/>
    <w:rsid w:val="001A26F3"/>
    <w:rsid w:val="001A346F"/>
    <w:rsid w:val="001A520E"/>
    <w:rsid w:val="001A59B6"/>
    <w:rsid w:val="001A5BD3"/>
    <w:rsid w:val="001A5DCD"/>
    <w:rsid w:val="001A6651"/>
    <w:rsid w:val="001A6D2E"/>
    <w:rsid w:val="001A7DA5"/>
    <w:rsid w:val="001B18CC"/>
    <w:rsid w:val="001B3F2E"/>
    <w:rsid w:val="001B4945"/>
    <w:rsid w:val="001B4FAB"/>
    <w:rsid w:val="001B571F"/>
    <w:rsid w:val="001B576E"/>
    <w:rsid w:val="001B5FA9"/>
    <w:rsid w:val="001B65B0"/>
    <w:rsid w:val="001B7F67"/>
    <w:rsid w:val="001C1F3C"/>
    <w:rsid w:val="001C28FB"/>
    <w:rsid w:val="001C2A62"/>
    <w:rsid w:val="001C391D"/>
    <w:rsid w:val="001C5595"/>
    <w:rsid w:val="001C5B45"/>
    <w:rsid w:val="001C621E"/>
    <w:rsid w:val="001C7991"/>
    <w:rsid w:val="001C79AA"/>
    <w:rsid w:val="001D0EBF"/>
    <w:rsid w:val="001D309F"/>
    <w:rsid w:val="001D45CF"/>
    <w:rsid w:val="001D7BCE"/>
    <w:rsid w:val="001E44BC"/>
    <w:rsid w:val="001F07C6"/>
    <w:rsid w:val="001F1738"/>
    <w:rsid w:val="001F191D"/>
    <w:rsid w:val="001F2CA7"/>
    <w:rsid w:val="001F403F"/>
    <w:rsid w:val="001F441B"/>
    <w:rsid w:val="001F75F5"/>
    <w:rsid w:val="001F7C6C"/>
    <w:rsid w:val="00200168"/>
    <w:rsid w:val="002010D8"/>
    <w:rsid w:val="002025C2"/>
    <w:rsid w:val="002025CC"/>
    <w:rsid w:val="002029AD"/>
    <w:rsid w:val="00202EE5"/>
    <w:rsid w:val="00203F54"/>
    <w:rsid w:val="00204EA2"/>
    <w:rsid w:val="00206F03"/>
    <w:rsid w:val="00207987"/>
    <w:rsid w:val="00207D67"/>
    <w:rsid w:val="002111C1"/>
    <w:rsid w:val="00212001"/>
    <w:rsid w:val="00213C32"/>
    <w:rsid w:val="00213E36"/>
    <w:rsid w:val="0021469A"/>
    <w:rsid w:val="0021478A"/>
    <w:rsid w:val="00214FEB"/>
    <w:rsid w:val="00215559"/>
    <w:rsid w:val="002156E9"/>
    <w:rsid w:val="002176AB"/>
    <w:rsid w:val="0022038E"/>
    <w:rsid w:val="0022145E"/>
    <w:rsid w:val="00222214"/>
    <w:rsid w:val="00222577"/>
    <w:rsid w:val="00224F94"/>
    <w:rsid w:val="00225936"/>
    <w:rsid w:val="002277F6"/>
    <w:rsid w:val="00232939"/>
    <w:rsid w:val="0023359F"/>
    <w:rsid w:val="002341E1"/>
    <w:rsid w:val="00234457"/>
    <w:rsid w:val="00234D41"/>
    <w:rsid w:val="002355EF"/>
    <w:rsid w:val="00243775"/>
    <w:rsid w:val="002446C0"/>
    <w:rsid w:val="00245892"/>
    <w:rsid w:val="00246082"/>
    <w:rsid w:val="00247A19"/>
    <w:rsid w:val="0025069C"/>
    <w:rsid w:val="002511C6"/>
    <w:rsid w:val="00251777"/>
    <w:rsid w:val="00251AE3"/>
    <w:rsid w:val="00253FB6"/>
    <w:rsid w:val="00254718"/>
    <w:rsid w:val="00257C62"/>
    <w:rsid w:val="0026070B"/>
    <w:rsid w:val="00260A3D"/>
    <w:rsid w:val="00260F31"/>
    <w:rsid w:val="0026275C"/>
    <w:rsid w:val="00263270"/>
    <w:rsid w:val="00265597"/>
    <w:rsid w:val="00265B18"/>
    <w:rsid w:val="00270508"/>
    <w:rsid w:val="00270AB4"/>
    <w:rsid w:val="00273A99"/>
    <w:rsid w:val="00277094"/>
    <w:rsid w:val="00277E93"/>
    <w:rsid w:val="00280A38"/>
    <w:rsid w:val="00281907"/>
    <w:rsid w:val="00282FBE"/>
    <w:rsid w:val="0028315B"/>
    <w:rsid w:val="002833BA"/>
    <w:rsid w:val="00287C15"/>
    <w:rsid w:val="00292F1F"/>
    <w:rsid w:val="002935B7"/>
    <w:rsid w:val="002941D9"/>
    <w:rsid w:val="0029693F"/>
    <w:rsid w:val="002A078A"/>
    <w:rsid w:val="002A134F"/>
    <w:rsid w:val="002A2FB3"/>
    <w:rsid w:val="002A33CC"/>
    <w:rsid w:val="002A4502"/>
    <w:rsid w:val="002A6593"/>
    <w:rsid w:val="002A6941"/>
    <w:rsid w:val="002A76FC"/>
    <w:rsid w:val="002B0969"/>
    <w:rsid w:val="002B201C"/>
    <w:rsid w:val="002B29FD"/>
    <w:rsid w:val="002B4CF0"/>
    <w:rsid w:val="002B5ACA"/>
    <w:rsid w:val="002B7671"/>
    <w:rsid w:val="002B76E6"/>
    <w:rsid w:val="002B7726"/>
    <w:rsid w:val="002B7AB2"/>
    <w:rsid w:val="002C00CD"/>
    <w:rsid w:val="002C24BA"/>
    <w:rsid w:val="002C440E"/>
    <w:rsid w:val="002C50EE"/>
    <w:rsid w:val="002C5F9A"/>
    <w:rsid w:val="002C650A"/>
    <w:rsid w:val="002D29C5"/>
    <w:rsid w:val="002D2A87"/>
    <w:rsid w:val="002D2DA6"/>
    <w:rsid w:val="002D2E96"/>
    <w:rsid w:val="002D5F6C"/>
    <w:rsid w:val="002D6658"/>
    <w:rsid w:val="002D6811"/>
    <w:rsid w:val="002D7BB8"/>
    <w:rsid w:val="002E0264"/>
    <w:rsid w:val="002E0464"/>
    <w:rsid w:val="002E1413"/>
    <w:rsid w:val="002E3325"/>
    <w:rsid w:val="002E43AE"/>
    <w:rsid w:val="002E69A5"/>
    <w:rsid w:val="002F0758"/>
    <w:rsid w:val="002F1354"/>
    <w:rsid w:val="002F3064"/>
    <w:rsid w:val="002F60DD"/>
    <w:rsid w:val="002F678F"/>
    <w:rsid w:val="002F68A9"/>
    <w:rsid w:val="00300553"/>
    <w:rsid w:val="00300BC8"/>
    <w:rsid w:val="00304C09"/>
    <w:rsid w:val="00306083"/>
    <w:rsid w:val="00310468"/>
    <w:rsid w:val="00310CDB"/>
    <w:rsid w:val="00315AD3"/>
    <w:rsid w:val="00317937"/>
    <w:rsid w:val="00321519"/>
    <w:rsid w:val="00322F75"/>
    <w:rsid w:val="0032356A"/>
    <w:rsid w:val="00326B7A"/>
    <w:rsid w:val="00327B1D"/>
    <w:rsid w:val="00331FBF"/>
    <w:rsid w:val="003323F4"/>
    <w:rsid w:val="00335643"/>
    <w:rsid w:val="00336797"/>
    <w:rsid w:val="00336C0C"/>
    <w:rsid w:val="003370FE"/>
    <w:rsid w:val="00337E02"/>
    <w:rsid w:val="00341B57"/>
    <w:rsid w:val="0034239E"/>
    <w:rsid w:val="00342B36"/>
    <w:rsid w:val="00342B7F"/>
    <w:rsid w:val="00344594"/>
    <w:rsid w:val="0034643C"/>
    <w:rsid w:val="003475B1"/>
    <w:rsid w:val="00347673"/>
    <w:rsid w:val="00347F63"/>
    <w:rsid w:val="00350318"/>
    <w:rsid w:val="00350EC5"/>
    <w:rsid w:val="003532FE"/>
    <w:rsid w:val="0035425B"/>
    <w:rsid w:val="003611A2"/>
    <w:rsid w:val="0036629C"/>
    <w:rsid w:val="003664DE"/>
    <w:rsid w:val="00367065"/>
    <w:rsid w:val="00381FD5"/>
    <w:rsid w:val="0038214C"/>
    <w:rsid w:val="00385D0F"/>
    <w:rsid w:val="00386520"/>
    <w:rsid w:val="00390DBE"/>
    <w:rsid w:val="0039109A"/>
    <w:rsid w:val="003922B1"/>
    <w:rsid w:val="00393A6E"/>
    <w:rsid w:val="00397A34"/>
    <w:rsid w:val="003A363F"/>
    <w:rsid w:val="003A3D7E"/>
    <w:rsid w:val="003A4ABC"/>
    <w:rsid w:val="003A66D2"/>
    <w:rsid w:val="003B01DE"/>
    <w:rsid w:val="003B488B"/>
    <w:rsid w:val="003B49C7"/>
    <w:rsid w:val="003B4BC8"/>
    <w:rsid w:val="003B50AF"/>
    <w:rsid w:val="003B7EF7"/>
    <w:rsid w:val="003C0583"/>
    <w:rsid w:val="003C21D6"/>
    <w:rsid w:val="003C2A5C"/>
    <w:rsid w:val="003C4372"/>
    <w:rsid w:val="003C550C"/>
    <w:rsid w:val="003C5B13"/>
    <w:rsid w:val="003D1D7E"/>
    <w:rsid w:val="003D1ED8"/>
    <w:rsid w:val="003D40FA"/>
    <w:rsid w:val="003D68C0"/>
    <w:rsid w:val="003D6FEA"/>
    <w:rsid w:val="003D7330"/>
    <w:rsid w:val="003E24C0"/>
    <w:rsid w:val="003E271B"/>
    <w:rsid w:val="003E6408"/>
    <w:rsid w:val="003E7C35"/>
    <w:rsid w:val="003F033C"/>
    <w:rsid w:val="003F065F"/>
    <w:rsid w:val="003F0BE5"/>
    <w:rsid w:val="003F2257"/>
    <w:rsid w:val="003F2C02"/>
    <w:rsid w:val="003F2CB2"/>
    <w:rsid w:val="003F3167"/>
    <w:rsid w:val="003F43A3"/>
    <w:rsid w:val="003F5341"/>
    <w:rsid w:val="003F5858"/>
    <w:rsid w:val="004000D2"/>
    <w:rsid w:val="00400FC6"/>
    <w:rsid w:val="00400FE3"/>
    <w:rsid w:val="00405529"/>
    <w:rsid w:val="004060DB"/>
    <w:rsid w:val="004077E6"/>
    <w:rsid w:val="00410646"/>
    <w:rsid w:val="0041112D"/>
    <w:rsid w:val="00412000"/>
    <w:rsid w:val="00412743"/>
    <w:rsid w:val="004144EF"/>
    <w:rsid w:val="00415C0A"/>
    <w:rsid w:val="00415E9C"/>
    <w:rsid w:val="00416396"/>
    <w:rsid w:val="00417D8B"/>
    <w:rsid w:val="00421E87"/>
    <w:rsid w:val="00425844"/>
    <w:rsid w:val="00427E1C"/>
    <w:rsid w:val="00430E50"/>
    <w:rsid w:val="00432B6E"/>
    <w:rsid w:val="00432C59"/>
    <w:rsid w:val="00435EF8"/>
    <w:rsid w:val="00436E1E"/>
    <w:rsid w:val="00436E31"/>
    <w:rsid w:val="00436E32"/>
    <w:rsid w:val="0044054C"/>
    <w:rsid w:val="00440598"/>
    <w:rsid w:val="0044199E"/>
    <w:rsid w:val="00442325"/>
    <w:rsid w:val="00443C04"/>
    <w:rsid w:val="004441AE"/>
    <w:rsid w:val="004471E9"/>
    <w:rsid w:val="00450272"/>
    <w:rsid w:val="00451260"/>
    <w:rsid w:val="00451694"/>
    <w:rsid w:val="004534B7"/>
    <w:rsid w:val="004546C0"/>
    <w:rsid w:val="0045493B"/>
    <w:rsid w:val="00455899"/>
    <w:rsid w:val="0045594A"/>
    <w:rsid w:val="004568D7"/>
    <w:rsid w:val="00457F72"/>
    <w:rsid w:val="0046099F"/>
    <w:rsid w:val="00460BD0"/>
    <w:rsid w:val="00462B32"/>
    <w:rsid w:val="00464C5B"/>
    <w:rsid w:val="00464E23"/>
    <w:rsid w:val="00464F7F"/>
    <w:rsid w:val="00467BD4"/>
    <w:rsid w:val="00472EE4"/>
    <w:rsid w:val="00474866"/>
    <w:rsid w:val="00474C0A"/>
    <w:rsid w:val="00475851"/>
    <w:rsid w:val="00480775"/>
    <w:rsid w:val="00480D31"/>
    <w:rsid w:val="00483975"/>
    <w:rsid w:val="00484B9E"/>
    <w:rsid w:val="00487991"/>
    <w:rsid w:val="0049136B"/>
    <w:rsid w:val="00491ED5"/>
    <w:rsid w:val="00492A0C"/>
    <w:rsid w:val="00493EBA"/>
    <w:rsid w:val="00495DFE"/>
    <w:rsid w:val="00495EFB"/>
    <w:rsid w:val="004964AD"/>
    <w:rsid w:val="00497790"/>
    <w:rsid w:val="004A2891"/>
    <w:rsid w:val="004A2F6F"/>
    <w:rsid w:val="004A35A6"/>
    <w:rsid w:val="004A669D"/>
    <w:rsid w:val="004A6966"/>
    <w:rsid w:val="004B0282"/>
    <w:rsid w:val="004B253B"/>
    <w:rsid w:val="004B5809"/>
    <w:rsid w:val="004B6352"/>
    <w:rsid w:val="004B735C"/>
    <w:rsid w:val="004B7594"/>
    <w:rsid w:val="004B7D95"/>
    <w:rsid w:val="004C0209"/>
    <w:rsid w:val="004C23F8"/>
    <w:rsid w:val="004C2474"/>
    <w:rsid w:val="004C4124"/>
    <w:rsid w:val="004C4A46"/>
    <w:rsid w:val="004C5947"/>
    <w:rsid w:val="004C63B3"/>
    <w:rsid w:val="004D3555"/>
    <w:rsid w:val="004D63CD"/>
    <w:rsid w:val="004E01F6"/>
    <w:rsid w:val="004E0905"/>
    <w:rsid w:val="004E0E11"/>
    <w:rsid w:val="004E192B"/>
    <w:rsid w:val="004E2817"/>
    <w:rsid w:val="004E29E2"/>
    <w:rsid w:val="004E3B3D"/>
    <w:rsid w:val="004E3C63"/>
    <w:rsid w:val="004E43BF"/>
    <w:rsid w:val="004E5127"/>
    <w:rsid w:val="004E5BBD"/>
    <w:rsid w:val="004E5BF2"/>
    <w:rsid w:val="004F1798"/>
    <w:rsid w:val="004F1BB3"/>
    <w:rsid w:val="004F2FE1"/>
    <w:rsid w:val="004F3E35"/>
    <w:rsid w:val="004F400C"/>
    <w:rsid w:val="004F589F"/>
    <w:rsid w:val="004F613D"/>
    <w:rsid w:val="004F622A"/>
    <w:rsid w:val="004F6756"/>
    <w:rsid w:val="004F7D22"/>
    <w:rsid w:val="00500B54"/>
    <w:rsid w:val="00503834"/>
    <w:rsid w:val="00503FE1"/>
    <w:rsid w:val="00504C28"/>
    <w:rsid w:val="0050669F"/>
    <w:rsid w:val="00506ADF"/>
    <w:rsid w:val="005071E8"/>
    <w:rsid w:val="005101D3"/>
    <w:rsid w:val="00510C03"/>
    <w:rsid w:val="00512575"/>
    <w:rsid w:val="00513D0B"/>
    <w:rsid w:val="00515F4E"/>
    <w:rsid w:val="00520620"/>
    <w:rsid w:val="00521922"/>
    <w:rsid w:val="00522CAA"/>
    <w:rsid w:val="00522FAF"/>
    <w:rsid w:val="00526086"/>
    <w:rsid w:val="005269CB"/>
    <w:rsid w:val="005301E0"/>
    <w:rsid w:val="0053098E"/>
    <w:rsid w:val="00534938"/>
    <w:rsid w:val="00535274"/>
    <w:rsid w:val="00540C4C"/>
    <w:rsid w:val="00540C9B"/>
    <w:rsid w:val="005419CB"/>
    <w:rsid w:val="005429D6"/>
    <w:rsid w:val="00546FA3"/>
    <w:rsid w:val="005507A4"/>
    <w:rsid w:val="005513EA"/>
    <w:rsid w:val="00551E36"/>
    <w:rsid w:val="005530C9"/>
    <w:rsid w:val="00553A8B"/>
    <w:rsid w:val="00556822"/>
    <w:rsid w:val="005569F0"/>
    <w:rsid w:val="00557571"/>
    <w:rsid w:val="00560794"/>
    <w:rsid w:val="00560F1D"/>
    <w:rsid w:val="00561699"/>
    <w:rsid w:val="005643AA"/>
    <w:rsid w:val="00566AFD"/>
    <w:rsid w:val="00567DAF"/>
    <w:rsid w:val="005707F0"/>
    <w:rsid w:val="00572306"/>
    <w:rsid w:val="00572FC3"/>
    <w:rsid w:val="005745F5"/>
    <w:rsid w:val="005746FF"/>
    <w:rsid w:val="00575B7A"/>
    <w:rsid w:val="00576301"/>
    <w:rsid w:val="00581398"/>
    <w:rsid w:val="005822B2"/>
    <w:rsid w:val="00586720"/>
    <w:rsid w:val="0058696C"/>
    <w:rsid w:val="00586A07"/>
    <w:rsid w:val="00586B26"/>
    <w:rsid w:val="00586EB2"/>
    <w:rsid w:val="00587249"/>
    <w:rsid w:val="00591E69"/>
    <w:rsid w:val="00593E58"/>
    <w:rsid w:val="00594975"/>
    <w:rsid w:val="00594DBC"/>
    <w:rsid w:val="005959B4"/>
    <w:rsid w:val="005973B0"/>
    <w:rsid w:val="005A0AEF"/>
    <w:rsid w:val="005A1487"/>
    <w:rsid w:val="005A272A"/>
    <w:rsid w:val="005A497C"/>
    <w:rsid w:val="005A4B80"/>
    <w:rsid w:val="005A5948"/>
    <w:rsid w:val="005A60F7"/>
    <w:rsid w:val="005B0990"/>
    <w:rsid w:val="005B35EA"/>
    <w:rsid w:val="005B3A63"/>
    <w:rsid w:val="005B3AC1"/>
    <w:rsid w:val="005B3DA9"/>
    <w:rsid w:val="005B7620"/>
    <w:rsid w:val="005C0C3F"/>
    <w:rsid w:val="005C0FE1"/>
    <w:rsid w:val="005C1BEF"/>
    <w:rsid w:val="005C3659"/>
    <w:rsid w:val="005C374C"/>
    <w:rsid w:val="005C4554"/>
    <w:rsid w:val="005C627C"/>
    <w:rsid w:val="005C7D4D"/>
    <w:rsid w:val="005D0C84"/>
    <w:rsid w:val="005D1CE5"/>
    <w:rsid w:val="005D40FE"/>
    <w:rsid w:val="005D4762"/>
    <w:rsid w:val="005D58A2"/>
    <w:rsid w:val="005D69B1"/>
    <w:rsid w:val="005D69B6"/>
    <w:rsid w:val="005D6ACD"/>
    <w:rsid w:val="005D71B0"/>
    <w:rsid w:val="005E0004"/>
    <w:rsid w:val="005E260C"/>
    <w:rsid w:val="005E2F05"/>
    <w:rsid w:val="005E3A60"/>
    <w:rsid w:val="005E43B1"/>
    <w:rsid w:val="005E7502"/>
    <w:rsid w:val="005F1777"/>
    <w:rsid w:val="005F4D02"/>
    <w:rsid w:val="005F4D43"/>
    <w:rsid w:val="00600707"/>
    <w:rsid w:val="0060143F"/>
    <w:rsid w:val="00601BF7"/>
    <w:rsid w:val="006029E1"/>
    <w:rsid w:val="00607654"/>
    <w:rsid w:val="00607C8D"/>
    <w:rsid w:val="00610992"/>
    <w:rsid w:val="006112F2"/>
    <w:rsid w:val="006113CF"/>
    <w:rsid w:val="00611BEA"/>
    <w:rsid w:val="00611C60"/>
    <w:rsid w:val="006158DC"/>
    <w:rsid w:val="0061645A"/>
    <w:rsid w:val="0062126D"/>
    <w:rsid w:val="0062277C"/>
    <w:rsid w:val="006227BE"/>
    <w:rsid w:val="00624028"/>
    <w:rsid w:val="0062535E"/>
    <w:rsid w:val="00626882"/>
    <w:rsid w:val="0063018F"/>
    <w:rsid w:val="00630996"/>
    <w:rsid w:val="00632A25"/>
    <w:rsid w:val="00632C77"/>
    <w:rsid w:val="00634D4B"/>
    <w:rsid w:val="006362B0"/>
    <w:rsid w:val="00637EBB"/>
    <w:rsid w:val="00640BE6"/>
    <w:rsid w:val="0064221D"/>
    <w:rsid w:val="00642ED2"/>
    <w:rsid w:val="006436E1"/>
    <w:rsid w:val="0064576F"/>
    <w:rsid w:val="00645D29"/>
    <w:rsid w:val="0064691E"/>
    <w:rsid w:val="00650ECD"/>
    <w:rsid w:val="00650F06"/>
    <w:rsid w:val="00650FE0"/>
    <w:rsid w:val="006547BF"/>
    <w:rsid w:val="00661709"/>
    <w:rsid w:val="00664807"/>
    <w:rsid w:val="00665625"/>
    <w:rsid w:val="00666403"/>
    <w:rsid w:val="00666412"/>
    <w:rsid w:val="00666A24"/>
    <w:rsid w:val="00670265"/>
    <w:rsid w:val="00671CF7"/>
    <w:rsid w:val="006736EC"/>
    <w:rsid w:val="00675ACB"/>
    <w:rsid w:val="0067712E"/>
    <w:rsid w:val="0067790A"/>
    <w:rsid w:val="00677BEF"/>
    <w:rsid w:val="00682861"/>
    <w:rsid w:val="006828EF"/>
    <w:rsid w:val="00683330"/>
    <w:rsid w:val="00684046"/>
    <w:rsid w:val="00685DDD"/>
    <w:rsid w:val="00690481"/>
    <w:rsid w:val="00690661"/>
    <w:rsid w:val="00691B46"/>
    <w:rsid w:val="0069402B"/>
    <w:rsid w:val="0069638C"/>
    <w:rsid w:val="006A1EA6"/>
    <w:rsid w:val="006A3E62"/>
    <w:rsid w:val="006A4ACB"/>
    <w:rsid w:val="006A62A7"/>
    <w:rsid w:val="006A7C4C"/>
    <w:rsid w:val="006B09AC"/>
    <w:rsid w:val="006B3C32"/>
    <w:rsid w:val="006B3DB8"/>
    <w:rsid w:val="006B3EA5"/>
    <w:rsid w:val="006B41DC"/>
    <w:rsid w:val="006B59CE"/>
    <w:rsid w:val="006B70D2"/>
    <w:rsid w:val="006C1791"/>
    <w:rsid w:val="006C212D"/>
    <w:rsid w:val="006C36CA"/>
    <w:rsid w:val="006C4E8E"/>
    <w:rsid w:val="006C631F"/>
    <w:rsid w:val="006C7AB6"/>
    <w:rsid w:val="006D09EA"/>
    <w:rsid w:val="006D3E28"/>
    <w:rsid w:val="006D4773"/>
    <w:rsid w:val="006D4FBE"/>
    <w:rsid w:val="006D5251"/>
    <w:rsid w:val="006D5E9F"/>
    <w:rsid w:val="006D6E7A"/>
    <w:rsid w:val="006E33F1"/>
    <w:rsid w:val="006E430F"/>
    <w:rsid w:val="006E6C71"/>
    <w:rsid w:val="006E7B1A"/>
    <w:rsid w:val="006F1520"/>
    <w:rsid w:val="006F2521"/>
    <w:rsid w:val="006F3DCD"/>
    <w:rsid w:val="006F5446"/>
    <w:rsid w:val="006F66A7"/>
    <w:rsid w:val="006F68AD"/>
    <w:rsid w:val="006F6E79"/>
    <w:rsid w:val="007011CC"/>
    <w:rsid w:val="00702C0E"/>
    <w:rsid w:val="00702EE4"/>
    <w:rsid w:val="0070528D"/>
    <w:rsid w:val="0070566E"/>
    <w:rsid w:val="007057AF"/>
    <w:rsid w:val="00706198"/>
    <w:rsid w:val="00712DBF"/>
    <w:rsid w:val="007132E3"/>
    <w:rsid w:val="00713B99"/>
    <w:rsid w:val="00714C4C"/>
    <w:rsid w:val="00715BAF"/>
    <w:rsid w:val="00715F43"/>
    <w:rsid w:val="00725103"/>
    <w:rsid w:val="00726195"/>
    <w:rsid w:val="007268FD"/>
    <w:rsid w:val="007308EF"/>
    <w:rsid w:val="00731000"/>
    <w:rsid w:val="00731B66"/>
    <w:rsid w:val="00732671"/>
    <w:rsid w:val="00733E0E"/>
    <w:rsid w:val="007353E7"/>
    <w:rsid w:val="00741235"/>
    <w:rsid w:val="00741DF3"/>
    <w:rsid w:val="0074387E"/>
    <w:rsid w:val="00746210"/>
    <w:rsid w:val="00750540"/>
    <w:rsid w:val="007506F8"/>
    <w:rsid w:val="00750C72"/>
    <w:rsid w:val="00750F7B"/>
    <w:rsid w:val="0075240B"/>
    <w:rsid w:val="007547F4"/>
    <w:rsid w:val="007573BB"/>
    <w:rsid w:val="00757BE8"/>
    <w:rsid w:val="00760021"/>
    <w:rsid w:val="0076057D"/>
    <w:rsid w:val="00760FA4"/>
    <w:rsid w:val="0076290F"/>
    <w:rsid w:val="00762B8F"/>
    <w:rsid w:val="0076318B"/>
    <w:rsid w:val="007635E7"/>
    <w:rsid w:val="00763D00"/>
    <w:rsid w:val="00764780"/>
    <w:rsid w:val="00764CC5"/>
    <w:rsid w:val="00766947"/>
    <w:rsid w:val="00767862"/>
    <w:rsid w:val="00770850"/>
    <w:rsid w:val="00771B3B"/>
    <w:rsid w:val="007721BC"/>
    <w:rsid w:val="00772250"/>
    <w:rsid w:val="007729F2"/>
    <w:rsid w:val="00773D00"/>
    <w:rsid w:val="0077769A"/>
    <w:rsid w:val="00777F77"/>
    <w:rsid w:val="00781022"/>
    <w:rsid w:val="00781772"/>
    <w:rsid w:val="0078269B"/>
    <w:rsid w:val="0078354C"/>
    <w:rsid w:val="00784605"/>
    <w:rsid w:val="00785043"/>
    <w:rsid w:val="007865D6"/>
    <w:rsid w:val="00787659"/>
    <w:rsid w:val="00790254"/>
    <w:rsid w:val="0079197B"/>
    <w:rsid w:val="007940C5"/>
    <w:rsid w:val="00794935"/>
    <w:rsid w:val="00796F78"/>
    <w:rsid w:val="007A02D3"/>
    <w:rsid w:val="007A168C"/>
    <w:rsid w:val="007A1F1A"/>
    <w:rsid w:val="007A40EE"/>
    <w:rsid w:val="007A4956"/>
    <w:rsid w:val="007A6607"/>
    <w:rsid w:val="007A6ABB"/>
    <w:rsid w:val="007A759A"/>
    <w:rsid w:val="007B0228"/>
    <w:rsid w:val="007B26AB"/>
    <w:rsid w:val="007B3282"/>
    <w:rsid w:val="007B32BF"/>
    <w:rsid w:val="007B7DCC"/>
    <w:rsid w:val="007C0BDE"/>
    <w:rsid w:val="007C0E29"/>
    <w:rsid w:val="007C29C3"/>
    <w:rsid w:val="007C2E93"/>
    <w:rsid w:val="007C3B27"/>
    <w:rsid w:val="007C4817"/>
    <w:rsid w:val="007C5B30"/>
    <w:rsid w:val="007C66B3"/>
    <w:rsid w:val="007C6869"/>
    <w:rsid w:val="007C6B7C"/>
    <w:rsid w:val="007D4305"/>
    <w:rsid w:val="007D4614"/>
    <w:rsid w:val="007D68B2"/>
    <w:rsid w:val="007D7B48"/>
    <w:rsid w:val="007E1DC9"/>
    <w:rsid w:val="007E2C31"/>
    <w:rsid w:val="007E3F22"/>
    <w:rsid w:val="007E4794"/>
    <w:rsid w:val="007E5862"/>
    <w:rsid w:val="007E7BEB"/>
    <w:rsid w:val="007F01C0"/>
    <w:rsid w:val="007F0F99"/>
    <w:rsid w:val="007F1626"/>
    <w:rsid w:val="007F3259"/>
    <w:rsid w:val="007F3768"/>
    <w:rsid w:val="007F4E78"/>
    <w:rsid w:val="007F5265"/>
    <w:rsid w:val="007F56FF"/>
    <w:rsid w:val="007F68B3"/>
    <w:rsid w:val="007F6A57"/>
    <w:rsid w:val="007F7375"/>
    <w:rsid w:val="007F7BCC"/>
    <w:rsid w:val="007F7E0C"/>
    <w:rsid w:val="00802CDB"/>
    <w:rsid w:val="008037C7"/>
    <w:rsid w:val="0080554F"/>
    <w:rsid w:val="00806276"/>
    <w:rsid w:val="00807AF7"/>
    <w:rsid w:val="00807CAF"/>
    <w:rsid w:val="00810DA9"/>
    <w:rsid w:val="008127E6"/>
    <w:rsid w:val="0081290A"/>
    <w:rsid w:val="008154F8"/>
    <w:rsid w:val="00820071"/>
    <w:rsid w:val="00820E85"/>
    <w:rsid w:val="00821A98"/>
    <w:rsid w:val="00823371"/>
    <w:rsid w:val="0082346B"/>
    <w:rsid w:val="008235B8"/>
    <w:rsid w:val="008244E4"/>
    <w:rsid w:val="008249A0"/>
    <w:rsid w:val="008256E0"/>
    <w:rsid w:val="00826FE4"/>
    <w:rsid w:val="00827BA7"/>
    <w:rsid w:val="008300B9"/>
    <w:rsid w:val="00831307"/>
    <w:rsid w:val="008349B9"/>
    <w:rsid w:val="00834ADC"/>
    <w:rsid w:val="00834FC2"/>
    <w:rsid w:val="00840B58"/>
    <w:rsid w:val="008449D1"/>
    <w:rsid w:val="008452AB"/>
    <w:rsid w:val="00845AE3"/>
    <w:rsid w:val="008510EC"/>
    <w:rsid w:val="00852238"/>
    <w:rsid w:val="00852B11"/>
    <w:rsid w:val="00854EFA"/>
    <w:rsid w:val="008556E9"/>
    <w:rsid w:val="008567B8"/>
    <w:rsid w:val="00856F2B"/>
    <w:rsid w:val="0085795D"/>
    <w:rsid w:val="0086118F"/>
    <w:rsid w:val="00861E72"/>
    <w:rsid w:val="00862964"/>
    <w:rsid w:val="0086356B"/>
    <w:rsid w:val="00863BAA"/>
    <w:rsid w:val="0086450E"/>
    <w:rsid w:val="00864AFB"/>
    <w:rsid w:val="008674B1"/>
    <w:rsid w:val="0087215E"/>
    <w:rsid w:val="00873150"/>
    <w:rsid w:val="00876055"/>
    <w:rsid w:val="008773D9"/>
    <w:rsid w:val="00877A82"/>
    <w:rsid w:val="00880C7C"/>
    <w:rsid w:val="00884033"/>
    <w:rsid w:val="008852EB"/>
    <w:rsid w:val="0088598F"/>
    <w:rsid w:val="00885D9E"/>
    <w:rsid w:val="00886122"/>
    <w:rsid w:val="008878D1"/>
    <w:rsid w:val="0089021D"/>
    <w:rsid w:val="008947FA"/>
    <w:rsid w:val="008950FC"/>
    <w:rsid w:val="00895142"/>
    <w:rsid w:val="008972C2"/>
    <w:rsid w:val="008A0C51"/>
    <w:rsid w:val="008A22AC"/>
    <w:rsid w:val="008A2589"/>
    <w:rsid w:val="008A3440"/>
    <w:rsid w:val="008A3491"/>
    <w:rsid w:val="008A4F0E"/>
    <w:rsid w:val="008A50C8"/>
    <w:rsid w:val="008A57B7"/>
    <w:rsid w:val="008B0347"/>
    <w:rsid w:val="008B2E36"/>
    <w:rsid w:val="008B7EB7"/>
    <w:rsid w:val="008C0144"/>
    <w:rsid w:val="008C0B9D"/>
    <w:rsid w:val="008C1874"/>
    <w:rsid w:val="008C6665"/>
    <w:rsid w:val="008C6680"/>
    <w:rsid w:val="008C6860"/>
    <w:rsid w:val="008D05AD"/>
    <w:rsid w:val="008D064F"/>
    <w:rsid w:val="008D14C4"/>
    <w:rsid w:val="008D2636"/>
    <w:rsid w:val="008D2DED"/>
    <w:rsid w:val="008D4262"/>
    <w:rsid w:val="008D4286"/>
    <w:rsid w:val="008D4A74"/>
    <w:rsid w:val="008D4D85"/>
    <w:rsid w:val="008D5140"/>
    <w:rsid w:val="008D565A"/>
    <w:rsid w:val="008E00BA"/>
    <w:rsid w:val="008E0610"/>
    <w:rsid w:val="008E2171"/>
    <w:rsid w:val="008E6951"/>
    <w:rsid w:val="008F025C"/>
    <w:rsid w:val="008F0C14"/>
    <w:rsid w:val="008F0F1E"/>
    <w:rsid w:val="008F0F72"/>
    <w:rsid w:val="008F3065"/>
    <w:rsid w:val="008F565D"/>
    <w:rsid w:val="008F5994"/>
    <w:rsid w:val="008F6198"/>
    <w:rsid w:val="008F65DF"/>
    <w:rsid w:val="008F6672"/>
    <w:rsid w:val="00900148"/>
    <w:rsid w:val="009002BC"/>
    <w:rsid w:val="009042B7"/>
    <w:rsid w:val="00905099"/>
    <w:rsid w:val="0090553D"/>
    <w:rsid w:val="00907285"/>
    <w:rsid w:val="009103B2"/>
    <w:rsid w:val="009141DA"/>
    <w:rsid w:val="0091594C"/>
    <w:rsid w:val="00915AAD"/>
    <w:rsid w:val="0091644E"/>
    <w:rsid w:val="009202CA"/>
    <w:rsid w:val="00923FD9"/>
    <w:rsid w:val="00925B3E"/>
    <w:rsid w:val="00925D64"/>
    <w:rsid w:val="009262A0"/>
    <w:rsid w:val="0092693A"/>
    <w:rsid w:val="009269A2"/>
    <w:rsid w:val="00927212"/>
    <w:rsid w:val="0093017D"/>
    <w:rsid w:val="00933328"/>
    <w:rsid w:val="00933FF5"/>
    <w:rsid w:val="00934137"/>
    <w:rsid w:val="0094012B"/>
    <w:rsid w:val="009405C8"/>
    <w:rsid w:val="00940FB5"/>
    <w:rsid w:val="00942BDD"/>
    <w:rsid w:val="00942F13"/>
    <w:rsid w:val="00945398"/>
    <w:rsid w:val="00945CE4"/>
    <w:rsid w:val="009469B0"/>
    <w:rsid w:val="0095083A"/>
    <w:rsid w:val="00950DCC"/>
    <w:rsid w:val="00950E27"/>
    <w:rsid w:val="00950FF4"/>
    <w:rsid w:val="009521AA"/>
    <w:rsid w:val="00952D1B"/>
    <w:rsid w:val="00953737"/>
    <w:rsid w:val="00953A24"/>
    <w:rsid w:val="009559DE"/>
    <w:rsid w:val="00956F75"/>
    <w:rsid w:val="0096129A"/>
    <w:rsid w:val="00961F5E"/>
    <w:rsid w:val="00963E56"/>
    <w:rsid w:val="00970EA1"/>
    <w:rsid w:val="0097211C"/>
    <w:rsid w:val="00972DC8"/>
    <w:rsid w:val="00973AAE"/>
    <w:rsid w:val="00973CFC"/>
    <w:rsid w:val="00974D61"/>
    <w:rsid w:val="00976F18"/>
    <w:rsid w:val="00981EA7"/>
    <w:rsid w:val="009826D9"/>
    <w:rsid w:val="009833E8"/>
    <w:rsid w:val="00983ADF"/>
    <w:rsid w:val="0098423E"/>
    <w:rsid w:val="00984562"/>
    <w:rsid w:val="00985B87"/>
    <w:rsid w:val="00986993"/>
    <w:rsid w:val="009875D3"/>
    <w:rsid w:val="00990950"/>
    <w:rsid w:val="00991912"/>
    <w:rsid w:val="00994C52"/>
    <w:rsid w:val="00994E2B"/>
    <w:rsid w:val="0099617E"/>
    <w:rsid w:val="00997D7A"/>
    <w:rsid w:val="009A32D5"/>
    <w:rsid w:val="009A371D"/>
    <w:rsid w:val="009A5344"/>
    <w:rsid w:val="009A613A"/>
    <w:rsid w:val="009B067B"/>
    <w:rsid w:val="009B3CDE"/>
    <w:rsid w:val="009B4F49"/>
    <w:rsid w:val="009B640D"/>
    <w:rsid w:val="009B69A0"/>
    <w:rsid w:val="009C0A79"/>
    <w:rsid w:val="009C0C58"/>
    <w:rsid w:val="009C1641"/>
    <w:rsid w:val="009C1815"/>
    <w:rsid w:val="009C1E45"/>
    <w:rsid w:val="009C460A"/>
    <w:rsid w:val="009C4A93"/>
    <w:rsid w:val="009C4F37"/>
    <w:rsid w:val="009C7212"/>
    <w:rsid w:val="009D02F1"/>
    <w:rsid w:val="009D07AB"/>
    <w:rsid w:val="009D1DE2"/>
    <w:rsid w:val="009D1DF4"/>
    <w:rsid w:val="009D26B5"/>
    <w:rsid w:val="009D2780"/>
    <w:rsid w:val="009D3861"/>
    <w:rsid w:val="009D3CC0"/>
    <w:rsid w:val="009D43AA"/>
    <w:rsid w:val="009D5101"/>
    <w:rsid w:val="009D5275"/>
    <w:rsid w:val="009D6873"/>
    <w:rsid w:val="009D6E5C"/>
    <w:rsid w:val="009D7296"/>
    <w:rsid w:val="009D7626"/>
    <w:rsid w:val="009E120A"/>
    <w:rsid w:val="009E2358"/>
    <w:rsid w:val="009E3A35"/>
    <w:rsid w:val="009E48A6"/>
    <w:rsid w:val="009E61BA"/>
    <w:rsid w:val="009E720B"/>
    <w:rsid w:val="009E7F94"/>
    <w:rsid w:val="009F1296"/>
    <w:rsid w:val="009F498F"/>
    <w:rsid w:val="009F5158"/>
    <w:rsid w:val="009F59A9"/>
    <w:rsid w:val="009F7573"/>
    <w:rsid w:val="009F7B3A"/>
    <w:rsid w:val="00A05FC7"/>
    <w:rsid w:val="00A06048"/>
    <w:rsid w:val="00A07E95"/>
    <w:rsid w:val="00A10509"/>
    <w:rsid w:val="00A124AD"/>
    <w:rsid w:val="00A12A23"/>
    <w:rsid w:val="00A1483B"/>
    <w:rsid w:val="00A14CF1"/>
    <w:rsid w:val="00A14DB9"/>
    <w:rsid w:val="00A16B9A"/>
    <w:rsid w:val="00A17357"/>
    <w:rsid w:val="00A17904"/>
    <w:rsid w:val="00A21007"/>
    <w:rsid w:val="00A212E5"/>
    <w:rsid w:val="00A214DD"/>
    <w:rsid w:val="00A21FFC"/>
    <w:rsid w:val="00A248DE"/>
    <w:rsid w:val="00A37833"/>
    <w:rsid w:val="00A37B0D"/>
    <w:rsid w:val="00A37EC9"/>
    <w:rsid w:val="00A37FA9"/>
    <w:rsid w:val="00A41658"/>
    <w:rsid w:val="00A42D6A"/>
    <w:rsid w:val="00A43278"/>
    <w:rsid w:val="00A51635"/>
    <w:rsid w:val="00A51B1C"/>
    <w:rsid w:val="00A52293"/>
    <w:rsid w:val="00A54E30"/>
    <w:rsid w:val="00A55AEF"/>
    <w:rsid w:val="00A56791"/>
    <w:rsid w:val="00A567D5"/>
    <w:rsid w:val="00A57D6E"/>
    <w:rsid w:val="00A6243A"/>
    <w:rsid w:val="00A63352"/>
    <w:rsid w:val="00A65C90"/>
    <w:rsid w:val="00A66E27"/>
    <w:rsid w:val="00A672F3"/>
    <w:rsid w:val="00A71698"/>
    <w:rsid w:val="00A720FE"/>
    <w:rsid w:val="00A74266"/>
    <w:rsid w:val="00A76220"/>
    <w:rsid w:val="00A77C8F"/>
    <w:rsid w:val="00A82462"/>
    <w:rsid w:val="00A82800"/>
    <w:rsid w:val="00A83EC2"/>
    <w:rsid w:val="00A84318"/>
    <w:rsid w:val="00A85BCD"/>
    <w:rsid w:val="00A86E65"/>
    <w:rsid w:val="00A904CC"/>
    <w:rsid w:val="00A9111B"/>
    <w:rsid w:val="00A92B9A"/>
    <w:rsid w:val="00A94C34"/>
    <w:rsid w:val="00A96B4F"/>
    <w:rsid w:val="00AA128B"/>
    <w:rsid w:val="00AA3F38"/>
    <w:rsid w:val="00AA40C5"/>
    <w:rsid w:val="00AA5AED"/>
    <w:rsid w:val="00AA68A2"/>
    <w:rsid w:val="00AA77DD"/>
    <w:rsid w:val="00AB1BAE"/>
    <w:rsid w:val="00AB1EF8"/>
    <w:rsid w:val="00AB2081"/>
    <w:rsid w:val="00AB384C"/>
    <w:rsid w:val="00AB3E61"/>
    <w:rsid w:val="00AB40DB"/>
    <w:rsid w:val="00AB4E0E"/>
    <w:rsid w:val="00AB6952"/>
    <w:rsid w:val="00AB7180"/>
    <w:rsid w:val="00AC28E3"/>
    <w:rsid w:val="00AC342B"/>
    <w:rsid w:val="00AC68FB"/>
    <w:rsid w:val="00AD09E9"/>
    <w:rsid w:val="00AD1707"/>
    <w:rsid w:val="00AD1889"/>
    <w:rsid w:val="00AD4CA5"/>
    <w:rsid w:val="00AD6594"/>
    <w:rsid w:val="00AE0466"/>
    <w:rsid w:val="00AE701D"/>
    <w:rsid w:val="00AF7CA7"/>
    <w:rsid w:val="00B0044A"/>
    <w:rsid w:val="00B00A00"/>
    <w:rsid w:val="00B04D77"/>
    <w:rsid w:val="00B04FFA"/>
    <w:rsid w:val="00B055B2"/>
    <w:rsid w:val="00B07437"/>
    <w:rsid w:val="00B109E2"/>
    <w:rsid w:val="00B14206"/>
    <w:rsid w:val="00B21FB5"/>
    <w:rsid w:val="00B222CB"/>
    <w:rsid w:val="00B2244A"/>
    <w:rsid w:val="00B22C29"/>
    <w:rsid w:val="00B22DDD"/>
    <w:rsid w:val="00B23B8D"/>
    <w:rsid w:val="00B261F9"/>
    <w:rsid w:val="00B266B2"/>
    <w:rsid w:val="00B30BB6"/>
    <w:rsid w:val="00B31937"/>
    <w:rsid w:val="00B321E2"/>
    <w:rsid w:val="00B353DE"/>
    <w:rsid w:val="00B359BB"/>
    <w:rsid w:val="00B405D0"/>
    <w:rsid w:val="00B45D5D"/>
    <w:rsid w:val="00B46D0E"/>
    <w:rsid w:val="00B46DA0"/>
    <w:rsid w:val="00B50285"/>
    <w:rsid w:val="00B50E69"/>
    <w:rsid w:val="00B55E4E"/>
    <w:rsid w:val="00B61578"/>
    <w:rsid w:val="00B61579"/>
    <w:rsid w:val="00B61C0F"/>
    <w:rsid w:val="00B61F5C"/>
    <w:rsid w:val="00B61F6A"/>
    <w:rsid w:val="00B63E2D"/>
    <w:rsid w:val="00B63E3B"/>
    <w:rsid w:val="00B65B2B"/>
    <w:rsid w:val="00B66284"/>
    <w:rsid w:val="00B713D7"/>
    <w:rsid w:val="00B71CB8"/>
    <w:rsid w:val="00B720D3"/>
    <w:rsid w:val="00B74DF6"/>
    <w:rsid w:val="00B75770"/>
    <w:rsid w:val="00B75844"/>
    <w:rsid w:val="00B80066"/>
    <w:rsid w:val="00B810FF"/>
    <w:rsid w:val="00B813C9"/>
    <w:rsid w:val="00B819C0"/>
    <w:rsid w:val="00B826BB"/>
    <w:rsid w:val="00B832B4"/>
    <w:rsid w:val="00B85DD7"/>
    <w:rsid w:val="00B86982"/>
    <w:rsid w:val="00B91E50"/>
    <w:rsid w:val="00B97072"/>
    <w:rsid w:val="00BA1264"/>
    <w:rsid w:val="00BA1C36"/>
    <w:rsid w:val="00BA1DD0"/>
    <w:rsid w:val="00BA3F05"/>
    <w:rsid w:val="00BA4044"/>
    <w:rsid w:val="00BA51CB"/>
    <w:rsid w:val="00BA57F7"/>
    <w:rsid w:val="00BA6403"/>
    <w:rsid w:val="00BA6DA3"/>
    <w:rsid w:val="00BA7189"/>
    <w:rsid w:val="00BA73A5"/>
    <w:rsid w:val="00BB16AB"/>
    <w:rsid w:val="00BB17CD"/>
    <w:rsid w:val="00BB245D"/>
    <w:rsid w:val="00BB665F"/>
    <w:rsid w:val="00BC0324"/>
    <w:rsid w:val="00BC2E98"/>
    <w:rsid w:val="00BC3750"/>
    <w:rsid w:val="00BC57A1"/>
    <w:rsid w:val="00BC5DDA"/>
    <w:rsid w:val="00BD0FEA"/>
    <w:rsid w:val="00BD0FFD"/>
    <w:rsid w:val="00BD26E0"/>
    <w:rsid w:val="00BD293D"/>
    <w:rsid w:val="00BD31FB"/>
    <w:rsid w:val="00BD5BC7"/>
    <w:rsid w:val="00BE1722"/>
    <w:rsid w:val="00BE2735"/>
    <w:rsid w:val="00BE48BE"/>
    <w:rsid w:val="00BE4B5D"/>
    <w:rsid w:val="00BE627F"/>
    <w:rsid w:val="00BF01C3"/>
    <w:rsid w:val="00BF02C3"/>
    <w:rsid w:val="00BF0839"/>
    <w:rsid w:val="00BF0FC6"/>
    <w:rsid w:val="00BF1E0F"/>
    <w:rsid w:val="00BF2095"/>
    <w:rsid w:val="00BF28DE"/>
    <w:rsid w:val="00BF2DA5"/>
    <w:rsid w:val="00BF3AD5"/>
    <w:rsid w:val="00BF4AE4"/>
    <w:rsid w:val="00BF5086"/>
    <w:rsid w:val="00BF58F2"/>
    <w:rsid w:val="00BF5F55"/>
    <w:rsid w:val="00BF6296"/>
    <w:rsid w:val="00BF7723"/>
    <w:rsid w:val="00BF79CB"/>
    <w:rsid w:val="00BF7F74"/>
    <w:rsid w:val="00C0167A"/>
    <w:rsid w:val="00C04B04"/>
    <w:rsid w:val="00C04B47"/>
    <w:rsid w:val="00C04B68"/>
    <w:rsid w:val="00C060D6"/>
    <w:rsid w:val="00C11967"/>
    <w:rsid w:val="00C11BA9"/>
    <w:rsid w:val="00C11CE1"/>
    <w:rsid w:val="00C1490D"/>
    <w:rsid w:val="00C14919"/>
    <w:rsid w:val="00C1493E"/>
    <w:rsid w:val="00C1510F"/>
    <w:rsid w:val="00C15294"/>
    <w:rsid w:val="00C163FF"/>
    <w:rsid w:val="00C1797A"/>
    <w:rsid w:val="00C21039"/>
    <w:rsid w:val="00C22871"/>
    <w:rsid w:val="00C2478C"/>
    <w:rsid w:val="00C24E27"/>
    <w:rsid w:val="00C25084"/>
    <w:rsid w:val="00C255D0"/>
    <w:rsid w:val="00C26042"/>
    <w:rsid w:val="00C266F1"/>
    <w:rsid w:val="00C31016"/>
    <w:rsid w:val="00C33B9D"/>
    <w:rsid w:val="00C3407A"/>
    <w:rsid w:val="00C34E55"/>
    <w:rsid w:val="00C355B0"/>
    <w:rsid w:val="00C35ACF"/>
    <w:rsid w:val="00C3660B"/>
    <w:rsid w:val="00C37B59"/>
    <w:rsid w:val="00C409A3"/>
    <w:rsid w:val="00C4116C"/>
    <w:rsid w:val="00C43594"/>
    <w:rsid w:val="00C45DB9"/>
    <w:rsid w:val="00C45DEF"/>
    <w:rsid w:val="00C4680C"/>
    <w:rsid w:val="00C46CF6"/>
    <w:rsid w:val="00C474B8"/>
    <w:rsid w:val="00C50887"/>
    <w:rsid w:val="00C51177"/>
    <w:rsid w:val="00C521E9"/>
    <w:rsid w:val="00C537EC"/>
    <w:rsid w:val="00C53E01"/>
    <w:rsid w:val="00C543C0"/>
    <w:rsid w:val="00C54C0B"/>
    <w:rsid w:val="00C5522C"/>
    <w:rsid w:val="00C61556"/>
    <w:rsid w:val="00C6454E"/>
    <w:rsid w:val="00C66D1E"/>
    <w:rsid w:val="00C6787E"/>
    <w:rsid w:val="00C67B47"/>
    <w:rsid w:val="00C710DD"/>
    <w:rsid w:val="00C71746"/>
    <w:rsid w:val="00C7200E"/>
    <w:rsid w:val="00C7318C"/>
    <w:rsid w:val="00C74533"/>
    <w:rsid w:val="00C74B91"/>
    <w:rsid w:val="00C756D6"/>
    <w:rsid w:val="00C75BB6"/>
    <w:rsid w:val="00C762CB"/>
    <w:rsid w:val="00C77074"/>
    <w:rsid w:val="00C82739"/>
    <w:rsid w:val="00C82C11"/>
    <w:rsid w:val="00C82CEC"/>
    <w:rsid w:val="00C8321C"/>
    <w:rsid w:val="00C83BC9"/>
    <w:rsid w:val="00C83D2E"/>
    <w:rsid w:val="00C83F3D"/>
    <w:rsid w:val="00C8432B"/>
    <w:rsid w:val="00C86968"/>
    <w:rsid w:val="00C86A7C"/>
    <w:rsid w:val="00C870AF"/>
    <w:rsid w:val="00C87F63"/>
    <w:rsid w:val="00C9135D"/>
    <w:rsid w:val="00C91671"/>
    <w:rsid w:val="00C919E2"/>
    <w:rsid w:val="00C932FC"/>
    <w:rsid w:val="00C9550F"/>
    <w:rsid w:val="00C95727"/>
    <w:rsid w:val="00C95793"/>
    <w:rsid w:val="00C97E4E"/>
    <w:rsid w:val="00CA0847"/>
    <w:rsid w:val="00CA0D11"/>
    <w:rsid w:val="00CA0D50"/>
    <w:rsid w:val="00CA170A"/>
    <w:rsid w:val="00CA17D5"/>
    <w:rsid w:val="00CA4004"/>
    <w:rsid w:val="00CA596C"/>
    <w:rsid w:val="00CB02EF"/>
    <w:rsid w:val="00CB095C"/>
    <w:rsid w:val="00CB0EEF"/>
    <w:rsid w:val="00CB1065"/>
    <w:rsid w:val="00CB78A2"/>
    <w:rsid w:val="00CB7A49"/>
    <w:rsid w:val="00CC18F5"/>
    <w:rsid w:val="00CC21DA"/>
    <w:rsid w:val="00CC2B06"/>
    <w:rsid w:val="00CC2BBE"/>
    <w:rsid w:val="00CC781E"/>
    <w:rsid w:val="00CC7E9F"/>
    <w:rsid w:val="00CD31C4"/>
    <w:rsid w:val="00CD3C39"/>
    <w:rsid w:val="00CD3FC8"/>
    <w:rsid w:val="00CD469E"/>
    <w:rsid w:val="00CD54AB"/>
    <w:rsid w:val="00CD56D5"/>
    <w:rsid w:val="00CD5743"/>
    <w:rsid w:val="00CD6D58"/>
    <w:rsid w:val="00CD6E77"/>
    <w:rsid w:val="00CD709E"/>
    <w:rsid w:val="00CD76A3"/>
    <w:rsid w:val="00CE0057"/>
    <w:rsid w:val="00CE70B2"/>
    <w:rsid w:val="00CF032F"/>
    <w:rsid w:val="00CF08E5"/>
    <w:rsid w:val="00CF09ED"/>
    <w:rsid w:val="00CF0BA0"/>
    <w:rsid w:val="00CF20C5"/>
    <w:rsid w:val="00CF3752"/>
    <w:rsid w:val="00CF3A78"/>
    <w:rsid w:val="00CF598B"/>
    <w:rsid w:val="00CF6597"/>
    <w:rsid w:val="00CF7273"/>
    <w:rsid w:val="00CF7C4A"/>
    <w:rsid w:val="00D02838"/>
    <w:rsid w:val="00D02BC5"/>
    <w:rsid w:val="00D03761"/>
    <w:rsid w:val="00D03E71"/>
    <w:rsid w:val="00D044F5"/>
    <w:rsid w:val="00D04593"/>
    <w:rsid w:val="00D06518"/>
    <w:rsid w:val="00D075D0"/>
    <w:rsid w:val="00D118AE"/>
    <w:rsid w:val="00D11EED"/>
    <w:rsid w:val="00D13B6C"/>
    <w:rsid w:val="00D156DA"/>
    <w:rsid w:val="00D15B53"/>
    <w:rsid w:val="00D162A9"/>
    <w:rsid w:val="00D16ED7"/>
    <w:rsid w:val="00D17F09"/>
    <w:rsid w:val="00D20A9F"/>
    <w:rsid w:val="00D20C0E"/>
    <w:rsid w:val="00D21691"/>
    <w:rsid w:val="00D23640"/>
    <w:rsid w:val="00D25D99"/>
    <w:rsid w:val="00D26C7D"/>
    <w:rsid w:val="00D26D91"/>
    <w:rsid w:val="00D27725"/>
    <w:rsid w:val="00D27894"/>
    <w:rsid w:val="00D27ED4"/>
    <w:rsid w:val="00D36A3A"/>
    <w:rsid w:val="00D3713D"/>
    <w:rsid w:val="00D40CCC"/>
    <w:rsid w:val="00D44A26"/>
    <w:rsid w:val="00D4556E"/>
    <w:rsid w:val="00D46839"/>
    <w:rsid w:val="00D514B2"/>
    <w:rsid w:val="00D524B3"/>
    <w:rsid w:val="00D52EE1"/>
    <w:rsid w:val="00D5419F"/>
    <w:rsid w:val="00D54ECD"/>
    <w:rsid w:val="00D573D6"/>
    <w:rsid w:val="00D57B5A"/>
    <w:rsid w:val="00D60773"/>
    <w:rsid w:val="00D635C8"/>
    <w:rsid w:val="00D63A97"/>
    <w:rsid w:val="00D63B3F"/>
    <w:rsid w:val="00D64888"/>
    <w:rsid w:val="00D64902"/>
    <w:rsid w:val="00D64EC3"/>
    <w:rsid w:val="00D64FC3"/>
    <w:rsid w:val="00D6634D"/>
    <w:rsid w:val="00D66ECF"/>
    <w:rsid w:val="00D722E5"/>
    <w:rsid w:val="00D735D6"/>
    <w:rsid w:val="00D7488B"/>
    <w:rsid w:val="00D74F81"/>
    <w:rsid w:val="00D762DE"/>
    <w:rsid w:val="00D77CDB"/>
    <w:rsid w:val="00D839B6"/>
    <w:rsid w:val="00D83E37"/>
    <w:rsid w:val="00D87443"/>
    <w:rsid w:val="00D90069"/>
    <w:rsid w:val="00D90654"/>
    <w:rsid w:val="00D90954"/>
    <w:rsid w:val="00D90B54"/>
    <w:rsid w:val="00D917A4"/>
    <w:rsid w:val="00D9417A"/>
    <w:rsid w:val="00D94EDF"/>
    <w:rsid w:val="00D96C15"/>
    <w:rsid w:val="00D97AF9"/>
    <w:rsid w:val="00DA2BD6"/>
    <w:rsid w:val="00DA4DD3"/>
    <w:rsid w:val="00DA5339"/>
    <w:rsid w:val="00DA5EE4"/>
    <w:rsid w:val="00DA7CB3"/>
    <w:rsid w:val="00DB019A"/>
    <w:rsid w:val="00DB2611"/>
    <w:rsid w:val="00DB3160"/>
    <w:rsid w:val="00DB3311"/>
    <w:rsid w:val="00DB5086"/>
    <w:rsid w:val="00DB5854"/>
    <w:rsid w:val="00DB6E55"/>
    <w:rsid w:val="00DB7C7E"/>
    <w:rsid w:val="00DB7DBA"/>
    <w:rsid w:val="00DC0D21"/>
    <w:rsid w:val="00DC1488"/>
    <w:rsid w:val="00DC178C"/>
    <w:rsid w:val="00DC41FE"/>
    <w:rsid w:val="00DC4C8F"/>
    <w:rsid w:val="00DC5D2B"/>
    <w:rsid w:val="00DC6EA7"/>
    <w:rsid w:val="00DD0C58"/>
    <w:rsid w:val="00DD12BC"/>
    <w:rsid w:val="00DD2277"/>
    <w:rsid w:val="00DD31D1"/>
    <w:rsid w:val="00DD366D"/>
    <w:rsid w:val="00DD41FE"/>
    <w:rsid w:val="00DD4886"/>
    <w:rsid w:val="00DD4AFD"/>
    <w:rsid w:val="00DD4BBD"/>
    <w:rsid w:val="00DD5603"/>
    <w:rsid w:val="00DD58EC"/>
    <w:rsid w:val="00DE0F00"/>
    <w:rsid w:val="00DE1FEB"/>
    <w:rsid w:val="00DE2836"/>
    <w:rsid w:val="00DE2A82"/>
    <w:rsid w:val="00DE3EA2"/>
    <w:rsid w:val="00DE7963"/>
    <w:rsid w:val="00DF124E"/>
    <w:rsid w:val="00DF1E65"/>
    <w:rsid w:val="00DF24B3"/>
    <w:rsid w:val="00DF24CD"/>
    <w:rsid w:val="00DF2BF0"/>
    <w:rsid w:val="00DF3324"/>
    <w:rsid w:val="00DF4A2A"/>
    <w:rsid w:val="00DF50DE"/>
    <w:rsid w:val="00DF6901"/>
    <w:rsid w:val="00DF7061"/>
    <w:rsid w:val="00E00A65"/>
    <w:rsid w:val="00E00C9B"/>
    <w:rsid w:val="00E03A80"/>
    <w:rsid w:val="00E042AE"/>
    <w:rsid w:val="00E047A6"/>
    <w:rsid w:val="00E0485B"/>
    <w:rsid w:val="00E061E2"/>
    <w:rsid w:val="00E10368"/>
    <w:rsid w:val="00E10BED"/>
    <w:rsid w:val="00E10EB8"/>
    <w:rsid w:val="00E11C9B"/>
    <w:rsid w:val="00E13A83"/>
    <w:rsid w:val="00E14A71"/>
    <w:rsid w:val="00E14B1F"/>
    <w:rsid w:val="00E16030"/>
    <w:rsid w:val="00E171CE"/>
    <w:rsid w:val="00E17B44"/>
    <w:rsid w:val="00E20091"/>
    <w:rsid w:val="00E20C65"/>
    <w:rsid w:val="00E21A25"/>
    <w:rsid w:val="00E22A5A"/>
    <w:rsid w:val="00E23044"/>
    <w:rsid w:val="00E23C7A"/>
    <w:rsid w:val="00E25F34"/>
    <w:rsid w:val="00E265D8"/>
    <w:rsid w:val="00E26EE5"/>
    <w:rsid w:val="00E27D7E"/>
    <w:rsid w:val="00E301BA"/>
    <w:rsid w:val="00E30C83"/>
    <w:rsid w:val="00E30EDE"/>
    <w:rsid w:val="00E312AE"/>
    <w:rsid w:val="00E33415"/>
    <w:rsid w:val="00E3379B"/>
    <w:rsid w:val="00E34F1B"/>
    <w:rsid w:val="00E3560E"/>
    <w:rsid w:val="00E35BF3"/>
    <w:rsid w:val="00E37B8C"/>
    <w:rsid w:val="00E40F02"/>
    <w:rsid w:val="00E43ED6"/>
    <w:rsid w:val="00E4462C"/>
    <w:rsid w:val="00E46EEB"/>
    <w:rsid w:val="00E50376"/>
    <w:rsid w:val="00E5324F"/>
    <w:rsid w:val="00E54944"/>
    <w:rsid w:val="00E54D06"/>
    <w:rsid w:val="00E55B32"/>
    <w:rsid w:val="00E564E0"/>
    <w:rsid w:val="00E64BEF"/>
    <w:rsid w:val="00E64C3A"/>
    <w:rsid w:val="00E70704"/>
    <w:rsid w:val="00E7135C"/>
    <w:rsid w:val="00E7173C"/>
    <w:rsid w:val="00E724AA"/>
    <w:rsid w:val="00E73041"/>
    <w:rsid w:val="00E748A8"/>
    <w:rsid w:val="00E84744"/>
    <w:rsid w:val="00E85EA8"/>
    <w:rsid w:val="00E863BB"/>
    <w:rsid w:val="00E907A9"/>
    <w:rsid w:val="00E91015"/>
    <w:rsid w:val="00E91F2D"/>
    <w:rsid w:val="00E92384"/>
    <w:rsid w:val="00E94E14"/>
    <w:rsid w:val="00E95208"/>
    <w:rsid w:val="00E96497"/>
    <w:rsid w:val="00EA3647"/>
    <w:rsid w:val="00EA5312"/>
    <w:rsid w:val="00EA5650"/>
    <w:rsid w:val="00EA5ADE"/>
    <w:rsid w:val="00EA7B9E"/>
    <w:rsid w:val="00EB04EC"/>
    <w:rsid w:val="00EB0ADA"/>
    <w:rsid w:val="00EB10E5"/>
    <w:rsid w:val="00EB48A6"/>
    <w:rsid w:val="00EB7E8A"/>
    <w:rsid w:val="00EC1EF0"/>
    <w:rsid w:val="00EC1F8A"/>
    <w:rsid w:val="00EC5126"/>
    <w:rsid w:val="00EC59D5"/>
    <w:rsid w:val="00EC5DB1"/>
    <w:rsid w:val="00ED04BC"/>
    <w:rsid w:val="00ED32AA"/>
    <w:rsid w:val="00ED65A6"/>
    <w:rsid w:val="00EE0F5B"/>
    <w:rsid w:val="00EE287D"/>
    <w:rsid w:val="00EE2AA0"/>
    <w:rsid w:val="00EE325B"/>
    <w:rsid w:val="00EE44DC"/>
    <w:rsid w:val="00EE4EC9"/>
    <w:rsid w:val="00EE55A5"/>
    <w:rsid w:val="00EE597B"/>
    <w:rsid w:val="00EE6BE3"/>
    <w:rsid w:val="00EE6D3D"/>
    <w:rsid w:val="00EF47C0"/>
    <w:rsid w:val="00EF4DD9"/>
    <w:rsid w:val="00EF684D"/>
    <w:rsid w:val="00EF701E"/>
    <w:rsid w:val="00EF74C6"/>
    <w:rsid w:val="00F0030F"/>
    <w:rsid w:val="00F009EE"/>
    <w:rsid w:val="00F062CA"/>
    <w:rsid w:val="00F06E68"/>
    <w:rsid w:val="00F1059F"/>
    <w:rsid w:val="00F10EB7"/>
    <w:rsid w:val="00F10F55"/>
    <w:rsid w:val="00F12AF6"/>
    <w:rsid w:val="00F13C82"/>
    <w:rsid w:val="00F14F84"/>
    <w:rsid w:val="00F152B4"/>
    <w:rsid w:val="00F15662"/>
    <w:rsid w:val="00F15FAA"/>
    <w:rsid w:val="00F176C8"/>
    <w:rsid w:val="00F21A58"/>
    <w:rsid w:val="00F21D64"/>
    <w:rsid w:val="00F22A96"/>
    <w:rsid w:val="00F249A7"/>
    <w:rsid w:val="00F25AF5"/>
    <w:rsid w:val="00F26376"/>
    <w:rsid w:val="00F275C0"/>
    <w:rsid w:val="00F27870"/>
    <w:rsid w:val="00F30298"/>
    <w:rsid w:val="00F3029E"/>
    <w:rsid w:val="00F31675"/>
    <w:rsid w:val="00F32031"/>
    <w:rsid w:val="00F37124"/>
    <w:rsid w:val="00F371CA"/>
    <w:rsid w:val="00F373CB"/>
    <w:rsid w:val="00F37939"/>
    <w:rsid w:val="00F379B7"/>
    <w:rsid w:val="00F400A4"/>
    <w:rsid w:val="00F4118D"/>
    <w:rsid w:val="00F41E1F"/>
    <w:rsid w:val="00F4577C"/>
    <w:rsid w:val="00F50AF4"/>
    <w:rsid w:val="00F50EE6"/>
    <w:rsid w:val="00F5202A"/>
    <w:rsid w:val="00F5206F"/>
    <w:rsid w:val="00F521CE"/>
    <w:rsid w:val="00F52853"/>
    <w:rsid w:val="00F52EE4"/>
    <w:rsid w:val="00F534CD"/>
    <w:rsid w:val="00F53DBE"/>
    <w:rsid w:val="00F5698F"/>
    <w:rsid w:val="00F61537"/>
    <w:rsid w:val="00F64511"/>
    <w:rsid w:val="00F649F8"/>
    <w:rsid w:val="00F66FB2"/>
    <w:rsid w:val="00F72488"/>
    <w:rsid w:val="00F7269B"/>
    <w:rsid w:val="00F729A5"/>
    <w:rsid w:val="00F72E61"/>
    <w:rsid w:val="00F731CE"/>
    <w:rsid w:val="00F73484"/>
    <w:rsid w:val="00F75564"/>
    <w:rsid w:val="00F75D1D"/>
    <w:rsid w:val="00F7612C"/>
    <w:rsid w:val="00F81216"/>
    <w:rsid w:val="00F816B6"/>
    <w:rsid w:val="00F8251B"/>
    <w:rsid w:val="00F842CC"/>
    <w:rsid w:val="00F85715"/>
    <w:rsid w:val="00F8641B"/>
    <w:rsid w:val="00F877F7"/>
    <w:rsid w:val="00F90285"/>
    <w:rsid w:val="00F907E3"/>
    <w:rsid w:val="00F93A94"/>
    <w:rsid w:val="00F96BA6"/>
    <w:rsid w:val="00FA1603"/>
    <w:rsid w:val="00FA1668"/>
    <w:rsid w:val="00FA27DC"/>
    <w:rsid w:val="00FA2AB7"/>
    <w:rsid w:val="00FA4263"/>
    <w:rsid w:val="00FA4425"/>
    <w:rsid w:val="00FB0D46"/>
    <w:rsid w:val="00FB185F"/>
    <w:rsid w:val="00FB1D44"/>
    <w:rsid w:val="00FB21C7"/>
    <w:rsid w:val="00FB2488"/>
    <w:rsid w:val="00FB3753"/>
    <w:rsid w:val="00FB4DA2"/>
    <w:rsid w:val="00FB5C5D"/>
    <w:rsid w:val="00FB6072"/>
    <w:rsid w:val="00FB768D"/>
    <w:rsid w:val="00FB7BB8"/>
    <w:rsid w:val="00FC0509"/>
    <w:rsid w:val="00FC5B15"/>
    <w:rsid w:val="00FC7204"/>
    <w:rsid w:val="00FD1919"/>
    <w:rsid w:val="00FD2012"/>
    <w:rsid w:val="00FD440F"/>
    <w:rsid w:val="00FD52EF"/>
    <w:rsid w:val="00FD5C00"/>
    <w:rsid w:val="00FD7284"/>
    <w:rsid w:val="00FE176F"/>
    <w:rsid w:val="00FE22B3"/>
    <w:rsid w:val="00FE2EE0"/>
    <w:rsid w:val="00FE4DA6"/>
    <w:rsid w:val="00FE6ED6"/>
    <w:rsid w:val="00FF110C"/>
    <w:rsid w:val="00FF17BA"/>
    <w:rsid w:val="00FF26A5"/>
    <w:rsid w:val="00FF309F"/>
    <w:rsid w:val="00FF4BB3"/>
    <w:rsid w:val="015109B3"/>
    <w:rsid w:val="015C2B0C"/>
    <w:rsid w:val="017C3055"/>
    <w:rsid w:val="01B446F6"/>
    <w:rsid w:val="020967F0"/>
    <w:rsid w:val="020B07BA"/>
    <w:rsid w:val="0227136C"/>
    <w:rsid w:val="025739FF"/>
    <w:rsid w:val="0350044F"/>
    <w:rsid w:val="03733BDF"/>
    <w:rsid w:val="03DF146E"/>
    <w:rsid w:val="03E37F54"/>
    <w:rsid w:val="04131BA8"/>
    <w:rsid w:val="04176582"/>
    <w:rsid w:val="044212DC"/>
    <w:rsid w:val="045D1075"/>
    <w:rsid w:val="04877EA0"/>
    <w:rsid w:val="04A40E8E"/>
    <w:rsid w:val="04D1736D"/>
    <w:rsid w:val="051259ED"/>
    <w:rsid w:val="05613306"/>
    <w:rsid w:val="05B87DEE"/>
    <w:rsid w:val="05E82BC0"/>
    <w:rsid w:val="06175254"/>
    <w:rsid w:val="06345E06"/>
    <w:rsid w:val="06714493"/>
    <w:rsid w:val="06826B71"/>
    <w:rsid w:val="069845E6"/>
    <w:rsid w:val="07041580"/>
    <w:rsid w:val="073836D3"/>
    <w:rsid w:val="07577FFE"/>
    <w:rsid w:val="0790350F"/>
    <w:rsid w:val="07C82CA9"/>
    <w:rsid w:val="0825634E"/>
    <w:rsid w:val="089510EA"/>
    <w:rsid w:val="08AA0601"/>
    <w:rsid w:val="092B4153"/>
    <w:rsid w:val="09834E50"/>
    <w:rsid w:val="09FE6E56"/>
    <w:rsid w:val="0A0106F5"/>
    <w:rsid w:val="0A391C3C"/>
    <w:rsid w:val="0A95794C"/>
    <w:rsid w:val="0A9926DB"/>
    <w:rsid w:val="0A9E30AD"/>
    <w:rsid w:val="0AD32091"/>
    <w:rsid w:val="0B554854"/>
    <w:rsid w:val="0B6121D2"/>
    <w:rsid w:val="0BEB3B44"/>
    <w:rsid w:val="0C0644C0"/>
    <w:rsid w:val="0C25691C"/>
    <w:rsid w:val="0C4B11C9"/>
    <w:rsid w:val="0CA75583"/>
    <w:rsid w:val="0D660F9A"/>
    <w:rsid w:val="0DC67C8B"/>
    <w:rsid w:val="0DF540CC"/>
    <w:rsid w:val="0DFC7435"/>
    <w:rsid w:val="0E197DBB"/>
    <w:rsid w:val="0E2F4194"/>
    <w:rsid w:val="0E450FD9"/>
    <w:rsid w:val="0EA22A67"/>
    <w:rsid w:val="0EA76787"/>
    <w:rsid w:val="0EEC1973"/>
    <w:rsid w:val="0F8E4F66"/>
    <w:rsid w:val="106F1015"/>
    <w:rsid w:val="10906DB2"/>
    <w:rsid w:val="10A342B4"/>
    <w:rsid w:val="111612F9"/>
    <w:rsid w:val="11280188"/>
    <w:rsid w:val="112E7E24"/>
    <w:rsid w:val="112F3D99"/>
    <w:rsid w:val="11377A13"/>
    <w:rsid w:val="121F6E43"/>
    <w:rsid w:val="12BD03FE"/>
    <w:rsid w:val="13474B62"/>
    <w:rsid w:val="13793DF7"/>
    <w:rsid w:val="13ED41C3"/>
    <w:rsid w:val="141259D8"/>
    <w:rsid w:val="14677422"/>
    <w:rsid w:val="14926B19"/>
    <w:rsid w:val="14A423A8"/>
    <w:rsid w:val="14AA20B4"/>
    <w:rsid w:val="14EA425F"/>
    <w:rsid w:val="14F43330"/>
    <w:rsid w:val="15113EE2"/>
    <w:rsid w:val="152C2A96"/>
    <w:rsid w:val="155E69FB"/>
    <w:rsid w:val="156D1FBB"/>
    <w:rsid w:val="15747FCD"/>
    <w:rsid w:val="15DD11B4"/>
    <w:rsid w:val="16421E79"/>
    <w:rsid w:val="165B2F3A"/>
    <w:rsid w:val="16924BAE"/>
    <w:rsid w:val="16C46D32"/>
    <w:rsid w:val="16E952D7"/>
    <w:rsid w:val="170830C2"/>
    <w:rsid w:val="17101F77"/>
    <w:rsid w:val="171E28E6"/>
    <w:rsid w:val="172403E9"/>
    <w:rsid w:val="17377504"/>
    <w:rsid w:val="174165D4"/>
    <w:rsid w:val="177A220A"/>
    <w:rsid w:val="178D3AF2"/>
    <w:rsid w:val="18480905"/>
    <w:rsid w:val="186C142F"/>
    <w:rsid w:val="18D74DC1"/>
    <w:rsid w:val="18E831AB"/>
    <w:rsid w:val="19445F08"/>
    <w:rsid w:val="19507C28"/>
    <w:rsid w:val="195E521C"/>
    <w:rsid w:val="19600F94"/>
    <w:rsid w:val="1AD03EF7"/>
    <w:rsid w:val="1AED58EF"/>
    <w:rsid w:val="1AF20311"/>
    <w:rsid w:val="1B4E306E"/>
    <w:rsid w:val="1B656D35"/>
    <w:rsid w:val="1BA50EE0"/>
    <w:rsid w:val="1BCD48DA"/>
    <w:rsid w:val="1BE3590A"/>
    <w:rsid w:val="1C2362A8"/>
    <w:rsid w:val="1C84143D"/>
    <w:rsid w:val="1C8B27CB"/>
    <w:rsid w:val="1D3544E5"/>
    <w:rsid w:val="1D556936"/>
    <w:rsid w:val="1DC1221D"/>
    <w:rsid w:val="1DF93765"/>
    <w:rsid w:val="1DFB572F"/>
    <w:rsid w:val="1E18657E"/>
    <w:rsid w:val="1E1C7453"/>
    <w:rsid w:val="1EE91A2B"/>
    <w:rsid w:val="1EF1268E"/>
    <w:rsid w:val="1F0500CD"/>
    <w:rsid w:val="1F051EDC"/>
    <w:rsid w:val="1F381552"/>
    <w:rsid w:val="1F3A0BB5"/>
    <w:rsid w:val="1F49071C"/>
    <w:rsid w:val="1F585EEF"/>
    <w:rsid w:val="1F9C4CF0"/>
    <w:rsid w:val="1FA92FCB"/>
    <w:rsid w:val="1FAB0A8F"/>
    <w:rsid w:val="20193BC8"/>
    <w:rsid w:val="20346CD6"/>
    <w:rsid w:val="207E09A3"/>
    <w:rsid w:val="207E61A3"/>
    <w:rsid w:val="20CF69FF"/>
    <w:rsid w:val="21CA0CE2"/>
    <w:rsid w:val="21E64A07"/>
    <w:rsid w:val="220D398C"/>
    <w:rsid w:val="22456F79"/>
    <w:rsid w:val="226F700C"/>
    <w:rsid w:val="22A8251E"/>
    <w:rsid w:val="2301566F"/>
    <w:rsid w:val="230A1F70"/>
    <w:rsid w:val="23E5588D"/>
    <w:rsid w:val="23F549CE"/>
    <w:rsid w:val="24296703"/>
    <w:rsid w:val="244219BD"/>
    <w:rsid w:val="24496B8C"/>
    <w:rsid w:val="24D70B68"/>
    <w:rsid w:val="250C6034"/>
    <w:rsid w:val="254774AC"/>
    <w:rsid w:val="255140F1"/>
    <w:rsid w:val="255B3C04"/>
    <w:rsid w:val="25D80104"/>
    <w:rsid w:val="261849A4"/>
    <w:rsid w:val="26EA27E4"/>
    <w:rsid w:val="27286E69"/>
    <w:rsid w:val="2737368C"/>
    <w:rsid w:val="27513C7C"/>
    <w:rsid w:val="27BA4833"/>
    <w:rsid w:val="280451E0"/>
    <w:rsid w:val="28270350"/>
    <w:rsid w:val="28C52BC1"/>
    <w:rsid w:val="2912392D"/>
    <w:rsid w:val="291D0C4F"/>
    <w:rsid w:val="291E22D1"/>
    <w:rsid w:val="297D524A"/>
    <w:rsid w:val="29AE18A7"/>
    <w:rsid w:val="29DB6414"/>
    <w:rsid w:val="29F319B0"/>
    <w:rsid w:val="2A1F27A5"/>
    <w:rsid w:val="2A397C18"/>
    <w:rsid w:val="2A5015D5"/>
    <w:rsid w:val="2A6B59EA"/>
    <w:rsid w:val="2A93458B"/>
    <w:rsid w:val="2ABE5B1A"/>
    <w:rsid w:val="2AE61A30"/>
    <w:rsid w:val="2AF552B4"/>
    <w:rsid w:val="2B044801"/>
    <w:rsid w:val="2B512E32"/>
    <w:rsid w:val="2BC01EA2"/>
    <w:rsid w:val="2BC5737C"/>
    <w:rsid w:val="2C02237E"/>
    <w:rsid w:val="2C1005F7"/>
    <w:rsid w:val="2C31056E"/>
    <w:rsid w:val="2C372028"/>
    <w:rsid w:val="2C9D5C03"/>
    <w:rsid w:val="2CEB2B60"/>
    <w:rsid w:val="2CED0939"/>
    <w:rsid w:val="2D045C82"/>
    <w:rsid w:val="2D5B1D46"/>
    <w:rsid w:val="2D7A3266"/>
    <w:rsid w:val="2DAA4424"/>
    <w:rsid w:val="2DAF0C05"/>
    <w:rsid w:val="2DDF4725"/>
    <w:rsid w:val="2E9F2106"/>
    <w:rsid w:val="2F1E127D"/>
    <w:rsid w:val="2F486168"/>
    <w:rsid w:val="2F807842"/>
    <w:rsid w:val="2FA31782"/>
    <w:rsid w:val="2FD951A4"/>
    <w:rsid w:val="30087837"/>
    <w:rsid w:val="30473377"/>
    <w:rsid w:val="30861B2B"/>
    <w:rsid w:val="30FD3114"/>
    <w:rsid w:val="312513B2"/>
    <w:rsid w:val="31713AE0"/>
    <w:rsid w:val="31A35A6A"/>
    <w:rsid w:val="31B042BF"/>
    <w:rsid w:val="31D71BB7"/>
    <w:rsid w:val="32035D60"/>
    <w:rsid w:val="32BA750F"/>
    <w:rsid w:val="32E93950"/>
    <w:rsid w:val="32EB76C8"/>
    <w:rsid w:val="33523A32"/>
    <w:rsid w:val="33664FA1"/>
    <w:rsid w:val="339B5FEF"/>
    <w:rsid w:val="34967B08"/>
    <w:rsid w:val="349E4CF3"/>
    <w:rsid w:val="355F614C"/>
    <w:rsid w:val="35694243"/>
    <w:rsid w:val="35847960"/>
    <w:rsid w:val="35A3428A"/>
    <w:rsid w:val="36804BA6"/>
    <w:rsid w:val="36D14E27"/>
    <w:rsid w:val="37164F30"/>
    <w:rsid w:val="3729371C"/>
    <w:rsid w:val="372F1B4E"/>
    <w:rsid w:val="376940D0"/>
    <w:rsid w:val="37781747"/>
    <w:rsid w:val="37A41F20"/>
    <w:rsid w:val="37E908F4"/>
    <w:rsid w:val="381226D1"/>
    <w:rsid w:val="391D25A6"/>
    <w:rsid w:val="3929719C"/>
    <w:rsid w:val="39A6740E"/>
    <w:rsid w:val="39F81EAF"/>
    <w:rsid w:val="3A63223A"/>
    <w:rsid w:val="3AB40CE8"/>
    <w:rsid w:val="3AB76A7B"/>
    <w:rsid w:val="3ADE5D64"/>
    <w:rsid w:val="3B6C3370"/>
    <w:rsid w:val="3C3000ED"/>
    <w:rsid w:val="3C6127A9"/>
    <w:rsid w:val="3C7B7D0F"/>
    <w:rsid w:val="3C9A1F91"/>
    <w:rsid w:val="3CE02E40"/>
    <w:rsid w:val="3D31181A"/>
    <w:rsid w:val="3D314871"/>
    <w:rsid w:val="3D6C7658"/>
    <w:rsid w:val="3D6C76C2"/>
    <w:rsid w:val="3DC87CB2"/>
    <w:rsid w:val="3DD84CED"/>
    <w:rsid w:val="3E021D6A"/>
    <w:rsid w:val="3E2919ED"/>
    <w:rsid w:val="3E510B20"/>
    <w:rsid w:val="3E79001F"/>
    <w:rsid w:val="3E964CE4"/>
    <w:rsid w:val="3E9C3F6D"/>
    <w:rsid w:val="3EC62D97"/>
    <w:rsid w:val="3F1104B7"/>
    <w:rsid w:val="3F4F365B"/>
    <w:rsid w:val="3FE60717"/>
    <w:rsid w:val="401B44D0"/>
    <w:rsid w:val="4033588E"/>
    <w:rsid w:val="404C551E"/>
    <w:rsid w:val="406C635D"/>
    <w:rsid w:val="40E439A9"/>
    <w:rsid w:val="41415EFF"/>
    <w:rsid w:val="41670862"/>
    <w:rsid w:val="416E728D"/>
    <w:rsid w:val="4180784A"/>
    <w:rsid w:val="41C10F14"/>
    <w:rsid w:val="41D026B4"/>
    <w:rsid w:val="41E06866"/>
    <w:rsid w:val="42FD44B2"/>
    <w:rsid w:val="434850CF"/>
    <w:rsid w:val="438C45B0"/>
    <w:rsid w:val="43EA3432"/>
    <w:rsid w:val="44662F39"/>
    <w:rsid w:val="44867251"/>
    <w:rsid w:val="44E82A2E"/>
    <w:rsid w:val="453E3FCF"/>
    <w:rsid w:val="456D21BF"/>
    <w:rsid w:val="456F23DB"/>
    <w:rsid w:val="45815C6A"/>
    <w:rsid w:val="458F65D9"/>
    <w:rsid w:val="45C30031"/>
    <w:rsid w:val="45CD7101"/>
    <w:rsid w:val="45F11042"/>
    <w:rsid w:val="4618037D"/>
    <w:rsid w:val="46823ED7"/>
    <w:rsid w:val="46A72ED9"/>
    <w:rsid w:val="46B75DE7"/>
    <w:rsid w:val="477E6905"/>
    <w:rsid w:val="479B74B7"/>
    <w:rsid w:val="47D12ED9"/>
    <w:rsid w:val="47D429C9"/>
    <w:rsid w:val="47F44E19"/>
    <w:rsid w:val="48376AB4"/>
    <w:rsid w:val="48671147"/>
    <w:rsid w:val="48A04659"/>
    <w:rsid w:val="48B63E7D"/>
    <w:rsid w:val="48D433E2"/>
    <w:rsid w:val="48F84495"/>
    <w:rsid w:val="490E3CB9"/>
    <w:rsid w:val="492928A1"/>
    <w:rsid w:val="495711BC"/>
    <w:rsid w:val="49A5461D"/>
    <w:rsid w:val="49CA5E32"/>
    <w:rsid w:val="49E36EF3"/>
    <w:rsid w:val="4AA91EEB"/>
    <w:rsid w:val="4AE178D7"/>
    <w:rsid w:val="4B4E2DE6"/>
    <w:rsid w:val="4B50040A"/>
    <w:rsid w:val="4BAF1783"/>
    <w:rsid w:val="4C280343"/>
    <w:rsid w:val="4D3F6B37"/>
    <w:rsid w:val="4D950505"/>
    <w:rsid w:val="4DD92AE7"/>
    <w:rsid w:val="4DEA6AA2"/>
    <w:rsid w:val="4DF416CF"/>
    <w:rsid w:val="4E10402F"/>
    <w:rsid w:val="4E5B22A2"/>
    <w:rsid w:val="4E685C19"/>
    <w:rsid w:val="4EA02BD3"/>
    <w:rsid w:val="4EB726FD"/>
    <w:rsid w:val="4F4F0B87"/>
    <w:rsid w:val="4F723AF3"/>
    <w:rsid w:val="508D557C"/>
    <w:rsid w:val="50C92078"/>
    <w:rsid w:val="50ED2406"/>
    <w:rsid w:val="51312C3A"/>
    <w:rsid w:val="51735001"/>
    <w:rsid w:val="51DA6E2E"/>
    <w:rsid w:val="52627BBF"/>
    <w:rsid w:val="529945F3"/>
    <w:rsid w:val="529C0587"/>
    <w:rsid w:val="52C3550F"/>
    <w:rsid w:val="52F061DD"/>
    <w:rsid w:val="52F67C97"/>
    <w:rsid w:val="53487DC7"/>
    <w:rsid w:val="53EB35F1"/>
    <w:rsid w:val="53F54C32"/>
    <w:rsid w:val="541D6019"/>
    <w:rsid w:val="54280325"/>
    <w:rsid w:val="542F765C"/>
    <w:rsid w:val="54A84FC1"/>
    <w:rsid w:val="54AA6F8B"/>
    <w:rsid w:val="5534762D"/>
    <w:rsid w:val="554D13F6"/>
    <w:rsid w:val="557650C0"/>
    <w:rsid w:val="55A03EEB"/>
    <w:rsid w:val="563F39C5"/>
    <w:rsid w:val="56554CD5"/>
    <w:rsid w:val="5689497F"/>
    <w:rsid w:val="56955A19"/>
    <w:rsid w:val="56C500AD"/>
    <w:rsid w:val="56F72230"/>
    <w:rsid w:val="572A6162"/>
    <w:rsid w:val="5785783C"/>
    <w:rsid w:val="57BB325E"/>
    <w:rsid w:val="57CE2F91"/>
    <w:rsid w:val="57D87308"/>
    <w:rsid w:val="57D97DE1"/>
    <w:rsid w:val="5809221B"/>
    <w:rsid w:val="584274DB"/>
    <w:rsid w:val="584D65AC"/>
    <w:rsid w:val="58873140"/>
    <w:rsid w:val="589D0BB5"/>
    <w:rsid w:val="58F76D51"/>
    <w:rsid w:val="598E7CA7"/>
    <w:rsid w:val="59DA41E0"/>
    <w:rsid w:val="5A3906A0"/>
    <w:rsid w:val="5A6574B1"/>
    <w:rsid w:val="5A9919E3"/>
    <w:rsid w:val="5ABB5323"/>
    <w:rsid w:val="5AF076C2"/>
    <w:rsid w:val="5B2A7B0A"/>
    <w:rsid w:val="5B54373E"/>
    <w:rsid w:val="5C3D6937"/>
    <w:rsid w:val="5C693288"/>
    <w:rsid w:val="5CCC3817"/>
    <w:rsid w:val="5D107BA8"/>
    <w:rsid w:val="5D347D3A"/>
    <w:rsid w:val="5D373386"/>
    <w:rsid w:val="5D905A1A"/>
    <w:rsid w:val="5E736640"/>
    <w:rsid w:val="5EBB7FE7"/>
    <w:rsid w:val="5EE21916"/>
    <w:rsid w:val="5EFC4888"/>
    <w:rsid w:val="5EFF7ED4"/>
    <w:rsid w:val="5F221E14"/>
    <w:rsid w:val="5F2F459B"/>
    <w:rsid w:val="5F4417E0"/>
    <w:rsid w:val="5F585836"/>
    <w:rsid w:val="5F6C69A2"/>
    <w:rsid w:val="5F88669E"/>
    <w:rsid w:val="60031C46"/>
    <w:rsid w:val="60651FB9"/>
    <w:rsid w:val="60CF07EA"/>
    <w:rsid w:val="60F15F42"/>
    <w:rsid w:val="61025A59"/>
    <w:rsid w:val="61371BA7"/>
    <w:rsid w:val="61406582"/>
    <w:rsid w:val="616E30EF"/>
    <w:rsid w:val="61761FA3"/>
    <w:rsid w:val="621041A6"/>
    <w:rsid w:val="622F04A1"/>
    <w:rsid w:val="62483940"/>
    <w:rsid w:val="62AC3ECF"/>
    <w:rsid w:val="62B10964"/>
    <w:rsid w:val="63041254"/>
    <w:rsid w:val="63133CA7"/>
    <w:rsid w:val="63B15515"/>
    <w:rsid w:val="63B868A3"/>
    <w:rsid w:val="63CA4B15"/>
    <w:rsid w:val="64416899"/>
    <w:rsid w:val="645A795A"/>
    <w:rsid w:val="64741C1C"/>
    <w:rsid w:val="648C064A"/>
    <w:rsid w:val="649B4AC0"/>
    <w:rsid w:val="65554D27"/>
    <w:rsid w:val="65672E18"/>
    <w:rsid w:val="656B3097"/>
    <w:rsid w:val="65AB66C0"/>
    <w:rsid w:val="65D57BE0"/>
    <w:rsid w:val="66383CCB"/>
    <w:rsid w:val="66424F96"/>
    <w:rsid w:val="666A0329"/>
    <w:rsid w:val="666A657B"/>
    <w:rsid w:val="66C35C8B"/>
    <w:rsid w:val="66CA526B"/>
    <w:rsid w:val="672F2D58"/>
    <w:rsid w:val="67A77ED6"/>
    <w:rsid w:val="67AC4971"/>
    <w:rsid w:val="67B37C4A"/>
    <w:rsid w:val="67E265E5"/>
    <w:rsid w:val="6844104D"/>
    <w:rsid w:val="687951D6"/>
    <w:rsid w:val="68896A60"/>
    <w:rsid w:val="689F0967"/>
    <w:rsid w:val="69663156"/>
    <w:rsid w:val="6A2829D5"/>
    <w:rsid w:val="6A3C4F23"/>
    <w:rsid w:val="6A672F3E"/>
    <w:rsid w:val="6A996B6C"/>
    <w:rsid w:val="6CF52916"/>
    <w:rsid w:val="6D3654A5"/>
    <w:rsid w:val="6D631F76"/>
    <w:rsid w:val="6D945882"/>
    <w:rsid w:val="6DB175C2"/>
    <w:rsid w:val="6DC5053A"/>
    <w:rsid w:val="6E0C6169"/>
    <w:rsid w:val="6E105C5A"/>
    <w:rsid w:val="6E3A4187"/>
    <w:rsid w:val="6E587601"/>
    <w:rsid w:val="6E623604"/>
    <w:rsid w:val="6E8C1058"/>
    <w:rsid w:val="6EA77C40"/>
    <w:rsid w:val="6F07471D"/>
    <w:rsid w:val="6F1C418A"/>
    <w:rsid w:val="6F2A4AF9"/>
    <w:rsid w:val="6F887A72"/>
    <w:rsid w:val="70090BB2"/>
    <w:rsid w:val="701461F9"/>
    <w:rsid w:val="709B37D5"/>
    <w:rsid w:val="70A1703D"/>
    <w:rsid w:val="70A21928"/>
    <w:rsid w:val="70B412F1"/>
    <w:rsid w:val="70D6480D"/>
    <w:rsid w:val="70D934F2"/>
    <w:rsid w:val="70E92792"/>
    <w:rsid w:val="712B6906"/>
    <w:rsid w:val="71737F1D"/>
    <w:rsid w:val="71945B8B"/>
    <w:rsid w:val="72563E57"/>
    <w:rsid w:val="7275252F"/>
    <w:rsid w:val="72B56DCF"/>
    <w:rsid w:val="72EC0317"/>
    <w:rsid w:val="72FD6A6A"/>
    <w:rsid w:val="73563420"/>
    <w:rsid w:val="73667E4A"/>
    <w:rsid w:val="738F5872"/>
    <w:rsid w:val="73C22DCA"/>
    <w:rsid w:val="73CF47A1"/>
    <w:rsid w:val="73E62FB9"/>
    <w:rsid w:val="740D7DDB"/>
    <w:rsid w:val="74170E85"/>
    <w:rsid w:val="749B0247"/>
    <w:rsid w:val="74B310ED"/>
    <w:rsid w:val="7507768A"/>
    <w:rsid w:val="751F6782"/>
    <w:rsid w:val="753D30AC"/>
    <w:rsid w:val="75412B9C"/>
    <w:rsid w:val="75DC35E9"/>
    <w:rsid w:val="764C7A4B"/>
    <w:rsid w:val="76F77172"/>
    <w:rsid w:val="77107706"/>
    <w:rsid w:val="77185A8F"/>
    <w:rsid w:val="77C66D83"/>
    <w:rsid w:val="77CE4490"/>
    <w:rsid w:val="77E048EF"/>
    <w:rsid w:val="78191BAF"/>
    <w:rsid w:val="782642CC"/>
    <w:rsid w:val="7856695F"/>
    <w:rsid w:val="789E6834"/>
    <w:rsid w:val="795A247F"/>
    <w:rsid w:val="799040F2"/>
    <w:rsid w:val="79CB512B"/>
    <w:rsid w:val="7A143CCB"/>
    <w:rsid w:val="7A312A7D"/>
    <w:rsid w:val="7A392094"/>
    <w:rsid w:val="7AB055B5"/>
    <w:rsid w:val="7AB61937"/>
    <w:rsid w:val="7AEF6BF7"/>
    <w:rsid w:val="7AFC584B"/>
    <w:rsid w:val="7B136D89"/>
    <w:rsid w:val="7B3D3E06"/>
    <w:rsid w:val="7B4C5DF7"/>
    <w:rsid w:val="7BB120FE"/>
    <w:rsid w:val="7BDA3403"/>
    <w:rsid w:val="7BDE10E2"/>
    <w:rsid w:val="7BF74C08"/>
    <w:rsid w:val="7C7F0D44"/>
    <w:rsid w:val="7D2D6A1D"/>
    <w:rsid w:val="7E543E84"/>
    <w:rsid w:val="7EAE75AD"/>
    <w:rsid w:val="7EC90255"/>
    <w:rsid w:val="7EF667A6"/>
    <w:rsid w:val="7F98785D"/>
    <w:rsid w:val="7FA74504"/>
    <w:rsid w:val="7FC22B2C"/>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2"/>
    <w:qFormat/>
    <w:uiPriority w:val="0"/>
    <w:pPr>
      <w:spacing w:line="0" w:lineRule="atLeast"/>
      <w:jc w:val="center"/>
      <w:outlineLvl w:val="1"/>
    </w:pPr>
    <w:rPr>
      <w:kern w:val="0"/>
      <w:sz w:val="28"/>
    </w:rPr>
  </w:style>
  <w:style w:type="paragraph" w:styleId="6">
    <w:name w:val="heading 3"/>
    <w:basedOn w:val="1"/>
    <w:next w:val="1"/>
    <w:link w:val="57"/>
    <w:qFormat/>
    <w:uiPriority w:val="0"/>
    <w:pPr>
      <w:keepNext/>
      <w:keepLines/>
      <w:spacing w:before="260" w:after="260" w:line="416" w:lineRule="auto"/>
      <w:outlineLvl w:val="2"/>
    </w:pPr>
    <w:rPr>
      <w:b/>
      <w:bCs/>
      <w:sz w:val="32"/>
      <w:szCs w:val="32"/>
    </w:rPr>
  </w:style>
  <w:style w:type="paragraph" w:styleId="7">
    <w:name w:val="heading 4"/>
    <w:basedOn w:val="1"/>
    <w:next w:val="1"/>
    <w:link w:val="10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04"/>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0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0"/>
    </w:rPr>
  </w:style>
  <w:style w:type="paragraph" w:styleId="10">
    <w:name w:val="heading 7"/>
    <w:basedOn w:val="1"/>
    <w:next w:val="1"/>
    <w:link w:val="106"/>
    <w:qFormat/>
    <w:uiPriority w:val="0"/>
    <w:pPr>
      <w:keepNext/>
      <w:keepLines/>
      <w:widowControl/>
      <w:tabs>
        <w:tab w:val="left" w:pos="2520"/>
      </w:tabs>
      <w:spacing w:before="240" w:after="64" w:line="320" w:lineRule="auto"/>
      <w:ind w:left="1296" w:hanging="1296"/>
      <w:jc w:val="left"/>
      <w:outlineLvl w:val="6"/>
    </w:pPr>
    <w:rPr>
      <w:b/>
      <w:bCs/>
      <w:kern w:val="0"/>
      <w:sz w:val="24"/>
      <w:szCs w:val="20"/>
    </w:rPr>
  </w:style>
  <w:style w:type="paragraph" w:styleId="11">
    <w:name w:val="heading 8"/>
    <w:basedOn w:val="1"/>
    <w:next w:val="1"/>
    <w:link w:val="10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2">
    <w:name w:val="heading 9"/>
    <w:basedOn w:val="1"/>
    <w:next w:val="1"/>
    <w:link w:val="10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next w:val="1"/>
    <w:qFormat/>
    <w:uiPriority w:val="99"/>
    <w:pPr>
      <w:spacing w:after="120"/>
    </w:pPr>
  </w:style>
  <w:style w:type="paragraph" w:styleId="13">
    <w:name w:val="Normal Indent"/>
    <w:basedOn w:val="1"/>
    <w:qFormat/>
    <w:uiPriority w:val="0"/>
    <w:pPr>
      <w:ind w:firstLine="420"/>
    </w:pPr>
    <w:rPr>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65"/>
    <w:qFormat/>
    <w:uiPriority w:val="0"/>
    <w:rPr>
      <w:rFonts w:ascii="宋体"/>
      <w:sz w:val="18"/>
      <w:szCs w:val="18"/>
    </w:rPr>
  </w:style>
  <w:style w:type="paragraph" w:styleId="16">
    <w:name w:val="annotation text"/>
    <w:basedOn w:val="1"/>
    <w:link w:val="64"/>
    <w:qFormat/>
    <w:uiPriority w:val="0"/>
    <w:pPr>
      <w:jc w:val="left"/>
    </w:pPr>
  </w:style>
  <w:style w:type="paragraph" w:styleId="17">
    <w:name w:val="Body Text 3"/>
    <w:basedOn w:val="1"/>
    <w:link w:val="127"/>
    <w:qFormat/>
    <w:uiPriority w:val="0"/>
    <w:pPr>
      <w:spacing w:after="120"/>
    </w:pPr>
    <w:rPr>
      <w:sz w:val="16"/>
      <w:szCs w:val="16"/>
    </w:rPr>
  </w:style>
  <w:style w:type="paragraph" w:styleId="18">
    <w:name w:val="Body Text"/>
    <w:basedOn w:val="1"/>
    <w:next w:val="19"/>
    <w:link w:val="62"/>
    <w:qFormat/>
    <w:uiPriority w:val="0"/>
    <w:pPr>
      <w:spacing w:after="120"/>
    </w:pPr>
  </w:style>
  <w:style w:type="paragraph" w:customStyle="1" w:styleId="19">
    <w:name w:val="style4"/>
    <w:basedOn w:val="1"/>
    <w:next w:val="20"/>
    <w:qFormat/>
    <w:uiPriority w:val="0"/>
    <w:pPr>
      <w:widowControl/>
      <w:spacing w:before="280" w:after="280"/>
    </w:pPr>
    <w:rPr>
      <w:rFonts w:ascii="宋体"/>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1">
    <w:name w:val="Body Text Indent"/>
    <w:basedOn w:val="1"/>
    <w:next w:val="22"/>
    <w:link w:val="113"/>
    <w:qFormat/>
    <w:uiPriority w:val="0"/>
    <w:pPr>
      <w:ind w:firstLine="632" w:firstLineChars="200"/>
    </w:pPr>
    <w:rPr>
      <w:rFonts w:ascii="仿宋_GB2312" w:hAnsi="华文楷体" w:eastAsia="仿宋_GB2312"/>
      <w:sz w:val="32"/>
    </w:rPr>
  </w:style>
  <w:style w:type="paragraph" w:styleId="22">
    <w:name w:val="envelope return"/>
    <w:basedOn w:val="1"/>
    <w:qFormat/>
    <w:uiPriority w:val="99"/>
    <w:pPr>
      <w:snapToGrid w:val="0"/>
    </w:pPr>
    <w:rPr>
      <w:rFonts w:ascii="Arial" w:hAnsi="Arial"/>
    </w:rPr>
  </w:style>
  <w:style w:type="paragraph" w:styleId="23">
    <w:name w:val="List 2"/>
    <w:basedOn w:val="1"/>
    <w:qFormat/>
    <w:uiPriority w:val="0"/>
    <w:pPr>
      <w:ind w:left="400" w:leftChars="200" w:hanging="200" w:hangingChars="200"/>
    </w:pPr>
  </w:style>
  <w:style w:type="paragraph" w:styleId="24">
    <w:name w:val="List Continue"/>
    <w:basedOn w:val="1"/>
    <w:qFormat/>
    <w:uiPriority w:val="0"/>
    <w:pPr>
      <w:spacing w:after="120"/>
      <w:ind w:left="420"/>
    </w:pPr>
    <w:rPr>
      <w:rFonts w:eastAsia="楷体_GB2312"/>
      <w:sz w:val="32"/>
      <w:szCs w:val="20"/>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3"/>
    <w:basedOn w:val="1"/>
    <w:next w:val="1"/>
    <w:qFormat/>
    <w:uiPriority w:val="39"/>
    <w:pPr>
      <w:ind w:left="420"/>
      <w:jc w:val="left"/>
    </w:pPr>
    <w:rPr>
      <w:i/>
      <w:iCs/>
      <w:sz w:val="20"/>
      <w:szCs w:val="20"/>
    </w:rPr>
  </w:style>
  <w:style w:type="paragraph" w:styleId="27">
    <w:name w:val="Plain Text"/>
    <w:basedOn w:val="1"/>
    <w:link w:val="70"/>
    <w:qFormat/>
    <w:uiPriority w:val="0"/>
    <w:rPr>
      <w:rFonts w:ascii="宋体" w:hAnsi="Courier New"/>
      <w:szCs w:val="20"/>
    </w:rPr>
  </w:style>
  <w:style w:type="paragraph" w:styleId="28">
    <w:name w:val="Date"/>
    <w:basedOn w:val="1"/>
    <w:next w:val="1"/>
    <w:link w:val="66"/>
    <w:qFormat/>
    <w:uiPriority w:val="0"/>
    <w:pPr>
      <w:ind w:left="100" w:leftChars="2500"/>
    </w:pPr>
  </w:style>
  <w:style w:type="paragraph" w:styleId="29">
    <w:name w:val="Body Text Indent 2"/>
    <w:basedOn w:val="1"/>
    <w:link w:val="114"/>
    <w:qFormat/>
    <w:uiPriority w:val="0"/>
    <w:pPr>
      <w:spacing w:after="120" w:line="480" w:lineRule="auto"/>
      <w:ind w:left="420" w:leftChars="200"/>
    </w:pPr>
  </w:style>
  <w:style w:type="paragraph" w:styleId="30">
    <w:name w:val="Balloon Text"/>
    <w:basedOn w:val="1"/>
    <w:link w:val="117"/>
    <w:qFormat/>
    <w:uiPriority w:val="0"/>
    <w:rPr>
      <w:sz w:val="18"/>
      <w:szCs w:val="18"/>
    </w:rPr>
  </w:style>
  <w:style w:type="paragraph" w:styleId="31">
    <w:name w:val="footer"/>
    <w:basedOn w:val="1"/>
    <w:link w:val="88"/>
    <w:qFormat/>
    <w:uiPriority w:val="99"/>
    <w:pPr>
      <w:tabs>
        <w:tab w:val="center" w:pos="4153"/>
        <w:tab w:val="right" w:pos="8306"/>
      </w:tabs>
      <w:snapToGrid w:val="0"/>
      <w:jc w:val="left"/>
    </w:pPr>
    <w:rPr>
      <w:sz w:val="18"/>
      <w:szCs w:val="18"/>
    </w:rPr>
  </w:style>
  <w:style w:type="paragraph" w:styleId="32">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caps/>
    </w:rPr>
  </w:style>
  <w:style w:type="paragraph" w:styleId="34">
    <w:name w:val="toc 4"/>
    <w:basedOn w:val="1"/>
    <w:next w:val="1"/>
    <w:qFormat/>
    <w:uiPriority w:val="39"/>
    <w:pPr>
      <w:ind w:left="630"/>
      <w:jc w:val="left"/>
    </w:pPr>
    <w:rPr>
      <w:sz w:val="18"/>
      <w:szCs w:val="18"/>
    </w:rPr>
  </w:style>
  <w:style w:type="paragraph" w:styleId="35">
    <w:name w:val="List"/>
    <w:basedOn w:val="1"/>
    <w:qFormat/>
    <w:uiPriority w:val="0"/>
    <w:pPr>
      <w:ind w:left="420" w:hanging="420"/>
    </w:pPr>
    <w:rPr>
      <w:rFonts w:eastAsia="楷体_GB2312"/>
      <w:sz w:val="32"/>
      <w:szCs w:val="20"/>
    </w:rPr>
  </w:style>
  <w:style w:type="paragraph" w:styleId="36">
    <w:name w:val="footnote text"/>
    <w:basedOn w:val="1"/>
    <w:link w:val="153"/>
    <w:qFormat/>
    <w:uiPriority w:val="99"/>
    <w:pPr>
      <w:autoSpaceDE w:val="0"/>
      <w:autoSpaceDN w:val="0"/>
      <w:snapToGrid w:val="0"/>
      <w:jc w:val="left"/>
    </w:pPr>
    <w:rPr>
      <w:rFonts w:ascii="宋体" w:hAnsi="宋体" w:cs="宋体"/>
      <w:kern w:val="0"/>
      <w:sz w:val="18"/>
      <w:szCs w:val="18"/>
      <w:lang w:val="zh-CN" w:bidi="zh-CN"/>
    </w:rPr>
  </w:style>
  <w:style w:type="paragraph" w:styleId="37">
    <w:name w:val="Body Text Indent 3"/>
    <w:basedOn w:val="1"/>
    <w:link w:val="109"/>
    <w:qFormat/>
    <w:uiPriority w:val="0"/>
    <w:pPr>
      <w:spacing w:line="500" w:lineRule="exact"/>
      <w:ind w:firstLine="660"/>
    </w:pPr>
    <w:rPr>
      <w:rFonts w:ascii="仿宋_GB2312" w:hAnsi="宋体" w:eastAsia="仿宋_GB2312"/>
      <w:color w:val="000000"/>
      <w:sz w:val="28"/>
    </w:rPr>
  </w:style>
  <w:style w:type="paragraph" w:styleId="38">
    <w:name w:val="toc 2"/>
    <w:basedOn w:val="1"/>
    <w:next w:val="1"/>
    <w:qFormat/>
    <w:uiPriority w:val="39"/>
    <w:pPr>
      <w:tabs>
        <w:tab w:val="right" w:leader="dot" w:pos="9628"/>
      </w:tabs>
      <w:ind w:left="210"/>
      <w:jc w:val="left"/>
    </w:pPr>
    <w:rPr>
      <w:rFonts w:ascii="宋体" w:hAnsi="宋体"/>
      <w:smallCaps/>
      <w:sz w:val="20"/>
      <w:szCs w:val="20"/>
    </w:rPr>
  </w:style>
  <w:style w:type="paragraph" w:styleId="39">
    <w:name w:val="Body Text 2"/>
    <w:basedOn w:val="1"/>
    <w:link w:val="85"/>
    <w:qFormat/>
    <w:uiPriority w:val="0"/>
    <w:pPr>
      <w:spacing w:after="120" w:line="480" w:lineRule="auto"/>
    </w:pPr>
  </w:style>
  <w:style w:type="paragraph" w:styleId="40">
    <w:name w:val="Message Header"/>
    <w:basedOn w:val="1"/>
    <w:qFormat/>
    <w:uiPriority w:val="0"/>
    <w:pPr>
      <w:widowControl/>
      <w:shd w:val="pct20" w:color="000000" w:fill="auto"/>
      <w:ind w:left="1080" w:hanging="1080"/>
    </w:pPr>
    <w:rPr>
      <w:rFonts w:ascii="Cambria" w:hAnsi="Cambria" w:eastAsia="Cambria"/>
      <w:sz w:val="24"/>
    </w:rPr>
  </w:style>
  <w:style w:type="paragraph" w:styleId="41">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43">
    <w:name w:val="annotation subject"/>
    <w:basedOn w:val="16"/>
    <w:next w:val="16"/>
    <w:link w:val="103"/>
    <w:unhideWhenUsed/>
    <w:qFormat/>
    <w:uiPriority w:val="99"/>
    <w:rPr>
      <w:b/>
      <w:bCs/>
    </w:rPr>
  </w:style>
  <w:style w:type="paragraph" w:styleId="44">
    <w:name w:val="Body Text First Indent"/>
    <w:basedOn w:val="18"/>
    <w:next w:val="1"/>
    <w:link w:val="61"/>
    <w:qFormat/>
    <w:uiPriority w:val="0"/>
    <w:pPr>
      <w:ind w:firstLine="420" w:firstLineChars="100"/>
    </w:pPr>
  </w:style>
  <w:style w:type="paragraph" w:styleId="45">
    <w:name w:val="Body Text First Indent 2"/>
    <w:basedOn w:val="21"/>
    <w:link w:val="101"/>
    <w:qFormat/>
    <w:uiPriority w:val="99"/>
    <w:pPr>
      <w:tabs>
        <w:tab w:val="left" w:pos="0"/>
        <w:tab w:val="left" w:pos="993"/>
        <w:tab w:val="left" w:pos="1134"/>
      </w:tabs>
      <w:ind w:firstLine="420"/>
    </w:p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qFormat/>
    <w:uiPriority w:val="0"/>
    <w:rPr>
      <w:color w:val="000000"/>
      <w:u w:val="none"/>
    </w:rPr>
  </w:style>
  <w:style w:type="character" w:styleId="52">
    <w:name w:val="Hyperlink"/>
    <w:qFormat/>
    <w:uiPriority w:val="99"/>
    <w:rPr>
      <w:color w:val="333333"/>
      <w:u w:val="none"/>
    </w:rPr>
  </w:style>
  <w:style w:type="character" w:styleId="53">
    <w:name w:val="annotation reference"/>
    <w:qFormat/>
    <w:uiPriority w:val="99"/>
    <w:rPr>
      <w:sz w:val="21"/>
    </w:rPr>
  </w:style>
  <w:style w:type="paragraph" w:customStyle="1" w:styleId="54">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55">
    <w:name w:val="Style1"/>
    <w:next w:val="1"/>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5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标题 3 字符"/>
    <w:link w:val="6"/>
    <w:qFormat/>
    <w:uiPriority w:val="0"/>
    <w:rPr>
      <w:b/>
      <w:bCs/>
      <w:kern w:val="2"/>
      <w:sz w:val="32"/>
      <w:szCs w:val="32"/>
    </w:rPr>
  </w:style>
  <w:style w:type="character" w:customStyle="1" w:styleId="58">
    <w:name w:val="font231"/>
    <w:qFormat/>
    <w:uiPriority w:val="0"/>
    <w:rPr>
      <w:rFonts w:hint="eastAsia" w:ascii="宋体" w:hAnsi="宋体" w:eastAsia="宋体" w:cs="宋体"/>
      <w:color w:val="000000"/>
      <w:sz w:val="22"/>
      <w:szCs w:val="22"/>
      <w:u w:val="none"/>
    </w:rPr>
  </w:style>
  <w:style w:type="character" w:customStyle="1" w:styleId="59">
    <w:name w:val="font11"/>
    <w:qFormat/>
    <w:uiPriority w:val="0"/>
    <w:rPr>
      <w:rFonts w:hint="default" w:ascii="Times New Roman" w:hAnsi="Times New Roman" w:cs="Times New Roman"/>
      <w:color w:val="000000"/>
      <w:sz w:val="18"/>
      <w:szCs w:val="18"/>
      <w:u w:val="none"/>
    </w:rPr>
  </w:style>
  <w:style w:type="character" w:customStyle="1" w:styleId="60">
    <w:name w:val="font191"/>
    <w:qFormat/>
    <w:uiPriority w:val="0"/>
    <w:rPr>
      <w:rFonts w:hint="default" w:ascii="Calibri" w:hAnsi="Calibri" w:cs="Calibri"/>
      <w:color w:val="000000"/>
      <w:sz w:val="22"/>
      <w:szCs w:val="22"/>
      <w:u w:val="none"/>
    </w:rPr>
  </w:style>
  <w:style w:type="character" w:customStyle="1" w:styleId="61">
    <w:name w:val="正文文本首行缩进 字符"/>
    <w:link w:val="44"/>
    <w:qFormat/>
    <w:uiPriority w:val="0"/>
    <w:rPr>
      <w:kern w:val="2"/>
      <w:sz w:val="21"/>
      <w:szCs w:val="24"/>
    </w:rPr>
  </w:style>
  <w:style w:type="character" w:customStyle="1" w:styleId="62">
    <w:name w:val="正文文本 字符"/>
    <w:link w:val="18"/>
    <w:qFormat/>
    <w:uiPriority w:val="0"/>
    <w:rPr>
      <w:kern w:val="2"/>
      <w:sz w:val="21"/>
      <w:szCs w:val="24"/>
    </w:rPr>
  </w:style>
  <w:style w:type="character" w:customStyle="1" w:styleId="63">
    <w:name w:val="font151"/>
    <w:qFormat/>
    <w:uiPriority w:val="0"/>
    <w:rPr>
      <w:rFonts w:hint="default" w:ascii="Calibri" w:hAnsi="Calibri" w:cs="Calibri"/>
      <w:color w:val="000000"/>
      <w:sz w:val="22"/>
      <w:szCs w:val="22"/>
      <w:u w:val="none"/>
    </w:rPr>
  </w:style>
  <w:style w:type="character" w:customStyle="1" w:styleId="64">
    <w:name w:val="批注文字 字符"/>
    <w:link w:val="16"/>
    <w:qFormat/>
    <w:uiPriority w:val="0"/>
    <w:rPr>
      <w:kern w:val="2"/>
      <w:sz w:val="21"/>
      <w:szCs w:val="24"/>
    </w:rPr>
  </w:style>
  <w:style w:type="character" w:customStyle="1" w:styleId="65">
    <w:name w:val="文档结构图 字符"/>
    <w:link w:val="15"/>
    <w:qFormat/>
    <w:uiPriority w:val="0"/>
    <w:rPr>
      <w:rFonts w:ascii="宋体"/>
      <w:kern w:val="2"/>
      <w:sz w:val="18"/>
      <w:szCs w:val="18"/>
    </w:rPr>
  </w:style>
  <w:style w:type="character" w:customStyle="1" w:styleId="66">
    <w:name w:val="日期 字符"/>
    <w:link w:val="28"/>
    <w:qFormat/>
    <w:uiPriority w:val="0"/>
    <w:rPr>
      <w:kern w:val="2"/>
      <w:sz w:val="21"/>
      <w:szCs w:val="24"/>
    </w:rPr>
  </w:style>
  <w:style w:type="character" w:customStyle="1" w:styleId="67">
    <w:name w:val="font221"/>
    <w:qFormat/>
    <w:uiPriority w:val="0"/>
    <w:rPr>
      <w:rFonts w:hint="eastAsia" w:ascii="宋体" w:hAnsi="宋体" w:eastAsia="宋体" w:cs="宋体"/>
      <w:color w:val="000000"/>
      <w:sz w:val="20"/>
      <w:szCs w:val="20"/>
      <w:u w:val="none"/>
    </w:rPr>
  </w:style>
  <w:style w:type="character" w:customStyle="1" w:styleId="68">
    <w:name w:val="font61"/>
    <w:qFormat/>
    <w:uiPriority w:val="0"/>
    <w:rPr>
      <w:rFonts w:hint="eastAsia" w:ascii="宋体" w:hAnsi="宋体" w:eastAsia="宋体" w:cs="宋体"/>
      <w:color w:val="FF0000"/>
      <w:sz w:val="22"/>
      <w:szCs w:val="22"/>
      <w:u w:val="none"/>
    </w:rPr>
  </w:style>
  <w:style w:type="character" w:customStyle="1" w:styleId="69">
    <w:name w:val="font31"/>
    <w:qFormat/>
    <w:uiPriority w:val="0"/>
    <w:rPr>
      <w:rFonts w:hint="eastAsia" w:ascii="宋体" w:hAnsi="宋体" w:eastAsia="宋体" w:cs="宋体"/>
      <w:color w:val="000000"/>
      <w:sz w:val="18"/>
      <w:szCs w:val="18"/>
      <w:u w:val="none"/>
    </w:rPr>
  </w:style>
  <w:style w:type="character" w:customStyle="1" w:styleId="70">
    <w:name w:val="纯文本 字符"/>
    <w:link w:val="27"/>
    <w:qFormat/>
    <w:uiPriority w:val="0"/>
    <w:rPr>
      <w:rFonts w:ascii="宋体" w:hAnsi="Courier New"/>
      <w:kern w:val="2"/>
      <w:sz w:val="21"/>
    </w:rPr>
  </w:style>
  <w:style w:type="character" w:customStyle="1" w:styleId="71">
    <w:name w:val="访问过的超链接1"/>
    <w:qFormat/>
    <w:uiPriority w:val="0"/>
    <w:rPr>
      <w:color w:val="333333"/>
      <w:u w:val="none"/>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font21"/>
    <w:qFormat/>
    <w:uiPriority w:val="0"/>
    <w:rPr>
      <w:rFonts w:hint="default" w:ascii="Times New Roman" w:hAnsi="Times New Roman" w:cs="Times New Roman"/>
      <w:color w:val="000000"/>
      <w:sz w:val="18"/>
      <w:szCs w:val="18"/>
      <w:u w:val="none"/>
    </w:rPr>
  </w:style>
  <w:style w:type="paragraph" w:customStyle="1" w:styleId="74">
    <w:name w:val="p0"/>
    <w:basedOn w:val="1"/>
    <w:qFormat/>
    <w:uiPriority w:val="0"/>
    <w:pPr>
      <w:widowControl/>
    </w:pPr>
    <w:rPr>
      <w:rFonts w:ascii="Calibri" w:hAnsi="Calibri" w:cs="宋体"/>
      <w:kern w:val="0"/>
      <w:szCs w:val="21"/>
    </w:rPr>
  </w:style>
  <w:style w:type="paragraph" w:customStyle="1" w:styleId="75">
    <w:name w:val="List Paragraph1"/>
    <w:basedOn w:val="1"/>
    <w:qFormat/>
    <w:uiPriority w:val="0"/>
    <w:pPr>
      <w:ind w:firstLine="420" w:firstLineChars="200"/>
    </w:pPr>
  </w:style>
  <w:style w:type="paragraph" w:customStyle="1" w:styleId="76">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7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Char Char Char Char Char Char Char1 Char"/>
    <w:basedOn w:val="1"/>
    <w:qFormat/>
    <w:uiPriority w:val="0"/>
    <w:rPr>
      <w:rFonts w:ascii="Tahoma" w:hAnsi="Tahoma"/>
      <w:sz w:val="24"/>
      <w:szCs w:val="20"/>
    </w:rPr>
  </w:style>
  <w:style w:type="paragraph" w:styleId="81">
    <w:name w:val="List Paragraph"/>
    <w:basedOn w:val="1"/>
    <w:qFormat/>
    <w:uiPriority w:val="1"/>
    <w:pPr>
      <w:ind w:firstLine="420" w:firstLineChars="200"/>
    </w:pPr>
  </w:style>
  <w:style w:type="paragraph" w:customStyle="1" w:styleId="82">
    <w:name w:val="Char Char Char1 Char"/>
    <w:basedOn w:val="1"/>
    <w:qFormat/>
    <w:uiPriority w:val="0"/>
    <w:pPr>
      <w:spacing w:line="360" w:lineRule="auto"/>
      <w:ind w:firstLine="200" w:firstLineChars="200"/>
    </w:pPr>
    <w:rPr>
      <w:rFonts w:ascii="宋体" w:hAnsi="宋体" w:cs="宋体"/>
      <w:sz w:val="24"/>
    </w:rPr>
  </w:style>
  <w:style w:type="paragraph" w:customStyle="1" w:styleId="83">
    <w:name w:val="默认段落字体 Para Char Char Char Char Char Char Char Char Char Char"/>
    <w:basedOn w:val="1"/>
    <w:qFormat/>
    <w:uiPriority w:val="0"/>
    <w:pPr>
      <w:tabs>
        <w:tab w:val="right" w:pos="-2120"/>
      </w:tabs>
      <w:snapToGrid w:val="0"/>
    </w:pPr>
  </w:style>
  <w:style w:type="character" w:customStyle="1" w:styleId="84">
    <w:name w:val="generalinfo-address-text"/>
    <w:basedOn w:val="48"/>
    <w:qFormat/>
    <w:uiPriority w:val="0"/>
  </w:style>
  <w:style w:type="character" w:customStyle="1" w:styleId="85">
    <w:name w:val="正文文本 2 字符"/>
    <w:link w:val="39"/>
    <w:qFormat/>
    <w:uiPriority w:val="0"/>
    <w:rPr>
      <w:kern w:val="2"/>
      <w:sz w:val="21"/>
      <w:szCs w:val="24"/>
    </w:rPr>
  </w:style>
  <w:style w:type="character" w:customStyle="1" w:styleId="86">
    <w:name w:val="NormalCharacter"/>
    <w:qFormat/>
    <w:uiPriority w:val="0"/>
  </w:style>
  <w:style w:type="character" w:customStyle="1" w:styleId="87">
    <w:name w:val="页眉 字符"/>
    <w:link w:val="32"/>
    <w:qFormat/>
    <w:uiPriority w:val="0"/>
    <w:rPr>
      <w:kern w:val="2"/>
      <w:sz w:val="18"/>
      <w:szCs w:val="18"/>
    </w:rPr>
  </w:style>
  <w:style w:type="character" w:customStyle="1" w:styleId="88">
    <w:name w:val="页脚 字符"/>
    <w:link w:val="31"/>
    <w:qFormat/>
    <w:uiPriority w:val="99"/>
    <w:rPr>
      <w:kern w:val="2"/>
      <w:sz w:val="18"/>
      <w:szCs w:val="18"/>
    </w:rPr>
  </w:style>
  <w:style w:type="paragraph" w:customStyle="1" w:styleId="8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90">
    <w:name w:val="contentlabel"/>
    <w:qFormat/>
    <w:uiPriority w:val="0"/>
  </w:style>
  <w:style w:type="paragraph" w:customStyle="1" w:styleId="91">
    <w:name w:val="Body Text First Indent1"/>
    <w:basedOn w:val="18"/>
    <w:qFormat/>
    <w:uiPriority w:val="0"/>
    <w:pPr>
      <w:autoSpaceDE w:val="0"/>
      <w:autoSpaceDN w:val="0"/>
      <w:ind w:firstLine="420" w:firstLineChars="100"/>
      <w:jc w:val="left"/>
    </w:pPr>
    <w:rPr>
      <w:rFonts w:ascii="宋体" w:hAnsi="等线" w:eastAsia="等线" w:cs="宋体"/>
      <w:kern w:val="0"/>
      <w:lang w:val="zh-CN"/>
    </w:rPr>
  </w:style>
  <w:style w:type="paragraph" w:customStyle="1" w:styleId="92">
    <w:name w:val="D&amp;L"/>
    <w:basedOn w:val="3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93">
    <w:name w:val="first-child"/>
    <w:basedOn w:val="48"/>
    <w:qFormat/>
    <w:uiPriority w:val="0"/>
    <w:rPr>
      <w:color w:val="1F3149"/>
      <w:sz w:val="24"/>
      <w:szCs w:val="24"/>
    </w:rPr>
  </w:style>
  <w:style w:type="character" w:customStyle="1" w:styleId="94">
    <w:name w:val="first-child1"/>
    <w:basedOn w:val="48"/>
    <w:qFormat/>
    <w:uiPriority w:val="0"/>
    <w:rPr>
      <w:color w:val="1F3149"/>
      <w:sz w:val="24"/>
      <w:szCs w:val="24"/>
    </w:rPr>
  </w:style>
  <w:style w:type="character" w:customStyle="1" w:styleId="95">
    <w:name w:val="icon_ds"/>
    <w:basedOn w:val="48"/>
    <w:qFormat/>
    <w:uiPriority w:val="0"/>
  </w:style>
  <w:style w:type="character" w:customStyle="1" w:styleId="96">
    <w:name w:val="icon_ds1"/>
    <w:basedOn w:val="48"/>
    <w:qFormat/>
    <w:uiPriority w:val="0"/>
    <w:rPr>
      <w:sz w:val="21"/>
      <w:szCs w:val="21"/>
    </w:rPr>
  </w:style>
  <w:style w:type="character" w:customStyle="1" w:styleId="97">
    <w:name w:val="icon_gys"/>
    <w:basedOn w:val="48"/>
    <w:qFormat/>
    <w:uiPriority w:val="0"/>
    <w:rPr>
      <w:sz w:val="21"/>
      <w:szCs w:val="21"/>
    </w:rPr>
  </w:style>
  <w:style w:type="character" w:customStyle="1" w:styleId="98">
    <w:name w:val="xiadan"/>
    <w:basedOn w:val="48"/>
    <w:qFormat/>
    <w:uiPriority w:val="0"/>
    <w:rPr>
      <w:shd w:val="clear" w:color="auto" w:fill="E4393C"/>
    </w:rPr>
  </w:style>
  <w:style w:type="character" w:customStyle="1" w:styleId="99">
    <w:name w:val="fr"/>
    <w:basedOn w:val="48"/>
    <w:qFormat/>
    <w:uiPriority w:val="0"/>
  </w:style>
  <w:style w:type="character" w:customStyle="1" w:styleId="100">
    <w:name w:val="标题 4 字符"/>
    <w:basedOn w:val="48"/>
    <w:link w:val="7"/>
    <w:qFormat/>
    <w:uiPriority w:val="0"/>
    <w:rPr>
      <w:rFonts w:asciiTheme="majorHAnsi" w:hAnsiTheme="majorHAnsi" w:eastAsiaTheme="majorEastAsia" w:cstheme="majorBidi"/>
      <w:b/>
      <w:bCs/>
      <w:kern w:val="2"/>
      <w:sz w:val="28"/>
      <w:szCs w:val="28"/>
    </w:rPr>
  </w:style>
  <w:style w:type="character" w:customStyle="1" w:styleId="101">
    <w:name w:val="正文文本首行缩进 2 字符"/>
    <w:basedOn w:val="48"/>
    <w:link w:val="45"/>
    <w:qFormat/>
    <w:uiPriority w:val="99"/>
    <w:rPr>
      <w:rFonts w:ascii="仿宋_GB2312" w:hAnsi="华文楷体" w:eastAsia="仿宋_GB2312"/>
      <w:kern w:val="2"/>
      <w:sz w:val="32"/>
      <w:szCs w:val="24"/>
    </w:rPr>
  </w:style>
  <w:style w:type="character" w:customStyle="1" w:styleId="102">
    <w:name w:val="正文文本 Char1"/>
    <w:basedOn w:val="48"/>
    <w:semiHidden/>
    <w:qFormat/>
    <w:locked/>
    <w:uiPriority w:val="0"/>
    <w:rPr>
      <w:kern w:val="2"/>
      <w:sz w:val="21"/>
      <w:szCs w:val="24"/>
    </w:rPr>
  </w:style>
  <w:style w:type="character" w:customStyle="1" w:styleId="103">
    <w:name w:val="批注主题 字符"/>
    <w:basedOn w:val="64"/>
    <w:link w:val="43"/>
    <w:qFormat/>
    <w:uiPriority w:val="99"/>
    <w:rPr>
      <w:b/>
      <w:bCs/>
      <w:kern w:val="2"/>
      <w:sz w:val="21"/>
      <w:szCs w:val="24"/>
    </w:rPr>
  </w:style>
  <w:style w:type="character" w:customStyle="1" w:styleId="104">
    <w:name w:val="标题 5 字符"/>
    <w:basedOn w:val="48"/>
    <w:link w:val="8"/>
    <w:semiHidden/>
    <w:qFormat/>
    <w:uiPriority w:val="9"/>
    <w:rPr>
      <w:b/>
      <w:bCs/>
      <w:kern w:val="2"/>
      <w:sz w:val="28"/>
      <w:szCs w:val="28"/>
    </w:rPr>
  </w:style>
  <w:style w:type="character" w:customStyle="1" w:styleId="105">
    <w:name w:val="标题 6 字符"/>
    <w:basedOn w:val="48"/>
    <w:link w:val="9"/>
    <w:qFormat/>
    <w:uiPriority w:val="0"/>
    <w:rPr>
      <w:rFonts w:ascii="Arial" w:hAnsi="Arial" w:eastAsia="黑体"/>
      <w:b/>
      <w:bCs/>
      <w:sz w:val="24"/>
    </w:rPr>
  </w:style>
  <w:style w:type="character" w:customStyle="1" w:styleId="106">
    <w:name w:val="标题 7 字符"/>
    <w:basedOn w:val="48"/>
    <w:link w:val="10"/>
    <w:qFormat/>
    <w:uiPriority w:val="0"/>
    <w:rPr>
      <w:b/>
      <w:bCs/>
      <w:sz w:val="24"/>
    </w:rPr>
  </w:style>
  <w:style w:type="character" w:customStyle="1" w:styleId="107">
    <w:name w:val="标题 8 字符"/>
    <w:basedOn w:val="48"/>
    <w:link w:val="11"/>
    <w:qFormat/>
    <w:uiPriority w:val="0"/>
    <w:rPr>
      <w:rFonts w:ascii="Arial" w:hAnsi="Arial" w:eastAsia="黑体"/>
      <w:sz w:val="24"/>
    </w:rPr>
  </w:style>
  <w:style w:type="character" w:customStyle="1" w:styleId="108">
    <w:name w:val="标题 9 字符"/>
    <w:basedOn w:val="48"/>
    <w:link w:val="12"/>
    <w:qFormat/>
    <w:uiPriority w:val="0"/>
    <w:rPr>
      <w:rFonts w:ascii="Arial" w:hAnsi="Arial" w:eastAsia="黑体"/>
      <w:sz w:val="21"/>
      <w:szCs w:val="21"/>
    </w:rPr>
  </w:style>
  <w:style w:type="character" w:customStyle="1" w:styleId="109">
    <w:name w:val="正文文本缩进 3 字符"/>
    <w:basedOn w:val="48"/>
    <w:link w:val="37"/>
    <w:qFormat/>
    <w:uiPriority w:val="0"/>
    <w:rPr>
      <w:rFonts w:ascii="仿宋_GB2312" w:hAnsi="宋体" w:eastAsia="仿宋_GB2312"/>
      <w:color w:val="000000"/>
      <w:kern w:val="2"/>
      <w:sz w:val="28"/>
      <w:szCs w:val="24"/>
    </w:rPr>
  </w:style>
  <w:style w:type="character" w:customStyle="1" w:styleId="110">
    <w:name w:val="HTML 预设格式 字符"/>
    <w:basedOn w:val="48"/>
    <w:link w:val="41"/>
    <w:qFormat/>
    <w:uiPriority w:val="0"/>
    <w:rPr>
      <w:rFonts w:ascii="宋体" w:hAnsi="宋体" w:cs="宋体"/>
      <w:sz w:val="24"/>
      <w:szCs w:val="24"/>
    </w:rPr>
  </w:style>
  <w:style w:type="character" w:customStyle="1" w:styleId="111">
    <w:name w:val="标题 1 字符"/>
    <w:basedOn w:val="48"/>
    <w:link w:val="4"/>
    <w:qFormat/>
    <w:uiPriority w:val="0"/>
    <w:rPr>
      <w:b/>
      <w:bCs/>
      <w:kern w:val="44"/>
      <w:sz w:val="44"/>
      <w:szCs w:val="44"/>
    </w:rPr>
  </w:style>
  <w:style w:type="character" w:customStyle="1" w:styleId="112">
    <w:name w:val="标题 2 字符"/>
    <w:basedOn w:val="48"/>
    <w:link w:val="5"/>
    <w:qFormat/>
    <w:uiPriority w:val="0"/>
    <w:rPr>
      <w:sz w:val="28"/>
      <w:szCs w:val="24"/>
    </w:rPr>
  </w:style>
  <w:style w:type="character" w:customStyle="1" w:styleId="113">
    <w:name w:val="正文文本缩进 字符"/>
    <w:basedOn w:val="48"/>
    <w:link w:val="21"/>
    <w:qFormat/>
    <w:uiPriority w:val="0"/>
    <w:rPr>
      <w:rFonts w:ascii="仿宋_GB2312" w:hAnsi="华文楷体" w:eastAsia="仿宋_GB2312"/>
      <w:kern w:val="2"/>
      <w:sz w:val="32"/>
      <w:szCs w:val="24"/>
    </w:rPr>
  </w:style>
  <w:style w:type="character" w:customStyle="1" w:styleId="114">
    <w:name w:val="正文文本缩进 2 字符"/>
    <w:basedOn w:val="48"/>
    <w:link w:val="29"/>
    <w:qFormat/>
    <w:uiPriority w:val="0"/>
    <w:rPr>
      <w:kern w:val="2"/>
      <w:sz w:val="21"/>
      <w:szCs w:val="24"/>
    </w:rPr>
  </w:style>
  <w:style w:type="paragraph" w:customStyle="1" w:styleId="115">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6">
    <w:name w:val="Char"/>
    <w:basedOn w:val="1"/>
    <w:qFormat/>
    <w:uiPriority w:val="0"/>
    <w:pPr>
      <w:snapToGrid w:val="0"/>
      <w:spacing w:line="360" w:lineRule="auto"/>
      <w:ind w:firstLine="200" w:firstLineChars="200"/>
    </w:pPr>
    <w:rPr>
      <w:rFonts w:eastAsia="仿宋_GB2312"/>
      <w:sz w:val="24"/>
    </w:rPr>
  </w:style>
  <w:style w:type="character" w:customStyle="1" w:styleId="117">
    <w:name w:val="批注框文本 字符"/>
    <w:basedOn w:val="48"/>
    <w:link w:val="30"/>
    <w:qFormat/>
    <w:uiPriority w:val="0"/>
    <w:rPr>
      <w:kern w:val="2"/>
      <w:sz w:val="18"/>
      <w:szCs w:val="18"/>
    </w:rPr>
  </w:style>
  <w:style w:type="paragraph" w:customStyle="1" w:styleId="118">
    <w:name w:val="正文2"/>
    <w:basedOn w:val="1"/>
    <w:qFormat/>
    <w:uiPriority w:val="0"/>
    <w:pPr>
      <w:spacing w:line="420" w:lineRule="auto"/>
      <w:jc w:val="left"/>
    </w:pPr>
    <w:rPr>
      <w:rFonts w:ascii="宋体" w:hAnsi="宋体" w:cs="宋体"/>
      <w:bCs/>
      <w:sz w:val="24"/>
      <w:szCs w:val="20"/>
    </w:rPr>
  </w:style>
  <w:style w:type="character" w:customStyle="1" w:styleId="119">
    <w:name w:val="Char Char"/>
    <w:basedOn w:val="48"/>
    <w:qFormat/>
    <w:uiPriority w:val="0"/>
    <w:rPr>
      <w:rFonts w:ascii="宋体" w:hAnsi="Courier New" w:eastAsia="宋体" w:cs="Courier New"/>
      <w:kern w:val="2"/>
      <w:sz w:val="21"/>
      <w:szCs w:val="21"/>
      <w:lang w:val="en-US" w:eastAsia="zh-CN" w:bidi="ar-SA"/>
    </w:rPr>
  </w:style>
  <w:style w:type="character" w:customStyle="1" w:styleId="120">
    <w:name w:val="批注文字 Char"/>
    <w:qFormat/>
    <w:uiPriority w:val="0"/>
    <w:rPr>
      <w:kern w:val="2"/>
      <w:sz w:val="21"/>
      <w:szCs w:val="24"/>
    </w:rPr>
  </w:style>
  <w:style w:type="character" w:customStyle="1" w:styleId="121">
    <w:name w:val="样式 标题 2H2Heading 2 HiddenHeading 2 CCBS2nd levelh22Header... Char"/>
    <w:basedOn w:val="112"/>
    <w:qFormat/>
    <w:uiPriority w:val="0"/>
    <w:rPr>
      <w:sz w:val="28"/>
      <w:szCs w:val="24"/>
    </w:rPr>
  </w:style>
  <w:style w:type="character" w:customStyle="1" w:styleId="122">
    <w:name w:val="普通文字1 Char"/>
    <w:basedOn w:val="48"/>
    <w:qFormat/>
    <w:uiPriority w:val="0"/>
    <w:rPr>
      <w:rFonts w:ascii="宋体" w:hAnsi="Courier New"/>
      <w:kern w:val="2"/>
      <w:sz w:val="21"/>
      <w:lang w:bidi="ar-SA"/>
    </w:rPr>
  </w:style>
  <w:style w:type="character" w:customStyle="1" w:styleId="123">
    <w:name w:val="dzgg1"/>
    <w:basedOn w:val="48"/>
    <w:qFormat/>
    <w:uiPriority w:val="0"/>
  </w:style>
  <w:style w:type="character" w:customStyle="1" w:styleId="124">
    <w:name w:val="pp-headline-item pp-headline-address"/>
    <w:basedOn w:val="48"/>
    <w:qFormat/>
    <w:uiPriority w:val="0"/>
  </w:style>
  <w:style w:type="character" w:customStyle="1" w:styleId="125">
    <w:name w:val="标题 2用 Char Char"/>
    <w:basedOn w:val="121"/>
    <w:qFormat/>
    <w:uiPriority w:val="0"/>
    <w:rPr>
      <w:rFonts w:eastAsia="黑体" w:cs="宋体"/>
      <w:b/>
      <w:bCs/>
      <w:kern w:val="2"/>
      <w:sz w:val="44"/>
      <w:szCs w:val="44"/>
      <w:lang w:val="en-US" w:eastAsia="zh-CN" w:bidi="ar-SA"/>
    </w:rPr>
  </w:style>
  <w:style w:type="character" w:customStyle="1" w:styleId="126">
    <w:name w:val="批注文字 Char2"/>
    <w:basedOn w:val="48"/>
    <w:semiHidden/>
    <w:qFormat/>
    <w:uiPriority w:val="99"/>
  </w:style>
  <w:style w:type="character" w:customStyle="1" w:styleId="127">
    <w:name w:val="正文文本 3 字符"/>
    <w:basedOn w:val="48"/>
    <w:link w:val="17"/>
    <w:qFormat/>
    <w:uiPriority w:val="0"/>
    <w:rPr>
      <w:kern w:val="2"/>
      <w:sz w:val="16"/>
      <w:szCs w:val="16"/>
    </w:rPr>
  </w:style>
  <w:style w:type="paragraph" w:customStyle="1" w:styleId="128">
    <w:name w:val="Char Char Char Char"/>
    <w:basedOn w:val="1"/>
    <w:qFormat/>
    <w:uiPriority w:val="0"/>
    <w:rPr>
      <w:sz w:val="32"/>
      <w:szCs w:val="32"/>
    </w:rPr>
  </w:style>
  <w:style w:type="paragraph" w:customStyle="1" w:styleId="129">
    <w:name w:val="Char1"/>
    <w:basedOn w:val="1"/>
    <w:qFormat/>
    <w:uiPriority w:val="0"/>
    <w:pPr>
      <w:adjustRightInd w:val="0"/>
      <w:spacing w:line="600" w:lineRule="exact"/>
      <w:ind w:firstLine="560" w:firstLineChars="200"/>
      <w:jc w:val="center"/>
    </w:pPr>
    <w:rPr>
      <w:kern w:val="0"/>
      <w:sz w:val="28"/>
      <w:szCs w:val="28"/>
    </w:rPr>
  </w:style>
  <w:style w:type="paragraph" w:customStyle="1" w:styleId="130">
    <w:name w:val="表文字"/>
    <w:basedOn w:val="27"/>
    <w:qFormat/>
    <w:uiPriority w:val="0"/>
    <w:pPr>
      <w:adjustRightInd w:val="0"/>
      <w:snapToGrid w:val="0"/>
      <w:spacing w:before="100" w:beforeAutospacing="1" w:after="100" w:afterAutospacing="1" w:line="300" w:lineRule="atLeast"/>
      <w:ind w:firstLine="200" w:firstLineChars="200"/>
    </w:pPr>
    <w:rPr>
      <w:sz w:val="24"/>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标题 2用"/>
    <w:basedOn w:val="1"/>
    <w:qFormat/>
    <w:uiPriority w:val="0"/>
    <w:pPr>
      <w:spacing w:line="360" w:lineRule="auto"/>
      <w:jc w:val="center"/>
      <w:outlineLvl w:val="1"/>
    </w:pPr>
    <w:rPr>
      <w:rFonts w:ascii="宋体" w:hAnsi="宋体" w:eastAsia="黑体" w:cs="宋体"/>
      <w:b/>
      <w:bCs/>
      <w:sz w:val="44"/>
      <w:szCs w:val="44"/>
    </w:rPr>
  </w:style>
  <w:style w:type="paragraph" w:customStyle="1" w:styleId="133">
    <w:name w:val="样式 标题 2H2Heading 2 HiddenHeading 2 CCBS2nd levelh22Header..."/>
    <w:basedOn w:val="5"/>
    <w:qFormat/>
    <w:uiPriority w:val="0"/>
    <w:pPr>
      <w:keepNext/>
      <w:keepLines/>
      <w:spacing w:line="460" w:lineRule="exact"/>
      <w:jc w:val="both"/>
    </w:pPr>
    <w:rPr>
      <w:rFonts w:ascii="Arial" w:hAnsi="Arial" w:eastAsia="黑体" w:cs="宋体"/>
      <w:b/>
      <w:bCs/>
      <w:kern w:val="2"/>
      <w:sz w:val="44"/>
      <w:szCs w:val="20"/>
    </w:rPr>
  </w:style>
  <w:style w:type="paragraph" w:customStyle="1" w:styleId="134">
    <w:name w:val="样式 楷体_GB2312 加粗 左 段前: 7.8 磅"/>
    <w:basedOn w:val="1"/>
    <w:qFormat/>
    <w:uiPriority w:val="0"/>
    <w:pPr>
      <w:spacing w:before="156"/>
      <w:ind w:left="-359" w:leftChars="-171"/>
      <w:jc w:val="center"/>
    </w:pPr>
    <w:rPr>
      <w:rFonts w:ascii="楷体_GB2312" w:hAnsi="TimesNewRomanPSMT" w:eastAsia="楷体_GB2312"/>
      <w:b/>
      <w:kern w:val="0"/>
      <w:sz w:val="32"/>
      <w:szCs w:val="20"/>
    </w:rPr>
  </w:style>
  <w:style w:type="paragraph" w:customStyle="1" w:styleId="135">
    <w:name w:val="样式 标题 2H2Heading 2 HiddenHeading 2 CCBS2nd levelh22Header...1"/>
    <w:basedOn w:val="5"/>
    <w:qFormat/>
    <w:uiPriority w:val="0"/>
    <w:pPr>
      <w:keepNext/>
      <w:keepLines/>
      <w:spacing w:before="120" w:after="120" w:line="415" w:lineRule="auto"/>
    </w:pPr>
    <w:rPr>
      <w:rFonts w:ascii="黑体" w:hAnsi="黑体" w:eastAsia="黑体"/>
      <w:kern w:val="2"/>
      <w:sz w:val="36"/>
      <w:szCs w:val="20"/>
    </w:rPr>
  </w:style>
  <w:style w:type="paragraph" w:customStyle="1" w:styleId="136">
    <w:name w:val="标题3-2"/>
    <w:basedOn w:val="6"/>
    <w:qFormat/>
    <w:uiPriority w:val="0"/>
    <w:pPr>
      <w:widowControl/>
      <w:numPr>
        <w:ilvl w:val="0"/>
        <w:numId w:val="3"/>
      </w:numPr>
      <w:adjustRightInd w:val="0"/>
      <w:spacing w:before="120" w:after="120" w:line="460" w:lineRule="exact"/>
      <w:jc w:val="left"/>
    </w:pPr>
    <w:rPr>
      <w:bCs w:val="0"/>
      <w:kern w:val="0"/>
      <w:sz w:val="28"/>
      <w:szCs w:val="28"/>
    </w:rPr>
  </w:style>
  <w:style w:type="paragraph" w:customStyle="1" w:styleId="137">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38">
    <w:name w:val="首行缩进两字 Char1"/>
    <w:link w:val="139"/>
    <w:qFormat/>
    <w:uiPriority w:val="0"/>
    <w:rPr>
      <w:rFonts w:ascii="宋体" w:hAnsi="宋体"/>
      <w:color w:val="000000"/>
      <w:sz w:val="28"/>
    </w:rPr>
  </w:style>
  <w:style w:type="paragraph" w:customStyle="1" w:styleId="139">
    <w:name w:val="首行缩进两字"/>
    <w:basedOn w:val="1"/>
    <w:link w:val="138"/>
    <w:qFormat/>
    <w:uiPriority w:val="0"/>
    <w:pPr>
      <w:ind w:firstLine="549" w:firstLineChars="200"/>
      <w:jc w:val="left"/>
    </w:pPr>
    <w:rPr>
      <w:rFonts w:ascii="宋体" w:hAnsi="宋体"/>
      <w:color w:val="000000"/>
      <w:kern w:val="0"/>
      <w:sz w:val="28"/>
      <w:szCs w:val="20"/>
    </w:rPr>
  </w:style>
  <w:style w:type="character" w:customStyle="1" w:styleId="140">
    <w:name w:val="Char Char3"/>
    <w:qFormat/>
    <w:uiPriority w:val="0"/>
    <w:rPr>
      <w:rFonts w:ascii="Arial" w:hAnsi="Arial" w:eastAsia="黑体"/>
      <w:b/>
      <w:bCs/>
      <w:kern w:val="2"/>
      <w:sz w:val="32"/>
      <w:szCs w:val="32"/>
      <w:lang w:val="en-US" w:eastAsia="zh-CN" w:bidi="ar-SA"/>
    </w:rPr>
  </w:style>
  <w:style w:type="paragraph" w:customStyle="1" w:styleId="141">
    <w:name w:val="0"/>
    <w:basedOn w:val="1"/>
    <w:qFormat/>
    <w:uiPriority w:val="0"/>
    <w:pPr>
      <w:widowControl/>
      <w:snapToGrid w:val="0"/>
    </w:pPr>
    <w:rPr>
      <w:kern w:val="0"/>
      <w:szCs w:val="20"/>
    </w:rPr>
  </w:style>
  <w:style w:type="paragraph" w:customStyle="1" w:styleId="142">
    <w:name w:val="_Style 1"/>
    <w:basedOn w:val="1"/>
    <w:qFormat/>
    <w:uiPriority w:val="0"/>
    <w:pPr>
      <w:ind w:firstLine="420" w:firstLineChars="200"/>
    </w:pPr>
    <w:rPr>
      <w:rFonts w:ascii="Calibri" w:hAnsi="Calibri"/>
      <w:szCs w:val="22"/>
    </w:rPr>
  </w:style>
  <w:style w:type="paragraph" w:customStyle="1" w:styleId="143">
    <w:name w:val="Normal_0"/>
    <w:qFormat/>
    <w:uiPriority w:val="0"/>
    <w:rPr>
      <w:rFonts w:ascii="Times New Roman" w:hAnsi="Times New Roman" w:eastAsia="Times New Roman" w:cs="Times New Roman"/>
      <w:sz w:val="24"/>
      <w:szCs w:val="24"/>
      <w:lang w:val="en-US" w:eastAsia="zh-CN" w:bidi="ar-SA"/>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样式3"/>
    <w:basedOn w:val="27"/>
    <w:qFormat/>
    <w:uiPriority w:val="0"/>
    <w:pPr>
      <w:spacing w:line="0" w:lineRule="atLeast"/>
      <w:outlineLvl w:val="0"/>
    </w:pPr>
    <w:rPr>
      <w:sz w:val="28"/>
    </w:rPr>
  </w:style>
  <w:style w:type="paragraph" w:customStyle="1" w:styleId="146">
    <w:name w:val="正文文本缩进1"/>
    <w:basedOn w:val="1"/>
    <w:qFormat/>
    <w:uiPriority w:val="0"/>
    <w:pPr>
      <w:tabs>
        <w:tab w:val="center" w:pos="4153"/>
      </w:tabs>
      <w:ind w:firstLine="560" w:firstLineChars="200"/>
    </w:pPr>
    <w:rPr>
      <w:rFonts w:eastAsia="仿宋_GB2312"/>
      <w:sz w:val="28"/>
      <w:szCs w:val="20"/>
    </w:rPr>
  </w:style>
  <w:style w:type="paragraph" w:customStyle="1" w:styleId="147">
    <w:name w:val="WPSOffice手动目录 1"/>
    <w:qFormat/>
    <w:uiPriority w:val="0"/>
    <w:rPr>
      <w:rFonts w:ascii="Times New Roman" w:hAnsi="Times New Roman" w:eastAsia="宋体" w:cs="Times New Roman"/>
      <w:lang w:val="en-US" w:eastAsia="zh-CN" w:bidi="ar-SA"/>
    </w:rPr>
  </w:style>
  <w:style w:type="paragraph" w:customStyle="1" w:styleId="1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5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51">
    <w:name w:val="日期 Char"/>
    <w:qFormat/>
    <w:uiPriority w:val="0"/>
    <w:rPr>
      <w:rFonts w:ascii="Times New Roman" w:hAnsi="Times New Roman" w:eastAsia="宋体" w:cs="Times New Roman"/>
      <w:szCs w:val="24"/>
    </w:rPr>
  </w:style>
  <w:style w:type="paragraph" w:customStyle="1" w:styleId="152">
    <w:name w:val="正文1"/>
    <w:basedOn w:val="1"/>
    <w:qFormat/>
    <w:uiPriority w:val="0"/>
    <w:pPr>
      <w:widowControl/>
      <w:topLinePunct/>
      <w:spacing w:beforeLines="50" w:afterLines="50" w:line="300" w:lineRule="auto"/>
      <w:ind w:left="420"/>
    </w:pPr>
  </w:style>
  <w:style w:type="character" w:customStyle="1" w:styleId="153">
    <w:name w:val="脚注文本 字符"/>
    <w:basedOn w:val="48"/>
    <w:link w:val="36"/>
    <w:qFormat/>
    <w:uiPriority w:val="99"/>
    <w:rPr>
      <w:rFonts w:ascii="宋体" w:hAnsi="宋体" w:cs="宋体"/>
      <w:sz w:val="18"/>
      <w:szCs w:val="18"/>
      <w:lang w:val="zh-CN" w:bidi="zh-CN"/>
    </w:rPr>
  </w:style>
  <w:style w:type="character" w:customStyle="1" w:styleId="154">
    <w:name w:val="未处理的提及1"/>
    <w:basedOn w:val="48"/>
    <w:semiHidden/>
    <w:unhideWhenUsed/>
    <w:qFormat/>
    <w:uiPriority w:val="99"/>
    <w:rPr>
      <w:color w:val="605E5C"/>
      <w:shd w:val="clear" w:color="auto" w:fill="E1DFDD"/>
    </w:rPr>
  </w:style>
  <w:style w:type="character" w:customStyle="1" w:styleId="155">
    <w:name w:val="libch"/>
    <w:basedOn w:val="48"/>
    <w:uiPriority w:val="0"/>
    <w:rPr>
      <w:shd w:val="clear" w:fill="F8F8F8"/>
    </w:rPr>
  </w:style>
  <w:style w:type="character" w:customStyle="1" w:styleId="156">
    <w:name w:val="libch1"/>
    <w:basedOn w:val="48"/>
    <w:uiPriority w:val="0"/>
  </w:style>
  <w:style w:type="character" w:customStyle="1" w:styleId="157">
    <w:name w:val="libch2"/>
    <w:basedOn w:val="48"/>
    <w:uiPriority w:val="0"/>
    <w:rPr>
      <w:sz w:val="19"/>
      <w:szCs w:val="19"/>
    </w:rPr>
  </w:style>
  <w:style w:type="character" w:customStyle="1" w:styleId="158">
    <w:name w:val="hover"/>
    <w:basedOn w:val="48"/>
    <w:uiPriority w:val="0"/>
    <w:rPr>
      <w:color w:val="FF7B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617F77-12DC-4688-A9F9-D39DBF7CC9F1}">
  <ds:schemaRefs/>
</ds:datastoreItem>
</file>

<file path=docProps/app.xml><?xml version="1.0" encoding="utf-8"?>
<Properties xmlns="http://schemas.openxmlformats.org/officeDocument/2006/extended-properties" xmlns:vt="http://schemas.openxmlformats.org/officeDocument/2006/docPropsVTypes">
  <Template>Normal</Template>
  <Pages>59</Pages>
  <Words>22511</Words>
  <Characters>23604</Characters>
  <Lines>184</Lines>
  <Paragraphs>51</Paragraphs>
  <TotalTime>0</TotalTime>
  <ScaleCrop>false</ScaleCrop>
  <LinksUpToDate>false</LinksUpToDate>
  <CharactersWithSpaces>24459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2021-05-07T04:19:00Z</dcterms:created>
  <dc:creator>gg1</dc:creator>
  <cp:lastModifiedBy>a1</cp:lastModifiedBy>
  <cp:lastPrinted>2022-03-16T10:36:00Z</cp:lastPrinted>
  <dcterms:modified xsi:type="dcterms:W3CDTF">2023-09-01T08:09:39Z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E1D4B1D665D44C2793DF27DC04884751</vt:lpwstr>
  </property>
</Properties>
</file>