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A849">
      <w:pPr>
        <w:tabs>
          <w:tab w:val="left" w:pos="420"/>
        </w:tabs>
        <w:spacing w:line="1700" w:lineRule="exact"/>
        <w:jc w:val="center"/>
        <w:rPr>
          <w:rFonts w:ascii="宋体" w:hAnsi="宋体" w:cs="宋体"/>
          <w:b/>
          <w:color w:val="000000" w:themeColor="text1"/>
          <w:spacing w:val="36"/>
          <w:sz w:val="72"/>
          <w:szCs w:val="72"/>
          <w14:textFill>
            <w14:solidFill>
              <w14:schemeClr w14:val="tx1"/>
            </w14:solidFill>
          </w14:textFill>
        </w:rPr>
      </w:pPr>
      <w:r>
        <w:rPr>
          <w:rFonts w:hint="eastAsia" w:ascii="宋体" w:hAnsi="宋体" w:cs="宋体"/>
          <w:b/>
          <w:bCs/>
          <w:color w:val="000000" w:themeColor="text1"/>
          <w:kern w:val="0"/>
          <w:sz w:val="72"/>
          <w:szCs w:val="72"/>
          <w14:textFill>
            <w14:solidFill>
              <w14:schemeClr w14:val="tx1"/>
            </w14:solidFill>
          </w14:textFill>
        </w:rPr>
        <w:t>周口市公共资源交易中心</w:t>
      </w:r>
    </w:p>
    <w:p w14:paraId="6BEFA439">
      <w:pPr>
        <w:tabs>
          <w:tab w:val="left" w:pos="315"/>
          <w:tab w:val="left" w:pos="8820"/>
        </w:tabs>
        <w:spacing w:line="500" w:lineRule="exact"/>
        <w:ind w:right="267" w:rightChars="127"/>
        <w:jc w:val="center"/>
        <w:rPr>
          <w:rFonts w:ascii="宋体" w:hAnsi="宋体" w:cs="宋体"/>
          <w:b/>
          <w:bCs/>
          <w:color w:val="000000" w:themeColor="text1"/>
          <w:sz w:val="52"/>
          <w14:textFill>
            <w14:solidFill>
              <w14:schemeClr w14:val="tx1"/>
            </w14:solidFill>
          </w14:textFill>
        </w:rPr>
      </w:pPr>
    </w:p>
    <w:p w14:paraId="7D6B2FAA">
      <w:pPr>
        <w:tabs>
          <w:tab w:val="left" w:pos="315"/>
          <w:tab w:val="left" w:pos="8820"/>
        </w:tabs>
        <w:spacing w:line="500" w:lineRule="exact"/>
        <w:ind w:right="267" w:rightChars="127"/>
        <w:jc w:val="center"/>
        <w:rPr>
          <w:rFonts w:ascii="宋体" w:hAnsi="宋体" w:cs="宋体"/>
          <w:b/>
          <w:bCs/>
          <w:color w:val="000000" w:themeColor="text1"/>
          <w:sz w:val="52"/>
          <w14:textFill>
            <w14:solidFill>
              <w14:schemeClr w14:val="tx1"/>
            </w14:solidFill>
          </w14:textFill>
        </w:rPr>
      </w:pPr>
    </w:p>
    <w:p w14:paraId="6A90A858">
      <w:pPr>
        <w:tabs>
          <w:tab w:val="left" w:pos="315"/>
          <w:tab w:val="left" w:pos="8820"/>
        </w:tabs>
        <w:spacing w:line="500" w:lineRule="exact"/>
        <w:ind w:right="267" w:rightChars="127"/>
        <w:jc w:val="center"/>
        <w:rPr>
          <w:rFonts w:ascii="宋体" w:hAnsi="宋体" w:cs="宋体"/>
          <w:b/>
          <w:bCs/>
          <w:color w:val="000000" w:themeColor="text1"/>
          <w:sz w:val="52"/>
          <w14:textFill>
            <w14:solidFill>
              <w14:schemeClr w14:val="tx1"/>
            </w14:solidFill>
          </w14:textFill>
        </w:rPr>
      </w:pPr>
      <w:r>
        <w:rPr>
          <w:rFonts w:hint="eastAsia" w:ascii="宋体" w:hAnsi="宋体" w:cs="宋体"/>
          <w:b/>
          <w:bCs/>
          <w:color w:val="000000" w:themeColor="text1"/>
          <w:sz w:val="52"/>
          <w14:textFill>
            <w14:solidFill>
              <w14:schemeClr w14:val="tx1"/>
            </w14:solidFill>
          </w14:textFill>
        </w:rPr>
        <w:t>政 府 采 购 招 标 文 件</w:t>
      </w:r>
    </w:p>
    <w:p w14:paraId="65E5FCA4">
      <w:pPr>
        <w:tabs>
          <w:tab w:val="left" w:pos="315"/>
          <w:tab w:val="left" w:pos="8820"/>
        </w:tabs>
        <w:spacing w:line="500" w:lineRule="exact"/>
        <w:ind w:right="267" w:rightChars="127"/>
        <w:jc w:val="center"/>
        <w:rPr>
          <w:rFonts w:ascii="宋体" w:hAnsi="宋体" w:cs="宋体"/>
          <w:color w:val="000000" w:themeColor="text1"/>
          <w:sz w:val="44"/>
          <w14:textFill>
            <w14:solidFill>
              <w14:schemeClr w14:val="tx1"/>
            </w14:solidFill>
          </w14:textFill>
        </w:rPr>
      </w:pPr>
    </w:p>
    <w:p w14:paraId="0486A6B6">
      <w:pPr>
        <w:tabs>
          <w:tab w:val="left" w:pos="315"/>
          <w:tab w:val="left" w:pos="8820"/>
        </w:tabs>
        <w:ind w:right="267" w:rightChars="127"/>
        <w:rPr>
          <w:rFonts w:ascii="宋体" w:hAnsi="宋体" w:cs="宋体"/>
          <w:color w:val="000000" w:themeColor="text1"/>
          <w:sz w:val="44"/>
          <w14:textFill>
            <w14:solidFill>
              <w14:schemeClr w14:val="tx1"/>
            </w14:solidFill>
          </w14:textFill>
        </w:rPr>
      </w:pPr>
    </w:p>
    <w:p w14:paraId="0ADA8A79">
      <w:pPr>
        <w:tabs>
          <w:tab w:val="left" w:pos="315"/>
          <w:tab w:val="left" w:pos="8820"/>
        </w:tabs>
        <w:ind w:right="267" w:rightChars="127"/>
        <w:rPr>
          <w:rFonts w:ascii="宋体" w:hAnsi="宋体" w:cs="宋体"/>
          <w:color w:val="000000" w:themeColor="text1"/>
          <w:sz w:val="44"/>
          <w14:textFill>
            <w14:solidFill>
              <w14:schemeClr w14:val="tx1"/>
            </w14:solidFill>
          </w14:textFill>
        </w:rPr>
      </w:pPr>
    </w:p>
    <w:p w14:paraId="31FA42C0">
      <w:pPr>
        <w:tabs>
          <w:tab w:val="left" w:pos="315"/>
          <w:tab w:val="left" w:pos="8820"/>
        </w:tabs>
        <w:ind w:right="267" w:rightChars="127"/>
        <w:rPr>
          <w:rFonts w:ascii="宋体" w:hAnsi="宋体" w:cs="宋体"/>
          <w:color w:val="000000" w:themeColor="text1"/>
          <w:sz w:val="44"/>
          <w14:textFill>
            <w14:solidFill>
              <w14:schemeClr w14:val="tx1"/>
            </w14:solidFill>
          </w14:textFill>
        </w:rPr>
      </w:pPr>
    </w:p>
    <w:p w14:paraId="28C08818">
      <w:pPr>
        <w:tabs>
          <w:tab w:val="left" w:pos="315"/>
          <w:tab w:val="left" w:pos="8820"/>
        </w:tabs>
        <w:ind w:right="267" w:rightChars="127"/>
        <w:rPr>
          <w:rFonts w:ascii="宋体" w:hAnsi="宋体" w:cs="宋体"/>
          <w:color w:val="000000" w:themeColor="text1"/>
          <w:sz w:val="44"/>
          <w14:textFill>
            <w14:solidFill>
              <w14:schemeClr w14:val="tx1"/>
            </w14:solidFill>
          </w14:textFill>
        </w:rPr>
      </w:pPr>
    </w:p>
    <w:p w14:paraId="58CE45AD">
      <w:pPr>
        <w:tabs>
          <w:tab w:val="left" w:pos="315"/>
          <w:tab w:val="left" w:pos="8820"/>
        </w:tabs>
        <w:spacing w:line="500" w:lineRule="exact"/>
        <w:ind w:right="267" w:rightChars="127"/>
        <w:rPr>
          <w:rFonts w:ascii="宋体" w:hAnsi="宋体" w:cs="宋体"/>
          <w:color w:val="000000" w:themeColor="text1"/>
          <w:sz w:val="36"/>
          <w14:textFill>
            <w14:solidFill>
              <w14:schemeClr w14:val="tx1"/>
            </w14:solidFill>
          </w14:textFill>
        </w:rPr>
      </w:pPr>
    </w:p>
    <w:p w14:paraId="7D9E5BB8">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4FD6C650">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369D1BF8">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610BD280">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7E186933">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24ACB4C8">
      <w:pPr>
        <w:pStyle w:val="10"/>
        <w:spacing w:line="360" w:lineRule="auto"/>
        <w:ind w:left="1606" w:hanging="1606" w:hangingChars="500"/>
        <w:rPr>
          <w:rFonts w:ascii="宋体" w:hAnsi="宋体" w:eastAsia="宋体" w:cs="宋体"/>
          <w:color w:val="000000" w:themeColor="text1"/>
          <w:sz w:val="32"/>
          <w14:textFill>
            <w14:solidFill>
              <w14:schemeClr w14:val="tx1"/>
            </w14:solidFill>
          </w14:textFill>
        </w:rPr>
      </w:pPr>
    </w:p>
    <w:p w14:paraId="4B66D0D5">
      <w:pPr>
        <w:pStyle w:val="10"/>
        <w:spacing w:line="360" w:lineRule="auto"/>
        <w:ind w:left="1600" w:hanging="1600" w:hangingChars="500"/>
        <w:rPr>
          <w:rFonts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项目名称：周口市生态环境局太康分局太康县入河排污口规范化建设项目</w:t>
      </w:r>
    </w:p>
    <w:p w14:paraId="5195009F">
      <w:pPr>
        <w:pStyle w:val="10"/>
        <w:spacing w:line="360" w:lineRule="auto"/>
        <w:ind w:left="1600" w:hanging="1600" w:hangingChars="500"/>
        <w:rPr>
          <w:rFonts w:ascii="宋体" w:hAnsi="宋体" w:eastAsia="宋体"/>
          <w:b w:val="0"/>
          <w:bCs/>
          <w:spacing w:val="-4"/>
          <w:sz w:val="32"/>
          <w:szCs w:val="32"/>
        </w:rPr>
      </w:pPr>
      <w:r>
        <w:rPr>
          <w:rFonts w:hint="eastAsia" w:ascii="宋体" w:hAnsi="宋体" w:eastAsia="宋体" w:cs="宋体"/>
          <w:b w:val="0"/>
          <w:bCs/>
          <w:sz w:val="32"/>
          <w:szCs w:val="32"/>
        </w:rPr>
        <w:t>项目编号：周财招标采购-2025-59</w:t>
      </w:r>
    </w:p>
    <w:p w14:paraId="0A11E64B">
      <w:pPr>
        <w:tabs>
          <w:tab w:val="left" w:pos="315"/>
          <w:tab w:val="left" w:pos="8820"/>
        </w:tabs>
        <w:spacing w:line="500" w:lineRule="exact"/>
        <w:ind w:right="267" w:rightChars="127"/>
        <w:jc w:val="center"/>
        <w:rPr>
          <w:rFonts w:ascii="宋体" w:hAnsi="宋体" w:cs="宋体"/>
          <w:bCs/>
          <w:color w:val="000000" w:themeColor="text1"/>
          <w:sz w:val="32"/>
          <w:szCs w:val="32"/>
          <w14:textFill>
            <w14:solidFill>
              <w14:schemeClr w14:val="tx1"/>
            </w14:solidFill>
          </w14:textFill>
        </w:rPr>
      </w:pPr>
    </w:p>
    <w:p w14:paraId="632FE39E">
      <w:pPr>
        <w:tabs>
          <w:tab w:val="left" w:pos="315"/>
          <w:tab w:val="left" w:pos="8820"/>
        </w:tabs>
        <w:spacing w:line="500" w:lineRule="exact"/>
        <w:ind w:right="267" w:rightChars="127"/>
        <w:jc w:val="center"/>
        <w:rPr>
          <w:rFonts w:ascii="宋体" w:hAnsi="宋体" w:cs="宋体"/>
          <w:b/>
          <w:bCs/>
          <w:color w:val="000000" w:themeColor="text1"/>
          <w:sz w:val="36"/>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 xml:space="preserve">2025年 </w:t>
      </w:r>
      <w:r>
        <w:rPr>
          <w:rFonts w:hint="eastAsia" w:ascii="宋体" w:hAnsi="宋体" w:cs="宋体"/>
          <w:bCs/>
          <w:color w:val="000000" w:themeColor="text1"/>
          <w:sz w:val="32"/>
          <w:szCs w:val="32"/>
          <w:lang w:val="en-US" w:eastAsia="zh-CN"/>
          <w14:textFill>
            <w14:solidFill>
              <w14:schemeClr w14:val="tx1"/>
            </w14:solidFill>
          </w14:textFill>
        </w:rPr>
        <w:t xml:space="preserve">8 </w:t>
      </w:r>
      <w:r>
        <w:rPr>
          <w:rFonts w:hint="eastAsia" w:ascii="宋体" w:hAnsi="宋体" w:cs="宋体"/>
          <w:bCs/>
          <w:color w:val="000000" w:themeColor="text1"/>
          <w:sz w:val="32"/>
          <w:szCs w:val="32"/>
          <w14:textFill>
            <w14:solidFill>
              <w14:schemeClr w14:val="tx1"/>
            </w14:solidFill>
          </w14:textFill>
        </w:rPr>
        <w:t xml:space="preserve">月 </w:t>
      </w:r>
      <w:r>
        <w:rPr>
          <w:rFonts w:hint="eastAsia" w:ascii="宋体" w:hAnsi="宋体" w:cs="宋体"/>
          <w:bCs/>
          <w:color w:val="000000" w:themeColor="text1"/>
          <w:sz w:val="32"/>
          <w:szCs w:val="32"/>
          <w:lang w:val="en-US" w:eastAsia="zh-CN"/>
          <w14:textFill>
            <w14:solidFill>
              <w14:schemeClr w14:val="tx1"/>
            </w14:solidFill>
          </w14:textFill>
        </w:rPr>
        <w:t>13</w:t>
      </w:r>
      <w:r>
        <w:rPr>
          <w:rFonts w:hint="eastAsia" w:ascii="宋体" w:hAnsi="宋体" w:cs="宋体"/>
          <w:bCs/>
          <w:color w:val="000000" w:themeColor="text1"/>
          <w:sz w:val="32"/>
          <w:szCs w:val="32"/>
          <w14:textFill>
            <w14:solidFill>
              <w14:schemeClr w14:val="tx1"/>
            </w14:solidFill>
          </w14:textFill>
        </w:rPr>
        <w:t>日</w:t>
      </w:r>
    </w:p>
    <w:p w14:paraId="11CEE35E">
      <w:pPr>
        <w:spacing w:line="360" w:lineRule="auto"/>
        <w:jc w:val="left"/>
        <w:rPr>
          <w:rFonts w:ascii="宋体" w:hAnsi="宋体"/>
          <w:bCs/>
          <w:color w:val="000000" w:themeColor="text1"/>
          <w:spacing w:val="-4"/>
          <w:sz w:val="44"/>
          <w14:textFill>
            <w14:solidFill>
              <w14:schemeClr w14:val="tx1"/>
            </w14:solidFill>
          </w14:textFill>
        </w:rPr>
      </w:pPr>
    </w:p>
    <w:p w14:paraId="3BC1E59A">
      <w:pPr>
        <w:pStyle w:val="10"/>
        <w:jc w:val="center"/>
        <w:rPr>
          <w:rFonts w:ascii="宋体" w:hAnsi="宋体" w:eastAsia="宋体" w:cs="宋体"/>
          <w:color w:val="000000" w:themeColor="text1"/>
          <w14:textFill>
            <w14:solidFill>
              <w14:schemeClr w14:val="tx1"/>
            </w14:solidFill>
          </w14:textFill>
        </w:rPr>
      </w:pPr>
    </w:p>
    <w:p w14:paraId="02A758D3">
      <w:pPr>
        <w:tabs>
          <w:tab w:val="left" w:pos="4620"/>
        </w:tabs>
        <w:spacing w:line="500" w:lineRule="exact"/>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目  录</w:t>
      </w:r>
    </w:p>
    <w:p w14:paraId="7517715A">
      <w:pPr>
        <w:pStyle w:val="22"/>
        <w:tabs>
          <w:tab w:val="right" w:leader="dot" w:pos="8380"/>
        </w:tabs>
        <w:spacing w:line="360" w:lineRule="auto"/>
        <w:rPr>
          <w:b/>
          <w:color w:val="000000" w:themeColor="text1"/>
          <w:sz w:val="24"/>
          <w:szCs w:val="22"/>
          <w14:textFill>
            <w14:solidFill>
              <w14:schemeClr w14:val="tx1"/>
            </w14:solidFill>
          </w14:textFill>
        </w:rPr>
      </w:pPr>
      <w:bookmarkStart w:id="0" w:name="_Hlt526418134"/>
      <w:bookmarkEnd w:id="0"/>
      <w:bookmarkStart w:id="1" w:name="_Hlt533241375"/>
      <w:bookmarkEnd w:id="1"/>
      <w:bookmarkStart w:id="2" w:name="_Hlt519045295"/>
      <w:bookmarkEnd w:id="2"/>
      <w:r>
        <w:rPr>
          <w:rFonts w:hint="eastAsia"/>
          <w:b/>
          <w:color w:val="000000" w:themeColor="text1"/>
          <w:sz w:val="24"/>
          <w:szCs w:val="22"/>
          <w14:textFill>
            <w14:solidFill>
              <w14:schemeClr w14:val="tx1"/>
            </w14:solidFill>
          </w14:textFill>
        </w:rPr>
        <w:fldChar w:fldCharType="begin"/>
      </w:r>
      <w:r>
        <w:rPr>
          <w:rFonts w:hint="eastAsia"/>
          <w:b/>
          <w:color w:val="000000" w:themeColor="text1"/>
          <w:sz w:val="24"/>
          <w:szCs w:val="22"/>
          <w14:textFill>
            <w14:solidFill>
              <w14:schemeClr w14:val="tx1"/>
            </w14:solidFill>
          </w14:textFill>
        </w:rPr>
        <w:instrText xml:space="preserve"> TOC \o "1-3" \h \z </w:instrText>
      </w:r>
      <w:r>
        <w:rPr>
          <w:rFonts w:hint="eastAsia"/>
          <w:b/>
          <w:color w:val="000000" w:themeColor="text1"/>
          <w:sz w:val="24"/>
          <w:szCs w:val="22"/>
          <w14:textFill>
            <w14:solidFill>
              <w14:schemeClr w14:val="tx1"/>
            </w14:solidFill>
          </w14:textFill>
        </w:rPr>
        <w:fldChar w:fldCharType="separate"/>
      </w:r>
      <w:r>
        <w:fldChar w:fldCharType="begin"/>
      </w:r>
      <w:r>
        <w:instrText xml:space="preserve"> HYPERLINK \l "_Toc40975436" </w:instrText>
      </w:r>
      <w:r>
        <w:fldChar w:fldCharType="separate"/>
      </w:r>
      <w:r>
        <w:rPr>
          <w:rFonts w:hint="eastAsia"/>
          <w:b/>
          <w:color w:val="000000" w:themeColor="text1"/>
          <w:sz w:val="24"/>
          <w:szCs w:val="22"/>
          <w14:textFill>
            <w14:solidFill>
              <w14:schemeClr w14:val="tx1"/>
            </w14:solidFill>
          </w14:textFill>
        </w:rPr>
        <w:t>第一章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招标公告</w:t>
      </w:r>
      <w:r>
        <w:rPr>
          <w:b/>
          <w:color w:val="000000" w:themeColor="text1"/>
          <w:sz w:val="24"/>
          <w:szCs w:val="22"/>
          <w14:textFill>
            <w14:solidFill>
              <w14:schemeClr w14:val="tx1"/>
            </w14:solidFill>
          </w14:textFill>
        </w:rPr>
        <w:tab/>
      </w:r>
      <w:r>
        <w:rPr>
          <w:b/>
          <w:color w:val="000000" w:themeColor="text1"/>
          <w:sz w:val="24"/>
          <w:szCs w:val="22"/>
          <w14:textFill>
            <w14:solidFill>
              <w14:schemeClr w14:val="tx1"/>
            </w14:solidFill>
          </w14:textFill>
        </w:rPr>
        <w:fldChar w:fldCharType="begin"/>
      </w:r>
      <w:r>
        <w:rPr>
          <w:b/>
          <w:color w:val="000000" w:themeColor="text1"/>
          <w:sz w:val="24"/>
          <w:szCs w:val="22"/>
          <w14:textFill>
            <w14:solidFill>
              <w14:schemeClr w14:val="tx1"/>
            </w14:solidFill>
          </w14:textFill>
        </w:rPr>
        <w:instrText xml:space="preserve"> PAGEREF _Toc40975436 \h </w:instrText>
      </w:r>
      <w:r>
        <w:rPr>
          <w:b/>
          <w:color w:val="000000" w:themeColor="text1"/>
          <w:sz w:val="24"/>
          <w:szCs w:val="22"/>
          <w14:textFill>
            <w14:solidFill>
              <w14:schemeClr w14:val="tx1"/>
            </w14:solidFill>
          </w14:textFill>
        </w:rPr>
        <w:fldChar w:fldCharType="separate"/>
      </w:r>
      <w:r>
        <w:rPr>
          <w:b/>
          <w:color w:val="000000" w:themeColor="text1"/>
          <w:sz w:val="24"/>
          <w:szCs w:val="22"/>
          <w14:textFill>
            <w14:solidFill>
              <w14:schemeClr w14:val="tx1"/>
            </w14:solidFill>
          </w14:textFill>
        </w:rPr>
        <w:t>3</w:t>
      </w:r>
      <w:r>
        <w:rPr>
          <w:b/>
          <w:color w:val="000000" w:themeColor="text1"/>
          <w:sz w:val="24"/>
          <w:szCs w:val="22"/>
          <w14:textFill>
            <w14:solidFill>
              <w14:schemeClr w14:val="tx1"/>
            </w14:solidFill>
          </w14:textFill>
        </w:rPr>
        <w:fldChar w:fldCharType="end"/>
      </w:r>
      <w:r>
        <w:rPr>
          <w:b/>
          <w:color w:val="000000" w:themeColor="text1"/>
          <w:sz w:val="24"/>
          <w:szCs w:val="22"/>
          <w14:textFill>
            <w14:solidFill>
              <w14:schemeClr w14:val="tx1"/>
            </w14:solidFill>
          </w14:textFill>
        </w:rPr>
        <w:fldChar w:fldCharType="end"/>
      </w:r>
    </w:p>
    <w:p w14:paraId="275B0E90">
      <w:pPr>
        <w:pStyle w:val="22"/>
        <w:tabs>
          <w:tab w:val="right" w:leader="dot" w:pos="8380"/>
        </w:tabs>
        <w:spacing w:line="360" w:lineRule="auto"/>
        <w:rPr>
          <w:b/>
          <w:color w:val="000000" w:themeColor="text1"/>
          <w:sz w:val="24"/>
          <w:szCs w:val="22"/>
          <w14:textFill>
            <w14:solidFill>
              <w14:schemeClr w14:val="tx1"/>
            </w14:solidFill>
          </w14:textFill>
        </w:rPr>
      </w:pPr>
      <w:r>
        <w:fldChar w:fldCharType="begin"/>
      </w:r>
      <w:r>
        <w:instrText xml:space="preserve"> HYPERLINK \l "_Toc40975437" </w:instrText>
      </w:r>
      <w:r>
        <w:fldChar w:fldCharType="separate"/>
      </w:r>
      <w:r>
        <w:rPr>
          <w:rFonts w:hint="eastAsia"/>
          <w:b/>
          <w:color w:val="000000" w:themeColor="text1"/>
          <w:sz w:val="24"/>
          <w:szCs w:val="22"/>
          <w14:textFill>
            <w14:solidFill>
              <w14:schemeClr w14:val="tx1"/>
            </w14:solidFill>
          </w14:textFill>
        </w:rPr>
        <w:t>第二章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投标人须知前附表</w:t>
      </w:r>
      <w:r>
        <w:rPr>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6</w:t>
      </w:r>
      <w:r>
        <w:rPr>
          <w:rFonts w:hint="eastAsia"/>
          <w:b/>
          <w:color w:val="000000" w:themeColor="text1"/>
          <w:sz w:val="24"/>
          <w:szCs w:val="22"/>
          <w14:textFill>
            <w14:solidFill>
              <w14:schemeClr w14:val="tx1"/>
            </w14:solidFill>
          </w14:textFill>
        </w:rPr>
        <w:fldChar w:fldCharType="end"/>
      </w:r>
    </w:p>
    <w:p w14:paraId="008CEF2D">
      <w:pPr>
        <w:pStyle w:val="22"/>
        <w:tabs>
          <w:tab w:val="right" w:leader="dot" w:pos="8380"/>
        </w:tabs>
        <w:spacing w:line="360" w:lineRule="auto"/>
        <w:rPr>
          <w:b/>
          <w:color w:val="000000" w:themeColor="text1"/>
          <w:sz w:val="24"/>
          <w:szCs w:val="22"/>
          <w14:textFill>
            <w14:solidFill>
              <w14:schemeClr w14:val="tx1"/>
            </w14:solidFill>
          </w14:textFill>
        </w:rPr>
      </w:pPr>
      <w:r>
        <w:fldChar w:fldCharType="begin"/>
      </w:r>
      <w:r>
        <w:instrText xml:space="preserve"> HYPERLINK \l "_Toc40975438" </w:instrText>
      </w:r>
      <w:r>
        <w:fldChar w:fldCharType="separate"/>
      </w:r>
      <w:r>
        <w:rPr>
          <w:rFonts w:hint="eastAsia"/>
          <w:b/>
          <w:color w:val="000000" w:themeColor="text1"/>
          <w:sz w:val="24"/>
          <w:szCs w:val="22"/>
          <w14:textFill>
            <w14:solidFill>
              <w14:schemeClr w14:val="tx1"/>
            </w14:solidFill>
          </w14:textFill>
        </w:rPr>
        <w:t>第三章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货物需求一览表</w:t>
      </w:r>
      <w:r>
        <w:rPr>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8</w:t>
      </w:r>
      <w:r>
        <w:rPr>
          <w:rFonts w:hint="eastAsia"/>
          <w:b/>
          <w:color w:val="000000" w:themeColor="text1"/>
          <w:sz w:val="24"/>
          <w:szCs w:val="22"/>
          <w14:textFill>
            <w14:solidFill>
              <w14:schemeClr w14:val="tx1"/>
            </w14:solidFill>
          </w14:textFill>
        </w:rPr>
        <w:fldChar w:fldCharType="end"/>
      </w:r>
    </w:p>
    <w:p w14:paraId="61BFA825">
      <w:pPr>
        <w:pStyle w:val="22"/>
        <w:tabs>
          <w:tab w:val="right" w:leader="dot" w:pos="8380"/>
        </w:tabs>
        <w:spacing w:line="360" w:lineRule="auto"/>
        <w:rPr>
          <w:b/>
          <w:color w:val="000000" w:themeColor="text1"/>
          <w:sz w:val="24"/>
          <w:szCs w:val="22"/>
          <w14:textFill>
            <w14:solidFill>
              <w14:schemeClr w14:val="tx1"/>
            </w14:solidFill>
          </w14:textFill>
        </w:rPr>
      </w:pPr>
      <w:r>
        <w:fldChar w:fldCharType="begin"/>
      </w:r>
      <w:r>
        <w:instrText xml:space="preserve"> HYPERLINK \l "_Toc40975439" </w:instrText>
      </w:r>
      <w:r>
        <w:fldChar w:fldCharType="separate"/>
      </w:r>
      <w:r>
        <w:rPr>
          <w:rFonts w:hint="eastAsia"/>
          <w:b/>
          <w:color w:val="000000" w:themeColor="text1"/>
          <w:sz w:val="24"/>
          <w:szCs w:val="22"/>
          <w14:textFill>
            <w14:solidFill>
              <w14:schemeClr w14:val="tx1"/>
            </w14:solidFill>
          </w14:textFill>
        </w:rPr>
        <w:t>第四章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评标</w:t>
      </w:r>
      <w:bookmarkStart w:id="3" w:name="_Hlt47544341"/>
      <w:bookmarkStart w:id="4" w:name="_Hlt47544340"/>
      <w:r>
        <w:rPr>
          <w:rFonts w:hint="eastAsia"/>
          <w:b/>
          <w:color w:val="000000" w:themeColor="text1"/>
          <w:sz w:val="24"/>
          <w:szCs w:val="22"/>
          <w14:textFill>
            <w14:solidFill>
              <w14:schemeClr w14:val="tx1"/>
            </w14:solidFill>
          </w14:textFill>
        </w:rPr>
        <w:t>办</w:t>
      </w:r>
      <w:bookmarkEnd w:id="3"/>
      <w:bookmarkEnd w:id="4"/>
      <w:r>
        <w:rPr>
          <w:rFonts w:hint="eastAsia"/>
          <w:b/>
          <w:color w:val="000000" w:themeColor="text1"/>
          <w:sz w:val="24"/>
          <w:szCs w:val="22"/>
          <w14:textFill>
            <w14:solidFill>
              <w14:schemeClr w14:val="tx1"/>
            </w14:solidFill>
          </w14:textFill>
        </w:rPr>
        <w:t>法</w:t>
      </w:r>
      <w:r>
        <w:rPr>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1</w:t>
      </w:r>
      <w:r>
        <w:rPr>
          <w:rFonts w:hint="eastAsia"/>
          <w:b/>
          <w:color w:val="000000" w:themeColor="text1"/>
          <w:sz w:val="24"/>
          <w:szCs w:val="22"/>
          <w14:textFill>
            <w14:solidFill>
              <w14:schemeClr w14:val="tx1"/>
            </w14:solidFill>
          </w14:textFill>
        </w:rPr>
        <w:fldChar w:fldCharType="end"/>
      </w:r>
      <w:r>
        <w:rPr>
          <w:rFonts w:hint="eastAsia"/>
          <w:b/>
          <w:color w:val="000000" w:themeColor="text1"/>
          <w:sz w:val="24"/>
          <w:szCs w:val="22"/>
          <w14:textFill>
            <w14:solidFill>
              <w14:schemeClr w14:val="tx1"/>
            </w14:solidFill>
          </w14:textFill>
        </w:rPr>
        <w:t>1</w:t>
      </w:r>
    </w:p>
    <w:p w14:paraId="59951EB2">
      <w:pPr>
        <w:pStyle w:val="22"/>
        <w:tabs>
          <w:tab w:val="right" w:leader="dot" w:pos="8380"/>
        </w:tabs>
        <w:spacing w:line="360" w:lineRule="auto"/>
        <w:rPr>
          <w:b/>
          <w:color w:val="000000" w:themeColor="text1"/>
          <w:sz w:val="24"/>
          <w:szCs w:val="22"/>
          <w14:textFill>
            <w14:solidFill>
              <w14:schemeClr w14:val="tx1"/>
            </w14:solidFill>
          </w14:textFill>
        </w:rPr>
      </w:pPr>
      <w:r>
        <w:fldChar w:fldCharType="begin"/>
      </w:r>
      <w:r>
        <w:instrText xml:space="preserve"> HYPERLINK \l "_Toc40975441" </w:instrText>
      </w:r>
      <w:r>
        <w:fldChar w:fldCharType="separate"/>
      </w:r>
      <w:r>
        <w:rPr>
          <w:rFonts w:hint="eastAsia"/>
          <w:b/>
          <w:color w:val="000000" w:themeColor="text1"/>
          <w:sz w:val="24"/>
          <w:szCs w:val="22"/>
          <w14:textFill>
            <w14:solidFill>
              <w14:schemeClr w14:val="tx1"/>
            </w14:solidFill>
          </w14:textFill>
        </w:rPr>
        <w:t>第五章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投标人须知</w:t>
      </w:r>
      <w:r>
        <w:rPr>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1</w:t>
      </w:r>
      <w:r>
        <w:rPr>
          <w:rFonts w:hint="eastAsia"/>
          <w:b/>
          <w:color w:val="000000" w:themeColor="text1"/>
          <w:sz w:val="24"/>
          <w:szCs w:val="22"/>
          <w14:textFill>
            <w14:solidFill>
              <w14:schemeClr w14:val="tx1"/>
            </w14:solidFill>
          </w14:textFill>
        </w:rPr>
        <w:fldChar w:fldCharType="end"/>
      </w:r>
      <w:r>
        <w:rPr>
          <w:rFonts w:hint="eastAsia"/>
          <w:b/>
          <w:color w:val="000000" w:themeColor="text1"/>
          <w:sz w:val="24"/>
          <w:szCs w:val="22"/>
          <w14:textFill>
            <w14:solidFill>
              <w14:schemeClr w14:val="tx1"/>
            </w14:solidFill>
          </w14:textFill>
        </w:rPr>
        <w:t>6</w:t>
      </w:r>
    </w:p>
    <w:p w14:paraId="008D7F69">
      <w:pPr>
        <w:pStyle w:val="22"/>
        <w:tabs>
          <w:tab w:val="right" w:leader="dot" w:pos="8380"/>
        </w:tabs>
        <w:spacing w:line="360" w:lineRule="auto"/>
        <w:rPr>
          <w:b/>
          <w:color w:val="000000" w:themeColor="text1"/>
          <w:sz w:val="24"/>
          <w:szCs w:val="22"/>
          <w14:textFill>
            <w14:solidFill>
              <w14:schemeClr w14:val="tx1"/>
            </w14:solidFill>
          </w14:textFill>
        </w:rPr>
      </w:pPr>
      <w:r>
        <w:fldChar w:fldCharType="begin"/>
      </w:r>
      <w:r>
        <w:instrText xml:space="preserve"> HYPERLINK \l "_Toc40975448" </w:instrText>
      </w:r>
      <w:r>
        <w:fldChar w:fldCharType="separate"/>
      </w:r>
      <w:r>
        <w:rPr>
          <w:rFonts w:hint="eastAsia"/>
          <w:b/>
          <w:color w:val="000000" w:themeColor="text1"/>
          <w:sz w:val="24"/>
          <w:szCs w:val="22"/>
          <w14:textFill>
            <w14:solidFill>
              <w14:schemeClr w14:val="tx1"/>
            </w14:solidFill>
          </w14:textFill>
        </w:rPr>
        <w:t>第六章</w:t>
      </w:r>
      <w:r>
        <w:rPr>
          <w:b/>
          <w:color w:val="000000" w:themeColor="text1"/>
          <w:sz w:val="24"/>
          <w:szCs w:val="22"/>
          <w14:textFill>
            <w14:solidFill>
              <w14:schemeClr w14:val="tx1"/>
            </w14:solidFill>
          </w14:textFill>
        </w:rPr>
        <w:t xml:space="preserve"> </w:t>
      </w:r>
      <w:r>
        <w:rPr>
          <w:rFonts w:hint="eastAsia"/>
          <w:b/>
          <w:color w:val="000000" w:themeColor="text1"/>
          <w:sz w:val="24"/>
          <w:szCs w:val="22"/>
          <w14:textFill>
            <w14:solidFill>
              <w14:schemeClr w14:val="tx1"/>
            </w14:solidFill>
          </w14:textFill>
        </w:rPr>
        <w:t>周口市政府采购合同（货物类）标准文本、合同签订指引、供应商履约验收指引</w:t>
      </w:r>
      <w:r>
        <w:rPr>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2</w:t>
      </w:r>
      <w:r>
        <w:rPr>
          <w:rFonts w:hint="eastAsia"/>
          <w:b/>
          <w:color w:val="000000" w:themeColor="text1"/>
          <w:sz w:val="24"/>
          <w:szCs w:val="22"/>
          <w14:textFill>
            <w14:solidFill>
              <w14:schemeClr w14:val="tx1"/>
            </w14:solidFill>
          </w14:textFill>
        </w:rPr>
        <w:fldChar w:fldCharType="end"/>
      </w:r>
      <w:r>
        <w:rPr>
          <w:rFonts w:hint="eastAsia"/>
          <w:b/>
          <w:color w:val="000000" w:themeColor="text1"/>
          <w:sz w:val="24"/>
          <w:szCs w:val="22"/>
          <w14:textFill>
            <w14:solidFill>
              <w14:schemeClr w14:val="tx1"/>
            </w14:solidFill>
          </w14:textFill>
        </w:rPr>
        <w:t>9</w:t>
      </w:r>
    </w:p>
    <w:p w14:paraId="4518A082">
      <w:pPr>
        <w:pStyle w:val="22"/>
        <w:tabs>
          <w:tab w:val="right" w:leader="dot" w:pos="8380"/>
        </w:tabs>
        <w:spacing w:line="360" w:lineRule="auto"/>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第七章 投标文件格式</w:t>
      </w:r>
      <w:r>
        <w:rPr>
          <w:rFonts w:hint="eastAsia"/>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36</w:t>
      </w:r>
    </w:p>
    <w:p w14:paraId="12220BA3">
      <w:pPr>
        <w:pStyle w:val="22"/>
        <w:tabs>
          <w:tab w:val="right" w:leader="dot" w:pos="8380"/>
        </w:tabs>
        <w:spacing w:line="360" w:lineRule="auto"/>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周口市政府采购合同融资政策告知函</w:t>
      </w:r>
      <w:r>
        <w:rPr>
          <w:rFonts w:hint="eastAsia"/>
          <w:b/>
          <w:color w:val="000000" w:themeColor="text1"/>
          <w:sz w:val="24"/>
          <w:szCs w:val="22"/>
          <w14:textFill>
            <w14:solidFill>
              <w14:schemeClr w14:val="tx1"/>
            </w14:solidFill>
          </w14:textFill>
        </w:rPr>
        <w:tab/>
      </w:r>
      <w:r>
        <w:rPr>
          <w:rFonts w:hint="eastAsia"/>
          <w:b/>
          <w:color w:val="000000" w:themeColor="text1"/>
          <w:sz w:val="24"/>
          <w:szCs w:val="22"/>
          <w14:textFill>
            <w14:solidFill>
              <w14:schemeClr w14:val="tx1"/>
            </w14:solidFill>
          </w14:textFill>
        </w:rPr>
        <w:t>48</w:t>
      </w:r>
    </w:p>
    <w:p w14:paraId="12CB4593">
      <w:pPr>
        <w:pStyle w:val="22"/>
        <w:tabs>
          <w:tab w:val="right" w:leader="dot" w:pos="8380"/>
        </w:tabs>
        <w:spacing w:line="360" w:lineRule="auto"/>
        <w:rPr>
          <w:b/>
          <w:color w:val="000000" w:themeColor="text1"/>
          <w:sz w:val="24"/>
          <w:szCs w:val="22"/>
          <w14:textFill>
            <w14:solidFill>
              <w14:schemeClr w14:val="tx1"/>
            </w14:solidFill>
          </w14:textFill>
        </w:rPr>
      </w:pPr>
    </w:p>
    <w:p w14:paraId="57E981CE">
      <w:pPr>
        <w:rPr>
          <w:color w:val="000000" w:themeColor="text1"/>
          <w14:textFill>
            <w14:solidFill>
              <w14:schemeClr w14:val="tx1"/>
            </w14:solidFill>
          </w14:textFill>
        </w:rPr>
      </w:pPr>
    </w:p>
    <w:p w14:paraId="39CE2BC9">
      <w:pPr>
        <w:rPr>
          <w:color w:val="000000" w:themeColor="text1"/>
          <w14:textFill>
            <w14:solidFill>
              <w14:schemeClr w14:val="tx1"/>
            </w14:solidFill>
          </w14:textFill>
        </w:rPr>
      </w:pPr>
    </w:p>
    <w:p w14:paraId="5F5CF0A1">
      <w:pPr>
        <w:pStyle w:val="22"/>
        <w:tabs>
          <w:tab w:val="right" w:leader="dot" w:pos="8380"/>
        </w:tabs>
        <w:spacing w:line="360" w:lineRule="auto"/>
        <w:rPr>
          <w:b/>
          <w:color w:val="000000" w:themeColor="text1"/>
          <w:sz w:val="24"/>
          <w:szCs w:val="22"/>
          <w14:textFill>
            <w14:solidFill>
              <w14:schemeClr w14:val="tx1"/>
            </w14:solidFill>
          </w14:textFill>
        </w:rPr>
      </w:pPr>
    </w:p>
    <w:p w14:paraId="0EF32DD9">
      <w:pPr>
        <w:pStyle w:val="22"/>
        <w:tabs>
          <w:tab w:val="right" w:leader="dot" w:pos="8380"/>
        </w:tabs>
        <w:spacing w:line="360" w:lineRule="auto"/>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fldChar w:fldCharType="end"/>
      </w:r>
    </w:p>
    <w:p w14:paraId="666640CD">
      <w:pPr>
        <w:rPr>
          <w:rFonts w:ascii="宋体" w:hAnsi="宋体" w:cs="宋体"/>
          <w:b/>
          <w:bCs/>
          <w:caps/>
          <w:color w:val="000000" w:themeColor="text1"/>
          <w:sz w:val="24"/>
          <w:szCs w:val="24"/>
          <w14:textFill>
            <w14:solidFill>
              <w14:schemeClr w14:val="tx1"/>
            </w14:solidFill>
          </w14:textFill>
        </w:rPr>
      </w:pPr>
    </w:p>
    <w:p w14:paraId="4BAD1048">
      <w:pPr>
        <w:rPr>
          <w:rFonts w:ascii="宋体" w:hAnsi="宋体" w:cs="宋体"/>
          <w:b/>
          <w:bCs/>
          <w:caps/>
          <w:color w:val="000000" w:themeColor="text1"/>
          <w:sz w:val="24"/>
          <w:szCs w:val="24"/>
          <w14:textFill>
            <w14:solidFill>
              <w14:schemeClr w14:val="tx1"/>
            </w14:solidFill>
          </w14:textFill>
        </w:rPr>
      </w:pPr>
    </w:p>
    <w:p w14:paraId="3FD6BF5F">
      <w:pPr>
        <w:rPr>
          <w:rFonts w:ascii="宋体" w:hAnsi="宋体" w:cs="宋体"/>
          <w:b/>
          <w:bCs/>
          <w:caps/>
          <w:color w:val="000000" w:themeColor="text1"/>
          <w:sz w:val="24"/>
          <w:szCs w:val="24"/>
          <w14:textFill>
            <w14:solidFill>
              <w14:schemeClr w14:val="tx1"/>
            </w14:solidFill>
          </w14:textFill>
        </w:rPr>
      </w:pPr>
    </w:p>
    <w:p w14:paraId="2817D651">
      <w:pPr>
        <w:rPr>
          <w:rFonts w:ascii="宋体" w:hAnsi="宋体" w:cs="宋体"/>
          <w:b/>
          <w:bCs/>
          <w:caps/>
          <w:color w:val="000000" w:themeColor="text1"/>
          <w:sz w:val="24"/>
          <w:szCs w:val="24"/>
          <w14:textFill>
            <w14:solidFill>
              <w14:schemeClr w14:val="tx1"/>
            </w14:solidFill>
          </w14:textFill>
        </w:rPr>
      </w:pPr>
    </w:p>
    <w:p w14:paraId="7A7999B2">
      <w:pPr>
        <w:rPr>
          <w:rFonts w:ascii="宋体" w:hAnsi="宋体" w:cs="宋体"/>
          <w:b/>
          <w:bCs/>
          <w:caps/>
          <w:color w:val="000000" w:themeColor="text1"/>
          <w:sz w:val="24"/>
          <w:szCs w:val="24"/>
          <w14:textFill>
            <w14:solidFill>
              <w14:schemeClr w14:val="tx1"/>
            </w14:solidFill>
          </w14:textFill>
        </w:rPr>
      </w:pPr>
    </w:p>
    <w:p w14:paraId="472B9E61">
      <w:pPr>
        <w:rPr>
          <w:rFonts w:ascii="宋体" w:hAnsi="宋体" w:cs="宋体"/>
          <w:b/>
          <w:bCs/>
          <w:caps/>
          <w:color w:val="000000" w:themeColor="text1"/>
          <w:sz w:val="24"/>
          <w:szCs w:val="24"/>
          <w14:textFill>
            <w14:solidFill>
              <w14:schemeClr w14:val="tx1"/>
            </w14:solidFill>
          </w14:textFill>
        </w:rPr>
      </w:pPr>
    </w:p>
    <w:p w14:paraId="3CD78A4A">
      <w:pPr>
        <w:rPr>
          <w:rFonts w:ascii="宋体" w:hAnsi="宋体" w:cs="宋体"/>
          <w:b/>
          <w:bCs/>
          <w:caps/>
          <w:color w:val="000000" w:themeColor="text1"/>
          <w:sz w:val="24"/>
          <w:szCs w:val="24"/>
          <w14:textFill>
            <w14:solidFill>
              <w14:schemeClr w14:val="tx1"/>
            </w14:solidFill>
          </w14:textFill>
        </w:rPr>
      </w:pPr>
    </w:p>
    <w:p w14:paraId="0C289E3B">
      <w:pPr>
        <w:rPr>
          <w:rFonts w:ascii="宋体" w:hAnsi="宋体" w:cs="宋体"/>
          <w:b/>
          <w:bCs/>
          <w:caps/>
          <w:color w:val="000000" w:themeColor="text1"/>
          <w:sz w:val="24"/>
          <w:szCs w:val="24"/>
          <w14:textFill>
            <w14:solidFill>
              <w14:schemeClr w14:val="tx1"/>
            </w14:solidFill>
          </w14:textFill>
        </w:rPr>
      </w:pPr>
    </w:p>
    <w:p w14:paraId="3B11FDE8">
      <w:pPr>
        <w:rPr>
          <w:rFonts w:ascii="宋体" w:hAnsi="宋体" w:cs="宋体"/>
          <w:b/>
          <w:bCs/>
          <w:caps/>
          <w:color w:val="000000" w:themeColor="text1"/>
          <w:sz w:val="24"/>
          <w:szCs w:val="24"/>
          <w14:textFill>
            <w14:solidFill>
              <w14:schemeClr w14:val="tx1"/>
            </w14:solidFill>
          </w14:textFill>
        </w:rPr>
      </w:pPr>
    </w:p>
    <w:p w14:paraId="0DCD12F9">
      <w:pPr>
        <w:jc w:val="center"/>
        <w:rPr>
          <w:rFonts w:ascii="宋体" w:hAnsi="宋体" w:cs="宋体"/>
          <w:b/>
          <w:bCs/>
          <w:caps/>
          <w:color w:val="000000" w:themeColor="text1"/>
          <w:sz w:val="24"/>
          <w:szCs w:val="24"/>
          <w14:textFill>
            <w14:solidFill>
              <w14:schemeClr w14:val="tx1"/>
            </w14:solidFill>
          </w14:textFill>
        </w:rPr>
      </w:pPr>
      <w:r>
        <w:rPr>
          <w:rFonts w:ascii="宋体" w:hAnsi="宋体" w:cs="宋体"/>
          <w:b/>
          <w:bCs/>
          <w:caps/>
          <w:color w:val="000000" w:themeColor="text1"/>
          <w:sz w:val="24"/>
          <w:szCs w:val="24"/>
          <w14:textFill>
            <w14:solidFill>
              <w14:schemeClr w14:val="tx1"/>
            </w14:solidFill>
          </w14:textFill>
        </w:rPr>
        <w:br w:type="page"/>
      </w:r>
    </w:p>
    <w:p w14:paraId="44C0DE0B">
      <w:pPr>
        <w:pStyle w:val="4"/>
        <w:spacing w:before="0" w:after="0" w:line="240" w:lineRule="auto"/>
        <w:ind w:firstLine="0"/>
        <w:rPr>
          <w:rFonts w:ascii="宋体" w:hAnsi="宋体" w:eastAsia="宋体" w:cs="宋体"/>
          <w:color w:val="000000" w:themeColor="text1"/>
          <w14:textFill>
            <w14:solidFill>
              <w14:schemeClr w14:val="tx1"/>
            </w14:solidFill>
          </w14:textFill>
        </w:rPr>
      </w:pPr>
      <w:bookmarkStart w:id="5" w:name="_Toc28426_WPSOffice_Level1"/>
      <w:bookmarkStart w:id="6" w:name="_Toc40975436"/>
      <w:r>
        <w:rPr>
          <w:rFonts w:hint="eastAsia" w:ascii="宋体" w:hAnsi="宋体" w:eastAsia="宋体" w:cs="宋体"/>
          <w:color w:val="000000" w:themeColor="text1"/>
          <w14:textFill>
            <w14:solidFill>
              <w14:schemeClr w14:val="tx1"/>
            </w14:solidFill>
          </w14:textFill>
        </w:rPr>
        <w:t>第一章  招标公告</w:t>
      </w:r>
      <w:bookmarkEnd w:id="5"/>
      <w:bookmarkEnd w:id="6"/>
    </w:p>
    <w:p w14:paraId="2BB87A4A">
      <w:pPr>
        <w:pStyle w:val="24"/>
        <w:shd w:val="clear" w:color="auto" w:fill="FFFFFF"/>
        <w:snapToGrid w:val="0"/>
        <w:spacing w:before="0" w:beforeAutospacing="0" w:after="0" w:afterAutospacing="0" w:line="360" w:lineRule="auto"/>
        <w:ind w:firstLine="480"/>
        <w:jc w:val="both"/>
        <w:rPr>
          <w:rFonts w:cs="宋体"/>
          <w:color w:val="000000" w:themeColor="text1"/>
          <w:shd w:val="clear" w:color="auto" w:fill="FFFFFF"/>
          <w14:textFill>
            <w14:solidFill>
              <w14:schemeClr w14:val="tx1"/>
            </w14:solidFill>
          </w14:textFill>
        </w:rPr>
      </w:pPr>
    </w:p>
    <w:p w14:paraId="34170DD3">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7" w:name="_Hlt510343011"/>
      <w:bookmarkStart w:id="8" w:name="_Hlt510342998"/>
      <w:bookmarkStart w:id="9" w:name="_Toc7329_WPSOffice_Level1"/>
      <w:r>
        <w:rPr>
          <w:rFonts w:hint="eastAsia" w:ascii="宋体" w:hAnsi="宋体" w:cs="宋体"/>
          <w:color w:val="000000" w:themeColor="text1"/>
          <w:sz w:val="24"/>
          <w:szCs w:val="24"/>
          <w14:textFill>
            <w14:solidFill>
              <w14:schemeClr w14:val="tx1"/>
            </w14:solidFill>
          </w14:textFill>
        </w:rPr>
        <w:t>项目概况</w:t>
      </w:r>
    </w:p>
    <w:p w14:paraId="4FB1BBB0">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周口市生态环境局太康分局太康县入河排污口规范化建设项目(项目名称)的潜在投标人应在周口市公共资源交易中心网（http://jyzx.zhoukou.gov.cn）获取招标文件，并于2025年  月   日10点00分（北京时间）前递交投标文件。</w:t>
      </w:r>
    </w:p>
    <w:p w14:paraId="6F486080">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10" w:name="_Toc28359002"/>
      <w:bookmarkStart w:id="11" w:name="_Toc35393790"/>
      <w:bookmarkStart w:id="12" w:name="_Toc28359079"/>
      <w:bookmarkStart w:id="13" w:name="_Toc35393621"/>
      <w:bookmarkStart w:id="14" w:name="_Hlk24379207"/>
      <w:r>
        <w:rPr>
          <w:rFonts w:hint="eastAsia" w:ascii="宋体" w:hAnsi="宋体" w:cs="宋体"/>
          <w:color w:val="000000" w:themeColor="text1"/>
          <w:sz w:val="24"/>
          <w:szCs w:val="24"/>
          <w14:textFill>
            <w14:solidFill>
              <w14:schemeClr w14:val="tx1"/>
            </w14:solidFill>
          </w14:textFill>
        </w:rPr>
        <w:t>一、项目基本情况</w:t>
      </w:r>
      <w:bookmarkEnd w:id="10"/>
      <w:bookmarkEnd w:id="11"/>
      <w:bookmarkEnd w:id="12"/>
      <w:bookmarkEnd w:id="13"/>
    </w:p>
    <w:p w14:paraId="3BD603F3">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项目编号：周财招标采购-2025-59</w:t>
      </w:r>
    </w:p>
    <w:p w14:paraId="6FB14FDF">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bookmarkEnd w:id="14"/>
      <w:r>
        <w:rPr>
          <w:rFonts w:hint="eastAsia" w:ascii="宋体" w:hAnsi="宋体" w:cs="宋体"/>
          <w:color w:val="000000" w:themeColor="text1"/>
          <w:sz w:val="24"/>
          <w:szCs w:val="24"/>
          <w14:textFill>
            <w14:solidFill>
              <w14:schemeClr w14:val="tx1"/>
            </w14:solidFill>
          </w14:textFill>
        </w:rPr>
        <w:t>周口市生态环境局太康分局太康县入河排污口规范化建设项目</w:t>
      </w:r>
    </w:p>
    <w:p w14:paraId="61703D21">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预算金额：910.87万元</w:t>
      </w:r>
    </w:p>
    <w:p w14:paraId="71C24C1D">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最高限价（如有）： 910.87万元</w:t>
      </w:r>
    </w:p>
    <w:p w14:paraId="7E503970">
      <w:pPr>
        <w:pStyle w:val="11"/>
        <w:adjustRightInd w:val="0"/>
        <w:snapToGrid w:val="0"/>
        <w:spacing w:line="360" w:lineRule="auto"/>
        <w:ind w:firstLine="480" w:firstLineChars="200"/>
        <w:rPr>
          <w:color w:val="000000" w:themeColor="text1"/>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采购方式：公开招标</w:t>
      </w:r>
    </w:p>
    <w:p w14:paraId="78082615">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包别划分：</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个包</w:t>
      </w:r>
    </w:p>
    <w:tbl>
      <w:tblPr>
        <w:tblStyle w:val="28"/>
        <w:tblpPr w:leftFromText="180" w:rightFromText="180" w:vertAnchor="text" w:horzAnchor="margin" w:tblpXSpec="center" w:tblpY="154"/>
        <w:tblW w:w="8507" w:type="dxa"/>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150"/>
        <w:gridCol w:w="1635"/>
      </w:tblGrid>
      <w:tr w14:paraId="6040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22" w:type="dxa"/>
            <w:vAlign w:val="center"/>
          </w:tcPr>
          <w:p w14:paraId="26D4398B">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包号</w:t>
            </w:r>
          </w:p>
        </w:tc>
        <w:tc>
          <w:tcPr>
            <w:tcW w:w="6150" w:type="dxa"/>
            <w:vAlign w:val="center"/>
          </w:tcPr>
          <w:p w14:paraId="7B0876F7">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包名称</w:t>
            </w:r>
          </w:p>
        </w:tc>
        <w:tc>
          <w:tcPr>
            <w:tcW w:w="1635" w:type="dxa"/>
            <w:vAlign w:val="center"/>
          </w:tcPr>
          <w:p w14:paraId="60285DC4">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包最高限价</w:t>
            </w:r>
          </w:p>
          <w:p w14:paraId="568CDEC7">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万元</w:t>
            </w:r>
          </w:p>
        </w:tc>
      </w:tr>
      <w:tr w14:paraId="7023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22" w:type="dxa"/>
            <w:vAlign w:val="center"/>
          </w:tcPr>
          <w:p w14:paraId="4824A9C8">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6150" w:type="dxa"/>
            <w:vAlign w:val="center"/>
          </w:tcPr>
          <w:p w14:paraId="33F69560">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周口市生态环境局太康分局太康县入河排污口规范化建设项目</w:t>
            </w:r>
          </w:p>
        </w:tc>
        <w:tc>
          <w:tcPr>
            <w:tcW w:w="1635" w:type="dxa"/>
            <w:vAlign w:val="center"/>
          </w:tcPr>
          <w:p w14:paraId="30D27892">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910.87   </w:t>
            </w:r>
          </w:p>
        </w:tc>
      </w:tr>
    </w:tbl>
    <w:p w14:paraId="04759592">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14:paraId="634E769D">
      <w:pPr>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采购需求：周口市生态环境局太康分局太康县入河排污口规范化建设项目（包括但不限于标的</w:t>
      </w:r>
      <w:r>
        <w:rPr>
          <w:rFonts w:hint="eastAsia" w:ascii="宋体" w:hAnsi="宋体" w:cs="宋体"/>
          <w:color w:val="000000" w:themeColor="text1"/>
          <w:sz w:val="24"/>
          <w:szCs w:val="24"/>
          <w:highlight w:val="none"/>
          <w14:textFill>
            <w14:solidFill>
              <w14:schemeClr w14:val="tx1"/>
            </w14:solidFill>
          </w14:textFill>
        </w:rPr>
        <w:t>的名称、数量、简要技术需求或服务要求等）</w:t>
      </w:r>
    </w:p>
    <w:p w14:paraId="4EB1FD5F">
      <w:pPr>
        <w:spacing w:line="360" w:lineRule="auto"/>
        <w:ind w:firstLine="480" w:firstLineChars="20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合同履行期限：合同签订后</w:t>
      </w:r>
      <w:r>
        <w:rPr>
          <w:rFonts w:hint="eastAsia" w:ascii="宋体" w:hAnsi="宋体" w:cs="宋体"/>
          <w:color w:val="000000" w:themeColor="text1"/>
          <w:sz w:val="24"/>
          <w:szCs w:val="24"/>
          <w:highlight w:val="none"/>
          <w:lang w:val="en-US" w:eastAsia="zh-CN"/>
          <w14:textFill>
            <w14:solidFill>
              <w14:schemeClr w14:val="tx1"/>
            </w14:solidFill>
          </w14:textFill>
        </w:rPr>
        <w:t>12个月</w:t>
      </w:r>
    </w:p>
    <w:p w14:paraId="1680681F">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15" w:name="_Toc35393791"/>
      <w:bookmarkStart w:id="16" w:name="_Toc35393622"/>
      <w:bookmarkStart w:id="17" w:name="_Toc28359003"/>
      <w:bookmarkStart w:id="18" w:name="_Toc28359080"/>
      <w:r>
        <w:rPr>
          <w:rFonts w:hint="eastAsia" w:ascii="宋体" w:hAnsi="宋体" w:cs="宋体"/>
          <w:color w:val="000000" w:themeColor="text1"/>
          <w:sz w:val="24"/>
          <w:szCs w:val="24"/>
          <w14:textFill>
            <w14:solidFill>
              <w14:schemeClr w14:val="tx1"/>
            </w14:solidFill>
          </w14:textFill>
        </w:rPr>
        <w:t>是否接受进口产品：否</w:t>
      </w:r>
    </w:p>
    <w:p w14:paraId="56A38ACE">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本项目是否接受联合体投标：否</w:t>
      </w:r>
    </w:p>
    <w:p w14:paraId="5F26E1EE">
      <w:pPr>
        <w:spacing w:line="360" w:lineRule="auto"/>
        <w:ind w:firstLine="480" w:firstLineChars="200"/>
        <w:jc w:val="left"/>
        <w:rPr>
          <w:rFonts w:ascii="宋体" w:hAnsi="宋体" w:cs="宋体"/>
          <w:sz w:val="24"/>
          <w:szCs w:val="24"/>
        </w:rPr>
      </w:pPr>
      <w:r>
        <w:rPr>
          <w:rFonts w:hint="eastAsia" w:ascii="宋体" w:hAnsi="宋体" w:cs="宋体"/>
          <w:sz w:val="24"/>
          <w:szCs w:val="24"/>
        </w:rPr>
        <w:t>本项目是否为只面向中小企业采购：否</w:t>
      </w:r>
    </w:p>
    <w:p w14:paraId="77C8BFFD">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二、申请人的资格要求：</w:t>
      </w:r>
      <w:bookmarkEnd w:id="15"/>
      <w:bookmarkEnd w:id="16"/>
      <w:bookmarkEnd w:id="17"/>
      <w:bookmarkEnd w:id="18"/>
    </w:p>
    <w:p w14:paraId="4463FE5F">
      <w:pPr>
        <w:spacing w:line="360" w:lineRule="auto"/>
        <w:jc w:val="left"/>
        <w:rPr>
          <w:rFonts w:ascii="宋体" w:hAnsi="宋体" w:cs="宋体"/>
          <w:spacing w:val="-1"/>
          <w:sz w:val="24"/>
          <w:szCs w:val="24"/>
          <w:lang w:val="zh-CN" w:bidi="zh-CN"/>
        </w:rPr>
      </w:pPr>
      <w:bookmarkStart w:id="19" w:name="_Toc28359004"/>
      <w:bookmarkStart w:id="20" w:name="_Toc28359081"/>
      <w:r>
        <w:rPr>
          <w:rFonts w:hint="eastAsia" w:ascii="宋体" w:hAnsi="宋体" w:cs="宋体"/>
          <w:spacing w:val="-1"/>
          <w:sz w:val="24"/>
          <w:szCs w:val="24"/>
          <w:lang w:val="zh-CN" w:bidi="zh-CN"/>
        </w:rPr>
        <w:t>1.满足《中华人民共和国政府采购法》第二十二条规定；</w:t>
      </w:r>
    </w:p>
    <w:p w14:paraId="1978EA8F">
      <w:pPr>
        <w:pStyle w:val="11"/>
        <w:adjustRightInd w:val="0"/>
        <w:snapToGrid w:val="0"/>
        <w:spacing w:line="360" w:lineRule="auto"/>
        <w:ind w:firstLine="476" w:firstLineChars="200"/>
        <w:rPr>
          <w:rFonts w:hAnsi="宋体" w:cs="宋体"/>
          <w:spacing w:val="-1"/>
          <w:sz w:val="24"/>
          <w:szCs w:val="24"/>
          <w:lang w:val="zh-CN" w:bidi="zh-CN"/>
        </w:rPr>
      </w:pPr>
      <w:r>
        <w:rPr>
          <w:rFonts w:hint="eastAsia" w:hAnsi="宋体" w:cs="宋体"/>
          <w:spacing w:val="-1"/>
          <w:sz w:val="24"/>
          <w:szCs w:val="24"/>
          <w:lang w:val="zh-CN" w:bidi="zh-CN"/>
        </w:rPr>
        <w:t>（1）具有独立承担民事责任的能力；</w:t>
      </w:r>
    </w:p>
    <w:p w14:paraId="53D0B664">
      <w:pPr>
        <w:pStyle w:val="11"/>
        <w:adjustRightInd w:val="0"/>
        <w:snapToGrid w:val="0"/>
        <w:spacing w:line="360" w:lineRule="auto"/>
        <w:ind w:firstLine="476" w:firstLineChars="200"/>
        <w:rPr>
          <w:rFonts w:hAnsi="宋体" w:cs="宋体"/>
          <w:spacing w:val="-1"/>
          <w:sz w:val="24"/>
          <w:szCs w:val="24"/>
          <w:lang w:val="zh-CN" w:bidi="zh-CN"/>
        </w:rPr>
      </w:pPr>
      <w:r>
        <w:rPr>
          <w:rFonts w:hint="eastAsia" w:hAnsi="宋体" w:cs="宋体"/>
          <w:spacing w:val="-1"/>
          <w:sz w:val="24"/>
          <w:szCs w:val="24"/>
          <w:lang w:val="zh-CN" w:bidi="zh-CN"/>
        </w:rPr>
        <w:t>（2）具有良好的商业信誉和健全的财务会计制度；</w:t>
      </w:r>
    </w:p>
    <w:p w14:paraId="4F2AB0A8">
      <w:pPr>
        <w:pStyle w:val="11"/>
        <w:adjustRightInd w:val="0"/>
        <w:snapToGrid w:val="0"/>
        <w:spacing w:line="360" w:lineRule="auto"/>
        <w:ind w:firstLine="476" w:firstLineChars="200"/>
        <w:rPr>
          <w:rFonts w:hAnsi="宋体" w:cs="宋体"/>
          <w:spacing w:val="-1"/>
          <w:sz w:val="24"/>
          <w:szCs w:val="24"/>
          <w:lang w:val="zh-CN" w:bidi="zh-CN"/>
        </w:rPr>
      </w:pPr>
      <w:r>
        <w:rPr>
          <w:rFonts w:hint="eastAsia" w:hAnsi="宋体" w:cs="宋体"/>
          <w:spacing w:val="-1"/>
          <w:sz w:val="24"/>
          <w:szCs w:val="24"/>
          <w:lang w:val="zh-CN" w:bidi="zh-CN"/>
        </w:rPr>
        <w:t>（3）具有履行合同所必需的设备和专业技术能力；</w:t>
      </w:r>
    </w:p>
    <w:p w14:paraId="133222DE">
      <w:pPr>
        <w:pStyle w:val="11"/>
        <w:adjustRightInd w:val="0"/>
        <w:snapToGrid w:val="0"/>
        <w:spacing w:line="360" w:lineRule="auto"/>
        <w:ind w:firstLine="476" w:firstLineChars="200"/>
        <w:rPr>
          <w:rFonts w:hAnsi="宋体" w:cs="宋体"/>
          <w:spacing w:val="-1"/>
          <w:sz w:val="24"/>
          <w:szCs w:val="24"/>
          <w:lang w:val="zh-CN" w:bidi="zh-CN"/>
        </w:rPr>
      </w:pPr>
      <w:r>
        <w:rPr>
          <w:rFonts w:hint="eastAsia" w:hAnsi="宋体" w:cs="宋体"/>
          <w:spacing w:val="-1"/>
          <w:sz w:val="24"/>
          <w:szCs w:val="24"/>
          <w:lang w:val="zh-CN" w:bidi="zh-CN"/>
        </w:rPr>
        <w:t>（4）有依法缴纳税收和社会保障资金的良好记录；</w:t>
      </w:r>
    </w:p>
    <w:p w14:paraId="11248D87">
      <w:pPr>
        <w:pStyle w:val="11"/>
        <w:adjustRightInd w:val="0"/>
        <w:snapToGrid w:val="0"/>
        <w:spacing w:line="360" w:lineRule="auto"/>
        <w:ind w:firstLine="476" w:firstLineChars="200"/>
        <w:rPr>
          <w:rFonts w:hAnsi="宋体" w:cs="宋体"/>
          <w:spacing w:val="-1"/>
          <w:sz w:val="24"/>
          <w:szCs w:val="24"/>
          <w:lang w:val="zh-CN" w:bidi="zh-CN"/>
        </w:rPr>
      </w:pPr>
      <w:r>
        <w:rPr>
          <w:rFonts w:hint="eastAsia" w:hAnsi="宋体" w:cs="宋体"/>
          <w:spacing w:val="-1"/>
          <w:sz w:val="24"/>
          <w:szCs w:val="24"/>
          <w:lang w:val="zh-CN" w:bidi="zh-CN"/>
        </w:rPr>
        <w:t>（5）参加政府采购活动前三年内，在经营活动中没有重大违法记录；</w:t>
      </w:r>
    </w:p>
    <w:p w14:paraId="429D278B">
      <w:pPr>
        <w:spacing w:line="360" w:lineRule="auto"/>
        <w:ind w:firstLine="476" w:firstLineChars="200"/>
        <w:jc w:val="left"/>
        <w:rPr>
          <w:rFonts w:ascii="宋体" w:hAnsi="宋体" w:cs="宋体"/>
          <w:spacing w:val="-1"/>
          <w:sz w:val="24"/>
          <w:szCs w:val="24"/>
          <w:lang w:val="zh-CN" w:bidi="zh-CN"/>
        </w:rPr>
      </w:pPr>
      <w:r>
        <w:rPr>
          <w:rFonts w:hint="eastAsia" w:ascii="宋体" w:hAnsi="宋体" w:cs="宋体"/>
          <w:spacing w:val="-1"/>
          <w:sz w:val="24"/>
          <w:szCs w:val="24"/>
          <w:lang w:val="zh-CN" w:bidi="zh-CN"/>
        </w:rPr>
        <w:t xml:space="preserve">2.落实政府采购政策需满足的资格要求：促进中小企业和监狱企业发展扶持政策、政府强制采购节能产品强制采购、节能产品及环境标志产品优先采购、促进残疾人就业政府采购政策。  </w:t>
      </w:r>
    </w:p>
    <w:p w14:paraId="750683DB">
      <w:pPr>
        <w:spacing w:line="360" w:lineRule="auto"/>
        <w:ind w:firstLine="476" w:firstLineChars="200"/>
        <w:jc w:val="left"/>
        <w:rPr>
          <w:rFonts w:ascii="宋体" w:hAnsi="宋体" w:cs="宋体"/>
          <w:spacing w:val="-1"/>
          <w:sz w:val="24"/>
          <w:szCs w:val="24"/>
          <w:lang w:val="zh-CN" w:bidi="zh-CN"/>
        </w:rPr>
      </w:pPr>
      <w:r>
        <w:rPr>
          <w:rFonts w:hint="eastAsia" w:ascii="宋体" w:hAnsi="宋体" w:cs="宋体"/>
          <w:spacing w:val="-1"/>
          <w:sz w:val="24"/>
          <w:szCs w:val="24"/>
          <w:lang w:val="zh-CN" w:bidi="zh-CN"/>
        </w:rPr>
        <w:t>3.本项目的特定资格要求：</w:t>
      </w:r>
    </w:p>
    <w:p w14:paraId="1A18D0A8">
      <w:pPr>
        <w:spacing w:line="360" w:lineRule="auto"/>
        <w:ind w:firstLine="476" w:firstLineChars="200"/>
        <w:jc w:val="left"/>
        <w:rPr>
          <w:rFonts w:ascii="宋体" w:hAnsi="宋体" w:cs="宋体"/>
          <w:spacing w:val="-1"/>
          <w:sz w:val="24"/>
          <w:szCs w:val="24"/>
          <w:lang w:val="zh-CN" w:bidi="zh-CN"/>
        </w:rPr>
      </w:pPr>
      <w:r>
        <w:rPr>
          <w:rFonts w:hint="eastAsia" w:cs="宋体"/>
          <w:spacing w:val="-1"/>
          <w:sz w:val="24"/>
          <w:szCs w:val="24"/>
          <w:lang w:val="zh-CN" w:bidi="zh-CN"/>
        </w:rPr>
        <w:t>（</w:t>
      </w:r>
      <w:r>
        <w:rPr>
          <w:rFonts w:hint="eastAsia" w:cs="宋体"/>
          <w:spacing w:val="-1"/>
          <w:sz w:val="24"/>
          <w:szCs w:val="24"/>
          <w:lang w:bidi="zh-CN"/>
        </w:rPr>
        <w:t>1）</w:t>
      </w:r>
      <w:r>
        <w:rPr>
          <w:rFonts w:hint="eastAsia" w:cs="宋体"/>
          <w:spacing w:val="-1"/>
          <w:sz w:val="24"/>
          <w:szCs w:val="24"/>
          <w:lang w:val="zh-CN" w:bidi="zh-CN"/>
        </w:rPr>
        <w:t>根据《关于在政府采购活动中查询及使用信用记录有关问题的通知》(财库[2016]125号)和豫财购【2016】15号的规定，对列入“信用中国”网站（www.creditchina.gov.cn）的“失信被执行人”、“政府采购严重违法失信行为记录名单”、“重大税收违法失信主体”的供应商和法定代表人和“中国政府采购”网站(www.ccgp.gov.cn)的“政府采购严重违法失信行为记录名单”的供应商，将拒绝其参加政府采购活动；在标书中附网页查询截图，查询日期为公告发布之日起至投标截止之日止。</w:t>
      </w:r>
    </w:p>
    <w:p w14:paraId="1309E9D1">
      <w:pPr>
        <w:spacing w:line="360" w:lineRule="auto"/>
        <w:ind w:firstLine="476" w:firstLineChars="200"/>
        <w:jc w:val="left"/>
        <w:rPr>
          <w:rFonts w:ascii="宋体" w:hAnsi="宋体" w:cs="宋体"/>
          <w:spacing w:val="-1"/>
          <w:sz w:val="24"/>
          <w:szCs w:val="24"/>
          <w:lang w:bidi="zh-CN"/>
        </w:rPr>
      </w:pPr>
      <w:r>
        <w:rPr>
          <w:rFonts w:hint="eastAsia" w:ascii="宋体" w:hAnsi="宋体" w:cs="宋体"/>
          <w:spacing w:val="-1"/>
          <w:sz w:val="24"/>
          <w:szCs w:val="24"/>
          <w:lang w:val="zh-CN" w:bidi="zh-CN"/>
        </w:rPr>
        <w:t>（</w:t>
      </w:r>
      <w:r>
        <w:rPr>
          <w:rFonts w:hint="eastAsia" w:cs="宋体"/>
          <w:spacing w:val="-1"/>
          <w:sz w:val="24"/>
          <w:szCs w:val="24"/>
          <w:lang w:bidi="zh-CN"/>
        </w:rPr>
        <w:t>2</w:t>
      </w:r>
      <w:r>
        <w:rPr>
          <w:rFonts w:hint="eastAsia" w:ascii="宋体" w:hAnsi="宋体" w:cs="宋体"/>
          <w:spacing w:val="-1"/>
          <w:sz w:val="24"/>
          <w:szCs w:val="24"/>
          <w:lang w:val="zh-CN" w:bidi="zh-CN"/>
        </w:rPr>
        <w:t>）</w:t>
      </w:r>
      <w:r>
        <w:rPr>
          <w:rFonts w:hint="eastAsia" w:ascii="宋体" w:hAnsi="宋体" w:cs="宋体"/>
          <w:spacing w:val="-1"/>
          <w:sz w:val="24"/>
          <w:szCs w:val="24"/>
          <w:lang w:bidi="zh-CN"/>
        </w:rPr>
        <w:t>本项目不接收联合体投标</w:t>
      </w:r>
    </w:p>
    <w:p w14:paraId="2E09250F">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21" w:name="_Toc35393792"/>
      <w:bookmarkStart w:id="22" w:name="_Toc35393623"/>
      <w:r>
        <w:rPr>
          <w:rFonts w:hint="eastAsia" w:ascii="宋体" w:hAnsi="宋体" w:cs="宋体"/>
          <w:color w:val="000000" w:themeColor="text1"/>
          <w:sz w:val="24"/>
          <w:szCs w:val="24"/>
          <w14:textFill>
            <w14:solidFill>
              <w14:schemeClr w14:val="tx1"/>
            </w14:solidFill>
          </w14:textFill>
        </w:rPr>
        <w:t>三、获取招标文件</w:t>
      </w:r>
      <w:bookmarkEnd w:id="19"/>
      <w:bookmarkEnd w:id="20"/>
      <w:bookmarkEnd w:id="21"/>
      <w:bookmarkEnd w:id="22"/>
    </w:p>
    <w:p w14:paraId="694AEA4B">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时间：2025年</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日至2025年</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t>日（北京时间，法定节假日除外）</w:t>
      </w:r>
    </w:p>
    <w:p w14:paraId="31E7474E">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地点：周口市公共资源交易中心网（http://jyzx.zhoukou.gov.cn）</w:t>
      </w:r>
    </w:p>
    <w:p w14:paraId="16773FD5">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方式：供应商请在网站自主注册后下载采购文件（zkzf格式）及资料，需办理CA数字证书后方可提交响应文件，具体办理事宜请查阅周口市公共资源交易中心网站。</w:t>
      </w:r>
    </w:p>
    <w:p w14:paraId="726163E6">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售价：0</w:t>
      </w:r>
    </w:p>
    <w:p w14:paraId="05B1CE14">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23" w:name="_Toc28359082"/>
      <w:bookmarkStart w:id="24" w:name="_Toc28359005"/>
      <w:bookmarkStart w:id="25" w:name="_Toc35393624"/>
      <w:bookmarkStart w:id="26" w:name="_Toc35393793"/>
      <w:r>
        <w:rPr>
          <w:rFonts w:hint="eastAsia" w:ascii="宋体" w:hAnsi="宋体" w:cs="宋体"/>
          <w:color w:val="000000" w:themeColor="text1"/>
          <w:sz w:val="24"/>
          <w:szCs w:val="24"/>
          <w14:textFill>
            <w14:solidFill>
              <w14:schemeClr w14:val="tx1"/>
            </w14:solidFill>
          </w14:textFill>
        </w:rPr>
        <w:t>四、提交投标文件</w:t>
      </w:r>
      <w:bookmarkEnd w:id="23"/>
      <w:bookmarkEnd w:id="24"/>
      <w:r>
        <w:rPr>
          <w:rFonts w:hint="eastAsia" w:ascii="宋体" w:hAnsi="宋体" w:cs="宋体"/>
          <w:color w:val="000000" w:themeColor="text1"/>
          <w:sz w:val="24"/>
          <w:szCs w:val="24"/>
          <w14:textFill>
            <w14:solidFill>
              <w14:schemeClr w14:val="tx1"/>
            </w14:solidFill>
          </w14:textFill>
        </w:rPr>
        <w:t>截止时间、开标时间和地点</w:t>
      </w:r>
      <w:bookmarkEnd w:id="25"/>
      <w:bookmarkEnd w:id="26"/>
    </w:p>
    <w:p w14:paraId="171B9CEB">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时间：2025年</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日10点00分（北京时间）</w:t>
      </w:r>
    </w:p>
    <w:p w14:paraId="4BA2C0BC">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地点：周口市公共资源交易中心开标室</w:t>
      </w:r>
    </w:p>
    <w:p w14:paraId="47537B8C">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27" w:name="_Toc35393794"/>
      <w:bookmarkStart w:id="28" w:name="_Toc28359084"/>
      <w:bookmarkStart w:id="29" w:name="_Toc35393625"/>
      <w:bookmarkStart w:id="30" w:name="_Toc28359007"/>
      <w:r>
        <w:rPr>
          <w:rFonts w:hint="eastAsia" w:ascii="宋体" w:hAnsi="宋体" w:cs="宋体"/>
          <w:color w:val="000000" w:themeColor="text1"/>
          <w:sz w:val="24"/>
          <w:szCs w:val="24"/>
          <w14:textFill>
            <w14:solidFill>
              <w14:schemeClr w14:val="tx1"/>
            </w14:solidFill>
          </w14:textFill>
        </w:rPr>
        <w:t>五、公告期限</w:t>
      </w:r>
      <w:bookmarkEnd w:id="27"/>
      <w:bookmarkEnd w:id="28"/>
      <w:bookmarkEnd w:id="29"/>
      <w:bookmarkEnd w:id="30"/>
    </w:p>
    <w:p w14:paraId="6994891F">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自本公告发布之日起5个工作日。</w:t>
      </w:r>
    </w:p>
    <w:p w14:paraId="7C710E36">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31" w:name="_Toc35393626"/>
      <w:bookmarkStart w:id="32" w:name="_Toc35393795"/>
      <w:r>
        <w:rPr>
          <w:rFonts w:hint="eastAsia" w:ascii="宋体" w:hAnsi="宋体" w:cs="宋体"/>
          <w:color w:val="000000" w:themeColor="text1"/>
          <w:sz w:val="24"/>
          <w:szCs w:val="24"/>
          <w14:textFill>
            <w14:solidFill>
              <w14:schemeClr w14:val="tx1"/>
            </w14:solidFill>
          </w14:textFill>
        </w:rPr>
        <w:t>六、其他补充事宜</w:t>
      </w:r>
      <w:bookmarkEnd w:id="31"/>
      <w:bookmarkEnd w:id="32"/>
    </w:p>
    <w:p w14:paraId="138D71C3">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bookmarkStart w:id="33" w:name="_Toc28359008"/>
      <w:bookmarkStart w:id="34" w:name="_Toc35393627"/>
      <w:bookmarkStart w:id="35" w:name="_Toc35393796"/>
      <w:bookmarkStart w:id="36" w:name="_Toc28359085"/>
      <w:r>
        <w:rPr>
          <w:rFonts w:hint="eastAsia" w:ascii="宋体" w:hAnsi="宋体" w:cs="宋体"/>
          <w:color w:val="000000" w:themeColor="text1"/>
          <w:sz w:val="24"/>
          <w:szCs w:val="24"/>
          <w14:textFill>
            <w14:solidFill>
              <w14:schemeClr w14:val="tx1"/>
            </w14:solidFill>
          </w14:textFill>
        </w:rPr>
        <w:t>无</w:t>
      </w:r>
    </w:p>
    <w:p w14:paraId="406C55DB">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七、对本次招标提出询问，请按以下方式联系。</w:t>
      </w:r>
      <w:bookmarkEnd w:id="33"/>
      <w:bookmarkEnd w:id="34"/>
      <w:bookmarkEnd w:id="35"/>
      <w:bookmarkEnd w:id="36"/>
    </w:p>
    <w:p w14:paraId="209E4F72">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1.采购人信息</w:t>
      </w:r>
    </w:p>
    <w:p w14:paraId="0F152CF2">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名称：周口市生态环境局太康分局　　　　　　　　　　</w:t>
      </w:r>
    </w:p>
    <w:p w14:paraId="01D9646C">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地址：周口市</w:t>
      </w:r>
      <w:r>
        <w:rPr>
          <w:rFonts w:hint="eastAsia" w:ascii="宋体" w:hAnsi="宋体" w:cs="宋体"/>
          <w:color w:val="000000" w:themeColor="text1"/>
          <w:sz w:val="24"/>
          <w:szCs w:val="24"/>
          <w:lang w:val="en-US" w:eastAsia="zh-CN"/>
          <w14:textFill>
            <w14:solidFill>
              <w14:schemeClr w14:val="tx1"/>
            </w14:solidFill>
          </w14:textFill>
        </w:rPr>
        <w:t>太康县</w:t>
      </w:r>
      <w:r>
        <w:rPr>
          <w:rFonts w:hint="eastAsia" w:ascii="宋体" w:hAnsi="宋体" w:cs="宋体"/>
          <w:color w:val="000000" w:themeColor="text1"/>
          <w:sz w:val="24"/>
          <w:szCs w:val="24"/>
          <w14:textFill>
            <w14:solidFill>
              <w14:schemeClr w14:val="tx1"/>
            </w14:solidFill>
          </w14:textFill>
        </w:rPr>
        <w:t>　　　　　　　　　　　　　</w:t>
      </w:r>
    </w:p>
    <w:p w14:paraId="5FBBF2F8">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项目联系人：李德立</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    </w:t>
      </w:r>
      <w:bookmarkStart w:id="179" w:name="_GoBack"/>
      <w:bookmarkEnd w:id="179"/>
    </w:p>
    <w:p w14:paraId="3807B3A3">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联系方式：13592285857　　　　　　　　　　 </w:t>
      </w:r>
      <w:bookmarkStart w:id="37" w:name="_Toc28359086"/>
      <w:bookmarkStart w:id="38" w:name="_Toc28359009"/>
    </w:p>
    <w:p w14:paraId="1C514CC8">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2.采购代理机构信息</w:t>
      </w:r>
      <w:bookmarkEnd w:id="37"/>
      <w:bookmarkEnd w:id="38"/>
    </w:p>
    <w:p w14:paraId="3AD76590">
      <w:pPr>
        <w:pStyle w:val="11"/>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名称：周口市公共资源交易中心政府采购中心　　　　　　　　　　　　</w:t>
      </w:r>
    </w:p>
    <w:p w14:paraId="3814AAC7">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地址：周口市光明路与政通路交叉口向北100米路东</w:t>
      </w:r>
    </w:p>
    <w:p w14:paraId="371FEF2C">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郭战伟</w:t>
      </w:r>
      <w:r>
        <w:rPr>
          <w:rFonts w:hint="eastAsia" w:ascii="宋体" w:hAnsi="宋体" w:cs="宋体"/>
          <w:color w:val="000000" w:themeColor="text1"/>
          <w:sz w:val="24"/>
          <w:szCs w:val="24"/>
          <w14:textFill>
            <w14:solidFill>
              <w14:schemeClr w14:val="tx1"/>
            </w14:solidFill>
          </w14:textFill>
        </w:rPr>
        <w:t xml:space="preserve"> </w:t>
      </w:r>
    </w:p>
    <w:p w14:paraId="5C56C2C1">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联系方式：</w:t>
      </w:r>
      <w:bookmarkStart w:id="39" w:name="_Toc28359010"/>
      <w:bookmarkStart w:id="40" w:name="_Toc28359087"/>
      <w:r>
        <w:rPr>
          <w:rFonts w:hint="eastAsia" w:ascii="宋体" w:hAnsi="宋体" w:cs="宋体"/>
          <w:color w:val="000000" w:themeColor="text1"/>
          <w:sz w:val="24"/>
          <w:szCs w:val="24"/>
          <w14:textFill>
            <w14:solidFill>
              <w14:schemeClr w14:val="tx1"/>
            </w14:solidFill>
          </w14:textFill>
        </w:rPr>
        <w:t>0394-8106517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19913276009</w:t>
      </w:r>
      <w:r>
        <w:rPr>
          <w:rFonts w:hint="eastAsia" w:ascii="宋体" w:hAnsi="宋体" w:cs="宋体"/>
          <w:color w:val="000000" w:themeColor="text1"/>
          <w:sz w:val="24"/>
          <w:szCs w:val="24"/>
          <w14:textFill>
            <w14:solidFill>
              <w14:schemeClr w14:val="tx1"/>
            </w14:solidFill>
          </w14:textFill>
        </w:rPr>
        <w:t xml:space="preserve"> </w:t>
      </w:r>
    </w:p>
    <w:bookmarkEnd w:id="39"/>
    <w:bookmarkEnd w:id="40"/>
    <w:p w14:paraId="52C52964">
      <w:pPr>
        <w:numPr>
          <w:ilvl w:val="0"/>
          <w:numId w:val="1"/>
        </w:num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监督单位：周口市财政局政府采购监督管理科</w:t>
      </w:r>
    </w:p>
    <w:p w14:paraId="10B3A32F">
      <w:pPr>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联系方式：0394-8319868 </w:t>
      </w:r>
    </w:p>
    <w:p w14:paraId="31D3FD2C">
      <w:pPr>
        <w:pStyle w:val="43"/>
        <w:ind w:firstLine="0" w:firstLineChars="0"/>
        <w:rPr>
          <w:color w:val="000000" w:themeColor="text1"/>
          <w14:textFill>
            <w14:solidFill>
              <w14:schemeClr w14:val="tx1"/>
            </w14:solidFill>
          </w14:textFill>
        </w:rPr>
      </w:pPr>
    </w:p>
    <w:p w14:paraId="42817743">
      <w:pPr>
        <w:pStyle w:val="11"/>
        <w:adjustRightInd w:val="0"/>
        <w:snapToGrid w:val="0"/>
        <w:spacing w:line="360" w:lineRule="auto"/>
        <w:ind w:firstLine="2520" w:firstLineChars="105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周口市公共资源交易中心政府采购中心</w:t>
      </w:r>
    </w:p>
    <w:p w14:paraId="613B06C5">
      <w:pPr>
        <w:pStyle w:val="20"/>
        <w:adjustRightInd w:val="0"/>
        <w:spacing w:line="360" w:lineRule="auto"/>
        <w:ind w:firstLine="3360" w:firstLineChars="14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2025年</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日　　</w:t>
      </w:r>
    </w:p>
    <w:p w14:paraId="5F933CC9">
      <w:pPr>
        <w:pStyle w:val="20"/>
        <w:adjustRightInd w:val="0"/>
        <w:spacing w:line="360" w:lineRule="auto"/>
        <w:rPr>
          <w:color w:val="000000" w:themeColor="text1"/>
          <w14:textFill>
            <w14:solidFill>
              <w14:schemeClr w14:val="tx1"/>
            </w14:solidFill>
          </w14:textFill>
        </w:rPr>
      </w:pPr>
    </w:p>
    <w:p w14:paraId="796D4D55">
      <w:pPr>
        <w:pStyle w:val="20"/>
        <w:adjustRightInd w:val="0"/>
        <w:spacing w:line="360" w:lineRule="auto"/>
        <w:rPr>
          <w:color w:val="000000" w:themeColor="text1"/>
          <w14:textFill>
            <w14:solidFill>
              <w14:schemeClr w14:val="tx1"/>
            </w14:solidFill>
          </w14:textFill>
        </w:rPr>
      </w:pPr>
    </w:p>
    <w:p w14:paraId="361F5042">
      <w:pPr>
        <w:pStyle w:val="20"/>
        <w:adjustRightInd w:val="0"/>
        <w:spacing w:line="360" w:lineRule="auto"/>
        <w:rPr>
          <w:color w:val="000000" w:themeColor="text1"/>
          <w14:textFill>
            <w14:solidFill>
              <w14:schemeClr w14:val="tx1"/>
            </w14:solidFill>
          </w14:textFill>
        </w:rPr>
      </w:pPr>
    </w:p>
    <w:p w14:paraId="42C1D999">
      <w:pPr>
        <w:pStyle w:val="20"/>
        <w:adjustRightInd w:val="0"/>
        <w:spacing w:line="360" w:lineRule="auto"/>
        <w:rPr>
          <w:color w:val="000000" w:themeColor="text1"/>
          <w14:textFill>
            <w14:solidFill>
              <w14:schemeClr w14:val="tx1"/>
            </w14:solidFill>
          </w14:textFill>
        </w:rPr>
      </w:pPr>
    </w:p>
    <w:p w14:paraId="5F3A3C45">
      <w:pPr>
        <w:pStyle w:val="20"/>
        <w:adjustRightInd w:val="0"/>
        <w:spacing w:line="360" w:lineRule="auto"/>
        <w:rPr>
          <w:color w:val="000000" w:themeColor="text1"/>
          <w14:textFill>
            <w14:solidFill>
              <w14:schemeClr w14:val="tx1"/>
            </w14:solidFill>
          </w14:textFill>
        </w:rPr>
      </w:pPr>
    </w:p>
    <w:p w14:paraId="0342ACD9">
      <w:pPr>
        <w:pStyle w:val="20"/>
        <w:adjustRightInd w:val="0"/>
        <w:spacing w:line="360" w:lineRule="auto"/>
        <w:rPr>
          <w:color w:val="000000" w:themeColor="text1"/>
          <w14:textFill>
            <w14:solidFill>
              <w14:schemeClr w14:val="tx1"/>
            </w14:solidFill>
          </w14:textFill>
        </w:rPr>
      </w:pPr>
    </w:p>
    <w:p w14:paraId="52B63112">
      <w:pPr>
        <w:pStyle w:val="20"/>
        <w:adjustRightInd w:val="0"/>
        <w:spacing w:line="360" w:lineRule="auto"/>
        <w:rPr>
          <w:color w:val="000000" w:themeColor="text1"/>
          <w14:textFill>
            <w14:solidFill>
              <w14:schemeClr w14:val="tx1"/>
            </w14:solidFill>
          </w14:textFill>
        </w:rPr>
      </w:pPr>
    </w:p>
    <w:p w14:paraId="4CBC7899">
      <w:pPr>
        <w:pStyle w:val="20"/>
        <w:adjustRightInd w:val="0"/>
        <w:spacing w:line="360" w:lineRule="auto"/>
        <w:rPr>
          <w:color w:val="000000" w:themeColor="text1"/>
          <w14:textFill>
            <w14:solidFill>
              <w14:schemeClr w14:val="tx1"/>
            </w14:solidFill>
          </w14:textFill>
        </w:rPr>
      </w:pPr>
    </w:p>
    <w:p w14:paraId="068CC4EF">
      <w:pPr>
        <w:pStyle w:val="20"/>
        <w:adjustRightInd w:val="0"/>
        <w:spacing w:line="360" w:lineRule="auto"/>
        <w:rPr>
          <w:color w:val="000000" w:themeColor="text1"/>
          <w14:textFill>
            <w14:solidFill>
              <w14:schemeClr w14:val="tx1"/>
            </w14:solidFill>
          </w14:textFill>
        </w:rPr>
      </w:pPr>
    </w:p>
    <w:p w14:paraId="0E757481">
      <w:pPr>
        <w:pStyle w:val="20"/>
        <w:adjustRightInd w:val="0"/>
        <w:spacing w:line="360" w:lineRule="auto"/>
        <w:rPr>
          <w:color w:val="000000" w:themeColor="text1"/>
          <w14:textFill>
            <w14:solidFill>
              <w14:schemeClr w14:val="tx1"/>
            </w14:solidFill>
          </w14:textFill>
        </w:rPr>
      </w:pPr>
    </w:p>
    <w:p w14:paraId="0940A6A8">
      <w:pPr>
        <w:pStyle w:val="20"/>
        <w:adjustRightInd w:val="0"/>
        <w:spacing w:line="360" w:lineRule="auto"/>
        <w:rPr>
          <w:color w:val="000000" w:themeColor="text1"/>
          <w14:textFill>
            <w14:solidFill>
              <w14:schemeClr w14:val="tx1"/>
            </w14:solidFill>
          </w14:textFill>
        </w:rPr>
      </w:pPr>
    </w:p>
    <w:p w14:paraId="30A66B04">
      <w:pPr>
        <w:pStyle w:val="20"/>
        <w:adjustRightInd w:val="0"/>
        <w:spacing w:line="360" w:lineRule="auto"/>
        <w:rPr>
          <w:color w:val="000000" w:themeColor="text1"/>
          <w14:textFill>
            <w14:solidFill>
              <w14:schemeClr w14:val="tx1"/>
            </w14:solidFill>
          </w14:textFill>
        </w:rPr>
      </w:pPr>
    </w:p>
    <w:p w14:paraId="7D1E7DA9">
      <w:pPr>
        <w:pStyle w:val="20"/>
        <w:adjustRightInd w:val="0"/>
        <w:spacing w:line="360" w:lineRule="auto"/>
        <w:rPr>
          <w:color w:val="000000" w:themeColor="text1"/>
          <w14:textFill>
            <w14:solidFill>
              <w14:schemeClr w14:val="tx1"/>
            </w14:solidFill>
          </w14:textFill>
        </w:rPr>
      </w:pPr>
    </w:p>
    <w:p w14:paraId="60FB62AC">
      <w:pPr>
        <w:pStyle w:val="20"/>
        <w:adjustRightInd w:val="0"/>
        <w:spacing w:line="360" w:lineRule="auto"/>
        <w:rPr>
          <w:color w:val="000000" w:themeColor="text1"/>
          <w14:textFill>
            <w14:solidFill>
              <w14:schemeClr w14:val="tx1"/>
            </w14:solidFill>
          </w14:textFill>
        </w:rPr>
      </w:pPr>
    </w:p>
    <w:p w14:paraId="1C0756A1">
      <w:pPr>
        <w:pStyle w:val="20"/>
        <w:adjustRightInd w:val="0"/>
        <w:spacing w:line="360" w:lineRule="auto"/>
        <w:rPr>
          <w:color w:val="000000" w:themeColor="text1"/>
          <w14:textFill>
            <w14:solidFill>
              <w14:schemeClr w14:val="tx1"/>
            </w14:solidFill>
          </w14:textFill>
        </w:rPr>
      </w:pPr>
    </w:p>
    <w:p w14:paraId="211BDA72">
      <w:pPr>
        <w:pStyle w:val="20"/>
        <w:adjustRightInd w:val="0"/>
        <w:spacing w:line="360" w:lineRule="auto"/>
        <w:rPr>
          <w:color w:val="000000" w:themeColor="text1"/>
          <w14:textFill>
            <w14:solidFill>
              <w14:schemeClr w14:val="tx1"/>
            </w14:solidFill>
          </w14:textFill>
        </w:rPr>
      </w:pPr>
    </w:p>
    <w:p w14:paraId="0D087997">
      <w:pPr>
        <w:pStyle w:val="20"/>
        <w:adjustRightInd w:val="0"/>
        <w:spacing w:line="360" w:lineRule="auto"/>
        <w:rPr>
          <w:color w:val="000000" w:themeColor="text1"/>
          <w14:textFill>
            <w14:solidFill>
              <w14:schemeClr w14:val="tx1"/>
            </w14:solidFill>
          </w14:textFill>
        </w:rPr>
      </w:pPr>
    </w:p>
    <w:p w14:paraId="47D7A8AB">
      <w:pPr>
        <w:pStyle w:val="20"/>
        <w:adjustRightInd w:val="0"/>
        <w:spacing w:line="360" w:lineRule="auto"/>
        <w:rPr>
          <w:color w:val="000000" w:themeColor="text1"/>
          <w14:textFill>
            <w14:solidFill>
              <w14:schemeClr w14:val="tx1"/>
            </w14:solidFill>
          </w14:textFill>
        </w:rPr>
      </w:pPr>
    </w:p>
    <w:p w14:paraId="3E9D61DC">
      <w:pPr>
        <w:pStyle w:val="20"/>
        <w:adjustRightInd w:val="0"/>
        <w:spacing w:line="360" w:lineRule="auto"/>
        <w:rPr>
          <w:color w:val="000000" w:themeColor="text1"/>
          <w14:textFill>
            <w14:solidFill>
              <w14:schemeClr w14:val="tx1"/>
            </w14:solidFill>
          </w14:textFill>
        </w:rPr>
      </w:pPr>
    </w:p>
    <w:p w14:paraId="017D199B">
      <w:pPr>
        <w:pStyle w:val="4"/>
        <w:ind w:firstLine="0"/>
        <w:rPr>
          <w:rFonts w:ascii="宋体" w:hAnsi="宋体" w:eastAsia="宋体" w:cs="宋体"/>
          <w:color w:val="000000" w:themeColor="text1"/>
          <w14:textFill>
            <w14:solidFill>
              <w14:schemeClr w14:val="tx1"/>
            </w14:solidFill>
          </w14:textFill>
        </w:rPr>
      </w:pPr>
      <w:bookmarkStart w:id="41" w:name="_Toc40975437"/>
      <w:r>
        <w:rPr>
          <w:rFonts w:hint="eastAsia" w:ascii="宋体" w:hAnsi="宋体" w:eastAsia="宋体" w:cs="宋体"/>
          <w:color w:val="000000" w:themeColor="text1"/>
          <w14:textFill>
            <w14:solidFill>
              <w14:schemeClr w14:val="tx1"/>
            </w14:solidFill>
          </w14:textFill>
        </w:rPr>
        <w:t>第二章 投标人须</w:t>
      </w:r>
      <w:bookmarkEnd w:id="7"/>
      <w:r>
        <w:rPr>
          <w:rFonts w:hint="eastAsia" w:ascii="宋体" w:hAnsi="宋体" w:eastAsia="宋体" w:cs="宋体"/>
          <w:color w:val="000000" w:themeColor="text1"/>
          <w14:textFill>
            <w14:solidFill>
              <w14:schemeClr w14:val="tx1"/>
            </w14:solidFill>
          </w14:textFill>
        </w:rPr>
        <w:t>知前</w:t>
      </w:r>
      <w:bookmarkEnd w:id="8"/>
      <w:r>
        <w:rPr>
          <w:rFonts w:hint="eastAsia" w:ascii="宋体" w:hAnsi="宋体" w:eastAsia="宋体" w:cs="宋体"/>
          <w:color w:val="000000" w:themeColor="text1"/>
          <w14:textFill>
            <w14:solidFill>
              <w14:schemeClr w14:val="tx1"/>
            </w14:solidFill>
          </w14:textFill>
        </w:rPr>
        <w:t>附表</w:t>
      </w:r>
      <w:bookmarkEnd w:id="9"/>
      <w:bookmarkEnd w:id="41"/>
    </w:p>
    <w:tbl>
      <w:tblPr>
        <w:tblStyle w:val="28"/>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976"/>
        <w:gridCol w:w="6086"/>
      </w:tblGrid>
      <w:tr w14:paraId="654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14" w:type="dxa"/>
            <w:vAlign w:val="center"/>
          </w:tcPr>
          <w:p w14:paraId="20A1F9E9">
            <w:pPr>
              <w:rPr>
                <w:rFonts w:ascii="宋体" w:hAnsi="宋体"/>
                <w:color w:val="000000" w:themeColor="text1"/>
                <w:sz w:val="24"/>
                <w:szCs w:val="24"/>
                <w14:textFill>
                  <w14:solidFill>
                    <w14:schemeClr w14:val="tx1"/>
                  </w14:solidFill>
                </w14:textFill>
              </w:rPr>
            </w:pPr>
            <w:bookmarkStart w:id="42" w:name="_Hlt509650027"/>
            <w:bookmarkEnd w:id="42"/>
            <w:bookmarkStart w:id="43" w:name="_Hlt509650351"/>
            <w:bookmarkEnd w:id="43"/>
            <w:bookmarkStart w:id="44" w:name="_Hlt516969057"/>
            <w:bookmarkEnd w:id="44"/>
            <w:bookmarkStart w:id="45" w:name="_Hlt519045778"/>
            <w:bookmarkEnd w:id="45"/>
            <w:bookmarkStart w:id="46" w:name="_Toc450_WPSOffice_Level1"/>
            <w:bookmarkStart w:id="47" w:name="_Toc220232390"/>
            <w:r>
              <w:rPr>
                <w:rFonts w:hint="eastAsia" w:ascii="宋体" w:hAnsi="宋体"/>
                <w:color w:val="000000" w:themeColor="text1"/>
                <w:sz w:val="24"/>
                <w:szCs w:val="24"/>
                <w14:textFill>
                  <w14:solidFill>
                    <w14:schemeClr w14:val="tx1"/>
                  </w14:solidFill>
                </w14:textFill>
              </w:rPr>
              <w:t>序号</w:t>
            </w:r>
          </w:p>
        </w:tc>
        <w:tc>
          <w:tcPr>
            <w:tcW w:w="1976" w:type="dxa"/>
            <w:vAlign w:val="center"/>
          </w:tcPr>
          <w:p w14:paraId="45F045DF">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内容</w:t>
            </w:r>
          </w:p>
        </w:tc>
        <w:tc>
          <w:tcPr>
            <w:tcW w:w="6086" w:type="dxa"/>
            <w:vAlign w:val="center"/>
          </w:tcPr>
          <w:p w14:paraId="7F4E02C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说明与要求</w:t>
            </w:r>
          </w:p>
        </w:tc>
      </w:tr>
      <w:tr w14:paraId="444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14" w:type="dxa"/>
            <w:vAlign w:val="center"/>
          </w:tcPr>
          <w:p w14:paraId="6EBEA20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976" w:type="dxa"/>
            <w:vAlign w:val="center"/>
          </w:tcPr>
          <w:p w14:paraId="68EF7C42">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p>
        </w:tc>
        <w:tc>
          <w:tcPr>
            <w:tcW w:w="6086" w:type="dxa"/>
            <w:vAlign w:val="center"/>
          </w:tcPr>
          <w:p w14:paraId="5D8C390F">
            <w:pP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周口市生态环境局太康分局</w:t>
            </w:r>
          </w:p>
        </w:tc>
      </w:tr>
      <w:tr w14:paraId="1B75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14" w:type="dxa"/>
            <w:vAlign w:val="center"/>
          </w:tcPr>
          <w:p w14:paraId="1E3FBA82">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976" w:type="dxa"/>
            <w:vAlign w:val="center"/>
          </w:tcPr>
          <w:p w14:paraId="05D5A899">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委托人</w:t>
            </w:r>
          </w:p>
        </w:tc>
        <w:tc>
          <w:tcPr>
            <w:tcW w:w="6086" w:type="dxa"/>
            <w:vAlign w:val="center"/>
          </w:tcPr>
          <w:p w14:paraId="4CF4B51D">
            <w:pP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周口市生态环境局太康分局</w:t>
            </w:r>
          </w:p>
        </w:tc>
      </w:tr>
      <w:tr w14:paraId="76E4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14" w:type="dxa"/>
            <w:vAlign w:val="center"/>
          </w:tcPr>
          <w:p w14:paraId="372F2D6D">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976" w:type="dxa"/>
            <w:vAlign w:val="center"/>
          </w:tcPr>
          <w:p w14:paraId="668D668D">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w:t>
            </w:r>
          </w:p>
        </w:tc>
        <w:tc>
          <w:tcPr>
            <w:tcW w:w="6086" w:type="dxa"/>
            <w:vAlign w:val="center"/>
          </w:tcPr>
          <w:p w14:paraId="5B61F1B3">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名  称：周口市公共资源交易中心政府采购中心</w:t>
            </w:r>
          </w:p>
          <w:p w14:paraId="14E9585D">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14:textFill>
                  <w14:solidFill>
                    <w14:schemeClr w14:val="tx1"/>
                  </w14:solidFill>
                </w14:textFill>
              </w:rPr>
              <w:t>周口市光明路与政通路交叉口向北100米路东</w:t>
            </w:r>
          </w:p>
        </w:tc>
      </w:tr>
      <w:tr w14:paraId="1A51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4" w:type="dxa"/>
            <w:vAlign w:val="center"/>
          </w:tcPr>
          <w:p w14:paraId="0860E5D8">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976" w:type="dxa"/>
            <w:vAlign w:val="center"/>
          </w:tcPr>
          <w:p w14:paraId="3F7D8114">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086" w:type="dxa"/>
            <w:vAlign w:val="center"/>
          </w:tcPr>
          <w:p w14:paraId="050FD95A">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周口市生态环境局太康分局太康县入河排污口规范化建设项目</w:t>
            </w:r>
          </w:p>
        </w:tc>
      </w:tr>
      <w:tr w14:paraId="41DB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4" w:type="dxa"/>
            <w:vAlign w:val="center"/>
          </w:tcPr>
          <w:p w14:paraId="333F9A4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976" w:type="dxa"/>
            <w:vAlign w:val="center"/>
          </w:tcPr>
          <w:p w14:paraId="39D1B9FB">
            <w:pPr>
              <w:rPr>
                <w:rFonts w:ascii="宋体" w:hAnsi="宋体"/>
                <w:sz w:val="24"/>
                <w:szCs w:val="24"/>
              </w:rPr>
            </w:pPr>
            <w:r>
              <w:rPr>
                <w:rFonts w:hint="eastAsia" w:ascii="宋体" w:hAnsi="宋体"/>
                <w:sz w:val="24"/>
                <w:szCs w:val="24"/>
              </w:rPr>
              <w:t>项目编号</w:t>
            </w:r>
          </w:p>
        </w:tc>
        <w:tc>
          <w:tcPr>
            <w:tcW w:w="6086" w:type="dxa"/>
            <w:vAlign w:val="center"/>
          </w:tcPr>
          <w:p w14:paraId="12133E70">
            <w:pPr>
              <w:rPr>
                <w:rFonts w:ascii="宋体" w:hAnsi="宋体"/>
                <w:sz w:val="24"/>
                <w:szCs w:val="24"/>
              </w:rPr>
            </w:pPr>
            <w:r>
              <w:rPr>
                <w:rFonts w:hint="eastAsia" w:ascii="宋体" w:hAnsi="宋体"/>
                <w:sz w:val="24"/>
                <w:szCs w:val="24"/>
              </w:rPr>
              <w:t>周财招标采购-2025-59</w:t>
            </w:r>
          </w:p>
        </w:tc>
      </w:tr>
      <w:tr w14:paraId="297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4" w:type="dxa"/>
            <w:vAlign w:val="center"/>
          </w:tcPr>
          <w:p w14:paraId="5B16AC6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976" w:type="dxa"/>
            <w:vAlign w:val="center"/>
          </w:tcPr>
          <w:p w14:paraId="764F6DAA">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项目性质</w:t>
            </w:r>
          </w:p>
        </w:tc>
        <w:tc>
          <w:tcPr>
            <w:tcW w:w="6086" w:type="dxa"/>
            <w:vAlign w:val="center"/>
          </w:tcPr>
          <w:p w14:paraId="66406A6C">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货物类</w:t>
            </w:r>
          </w:p>
        </w:tc>
      </w:tr>
      <w:tr w14:paraId="5E0D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4" w:type="dxa"/>
            <w:vAlign w:val="center"/>
          </w:tcPr>
          <w:p w14:paraId="570CC6BF">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976" w:type="dxa"/>
            <w:vAlign w:val="center"/>
          </w:tcPr>
          <w:p w14:paraId="4DD9FBB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资金来源</w:t>
            </w:r>
          </w:p>
        </w:tc>
        <w:tc>
          <w:tcPr>
            <w:tcW w:w="6086" w:type="dxa"/>
            <w:vAlign w:val="center"/>
          </w:tcPr>
          <w:p w14:paraId="735628C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财政资金</w:t>
            </w:r>
          </w:p>
        </w:tc>
      </w:tr>
      <w:tr w14:paraId="4493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4" w:type="dxa"/>
            <w:vAlign w:val="center"/>
          </w:tcPr>
          <w:p w14:paraId="068599F0">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1976" w:type="dxa"/>
          </w:tcPr>
          <w:p w14:paraId="37D6EF7D">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包别划分</w:t>
            </w:r>
          </w:p>
        </w:tc>
        <w:tc>
          <w:tcPr>
            <w:tcW w:w="6086" w:type="dxa"/>
            <w:vAlign w:val="center"/>
          </w:tcPr>
          <w:p w14:paraId="5F02B220">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本次招标为</w:t>
            </w: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个包</w:t>
            </w:r>
          </w:p>
        </w:tc>
      </w:tr>
      <w:tr w14:paraId="4988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4" w:type="dxa"/>
            <w:vAlign w:val="center"/>
          </w:tcPr>
          <w:p w14:paraId="2E544ADE">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976" w:type="dxa"/>
            <w:vAlign w:val="center"/>
          </w:tcPr>
          <w:p w14:paraId="4AECA621">
            <w:pPr>
              <w:rPr>
                <w:rFonts w:ascii="宋体" w:hAnsi="宋体"/>
                <w:sz w:val="24"/>
                <w:szCs w:val="24"/>
              </w:rPr>
            </w:pPr>
            <w:r>
              <w:rPr>
                <w:rFonts w:hint="eastAsia" w:ascii="宋体" w:hAnsi="宋体"/>
                <w:sz w:val="24"/>
                <w:szCs w:val="24"/>
              </w:rPr>
              <w:t>付款方式</w:t>
            </w:r>
          </w:p>
        </w:tc>
        <w:tc>
          <w:tcPr>
            <w:tcW w:w="6086" w:type="dxa"/>
            <w:vAlign w:val="center"/>
          </w:tcPr>
          <w:p w14:paraId="600CC565">
            <w:pPr>
              <w:rPr>
                <w:rFonts w:ascii="宋体" w:hAnsi="宋体"/>
                <w:sz w:val="24"/>
                <w:szCs w:val="24"/>
              </w:rPr>
            </w:pPr>
            <w:r>
              <w:rPr>
                <w:rFonts w:hint="eastAsia" w:ascii="宋体" w:hAnsi="宋体"/>
                <w:sz w:val="24"/>
                <w:szCs w:val="24"/>
              </w:rPr>
              <w:t>合同签订后</w:t>
            </w:r>
            <w:r>
              <w:rPr>
                <w:rFonts w:hint="eastAsia" w:ascii="宋体" w:hAnsi="宋体"/>
                <w:sz w:val="24"/>
                <w:szCs w:val="24"/>
                <w:lang w:val="en-US" w:eastAsia="zh-CN"/>
              </w:rPr>
              <w:t>10</w:t>
            </w:r>
            <w:r>
              <w:rPr>
                <w:rFonts w:hint="eastAsia" w:ascii="宋体" w:hAnsi="宋体"/>
                <w:sz w:val="24"/>
                <w:szCs w:val="24"/>
              </w:rPr>
              <w:t>个工作日内甲方支付乙方总合同款的40%预付款；主要设备</w:t>
            </w:r>
            <w:r>
              <w:rPr>
                <w:rFonts w:hint="eastAsia" w:ascii="宋体" w:hAnsi="宋体"/>
                <w:sz w:val="24"/>
                <w:szCs w:val="24"/>
                <w:lang w:val="en-US" w:eastAsia="zh-CN"/>
              </w:rPr>
              <w:t>交付甲方且核验无误后10</w:t>
            </w:r>
            <w:r>
              <w:rPr>
                <w:rFonts w:hint="eastAsia" w:ascii="宋体" w:hAnsi="宋体"/>
                <w:sz w:val="24"/>
                <w:szCs w:val="24"/>
              </w:rPr>
              <w:t>个工作日内</w:t>
            </w:r>
            <w:r>
              <w:rPr>
                <w:rFonts w:hint="eastAsia" w:ascii="宋体" w:hAnsi="宋体"/>
                <w:sz w:val="24"/>
                <w:szCs w:val="24"/>
                <w:lang w:val="en-US" w:eastAsia="zh-CN"/>
              </w:rPr>
              <w:t>，</w:t>
            </w:r>
            <w:r>
              <w:rPr>
                <w:rFonts w:hint="eastAsia" w:ascii="宋体" w:hAnsi="宋体"/>
                <w:sz w:val="24"/>
                <w:szCs w:val="24"/>
              </w:rPr>
              <w:t>支付总合同款的50%；</w:t>
            </w:r>
            <w:r>
              <w:rPr>
                <w:rFonts w:hint="eastAsia" w:ascii="宋体" w:hAnsi="宋体"/>
                <w:sz w:val="24"/>
                <w:szCs w:val="24"/>
                <w:lang w:val="en-US" w:eastAsia="zh-CN"/>
              </w:rPr>
              <w:t>设备安装调试完成并</w:t>
            </w:r>
            <w:r>
              <w:rPr>
                <w:rFonts w:hint="eastAsia" w:ascii="宋体" w:hAnsi="宋体"/>
                <w:sz w:val="24"/>
                <w:szCs w:val="24"/>
              </w:rPr>
              <w:t>通过</w:t>
            </w:r>
            <w:r>
              <w:rPr>
                <w:rFonts w:hint="eastAsia" w:ascii="宋体" w:hAnsi="宋体"/>
                <w:sz w:val="24"/>
                <w:szCs w:val="24"/>
                <w:lang w:val="en-US" w:eastAsia="zh-CN"/>
              </w:rPr>
              <w:t>甲方</w:t>
            </w:r>
            <w:r>
              <w:rPr>
                <w:rFonts w:hint="eastAsia" w:ascii="宋体" w:hAnsi="宋体"/>
                <w:sz w:val="24"/>
                <w:szCs w:val="24"/>
              </w:rPr>
              <w:t>验收</w:t>
            </w:r>
            <w:r>
              <w:rPr>
                <w:rFonts w:hint="eastAsia" w:ascii="宋体" w:hAnsi="宋体"/>
                <w:sz w:val="24"/>
                <w:szCs w:val="24"/>
                <w:lang w:val="en-US" w:eastAsia="zh-CN"/>
              </w:rPr>
              <w:t>后10</w:t>
            </w:r>
            <w:r>
              <w:rPr>
                <w:rFonts w:hint="eastAsia" w:ascii="宋体" w:hAnsi="宋体"/>
                <w:sz w:val="24"/>
                <w:szCs w:val="24"/>
              </w:rPr>
              <w:t>个工作日内支付至合同款的100%。</w:t>
            </w:r>
          </w:p>
        </w:tc>
      </w:tr>
      <w:tr w14:paraId="7124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14" w:type="dxa"/>
            <w:vAlign w:val="center"/>
          </w:tcPr>
          <w:p w14:paraId="2E75A3C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976" w:type="dxa"/>
            <w:vAlign w:val="center"/>
          </w:tcPr>
          <w:p w14:paraId="51BC53BA">
            <w:pPr>
              <w:rPr>
                <w:rFonts w:ascii="宋体" w:hAnsi="宋体"/>
                <w:sz w:val="24"/>
                <w:szCs w:val="24"/>
              </w:rPr>
            </w:pPr>
            <w:r>
              <w:rPr>
                <w:rFonts w:hint="eastAsia" w:ascii="宋体" w:hAnsi="宋体"/>
                <w:sz w:val="24"/>
                <w:szCs w:val="24"/>
              </w:rPr>
              <w:t>联合体投标</w:t>
            </w:r>
          </w:p>
        </w:tc>
        <w:tc>
          <w:tcPr>
            <w:tcW w:w="6086" w:type="dxa"/>
            <w:vAlign w:val="center"/>
          </w:tcPr>
          <w:p w14:paraId="332EA1E8">
            <w:pPr>
              <w:rPr>
                <w:rFonts w:ascii="宋体" w:hAnsi="宋体"/>
                <w:sz w:val="24"/>
                <w:szCs w:val="24"/>
              </w:rPr>
            </w:pPr>
            <w:r>
              <w:rPr>
                <w:rFonts w:hint="eastAsia" w:ascii="宋体" w:hAnsi="宋体"/>
                <w:sz w:val="24"/>
                <w:szCs w:val="24"/>
              </w:rPr>
              <w:t>不允许</w:t>
            </w:r>
          </w:p>
        </w:tc>
      </w:tr>
      <w:tr w14:paraId="7762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14" w:type="dxa"/>
            <w:vAlign w:val="center"/>
          </w:tcPr>
          <w:p w14:paraId="56D98DC9">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1976" w:type="dxa"/>
            <w:vAlign w:val="center"/>
          </w:tcPr>
          <w:p w14:paraId="786D8D42">
            <w:pPr>
              <w:rPr>
                <w:rFonts w:ascii="宋体" w:hAnsi="宋体"/>
                <w:sz w:val="24"/>
                <w:szCs w:val="24"/>
              </w:rPr>
            </w:pPr>
            <w:r>
              <w:rPr>
                <w:rFonts w:hint="eastAsia" w:ascii="宋体" w:hAnsi="宋体"/>
                <w:sz w:val="24"/>
                <w:szCs w:val="24"/>
              </w:rPr>
              <w:t>投标有效期</w:t>
            </w:r>
          </w:p>
        </w:tc>
        <w:tc>
          <w:tcPr>
            <w:tcW w:w="6086" w:type="dxa"/>
            <w:vAlign w:val="center"/>
          </w:tcPr>
          <w:p w14:paraId="1E337D49">
            <w:pPr>
              <w:rPr>
                <w:rFonts w:ascii="宋体" w:hAnsi="宋体"/>
                <w:sz w:val="24"/>
                <w:szCs w:val="24"/>
              </w:rPr>
            </w:pPr>
            <w:r>
              <w:rPr>
                <w:rFonts w:hint="eastAsia" w:ascii="宋体" w:hAnsi="宋体"/>
                <w:sz w:val="24"/>
                <w:szCs w:val="24"/>
              </w:rPr>
              <w:t>开标后60天</w:t>
            </w:r>
          </w:p>
        </w:tc>
      </w:tr>
      <w:tr w14:paraId="2AE3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14" w:type="dxa"/>
            <w:vAlign w:val="center"/>
          </w:tcPr>
          <w:p w14:paraId="5E038E7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p>
        </w:tc>
        <w:tc>
          <w:tcPr>
            <w:tcW w:w="1976" w:type="dxa"/>
            <w:vAlign w:val="center"/>
          </w:tcPr>
          <w:p w14:paraId="53DD6231">
            <w:pPr>
              <w:rPr>
                <w:rFonts w:ascii="宋体" w:hAnsi="宋体"/>
                <w:sz w:val="24"/>
                <w:szCs w:val="24"/>
              </w:rPr>
            </w:pPr>
            <w:r>
              <w:rPr>
                <w:rFonts w:hint="eastAsia" w:ascii="宋体" w:hAnsi="宋体"/>
                <w:sz w:val="24"/>
                <w:szCs w:val="24"/>
              </w:rPr>
              <w:t>供货地点</w:t>
            </w:r>
          </w:p>
        </w:tc>
        <w:tc>
          <w:tcPr>
            <w:tcW w:w="6086" w:type="dxa"/>
            <w:vAlign w:val="center"/>
          </w:tcPr>
          <w:p w14:paraId="5C7DCAAE">
            <w:pPr>
              <w:rPr>
                <w:rFonts w:ascii="宋体" w:hAnsi="宋体"/>
                <w:sz w:val="24"/>
                <w:szCs w:val="24"/>
              </w:rPr>
            </w:pPr>
            <w:r>
              <w:rPr>
                <w:rFonts w:hint="eastAsia" w:ascii="宋体" w:hAnsi="宋体"/>
                <w:sz w:val="24"/>
                <w:szCs w:val="24"/>
              </w:rPr>
              <w:t>采购人指定地点</w:t>
            </w:r>
          </w:p>
        </w:tc>
      </w:tr>
      <w:tr w14:paraId="4B4D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14" w:type="dxa"/>
            <w:vAlign w:val="center"/>
          </w:tcPr>
          <w:p w14:paraId="1C1BB3D6">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c>
          <w:tcPr>
            <w:tcW w:w="1976" w:type="dxa"/>
            <w:vAlign w:val="center"/>
          </w:tcPr>
          <w:p w14:paraId="700CDFC2">
            <w:pPr>
              <w:rPr>
                <w:rFonts w:ascii="宋体" w:hAnsi="宋体"/>
                <w:color w:val="auto"/>
                <w:sz w:val="24"/>
                <w:szCs w:val="24"/>
                <w:highlight w:val="none"/>
              </w:rPr>
            </w:pPr>
            <w:r>
              <w:rPr>
                <w:rFonts w:hint="eastAsia" w:ascii="宋体" w:hAnsi="宋体"/>
                <w:color w:val="auto"/>
                <w:sz w:val="24"/>
                <w:szCs w:val="24"/>
                <w:highlight w:val="none"/>
              </w:rPr>
              <w:t>供货及安装期限</w:t>
            </w:r>
          </w:p>
        </w:tc>
        <w:tc>
          <w:tcPr>
            <w:tcW w:w="6086" w:type="dxa"/>
            <w:vAlign w:val="center"/>
          </w:tcPr>
          <w:p w14:paraId="300F93F8">
            <w:pP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合同签订后</w:t>
            </w:r>
            <w:r>
              <w:rPr>
                <w:rFonts w:hint="eastAsia" w:ascii="宋体" w:hAnsi="宋体" w:cs="宋体"/>
                <w:color w:val="auto"/>
                <w:sz w:val="24"/>
                <w:szCs w:val="24"/>
                <w:highlight w:val="none"/>
                <w:lang w:val="en-US" w:eastAsia="zh-CN"/>
              </w:rPr>
              <w:t>12个月</w:t>
            </w:r>
          </w:p>
        </w:tc>
      </w:tr>
      <w:tr w14:paraId="5790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14" w:type="dxa"/>
            <w:vAlign w:val="center"/>
          </w:tcPr>
          <w:p w14:paraId="140D294F">
            <w:pPr>
              <w:rPr>
                <w:rFonts w:ascii="宋体" w:hAnsi="宋体"/>
                <w:color w:val="auto"/>
                <w:sz w:val="24"/>
                <w:szCs w:val="24"/>
              </w:rPr>
            </w:pPr>
            <w:r>
              <w:rPr>
                <w:rFonts w:hint="eastAsia" w:ascii="宋体" w:hAnsi="宋体"/>
                <w:color w:val="auto"/>
                <w:sz w:val="24"/>
                <w:szCs w:val="24"/>
              </w:rPr>
              <w:t>14</w:t>
            </w:r>
          </w:p>
        </w:tc>
        <w:tc>
          <w:tcPr>
            <w:tcW w:w="1976" w:type="dxa"/>
            <w:vAlign w:val="center"/>
          </w:tcPr>
          <w:p w14:paraId="0F4EB099">
            <w:pPr>
              <w:rPr>
                <w:rFonts w:ascii="宋体" w:hAnsi="宋体"/>
                <w:color w:val="auto"/>
                <w:sz w:val="24"/>
                <w:szCs w:val="24"/>
              </w:rPr>
            </w:pPr>
            <w:r>
              <w:rPr>
                <w:rFonts w:hint="eastAsia" w:ascii="宋体" w:hAnsi="宋体"/>
                <w:color w:val="auto"/>
                <w:sz w:val="24"/>
                <w:szCs w:val="24"/>
              </w:rPr>
              <w:t>质保期</w:t>
            </w:r>
          </w:p>
        </w:tc>
        <w:tc>
          <w:tcPr>
            <w:tcW w:w="6086" w:type="dxa"/>
            <w:vAlign w:val="center"/>
          </w:tcPr>
          <w:p w14:paraId="72F09D57">
            <w:pPr>
              <w:rPr>
                <w:rFonts w:ascii="宋体" w:hAnsi="宋体"/>
                <w:color w:val="auto"/>
                <w:sz w:val="24"/>
                <w:szCs w:val="24"/>
              </w:rPr>
            </w:pPr>
            <w:r>
              <w:rPr>
                <w:rFonts w:hint="eastAsia" w:ascii="宋体" w:hAnsi="宋体" w:cs="宋体"/>
                <w:color w:val="auto"/>
                <w:sz w:val="24"/>
                <w:szCs w:val="24"/>
              </w:rPr>
              <w:t>一年</w:t>
            </w:r>
          </w:p>
        </w:tc>
      </w:tr>
      <w:tr w14:paraId="6782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4" w:type="dxa"/>
            <w:vAlign w:val="center"/>
          </w:tcPr>
          <w:p w14:paraId="6FEF0954">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1976" w:type="dxa"/>
            <w:vAlign w:val="center"/>
          </w:tcPr>
          <w:p w14:paraId="0600F7E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w:t>
            </w:r>
          </w:p>
        </w:tc>
        <w:tc>
          <w:tcPr>
            <w:tcW w:w="6086" w:type="dxa"/>
            <w:vAlign w:val="center"/>
          </w:tcPr>
          <w:p w14:paraId="186F4A4A">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不需要缴纳投标保证金</w:t>
            </w:r>
          </w:p>
        </w:tc>
      </w:tr>
      <w:tr w14:paraId="1D9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614" w:type="dxa"/>
            <w:vAlign w:val="center"/>
          </w:tcPr>
          <w:p w14:paraId="4FCF3374">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16</w:t>
            </w:r>
          </w:p>
        </w:tc>
        <w:tc>
          <w:tcPr>
            <w:tcW w:w="1976" w:type="dxa"/>
            <w:vAlign w:val="center"/>
          </w:tcPr>
          <w:p w14:paraId="002A4900">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答疑</w:t>
            </w:r>
          </w:p>
        </w:tc>
        <w:tc>
          <w:tcPr>
            <w:tcW w:w="6086" w:type="dxa"/>
            <w:vAlign w:val="center"/>
          </w:tcPr>
          <w:p w14:paraId="3E96254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疑问的提出与答疑获取详见招标文件第二部分第五章投标人须知第36条。</w:t>
            </w:r>
          </w:p>
          <w:p w14:paraId="2C50E0F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14:paraId="17C0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14" w:type="dxa"/>
            <w:vAlign w:val="center"/>
          </w:tcPr>
          <w:p w14:paraId="685630CA">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1976" w:type="dxa"/>
            <w:vAlign w:val="center"/>
          </w:tcPr>
          <w:p w14:paraId="0F2FCDEB">
            <w:pPr>
              <w:rPr>
                <w:rFonts w:ascii="宋体" w:hAnsi="宋体"/>
                <w:color w:val="auto"/>
                <w:sz w:val="24"/>
                <w:szCs w:val="24"/>
              </w:rPr>
            </w:pPr>
            <w:r>
              <w:rPr>
                <w:rFonts w:hint="eastAsia" w:ascii="宋体" w:hAnsi="宋体"/>
                <w:color w:val="auto"/>
                <w:sz w:val="24"/>
                <w:szCs w:val="24"/>
              </w:rPr>
              <w:t>勘察现场</w:t>
            </w:r>
          </w:p>
        </w:tc>
        <w:tc>
          <w:tcPr>
            <w:tcW w:w="6086" w:type="dxa"/>
            <w:vAlign w:val="center"/>
          </w:tcPr>
          <w:p w14:paraId="18301437">
            <w:pPr>
              <w:rPr>
                <w:rFonts w:hint="eastAsia" w:ascii="宋体" w:hAnsi="宋体" w:eastAsia="宋体"/>
                <w:color w:val="auto"/>
                <w:sz w:val="24"/>
                <w:szCs w:val="24"/>
                <w:lang w:val="en-US" w:eastAsia="zh-CN"/>
              </w:rPr>
            </w:pPr>
            <w:r>
              <w:rPr>
                <w:rFonts w:hint="eastAsia" w:ascii="宋体" w:hAnsi="宋体" w:cs="宋体"/>
                <w:color w:val="auto"/>
                <w:sz w:val="24"/>
                <w:szCs w:val="24"/>
                <w:lang w:val="en-US" w:eastAsia="zh-CN"/>
              </w:rPr>
              <w:t>详见“第五章 投标人须知  5.1 ”</w:t>
            </w:r>
          </w:p>
        </w:tc>
      </w:tr>
      <w:tr w14:paraId="5361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614" w:type="dxa"/>
            <w:vAlign w:val="center"/>
          </w:tcPr>
          <w:p w14:paraId="29CE7560">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w:t>
            </w:r>
          </w:p>
        </w:tc>
        <w:tc>
          <w:tcPr>
            <w:tcW w:w="1976" w:type="dxa"/>
            <w:vAlign w:val="center"/>
          </w:tcPr>
          <w:p w14:paraId="0E864DBC">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w:t>
            </w:r>
          </w:p>
        </w:tc>
        <w:tc>
          <w:tcPr>
            <w:tcW w:w="6086" w:type="dxa"/>
            <w:vAlign w:val="center"/>
          </w:tcPr>
          <w:p w14:paraId="72F87535">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1、投标文件为使用周口市公共资源交易中心提供的电子标书制作工具软件（</w:t>
            </w:r>
            <w:r>
              <w:rPr>
                <w:rFonts w:hint="eastAsia" w:ascii="宋体" w:hAnsi="宋体"/>
                <w:color w:val="000000" w:themeColor="text1"/>
                <w14:textFill>
                  <w14:solidFill>
                    <w14:schemeClr w14:val="tx1"/>
                  </w14:solidFill>
                </w14:textFill>
              </w:rPr>
              <w:t>http://jyzx.zhoukou.gov.cn</w:t>
            </w:r>
            <w:r>
              <w:rPr>
                <w:rFonts w:hint="eastAsia" w:ascii="宋体" w:hAnsi="宋体"/>
                <w:color w:val="000000" w:themeColor="text1"/>
                <w:sz w:val="24"/>
                <w:szCs w:val="24"/>
                <w14:textFill>
                  <w14:solidFill>
                    <w14:schemeClr w14:val="tx1"/>
                  </w14:solidFill>
                </w14:textFill>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1E11626A">
            <w:pPr>
              <w:pStyle w:val="20"/>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2、本项目实行网上远程开标无须到现场提交响应文件，未加密的电子投标文件和纸质文件不再提交。</w:t>
            </w:r>
          </w:p>
        </w:tc>
      </w:tr>
      <w:tr w14:paraId="2F14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4" w:type="dxa"/>
            <w:vAlign w:val="center"/>
          </w:tcPr>
          <w:p w14:paraId="70E74F99">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w:t>
            </w:r>
          </w:p>
        </w:tc>
        <w:tc>
          <w:tcPr>
            <w:tcW w:w="1976" w:type="dxa"/>
            <w:vAlign w:val="center"/>
          </w:tcPr>
          <w:p w14:paraId="492B5185">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投标时间及地点</w:t>
            </w:r>
          </w:p>
        </w:tc>
        <w:tc>
          <w:tcPr>
            <w:tcW w:w="6086" w:type="dxa"/>
            <w:vAlign w:val="center"/>
          </w:tcPr>
          <w:p w14:paraId="485747DD">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投标截止时间：</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月  日</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（见招标公告）      </w:t>
            </w:r>
          </w:p>
          <w:p w14:paraId="00B4B98D">
            <w:pP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标书递交地点：</w:t>
            </w:r>
            <w:r>
              <w:rPr>
                <w:rFonts w:hint="eastAsia" w:ascii="宋体" w:hAnsi="宋体"/>
                <w:color w:val="000000" w:themeColor="text1"/>
                <w:sz w:val="24"/>
                <w14:textFill>
                  <w14:solidFill>
                    <w14:schemeClr w14:val="tx1"/>
                  </w14:solidFill>
                </w14:textFill>
              </w:rPr>
              <w:t>周口市公共资源交易中心网</w:t>
            </w:r>
          </w:p>
          <w:p w14:paraId="2CB1CDF6">
            <w:pPr>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宋体" w:hAnsi="宋体"/>
                <w:color w:val="000000" w:themeColor="text1"/>
                <w14:textFill>
                  <w14:solidFill>
                    <w14:schemeClr w14:val="tx1"/>
                  </w14:solidFill>
                </w14:textFill>
              </w:rPr>
              <w:t>http://jyzx.zhoukou.gov.cn）</w:t>
            </w:r>
          </w:p>
          <w:p w14:paraId="23C72788">
            <w:pP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（本项目实行网上远程开标无须到现场提交响应文件）</w:t>
            </w:r>
          </w:p>
        </w:tc>
      </w:tr>
      <w:tr w14:paraId="071C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4" w:type="dxa"/>
            <w:vAlign w:val="center"/>
          </w:tcPr>
          <w:p w14:paraId="20386342">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w:t>
            </w:r>
          </w:p>
        </w:tc>
        <w:tc>
          <w:tcPr>
            <w:tcW w:w="1976" w:type="dxa"/>
            <w:vAlign w:val="center"/>
          </w:tcPr>
          <w:p w14:paraId="0FAD3564">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开标时间及地点</w:t>
            </w:r>
          </w:p>
        </w:tc>
        <w:tc>
          <w:tcPr>
            <w:tcW w:w="6086" w:type="dxa"/>
            <w:vAlign w:val="center"/>
          </w:tcPr>
          <w:p w14:paraId="66A69A2E">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月   日</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（见招标公告）      </w:t>
            </w:r>
          </w:p>
          <w:p w14:paraId="34C4F55D">
            <w:pPr>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开标地点：周口市东新区光明路市行政中心西侧南楼房间（本项目实行网上远程开标无须到现场提交响应文件）</w:t>
            </w:r>
          </w:p>
        </w:tc>
      </w:tr>
      <w:tr w14:paraId="535F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4" w:type="dxa"/>
            <w:vAlign w:val="center"/>
          </w:tcPr>
          <w:p w14:paraId="0DC00FA7">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w:t>
            </w:r>
          </w:p>
        </w:tc>
        <w:tc>
          <w:tcPr>
            <w:tcW w:w="1976" w:type="dxa"/>
            <w:vAlign w:val="center"/>
          </w:tcPr>
          <w:p w14:paraId="7622049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评标办法</w:t>
            </w:r>
          </w:p>
        </w:tc>
        <w:tc>
          <w:tcPr>
            <w:tcW w:w="6086" w:type="dxa"/>
            <w:vAlign w:val="center"/>
          </w:tcPr>
          <w:p w14:paraId="44AA9E5F">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综合评分法 详见招标文件第一部分第四章评标办法</w:t>
            </w:r>
          </w:p>
        </w:tc>
      </w:tr>
      <w:tr w14:paraId="775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14" w:type="dxa"/>
            <w:vAlign w:val="center"/>
          </w:tcPr>
          <w:p w14:paraId="0EAB5FDE">
            <w:pPr>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w:t>
            </w:r>
          </w:p>
        </w:tc>
        <w:tc>
          <w:tcPr>
            <w:tcW w:w="1976" w:type="dxa"/>
            <w:vAlign w:val="center"/>
          </w:tcPr>
          <w:p w14:paraId="72572F7D">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其它</w:t>
            </w:r>
          </w:p>
        </w:tc>
        <w:tc>
          <w:tcPr>
            <w:tcW w:w="6086" w:type="dxa"/>
            <w:vAlign w:val="center"/>
          </w:tcPr>
          <w:p w14:paraId="49F04C50">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采购人验收如需第三方质检部门介入，第三方质检验收所需费用由中标人负担。</w:t>
            </w:r>
          </w:p>
        </w:tc>
      </w:tr>
      <w:tr w14:paraId="271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14" w:type="dxa"/>
            <w:vAlign w:val="center"/>
          </w:tcPr>
          <w:p w14:paraId="1725124E">
            <w:pPr>
              <w:spacing w:line="500" w:lineRule="exact"/>
              <w:rPr>
                <w:rFonts w:ascii="宋体" w:hAnsi="宋体"/>
                <w:color w:val="000000" w:themeColor="text1"/>
                <w:sz w:val="24"/>
                <w:szCs w:val="24"/>
                <w14:textFill>
                  <w14:solidFill>
                    <w14:schemeClr w14:val="tx1"/>
                  </w14:solidFill>
                </w14:textFill>
              </w:rPr>
            </w:pPr>
            <w:bookmarkStart w:id="48" w:name="_Toc40975438"/>
            <w:r>
              <w:rPr>
                <w:rFonts w:hint="eastAsia" w:ascii="宋体" w:hAnsi="宋体"/>
                <w:color w:val="000000" w:themeColor="text1"/>
                <w:sz w:val="24"/>
                <w:szCs w:val="24"/>
                <w14:textFill>
                  <w14:solidFill>
                    <w14:schemeClr w14:val="tx1"/>
                  </w14:solidFill>
                </w14:textFill>
              </w:rPr>
              <w:t>23</w:t>
            </w:r>
          </w:p>
        </w:tc>
        <w:tc>
          <w:tcPr>
            <w:tcW w:w="1976" w:type="dxa"/>
            <w:vAlign w:val="center"/>
          </w:tcPr>
          <w:p w14:paraId="63CF005C">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该项目的所属行业</w:t>
            </w:r>
          </w:p>
        </w:tc>
        <w:tc>
          <w:tcPr>
            <w:tcW w:w="6086" w:type="dxa"/>
            <w:vAlign w:val="center"/>
          </w:tcPr>
          <w:p w14:paraId="7B600386">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工业</w:t>
            </w:r>
          </w:p>
        </w:tc>
      </w:tr>
    </w:tbl>
    <w:p w14:paraId="79663531">
      <w:pPr>
        <w:rPr>
          <w:rFonts w:ascii="宋体" w:hAnsi="宋体" w:cs="宋体"/>
          <w:color w:val="000000" w:themeColor="text1"/>
          <w14:textFill>
            <w14:solidFill>
              <w14:schemeClr w14:val="tx1"/>
            </w14:solidFill>
          </w14:textFill>
        </w:rPr>
      </w:pPr>
    </w:p>
    <w:p w14:paraId="718AFFAE">
      <w:pPr>
        <w:pStyle w:val="43"/>
        <w:ind w:firstLine="210"/>
        <w:rPr>
          <w:rFonts w:ascii="宋体" w:hAnsi="宋体" w:cs="宋体"/>
          <w:color w:val="000000" w:themeColor="text1"/>
          <w14:textFill>
            <w14:solidFill>
              <w14:schemeClr w14:val="tx1"/>
            </w14:solidFill>
          </w14:textFill>
        </w:rPr>
      </w:pPr>
    </w:p>
    <w:p w14:paraId="3E7347BF">
      <w:pPr>
        <w:pStyle w:val="43"/>
        <w:ind w:firstLine="210"/>
        <w:rPr>
          <w:rFonts w:ascii="宋体" w:hAnsi="宋体" w:cs="宋体"/>
          <w:color w:val="000000" w:themeColor="text1"/>
          <w14:textFill>
            <w14:solidFill>
              <w14:schemeClr w14:val="tx1"/>
            </w14:solidFill>
          </w14:textFill>
        </w:rPr>
      </w:pPr>
    </w:p>
    <w:p w14:paraId="358BE7BE">
      <w:pPr>
        <w:pStyle w:val="43"/>
        <w:ind w:firstLine="210"/>
        <w:rPr>
          <w:rFonts w:ascii="宋体" w:hAnsi="宋体" w:cs="宋体"/>
          <w:color w:val="000000" w:themeColor="text1"/>
          <w14:textFill>
            <w14:solidFill>
              <w14:schemeClr w14:val="tx1"/>
            </w14:solidFill>
          </w14:textFill>
        </w:rPr>
      </w:pPr>
    </w:p>
    <w:p w14:paraId="42F8E230">
      <w:pPr>
        <w:pStyle w:val="43"/>
        <w:ind w:firstLine="210"/>
        <w:rPr>
          <w:rFonts w:ascii="宋体" w:hAnsi="宋体" w:cs="宋体"/>
          <w:color w:val="000000" w:themeColor="text1"/>
          <w14:textFill>
            <w14:solidFill>
              <w14:schemeClr w14:val="tx1"/>
            </w14:solidFill>
          </w14:textFill>
        </w:rPr>
      </w:pPr>
    </w:p>
    <w:p w14:paraId="2C77D50D">
      <w:pPr>
        <w:pStyle w:val="43"/>
        <w:ind w:firstLine="210"/>
        <w:rPr>
          <w:rFonts w:ascii="宋体" w:hAnsi="宋体" w:cs="宋体"/>
          <w:color w:val="000000" w:themeColor="text1"/>
          <w14:textFill>
            <w14:solidFill>
              <w14:schemeClr w14:val="tx1"/>
            </w14:solidFill>
          </w14:textFill>
        </w:rPr>
      </w:pPr>
    </w:p>
    <w:p w14:paraId="2AB6951E">
      <w:pPr>
        <w:pStyle w:val="43"/>
        <w:ind w:firstLine="210"/>
        <w:rPr>
          <w:rFonts w:ascii="宋体" w:hAnsi="宋体" w:cs="宋体"/>
          <w:color w:val="000000" w:themeColor="text1"/>
          <w14:textFill>
            <w14:solidFill>
              <w14:schemeClr w14:val="tx1"/>
            </w14:solidFill>
          </w14:textFill>
        </w:rPr>
      </w:pPr>
    </w:p>
    <w:p w14:paraId="2D88062C">
      <w:pPr>
        <w:pStyle w:val="43"/>
        <w:ind w:firstLine="210"/>
        <w:rPr>
          <w:rFonts w:ascii="宋体" w:hAnsi="宋体" w:cs="宋体"/>
          <w:color w:val="000000" w:themeColor="text1"/>
          <w14:textFill>
            <w14:solidFill>
              <w14:schemeClr w14:val="tx1"/>
            </w14:solidFill>
          </w14:textFill>
        </w:rPr>
      </w:pPr>
    </w:p>
    <w:p w14:paraId="24307E01">
      <w:pPr>
        <w:pStyle w:val="43"/>
        <w:ind w:firstLine="210"/>
        <w:rPr>
          <w:rFonts w:ascii="宋体" w:hAnsi="宋体" w:cs="宋体"/>
          <w:color w:val="000000" w:themeColor="text1"/>
          <w14:textFill>
            <w14:solidFill>
              <w14:schemeClr w14:val="tx1"/>
            </w14:solidFill>
          </w14:textFill>
        </w:rPr>
      </w:pPr>
    </w:p>
    <w:p w14:paraId="107301B5">
      <w:pPr>
        <w:pStyle w:val="43"/>
        <w:ind w:firstLine="210"/>
        <w:rPr>
          <w:rFonts w:ascii="宋体" w:hAnsi="宋体" w:cs="宋体"/>
          <w:color w:val="000000" w:themeColor="text1"/>
          <w14:textFill>
            <w14:solidFill>
              <w14:schemeClr w14:val="tx1"/>
            </w14:solidFill>
          </w14:textFill>
        </w:rPr>
      </w:pPr>
    </w:p>
    <w:p w14:paraId="0EA0E302">
      <w:pPr>
        <w:pStyle w:val="43"/>
        <w:ind w:firstLine="210"/>
        <w:rPr>
          <w:rFonts w:ascii="宋体" w:hAnsi="宋体" w:cs="宋体"/>
          <w:color w:val="000000" w:themeColor="text1"/>
          <w14:textFill>
            <w14:solidFill>
              <w14:schemeClr w14:val="tx1"/>
            </w14:solidFill>
          </w14:textFill>
        </w:rPr>
      </w:pPr>
    </w:p>
    <w:p w14:paraId="09754AC3">
      <w:pPr>
        <w:rPr>
          <w:color w:val="000000" w:themeColor="text1"/>
          <w14:textFill>
            <w14:solidFill>
              <w14:schemeClr w14:val="tx1"/>
            </w14:solidFill>
          </w14:textFill>
        </w:rPr>
      </w:pPr>
    </w:p>
    <w:p w14:paraId="08428F40">
      <w:pPr>
        <w:pStyle w:val="4"/>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货物需求一览表</w:t>
      </w:r>
      <w:bookmarkEnd w:id="46"/>
      <w:bookmarkEnd w:id="47"/>
      <w:bookmarkEnd w:id="48"/>
    </w:p>
    <w:p w14:paraId="5F0E59CD">
      <w:pPr>
        <w:spacing w:line="360" w:lineRule="auto"/>
        <w:ind w:firstLine="480" w:firstLineChars="200"/>
        <w:rPr>
          <w:rFonts w:ascii="宋体" w:hAnsi="宋体" w:cs="宋体"/>
          <w:color w:val="000000" w:themeColor="text1"/>
          <w:sz w:val="24"/>
          <w:szCs w:val="28"/>
          <w14:textFill>
            <w14:solidFill>
              <w14:schemeClr w14:val="tx1"/>
            </w14:solidFill>
          </w14:textFill>
        </w:rPr>
      </w:pPr>
      <w:bookmarkStart w:id="49" w:name="_Hlt509716920"/>
      <w:bookmarkEnd w:id="49"/>
      <w:r>
        <w:rPr>
          <w:rFonts w:hint="eastAsia" w:ascii="宋体" w:hAnsi="宋体" w:cs="宋体"/>
          <w:color w:val="000000" w:themeColor="text1"/>
          <w:sz w:val="24"/>
          <w:szCs w:val="28"/>
          <w14:textFill>
            <w14:solidFill>
              <w14:schemeClr w14:val="tx1"/>
            </w14:solidFill>
          </w14:textFill>
        </w:rPr>
        <w:t>前注：1） 本需求中提出的技术方案仅为参考，如无明确限制，投标人可以进行优化，提供满足用户实际需要的更优（或者性能实质上不低于的）</w:t>
      </w:r>
      <w:r>
        <w:rPr>
          <w:rFonts w:hint="eastAsia" w:ascii="宋体" w:hAnsi="宋体" w:cs="宋体"/>
          <w:color w:val="000000" w:themeColor="text1"/>
          <w:sz w:val="24"/>
          <w:szCs w:val="24"/>
          <w14:textFill>
            <w14:solidFill>
              <w14:schemeClr w14:val="tx1"/>
            </w14:solidFill>
          </w14:textFill>
        </w:rPr>
        <w:t>技术方案或者设备配置，且此方案或配置须经评委会审核认可；</w:t>
      </w:r>
      <w:r>
        <w:rPr>
          <w:rFonts w:hint="eastAsia" w:ascii="宋体" w:hAnsi="宋体" w:cs="宋体"/>
          <w:color w:val="000000" w:themeColor="text1"/>
          <w:sz w:val="24"/>
          <w:szCs w:val="24"/>
          <w14:textFill>
            <w14:solidFill>
              <w14:schemeClr w14:val="tx1"/>
            </w14:solidFill>
          </w14:textFill>
        </w:rPr>
        <w:cr/>
      </w:r>
      <w:r>
        <w:rPr>
          <w:rFonts w:hint="eastAsia" w:ascii="宋体" w:hAnsi="宋体" w:cs="宋体"/>
          <w:color w:val="000000" w:themeColor="text1"/>
          <w:sz w:val="24"/>
          <w:szCs w:val="24"/>
          <w14:textFill>
            <w14:solidFill>
              <w14:schemeClr w14:val="tx1"/>
            </w14:solidFill>
          </w14:textFill>
        </w:rPr>
        <w:t xml:space="preserve">    2） 为鼓励不同品牌的充分竞争，如某设备的某技术参数或要求属于个别品牌专有，则该技术参数及要求不具有限制性，投标人可对该参数或要求进行适当调整，并应当说明调整的理由，且此调整须经评委会审核认可；</w:t>
      </w:r>
    </w:p>
    <w:p w14:paraId="3668EDB0">
      <w:pPr>
        <w:pStyle w:val="11"/>
        <w:adjustRightInd w:val="0"/>
        <w:snapToGrid w:val="0"/>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cs="宋体"/>
          <w:color w:val="000000" w:themeColor="text1"/>
          <w:sz w:val="24"/>
          <w:szCs w:val="28"/>
          <w14:textFill>
            <w14:solidFill>
              <w14:schemeClr w14:val="tx1"/>
            </w14:solidFill>
          </w14:textFill>
        </w:rPr>
        <w:cr/>
      </w:r>
      <w:r>
        <w:rPr>
          <w:rFonts w:hint="eastAsia" w:ascii="宋体" w:hAnsi="宋体" w:cs="宋体"/>
          <w:color w:val="000000" w:themeColor="text1"/>
          <w:sz w:val="24"/>
          <w:szCs w:val="28"/>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4） 投标人应当在投标文件中列出完成本项目并通过验收所需的所有各项服务等明细表及全部费用。中标人必须确保整体通过用户方及有关主管部门验收,所发生的验收费用由中标人承担</w:t>
      </w:r>
      <w:r>
        <w:rPr>
          <w:rFonts w:hint="eastAsia" w:ascii="宋体" w:hAnsi="宋体" w:cs="宋体"/>
          <w:color w:val="auto"/>
          <w:sz w:val="24"/>
          <w:szCs w:val="28"/>
        </w:rPr>
        <w:t>；如投标人因未及时踏勘现场而导致的报价缺项漏项废标、或中标后无法完工，投标人自行承担一切后果；</w:t>
      </w:r>
      <w:r>
        <w:rPr>
          <w:rFonts w:hint="eastAsia" w:ascii="宋体" w:hAnsi="宋体" w:cs="宋体"/>
          <w:color w:val="auto"/>
          <w:sz w:val="24"/>
          <w:szCs w:val="28"/>
        </w:rPr>
        <w:cr/>
      </w:r>
      <w:r>
        <w:rPr>
          <w:rFonts w:hint="eastAsia" w:ascii="宋体" w:hAnsi="宋体" w:cs="宋体"/>
          <w:color w:val="000000" w:themeColor="text1"/>
          <w:sz w:val="24"/>
          <w:szCs w:val="28"/>
          <w14:textFill>
            <w14:solidFill>
              <w14:schemeClr w14:val="tx1"/>
            </w14:solidFill>
          </w14:textFill>
        </w:rPr>
        <w:t xml:space="preserve">    5）如对本招标文件有任何疑问或澄清要求，请按本招标文件“投标人须知前附表”中约定联系周口市公共交资源交易中心政府采购中心，或接受答疑截止时间前联系采购人。否则视同理解和接受。</w:t>
      </w:r>
      <w:bookmarkStart w:id="50" w:name="_Toc6821_WPSOffice_Level2"/>
    </w:p>
    <w:p w14:paraId="754AD895">
      <w:pPr>
        <w:spacing w:line="360" w:lineRule="auto"/>
        <w:ind w:firstLine="643" w:firstLineChars="200"/>
        <w:rPr>
          <w:rFonts w:ascii="宋体" w:hAnsi="宋体" w:cs="宋体"/>
          <w:b/>
          <w:color w:val="000000" w:themeColor="text1"/>
          <w:sz w:val="32"/>
          <w:szCs w:val="32"/>
          <w14:textFill>
            <w14:solidFill>
              <w14:schemeClr w14:val="tx1"/>
            </w14:solidFill>
          </w14:textFill>
        </w:rPr>
      </w:pPr>
    </w:p>
    <w:p w14:paraId="129A030B">
      <w:pPr>
        <w:spacing w:line="360" w:lineRule="auto"/>
        <w:ind w:firstLine="643" w:firstLineChars="200"/>
        <w:rPr>
          <w:rFonts w:ascii="宋体" w:hAnsi="宋体" w:cs="宋体"/>
          <w:b/>
          <w:color w:val="000000" w:themeColor="text1"/>
          <w:sz w:val="32"/>
          <w:szCs w:val="32"/>
          <w14:textFill>
            <w14:solidFill>
              <w14:schemeClr w14:val="tx1"/>
            </w14:solidFill>
          </w14:textFill>
        </w:rPr>
      </w:pPr>
    </w:p>
    <w:p w14:paraId="67183FB9">
      <w:pPr>
        <w:spacing w:line="360" w:lineRule="auto"/>
        <w:ind w:firstLine="643" w:firstLineChars="200"/>
        <w:rPr>
          <w:rFonts w:ascii="宋体" w:hAnsi="宋体" w:cs="宋体"/>
          <w:b/>
          <w:color w:val="000000" w:themeColor="text1"/>
          <w:sz w:val="32"/>
          <w:szCs w:val="32"/>
          <w14:textFill>
            <w14:solidFill>
              <w14:schemeClr w14:val="tx1"/>
            </w14:solidFill>
          </w14:textFill>
        </w:rPr>
      </w:pPr>
    </w:p>
    <w:bookmarkEnd w:id="50"/>
    <w:p w14:paraId="2C80A4F1">
      <w:pPr>
        <w:jc w:val="left"/>
        <w:rPr>
          <w:rFonts w:ascii="宋体" w:hAnsi="宋体" w:cs="宋体"/>
          <w:color w:val="000000" w:themeColor="text1"/>
          <w14:textFill>
            <w14:solidFill>
              <w14:schemeClr w14:val="tx1"/>
            </w14:solidFill>
          </w14:textFill>
        </w:rPr>
        <w:sectPr>
          <w:headerReference r:id="rId3" w:type="default"/>
          <w:footerReference r:id="rId4" w:type="default"/>
          <w:pgSz w:w="11906" w:h="16838"/>
          <w:pgMar w:top="1440" w:right="1758" w:bottom="1440" w:left="1758" w:header="851" w:footer="992" w:gutter="0"/>
          <w:cols w:space="720" w:num="1"/>
          <w:docGrid w:linePitch="312" w:charSpace="0"/>
        </w:sectPr>
      </w:pPr>
    </w:p>
    <w:p w14:paraId="4AA75924">
      <w:pPr>
        <w:pBdr>
          <w:bottom w:val="dotted" w:color="auto" w:sz="24" w:space="1"/>
        </w:pBd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一、</w:t>
      </w:r>
      <w:r>
        <w:rPr>
          <w:rFonts w:hint="eastAsia" w:ascii="宋体" w:hAnsi="宋体" w:cs="宋体"/>
          <w:b/>
          <w:color w:val="000000" w:themeColor="text1"/>
          <w:sz w:val="32"/>
          <w:szCs w:val="32"/>
          <w14:textFill>
            <w14:solidFill>
              <w14:schemeClr w14:val="tx1"/>
            </w14:solidFill>
          </w14:textFill>
        </w:rPr>
        <w:t>货物需求</w:t>
      </w:r>
      <w:bookmarkStart w:id="51" w:name="_Toc14806_WPSOffice_Level2"/>
      <w:r>
        <w:rPr>
          <w:rFonts w:hint="eastAsia" w:ascii="宋体" w:hAnsi="宋体" w:cs="宋体"/>
          <w:b/>
          <w:color w:val="000000" w:themeColor="text1"/>
          <w:sz w:val="32"/>
          <w:szCs w:val="32"/>
          <w14:textFill>
            <w14:solidFill>
              <w14:schemeClr w14:val="tx1"/>
            </w14:solidFill>
          </w14:textFill>
        </w:rPr>
        <w:t>及技术规格参数</w:t>
      </w:r>
    </w:p>
    <w:p w14:paraId="11BA879B">
      <w:pPr>
        <w:spacing w:line="360" w:lineRule="auto"/>
        <w:rPr>
          <w:rFonts w:ascii="宋体" w:hAnsi="宋体" w:cs="宋体"/>
          <w:kern w:val="0"/>
          <w:sz w:val="24"/>
          <w:szCs w:val="22"/>
          <w:lang w:val="zh-CN"/>
        </w:rPr>
      </w:pPr>
      <w:bookmarkStart w:id="52" w:name="_Toc40975439"/>
      <w:bookmarkStart w:id="53" w:name="_Toc11739_WPSOffice_Level1"/>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一</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、服务内容及要求</w:t>
      </w:r>
    </w:p>
    <w:p w14:paraId="78700764">
      <w:pPr>
        <w:spacing w:line="360" w:lineRule="auto"/>
        <w:ind w:firstLine="480" w:firstLineChars="200"/>
        <w:rPr>
          <w:rFonts w:ascii="宋体" w:hAnsi="宋体" w:cs="宋体"/>
          <w:color w:val="000000" w:themeColor="text1"/>
          <w:kern w:val="0"/>
          <w:sz w:val="24"/>
          <w:szCs w:val="22"/>
          <w:lang w:val="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1、</w:t>
      </w:r>
      <w:r>
        <w:rPr>
          <w:rFonts w:hint="eastAsia" w:ascii="宋体" w:hAnsi="宋体" w:cs="宋体"/>
          <w:color w:val="000000" w:themeColor="text1"/>
          <w:kern w:val="0"/>
          <w:sz w:val="24"/>
          <w:szCs w:val="22"/>
          <w:lang w:val="zh-CN"/>
          <w14:textFill>
            <w14:solidFill>
              <w14:schemeClr w14:val="tx1"/>
            </w14:solidFill>
          </w14:textFill>
        </w:rPr>
        <w:t>交货地点：采购人指定地点。</w:t>
      </w:r>
    </w:p>
    <w:p w14:paraId="24540B5C">
      <w:pPr>
        <w:spacing w:line="360" w:lineRule="auto"/>
        <w:ind w:firstLine="480" w:firstLineChars="200"/>
        <w:rPr>
          <w:rFonts w:hint="default" w:ascii="宋体" w:hAnsi="宋体" w:eastAsia="宋体" w:cs="宋体"/>
          <w:color w:val="000000" w:themeColor="text1"/>
          <w:kern w:val="0"/>
          <w:sz w:val="24"/>
          <w:szCs w:val="22"/>
          <w:highlight w:val="none"/>
          <w:lang w:val="en-US" w:eastAsia="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2、</w:t>
      </w:r>
      <w:r>
        <w:rPr>
          <w:rFonts w:hint="eastAsia" w:ascii="宋体" w:hAnsi="宋体" w:cs="宋体"/>
          <w:color w:val="000000" w:themeColor="text1"/>
          <w:kern w:val="0"/>
          <w:sz w:val="24"/>
          <w:szCs w:val="22"/>
          <w:lang w:val="zh-CN"/>
          <w14:textFill>
            <w14:solidFill>
              <w14:schemeClr w14:val="tx1"/>
            </w14:solidFill>
          </w14:textFill>
        </w:rPr>
        <w:t>交货</w:t>
      </w:r>
      <w:r>
        <w:rPr>
          <w:rFonts w:hint="eastAsia" w:ascii="宋体" w:hAnsi="宋体" w:cs="宋体"/>
          <w:color w:val="000000" w:themeColor="text1"/>
          <w:kern w:val="0"/>
          <w:sz w:val="24"/>
          <w:szCs w:val="22"/>
          <w14:textFill>
            <w14:solidFill>
              <w14:schemeClr w14:val="tx1"/>
            </w14:solidFill>
          </w14:textFill>
        </w:rPr>
        <w:t>及安装</w:t>
      </w:r>
      <w:r>
        <w:rPr>
          <w:rFonts w:hint="eastAsia" w:ascii="宋体" w:hAnsi="宋体" w:cs="宋体"/>
          <w:color w:val="000000" w:themeColor="text1"/>
          <w:kern w:val="0"/>
          <w:sz w:val="24"/>
          <w:szCs w:val="22"/>
          <w:lang w:val="zh-CN"/>
          <w14:textFill>
            <w14:solidFill>
              <w14:schemeClr w14:val="tx1"/>
            </w14:solidFill>
          </w14:textFill>
        </w:rPr>
        <w:t>期：</w:t>
      </w:r>
      <w:r>
        <w:rPr>
          <w:rFonts w:hint="eastAsia" w:ascii="宋体" w:hAnsi="宋体" w:cs="宋体"/>
          <w:color w:val="000000" w:themeColor="text1"/>
          <w:kern w:val="0"/>
          <w:sz w:val="24"/>
          <w:szCs w:val="22"/>
          <w:highlight w:val="none"/>
          <w:lang w:val="en-US" w:eastAsia="zh-CN"/>
          <w14:textFill>
            <w14:solidFill>
              <w14:schemeClr w14:val="tx1"/>
            </w14:solidFill>
          </w14:textFill>
        </w:rPr>
        <w:t>合同签订后12个月内。</w:t>
      </w:r>
    </w:p>
    <w:p w14:paraId="492E4802">
      <w:pPr>
        <w:spacing w:line="360" w:lineRule="auto"/>
        <w:ind w:firstLine="480" w:firstLineChars="200"/>
        <w:rPr>
          <w:rFonts w:ascii="宋体" w:hAnsi="宋体" w:cs="宋体"/>
          <w:color w:val="000000" w:themeColor="text1"/>
          <w:kern w:val="0"/>
          <w:sz w:val="24"/>
          <w:szCs w:val="22"/>
          <w:lang w:val="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3、</w:t>
      </w:r>
      <w:r>
        <w:rPr>
          <w:rFonts w:hint="eastAsia" w:ascii="宋体" w:hAnsi="宋体" w:cs="宋体"/>
          <w:color w:val="000000" w:themeColor="text1"/>
          <w:kern w:val="0"/>
          <w:sz w:val="24"/>
          <w:szCs w:val="22"/>
          <w:lang w:val="zh-CN"/>
          <w14:textFill>
            <w14:solidFill>
              <w14:schemeClr w14:val="tx1"/>
            </w14:solidFill>
          </w14:textFill>
        </w:rPr>
        <w:t>质量标准：</w:t>
      </w:r>
      <w:r>
        <w:rPr>
          <w:rFonts w:hint="eastAsia"/>
          <w:sz w:val="24"/>
          <w:szCs w:val="24"/>
        </w:rPr>
        <w:t>符合行业相关规范及采购人要求</w:t>
      </w:r>
      <w:r>
        <w:rPr>
          <w:rFonts w:hint="eastAsia" w:ascii="宋体" w:hAnsi="宋体" w:cs="宋体"/>
          <w:color w:val="000000" w:themeColor="text1"/>
          <w:kern w:val="0"/>
          <w:sz w:val="24"/>
          <w:szCs w:val="22"/>
          <w:lang w:val="zh-CN"/>
          <w14:textFill>
            <w14:solidFill>
              <w14:schemeClr w14:val="tx1"/>
            </w14:solidFill>
          </w14:textFill>
        </w:rPr>
        <w:t>。</w:t>
      </w:r>
    </w:p>
    <w:p w14:paraId="1E99D8DA">
      <w:pPr>
        <w:spacing w:line="360" w:lineRule="auto"/>
        <w:ind w:firstLine="480" w:firstLineChars="200"/>
        <w:rPr>
          <w:rFonts w:ascii="宋体" w:hAnsi="宋体" w:cs="宋体"/>
          <w:color w:val="000000" w:themeColor="text1"/>
          <w:kern w:val="0"/>
          <w:sz w:val="24"/>
          <w:szCs w:val="22"/>
          <w:lang w:val="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4、</w:t>
      </w:r>
      <w:r>
        <w:rPr>
          <w:rFonts w:hint="eastAsia" w:ascii="宋体" w:hAnsi="宋体" w:cs="宋体"/>
          <w:color w:val="000000" w:themeColor="text1"/>
          <w:kern w:val="0"/>
          <w:sz w:val="24"/>
          <w:szCs w:val="22"/>
          <w:lang w:val="zh-CN"/>
          <w14:textFill>
            <w14:solidFill>
              <w14:schemeClr w14:val="tx1"/>
            </w14:solidFill>
          </w14:textFill>
        </w:rPr>
        <w:t>验收：由最终用户组织验收。</w:t>
      </w:r>
    </w:p>
    <w:p w14:paraId="17423EE4">
      <w:pPr>
        <w:spacing w:line="360" w:lineRule="auto"/>
        <w:rPr>
          <w:b/>
          <w:bCs/>
          <w:sz w:val="32"/>
          <w:szCs w:val="40"/>
        </w:rPr>
      </w:pP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lang w:val="en-US" w:eastAsia="zh-CN"/>
          <w14:textFill>
            <w14:solidFill>
              <w14:schemeClr w14:val="tx1"/>
            </w14:solidFill>
          </w14:textFill>
        </w:rPr>
        <w:t>二</w:t>
      </w:r>
      <w:r>
        <w:rPr>
          <w:rFonts w:hint="eastAsia" w:ascii="宋体" w:hAnsi="宋体" w:cs="宋体"/>
          <w:color w:val="000000" w:themeColor="text1"/>
          <w:kern w:val="0"/>
          <w:sz w:val="24"/>
          <w:szCs w:val="22"/>
          <w:lang w:eastAsia="zh-CN"/>
          <w14:textFill>
            <w14:solidFill>
              <w14:schemeClr w14:val="tx1"/>
            </w14:solidFill>
          </w14:textFill>
        </w:rPr>
        <w:t>）、</w:t>
      </w:r>
      <w:r>
        <w:rPr>
          <w:rFonts w:hint="eastAsia" w:ascii="宋体" w:hAnsi="宋体" w:cs="宋体"/>
          <w:color w:val="000000" w:themeColor="text1"/>
          <w:kern w:val="0"/>
          <w:sz w:val="24"/>
          <w:szCs w:val="22"/>
          <w14:textFill>
            <w14:solidFill>
              <w14:schemeClr w14:val="tx1"/>
            </w14:solidFill>
          </w14:textFill>
        </w:rPr>
        <w:t>货物需求及技术规格参数</w:t>
      </w:r>
    </w:p>
    <w:bookmarkEnd w:id="52"/>
    <w:bookmarkEnd w:id="53"/>
    <w:p w14:paraId="0994BF63">
      <w:pPr>
        <w:spacing w:line="360" w:lineRule="auto"/>
        <w:ind w:firstLine="420" w:firstLineChars="200"/>
        <w:rPr>
          <w:rFonts w:ascii="宋体" w:hAnsi="宋体" w:cs="宋体"/>
        </w:rPr>
      </w:pPr>
      <w:r>
        <w:rPr>
          <w:rFonts w:hint="eastAsia" w:ascii="宋体" w:hAnsi="宋体" w:cs="宋体"/>
        </w:rPr>
        <w:t>技术参数：</w:t>
      </w:r>
    </w:p>
    <w:p w14:paraId="066494E3">
      <w:pPr>
        <w:ind w:left="352"/>
        <w:rPr>
          <w:b/>
          <w:bCs/>
        </w:rPr>
      </w:pPr>
      <w:r>
        <w:rPr>
          <w:rFonts w:hint="eastAsia"/>
          <w:b/>
          <w:bCs/>
        </w:rPr>
        <w:t>太康县入河排污口规范化建设项目采购清单</w:t>
      </w:r>
    </w:p>
    <w:tbl>
      <w:tblPr>
        <w:tblStyle w:val="28"/>
        <w:tblW w:w="496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4548"/>
        <w:gridCol w:w="1098"/>
        <w:gridCol w:w="1226"/>
        <w:gridCol w:w="1485"/>
      </w:tblGrid>
      <w:tr w14:paraId="4F09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FE32E41">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2461" w:type="pct"/>
            <w:tcBorders>
              <w:tl2br w:val="nil"/>
              <w:tr2bl w:val="nil"/>
            </w:tcBorders>
            <w:vAlign w:val="center"/>
          </w:tcPr>
          <w:p w14:paraId="2EC303B1">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名称</w:t>
            </w:r>
          </w:p>
        </w:tc>
        <w:tc>
          <w:tcPr>
            <w:tcW w:w="594" w:type="pct"/>
            <w:tcBorders>
              <w:tl2br w:val="nil"/>
              <w:tr2bl w:val="nil"/>
            </w:tcBorders>
            <w:noWrap/>
            <w:vAlign w:val="center"/>
          </w:tcPr>
          <w:p w14:paraId="337FC8F6">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663" w:type="pct"/>
            <w:tcBorders>
              <w:tl2br w:val="nil"/>
              <w:tr2bl w:val="nil"/>
            </w:tcBorders>
            <w:noWrap/>
            <w:vAlign w:val="center"/>
          </w:tcPr>
          <w:p w14:paraId="2674BE9B">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804" w:type="pct"/>
            <w:tcBorders>
              <w:tl2br w:val="nil"/>
              <w:tr2bl w:val="nil"/>
            </w:tcBorders>
            <w:noWrap/>
            <w:vAlign w:val="center"/>
          </w:tcPr>
          <w:p w14:paraId="314C0314">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sz w:val="22"/>
                <w:szCs w:val="22"/>
              </w:rPr>
              <w:t>备注</w:t>
            </w:r>
          </w:p>
        </w:tc>
      </w:tr>
      <w:tr w14:paraId="3ECEE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25F54C99">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2461" w:type="pct"/>
            <w:tcBorders>
              <w:tl2br w:val="nil"/>
              <w:tr2bl w:val="nil"/>
            </w:tcBorders>
            <w:vAlign w:val="center"/>
          </w:tcPr>
          <w:p w14:paraId="6CAA92FF">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标志牌</w:t>
            </w:r>
          </w:p>
        </w:tc>
        <w:tc>
          <w:tcPr>
            <w:tcW w:w="594" w:type="pct"/>
            <w:tcBorders>
              <w:tl2br w:val="nil"/>
              <w:tr2bl w:val="nil"/>
            </w:tcBorders>
            <w:noWrap/>
            <w:vAlign w:val="center"/>
          </w:tcPr>
          <w:p w14:paraId="32F2391A">
            <w:pPr>
              <w:widowControl/>
              <w:adjustRightInd w:val="0"/>
              <w:snapToGrid w:val="0"/>
              <w:jc w:val="center"/>
              <w:rPr>
                <w:rFonts w:ascii="宋体" w:hAnsi="宋体" w:cs="宋体"/>
                <w:b/>
                <w:bCs/>
                <w:color w:val="000000"/>
                <w:sz w:val="22"/>
                <w:szCs w:val="22"/>
              </w:rPr>
            </w:pPr>
          </w:p>
        </w:tc>
        <w:tc>
          <w:tcPr>
            <w:tcW w:w="663" w:type="pct"/>
            <w:tcBorders>
              <w:tl2br w:val="nil"/>
              <w:tr2bl w:val="nil"/>
            </w:tcBorders>
            <w:noWrap/>
            <w:vAlign w:val="center"/>
          </w:tcPr>
          <w:p w14:paraId="757F2411">
            <w:pPr>
              <w:widowControl/>
              <w:adjustRightInd w:val="0"/>
              <w:snapToGrid w:val="0"/>
              <w:jc w:val="center"/>
              <w:rPr>
                <w:rFonts w:ascii="宋体" w:hAnsi="宋体" w:cs="宋体"/>
                <w:b/>
                <w:bCs/>
                <w:color w:val="000000"/>
                <w:sz w:val="22"/>
                <w:szCs w:val="22"/>
              </w:rPr>
            </w:pPr>
          </w:p>
        </w:tc>
        <w:tc>
          <w:tcPr>
            <w:tcW w:w="804" w:type="pct"/>
            <w:tcBorders>
              <w:tl2br w:val="nil"/>
              <w:tr2bl w:val="nil"/>
            </w:tcBorders>
            <w:noWrap/>
            <w:vAlign w:val="center"/>
          </w:tcPr>
          <w:p w14:paraId="664F41D5">
            <w:pPr>
              <w:widowControl/>
              <w:adjustRightInd w:val="0"/>
              <w:snapToGrid w:val="0"/>
              <w:jc w:val="center"/>
              <w:rPr>
                <w:rFonts w:ascii="宋体" w:hAnsi="宋体" w:cs="宋体"/>
                <w:b/>
                <w:bCs/>
                <w:color w:val="000000"/>
                <w:sz w:val="22"/>
                <w:szCs w:val="22"/>
              </w:rPr>
            </w:pPr>
          </w:p>
        </w:tc>
      </w:tr>
      <w:tr w14:paraId="6B76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63F48E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2461" w:type="pct"/>
            <w:tcBorders>
              <w:tl2br w:val="nil"/>
              <w:tr2bl w:val="nil"/>
            </w:tcBorders>
            <w:vAlign w:val="center"/>
          </w:tcPr>
          <w:p w14:paraId="4644ADC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标志牌基础</w:t>
            </w:r>
          </w:p>
        </w:tc>
        <w:tc>
          <w:tcPr>
            <w:tcW w:w="594" w:type="pct"/>
            <w:tcBorders>
              <w:tl2br w:val="nil"/>
              <w:tr2bl w:val="nil"/>
            </w:tcBorders>
            <w:noWrap/>
            <w:vAlign w:val="center"/>
          </w:tcPr>
          <w:p w14:paraId="70750951">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663" w:type="pct"/>
            <w:tcBorders>
              <w:tl2br w:val="nil"/>
              <w:tr2bl w:val="nil"/>
            </w:tcBorders>
            <w:noWrap/>
            <w:vAlign w:val="center"/>
          </w:tcPr>
          <w:p w14:paraId="12AE72D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804" w:type="pct"/>
            <w:tcBorders>
              <w:tl2br w:val="nil"/>
              <w:tr2bl w:val="nil"/>
            </w:tcBorders>
            <w:noWrap/>
            <w:vAlign w:val="center"/>
          </w:tcPr>
          <w:p w14:paraId="5E7A7AF9">
            <w:pPr>
              <w:widowControl/>
              <w:adjustRightInd w:val="0"/>
              <w:snapToGrid w:val="0"/>
              <w:jc w:val="center"/>
              <w:textAlignment w:val="center"/>
              <w:rPr>
                <w:rFonts w:ascii="宋体" w:hAnsi="宋体" w:cs="宋体"/>
                <w:color w:val="000000"/>
                <w:sz w:val="22"/>
                <w:szCs w:val="22"/>
              </w:rPr>
            </w:pPr>
          </w:p>
        </w:tc>
      </w:tr>
      <w:tr w14:paraId="4F2B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19F955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2461" w:type="pct"/>
            <w:tcBorders>
              <w:tl2br w:val="nil"/>
              <w:tr2bl w:val="nil"/>
            </w:tcBorders>
            <w:vAlign w:val="center"/>
          </w:tcPr>
          <w:p w14:paraId="76990DD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标志牌（钢制及附带二维码信息）</w:t>
            </w:r>
          </w:p>
        </w:tc>
        <w:tc>
          <w:tcPr>
            <w:tcW w:w="594" w:type="pct"/>
            <w:tcBorders>
              <w:tl2br w:val="nil"/>
              <w:tr2bl w:val="nil"/>
            </w:tcBorders>
            <w:noWrap/>
            <w:vAlign w:val="center"/>
          </w:tcPr>
          <w:p w14:paraId="0D291E6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块</w:t>
            </w:r>
          </w:p>
        </w:tc>
        <w:tc>
          <w:tcPr>
            <w:tcW w:w="663" w:type="pct"/>
            <w:tcBorders>
              <w:tl2br w:val="nil"/>
              <w:tr2bl w:val="nil"/>
            </w:tcBorders>
            <w:noWrap/>
            <w:vAlign w:val="center"/>
          </w:tcPr>
          <w:p w14:paraId="2DC7D33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804" w:type="pct"/>
            <w:tcBorders>
              <w:tl2br w:val="nil"/>
              <w:tr2bl w:val="nil"/>
            </w:tcBorders>
            <w:noWrap/>
            <w:vAlign w:val="center"/>
          </w:tcPr>
          <w:p w14:paraId="089E7D4A">
            <w:pPr>
              <w:widowControl/>
              <w:adjustRightInd w:val="0"/>
              <w:snapToGrid w:val="0"/>
              <w:jc w:val="center"/>
              <w:textAlignment w:val="center"/>
              <w:rPr>
                <w:rFonts w:ascii="宋体" w:hAnsi="宋体" w:cs="宋体"/>
                <w:color w:val="000000"/>
                <w:sz w:val="22"/>
                <w:szCs w:val="22"/>
              </w:rPr>
            </w:pPr>
          </w:p>
        </w:tc>
      </w:tr>
      <w:tr w14:paraId="7077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5A1A24D1">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2</w:t>
            </w:r>
          </w:p>
        </w:tc>
        <w:tc>
          <w:tcPr>
            <w:tcW w:w="2461" w:type="pct"/>
            <w:tcBorders>
              <w:tl2br w:val="nil"/>
              <w:tr2bl w:val="nil"/>
            </w:tcBorders>
            <w:vAlign w:val="center"/>
          </w:tcPr>
          <w:p w14:paraId="0680A49D">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排污口流量实时监测</w:t>
            </w:r>
          </w:p>
        </w:tc>
        <w:tc>
          <w:tcPr>
            <w:tcW w:w="594" w:type="pct"/>
            <w:tcBorders>
              <w:tl2br w:val="nil"/>
              <w:tr2bl w:val="nil"/>
            </w:tcBorders>
            <w:noWrap/>
            <w:vAlign w:val="center"/>
          </w:tcPr>
          <w:p w14:paraId="45AF50B0">
            <w:pPr>
              <w:widowControl/>
              <w:adjustRightInd w:val="0"/>
              <w:snapToGrid w:val="0"/>
              <w:jc w:val="center"/>
              <w:rPr>
                <w:rFonts w:ascii="宋体" w:hAnsi="宋体" w:cs="宋体"/>
                <w:b/>
                <w:bCs/>
                <w:color w:val="000000"/>
                <w:sz w:val="22"/>
                <w:szCs w:val="22"/>
              </w:rPr>
            </w:pPr>
          </w:p>
        </w:tc>
        <w:tc>
          <w:tcPr>
            <w:tcW w:w="663" w:type="pct"/>
            <w:tcBorders>
              <w:tl2br w:val="nil"/>
              <w:tr2bl w:val="nil"/>
            </w:tcBorders>
            <w:noWrap/>
            <w:vAlign w:val="center"/>
          </w:tcPr>
          <w:p w14:paraId="20E5DB70">
            <w:pPr>
              <w:widowControl/>
              <w:adjustRightInd w:val="0"/>
              <w:snapToGrid w:val="0"/>
              <w:jc w:val="center"/>
              <w:rPr>
                <w:rFonts w:ascii="宋体" w:hAnsi="宋体" w:cs="宋体"/>
                <w:b/>
                <w:bCs/>
                <w:color w:val="000000"/>
                <w:sz w:val="22"/>
                <w:szCs w:val="22"/>
              </w:rPr>
            </w:pPr>
          </w:p>
        </w:tc>
        <w:tc>
          <w:tcPr>
            <w:tcW w:w="804" w:type="pct"/>
            <w:tcBorders>
              <w:tl2br w:val="nil"/>
              <w:tr2bl w:val="nil"/>
            </w:tcBorders>
            <w:noWrap/>
            <w:vAlign w:val="center"/>
          </w:tcPr>
          <w:p w14:paraId="3D9021A5">
            <w:pPr>
              <w:widowControl/>
              <w:adjustRightInd w:val="0"/>
              <w:snapToGrid w:val="0"/>
              <w:jc w:val="center"/>
              <w:rPr>
                <w:rFonts w:ascii="宋体" w:hAnsi="宋体" w:cs="宋体"/>
                <w:b/>
                <w:bCs/>
                <w:color w:val="000000"/>
                <w:sz w:val="22"/>
                <w:szCs w:val="22"/>
              </w:rPr>
            </w:pPr>
          </w:p>
        </w:tc>
      </w:tr>
      <w:tr w14:paraId="2001D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475" w:type="pct"/>
            <w:tcBorders>
              <w:tl2br w:val="nil"/>
              <w:tr2bl w:val="nil"/>
            </w:tcBorders>
            <w:noWrap/>
            <w:vAlign w:val="center"/>
          </w:tcPr>
          <w:p w14:paraId="6C3E041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2461" w:type="pct"/>
            <w:tcBorders>
              <w:tl2br w:val="nil"/>
              <w:tr2bl w:val="nil"/>
            </w:tcBorders>
            <w:vAlign w:val="center"/>
          </w:tcPr>
          <w:p w14:paraId="79A899B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流量在线监测系统（包含流量显示仪、电磁流速计、超声波液位计等）</w:t>
            </w:r>
          </w:p>
        </w:tc>
        <w:tc>
          <w:tcPr>
            <w:tcW w:w="594" w:type="pct"/>
            <w:tcBorders>
              <w:tl2br w:val="nil"/>
              <w:tr2bl w:val="nil"/>
            </w:tcBorders>
            <w:noWrap/>
            <w:vAlign w:val="center"/>
          </w:tcPr>
          <w:p w14:paraId="0AEA377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663" w:type="pct"/>
            <w:tcBorders>
              <w:tl2br w:val="nil"/>
              <w:tr2bl w:val="nil"/>
            </w:tcBorders>
            <w:noWrap/>
            <w:vAlign w:val="center"/>
          </w:tcPr>
          <w:p w14:paraId="04C5927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1406C596">
            <w:pPr>
              <w:widowControl/>
              <w:adjustRightInd w:val="0"/>
              <w:snapToGrid w:val="0"/>
              <w:jc w:val="center"/>
              <w:textAlignment w:val="center"/>
              <w:rPr>
                <w:rFonts w:ascii="宋体" w:hAnsi="宋体" w:cs="宋体"/>
                <w:color w:val="000000"/>
                <w:sz w:val="22"/>
                <w:szCs w:val="22"/>
              </w:rPr>
            </w:pPr>
          </w:p>
        </w:tc>
      </w:tr>
      <w:tr w14:paraId="75F0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3DBE74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2461" w:type="pct"/>
            <w:tcBorders>
              <w:tl2br w:val="nil"/>
              <w:tr2bl w:val="nil"/>
            </w:tcBorders>
            <w:vAlign w:val="center"/>
          </w:tcPr>
          <w:p w14:paraId="66A61A6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数据传输卡</w:t>
            </w:r>
          </w:p>
        </w:tc>
        <w:tc>
          <w:tcPr>
            <w:tcW w:w="594" w:type="pct"/>
            <w:tcBorders>
              <w:tl2br w:val="nil"/>
              <w:tr2bl w:val="nil"/>
            </w:tcBorders>
            <w:noWrap/>
            <w:vAlign w:val="center"/>
          </w:tcPr>
          <w:p w14:paraId="7BABCF1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663" w:type="pct"/>
            <w:tcBorders>
              <w:tl2br w:val="nil"/>
              <w:tr2bl w:val="nil"/>
            </w:tcBorders>
            <w:noWrap/>
            <w:vAlign w:val="center"/>
          </w:tcPr>
          <w:p w14:paraId="5ADCE32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467C97F0">
            <w:pPr>
              <w:widowControl/>
              <w:adjustRightInd w:val="0"/>
              <w:snapToGrid w:val="0"/>
              <w:jc w:val="center"/>
              <w:textAlignment w:val="center"/>
              <w:rPr>
                <w:rFonts w:ascii="宋体" w:hAnsi="宋体" w:cs="宋体"/>
                <w:color w:val="000000"/>
                <w:sz w:val="22"/>
                <w:szCs w:val="22"/>
              </w:rPr>
            </w:pPr>
          </w:p>
        </w:tc>
      </w:tr>
      <w:tr w14:paraId="352F7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0C1D8F7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2461" w:type="pct"/>
            <w:tcBorders>
              <w:tl2br w:val="nil"/>
              <w:tr2bl w:val="nil"/>
            </w:tcBorders>
            <w:vAlign w:val="center"/>
          </w:tcPr>
          <w:p w14:paraId="5B5D411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安装辅材</w:t>
            </w:r>
          </w:p>
        </w:tc>
        <w:tc>
          <w:tcPr>
            <w:tcW w:w="594" w:type="pct"/>
            <w:tcBorders>
              <w:tl2br w:val="nil"/>
              <w:tr2bl w:val="nil"/>
            </w:tcBorders>
            <w:noWrap/>
            <w:vAlign w:val="center"/>
          </w:tcPr>
          <w:p w14:paraId="7EB6092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663" w:type="pct"/>
            <w:tcBorders>
              <w:tl2br w:val="nil"/>
              <w:tr2bl w:val="nil"/>
            </w:tcBorders>
            <w:noWrap/>
            <w:vAlign w:val="center"/>
          </w:tcPr>
          <w:p w14:paraId="646F287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4009B016">
            <w:pPr>
              <w:widowControl/>
              <w:adjustRightInd w:val="0"/>
              <w:snapToGrid w:val="0"/>
              <w:jc w:val="center"/>
              <w:textAlignment w:val="center"/>
              <w:rPr>
                <w:rFonts w:ascii="宋体" w:hAnsi="宋体" w:cs="宋体"/>
                <w:color w:val="000000"/>
                <w:sz w:val="22"/>
                <w:szCs w:val="22"/>
              </w:rPr>
            </w:pPr>
          </w:p>
        </w:tc>
      </w:tr>
      <w:tr w14:paraId="115F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E5F246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2.4</w:t>
            </w:r>
          </w:p>
        </w:tc>
        <w:tc>
          <w:tcPr>
            <w:tcW w:w="2461" w:type="pct"/>
            <w:tcBorders>
              <w:tl2br w:val="nil"/>
              <w:tr2bl w:val="nil"/>
            </w:tcBorders>
            <w:vAlign w:val="center"/>
          </w:tcPr>
          <w:p w14:paraId="24237B5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设备基础、监测井（渠）等</w:t>
            </w:r>
          </w:p>
        </w:tc>
        <w:tc>
          <w:tcPr>
            <w:tcW w:w="594" w:type="pct"/>
            <w:tcBorders>
              <w:tl2br w:val="nil"/>
              <w:tr2bl w:val="nil"/>
            </w:tcBorders>
            <w:noWrap/>
            <w:vAlign w:val="center"/>
          </w:tcPr>
          <w:p w14:paraId="36D577B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处</w:t>
            </w:r>
          </w:p>
        </w:tc>
        <w:tc>
          <w:tcPr>
            <w:tcW w:w="663" w:type="pct"/>
            <w:tcBorders>
              <w:tl2br w:val="nil"/>
              <w:tr2bl w:val="nil"/>
            </w:tcBorders>
            <w:noWrap/>
            <w:vAlign w:val="center"/>
          </w:tcPr>
          <w:p w14:paraId="37F579A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64C889BC">
            <w:pPr>
              <w:widowControl/>
              <w:adjustRightInd w:val="0"/>
              <w:snapToGrid w:val="0"/>
              <w:jc w:val="center"/>
              <w:textAlignment w:val="center"/>
              <w:rPr>
                <w:rFonts w:ascii="宋体" w:hAnsi="宋体" w:cs="宋体"/>
                <w:color w:val="000000"/>
                <w:sz w:val="22"/>
                <w:szCs w:val="22"/>
              </w:rPr>
            </w:pPr>
          </w:p>
        </w:tc>
      </w:tr>
      <w:tr w14:paraId="370F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AD9EF1A">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3</w:t>
            </w:r>
          </w:p>
        </w:tc>
        <w:tc>
          <w:tcPr>
            <w:tcW w:w="2461" w:type="pct"/>
            <w:tcBorders>
              <w:tl2br w:val="nil"/>
              <w:tr2bl w:val="nil"/>
            </w:tcBorders>
            <w:vAlign w:val="center"/>
          </w:tcPr>
          <w:p w14:paraId="692471D6">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视频监控</w:t>
            </w:r>
          </w:p>
        </w:tc>
        <w:tc>
          <w:tcPr>
            <w:tcW w:w="594" w:type="pct"/>
            <w:tcBorders>
              <w:tl2br w:val="nil"/>
              <w:tr2bl w:val="nil"/>
            </w:tcBorders>
            <w:noWrap/>
            <w:vAlign w:val="center"/>
          </w:tcPr>
          <w:p w14:paraId="67C01620">
            <w:pPr>
              <w:widowControl/>
              <w:adjustRightInd w:val="0"/>
              <w:snapToGrid w:val="0"/>
              <w:jc w:val="center"/>
              <w:rPr>
                <w:rFonts w:ascii="宋体" w:hAnsi="宋体" w:cs="宋体"/>
                <w:b/>
                <w:bCs/>
                <w:color w:val="000000"/>
                <w:sz w:val="22"/>
                <w:szCs w:val="22"/>
              </w:rPr>
            </w:pPr>
          </w:p>
        </w:tc>
        <w:tc>
          <w:tcPr>
            <w:tcW w:w="663" w:type="pct"/>
            <w:tcBorders>
              <w:tl2br w:val="nil"/>
              <w:tr2bl w:val="nil"/>
            </w:tcBorders>
            <w:noWrap/>
            <w:vAlign w:val="center"/>
          </w:tcPr>
          <w:p w14:paraId="0A77DC12">
            <w:pPr>
              <w:widowControl/>
              <w:adjustRightInd w:val="0"/>
              <w:snapToGrid w:val="0"/>
              <w:jc w:val="center"/>
              <w:rPr>
                <w:rFonts w:ascii="宋体" w:hAnsi="宋体" w:cs="宋体"/>
                <w:b/>
                <w:bCs/>
                <w:color w:val="000000"/>
                <w:sz w:val="22"/>
                <w:szCs w:val="22"/>
              </w:rPr>
            </w:pPr>
          </w:p>
        </w:tc>
        <w:tc>
          <w:tcPr>
            <w:tcW w:w="804" w:type="pct"/>
            <w:tcBorders>
              <w:tl2br w:val="nil"/>
              <w:tr2bl w:val="nil"/>
            </w:tcBorders>
            <w:noWrap/>
            <w:vAlign w:val="center"/>
          </w:tcPr>
          <w:p w14:paraId="25A9C5CE">
            <w:pPr>
              <w:widowControl/>
              <w:adjustRightInd w:val="0"/>
              <w:snapToGrid w:val="0"/>
              <w:jc w:val="center"/>
              <w:rPr>
                <w:rFonts w:ascii="宋体" w:hAnsi="宋体" w:cs="宋体"/>
                <w:b/>
                <w:bCs/>
                <w:color w:val="000000"/>
                <w:sz w:val="22"/>
                <w:szCs w:val="22"/>
              </w:rPr>
            </w:pPr>
          </w:p>
        </w:tc>
      </w:tr>
      <w:tr w14:paraId="6369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475" w:type="pct"/>
            <w:tcBorders>
              <w:tl2br w:val="nil"/>
              <w:tr2bl w:val="nil"/>
            </w:tcBorders>
            <w:noWrap/>
            <w:vAlign w:val="center"/>
          </w:tcPr>
          <w:p w14:paraId="60643BA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2461" w:type="pct"/>
            <w:tcBorders>
              <w:tl2br w:val="nil"/>
              <w:tr2bl w:val="nil"/>
            </w:tcBorders>
            <w:vAlign w:val="center"/>
          </w:tcPr>
          <w:p w14:paraId="723401D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智能高清球机视频监控（主要包含智能高清球机视频监控、球机壁装支架、半球吊装支架、圆形转接盘）等）</w:t>
            </w:r>
          </w:p>
        </w:tc>
        <w:tc>
          <w:tcPr>
            <w:tcW w:w="594" w:type="pct"/>
            <w:tcBorders>
              <w:tl2br w:val="nil"/>
              <w:tr2bl w:val="nil"/>
            </w:tcBorders>
            <w:noWrap/>
            <w:vAlign w:val="center"/>
          </w:tcPr>
          <w:p w14:paraId="4468333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6F2B617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00918625">
            <w:pPr>
              <w:widowControl/>
              <w:adjustRightInd w:val="0"/>
              <w:snapToGrid w:val="0"/>
              <w:jc w:val="center"/>
              <w:textAlignment w:val="center"/>
              <w:rPr>
                <w:rFonts w:ascii="宋体" w:hAnsi="宋体" w:cs="宋体"/>
                <w:color w:val="000000"/>
                <w:sz w:val="22"/>
                <w:szCs w:val="22"/>
              </w:rPr>
            </w:pPr>
          </w:p>
        </w:tc>
      </w:tr>
      <w:tr w14:paraId="66C38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B7F6219">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2461" w:type="pct"/>
            <w:tcBorders>
              <w:tl2br w:val="nil"/>
              <w:tr2bl w:val="nil"/>
            </w:tcBorders>
            <w:vAlign w:val="center"/>
          </w:tcPr>
          <w:p w14:paraId="6527942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前端NVR</w:t>
            </w:r>
          </w:p>
        </w:tc>
        <w:tc>
          <w:tcPr>
            <w:tcW w:w="594" w:type="pct"/>
            <w:tcBorders>
              <w:tl2br w:val="nil"/>
              <w:tr2bl w:val="nil"/>
            </w:tcBorders>
            <w:noWrap/>
            <w:vAlign w:val="center"/>
          </w:tcPr>
          <w:p w14:paraId="042C1E8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34A5DDB1">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304A7A57">
            <w:pPr>
              <w:widowControl/>
              <w:adjustRightInd w:val="0"/>
              <w:snapToGrid w:val="0"/>
              <w:jc w:val="center"/>
              <w:textAlignment w:val="center"/>
              <w:rPr>
                <w:rFonts w:ascii="宋体" w:hAnsi="宋体" w:cs="宋体"/>
                <w:color w:val="000000"/>
                <w:sz w:val="22"/>
                <w:szCs w:val="22"/>
              </w:rPr>
            </w:pPr>
          </w:p>
        </w:tc>
      </w:tr>
      <w:tr w14:paraId="4DADC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386EA1D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2461" w:type="pct"/>
            <w:tcBorders>
              <w:tl2br w:val="nil"/>
              <w:tr2bl w:val="nil"/>
            </w:tcBorders>
            <w:vAlign w:val="center"/>
          </w:tcPr>
          <w:p w14:paraId="6B1C40C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视频监控图像AI资源管理</w:t>
            </w:r>
          </w:p>
        </w:tc>
        <w:tc>
          <w:tcPr>
            <w:tcW w:w="594" w:type="pct"/>
            <w:tcBorders>
              <w:tl2br w:val="nil"/>
              <w:tr2bl w:val="nil"/>
            </w:tcBorders>
            <w:noWrap/>
            <w:vAlign w:val="center"/>
          </w:tcPr>
          <w:p w14:paraId="7908D1F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27B79349">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242446AC">
            <w:pPr>
              <w:widowControl/>
              <w:adjustRightInd w:val="0"/>
              <w:snapToGrid w:val="0"/>
              <w:jc w:val="center"/>
              <w:textAlignment w:val="center"/>
              <w:rPr>
                <w:rFonts w:ascii="宋体" w:hAnsi="宋体" w:cs="宋体"/>
                <w:color w:val="000000"/>
                <w:sz w:val="22"/>
                <w:szCs w:val="22"/>
              </w:rPr>
            </w:pPr>
          </w:p>
        </w:tc>
      </w:tr>
      <w:tr w14:paraId="7D34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475" w:type="pct"/>
            <w:tcBorders>
              <w:tl2br w:val="nil"/>
              <w:tr2bl w:val="nil"/>
            </w:tcBorders>
            <w:noWrap/>
            <w:vAlign w:val="center"/>
          </w:tcPr>
          <w:p w14:paraId="0CC8FE6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2461" w:type="pct"/>
            <w:tcBorders>
              <w:tl2br w:val="nil"/>
              <w:tr2bl w:val="nil"/>
            </w:tcBorders>
            <w:vAlign w:val="center"/>
          </w:tcPr>
          <w:p w14:paraId="1AC8BAC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太阳能供电系统（主要包含太阳能电源、电源适配器）</w:t>
            </w:r>
          </w:p>
        </w:tc>
        <w:tc>
          <w:tcPr>
            <w:tcW w:w="594" w:type="pct"/>
            <w:tcBorders>
              <w:tl2br w:val="nil"/>
              <w:tr2bl w:val="nil"/>
            </w:tcBorders>
            <w:noWrap/>
            <w:vAlign w:val="center"/>
          </w:tcPr>
          <w:p w14:paraId="640DB75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3BA6F1F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62808779">
            <w:pPr>
              <w:widowControl/>
              <w:adjustRightInd w:val="0"/>
              <w:snapToGrid w:val="0"/>
              <w:jc w:val="center"/>
              <w:textAlignment w:val="center"/>
              <w:rPr>
                <w:rFonts w:ascii="宋体" w:hAnsi="宋体" w:cs="宋体"/>
                <w:color w:val="000000"/>
                <w:sz w:val="22"/>
                <w:szCs w:val="22"/>
              </w:rPr>
            </w:pPr>
          </w:p>
        </w:tc>
      </w:tr>
      <w:tr w14:paraId="1774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22D010A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2461" w:type="pct"/>
            <w:tcBorders>
              <w:tl2br w:val="nil"/>
              <w:tr2bl w:val="nil"/>
            </w:tcBorders>
            <w:vAlign w:val="center"/>
          </w:tcPr>
          <w:p w14:paraId="10661D1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4TB 硬盘</w:t>
            </w:r>
          </w:p>
        </w:tc>
        <w:tc>
          <w:tcPr>
            <w:tcW w:w="594" w:type="pct"/>
            <w:tcBorders>
              <w:tl2br w:val="nil"/>
              <w:tr2bl w:val="nil"/>
            </w:tcBorders>
            <w:noWrap/>
            <w:vAlign w:val="center"/>
          </w:tcPr>
          <w:p w14:paraId="4B10565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3964EC4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59AE8174">
            <w:pPr>
              <w:widowControl/>
              <w:adjustRightInd w:val="0"/>
              <w:snapToGrid w:val="0"/>
              <w:jc w:val="center"/>
              <w:textAlignment w:val="center"/>
              <w:rPr>
                <w:rFonts w:ascii="宋体" w:hAnsi="宋体" w:cs="宋体"/>
                <w:color w:val="000000"/>
                <w:sz w:val="22"/>
                <w:szCs w:val="22"/>
              </w:rPr>
            </w:pPr>
          </w:p>
        </w:tc>
      </w:tr>
      <w:tr w14:paraId="1A73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3F34205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2461" w:type="pct"/>
            <w:tcBorders>
              <w:tl2br w:val="nil"/>
              <w:tr2bl w:val="nil"/>
            </w:tcBorders>
            <w:vAlign w:val="center"/>
          </w:tcPr>
          <w:p w14:paraId="40BC7C3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非管理型交换机</w:t>
            </w:r>
          </w:p>
        </w:tc>
        <w:tc>
          <w:tcPr>
            <w:tcW w:w="594" w:type="pct"/>
            <w:tcBorders>
              <w:tl2br w:val="nil"/>
              <w:tr2bl w:val="nil"/>
            </w:tcBorders>
            <w:noWrap/>
            <w:vAlign w:val="center"/>
          </w:tcPr>
          <w:p w14:paraId="510D3C9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2914DD6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47876012">
            <w:pPr>
              <w:widowControl/>
              <w:adjustRightInd w:val="0"/>
              <w:snapToGrid w:val="0"/>
              <w:jc w:val="center"/>
              <w:textAlignment w:val="center"/>
              <w:rPr>
                <w:rFonts w:ascii="宋体" w:hAnsi="宋体" w:cs="宋体"/>
                <w:color w:val="000000"/>
                <w:sz w:val="22"/>
                <w:szCs w:val="22"/>
              </w:rPr>
            </w:pPr>
          </w:p>
        </w:tc>
      </w:tr>
      <w:tr w14:paraId="5A2A2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260CC1D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2461" w:type="pct"/>
            <w:tcBorders>
              <w:tl2br w:val="nil"/>
              <w:tr2bl w:val="nil"/>
            </w:tcBorders>
            <w:vAlign w:val="center"/>
          </w:tcPr>
          <w:p w14:paraId="39FB292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4G 流量卡</w:t>
            </w:r>
          </w:p>
        </w:tc>
        <w:tc>
          <w:tcPr>
            <w:tcW w:w="594" w:type="pct"/>
            <w:tcBorders>
              <w:tl2br w:val="nil"/>
              <w:tr2bl w:val="nil"/>
            </w:tcBorders>
            <w:noWrap/>
            <w:vAlign w:val="center"/>
          </w:tcPr>
          <w:p w14:paraId="06360C5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663" w:type="pct"/>
            <w:tcBorders>
              <w:tl2br w:val="nil"/>
              <w:tr2bl w:val="nil"/>
            </w:tcBorders>
            <w:noWrap/>
            <w:vAlign w:val="center"/>
          </w:tcPr>
          <w:p w14:paraId="15B8236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1C4E52CC">
            <w:pPr>
              <w:widowControl/>
              <w:adjustRightInd w:val="0"/>
              <w:snapToGrid w:val="0"/>
              <w:jc w:val="center"/>
              <w:textAlignment w:val="center"/>
              <w:rPr>
                <w:rFonts w:ascii="宋体" w:hAnsi="宋体" w:cs="宋体"/>
                <w:color w:val="000000"/>
                <w:sz w:val="22"/>
                <w:szCs w:val="22"/>
              </w:rPr>
            </w:pPr>
          </w:p>
        </w:tc>
      </w:tr>
      <w:tr w14:paraId="3528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C95914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2461" w:type="pct"/>
            <w:tcBorders>
              <w:tl2br w:val="nil"/>
              <w:tr2bl w:val="nil"/>
            </w:tcBorders>
            <w:vAlign w:val="center"/>
          </w:tcPr>
          <w:p w14:paraId="3E1E97D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4G 路由器</w:t>
            </w:r>
          </w:p>
        </w:tc>
        <w:tc>
          <w:tcPr>
            <w:tcW w:w="594" w:type="pct"/>
            <w:tcBorders>
              <w:tl2br w:val="nil"/>
              <w:tr2bl w:val="nil"/>
            </w:tcBorders>
            <w:noWrap/>
            <w:vAlign w:val="center"/>
          </w:tcPr>
          <w:p w14:paraId="40C8596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023A200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4044910C">
            <w:pPr>
              <w:widowControl/>
              <w:adjustRightInd w:val="0"/>
              <w:snapToGrid w:val="0"/>
              <w:jc w:val="center"/>
              <w:textAlignment w:val="center"/>
              <w:rPr>
                <w:rFonts w:ascii="宋体" w:hAnsi="宋体" w:cs="宋体"/>
                <w:color w:val="000000"/>
                <w:sz w:val="22"/>
                <w:szCs w:val="22"/>
              </w:rPr>
            </w:pPr>
          </w:p>
        </w:tc>
      </w:tr>
      <w:tr w14:paraId="79A4B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438AC8E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2461" w:type="pct"/>
            <w:tcBorders>
              <w:tl2br w:val="nil"/>
              <w:tr2bl w:val="nil"/>
            </w:tcBorders>
            <w:vAlign w:val="center"/>
          </w:tcPr>
          <w:p w14:paraId="57F82F5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配电箱（主要包含配电箱、4位插座）</w:t>
            </w:r>
          </w:p>
        </w:tc>
        <w:tc>
          <w:tcPr>
            <w:tcW w:w="594" w:type="pct"/>
            <w:tcBorders>
              <w:tl2br w:val="nil"/>
              <w:tr2bl w:val="nil"/>
            </w:tcBorders>
            <w:noWrap/>
            <w:vAlign w:val="center"/>
          </w:tcPr>
          <w:p w14:paraId="670543C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37BAA0E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4A22CDD4">
            <w:pPr>
              <w:widowControl/>
              <w:adjustRightInd w:val="0"/>
              <w:snapToGrid w:val="0"/>
              <w:jc w:val="center"/>
              <w:textAlignment w:val="center"/>
              <w:rPr>
                <w:rFonts w:ascii="宋体" w:hAnsi="宋体" w:cs="宋体"/>
                <w:color w:val="000000"/>
                <w:sz w:val="22"/>
                <w:szCs w:val="22"/>
              </w:rPr>
            </w:pPr>
          </w:p>
        </w:tc>
      </w:tr>
      <w:tr w14:paraId="72CC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3BA0AC6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3.10</w:t>
            </w:r>
          </w:p>
        </w:tc>
        <w:tc>
          <w:tcPr>
            <w:tcW w:w="2461" w:type="pct"/>
            <w:tcBorders>
              <w:tl2br w:val="nil"/>
              <w:tr2bl w:val="nil"/>
            </w:tcBorders>
            <w:vAlign w:val="center"/>
          </w:tcPr>
          <w:p w14:paraId="6917D7B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监控杆件</w:t>
            </w:r>
          </w:p>
        </w:tc>
        <w:tc>
          <w:tcPr>
            <w:tcW w:w="594" w:type="pct"/>
            <w:tcBorders>
              <w:tl2br w:val="nil"/>
              <w:tr2bl w:val="nil"/>
            </w:tcBorders>
            <w:noWrap/>
            <w:vAlign w:val="center"/>
          </w:tcPr>
          <w:p w14:paraId="023FF60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36F4E0F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07732F6E">
            <w:pPr>
              <w:widowControl/>
              <w:adjustRightInd w:val="0"/>
              <w:snapToGrid w:val="0"/>
              <w:jc w:val="center"/>
              <w:textAlignment w:val="center"/>
              <w:rPr>
                <w:rFonts w:ascii="宋体" w:hAnsi="宋体" w:cs="宋体"/>
                <w:color w:val="000000"/>
                <w:sz w:val="22"/>
                <w:szCs w:val="22"/>
              </w:rPr>
            </w:pPr>
          </w:p>
        </w:tc>
      </w:tr>
      <w:tr w14:paraId="5766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0E6556F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3.11</w:t>
            </w:r>
          </w:p>
        </w:tc>
        <w:tc>
          <w:tcPr>
            <w:tcW w:w="2461" w:type="pct"/>
            <w:tcBorders>
              <w:tl2br w:val="nil"/>
              <w:tr2bl w:val="nil"/>
            </w:tcBorders>
            <w:vAlign w:val="center"/>
          </w:tcPr>
          <w:p w14:paraId="3C941A7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辅材配件</w:t>
            </w:r>
          </w:p>
        </w:tc>
        <w:tc>
          <w:tcPr>
            <w:tcW w:w="594" w:type="pct"/>
            <w:tcBorders>
              <w:tl2br w:val="nil"/>
              <w:tr2bl w:val="nil"/>
            </w:tcBorders>
            <w:noWrap/>
            <w:vAlign w:val="center"/>
          </w:tcPr>
          <w:p w14:paraId="52F9D0E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663" w:type="pct"/>
            <w:tcBorders>
              <w:tl2br w:val="nil"/>
              <w:tr2bl w:val="nil"/>
            </w:tcBorders>
            <w:noWrap/>
            <w:vAlign w:val="center"/>
          </w:tcPr>
          <w:p w14:paraId="34F26DB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01E09B33">
            <w:pPr>
              <w:widowControl/>
              <w:adjustRightInd w:val="0"/>
              <w:snapToGrid w:val="0"/>
              <w:jc w:val="center"/>
              <w:textAlignment w:val="center"/>
              <w:rPr>
                <w:rFonts w:ascii="宋体" w:hAnsi="宋体" w:cs="宋体"/>
                <w:color w:val="000000"/>
                <w:sz w:val="22"/>
                <w:szCs w:val="22"/>
              </w:rPr>
            </w:pPr>
          </w:p>
        </w:tc>
      </w:tr>
      <w:tr w14:paraId="3456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3FE47D2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3.12</w:t>
            </w:r>
          </w:p>
        </w:tc>
        <w:tc>
          <w:tcPr>
            <w:tcW w:w="2461" w:type="pct"/>
            <w:tcBorders>
              <w:tl2br w:val="nil"/>
              <w:tr2bl w:val="nil"/>
            </w:tcBorders>
            <w:vAlign w:val="center"/>
          </w:tcPr>
          <w:p w14:paraId="36319FD1">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监控基础</w:t>
            </w:r>
          </w:p>
        </w:tc>
        <w:tc>
          <w:tcPr>
            <w:tcW w:w="594" w:type="pct"/>
            <w:tcBorders>
              <w:tl2br w:val="nil"/>
              <w:tr2bl w:val="nil"/>
            </w:tcBorders>
            <w:noWrap/>
            <w:vAlign w:val="center"/>
          </w:tcPr>
          <w:p w14:paraId="400B10B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663" w:type="pct"/>
            <w:tcBorders>
              <w:tl2br w:val="nil"/>
              <w:tr2bl w:val="nil"/>
            </w:tcBorders>
            <w:noWrap/>
            <w:vAlign w:val="center"/>
          </w:tcPr>
          <w:p w14:paraId="2359BA3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5341AFAF">
            <w:pPr>
              <w:widowControl/>
              <w:adjustRightInd w:val="0"/>
              <w:snapToGrid w:val="0"/>
              <w:jc w:val="center"/>
              <w:textAlignment w:val="center"/>
              <w:rPr>
                <w:rFonts w:ascii="宋体" w:hAnsi="宋体" w:cs="宋体"/>
                <w:color w:val="000000"/>
                <w:sz w:val="22"/>
                <w:szCs w:val="22"/>
              </w:rPr>
            </w:pPr>
          </w:p>
        </w:tc>
      </w:tr>
      <w:tr w14:paraId="7741C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01018EE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3.13</w:t>
            </w:r>
          </w:p>
        </w:tc>
        <w:tc>
          <w:tcPr>
            <w:tcW w:w="2461" w:type="pct"/>
            <w:tcBorders>
              <w:tl2br w:val="nil"/>
              <w:tr2bl w:val="nil"/>
            </w:tcBorders>
            <w:vAlign w:val="center"/>
          </w:tcPr>
          <w:p w14:paraId="7B35885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安全防护围栏</w:t>
            </w:r>
          </w:p>
        </w:tc>
        <w:tc>
          <w:tcPr>
            <w:tcW w:w="594" w:type="pct"/>
            <w:tcBorders>
              <w:tl2br w:val="nil"/>
              <w:tr2bl w:val="nil"/>
            </w:tcBorders>
            <w:noWrap/>
            <w:vAlign w:val="center"/>
          </w:tcPr>
          <w:p w14:paraId="01837AB9">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项</w:t>
            </w:r>
          </w:p>
        </w:tc>
        <w:tc>
          <w:tcPr>
            <w:tcW w:w="663" w:type="pct"/>
            <w:tcBorders>
              <w:tl2br w:val="nil"/>
              <w:tr2bl w:val="nil"/>
            </w:tcBorders>
            <w:noWrap/>
            <w:vAlign w:val="center"/>
          </w:tcPr>
          <w:p w14:paraId="3617C08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04" w:type="pct"/>
            <w:tcBorders>
              <w:tl2br w:val="nil"/>
              <w:tr2bl w:val="nil"/>
            </w:tcBorders>
            <w:noWrap/>
            <w:vAlign w:val="center"/>
          </w:tcPr>
          <w:p w14:paraId="6C893363">
            <w:pPr>
              <w:widowControl/>
              <w:adjustRightInd w:val="0"/>
              <w:snapToGrid w:val="0"/>
              <w:jc w:val="center"/>
              <w:textAlignment w:val="center"/>
              <w:rPr>
                <w:rFonts w:ascii="宋体" w:hAnsi="宋体" w:cs="宋体"/>
                <w:color w:val="000000"/>
                <w:sz w:val="22"/>
                <w:szCs w:val="22"/>
              </w:rPr>
            </w:pPr>
          </w:p>
        </w:tc>
      </w:tr>
      <w:tr w14:paraId="494B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2C67FD4">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4</w:t>
            </w:r>
          </w:p>
        </w:tc>
        <w:tc>
          <w:tcPr>
            <w:tcW w:w="2461" w:type="pct"/>
            <w:tcBorders>
              <w:tl2br w:val="nil"/>
              <w:tr2bl w:val="nil"/>
            </w:tcBorders>
            <w:vAlign w:val="center"/>
          </w:tcPr>
          <w:p w14:paraId="33F8E35A">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水质在线监测微站</w:t>
            </w:r>
          </w:p>
        </w:tc>
        <w:tc>
          <w:tcPr>
            <w:tcW w:w="594" w:type="pct"/>
            <w:tcBorders>
              <w:tl2br w:val="nil"/>
              <w:tr2bl w:val="nil"/>
            </w:tcBorders>
            <w:noWrap/>
            <w:vAlign w:val="center"/>
          </w:tcPr>
          <w:p w14:paraId="16FDC4B1">
            <w:pPr>
              <w:widowControl/>
              <w:adjustRightInd w:val="0"/>
              <w:snapToGrid w:val="0"/>
              <w:jc w:val="center"/>
              <w:rPr>
                <w:rFonts w:ascii="宋体" w:hAnsi="宋体" w:cs="宋体"/>
                <w:b/>
                <w:bCs/>
                <w:color w:val="000000"/>
                <w:sz w:val="22"/>
                <w:szCs w:val="22"/>
              </w:rPr>
            </w:pPr>
          </w:p>
        </w:tc>
        <w:tc>
          <w:tcPr>
            <w:tcW w:w="663" w:type="pct"/>
            <w:tcBorders>
              <w:tl2br w:val="nil"/>
              <w:tr2bl w:val="nil"/>
            </w:tcBorders>
            <w:noWrap/>
            <w:vAlign w:val="center"/>
          </w:tcPr>
          <w:p w14:paraId="0F07CC5D">
            <w:pPr>
              <w:widowControl/>
              <w:adjustRightInd w:val="0"/>
              <w:snapToGrid w:val="0"/>
              <w:jc w:val="center"/>
              <w:rPr>
                <w:rFonts w:ascii="宋体" w:hAnsi="宋体" w:cs="宋体"/>
                <w:b/>
                <w:bCs/>
                <w:color w:val="000000"/>
                <w:sz w:val="22"/>
                <w:szCs w:val="22"/>
              </w:rPr>
            </w:pPr>
          </w:p>
        </w:tc>
        <w:tc>
          <w:tcPr>
            <w:tcW w:w="804" w:type="pct"/>
            <w:tcBorders>
              <w:tl2br w:val="nil"/>
              <w:tr2bl w:val="nil"/>
            </w:tcBorders>
            <w:noWrap/>
            <w:vAlign w:val="center"/>
          </w:tcPr>
          <w:p w14:paraId="5BC80705">
            <w:pPr>
              <w:widowControl/>
              <w:adjustRightInd w:val="0"/>
              <w:snapToGrid w:val="0"/>
              <w:jc w:val="center"/>
              <w:rPr>
                <w:rFonts w:ascii="宋体" w:hAnsi="宋体" w:cs="宋体"/>
                <w:b/>
                <w:bCs/>
                <w:color w:val="000000"/>
                <w:sz w:val="22"/>
                <w:szCs w:val="22"/>
              </w:rPr>
            </w:pPr>
          </w:p>
        </w:tc>
      </w:tr>
      <w:tr w14:paraId="3147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5EEE2A8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2461" w:type="pct"/>
            <w:tcBorders>
              <w:tl2br w:val="nil"/>
              <w:tr2bl w:val="nil"/>
            </w:tcBorders>
            <w:vAlign w:val="center"/>
          </w:tcPr>
          <w:p w14:paraId="0E131689">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温度、PH水质自动分析仪</w:t>
            </w:r>
          </w:p>
        </w:tc>
        <w:tc>
          <w:tcPr>
            <w:tcW w:w="594" w:type="pct"/>
            <w:tcBorders>
              <w:tl2br w:val="nil"/>
              <w:tr2bl w:val="nil"/>
            </w:tcBorders>
            <w:noWrap/>
            <w:vAlign w:val="center"/>
          </w:tcPr>
          <w:p w14:paraId="6C0820D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10BAC4F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2D2F58B3">
            <w:pPr>
              <w:widowControl/>
              <w:adjustRightInd w:val="0"/>
              <w:snapToGrid w:val="0"/>
              <w:jc w:val="center"/>
              <w:textAlignment w:val="center"/>
              <w:rPr>
                <w:rFonts w:ascii="宋体" w:hAnsi="宋体" w:cs="宋体"/>
                <w:color w:val="000000"/>
                <w:sz w:val="22"/>
                <w:szCs w:val="22"/>
              </w:rPr>
            </w:pPr>
          </w:p>
        </w:tc>
      </w:tr>
      <w:tr w14:paraId="7AD5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4D54A94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4.2</w:t>
            </w:r>
          </w:p>
        </w:tc>
        <w:tc>
          <w:tcPr>
            <w:tcW w:w="2461" w:type="pct"/>
            <w:tcBorders>
              <w:tl2br w:val="nil"/>
              <w:tr2bl w:val="nil"/>
            </w:tcBorders>
            <w:vAlign w:val="center"/>
          </w:tcPr>
          <w:p w14:paraId="7B9C952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溶解氧水质自动分析仪</w:t>
            </w:r>
          </w:p>
        </w:tc>
        <w:tc>
          <w:tcPr>
            <w:tcW w:w="594" w:type="pct"/>
            <w:tcBorders>
              <w:tl2br w:val="nil"/>
              <w:tr2bl w:val="nil"/>
            </w:tcBorders>
            <w:noWrap/>
            <w:vAlign w:val="center"/>
          </w:tcPr>
          <w:p w14:paraId="251996A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7C26571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4D5EAE54">
            <w:pPr>
              <w:widowControl/>
              <w:adjustRightInd w:val="0"/>
              <w:snapToGrid w:val="0"/>
              <w:jc w:val="center"/>
              <w:textAlignment w:val="center"/>
              <w:rPr>
                <w:rFonts w:ascii="宋体" w:hAnsi="宋体" w:cs="宋体"/>
                <w:color w:val="000000"/>
                <w:sz w:val="22"/>
                <w:szCs w:val="22"/>
              </w:rPr>
            </w:pPr>
          </w:p>
        </w:tc>
      </w:tr>
      <w:tr w14:paraId="7DEB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28CCAA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4.3</w:t>
            </w:r>
          </w:p>
        </w:tc>
        <w:tc>
          <w:tcPr>
            <w:tcW w:w="2461" w:type="pct"/>
            <w:tcBorders>
              <w:tl2br w:val="nil"/>
              <w:tr2bl w:val="nil"/>
            </w:tcBorders>
            <w:vAlign w:val="center"/>
          </w:tcPr>
          <w:p w14:paraId="459DDF06">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化学需氧量在线分析仪</w:t>
            </w:r>
          </w:p>
        </w:tc>
        <w:tc>
          <w:tcPr>
            <w:tcW w:w="594" w:type="pct"/>
            <w:tcBorders>
              <w:tl2br w:val="nil"/>
              <w:tr2bl w:val="nil"/>
            </w:tcBorders>
            <w:noWrap/>
            <w:vAlign w:val="center"/>
          </w:tcPr>
          <w:p w14:paraId="3573C3AF">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6C6024D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73A4D585">
            <w:pPr>
              <w:widowControl/>
              <w:adjustRightInd w:val="0"/>
              <w:snapToGrid w:val="0"/>
              <w:jc w:val="center"/>
              <w:textAlignment w:val="center"/>
              <w:rPr>
                <w:rFonts w:ascii="宋体" w:hAnsi="宋体" w:cs="宋体"/>
                <w:color w:val="000000"/>
                <w:sz w:val="22"/>
                <w:szCs w:val="22"/>
              </w:rPr>
            </w:pPr>
          </w:p>
        </w:tc>
      </w:tr>
      <w:tr w14:paraId="5E44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24EB92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4.4</w:t>
            </w:r>
          </w:p>
        </w:tc>
        <w:tc>
          <w:tcPr>
            <w:tcW w:w="2461" w:type="pct"/>
            <w:tcBorders>
              <w:tl2br w:val="nil"/>
              <w:tr2bl w:val="nil"/>
            </w:tcBorders>
            <w:vAlign w:val="center"/>
          </w:tcPr>
          <w:p w14:paraId="2B7C949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氨氮在线分析仪</w:t>
            </w:r>
          </w:p>
        </w:tc>
        <w:tc>
          <w:tcPr>
            <w:tcW w:w="594" w:type="pct"/>
            <w:tcBorders>
              <w:tl2br w:val="nil"/>
              <w:tr2bl w:val="nil"/>
            </w:tcBorders>
            <w:noWrap/>
            <w:vAlign w:val="center"/>
          </w:tcPr>
          <w:p w14:paraId="7B5F6CE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275E8468">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6471A63E">
            <w:pPr>
              <w:widowControl/>
              <w:adjustRightInd w:val="0"/>
              <w:snapToGrid w:val="0"/>
              <w:jc w:val="center"/>
              <w:textAlignment w:val="center"/>
              <w:rPr>
                <w:rFonts w:ascii="宋体" w:hAnsi="宋体" w:cs="宋体"/>
                <w:color w:val="000000"/>
                <w:sz w:val="22"/>
                <w:szCs w:val="22"/>
              </w:rPr>
            </w:pPr>
          </w:p>
        </w:tc>
      </w:tr>
      <w:tr w14:paraId="4260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58DBE61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2461" w:type="pct"/>
            <w:tcBorders>
              <w:tl2br w:val="nil"/>
              <w:tr2bl w:val="nil"/>
            </w:tcBorders>
            <w:vAlign w:val="center"/>
          </w:tcPr>
          <w:p w14:paraId="23B54EB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总磷在线分析仪</w:t>
            </w:r>
          </w:p>
        </w:tc>
        <w:tc>
          <w:tcPr>
            <w:tcW w:w="594" w:type="pct"/>
            <w:tcBorders>
              <w:tl2br w:val="nil"/>
              <w:tr2bl w:val="nil"/>
            </w:tcBorders>
            <w:noWrap/>
            <w:vAlign w:val="center"/>
          </w:tcPr>
          <w:p w14:paraId="66B1A07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7F6869FA">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6B415581">
            <w:pPr>
              <w:widowControl/>
              <w:adjustRightInd w:val="0"/>
              <w:snapToGrid w:val="0"/>
              <w:jc w:val="center"/>
              <w:textAlignment w:val="center"/>
              <w:rPr>
                <w:rFonts w:ascii="宋体" w:hAnsi="宋体" w:cs="宋体"/>
                <w:color w:val="000000"/>
                <w:sz w:val="22"/>
                <w:szCs w:val="22"/>
              </w:rPr>
            </w:pPr>
          </w:p>
        </w:tc>
      </w:tr>
      <w:tr w14:paraId="7EBE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470D07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2461" w:type="pct"/>
            <w:tcBorders>
              <w:tl2br w:val="nil"/>
              <w:tr2bl w:val="nil"/>
            </w:tcBorders>
            <w:vAlign w:val="center"/>
          </w:tcPr>
          <w:p w14:paraId="0FF259D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总氮在线分析仪</w:t>
            </w:r>
          </w:p>
        </w:tc>
        <w:tc>
          <w:tcPr>
            <w:tcW w:w="594" w:type="pct"/>
            <w:tcBorders>
              <w:tl2br w:val="nil"/>
              <w:tr2bl w:val="nil"/>
            </w:tcBorders>
            <w:noWrap/>
            <w:vAlign w:val="center"/>
          </w:tcPr>
          <w:p w14:paraId="3AAF842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663" w:type="pct"/>
            <w:tcBorders>
              <w:tl2br w:val="nil"/>
              <w:tr2bl w:val="nil"/>
            </w:tcBorders>
            <w:noWrap/>
            <w:vAlign w:val="center"/>
          </w:tcPr>
          <w:p w14:paraId="00405F0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37301E8F">
            <w:pPr>
              <w:widowControl/>
              <w:adjustRightInd w:val="0"/>
              <w:snapToGrid w:val="0"/>
              <w:jc w:val="center"/>
              <w:textAlignment w:val="center"/>
              <w:rPr>
                <w:rFonts w:ascii="宋体" w:hAnsi="宋体" w:cs="宋体"/>
                <w:color w:val="000000"/>
                <w:sz w:val="22"/>
                <w:szCs w:val="22"/>
              </w:rPr>
            </w:pPr>
          </w:p>
        </w:tc>
      </w:tr>
      <w:tr w14:paraId="3B3F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4D3878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4.7</w:t>
            </w:r>
          </w:p>
        </w:tc>
        <w:tc>
          <w:tcPr>
            <w:tcW w:w="2461" w:type="pct"/>
            <w:tcBorders>
              <w:tl2br w:val="nil"/>
              <w:tr2bl w:val="nil"/>
            </w:tcBorders>
            <w:vAlign w:val="center"/>
          </w:tcPr>
          <w:p w14:paraId="39B4F17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机柜式站房</w:t>
            </w:r>
          </w:p>
        </w:tc>
        <w:tc>
          <w:tcPr>
            <w:tcW w:w="594" w:type="pct"/>
            <w:tcBorders>
              <w:tl2br w:val="nil"/>
              <w:tr2bl w:val="nil"/>
            </w:tcBorders>
            <w:noWrap/>
            <w:vAlign w:val="center"/>
          </w:tcPr>
          <w:p w14:paraId="11F9433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51897C0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0A2231E4">
            <w:pPr>
              <w:widowControl/>
              <w:adjustRightInd w:val="0"/>
              <w:snapToGrid w:val="0"/>
              <w:jc w:val="center"/>
              <w:textAlignment w:val="center"/>
              <w:rPr>
                <w:rFonts w:ascii="宋体" w:hAnsi="宋体" w:cs="宋体"/>
                <w:color w:val="000000"/>
                <w:sz w:val="22"/>
                <w:szCs w:val="22"/>
              </w:rPr>
            </w:pPr>
          </w:p>
        </w:tc>
      </w:tr>
      <w:tr w14:paraId="0189A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1600849">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4.8</w:t>
            </w:r>
          </w:p>
        </w:tc>
        <w:tc>
          <w:tcPr>
            <w:tcW w:w="2461" w:type="pct"/>
            <w:tcBorders>
              <w:tl2br w:val="nil"/>
              <w:tr2bl w:val="nil"/>
            </w:tcBorders>
            <w:vAlign w:val="center"/>
          </w:tcPr>
          <w:p w14:paraId="3BB5192B">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采水单元</w:t>
            </w:r>
          </w:p>
        </w:tc>
        <w:tc>
          <w:tcPr>
            <w:tcW w:w="594" w:type="pct"/>
            <w:tcBorders>
              <w:tl2br w:val="nil"/>
              <w:tr2bl w:val="nil"/>
            </w:tcBorders>
            <w:noWrap/>
            <w:vAlign w:val="center"/>
          </w:tcPr>
          <w:p w14:paraId="27B48802">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75DAD22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7DED0A92">
            <w:pPr>
              <w:widowControl/>
              <w:adjustRightInd w:val="0"/>
              <w:snapToGrid w:val="0"/>
              <w:jc w:val="center"/>
              <w:textAlignment w:val="center"/>
              <w:rPr>
                <w:rFonts w:ascii="宋体" w:hAnsi="宋体" w:cs="宋体"/>
                <w:color w:val="000000"/>
                <w:sz w:val="22"/>
                <w:szCs w:val="22"/>
              </w:rPr>
            </w:pPr>
          </w:p>
        </w:tc>
      </w:tr>
      <w:tr w14:paraId="54B95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0BD4CE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4.9</w:t>
            </w:r>
          </w:p>
        </w:tc>
        <w:tc>
          <w:tcPr>
            <w:tcW w:w="2461" w:type="pct"/>
            <w:tcBorders>
              <w:tl2br w:val="nil"/>
              <w:tr2bl w:val="nil"/>
            </w:tcBorders>
            <w:vAlign w:val="center"/>
          </w:tcPr>
          <w:p w14:paraId="759BF94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配水及预处理单元</w:t>
            </w:r>
          </w:p>
        </w:tc>
        <w:tc>
          <w:tcPr>
            <w:tcW w:w="594" w:type="pct"/>
            <w:tcBorders>
              <w:tl2br w:val="nil"/>
              <w:tr2bl w:val="nil"/>
            </w:tcBorders>
            <w:noWrap/>
            <w:vAlign w:val="center"/>
          </w:tcPr>
          <w:p w14:paraId="4F8E659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3520A29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27FEF865">
            <w:pPr>
              <w:widowControl/>
              <w:adjustRightInd w:val="0"/>
              <w:snapToGrid w:val="0"/>
              <w:jc w:val="center"/>
              <w:textAlignment w:val="center"/>
              <w:rPr>
                <w:rFonts w:ascii="宋体" w:hAnsi="宋体" w:cs="宋体"/>
                <w:color w:val="000000"/>
                <w:sz w:val="22"/>
                <w:szCs w:val="22"/>
              </w:rPr>
            </w:pPr>
          </w:p>
        </w:tc>
      </w:tr>
      <w:tr w14:paraId="32A56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7C0AD96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4.10</w:t>
            </w:r>
          </w:p>
        </w:tc>
        <w:tc>
          <w:tcPr>
            <w:tcW w:w="2461" w:type="pct"/>
            <w:tcBorders>
              <w:tl2br w:val="nil"/>
              <w:tr2bl w:val="nil"/>
            </w:tcBorders>
            <w:vAlign w:val="center"/>
          </w:tcPr>
          <w:p w14:paraId="6A1D9C61">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控制单元</w:t>
            </w:r>
          </w:p>
        </w:tc>
        <w:tc>
          <w:tcPr>
            <w:tcW w:w="594" w:type="pct"/>
            <w:tcBorders>
              <w:tl2br w:val="nil"/>
              <w:tr2bl w:val="nil"/>
            </w:tcBorders>
            <w:noWrap/>
            <w:vAlign w:val="center"/>
          </w:tcPr>
          <w:p w14:paraId="60FA79A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424D1E1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5B789CE3">
            <w:pPr>
              <w:widowControl/>
              <w:adjustRightInd w:val="0"/>
              <w:snapToGrid w:val="0"/>
              <w:jc w:val="center"/>
              <w:textAlignment w:val="center"/>
              <w:rPr>
                <w:rFonts w:ascii="宋体" w:hAnsi="宋体" w:cs="宋体"/>
                <w:color w:val="000000"/>
                <w:sz w:val="22"/>
                <w:szCs w:val="22"/>
              </w:rPr>
            </w:pPr>
          </w:p>
        </w:tc>
      </w:tr>
      <w:tr w14:paraId="40461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216511B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4.11</w:t>
            </w:r>
          </w:p>
        </w:tc>
        <w:tc>
          <w:tcPr>
            <w:tcW w:w="2461" w:type="pct"/>
            <w:tcBorders>
              <w:tl2br w:val="nil"/>
              <w:tr2bl w:val="nil"/>
            </w:tcBorders>
            <w:vAlign w:val="center"/>
          </w:tcPr>
          <w:p w14:paraId="44BB9D8C">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辅助单元</w:t>
            </w:r>
          </w:p>
        </w:tc>
        <w:tc>
          <w:tcPr>
            <w:tcW w:w="594" w:type="pct"/>
            <w:tcBorders>
              <w:tl2br w:val="nil"/>
              <w:tr2bl w:val="nil"/>
            </w:tcBorders>
            <w:noWrap/>
            <w:vAlign w:val="center"/>
          </w:tcPr>
          <w:p w14:paraId="03AF514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619063BE">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421C7A97">
            <w:pPr>
              <w:widowControl/>
              <w:adjustRightInd w:val="0"/>
              <w:snapToGrid w:val="0"/>
              <w:jc w:val="center"/>
              <w:textAlignment w:val="center"/>
              <w:rPr>
                <w:rFonts w:ascii="宋体" w:hAnsi="宋体" w:cs="宋体"/>
                <w:color w:val="000000"/>
                <w:sz w:val="22"/>
                <w:szCs w:val="22"/>
              </w:rPr>
            </w:pPr>
          </w:p>
        </w:tc>
      </w:tr>
      <w:tr w14:paraId="712A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6E0F9101">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4.12</w:t>
            </w:r>
          </w:p>
        </w:tc>
        <w:tc>
          <w:tcPr>
            <w:tcW w:w="2461" w:type="pct"/>
            <w:tcBorders>
              <w:tl2br w:val="nil"/>
              <w:tr2bl w:val="nil"/>
            </w:tcBorders>
            <w:vAlign w:val="center"/>
          </w:tcPr>
          <w:p w14:paraId="03FF4024">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微站基础</w:t>
            </w:r>
          </w:p>
        </w:tc>
        <w:tc>
          <w:tcPr>
            <w:tcW w:w="594" w:type="pct"/>
            <w:tcBorders>
              <w:tl2br w:val="nil"/>
              <w:tr2bl w:val="nil"/>
            </w:tcBorders>
            <w:noWrap/>
            <w:vAlign w:val="center"/>
          </w:tcPr>
          <w:p w14:paraId="3D69AC17">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53298F45">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532F6320">
            <w:pPr>
              <w:widowControl/>
              <w:adjustRightInd w:val="0"/>
              <w:snapToGrid w:val="0"/>
              <w:jc w:val="center"/>
              <w:textAlignment w:val="center"/>
              <w:rPr>
                <w:rFonts w:ascii="宋体" w:hAnsi="宋体" w:cs="宋体"/>
                <w:color w:val="000000"/>
                <w:sz w:val="22"/>
                <w:szCs w:val="22"/>
              </w:rPr>
            </w:pPr>
          </w:p>
        </w:tc>
      </w:tr>
      <w:tr w14:paraId="7359B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34779D3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4.13</w:t>
            </w:r>
          </w:p>
        </w:tc>
        <w:tc>
          <w:tcPr>
            <w:tcW w:w="2461" w:type="pct"/>
            <w:tcBorders>
              <w:tl2br w:val="nil"/>
              <w:tr2bl w:val="nil"/>
            </w:tcBorders>
            <w:vAlign w:val="center"/>
          </w:tcPr>
          <w:p w14:paraId="6BEBB7BD">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微站安全防护围栏</w:t>
            </w:r>
          </w:p>
        </w:tc>
        <w:tc>
          <w:tcPr>
            <w:tcW w:w="594" w:type="pct"/>
            <w:tcBorders>
              <w:tl2br w:val="nil"/>
              <w:tr2bl w:val="nil"/>
            </w:tcBorders>
            <w:noWrap/>
            <w:vAlign w:val="center"/>
          </w:tcPr>
          <w:p w14:paraId="359C28C3">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663" w:type="pct"/>
            <w:tcBorders>
              <w:tl2br w:val="nil"/>
              <w:tr2bl w:val="nil"/>
            </w:tcBorders>
            <w:noWrap/>
            <w:vAlign w:val="center"/>
          </w:tcPr>
          <w:p w14:paraId="745237B0">
            <w:pPr>
              <w:widowControl/>
              <w:adjustRightInd w:val="0"/>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804" w:type="pct"/>
            <w:tcBorders>
              <w:tl2br w:val="nil"/>
              <w:tr2bl w:val="nil"/>
            </w:tcBorders>
            <w:noWrap/>
            <w:vAlign w:val="center"/>
          </w:tcPr>
          <w:p w14:paraId="5EF60C0E">
            <w:pPr>
              <w:widowControl/>
              <w:adjustRightInd w:val="0"/>
              <w:snapToGrid w:val="0"/>
              <w:jc w:val="center"/>
              <w:textAlignment w:val="center"/>
              <w:rPr>
                <w:rFonts w:ascii="宋体" w:hAnsi="宋体" w:cs="宋体"/>
                <w:color w:val="000000"/>
                <w:sz w:val="22"/>
                <w:szCs w:val="22"/>
              </w:rPr>
            </w:pPr>
          </w:p>
        </w:tc>
      </w:tr>
      <w:tr w14:paraId="6823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E84E160">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5</w:t>
            </w:r>
          </w:p>
        </w:tc>
        <w:tc>
          <w:tcPr>
            <w:tcW w:w="2461" w:type="pct"/>
            <w:tcBorders>
              <w:tl2br w:val="nil"/>
              <w:tr2bl w:val="nil"/>
            </w:tcBorders>
            <w:vAlign w:val="center"/>
          </w:tcPr>
          <w:p w14:paraId="1D7A0340">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排污口档案建设</w:t>
            </w:r>
          </w:p>
        </w:tc>
        <w:tc>
          <w:tcPr>
            <w:tcW w:w="594" w:type="pct"/>
            <w:tcBorders>
              <w:tl2br w:val="nil"/>
              <w:tr2bl w:val="nil"/>
            </w:tcBorders>
            <w:noWrap/>
            <w:vAlign w:val="center"/>
          </w:tcPr>
          <w:p w14:paraId="0A809140">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663" w:type="pct"/>
            <w:tcBorders>
              <w:tl2br w:val="nil"/>
              <w:tr2bl w:val="nil"/>
            </w:tcBorders>
            <w:noWrap/>
            <w:vAlign w:val="center"/>
          </w:tcPr>
          <w:p w14:paraId="4F8B5902">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804" w:type="pct"/>
            <w:tcBorders>
              <w:tl2br w:val="nil"/>
              <w:tr2bl w:val="nil"/>
            </w:tcBorders>
            <w:noWrap/>
            <w:vAlign w:val="center"/>
          </w:tcPr>
          <w:p w14:paraId="4F97E234">
            <w:pPr>
              <w:widowControl/>
              <w:adjustRightInd w:val="0"/>
              <w:snapToGrid w:val="0"/>
              <w:jc w:val="center"/>
              <w:textAlignment w:val="center"/>
              <w:rPr>
                <w:rFonts w:ascii="宋体" w:hAnsi="宋体" w:cs="宋体"/>
                <w:b/>
                <w:bCs/>
                <w:color w:val="000000"/>
                <w:sz w:val="22"/>
                <w:szCs w:val="22"/>
              </w:rPr>
            </w:pPr>
          </w:p>
        </w:tc>
      </w:tr>
      <w:tr w14:paraId="3C6EC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2ACFC908">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6</w:t>
            </w:r>
          </w:p>
        </w:tc>
        <w:tc>
          <w:tcPr>
            <w:tcW w:w="2461" w:type="pct"/>
            <w:tcBorders>
              <w:tl2br w:val="nil"/>
              <w:tr2bl w:val="nil"/>
            </w:tcBorders>
            <w:vAlign w:val="center"/>
          </w:tcPr>
          <w:p w14:paraId="0B1C3DA9">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电力电缆</w:t>
            </w:r>
          </w:p>
        </w:tc>
        <w:tc>
          <w:tcPr>
            <w:tcW w:w="594" w:type="pct"/>
            <w:tcBorders>
              <w:tl2br w:val="nil"/>
              <w:tr2bl w:val="nil"/>
            </w:tcBorders>
            <w:noWrap/>
            <w:vAlign w:val="center"/>
          </w:tcPr>
          <w:p w14:paraId="6C023190">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663" w:type="pct"/>
            <w:tcBorders>
              <w:tl2br w:val="nil"/>
              <w:tr2bl w:val="nil"/>
            </w:tcBorders>
            <w:noWrap/>
            <w:vAlign w:val="center"/>
          </w:tcPr>
          <w:p w14:paraId="754E4531">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804" w:type="pct"/>
            <w:tcBorders>
              <w:tl2br w:val="nil"/>
              <w:tr2bl w:val="nil"/>
            </w:tcBorders>
            <w:noWrap/>
            <w:vAlign w:val="center"/>
          </w:tcPr>
          <w:p w14:paraId="693E9E61">
            <w:pPr>
              <w:widowControl/>
              <w:adjustRightInd w:val="0"/>
              <w:snapToGrid w:val="0"/>
              <w:jc w:val="center"/>
              <w:textAlignment w:val="center"/>
              <w:rPr>
                <w:rFonts w:ascii="宋体" w:hAnsi="宋体" w:cs="宋体"/>
                <w:b/>
                <w:bCs/>
                <w:color w:val="000000"/>
                <w:sz w:val="22"/>
                <w:szCs w:val="22"/>
              </w:rPr>
            </w:pPr>
          </w:p>
        </w:tc>
      </w:tr>
      <w:tr w14:paraId="7153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00BEAB4">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7</w:t>
            </w:r>
          </w:p>
        </w:tc>
        <w:tc>
          <w:tcPr>
            <w:tcW w:w="2461" w:type="pct"/>
            <w:tcBorders>
              <w:tl2br w:val="nil"/>
              <w:tr2bl w:val="nil"/>
            </w:tcBorders>
            <w:vAlign w:val="center"/>
          </w:tcPr>
          <w:p w14:paraId="5042444D">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通信光缆或组网物联网卡</w:t>
            </w:r>
          </w:p>
        </w:tc>
        <w:tc>
          <w:tcPr>
            <w:tcW w:w="594" w:type="pct"/>
            <w:tcBorders>
              <w:tl2br w:val="nil"/>
              <w:tr2bl w:val="nil"/>
            </w:tcBorders>
            <w:noWrap/>
            <w:vAlign w:val="center"/>
          </w:tcPr>
          <w:p w14:paraId="64078CC0">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663" w:type="pct"/>
            <w:tcBorders>
              <w:tl2br w:val="nil"/>
              <w:tr2bl w:val="nil"/>
            </w:tcBorders>
            <w:noWrap/>
            <w:vAlign w:val="center"/>
          </w:tcPr>
          <w:p w14:paraId="15F2DA0F">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804" w:type="pct"/>
            <w:tcBorders>
              <w:tl2br w:val="nil"/>
              <w:tr2bl w:val="nil"/>
            </w:tcBorders>
            <w:noWrap/>
            <w:vAlign w:val="center"/>
          </w:tcPr>
          <w:p w14:paraId="467203BE">
            <w:pPr>
              <w:widowControl/>
              <w:adjustRightInd w:val="0"/>
              <w:snapToGrid w:val="0"/>
              <w:jc w:val="center"/>
              <w:textAlignment w:val="center"/>
              <w:rPr>
                <w:rFonts w:ascii="宋体" w:hAnsi="宋体" w:cs="宋体"/>
                <w:b/>
                <w:bCs/>
                <w:color w:val="000000"/>
                <w:sz w:val="22"/>
                <w:szCs w:val="22"/>
              </w:rPr>
            </w:pPr>
          </w:p>
        </w:tc>
      </w:tr>
      <w:tr w14:paraId="18F2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475" w:type="pct"/>
            <w:tcBorders>
              <w:tl2br w:val="nil"/>
              <w:tr2bl w:val="nil"/>
            </w:tcBorders>
            <w:noWrap/>
            <w:vAlign w:val="center"/>
          </w:tcPr>
          <w:p w14:paraId="10DE6A4B">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8</w:t>
            </w:r>
          </w:p>
        </w:tc>
        <w:tc>
          <w:tcPr>
            <w:tcW w:w="2461" w:type="pct"/>
            <w:tcBorders>
              <w:tl2br w:val="nil"/>
              <w:tr2bl w:val="nil"/>
            </w:tcBorders>
            <w:vAlign w:val="center"/>
          </w:tcPr>
          <w:p w14:paraId="09069528">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入河排污口水质分析模块开发</w:t>
            </w:r>
          </w:p>
        </w:tc>
        <w:tc>
          <w:tcPr>
            <w:tcW w:w="594" w:type="pct"/>
            <w:tcBorders>
              <w:tl2br w:val="nil"/>
              <w:tr2bl w:val="nil"/>
            </w:tcBorders>
            <w:noWrap/>
            <w:vAlign w:val="center"/>
          </w:tcPr>
          <w:p w14:paraId="4D5EFC83">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663" w:type="pct"/>
            <w:tcBorders>
              <w:tl2br w:val="nil"/>
              <w:tr2bl w:val="nil"/>
            </w:tcBorders>
            <w:noWrap/>
            <w:vAlign w:val="center"/>
          </w:tcPr>
          <w:p w14:paraId="0792B81F">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804" w:type="pct"/>
            <w:tcBorders>
              <w:tl2br w:val="nil"/>
              <w:tr2bl w:val="nil"/>
            </w:tcBorders>
            <w:noWrap/>
            <w:vAlign w:val="center"/>
          </w:tcPr>
          <w:p w14:paraId="2DB744C4">
            <w:pPr>
              <w:widowControl/>
              <w:adjustRightInd w:val="0"/>
              <w:snapToGrid w:val="0"/>
              <w:jc w:val="center"/>
              <w:textAlignment w:val="center"/>
              <w:rPr>
                <w:rFonts w:ascii="宋体" w:hAnsi="宋体" w:cs="宋体"/>
                <w:b/>
                <w:bCs/>
                <w:color w:val="000000"/>
                <w:sz w:val="22"/>
                <w:szCs w:val="22"/>
              </w:rPr>
            </w:pPr>
          </w:p>
        </w:tc>
      </w:tr>
      <w:tr w14:paraId="1CF36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475" w:type="pct"/>
            <w:tcBorders>
              <w:tl2br w:val="nil"/>
              <w:tr2bl w:val="nil"/>
            </w:tcBorders>
            <w:noWrap/>
            <w:vAlign w:val="center"/>
          </w:tcPr>
          <w:p w14:paraId="627C6BD3">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9</w:t>
            </w:r>
          </w:p>
        </w:tc>
        <w:tc>
          <w:tcPr>
            <w:tcW w:w="2461" w:type="pct"/>
            <w:tcBorders>
              <w:tl2br w:val="nil"/>
              <w:tr2bl w:val="nil"/>
            </w:tcBorders>
            <w:vAlign w:val="center"/>
          </w:tcPr>
          <w:p w14:paraId="74C22524">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入河排污口综合管理系统开发</w:t>
            </w:r>
          </w:p>
        </w:tc>
        <w:tc>
          <w:tcPr>
            <w:tcW w:w="594" w:type="pct"/>
            <w:tcBorders>
              <w:tl2br w:val="nil"/>
              <w:tr2bl w:val="nil"/>
            </w:tcBorders>
            <w:noWrap/>
            <w:vAlign w:val="center"/>
          </w:tcPr>
          <w:p w14:paraId="791BEFBE">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项</w:t>
            </w:r>
          </w:p>
        </w:tc>
        <w:tc>
          <w:tcPr>
            <w:tcW w:w="663" w:type="pct"/>
            <w:tcBorders>
              <w:tl2br w:val="nil"/>
              <w:tr2bl w:val="nil"/>
            </w:tcBorders>
            <w:noWrap/>
            <w:vAlign w:val="center"/>
          </w:tcPr>
          <w:p w14:paraId="6B415ADE">
            <w:pPr>
              <w:widowControl/>
              <w:adjustRightInd w:val="0"/>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1</w:t>
            </w:r>
          </w:p>
        </w:tc>
        <w:tc>
          <w:tcPr>
            <w:tcW w:w="804" w:type="pct"/>
            <w:tcBorders>
              <w:tl2br w:val="nil"/>
              <w:tr2bl w:val="nil"/>
            </w:tcBorders>
            <w:noWrap/>
            <w:vAlign w:val="center"/>
          </w:tcPr>
          <w:p w14:paraId="62EF89C5">
            <w:pPr>
              <w:widowControl/>
              <w:adjustRightInd w:val="0"/>
              <w:snapToGrid w:val="0"/>
              <w:jc w:val="center"/>
              <w:textAlignment w:val="center"/>
              <w:rPr>
                <w:rFonts w:ascii="宋体" w:hAnsi="宋体" w:cs="宋体"/>
                <w:b/>
                <w:bCs/>
                <w:color w:val="000000"/>
                <w:sz w:val="22"/>
                <w:szCs w:val="22"/>
              </w:rPr>
            </w:pPr>
          </w:p>
        </w:tc>
      </w:tr>
    </w:tbl>
    <w:p w14:paraId="68C4C18C">
      <w:pPr>
        <w:rPr>
          <w:rFonts w:ascii="宋体" w:hAnsi="宋体" w:cs="宋体"/>
          <w:sz w:val="32"/>
          <w:szCs w:val="32"/>
        </w:rPr>
      </w:pPr>
    </w:p>
    <w:p w14:paraId="3EE07448">
      <w:pPr>
        <w:rPr>
          <w:rFonts w:ascii="宋体" w:hAnsi="宋体" w:cs="宋体"/>
          <w:sz w:val="32"/>
          <w:szCs w:val="32"/>
        </w:rPr>
      </w:pPr>
    </w:p>
    <w:p w14:paraId="505769BE">
      <w:pPr>
        <w:rPr>
          <w:rFonts w:ascii="宋体" w:hAnsi="宋体" w:cs="宋体"/>
          <w:sz w:val="32"/>
          <w:szCs w:val="32"/>
        </w:rPr>
      </w:pPr>
    </w:p>
    <w:p w14:paraId="712F7ED0">
      <w:pPr>
        <w:rPr>
          <w:rFonts w:ascii="宋体" w:hAnsi="宋体" w:cs="宋体"/>
          <w:sz w:val="32"/>
          <w:szCs w:val="32"/>
        </w:rPr>
      </w:pPr>
    </w:p>
    <w:p w14:paraId="24D5DFA4">
      <w:pPr>
        <w:rPr>
          <w:rFonts w:ascii="宋体" w:hAnsi="宋体" w:cs="宋体"/>
          <w:sz w:val="32"/>
          <w:szCs w:val="32"/>
        </w:rPr>
      </w:pPr>
    </w:p>
    <w:p w14:paraId="7D1FBAE0">
      <w:pPr>
        <w:rPr>
          <w:rFonts w:ascii="宋体" w:hAnsi="宋体" w:cs="宋体"/>
          <w:sz w:val="32"/>
          <w:szCs w:val="32"/>
        </w:rPr>
      </w:pPr>
    </w:p>
    <w:p w14:paraId="6730BD57">
      <w:pPr>
        <w:rPr>
          <w:rFonts w:ascii="宋体" w:hAnsi="宋体" w:cs="宋体"/>
          <w:sz w:val="32"/>
          <w:szCs w:val="32"/>
        </w:rPr>
      </w:pPr>
      <w:r>
        <w:rPr>
          <w:rFonts w:hint="eastAsia" w:ascii="宋体" w:hAnsi="宋体" w:cs="宋体"/>
          <w:sz w:val="32"/>
          <w:szCs w:val="32"/>
        </w:rPr>
        <w:t xml:space="preserve"> </w:t>
      </w:r>
    </w:p>
    <w:p w14:paraId="34B0D46D">
      <w:pPr>
        <w:framePr w:w="842" w:h="378" w:wrap="auto" w:vAnchor="margin" w:hAnchor="page" w:x="1991" w:y="1"/>
        <w:rPr>
          <w:rFonts w:ascii="宋体" w:hAnsi="宋体" w:cs="宋体"/>
          <w:sz w:val="30"/>
          <w:szCs w:val="30"/>
          <w:lang w:val="zh-TW" w:eastAsia="zh-TW" w:bidi="zh-TW"/>
        </w:rPr>
      </w:pPr>
      <w:r>
        <w:rPr>
          <w:rFonts w:ascii="宋体" w:hAnsi="宋体" w:cs="宋体"/>
          <w:sz w:val="30"/>
          <w:szCs w:val="30"/>
          <w:lang w:val="zh-TW" w:eastAsia="zh-TW" w:bidi="zh-TW"/>
        </w:rPr>
        <w:t>附件1</w:t>
      </w:r>
    </w:p>
    <w:p w14:paraId="242AA0FB">
      <w:pPr>
        <w:spacing w:line="360" w:lineRule="auto"/>
        <w:ind w:left="352"/>
        <w:rPr>
          <w:rFonts w:ascii="宋体" w:hAnsi="宋体" w:cs="宋体"/>
          <w:sz w:val="28"/>
          <w:szCs w:val="28"/>
        </w:rPr>
      </w:pPr>
      <w:r>
        <w:rPr>
          <w:rFonts w:hint="eastAsia" w:ascii="宋体" w:hAnsi="宋体" w:cs="宋体"/>
          <w:sz w:val="28"/>
          <w:szCs w:val="28"/>
        </w:rPr>
        <w:t>主要设备技术参数</w:t>
      </w:r>
    </w:p>
    <w:tbl>
      <w:tblPr>
        <w:tblStyle w:val="28"/>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920"/>
        <w:gridCol w:w="1130"/>
        <w:gridCol w:w="6654"/>
      </w:tblGrid>
      <w:tr w14:paraId="04D4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62C094">
            <w:pPr>
              <w:spacing w:line="360" w:lineRule="auto"/>
              <w:rPr>
                <w:rFonts w:ascii="宋体" w:hAnsi="宋体" w:cs="宋体"/>
                <w:b/>
                <w:bCs/>
              </w:rPr>
            </w:pPr>
            <w:r>
              <w:rPr>
                <w:rFonts w:hint="eastAsia" w:ascii="宋体" w:hAnsi="宋体" w:cs="宋体"/>
                <w:b/>
                <w:bCs/>
              </w:rPr>
              <w:t>序号</w:t>
            </w:r>
          </w:p>
        </w:tc>
        <w:tc>
          <w:tcPr>
            <w:tcW w:w="9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1A1BA4">
            <w:pPr>
              <w:spacing w:line="360" w:lineRule="auto"/>
              <w:rPr>
                <w:rFonts w:ascii="宋体" w:hAnsi="宋体" w:cs="宋体"/>
                <w:b/>
                <w:bCs/>
              </w:rPr>
            </w:pPr>
            <w:r>
              <w:rPr>
                <w:rFonts w:hint="eastAsia" w:ascii="宋体" w:hAnsi="宋体" w:cs="宋体"/>
                <w:b/>
                <w:bCs/>
              </w:rPr>
              <w:t>类别</w:t>
            </w: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910F995">
            <w:pPr>
              <w:spacing w:line="360" w:lineRule="auto"/>
              <w:rPr>
                <w:rFonts w:ascii="宋体" w:hAnsi="宋体" w:cs="宋体"/>
                <w:b/>
                <w:bCs/>
              </w:rPr>
            </w:pPr>
            <w:r>
              <w:rPr>
                <w:rFonts w:hint="eastAsia" w:ascii="宋体" w:hAnsi="宋体" w:cs="宋体"/>
                <w:b/>
                <w:bCs/>
              </w:rPr>
              <w:t>货物（标的）名称</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523470">
            <w:pPr>
              <w:spacing w:line="360" w:lineRule="auto"/>
              <w:jc w:val="center"/>
              <w:rPr>
                <w:rFonts w:ascii="宋体" w:hAnsi="宋体" w:cs="宋体"/>
                <w:b/>
                <w:bCs/>
              </w:rPr>
            </w:pPr>
            <w:r>
              <w:rPr>
                <w:rFonts w:hint="eastAsia" w:ascii="宋体" w:hAnsi="宋体" w:cs="宋体"/>
                <w:b/>
                <w:bCs/>
              </w:rPr>
              <w:t>技术规格及主要参数</w:t>
            </w:r>
          </w:p>
        </w:tc>
      </w:tr>
      <w:tr w14:paraId="3D03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4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6059BFAF">
            <w:pPr>
              <w:spacing w:line="360" w:lineRule="auto"/>
              <w:jc w:val="center"/>
              <w:rPr>
                <w:rFonts w:ascii="宋体" w:hAnsi="宋体" w:cs="宋体"/>
              </w:rPr>
            </w:pPr>
            <w:r>
              <w:rPr>
                <w:rFonts w:hint="eastAsia" w:ascii="宋体" w:hAnsi="宋体" w:cs="宋体"/>
              </w:rPr>
              <w:t>1</w:t>
            </w:r>
          </w:p>
        </w:tc>
        <w:tc>
          <w:tcPr>
            <w:tcW w:w="9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0A596E">
            <w:pPr>
              <w:spacing w:line="360" w:lineRule="auto"/>
              <w:rPr>
                <w:rFonts w:ascii="宋体" w:hAnsi="宋体" w:cs="宋体"/>
                <w:szCs w:val="21"/>
              </w:rPr>
            </w:pPr>
            <w:r>
              <w:rPr>
                <w:rFonts w:hint="eastAsia" w:ascii="宋体" w:hAnsi="宋体" w:cs="宋体"/>
                <w:szCs w:val="21"/>
              </w:rPr>
              <w:t>入河排污口标识牌</w:t>
            </w: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2BD414">
            <w:pPr>
              <w:spacing w:line="360" w:lineRule="auto"/>
              <w:rPr>
                <w:rFonts w:ascii="宋体" w:hAnsi="宋体" w:cs="宋体"/>
                <w:szCs w:val="21"/>
              </w:rPr>
            </w:pPr>
            <w:r>
              <w:rPr>
                <w:rFonts w:hint="eastAsia" w:ascii="宋体" w:hAnsi="宋体" w:cs="宋体"/>
                <w:szCs w:val="21"/>
              </w:rPr>
              <w:t>入河排污口标识牌制作及安装</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3EAE76">
            <w:pPr>
              <w:spacing w:line="360" w:lineRule="auto"/>
              <w:rPr>
                <w:rFonts w:ascii="宋体" w:hAnsi="宋体" w:cs="宋体"/>
                <w:szCs w:val="21"/>
              </w:rPr>
            </w:pPr>
            <w:r>
              <w:rPr>
                <w:rFonts w:hint="eastAsia" w:ascii="宋体" w:hAnsi="宋体" w:cs="宋体"/>
                <w:szCs w:val="21"/>
              </w:rPr>
              <w:t>平面固定式标识牌外形尺寸建议为 960mm×600 mm。立式固定式标识牌外形尺寸建议为 840 mm×840 mm，标识牌最上端距地面2m，地下 0.3 m。标识牌建议采用 1.5-2mm冷轧钢板，立柱采用38×4无缝钢管，表面采用搪瓷或者反光贴膜，标识牌的端面及立柱要经过防腐处理。</w:t>
            </w:r>
          </w:p>
        </w:tc>
      </w:tr>
      <w:tr w14:paraId="143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096B22C3">
            <w:pPr>
              <w:spacing w:line="360" w:lineRule="auto"/>
              <w:rPr>
                <w:rFonts w:ascii="宋体" w:hAnsi="宋体" w:cs="宋体"/>
              </w:rPr>
            </w:pPr>
          </w:p>
        </w:tc>
        <w:tc>
          <w:tcPr>
            <w:tcW w:w="92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A288CC7">
            <w:pPr>
              <w:spacing w:line="360" w:lineRule="auto"/>
              <w:rPr>
                <w:rFonts w:ascii="宋体" w:hAnsi="宋体" w:cs="宋体"/>
                <w:szCs w:val="21"/>
              </w:rPr>
            </w:pPr>
            <w:r>
              <w:rPr>
                <w:rFonts w:hint="eastAsia" w:ascii="宋体" w:hAnsi="宋体" w:cs="宋体"/>
                <w:szCs w:val="21"/>
              </w:rPr>
              <w:t>水质自动监测系统</w:t>
            </w:r>
          </w:p>
        </w:tc>
        <w:tc>
          <w:tcPr>
            <w:tcW w:w="113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0107264E">
            <w:pPr>
              <w:spacing w:line="360" w:lineRule="auto"/>
              <w:rPr>
                <w:rFonts w:ascii="宋体" w:hAnsi="宋体" w:cs="宋体"/>
                <w:szCs w:val="21"/>
              </w:rPr>
            </w:pPr>
            <w:r>
              <w:rPr>
                <w:rFonts w:hint="eastAsia" w:ascii="宋体" w:hAnsi="宋体" w:cs="宋体"/>
                <w:szCs w:val="21"/>
              </w:rPr>
              <w:t>五参数水质自动分析仪</w:t>
            </w:r>
          </w:p>
          <w:p w14:paraId="28020C6F">
            <w:pPr>
              <w:spacing w:line="360" w:lineRule="auto"/>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ABDA68">
            <w:pPr>
              <w:spacing w:line="360" w:lineRule="auto"/>
              <w:rPr>
                <w:rFonts w:ascii="宋体" w:hAnsi="宋体" w:cs="宋体"/>
                <w:szCs w:val="21"/>
              </w:rPr>
            </w:pPr>
            <w:r>
              <w:rPr>
                <w:rFonts w:hint="eastAsia" w:ascii="宋体" w:hAnsi="宋体" w:cs="宋体"/>
                <w:szCs w:val="21"/>
              </w:rPr>
              <w:t>水温水质自动分析仪</w:t>
            </w:r>
          </w:p>
          <w:p w14:paraId="24748707">
            <w:pPr>
              <w:spacing w:line="360" w:lineRule="auto"/>
              <w:rPr>
                <w:rFonts w:ascii="宋体" w:hAnsi="宋体" w:cs="宋体"/>
                <w:szCs w:val="21"/>
              </w:rPr>
            </w:pPr>
            <w:r>
              <w:rPr>
                <w:rFonts w:hint="eastAsia" w:ascii="宋体" w:hAnsi="宋体" w:cs="宋体"/>
                <w:szCs w:val="21"/>
              </w:rPr>
              <w:t>测定原理：热电阻</w:t>
            </w:r>
          </w:p>
          <w:p w14:paraId="7C99DDCB">
            <w:pPr>
              <w:spacing w:line="360" w:lineRule="auto"/>
              <w:rPr>
                <w:rFonts w:ascii="宋体" w:hAnsi="宋体" w:cs="宋体"/>
                <w:szCs w:val="21"/>
              </w:rPr>
            </w:pPr>
            <w:r>
              <w:rPr>
                <w:rFonts w:hint="eastAsia" w:ascii="宋体" w:hAnsi="宋体" w:cs="宋体"/>
                <w:szCs w:val="21"/>
              </w:rPr>
              <w:t>量程：0℃～60℃，可调</w:t>
            </w:r>
          </w:p>
          <w:p w14:paraId="4952D66E">
            <w:pPr>
              <w:spacing w:line="360" w:lineRule="auto"/>
              <w:rPr>
                <w:rFonts w:ascii="宋体" w:hAnsi="宋体" w:cs="宋体"/>
                <w:szCs w:val="21"/>
              </w:rPr>
            </w:pPr>
            <w:r>
              <w:rPr>
                <w:rFonts w:hint="eastAsia" w:ascii="宋体" w:hAnsi="宋体" w:cs="宋体"/>
                <w:szCs w:val="21"/>
              </w:rPr>
              <w:t>准确度：±0.5℃</w:t>
            </w:r>
          </w:p>
          <w:p w14:paraId="04430143">
            <w:pPr>
              <w:spacing w:line="360" w:lineRule="auto"/>
              <w:rPr>
                <w:rFonts w:ascii="宋体" w:hAnsi="宋体" w:cs="宋体"/>
              </w:rPr>
            </w:pPr>
            <w:r>
              <w:rPr>
                <w:rFonts w:hint="eastAsia" w:ascii="宋体" w:hAnsi="宋体" w:cs="宋体"/>
                <w:szCs w:val="21"/>
              </w:rPr>
              <w:t>MTBF：≥720h/次</w:t>
            </w:r>
          </w:p>
        </w:tc>
      </w:tr>
      <w:tr w14:paraId="1356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12E01A16">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41C5ED0E">
            <w:pPr>
              <w:spacing w:line="360" w:lineRule="auto"/>
              <w:rPr>
                <w:rFonts w:ascii="宋体" w:hAnsi="宋体" w:cs="宋体"/>
                <w:szCs w:val="21"/>
              </w:rPr>
            </w:pPr>
          </w:p>
        </w:tc>
        <w:tc>
          <w:tcPr>
            <w:tcW w:w="1130" w:type="dxa"/>
            <w:vMerge w:val="continue"/>
            <w:tcBorders>
              <w:left w:val="single" w:color="auto" w:sz="4" w:space="0"/>
              <w:right w:val="single" w:color="auto" w:sz="4" w:space="0"/>
            </w:tcBorders>
            <w:tcMar>
              <w:top w:w="0" w:type="dxa"/>
              <w:left w:w="105" w:type="dxa"/>
              <w:bottom w:w="0" w:type="dxa"/>
              <w:right w:w="105" w:type="dxa"/>
            </w:tcMar>
            <w:vAlign w:val="center"/>
          </w:tcPr>
          <w:p w14:paraId="1982F7AE">
            <w:pPr>
              <w:spacing w:line="360" w:lineRule="auto"/>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B8C65E">
            <w:pPr>
              <w:spacing w:line="360" w:lineRule="auto"/>
              <w:rPr>
                <w:rFonts w:ascii="宋体" w:hAnsi="宋体" w:cs="宋体"/>
                <w:szCs w:val="21"/>
              </w:rPr>
            </w:pPr>
            <w:r>
              <w:rPr>
                <w:rFonts w:hint="eastAsia" w:ascii="宋体" w:hAnsi="宋体" w:cs="宋体"/>
                <w:szCs w:val="21"/>
              </w:rPr>
              <w:t>溶解氧水质自动分析仪</w:t>
            </w:r>
          </w:p>
          <w:p w14:paraId="2CE0BB5B">
            <w:pPr>
              <w:spacing w:line="360" w:lineRule="auto"/>
              <w:rPr>
                <w:rFonts w:ascii="宋体" w:hAnsi="宋体" w:cs="宋体"/>
              </w:rPr>
            </w:pPr>
            <w:r>
              <w:rPr>
                <w:rFonts w:hint="eastAsia" w:ascii="宋体" w:hAnsi="宋体" w:cs="宋体"/>
                <w:szCs w:val="21"/>
              </w:rPr>
              <w:t>测定原理：</w:t>
            </w:r>
            <w:r>
              <w:rPr>
                <w:rFonts w:hint="eastAsia" w:ascii="宋体" w:hAnsi="宋体" w:cs="宋体"/>
              </w:rPr>
              <w:t>荧光法、电化学法</w:t>
            </w:r>
          </w:p>
          <w:p w14:paraId="2C9B16C8">
            <w:pPr>
              <w:spacing w:line="360" w:lineRule="auto"/>
              <w:rPr>
                <w:rFonts w:ascii="宋体" w:hAnsi="宋体" w:cs="宋体"/>
                <w:szCs w:val="21"/>
              </w:rPr>
            </w:pPr>
            <w:r>
              <w:rPr>
                <w:rFonts w:hint="eastAsia" w:ascii="宋体" w:hAnsi="宋体" w:cs="宋体"/>
                <w:szCs w:val="21"/>
              </w:rPr>
              <w:t>量程：0～20mg/L，可调</w:t>
            </w:r>
          </w:p>
          <w:p w14:paraId="1460445A">
            <w:pPr>
              <w:spacing w:line="360" w:lineRule="auto"/>
              <w:rPr>
                <w:rFonts w:ascii="宋体" w:hAnsi="宋体" w:cs="宋体"/>
                <w:szCs w:val="21"/>
              </w:rPr>
            </w:pPr>
            <w:r>
              <w:rPr>
                <w:rFonts w:hint="eastAsia" w:ascii="宋体" w:hAnsi="宋体" w:cs="宋体"/>
                <w:szCs w:val="21"/>
              </w:rPr>
              <w:t>MTBF：≥720h/次</w:t>
            </w:r>
          </w:p>
          <w:p w14:paraId="67EC6A5E">
            <w:pPr>
              <w:spacing w:line="360" w:lineRule="auto"/>
              <w:rPr>
                <w:rFonts w:ascii="宋体" w:hAnsi="宋体" w:cs="宋体"/>
                <w:szCs w:val="21"/>
              </w:rPr>
            </w:pPr>
            <w:r>
              <w:rPr>
                <w:rFonts w:hint="eastAsia" w:ascii="宋体" w:hAnsi="宋体" w:cs="宋体"/>
                <w:szCs w:val="21"/>
              </w:rPr>
              <w:t>防护等级：IP65</w:t>
            </w:r>
          </w:p>
        </w:tc>
      </w:tr>
      <w:tr w14:paraId="5A7F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4FCCB237">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1EA9451C">
            <w:pPr>
              <w:spacing w:line="360" w:lineRule="auto"/>
              <w:rPr>
                <w:rFonts w:ascii="宋体" w:hAnsi="宋体" w:cs="宋体"/>
                <w:szCs w:val="21"/>
              </w:rPr>
            </w:pPr>
          </w:p>
        </w:tc>
        <w:tc>
          <w:tcPr>
            <w:tcW w:w="1130" w:type="dxa"/>
            <w:vMerge w:val="continue"/>
            <w:tcBorders>
              <w:left w:val="single" w:color="auto" w:sz="4" w:space="0"/>
              <w:right w:val="single" w:color="auto" w:sz="4" w:space="0"/>
            </w:tcBorders>
            <w:tcMar>
              <w:top w:w="0" w:type="dxa"/>
              <w:left w:w="105" w:type="dxa"/>
              <w:bottom w:w="0" w:type="dxa"/>
              <w:right w:w="105" w:type="dxa"/>
            </w:tcMar>
            <w:vAlign w:val="center"/>
          </w:tcPr>
          <w:p w14:paraId="5ED37BF2">
            <w:pPr>
              <w:spacing w:line="360" w:lineRule="auto"/>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0A9202">
            <w:pPr>
              <w:spacing w:line="360" w:lineRule="auto"/>
              <w:rPr>
                <w:rFonts w:ascii="宋体" w:hAnsi="宋体" w:cs="宋体"/>
                <w:szCs w:val="21"/>
              </w:rPr>
            </w:pPr>
            <w:r>
              <w:rPr>
                <w:rFonts w:hint="eastAsia" w:ascii="宋体" w:hAnsi="宋体" w:cs="宋体"/>
                <w:szCs w:val="21"/>
              </w:rPr>
              <w:t>电导率水质自动分析仪</w:t>
            </w:r>
          </w:p>
          <w:p w14:paraId="302EC730">
            <w:pPr>
              <w:spacing w:line="360" w:lineRule="auto"/>
              <w:rPr>
                <w:rFonts w:ascii="宋体" w:hAnsi="宋体" w:cs="宋体"/>
                <w:szCs w:val="21"/>
              </w:rPr>
            </w:pPr>
            <w:r>
              <w:rPr>
                <w:rFonts w:hint="eastAsia" w:ascii="宋体" w:hAnsi="宋体" w:cs="宋体"/>
                <w:szCs w:val="21"/>
              </w:rPr>
              <w:t>测定原理：电极法</w:t>
            </w:r>
          </w:p>
          <w:p w14:paraId="49BC726D">
            <w:pPr>
              <w:spacing w:line="360" w:lineRule="auto"/>
              <w:rPr>
                <w:rFonts w:ascii="宋体" w:hAnsi="宋体" w:cs="宋体"/>
                <w:szCs w:val="21"/>
              </w:rPr>
            </w:pPr>
            <w:r>
              <w:rPr>
                <w:rFonts w:hint="eastAsia" w:ascii="宋体" w:hAnsi="宋体" w:cs="宋体"/>
                <w:szCs w:val="21"/>
              </w:rPr>
              <w:t>最小检测范围：0～500mS/m（0～40℃），可调</w:t>
            </w:r>
          </w:p>
          <w:p w14:paraId="4A84BED4">
            <w:pPr>
              <w:spacing w:line="360" w:lineRule="auto"/>
              <w:rPr>
                <w:rFonts w:ascii="宋体" w:hAnsi="宋体" w:cs="宋体"/>
                <w:szCs w:val="21"/>
              </w:rPr>
            </w:pPr>
            <w:r>
              <w:rPr>
                <w:rFonts w:hint="eastAsia" w:ascii="宋体" w:hAnsi="宋体" w:cs="宋体"/>
                <w:szCs w:val="21"/>
              </w:rPr>
              <w:t>零点漂移：±1%</w:t>
            </w:r>
          </w:p>
          <w:p w14:paraId="7A86F322">
            <w:pPr>
              <w:spacing w:line="360" w:lineRule="auto"/>
              <w:rPr>
                <w:rFonts w:ascii="宋体" w:hAnsi="宋体" w:cs="宋体"/>
                <w:szCs w:val="21"/>
              </w:rPr>
            </w:pPr>
            <w:r>
              <w:rPr>
                <w:rFonts w:hint="eastAsia" w:ascii="宋体" w:hAnsi="宋体" w:cs="宋体"/>
                <w:szCs w:val="21"/>
              </w:rPr>
              <w:t>量程漂移：±1%</w:t>
            </w:r>
          </w:p>
          <w:p w14:paraId="010E6BB6">
            <w:pPr>
              <w:spacing w:line="360" w:lineRule="auto"/>
              <w:rPr>
                <w:rFonts w:ascii="宋体" w:hAnsi="宋体" w:cs="宋体"/>
                <w:szCs w:val="21"/>
              </w:rPr>
            </w:pPr>
            <w:r>
              <w:rPr>
                <w:rFonts w:hint="eastAsia" w:ascii="宋体" w:hAnsi="宋体" w:cs="宋体"/>
                <w:szCs w:val="21"/>
              </w:rPr>
              <w:t>响应时间（T90）：≤30s</w:t>
            </w:r>
          </w:p>
          <w:p w14:paraId="2DE41407">
            <w:pPr>
              <w:spacing w:line="360" w:lineRule="auto"/>
              <w:rPr>
                <w:rFonts w:ascii="宋体" w:hAnsi="宋体" w:cs="宋体"/>
                <w:szCs w:val="21"/>
              </w:rPr>
            </w:pPr>
            <w:r>
              <w:rPr>
                <w:rFonts w:hint="eastAsia" w:ascii="宋体" w:hAnsi="宋体" w:cs="宋体"/>
                <w:szCs w:val="21"/>
              </w:rPr>
              <w:t>温度补偿精度：±1%</w:t>
            </w:r>
          </w:p>
          <w:p w14:paraId="66D4ABD3">
            <w:pPr>
              <w:spacing w:line="360" w:lineRule="auto"/>
              <w:rPr>
                <w:rFonts w:ascii="宋体" w:hAnsi="宋体" w:cs="宋体"/>
                <w:szCs w:val="21"/>
              </w:rPr>
            </w:pPr>
            <w:r>
              <w:rPr>
                <w:rFonts w:hint="eastAsia" w:ascii="宋体" w:hAnsi="宋体" w:cs="宋体"/>
                <w:szCs w:val="21"/>
              </w:rPr>
              <w:t>MTBF：≥720h/次</w:t>
            </w:r>
          </w:p>
          <w:p w14:paraId="4307D1F0">
            <w:pPr>
              <w:spacing w:line="360" w:lineRule="auto"/>
              <w:rPr>
                <w:rFonts w:ascii="宋体" w:hAnsi="宋体" w:cs="宋体"/>
              </w:rPr>
            </w:pPr>
            <w:r>
              <w:rPr>
                <w:rFonts w:hint="eastAsia" w:ascii="宋体" w:hAnsi="宋体" w:cs="宋体"/>
                <w:szCs w:val="21"/>
              </w:rPr>
              <w:t>实际水样比对试验：</w:t>
            </w:r>
            <w:r>
              <w:rPr>
                <w:rFonts w:hint="eastAsia" w:ascii="宋体" w:hAnsi="宋体" w:cs="宋体"/>
              </w:rPr>
              <w:t>±1%</w:t>
            </w:r>
          </w:p>
          <w:p w14:paraId="390699EF">
            <w:pPr>
              <w:spacing w:line="360" w:lineRule="auto"/>
              <w:rPr>
                <w:rFonts w:ascii="宋体" w:hAnsi="宋体" w:cs="宋体"/>
                <w:szCs w:val="21"/>
              </w:rPr>
            </w:pPr>
            <w:r>
              <w:rPr>
                <w:rFonts w:hint="eastAsia" w:ascii="宋体" w:hAnsi="宋体" w:cs="宋体"/>
                <w:szCs w:val="21"/>
              </w:rPr>
              <w:t>防护等级：≥IP65</w:t>
            </w:r>
          </w:p>
        </w:tc>
      </w:tr>
      <w:tr w14:paraId="07B3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6EAE0FDF">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268A5872">
            <w:pPr>
              <w:spacing w:line="360" w:lineRule="auto"/>
              <w:rPr>
                <w:rFonts w:ascii="宋体" w:hAnsi="宋体" w:cs="宋体"/>
                <w:szCs w:val="21"/>
              </w:rPr>
            </w:pPr>
          </w:p>
        </w:tc>
        <w:tc>
          <w:tcPr>
            <w:tcW w:w="1130"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1415BE00">
            <w:pPr>
              <w:spacing w:line="360" w:lineRule="auto"/>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12DF99">
            <w:pPr>
              <w:spacing w:line="360" w:lineRule="auto"/>
              <w:rPr>
                <w:rFonts w:ascii="宋体" w:hAnsi="宋体" w:cs="宋体"/>
                <w:szCs w:val="21"/>
              </w:rPr>
            </w:pPr>
            <w:r>
              <w:rPr>
                <w:rFonts w:hint="eastAsia" w:ascii="宋体" w:hAnsi="宋体" w:cs="宋体"/>
                <w:szCs w:val="21"/>
              </w:rPr>
              <w:t>浊度水质自动分析仪</w:t>
            </w:r>
          </w:p>
          <w:p w14:paraId="1138CA88">
            <w:pPr>
              <w:spacing w:line="360" w:lineRule="auto"/>
              <w:rPr>
                <w:rFonts w:ascii="宋体" w:hAnsi="宋体" w:cs="宋体"/>
                <w:szCs w:val="21"/>
              </w:rPr>
            </w:pPr>
            <w:r>
              <w:rPr>
                <w:rFonts w:hint="eastAsia" w:ascii="宋体" w:hAnsi="宋体" w:cs="宋体"/>
                <w:szCs w:val="21"/>
              </w:rPr>
              <w:t>测定原理：光散射法</w:t>
            </w:r>
          </w:p>
          <w:p w14:paraId="23E964BB">
            <w:pPr>
              <w:spacing w:line="360" w:lineRule="auto"/>
              <w:rPr>
                <w:rFonts w:ascii="宋体" w:hAnsi="宋体" w:cs="宋体"/>
                <w:szCs w:val="21"/>
              </w:rPr>
            </w:pPr>
            <w:r>
              <w:rPr>
                <w:rFonts w:hint="eastAsia" w:ascii="宋体" w:hAnsi="宋体" w:cs="宋体"/>
                <w:szCs w:val="21"/>
              </w:rPr>
              <w:t>量程：0～1000NTU，可调</w:t>
            </w:r>
          </w:p>
          <w:p w14:paraId="569E4406">
            <w:pPr>
              <w:spacing w:line="360" w:lineRule="auto"/>
              <w:rPr>
                <w:rFonts w:ascii="宋体" w:hAnsi="宋体" w:cs="宋体"/>
                <w:szCs w:val="21"/>
              </w:rPr>
            </w:pPr>
            <w:r>
              <w:rPr>
                <w:rFonts w:hint="eastAsia" w:ascii="宋体" w:hAnsi="宋体" w:cs="宋体"/>
                <w:szCs w:val="21"/>
              </w:rPr>
              <w:t>零点漂移：±3%</w:t>
            </w:r>
          </w:p>
          <w:p w14:paraId="236D56F3">
            <w:pPr>
              <w:spacing w:line="360" w:lineRule="auto"/>
              <w:rPr>
                <w:rFonts w:ascii="宋体" w:hAnsi="宋体" w:cs="宋体"/>
                <w:szCs w:val="21"/>
              </w:rPr>
            </w:pPr>
            <w:r>
              <w:rPr>
                <w:rFonts w:hint="eastAsia" w:ascii="宋体" w:hAnsi="宋体" w:cs="宋体"/>
                <w:szCs w:val="21"/>
              </w:rPr>
              <w:t>量程漂移：±5%</w:t>
            </w:r>
          </w:p>
          <w:p w14:paraId="18DCAAFB">
            <w:pPr>
              <w:spacing w:line="360" w:lineRule="auto"/>
              <w:rPr>
                <w:rFonts w:ascii="宋体" w:hAnsi="宋体" w:cs="宋体"/>
                <w:szCs w:val="21"/>
              </w:rPr>
            </w:pPr>
            <w:r>
              <w:rPr>
                <w:rFonts w:hint="eastAsia" w:ascii="宋体" w:hAnsi="宋体" w:cs="宋体"/>
                <w:szCs w:val="21"/>
              </w:rPr>
              <w:t>线性误差：±5%</w:t>
            </w:r>
          </w:p>
          <w:p w14:paraId="4B32F236">
            <w:pPr>
              <w:spacing w:line="360" w:lineRule="auto"/>
              <w:rPr>
                <w:rFonts w:ascii="宋体" w:hAnsi="宋体" w:cs="宋体"/>
                <w:szCs w:val="21"/>
              </w:rPr>
            </w:pPr>
            <w:r>
              <w:rPr>
                <w:rFonts w:hint="eastAsia" w:ascii="宋体" w:hAnsi="宋体" w:cs="宋体"/>
                <w:szCs w:val="21"/>
              </w:rPr>
              <w:t>MTBF：≥720h/次</w:t>
            </w:r>
          </w:p>
          <w:p w14:paraId="2FABA7F5">
            <w:pPr>
              <w:spacing w:line="360" w:lineRule="auto"/>
              <w:rPr>
                <w:rFonts w:ascii="宋体" w:hAnsi="宋体" w:cs="宋体"/>
              </w:rPr>
            </w:pPr>
            <w:r>
              <w:rPr>
                <w:rFonts w:hint="eastAsia" w:ascii="宋体" w:hAnsi="宋体" w:cs="宋体"/>
                <w:szCs w:val="21"/>
              </w:rPr>
              <w:t>实际水样比对试验：</w:t>
            </w:r>
            <w:r>
              <w:rPr>
                <w:rFonts w:hint="eastAsia" w:ascii="宋体" w:hAnsi="宋体" w:cs="宋体"/>
              </w:rPr>
              <w:t>±10%</w:t>
            </w:r>
          </w:p>
          <w:p w14:paraId="1F20EC08">
            <w:pPr>
              <w:spacing w:line="360" w:lineRule="auto"/>
              <w:rPr>
                <w:rFonts w:ascii="宋体" w:hAnsi="宋体" w:cs="宋体"/>
                <w:szCs w:val="21"/>
              </w:rPr>
            </w:pPr>
            <w:r>
              <w:rPr>
                <w:rFonts w:hint="eastAsia" w:ascii="宋体" w:hAnsi="宋体" w:cs="宋体"/>
                <w:szCs w:val="21"/>
              </w:rPr>
              <w:t>防护等级：≥IP65</w:t>
            </w:r>
          </w:p>
        </w:tc>
      </w:tr>
      <w:tr w14:paraId="1A01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4B9A7ED3">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4A1A8107">
            <w:pPr>
              <w:spacing w:line="360" w:lineRule="auto"/>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A65F64">
            <w:pPr>
              <w:spacing w:line="360" w:lineRule="auto"/>
              <w:rPr>
                <w:rFonts w:ascii="宋体" w:hAnsi="宋体" w:cs="宋体"/>
                <w:szCs w:val="21"/>
              </w:rPr>
            </w:pPr>
            <w:r>
              <w:rPr>
                <w:rFonts w:hint="eastAsia" w:ascii="宋体" w:hAnsi="宋体" w:cs="宋体"/>
                <w:szCs w:val="21"/>
              </w:rPr>
              <w:t>化学需氧量水质自动分析仪</w:t>
            </w:r>
          </w:p>
          <w:p w14:paraId="21905C91">
            <w:pPr>
              <w:spacing w:line="360" w:lineRule="auto"/>
              <w:rPr>
                <w:rFonts w:ascii="宋体" w:hAnsi="宋体" w:cs="宋体"/>
                <w:szCs w:val="21"/>
              </w:rPr>
            </w:pP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C17FA7">
            <w:pPr>
              <w:spacing w:line="360" w:lineRule="auto"/>
              <w:rPr>
                <w:rFonts w:ascii="宋体" w:hAnsi="宋体" w:cs="宋体"/>
                <w:szCs w:val="21"/>
              </w:rPr>
            </w:pPr>
            <w:r>
              <w:rPr>
                <w:rFonts w:hint="eastAsia" w:ascii="宋体" w:hAnsi="宋体" w:cs="宋体"/>
                <w:szCs w:val="21"/>
              </w:rPr>
              <w:t>测定原理:重铬酸钾氧化分光光度法</w:t>
            </w:r>
          </w:p>
          <w:p w14:paraId="4B270F3E">
            <w:pPr>
              <w:spacing w:line="360" w:lineRule="auto"/>
              <w:rPr>
                <w:rFonts w:ascii="宋体" w:hAnsi="宋体" w:cs="宋体"/>
                <w:szCs w:val="21"/>
              </w:rPr>
            </w:pPr>
            <w:r>
              <w:rPr>
                <w:rFonts w:hint="eastAsia" w:ascii="宋体" w:hAnsi="宋体" w:cs="宋体"/>
                <w:szCs w:val="21"/>
              </w:rPr>
              <w:t>量程：15～200mg/L，可调</w:t>
            </w:r>
          </w:p>
          <w:p w14:paraId="7A0E8EC3">
            <w:pPr>
              <w:spacing w:line="360" w:lineRule="auto"/>
              <w:rPr>
                <w:rFonts w:ascii="宋体" w:hAnsi="宋体" w:cs="宋体"/>
                <w:szCs w:val="21"/>
              </w:rPr>
            </w:pPr>
            <w:r>
              <w:rPr>
                <w:rFonts w:hint="eastAsia" w:ascii="宋体" w:hAnsi="宋体" w:cs="宋体"/>
                <w:szCs w:val="21"/>
              </w:rPr>
              <w:t>24h低浓度漂移：±5mg/L</w:t>
            </w:r>
          </w:p>
          <w:p w14:paraId="34A2EDA3">
            <w:pPr>
              <w:spacing w:line="360" w:lineRule="auto"/>
              <w:rPr>
                <w:rFonts w:ascii="宋体" w:hAnsi="宋体" w:cs="宋体"/>
                <w:szCs w:val="21"/>
              </w:rPr>
            </w:pPr>
            <w:r>
              <w:rPr>
                <w:rFonts w:hint="eastAsia" w:ascii="宋体" w:hAnsi="宋体" w:cs="宋体"/>
                <w:szCs w:val="21"/>
              </w:rPr>
              <w:t>24h高浓度漂移：≤5%</w:t>
            </w:r>
          </w:p>
          <w:p w14:paraId="13932B1F">
            <w:pPr>
              <w:spacing w:line="360" w:lineRule="auto"/>
              <w:rPr>
                <w:rFonts w:ascii="宋体" w:hAnsi="宋体" w:cs="宋体"/>
                <w:szCs w:val="21"/>
              </w:rPr>
            </w:pPr>
            <w:r>
              <w:rPr>
                <w:rFonts w:hint="eastAsia" w:ascii="宋体" w:hAnsi="宋体" w:cs="宋体"/>
                <w:szCs w:val="21"/>
              </w:rPr>
              <w:t>氯离子影响：±10%</w:t>
            </w:r>
          </w:p>
          <w:p w14:paraId="41F0D57F">
            <w:pPr>
              <w:spacing w:line="360" w:lineRule="auto"/>
              <w:rPr>
                <w:rFonts w:ascii="宋体" w:hAnsi="宋体" w:cs="宋体"/>
                <w:szCs w:val="21"/>
              </w:rPr>
            </w:pPr>
            <w:r>
              <w:rPr>
                <w:rFonts w:hint="eastAsia" w:ascii="宋体" w:hAnsi="宋体" w:cs="宋体"/>
                <w:szCs w:val="21"/>
              </w:rPr>
              <w:t>重复性：≤5%</w:t>
            </w:r>
          </w:p>
          <w:p w14:paraId="466493C3">
            <w:pPr>
              <w:spacing w:line="360" w:lineRule="auto"/>
              <w:rPr>
                <w:rFonts w:ascii="宋体" w:hAnsi="宋体" w:cs="宋体"/>
                <w:szCs w:val="21"/>
              </w:rPr>
            </w:pPr>
            <w:r>
              <w:rPr>
                <w:rFonts w:hint="eastAsia" w:ascii="宋体" w:hAnsi="宋体" w:cs="宋体"/>
                <w:szCs w:val="21"/>
              </w:rPr>
              <w:t>定量下限：≤15mg/L（示值误差±30%）</w:t>
            </w:r>
          </w:p>
          <w:p w14:paraId="4495DC83">
            <w:pPr>
              <w:spacing w:line="360" w:lineRule="auto"/>
              <w:rPr>
                <w:rFonts w:ascii="宋体" w:hAnsi="宋体" w:cs="宋体"/>
                <w:szCs w:val="21"/>
              </w:rPr>
            </w:pPr>
            <w:r>
              <w:rPr>
                <w:rFonts w:hint="eastAsia" w:ascii="宋体" w:hAnsi="宋体" w:cs="宋体"/>
                <w:szCs w:val="21"/>
              </w:rPr>
              <w:t>环境温度影响：±5%</w:t>
            </w:r>
          </w:p>
          <w:p w14:paraId="4CEF944E">
            <w:pPr>
              <w:spacing w:line="360" w:lineRule="auto"/>
              <w:rPr>
                <w:rFonts w:ascii="宋体" w:hAnsi="宋体" w:cs="宋体"/>
                <w:szCs w:val="21"/>
              </w:rPr>
            </w:pPr>
            <w:r>
              <w:rPr>
                <w:rFonts w:hint="eastAsia" w:ascii="宋体" w:hAnsi="宋体" w:cs="宋体"/>
                <w:szCs w:val="21"/>
              </w:rPr>
              <w:t>最小维护周期：≥168h</w:t>
            </w:r>
          </w:p>
          <w:p w14:paraId="5338611D">
            <w:pPr>
              <w:spacing w:line="360" w:lineRule="auto"/>
              <w:rPr>
                <w:rFonts w:ascii="宋体" w:hAnsi="宋体" w:cs="宋体"/>
                <w:szCs w:val="21"/>
              </w:rPr>
            </w:pPr>
            <w:r>
              <w:rPr>
                <w:rFonts w:hint="eastAsia" w:ascii="宋体" w:hAnsi="宋体" w:cs="宋体"/>
                <w:szCs w:val="21"/>
              </w:rPr>
              <w:t>实际水样比对试验：COD＜50mg/L，绝对误差≤5mg/L；</w:t>
            </w:r>
          </w:p>
          <w:p w14:paraId="56B339DE">
            <w:pPr>
              <w:spacing w:line="360" w:lineRule="auto"/>
              <w:rPr>
                <w:rFonts w:ascii="宋体" w:hAnsi="宋体" w:cs="宋体"/>
                <w:szCs w:val="21"/>
              </w:rPr>
            </w:pPr>
            <w:r>
              <w:rPr>
                <w:rFonts w:hint="eastAsia" w:ascii="宋体" w:hAnsi="宋体" w:cs="宋体"/>
                <w:szCs w:val="21"/>
              </w:rPr>
              <w:t>COD≥50mg/L，相对误差≤10%</w:t>
            </w:r>
          </w:p>
        </w:tc>
      </w:tr>
      <w:tr w14:paraId="4830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6F0718ED">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0409EBAE">
            <w:pPr>
              <w:spacing w:line="360" w:lineRule="auto"/>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611FC0">
            <w:pPr>
              <w:spacing w:line="360" w:lineRule="auto"/>
              <w:rPr>
                <w:rFonts w:ascii="宋体" w:hAnsi="宋体" w:cs="宋体"/>
                <w:szCs w:val="21"/>
              </w:rPr>
            </w:pPr>
            <w:r>
              <w:rPr>
                <w:rFonts w:hint="eastAsia" w:ascii="宋体" w:hAnsi="宋体" w:cs="宋体"/>
                <w:szCs w:val="21"/>
              </w:rPr>
              <w:t>氨氮水质自动分析仪</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1FAB07">
            <w:pPr>
              <w:spacing w:line="360" w:lineRule="auto"/>
              <w:rPr>
                <w:rFonts w:ascii="宋体" w:hAnsi="宋体" w:cs="宋体"/>
                <w:szCs w:val="21"/>
              </w:rPr>
            </w:pPr>
            <w:r>
              <w:rPr>
                <w:rFonts w:hint="eastAsia" w:ascii="宋体" w:hAnsi="宋体" w:cs="宋体"/>
                <w:szCs w:val="21"/>
              </w:rPr>
              <w:t>测定原理：水杨酸分光光度法</w:t>
            </w:r>
          </w:p>
          <w:p w14:paraId="4AC0C205">
            <w:pPr>
              <w:spacing w:line="360" w:lineRule="auto"/>
              <w:rPr>
                <w:rFonts w:ascii="宋体" w:hAnsi="宋体" w:cs="宋体"/>
                <w:szCs w:val="21"/>
              </w:rPr>
            </w:pPr>
            <w:r>
              <w:rPr>
                <w:rFonts w:hint="eastAsia" w:ascii="宋体" w:hAnsi="宋体" w:cs="宋体"/>
                <w:szCs w:val="21"/>
              </w:rPr>
              <w:t>量程：0～10 mg/L，可调</w:t>
            </w:r>
          </w:p>
          <w:p w14:paraId="1710A025">
            <w:pPr>
              <w:spacing w:line="360" w:lineRule="auto"/>
              <w:rPr>
                <w:rFonts w:ascii="宋体" w:hAnsi="宋体" w:cs="宋体"/>
                <w:szCs w:val="21"/>
              </w:rPr>
            </w:pPr>
            <w:r>
              <w:rPr>
                <w:rFonts w:hint="eastAsia" w:ascii="宋体" w:hAnsi="宋体" w:cs="宋体"/>
                <w:szCs w:val="21"/>
              </w:rPr>
              <w:t>零点漂移：≤0.02 mg/L</w:t>
            </w:r>
          </w:p>
          <w:p w14:paraId="16A4D61C">
            <w:pPr>
              <w:spacing w:line="360" w:lineRule="auto"/>
              <w:rPr>
                <w:rFonts w:ascii="宋体" w:hAnsi="宋体" w:cs="宋体"/>
                <w:szCs w:val="21"/>
              </w:rPr>
            </w:pPr>
            <w:r>
              <w:rPr>
                <w:rFonts w:hint="eastAsia" w:ascii="宋体" w:hAnsi="宋体" w:cs="宋体"/>
                <w:szCs w:val="21"/>
              </w:rPr>
              <w:t>量程漂移：≤1.0%</w:t>
            </w:r>
          </w:p>
          <w:p w14:paraId="118FC50C">
            <w:pPr>
              <w:spacing w:line="360" w:lineRule="auto"/>
              <w:rPr>
                <w:rFonts w:ascii="宋体" w:hAnsi="宋体" w:cs="宋体"/>
                <w:szCs w:val="21"/>
              </w:rPr>
            </w:pPr>
            <w:r>
              <w:rPr>
                <w:rFonts w:hint="eastAsia" w:ascii="宋体" w:hAnsi="宋体" w:cs="宋体"/>
                <w:szCs w:val="21"/>
              </w:rPr>
              <w:t>示值误差：标液浓度为2.0 mg/L时</w:t>
            </w:r>
            <w:r>
              <w:rPr>
                <w:rFonts w:hint="eastAsia" w:ascii="宋体" w:hAnsi="宋体" w:cs="宋体"/>
                <w:szCs w:val="21"/>
              </w:rPr>
              <w:tab/>
            </w:r>
            <w:r>
              <w:rPr>
                <w:rFonts w:hint="eastAsia" w:ascii="宋体" w:hAnsi="宋体" w:cs="宋体"/>
                <w:szCs w:val="21"/>
              </w:rPr>
              <w:t>± 8.0%</w:t>
            </w:r>
          </w:p>
          <w:p w14:paraId="417BEF55">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标液浓度为5.0 mg/L时</w:t>
            </w:r>
            <w:r>
              <w:rPr>
                <w:rFonts w:hint="eastAsia" w:ascii="宋体" w:hAnsi="宋体" w:cs="宋体"/>
                <w:szCs w:val="21"/>
              </w:rPr>
              <w:tab/>
            </w:r>
            <w:r>
              <w:rPr>
                <w:rFonts w:hint="eastAsia" w:ascii="宋体" w:hAnsi="宋体" w:cs="宋体"/>
                <w:szCs w:val="21"/>
              </w:rPr>
              <w:t>± 5.0%</w:t>
            </w:r>
          </w:p>
          <w:p w14:paraId="1106E7A4">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标液浓度为8.0 mg/L时</w:t>
            </w:r>
            <w:r>
              <w:rPr>
                <w:rFonts w:hint="eastAsia" w:ascii="宋体" w:hAnsi="宋体" w:cs="宋体"/>
                <w:szCs w:val="21"/>
              </w:rPr>
              <w:tab/>
            </w:r>
            <w:r>
              <w:rPr>
                <w:rFonts w:hint="eastAsia" w:ascii="宋体" w:hAnsi="宋体" w:cs="宋体"/>
                <w:szCs w:val="21"/>
              </w:rPr>
              <w:t>± 3.0%</w:t>
            </w:r>
          </w:p>
          <w:p w14:paraId="2A4B2661">
            <w:pPr>
              <w:spacing w:line="360" w:lineRule="auto"/>
              <w:rPr>
                <w:rFonts w:ascii="宋体" w:hAnsi="宋体" w:cs="宋体"/>
                <w:szCs w:val="21"/>
              </w:rPr>
            </w:pPr>
            <w:r>
              <w:rPr>
                <w:rFonts w:hint="eastAsia" w:ascii="宋体" w:hAnsi="宋体" w:cs="宋体"/>
                <w:szCs w:val="21"/>
              </w:rPr>
              <w:t>重复性：≤2.0%</w:t>
            </w:r>
          </w:p>
          <w:p w14:paraId="7ABC53F5">
            <w:pPr>
              <w:spacing w:line="360" w:lineRule="auto"/>
              <w:rPr>
                <w:rFonts w:ascii="宋体" w:hAnsi="宋体" w:cs="宋体"/>
                <w:szCs w:val="21"/>
              </w:rPr>
            </w:pPr>
            <w:r>
              <w:rPr>
                <w:rFonts w:hint="eastAsia" w:ascii="宋体" w:hAnsi="宋体" w:cs="宋体"/>
                <w:szCs w:val="21"/>
              </w:rPr>
              <w:t>记忆效应：标液浓度为2.0 mg/L时</w:t>
            </w:r>
            <w:r>
              <w:rPr>
                <w:rFonts w:hint="eastAsia" w:ascii="宋体" w:hAnsi="宋体" w:cs="宋体"/>
                <w:szCs w:val="21"/>
              </w:rPr>
              <w:tab/>
            </w:r>
            <w:r>
              <w:rPr>
                <w:rFonts w:hint="eastAsia" w:ascii="宋体" w:hAnsi="宋体" w:cs="宋体"/>
                <w:szCs w:val="21"/>
              </w:rPr>
              <w:t>± 0.3 mg/L</w:t>
            </w:r>
          </w:p>
          <w:p w14:paraId="5F63C163">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标液浓度为8.0 mg/L时</w:t>
            </w:r>
            <w:r>
              <w:rPr>
                <w:rFonts w:hint="eastAsia" w:ascii="宋体" w:hAnsi="宋体" w:cs="宋体"/>
                <w:szCs w:val="21"/>
              </w:rPr>
              <w:tab/>
            </w:r>
            <w:r>
              <w:rPr>
                <w:rFonts w:hint="eastAsia" w:ascii="宋体" w:hAnsi="宋体" w:cs="宋体"/>
                <w:szCs w:val="21"/>
              </w:rPr>
              <w:t>± 0.2 mg/L</w:t>
            </w:r>
          </w:p>
          <w:p w14:paraId="70879D46">
            <w:pPr>
              <w:spacing w:line="360" w:lineRule="auto"/>
              <w:rPr>
                <w:rFonts w:ascii="宋体" w:hAnsi="宋体" w:cs="宋体"/>
                <w:szCs w:val="21"/>
              </w:rPr>
            </w:pPr>
            <w:r>
              <w:rPr>
                <w:rFonts w:hint="eastAsia" w:ascii="宋体" w:hAnsi="宋体" w:cs="宋体"/>
                <w:szCs w:val="21"/>
              </w:rPr>
              <w:t>检出限：≤0.02mg/L</w:t>
            </w:r>
          </w:p>
          <w:p w14:paraId="1DDC10E3">
            <w:pPr>
              <w:spacing w:line="360" w:lineRule="auto"/>
              <w:rPr>
                <w:rFonts w:ascii="宋体" w:hAnsi="宋体" w:cs="宋体"/>
                <w:szCs w:val="21"/>
              </w:rPr>
            </w:pPr>
            <w:r>
              <w:rPr>
                <w:rFonts w:hint="eastAsia" w:ascii="宋体" w:hAnsi="宋体" w:cs="宋体"/>
                <w:szCs w:val="21"/>
              </w:rPr>
              <w:t>pH干扰试验：±6.0%</w:t>
            </w:r>
          </w:p>
          <w:p w14:paraId="7953696B">
            <w:pPr>
              <w:spacing w:line="360" w:lineRule="auto"/>
              <w:rPr>
                <w:rFonts w:ascii="宋体" w:hAnsi="宋体" w:cs="宋体"/>
                <w:szCs w:val="21"/>
              </w:rPr>
            </w:pPr>
            <w:r>
              <w:rPr>
                <w:rFonts w:hint="eastAsia" w:ascii="宋体" w:hAnsi="宋体" w:cs="宋体"/>
                <w:szCs w:val="21"/>
              </w:rPr>
              <w:t>实际水样比对试验：水样浓度&lt;2.0 mg/L</w:t>
            </w:r>
            <w:r>
              <w:rPr>
                <w:rFonts w:hint="eastAsia" w:ascii="宋体" w:hAnsi="宋体" w:cs="宋体"/>
                <w:szCs w:val="21"/>
              </w:rPr>
              <w:tab/>
            </w:r>
            <w:r>
              <w:rPr>
                <w:rFonts w:hint="eastAsia" w:ascii="宋体" w:hAnsi="宋体" w:cs="宋体"/>
                <w:szCs w:val="21"/>
              </w:rPr>
              <w:t>≤0.2 mg/L</w:t>
            </w:r>
          </w:p>
          <w:p w14:paraId="486DDB2A">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水样浓度≥2.0 mg/L</w:t>
            </w:r>
            <w:r>
              <w:rPr>
                <w:rFonts w:hint="eastAsia" w:ascii="宋体" w:hAnsi="宋体" w:cs="宋体"/>
                <w:szCs w:val="21"/>
              </w:rPr>
              <w:tab/>
            </w:r>
            <w:r>
              <w:rPr>
                <w:rFonts w:hint="eastAsia" w:ascii="宋体" w:hAnsi="宋体" w:cs="宋体"/>
                <w:szCs w:val="21"/>
              </w:rPr>
              <w:t>≤10.0%</w:t>
            </w:r>
          </w:p>
          <w:p w14:paraId="7CCF605D">
            <w:pPr>
              <w:spacing w:line="360" w:lineRule="auto"/>
              <w:rPr>
                <w:rFonts w:ascii="宋体" w:hAnsi="宋体" w:cs="宋体"/>
                <w:szCs w:val="21"/>
              </w:rPr>
            </w:pPr>
            <w:r>
              <w:rPr>
                <w:rFonts w:hint="eastAsia" w:ascii="宋体" w:hAnsi="宋体" w:cs="宋体"/>
                <w:szCs w:val="21"/>
              </w:rPr>
              <w:t>最小维护周期：≥168h</w:t>
            </w:r>
          </w:p>
        </w:tc>
      </w:tr>
      <w:tr w14:paraId="3C6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305882C5">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7F1F2AA7">
            <w:pPr>
              <w:spacing w:line="360" w:lineRule="auto"/>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EF6EFE">
            <w:pPr>
              <w:spacing w:line="360" w:lineRule="auto"/>
              <w:rPr>
                <w:rFonts w:ascii="宋体" w:hAnsi="宋体" w:cs="宋体"/>
                <w:szCs w:val="21"/>
              </w:rPr>
            </w:pPr>
            <w:r>
              <w:rPr>
                <w:rFonts w:hint="eastAsia" w:ascii="宋体" w:hAnsi="宋体" w:cs="宋体"/>
                <w:szCs w:val="21"/>
              </w:rPr>
              <w:t>总磷水质自动分析仪</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AEFCF1">
            <w:pPr>
              <w:spacing w:line="360" w:lineRule="auto"/>
              <w:rPr>
                <w:rFonts w:ascii="宋体" w:hAnsi="宋体" w:cs="宋体"/>
                <w:szCs w:val="21"/>
              </w:rPr>
            </w:pPr>
            <w:r>
              <w:rPr>
                <w:rFonts w:hint="eastAsia" w:ascii="宋体" w:hAnsi="宋体" w:cs="宋体"/>
                <w:szCs w:val="21"/>
              </w:rPr>
              <w:t>测定原理：钼酸铵分光光度法</w:t>
            </w:r>
          </w:p>
          <w:p w14:paraId="5F15ECB5">
            <w:pPr>
              <w:spacing w:line="360" w:lineRule="auto"/>
              <w:rPr>
                <w:rFonts w:ascii="宋体" w:hAnsi="宋体" w:cs="宋体"/>
                <w:szCs w:val="21"/>
              </w:rPr>
            </w:pPr>
            <w:r>
              <w:rPr>
                <w:rFonts w:hint="eastAsia" w:ascii="宋体" w:hAnsi="宋体" w:cs="宋体"/>
                <w:szCs w:val="21"/>
              </w:rPr>
              <w:t>量程：0～10mg/L，可调</w:t>
            </w:r>
          </w:p>
          <w:p w14:paraId="446730B4">
            <w:pPr>
              <w:spacing w:line="360" w:lineRule="auto"/>
              <w:rPr>
                <w:rFonts w:ascii="宋体" w:hAnsi="宋体" w:cs="宋体"/>
                <w:szCs w:val="21"/>
              </w:rPr>
            </w:pPr>
            <w:r>
              <w:rPr>
                <w:rFonts w:hint="eastAsia" w:ascii="宋体" w:hAnsi="宋体" w:cs="宋体"/>
                <w:szCs w:val="21"/>
              </w:rPr>
              <w:t>零点漂移：±5%</w:t>
            </w:r>
          </w:p>
          <w:p w14:paraId="6D9A4B6E">
            <w:pPr>
              <w:spacing w:line="360" w:lineRule="auto"/>
              <w:rPr>
                <w:rFonts w:ascii="宋体" w:hAnsi="宋体" w:cs="宋体"/>
                <w:szCs w:val="21"/>
              </w:rPr>
            </w:pPr>
            <w:r>
              <w:rPr>
                <w:rFonts w:hint="eastAsia" w:ascii="宋体" w:hAnsi="宋体" w:cs="宋体"/>
                <w:szCs w:val="21"/>
              </w:rPr>
              <w:t>量程漂移：±5%</w:t>
            </w:r>
          </w:p>
          <w:p w14:paraId="120FD0D9">
            <w:pPr>
              <w:spacing w:line="360" w:lineRule="auto"/>
              <w:rPr>
                <w:rFonts w:ascii="宋体" w:hAnsi="宋体" w:cs="宋体"/>
                <w:szCs w:val="21"/>
              </w:rPr>
            </w:pPr>
            <w:r>
              <w:rPr>
                <w:rFonts w:hint="eastAsia" w:ascii="宋体" w:hAnsi="宋体" w:cs="宋体"/>
                <w:szCs w:val="21"/>
              </w:rPr>
              <w:t>直线性：±10%</w:t>
            </w:r>
          </w:p>
          <w:p w14:paraId="6DE7F6EC">
            <w:pPr>
              <w:spacing w:line="360" w:lineRule="auto"/>
              <w:rPr>
                <w:rFonts w:ascii="宋体" w:hAnsi="宋体" w:cs="宋体"/>
                <w:szCs w:val="21"/>
              </w:rPr>
            </w:pPr>
            <w:r>
              <w:rPr>
                <w:rFonts w:hint="eastAsia" w:ascii="宋体" w:hAnsi="宋体" w:cs="宋体"/>
                <w:szCs w:val="21"/>
              </w:rPr>
              <w:t>重复性误差：±10%</w:t>
            </w:r>
          </w:p>
          <w:p w14:paraId="44E01AFE">
            <w:pPr>
              <w:spacing w:line="360" w:lineRule="auto"/>
              <w:rPr>
                <w:rFonts w:ascii="宋体" w:hAnsi="宋体" w:cs="宋体"/>
                <w:szCs w:val="21"/>
              </w:rPr>
            </w:pPr>
            <w:r>
              <w:rPr>
                <w:rFonts w:hint="eastAsia" w:ascii="宋体" w:hAnsi="宋体" w:cs="宋体"/>
                <w:szCs w:val="21"/>
              </w:rPr>
              <w:t>检出限：≤0.01mg/L</w:t>
            </w:r>
          </w:p>
          <w:p w14:paraId="0F26E1F0">
            <w:pPr>
              <w:spacing w:line="360" w:lineRule="auto"/>
              <w:rPr>
                <w:rFonts w:ascii="宋体" w:hAnsi="宋体" w:cs="宋体"/>
                <w:szCs w:val="21"/>
              </w:rPr>
            </w:pPr>
            <w:r>
              <w:rPr>
                <w:rFonts w:hint="eastAsia" w:ascii="宋体" w:hAnsi="宋体" w:cs="宋体"/>
                <w:szCs w:val="21"/>
              </w:rPr>
              <w:t>MTBF：≥720h/次</w:t>
            </w:r>
          </w:p>
          <w:p w14:paraId="3CFB620B">
            <w:pPr>
              <w:spacing w:line="360" w:lineRule="auto"/>
              <w:rPr>
                <w:rFonts w:ascii="宋体" w:hAnsi="宋体" w:cs="宋体"/>
                <w:szCs w:val="21"/>
              </w:rPr>
            </w:pPr>
            <w:r>
              <w:rPr>
                <w:rFonts w:hint="eastAsia" w:ascii="宋体" w:hAnsi="宋体" w:cs="宋体"/>
                <w:szCs w:val="21"/>
              </w:rPr>
              <w:t>实际水样比对试验：±10%</w:t>
            </w:r>
          </w:p>
        </w:tc>
      </w:tr>
      <w:tr w14:paraId="3DE5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76FDEB96">
            <w:pPr>
              <w:spacing w:line="360" w:lineRule="auto"/>
              <w:rPr>
                <w:rFonts w:ascii="宋体" w:hAnsi="宋体" w:cs="宋体"/>
              </w:rPr>
            </w:pPr>
          </w:p>
        </w:tc>
        <w:tc>
          <w:tcPr>
            <w:tcW w:w="920"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214E868D">
            <w:pPr>
              <w:spacing w:line="360" w:lineRule="auto"/>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2210FA">
            <w:pPr>
              <w:spacing w:line="360" w:lineRule="auto"/>
              <w:rPr>
                <w:rFonts w:ascii="宋体" w:hAnsi="宋体" w:cs="宋体"/>
                <w:szCs w:val="21"/>
              </w:rPr>
            </w:pPr>
            <w:r>
              <w:rPr>
                <w:rFonts w:hint="eastAsia" w:ascii="宋体" w:hAnsi="宋体" w:cs="宋体"/>
                <w:szCs w:val="21"/>
              </w:rPr>
              <w:t>总氮水质自动分析仪</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85875E">
            <w:pPr>
              <w:spacing w:line="360" w:lineRule="auto"/>
              <w:rPr>
                <w:rFonts w:ascii="宋体" w:hAnsi="宋体" w:cs="宋体"/>
                <w:szCs w:val="21"/>
              </w:rPr>
            </w:pPr>
            <w:r>
              <w:rPr>
                <w:rFonts w:hint="eastAsia" w:ascii="宋体" w:hAnsi="宋体" w:cs="宋体"/>
                <w:szCs w:val="21"/>
              </w:rPr>
              <w:t>测定原理:过硫酸钾消解紫外分光光度法</w:t>
            </w:r>
          </w:p>
          <w:p w14:paraId="75E421D0">
            <w:pPr>
              <w:spacing w:line="360" w:lineRule="auto"/>
              <w:rPr>
                <w:rFonts w:ascii="宋体" w:hAnsi="宋体" w:cs="宋体"/>
                <w:szCs w:val="21"/>
              </w:rPr>
            </w:pPr>
            <w:r>
              <w:rPr>
                <w:rFonts w:hint="eastAsia" w:ascii="宋体" w:hAnsi="宋体" w:cs="宋体"/>
                <w:szCs w:val="21"/>
              </w:rPr>
              <w:t>量程：0～50mg/L，可调</w:t>
            </w:r>
          </w:p>
          <w:p w14:paraId="23D96751">
            <w:pPr>
              <w:spacing w:line="360" w:lineRule="auto"/>
              <w:rPr>
                <w:rFonts w:ascii="宋体" w:hAnsi="宋体" w:cs="宋体"/>
                <w:szCs w:val="21"/>
              </w:rPr>
            </w:pPr>
            <w:r>
              <w:rPr>
                <w:rFonts w:hint="eastAsia" w:ascii="宋体" w:hAnsi="宋体" w:cs="宋体"/>
                <w:szCs w:val="21"/>
              </w:rPr>
              <w:t>零点漂移：±5%</w:t>
            </w:r>
          </w:p>
          <w:p w14:paraId="6B86FDB6">
            <w:pPr>
              <w:spacing w:line="360" w:lineRule="auto"/>
              <w:rPr>
                <w:rFonts w:ascii="宋体" w:hAnsi="宋体" w:cs="宋体"/>
                <w:szCs w:val="21"/>
              </w:rPr>
            </w:pPr>
            <w:r>
              <w:rPr>
                <w:rFonts w:hint="eastAsia" w:ascii="宋体" w:hAnsi="宋体" w:cs="宋体"/>
                <w:szCs w:val="21"/>
              </w:rPr>
              <w:t>量程漂移：±5%</w:t>
            </w:r>
          </w:p>
          <w:p w14:paraId="5F020B37">
            <w:pPr>
              <w:spacing w:line="360" w:lineRule="auto"/>
              <w:rPr>
                <w:rFonts w:ascii="宋体" w:hAnsi="宋体" w:cs="宋体"/>
                <w:szCs w:val="21"/>
              </w:rPr>
            </w:pPr>
            <w:r>
              <w:rPr>
                <w:rFonts w:hint="eastAsia" w:ascii="宋体" w:hAnsi="宋体" w:cs="宋体"/>
                <w:szCs w:val="21"/>
              </w:rPr>
              <w:t>直线性：±5%</w:t>
            </w:r>
          </w:p>
          <w:p w14:paraId="3DC7F499">
            <w:pPr>
              <w:spacing w:line="360" w:lineRule="auto"/>
              <w:rPr>
                <w:rFonts w:ascii="宋体" w:hAnsi="宋体" w:cs="宋体"/>
                <w:szCs w:val="21"/>
              </w:rPr>
            </w:pPr>
            <w:r>
              <w:rPr>
                <w:rFonts w:hint="eastAsia" w:ascii="宋体" w:hAnsi="宋体" w:cs="宋体"/>
                <w:szCs w:val="21"/>
              </w:rPr>
              <w:t>重复性：±5%</w:t>
            </w:r>
          </w:p>
          <w:p w14:paraId="578A3BAC">
            <w:pPr>
              <w:spacing w:line="360" w:lineRule="auto"/>
              <w:rPr>
                <w:rFonts w:ascii="宋体" w:hAnsi="宋体" w:cs="宋体"/>
                <w:szCs w:val="21"/>
              </w:rPr>
            </w:pPr>
            <w:r>
              <w:rPr>
                <w:rFonts w:hint="eastAsia" w:ascii="宋体" w:hAnsi="宋体" w:cs="宋体"/>
                <w:szCs w:val="21"/>
              </w:rPr>
              <w:t>检出限：≤0.1mg/L</w:t>
            </w:r>
          </w:p>
          <w:p w14:paraId="72AFF469">
            <w:pPr>
              <w:spacing w:line="360" w:lineRule="auto"/>
              <w:rPr>
                <w:rFonts w:ascii="宋体" w:hAnsi="宋体" w:cs="宋体"/>
                <w:szCs w:val="21"/>
              </w:rPr>
            </w:pPr>
            <w:r>
              <w:rPr>
                <w:rFonts w:hint="eastAsia" w:ascii="宋体" w:hAnsi="宋体" w:cs="宋体"/>
                <w:szCs w:val="21"/>
              </w:rPr>
              <w:t>MTBF：≥720h/次</w:t>
            </w:r>
          </w:p>
          <w:p w14:paraId="4248E099">
            <w:pPr>
              <w:spacing w:line="360" w:lineRule="auto"/>
              <w:rPr>
                <w:rFonts w:ascii="宋体" w:hAnsi="宋体" w:cs="宋体"/>
                <w:szCs w:val="21"/>
              </w:rPr>
            </w:pPr>
            <w:r>
              <w:rPr>
                <w:rFonts w:hint="eastAsia" w:ascii="宋体" w:hAnsi="宋体" w:cs="宋体"/>
                <w:szCs w:val="21"/>
              </w:rPr>
              <w:t>实际水样比对试验：≤±10%</w:t>
            </w:r>
          </w:p>
        </w:tc>
      </w:tr>
      <w:tr w14:paraId="3DCA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5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36A182">
            <w:pPr>
              <w:spacing w:line="360" w:lineRule="auto"/>
              <w:rPr>
                <w:rFonts w:ascii="宋体" w:hAnsi="宋体" w:cs="宋体"/>
              </w:rPr>
            </w:pPr>
            <w:r>
              <w:rPr>
                <w:rFonts w:hint="eastAsia" w:ascii="宋体" w:hAnsi="宋体" w:cs="宋体"/>
              </w:rPr>
              <w:t>2</w:t>
            </w:r>
          </w:p>
        </w:tc>
        <w:tc>
          <w:tcPr>
            <w:tcW w:w="9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C17C17">
            <w:pPr>
              <w:spacing w:line="360" w:lineRule="auto"/>
              <w:rPr>
                <w:rFonts w:ascii="宋体" w:hAnsi="宋体" w:cs="宋体"/>
                <w:szCs w:val="21"/>
              </w:rPr>
            </w:pPr>
            <w:r>
              <w:rPr>
                <w:rFonts w:hint="eastAsia" w:ascii="宋体" w:hAnsi="宋体" w:cs="宋体"/>
                <w:szCs w:val="21"/>
              </w:rPr>
              <w:t>流量在线监测系统</w:t>
            </w: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2E3828">
            <w:pPr>
              <w:spacing w:line="360" w:lineRule="auto"/>
              <w:rPr>
                <w:rFonts w:ascii="宋体" w:hAnsi="宋体" w:cs="宋体"/>
                <w:szCs w:val="21"/>
              </w:rPr>
            </w:pPr>
            <w:r>
              <w:rPr>
                <w:rFonts w:hint="eastAsia" w:ascii="宋体" w:hAnsi="宋体" w:cs="宋体"/>
                <w:szCs w:val="21"/>
              </w:rPr>
              <w:t>流量在线监测系统</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B582AC">
            <w:pPr>
              <w:spacing w:line="360" w:lineRule="auto"/>
              <w:rPr>
                <w:rFonts w:ascii="宋体" w:hAnsi="宋体" w:cs="宋体"/>
                <w:szCs w:val="21"/>
              </w:rPr>
            </w:pPr>
            <w:r>
              <w:rPr>
                <w:rFonts w:hint="eastAsia" w:ascii="宋体" w:hAnsi="宋体" w:cs="宋体"/>
                <w:szCs w:val="21"/>
              </w:rPr>
              <w:t>超声波多普勒流量计</w:t>
            </w:r>
          </w:p>
          <w:p w14:paraId="0EF1929F">
            <w:pPr>
              <w:spacing w:line="360" w:lineRule="auto"/>
              <w:rPr>
                <w:rFonts w:ascii="宋体" w:hAnsi="宋体" w:cs="宋体"/>
                <w:szCs w:val="21"/>
              </w:rPr>
            </w:pPr>
            <w:r>
              <w:rPr>
                <w:rFonts w:hint="eastAsia" w:ascii="宋体" w:hAnsi="宋体" w:cs="宋体"/>
                <w:szCs w:val="21"/>
              </w:rPr>
              <w:t>测速范围：-6m～6m/s</w:t>
            </w:r>
          </w:p>
          <w:p w14:paraId="3E3384C9">
            <w:pPr>
              <w:spacing w:line="360" w:lineRule="auto"/>
              <w:rPr>
                <w:rFonts w:ascii="宋体" w:hAnsi="宋体" w:cs="宋体"/>
                <w:szCs w:val="21"/>
              </w:rPr>
            </w:pPr>
            <w:r>
              <w:rPr>
                <w:rFonts w:hint="eastAsia" w:ascii="宋体" w:hAnsi="宋体" w:cs="宋体"/>
                <w:szCs w:val="21"/>
              </w:rPr>
              <w:t>测速精度：±0.005m/s ；±1%FS</w:t>
            </w:r>
          </w:p>
          <w:p w14:paraId="4E24FBF8">
            <w:pPr>
              <w:spacing w:line="360" w:lineRule="auto"/>
              <w:rPr>
                <w:rFonts w:ascii="宋体" w:hAnsi="宋体" w:cs="宋体"/>
                <w:szCs w:val="21"/>
              </w:rPr>
            </w:pPr>
            <w:r>
              <w:rPr>
                <w:rFonts w:hint="eastAsia" w:ascii="宋体" w:hAnsi="宋体" w:cs="宋体"/>
                <w:szCs w:val="21"/>
              </w:rPr>
              <w:t>稳定输出数据时间：小于 10S</w:t>
            </w:r>
          </w:p>
          <w:p w14:paraId="0E3B577E">
            <w:pPr>
              <w:spacing w:line="360" w:lineRule="auto"/>
              <w:rPr>
                <w:rFonts w:ascii="宋体" w:hAnsi="宋体" w:cs="宋体"/>
                <w:szCs w:val="21"/>
              </w:rPr>
            </w:pPr>
            <w:r>
              <w:rPr>
                <w:rFonts w:hint="eastAsia" w:ascii="宋体" w:hAnsi="宋体" w:cs="宋体"/>
                <w:szCs w:val="21"/>
              </w:rPr>
              <w:t>最大测量水深：10m</w:t>
            </w:r>
          </w:p>
          <w:p w14:paraId="23193382">
            <w:pPr>
              <w:spacing w:line="360" w:lineRule="auto"/>
              <w:rPr>
                <w:rFonts w:ascii="宋体" w:hAnsi="宋体" w:cs="宋体"/>
                <w:szCs w:val="21"/>
              </w:rPr>
            </w:pPr>
            <w:r>
              <w:rPr>
                <w:rFonts w:hint="eastAsia" w:ascii="宋体" w:hAnsi="宋体" w:cs="宋体"/>
                <w:szCs w:val="21"/>
              </w:rPr>
              <w:t>水位测量精度：±3mm</w:t>
            </w:r>
          </w:p>
          <w:p w14:paraId="5E054582">
            <w:pPr>
              <w:spacing w:line="360" w:lineRule="auto"/>
              <w:rPr>
                <w:rFonts w:ascii="宋体" w:hAnsi="宋体" w:cs="宋体"/>
                <w:szCs w:val="21"/>
              </w:rPr>
            </w:pPr>
            <w:r>
              <w:rPr>
                <w:rFonts w:hint="eastAsia" w:ascii="宋体" w:hAnsi="宋体" w:cs="宋体"/>
                <w:szCs w:val="21"/>
              </w:rPr>
              <w:t>防护等级：IP68</w:t>
            </w:r>
          </w:p>
          <w:p w14:paraId="62BF670C">
            <w:pPr>
              <w:spacing w:line="360" w:lineRule="auto"/>
              <w:rPr>
                <w:rFonts w:ascii="宋体" w:hAnsi="宋体" w:cs="宋体"/>
                <w:szCs w:val="21"/>
              </w:rPr>
            </w:pPr>
            <w:r>
              <w:rPr>
                <w:rFonts w:hint="eastAsia" w:ascii="宋体" w:hAnsi="宋体" w:cs="宋体"/>
                <w:szCs w:val="21"/>
              </w:rPr>
              <w:t>遥测终端（RTU）</w:t>
            </w:r>
          </w:p>
          <w:p w14:paraId="5455D711">
            <w:pPr>
              <w:spacing w:line="360" w:lineRule="auto"/>
              <w:rPr>
                <w:rFonts w:ascii="宋体" w:hAnsi="宋体" w:cs="宋体"/>
                <w:szCs w:val="21"/>
              </w:rPr>
            </w:pPr>
            <w:r>
              <w:rPr>
                <w:rFonts w:hint="eastAsia" w:ascii="宋体" w:hAnsi="宋体" w:cs="宋体"/>
                <w:szCs w:val="21"/>
              </w:rPr>
              <w:t>通讯方式</w:t>
            </w:r>
            <w:r>
              <w:rPr>
                <w:rFonts w:hint="eastAsia" w:ascii="宋体" w:hAnsi="宋体" w:cs="宋体"/>
                <w:szCs w:val="21"/>
              </w:rPr>
              <w:tab/>
            </w:r>
            <w:r>
              <w:rPr>
                <w:rFonts w:hint="eastAsia" w:ascii="宋体" w:hAnsi="宋体" w:cs="宋体"/>
                <w:szCs w:val="21"/>
              </w:rPr>
              <w:t>无线传输</w:t>
            </w:r>
          </w:p>
          <w:p w14:paraId="299EBC61">
            <w:pPr>
              <w:spacing w:line="360" w:lineRule="auto"/>
              <w:rPr>
                <w:rFonts w:ascii="宋体" w:hAnsi="宋体" w:cs="宋体"/>
                <w:szCs w:val="21"/>
              </w:rPr>
            </w:pPr>
            <w:r>
              <w:rPr>
                <w:rFonts w:hint="eastAsia" w:ascii="宋体" w:hAnsi="宋体" w:cs="宋体"/>
                <w:szCs w:val="21"/>
              </w:rPr>
              <w:t>发射功率</w:t>
            </w:r>
            <w:r>
              <w:rPr>
                <w:rFonts w:hint="eastAsia" w:ascii="宋体" w:hAnsi="宋体" w:cs="宋体"/>
                <w:szCs w:val="21"/>
              </w:rPr>
              <w:tab/>
            </w:r>
            <w:r>
              <w:rPr>
                <w:rFonts w:hint="eastAsia" w:ascii="宋体" w:hAnsi="宋体" w:cs="宋体"/>
                <w:szCs w:val="21"/>
              </w:rPr>
              <w:t>23dB</w:t>
            </w:r>
          </w:p>
          <w:p w14:paraId="5FD1AF3C">
            <w:pPr>
              <w:spacing w:line="360" w:lineRule="auto"/>
              <w:rPr>
                <w:rFonts w:ascii="宋体" w:hAnsi="宋体" w:cs="宋体"/>
                <w:szCs w:val="21"/>
              </w:rPr>
            </w:pPr>
            <w:r>
              <w:rPr>
                <w:rFonts w:hint="eastAsia" w:ascii="宋体" w:hAnsi="宋体" w:cs="宋体"/>
                <w:szCs w:val="21"/>
              </w:rPr>
              <w:t>电池容量</w:t>
            </w:r>
            <w:r>
              <w:rPr>
                <w:rFonts w:hint="eastAsia" w:ascii="宋体" w:hAnsi="宋体" w:cs="宋体"/>
                <w:szCs w:val="21"/>
              </w:rPr>
              <w:tab/>
            </w:r>
            <w:r>
              <w:rPr>
                <w:rFonts w:hint="eastAsia" w:ascii="宋体" w:hAnsi="宋体" w:cs="宋体"/>
                <w:szCs w:val="21"/>
              </w:rPr>
              <w:t>3.6V@38Ah</w:t>
            </w:r>
          </w:p>
          <w:p w14:paraId="34401176">
            <w:pPr>
              <w:spacing w:line="360" w:lineRule="auto"/>
              <w:rPr>
                <w:rFonts w:ascii="宋体" w:hAnsi="宋体" w:cs="宋体"/>
                <w:szCs w:val="21"/>
              </w:rPr>
            </w:pPr>
            <w:r>
              <w:rPr>
                <w:rFonts w:hint="eastAsia" w:ascii="宋体" w:hAnsi="宋体" w:cs="宋体"/>
                <w:szCs w:val="21"/>
              </w:rPr>
              <w:t>动态电流</w:t>
            </w:r>
            <w:r>
              <w:rPr>
                <w:rFonts w:hint="eastAsia" w:ascii="宋体" w:hAnsi="宋体" w:cs="宋体"/>
                <w:szCs w:val="21"/>
              </w:rPr>
              <w:tab/>
            </w:r>
            <w:r>
              <w:rPr>
                <w:rFonts w:hint="eastAsia" w:ascii="宋体" w:hAnsi="宋体" w:cs="宋体"/>
                <w:szCs w:val="21"/>
              </w:rPr>
              <w:t>&lt;500mA</w:t>
            </w:r>
          </w:p>
          <w:p w14:paraId="1BB99C63">
            <w:pPr>
              <w:spacing w:line="360" w:lineRule="auto"/>
              <w:rPr>
                <w:rFonts w:ascii="宋体" w:hAnsi="宋体" w:cs="宋体"/>
                <w:szCs w:val="21"/>
              </w:rPr>
            </w:pPr>
            <w:r>
              <w:rPr>
                <w:rFonts w:hint="eastAsia" w:ascii="宋体" w:hAnsi="宋体" w:cs="宋体"/>
                <w:szCs w:val="21"/>
              </w:rPr>
              <w:t>静态电流</w:t>
            </w:r>
            <w:r>
              <w:rPr>
                <w:rFonts w:hint="eastAsia" w:ascii="宋体" w:hAnsi="宋体" w:cs="宋体"/>
                <w:szCs w:val="21"/>
              </w:rPr>
              <w:tab/>
            </w:r>
            <w:r>
              <w:rPr>
                <w:rFonts w:hint="eastAsia" w:ascii="宋体" w:hAnsi="宋体" w:cs="宋体"/>
                <w:szCs w:val="21"/>
              </w:rPr>
              <w:t>＜35uA</w:t>
            </w:r>
          </w:p>
          <w:p w14:paraId="6B00127C">
            <w:pPr>
              <w:spacing w:line="360" w:lineRule="auto"/>
              <w:rPr>
                <w:rFonts w:ascii="宋体" w:hAnsi="宋体" w:cs="宋体"/>
                <w:szCs w:val="21"/>
              </w:rPr>
            </w:pPr>
            <w:r>
              <w:rPr>
                <w:rFonts w:hint="eastAsia" w:ascii="宋体" w:hAnsi="宋体" w:cs="宋体"/>
                <w:szCs w:val="21"/>
              </w:rPr>
              <w:t>存储容量</w:t>
            </w:r>
            <w:r>
              <w:rPr>
                <w:rFonts w:hint="eastAsia" w:ascii="宋体" w:hAnsi="宋体" w:cs="宋体"/>
                <w:szCs w:val="21"/>
              </w:rPr>
              <w:tab/>
            </w:r>
            <w:r>
              <w:rPr>
                <w:rFonts w:hint="eastAsia" w:ascii="宋体" w:hAnsi="宋体" w:cs="宋体"/>
                <w:szCs w:val="21"/>
              </w:rPr>
              <w:t>4Mbit</w:t>
            </w:r>
          </w:p>
          <w:p w14:paraId="41420ADD">
            <w:pPr>
              <w:spacing w:line="360" w:lineRule="auto"/>
              <w:rPr>
                <w:rFonts w:ascii="宋体" w:hAnsi="宋体" w:cs="宋体"/>
                <w:szCs w:val="21"/>
              </w:rPr>
            </w:pPr>
            <w:r>
              <w:rPr>
                <w:rFonts w:hint="eastAsia" w:ascii="宋体" w:hAnsi="宋体" w:cs="宋体"/>
                <w:szCs w:val="21"/>
              </w:rPr>
              <w:t>历史数据数量</w:t>
            </w:r>
            <w:r>
              <w:rPr>
                <w:rFonts w:hint="eastAsia" w:ascii="宋体" w:hAnsi="宋体" w:cs="宋体"/>
                <w:szCs w:val="21"/>
              </w:rPr>
              <w:tab/>
            </w:r>
            <w:r>
              <w:rPr>
                <w:rFonts w:hint="eastAsia" w:ascii="宋体" w:hAnsi="宋体" w:cs="宋体"/>
                <w:szCs w:val="21"/>
              </w:rPr>
              <w:t>&gt;4000条</w:t>
            </w:r>
          </w:p>
          <w:p w14:paraId="55B51225">
            <w:pPr>
              <w:spacing w:line="360" w:lineRule="auto"/>
              <w:rPr>
                <w:rFonts w:ascii="宋体" w:hAnsi="宋体" w:cs="宋体"/>
                <w:szCs w:val="21"/>
              </w:rPr>
            </w:pPr>
            <w:r>
              <w:rPr>
                <w:rFonts w:hint="eastAsia" w:ascii="宋体" w:hAnsi="宋体" w:cs="宋体"/>
                <w:szCs w:val="21"/>
              </w:rPr>
              <w:t>存储时间</w:t>
            </w:r>
            <w:r>
              <w:rPr>
                <w:rFonts w:hint="eastAsia" w:ascii="宋体" w:hAnsi="宋体" w:cs="宋体"/>
                <w:szCs w:val="21"/>
              </w:rPr>
              <w:tab/>
            </w:r>
            <w:r>
              <w:rPr>
                <w:rFonts w:hint="eastAsia" w:ascii="宋体" w:hAnsi="宋体" w:cs="宋体"/>
                <w:szCs w:val="21"/>
              </w:rPr>
              <w:t>&gt;10年</w:t>
            </w:r>
          </w:p>
          <w:p w14:paraId="36225051">
            <w:pPr>
              <w:spacing w:line="360" w:lineRule="auto"/>
              <w:rPr>
                <w:rFonts w:ascii="宋体" w:hAnsi="宋体" w:cs="宋体"/>
                <w:szCs w:val="21"/>
              </w:rPr>
            </w:pPr>
            <w:r>
              <w:rPr>
                <w:rFonts w:hint="eastAsia" w:ascii="宋体" w:hAnsi="宋体" w:cs="宋体"/>
                <w:szCs w:val="21"/>
              </w:rPr>
              <w:t>防水等级</w:t>
            </w:r>
            <w:r>
              <w:rPr>
                <w:rFonts w:hint="eastAsia" w:ascii="宋体" w:hAnsi="宋体" w:cs="宋体"/>
                <w:szCs w:val="21"/>
              </w:rPr>
              <w:tab/>
            </w:r>
            <w:r>
              <w:rPr>
                <w:rFonts w:hint="eastAsia" w:ascii="宋体" w:hAnsi="宋体" w:cs="宋体"/>
                <w:szCs w:val="21"/>
              </w:rPr>
              <w:t>IP68</w:t>
            </w:r>
          </w:p>
          <w:p w14:paraId="72920618">
            <w:pPr>
              <w:spacing w:line="360" w:lineRule="auto"/>
              <w:rPr>
                <w:rFonts w:ascii="宋体" w:hAnsi="宋体" w:cs="宋体"/>
                <w:szCs w:val="21"/>
              </w:rPr>
            </w:pPr>
            <w:r>
              <w:rPr>
                <w:rFonts w:hint="eastAsia" w:ascii="宋体" w:hAnsi="宋体" w:cs="宋体"/>
                <w:szCs w:val="21"/>
              </w:rPr>
              <w:t>工作环境</w:t>
            </w:r>
            <w:r>
              <w:rPr>
                <w:rFonts w:hint="eastAsia" w:ascii="宋体" w:hAnsi="宋体" w:cs="宋体"/>
                <w:szCs w:val="21"/>
              </w:rPr>
              <w:tab/>
            </w:r>
            <w:r>
              <w:rPr>
                <w:rFonts w:hint="eastAsia" w:ascii="宋体" w:hAnsi="宋体" w:cs="宋体"/>
                <w:szCs w:val="21"/>
              </w:rPr>
              <w:t>温度(-40℃～+85℃),环境相对湿度</w:t>
            </w:r>
          </w:p>
        </w:tc>
      </w:tr>
      <w:tr w14:paraId="770F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4897A143">
            <w:pPr>
              <w:spacing w:line="360" w:lineRule="auto"/>
              <w:rPr>
                <w:rFonts w:ascii="宋体" w:hAnsi="宋体" w:cs="宋体"/>
              </w:rPr>
            </w:pPr>
            <w:r>
              <w:rPr>
                <w:rFonts w:hint="eastAsia" w:ascii="宋体" w:hAnsi="宋体" w:cs="宋体"/>
              </w:rPr>
              <w:t>3</w:t>
            </w:r>
          </w:p>
        </w:tc>
        <w:tc>
          <w:tcPr>
            <w:tcW w:w="920"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7FF8D63A">
            <w:pPr>
              <w:spacing w:line="360" w:lineRule="auto"/>
              <w:rPr>
                <w:rFonts w:ascii="宋体" w:hAnsi="宋体" w:cs="宋体"/>
                <w:szCs w:val="21"/>
              </w:rPr>
            </w:pPr>
            <w:r>
              <w:rPr>
                <w:rFonts w:hint="eastAsia" w:ascii="宋体" w:hAnsi="宋体" w:cs="宋体"/>
                <w:szCs w:val="21"/>
              </w:rPr>
              <w:t>视频监控设备</w:t>
            </w: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7667B1">
            <w:pPr>
              <w:spacing w:line="360" w:lineRule="auto"/>
              <w:rPr>
                <w:rFonts w:ascii="宋体" w:hAnsi="宋体" w:cs="宋体"/>
                <w:szCs w:val="21"/>
              </w:rPr>
            </w:pPr>
            <w:r>
              <w:rPr>
                <w:rFonts w:hint="eastAsia" w:ascii="宋体" w:hAnsi="宋体" w:cs="宋体"/>
                <w:szCs w:val="21"/>
              </w:rPr>
              <w:t>智能球型摄像机</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1ABB84">
            <w:pPr>
              <w:spacing w:line="360" w:lineRule="auto"/>
              <w:rPr>
                <w:rFonts w:ascii="宋体" w:hAnsi="宋体" w:cs="宋体"/>
                <w:szCs w:val="21"/>
              </w:rPr>
            </w:pPr>
            <w:r>
              <w:rPr>
                <w:rFonts w:hint="eastAsia" w:ascii="宋体" w:hAnsi="宋体" w:cs="宋体"/>
                <w:szCs w:val="21"/>
              </w:rPr>
              <w:t>7英寸球型；支持多种智能功能。全景400W、光学变倍，数字变倍、支持H.265编码，红外灯补光，360°连续旋转， 支持音频输入和音频输出  内置报警输入和报警输出，支持报警联动功能  支持IP66防护等级、防浪涌和防突波保护、支持DC12V±20%宽电压输入</w:t>
            </w:r>
          </w:p>
        </w:tc>
      </w:tr>
      <w:tr w14:paraId="10E9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1C393503">
            <w:pPr>
              <w:spacing w:line="360" w:lineRule="auto"/>
              <w:rPr>
                <w:rFonts w:ascii="宋体" w:hAnsi="宋体" w:cs="宋体"/>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56267C38">
            <w:pPr>
              <w:spacing w:line="360" w:lineRule="auto"/>
              <w:rPr>
                <w:rFonts w:ascii="宋体" w:hAnsi="宋体" w:cs="宋体"/>
              </w:rPr>
            </w:pPr>
          </w:p>
        </w:tc>
        <w:tc>
          <w:tcPr>
            <w:tcW w:w="1130"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14:paraId="3E19F805">
            <w:pPr>
              <w:spacing w:line="360" w:lineRule="auto"/>
              <w:rPr>
                <w:rFonts w:ascii="宋体" w:hAnsi="宋体" w:cs="宋体"/>
                <w:szCs w:val="21"/>
              </w:rPr>
            </w:pPr>
            <w:r>
              <w:rPr>
                <w:rFonts w:hint="eastAsia" w:ascii="宋体" w:hAnsi="宋体" w:cs="宋体"/>
                <w:szCs w:val="21"/>
              </w:rPr>
              <w:t>智能视频管理平台服务器</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D773798">
            <w:pPr>
              <w:spacing w:line="360" w:lineRule="auto"/>
              <w:rPr>
                <w:rFonts w:ascii="宋体" w:hAnsi="宋体" w:cs="宋体"/>
                <w:szCs w:val="21"/>
              </w:rPr>
            </w:pPr>
            <w:r>
              <w:rPr>
                <w:rFonts w:hint="eastAsia" w:ascii="宋体" w:hAnsi="宋体" w:cs="宋体"/>
                <w:szCs w:val="21"/>
              </w:rPr>
              <w:t xml:space="preserve">针对SMB中小场景业务需求的综合安防管理一体机，在兼容安防视频监控的固有功能基础上，可扩展门禁考勤管理、运维中心管理、基础业务管理等业务功能。 </w:t>
            </w:r>
          </w:p>
        </w:tc>
      </w:tr>
      <w:tr w14:paraId="425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53B052DF">
            <w:pPr>
              <w:widowControl/>
              <w:spacing w:line="360" w:lineRule="auto"/>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32CFDB51">
            <w:pPr>
              <w:widowControl/>
              <w:spacing w:line="360" w:lineRule="auto"/>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E1FDC0">
            <w:pPr>
              <w:widowControl/>
              <w:spacing w:line="360" w:lineRule="auto"/>
              <w:contextualSpacing/>
              <w:jc w:val="center"/>
              <w:rPr>
                <w:rFonts w:ascii="宋体" w:hAnsi="宋体" w:cs="宋体"/>
                <w:szCs w:val="21"/>
              </w:rPr>
            </w:pPr>
            <w:r>
              <w:rPr>
                <w:rFonts w:hint="eastAsia" w:ascii="宋体" w:hAnsi="宋体" w:cs="宋体"/>
                <w:szCs w:val="21"/>
              </w:rPr>
              <w:t>视频综合平台系统软件</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CEDF06">
            <w:pPr>
              <w:widowControl/>
              <w:spacing w:line="360" w:lineRule="auto"/>
              <w:contextualSpacing/>
              <w:rPr>
                <w:rFonts w:ascii="宋体" w:hAnsi="宋体" w:cs="宋体"/>
                <w:b/>
                <w:i/>
                <w:szCs w:val="21"/>
              </w:rPr>
            </w:pPr>
            <w:r>
              <w:rPr>
                <w:rFonts w:hint="eastAsia" w:ascii="宋体" w:hAnsi="宋体" w:cs="宋体"/>
              </w:rPr>
              <w:t>支持窗口操作、预览上墙、回放上墙、视图、报警联动等功能</w:t>
            </w:r>
          </w:p>
        </w:tc>
      </w:tr>
      <w:tr w14:paraId="3D9A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0D8F400F">
            <w:pPr>
              <w:widowControl/>
              <w:spacing w:line="360" w:lineRule="auto"/>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00A50C94">
            <w:pPr>
              <w:widowControl/>
              <w:spacing w:line="360" w:lineRule="auto"/>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84CFA7">
            <w:pPr>
              <w:widowControl/>
              <w:spacing w:line="360" w:lineRule="auto"/>
              <w:contextualSpacing/>
              <w:jc w:val="center"/>
              <w:rPr>
                <w:rFonts w:ascii="宋体" w:hAnsi="宋体" w:cs="宋体"/>
                <w:szCs w:val="21"/>
              </w:rPr>
            </w:pPr>
            <w:r>
              <w:rPr>
                <w:rFonts w:hint="eastAsia" w:ascii="宋体" w:hAnsi="宋体" w:cs="宋体"/>
                <w:szCs w:val="21"/>
              </w:rPr>
              <w:t>解码器</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84997D">
            <w:pPr>
              <w:widowControl/>
              <w:spacing w:line="360" w:lineRule="auto"/>
              <w:contextualSpacing/>
              <w:rPr>
                <w:rFonts w:ascii="宋体" w:hAnsi="宋体" w:cs="宋体"/>
                <w:szCs w:val="21"/>
              </w:rPr>
            </w:pPr>
            <w:r>
              <w:rPr>
                <w:rFonts w:hint="eastAsia" w:ascii="宋体" w:hAnsi="宋体" w:cs="宋体"/>
                <w:szCs w:val="21"/>
              </w:rPr>
              <w:t>支持9路或以上HDMI信号输出</w:t>
            </w:r>
          </w:p>
          <w:p w14:paraId="7CCEB242">
            <w:pPr>
              <w:widowControl/>
              <w:spacing w:line="360" w:lineRule="auto"/>
              <w:contextualSpacing/>
              <w:rPr>
                <w:rFonts w:ascii="宋体" w:hAnsi="宋体" w:cs="宋体"/>
                <w:szCs w:val="21"/>
              </w:rPr>
            </w:pPr>
            <w:r>
              <w:rPr>
                <w:rFonts w:hint="eastAsia" w:ascii="宋体" w:hAnsi="宋体" w:cs="宋体"/>
                <w:szCs w:val="21"/>
              </w:rPr>
              <w:t>输出接口最大支持1920×1080支持超高超宽自定义分辨率输出设置，</w:t>
            </w:r>
          </w:p>
          <w:p w14:paraId="24252C18">
            <w:pPr>
              <w:widowControl/>
              <w:spacing w:line="360" w:lineRule="auto"/>
              <w:contextualSpacing/>
              <w:rPr>
                <w:rFonts w:ascii="宋体" w:hAnsi="宋体" w:cs="宋体"/>
                <w:szCs w:val="21"/>
              </w:rPr>
            </w:pPr>
            <w:r>
              <w:rPr>
                <w:rFonts w:hint="eastAsia" w:ascii="宋体" w:hAnsi="宋体" w:cs="宋体"/>
                <w:szCs w:val="21"/>
              </w:rPr>
              <w:t>整机解码H265及其他相关等</w:t>
            </w:r>
          </w:p>
        </w:tc>
      </w:tr>
      <w:tr w14:paraId="4FAF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5460A4D5">
            <w:pPr>
              <w:widowControl/>
              <w:spacing w:line="360" w:lineRule="auto"/>
              <w:ind w:firstLine="200"/>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75BB019F">
            <w:pPr>
              <w:widowControl/>
              <w:spacing w:line="360" w:lineRule="auto"/>
              <w:ind w:firstLine="200"/>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1446D8">
            <w:pPr>
              <w:widowControl/>
              <w:spacing w:line="360" w:lineRule="auto"/>
              <w:ind w:firstLine="200"/>
              <w:contextualSpacing/>
              <w:jc w:val="center"/>
              <w:rPr>
                <w:rFonts w:ascii="宋体" w:hAnsi="宋体" w:cs="宋体"/>
                <w:szCs w:val="21"/>
              </w:rPr>
            </w:pPr>
            <w:r>
              <w:rPr>
                <w:rFonts w:hint="eastAsia" w:ascii="宋体" w:hAnsi="宋体" w:cs="宋体"/>
                <w:szCs w:val="21"/>
              </w:rPr>
              <w:t>网络硬盘录像机</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27C6A8">
            <w:pPr>
              <w:widowControl/>
              <w:spacing w:line="360" w:lineRule="auto"/>
              <w:contextualSpacing/>
              <w:rPr>
                <w:rFonts w:ascii="宋体" w:hAnsi="宋体" w:cs="宋体"/>
                <w:szCs w:val="21"/>
              </w:rPr>
            </w:pPr>
            <w:r>
              <w:rPr>
                <w:rFonts w:hint="eastAsia" w:ascii="宋体" w:hAnsi="宋体" w:cs="宋体"/>
                <w:szCs w:val="21"/>
              </w:rPr>
              <w:t xml:space="preserve">支持APP远程监控，预览，回放支持解码，支持解码自适应 、支持接入ONVIF、RTSP协议的主流品牌摄像机 </w:t>
            </w:r>
          </w:p>
          <w:p w14:paraId="55D812DA">
            <w:pPr>
              <w:widowControl/>
              <w:spacing w:line="360" w:lineRule="auto"/>
              <w:contextualSpacing/>
              <w:rPr>
                <w:rFonts w:ascii="宋体" w:hAnsi="宋体" w:cs="宋体"/>
                <w:szCs w:val="21"/>
              </w:rPr>
            </w:pPr>
            <w:r>
              <w:rPr>
                <w:rFonts w:hint="eastAsia" w:ascii="宋体" w:hAnsi="宋体" w:cs="宋体"/>
                <w:szCs w:val="21"/>
              </w:rPr>
              <w:t>支持Smart264+/Smart265+ 、支持VGA、HDMI同源输出，HDMI视频输出分辨率最高达1920×1080 、支持远程配置管理IPC及相关功能</w:t>
            </w:r>
          </w:p>
        </w:tc>
      </w:tr>
      <w:tr w14:paraId="1B58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2A0B39DA">
            <w:pPr>
              <w:widowControl/>
              <w:spacing w:line="360" w:lineRule="auto"/>
              <w:ind w:firstLine="200"/>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1F6B00BA">
            <w:pPr>
              <w:widowControl/>
              <w:spacing w:line="360" w:lineRule="auto"/>
              <w:ind w:firstLine="200"/>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BD7039">
            <w:pPr>
              <w:widowControl/>
              <w:spacing w:line="360" w:lineRule="auto"/>
              <w:ind w:firstLine="200"/>
              <w:contextualSpacing/>
              <w:jc w:val="center"/>
              <w:rPr>
                <w:rFonts w:ascii="宋体" w:hAnsi="宋体" w:cs="宋体"/>
                <w:szCs w:val="21"/>
              </w:rPr>
            </w:pPr>
            <w:r>
              <w:rPr>
                <w:rFonts w:hint="eastAsia" w:ascii="宋体" w:hAnsi="宋体" w:cs="宋体"/>
                <w:szCs w:val="21"/>
              </w:rPr>
              <w:t>太阳能供电系统</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7D5C43">
            <w:pPr>
              <w:widowControl/>
              <w:spacing w:line="360" w:lineRule="auto"/>
              <w:contextualSpacing/>
              <w:rPr>
                <w:rFonts w:ascii="宋体" w:hAnsi="宋体" w:cs="宋体"/>
                <w:szCs w:val="21"/>
              </w:rPr>
            </w:pPr>
            <w:r>
              <w:rPr>
                <w:rFonts w:hint="eastAsia" w:ascii="宋体" w:hAnsi="宋体" w:cs="宋体"/>
                <w:szCs w:val="21"/>
              </w:rPr>
              <w:t>峰值功率高达150W ，单晶A级 ，电池采用磷酸铁锂电池容量：200AH 含电池箱，数显控制器，充电电流防过冲，防过放。带远程小程序可以控制维护检测等</w:t>
            </w:r>
          </w:p>
        </w:tc>
      </w:tr>
      <w:tr w14:paraId="3C7D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13B28A07">
            <w:pPr>
              <w:widowControl/>
              <w:spacing w:line="360" w:lineRule="auto"/>
              <w:ind w:firstLine="200"/>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5A294709">
            <w:pPr>
              <w:widowControl/>
              <w:spacing w:line="360" w:lineRule="auto"/>
              <w:ind w:firstLine="200"/>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6025C9">
            <w:pPr>
              <w:widowControl/>
              <w:spacing w:line="360" w:lineRule="auto"/>
              <w:ind w:firstLine="200"/>
              <w:contextualSpacing/>
              <w:jc w:val="center"/>
              <w:rPr>
                <w:rFonts w:ascii="宋体" w:hAnsi="宋体" w:cs="宋体"/>
                <w:szCs w:val="21"/>
              </w:rPr>
            </w:pPr>
            <w:r>
              <w:rPr>
                <w:rFonts w:hint="eastAsia" w:ascii="宋体" w:hAnsi="宋体" w:cs="宋体"/>
                <w:szCs w:val="21"/>
              </w:rPr>
              <w:t>4G全网通VPN</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81CCEC">
            <w:pPr>
              <w:widowControl/>
              <w:spacing w:line="360" w:lineRule="auto"/>
              <w:contextualSpacing/>
              <w:rPr>
                <w:rFonts w:ascii="宋体" w:hAnsi="宋体" w:cs="宋体"/>
                <w:szCs w:val="21"/>
              </w:rPr>
            </w:pPr>
            <w:r>
              <w:rPr>
                <w:rFonts w:hint="eastAsia" w:ascii="宋体" w:hAnsi="宋体" w:cs="宋体"/>
                <w:szCs w:val="21"/>
              </w:rPr>
              <w:t>支持私有网络域名，支持旁路模式，支持设备密钥系统，支持安卓设备接入，支持三级互联，实现分级管理，提高安全性。</w:t>
            </w:r>
          </w:p>
        </w:tc>
      </w:tr>
      <w:tr w14:paraId="05A9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vMerge w:val="continue"/>
            <w:tcBorders>
              <w:left w:val="single" w:color="auto" w:sz="4" w:space="0"/>
              <w:right w:val="single" w:color="auto" w:sz="4" w:space="0"/>
            </w:tcBorders>
            <w:tcMar>
              <w:top w:w="0" w:type="dxa"/>
              <w:left w:w="105" w:type="dxa"/>
              <w:bottom w:w="0" w:type="dxa"/>
              <w:right w:w="105" w:type="dxa"/>
            </w:tcMar>
            <w:vAlign w:val="center"/>
          </w:tcPr>
          <w:p w14:paraId="1551B7A5">
            <w:pPr>
              <w:widowControl/>
              <w:spacing w:line="360" w:lineRule="auto"/>
              <w:ind w:firstLine="200"/>
              <w:contextualSpacing/>
              <w:jc w:val="center"/>
              <w:rPr>
                <w:rFonts w:ascii="宋体" w:hAnsi="宋体" w:cs="宋体"/>
                <w:szCs w:val="21"/>
              </w:rPr>
            </w:pPr>
          </w:p>
        </w:tc>
        <w:tc>
          <w:tcPr>
            <w:tcW w:w="920" w:type="dxa"/>
            <w:vMerge w:val="continue"/>
            <w:tcBorders>
              <w:left w:val="single" w:color="auto" w:sz="4" w:space="0"/>
              <w:right w:val="single" w:color="auto" w:sz="4" w:space="0"/>
            </w:tcBorders>
            <w:tcMar>
              <w:top w:w="0" w:type="dxa"/>
              <w:left w:w="105" w:type="dxa"/>
              <w:bottom w:w="0" w:type="dxa"/>
              <w:right w:w="105" w:type="dxa"/>
            </w:tcMar>
            <w:vAlign w:val="center"/>
          </w:tcPr>
          <w:p w14:paraId="099E6003">
            <w:pPr>
              <w:widowControl/>
              <w:spacing w:line="360" w:lineRule="auto"/>
              <w:ind w:firstLine="200"/>
              <w:contextualSpacing/>
              <w:jc w:val="center"/>
              <w:rPr>
                <w:rFonts w:ascii="宋体" w:hAnsi="宋体" w:cs="宋体"/>
                <w:szCs w:val="21"/>
              </w:rPr>
            </w:pP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A94FB2">
            <w:pPr>
              <w:widowControl/>
              <w:spacing w:line="360" w:lineRule="auto"/>
              <w:ind w:firstLine="200"/>
              <w:contextualSpacing/>
              <w:jc w:val="center"/>
              <w:rPr>
                <w:rFonts w:ascii="宋体" w:hAnsi="宋体" w:cs="宋体"/>
                <w:szCs w:val="21"/>
              </w:rPr>
            </w:pPr>
            <w:r>
              <w:rPr>
                <w:rFonts w:hint="eastAsia" w:ascii="宋体" w:hAnsi="宋体" w:cs="宋体"/>
                <w:szCs w:val="21"/>
              </w:rPr>
              <w:t>网关</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FAADF5">
            <w:pPr>
              <w:widowControl/>
              <w:spacing w:line="360" w:lineRule="auto"/>
              <w:contextualSpacing/>
              <w:rPr>
                <w:rFonts w:ascii="宋体" w:hAnsi="宋体" w:cs="宋体"/>
                <w:szCs w:val="21"/>
              </w:rPr>
            </w:pPr>
            <w:r>
              <w:rPr>
                <w:rFonts w:hint="eastAsia" w:ascii="宋体" w:hAnsi="宋体" w:cs="宋体"/>
                <w:szCs w:val="21"/>
              </w:rPr>
              <w:t>支持电信和联通宽带ADSL。支持B/S软件，支持端口映射，支持设备对设备跨网络加速服务。</w:t>
            </w:r>
          </w:p>
        </w:tc>
      </w:tr>
      <w:tr w14:paraId="02D9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40" w:type="dxa"/>
            <w:tcBorders>
              <w:left w:val="single" w:color="auto" w:sz="4" w:space="0"/>
              <w:right w:val="single" w:color="auto" w:sz="4" w:space="0"/>
            </w:tcBorders>
            <w:tcMar>
              <w:top w:w="0" w:type="dxa"/>
              <w:left w:w="105" w:type="dxa"/>
              <w:bottom w:w="0" w:type="dxa"/>
              <w:right w:w="105" w:type="dxa"/>
            </w:tcMar>
            <w:vAlign w:val="center"/>
          </w:tcPr>
          <w:p w14:paraId="661AF087">
            <w:pPr>
              <w:widowControl/>
              <w:spacing w:line="360" w:lineRule="auto"/>
              <w:ind w:firstLine="200"/>
              <w:contextualSpacing/>
              <w:jc w:val="center"/>
              <w:rPr>
                <w:rFonts w:ascii="宋体" w:hAnsi="宋体" w:cs="宋体"/>
                <w:szCs w:val="21"/>
              </w:rPr>
            </w:pPr>
            <w:r>
              <w:rPr>
                <w:rFonts w:hint="eastAsia" w:ascii="宋体" w:hAnsi="宋体" w:cs="宋体"/>
                <w:szCs w:val="21"/>
              </w:rPr>
              <w:t>4</w:t>
            </w:r>
          </w:p>
        </w:tc>
        <w:tc>
          <w:tcPr>
            <w:tcW w:w="920" w:type="dxa"/>
            <w:tcBorders>
              <w:left w:val="single" w:color="auto" w:sz="4" w:space="0"/>
              <w:right w:val="single" w:color="auto" w:sz="4" w:space="0"/>
            </w:tcBorders>
            <w:tcMar>
              <w:top w:w="0" w:type="dxa"/>
              <w:left w:w="105" w:type="dxa"/>
              <w:bottom w:w="0" w:type="dxa"/>
              <w:right w:w="105" w:type="dxa"/>
            </w:tcMar>
            <w:vAlign w:val="center"/>
          </w:tcPr>
          <w:p w14:paraId="7CD1DCE8">
            <w:pPr>
              <w:widowControl/>
              <w:spacing w:line="360" w:lineRule="auto"/>
              <w:contextualSpacing/>
              <w:rPr>
                <w:rFonts w:ascii="宋体" w:hAnsi="宋体" w:cs="宋体"/>
                <w:szCs w:val="21"/>
              </w:rPr>
            </w:pPr>
            <w:r>
              <w:rPr>
                <w:rFonts w:hint="eastAsia" w:ascii="宋体" w:hAnsi="宋体" w:cs="宋体"/>
                <w:szCs w:val="21"/>
              </w:rPr>
              <w:t>入河排污口管理系统</w:t>
            </w:r>
          </w:p>
        </w:tc>
        <w:tc>
          <w:tcPr>
            <w:tcW w:w="11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1D8D51">
            <w:pPr>
              <w:widowControl/>
              <w:spacing w:line="360" w:lineRule="auto"/>
              <w:ind w:firstLine="200"/>
              <w:contextualSpacing/>
              <w:rPr>
                <w:rFonts w:ascii="宋体" w:hAnsi="宋体" w:cs="宋体"/>
                <w:szCs w:val="21"/>
              </w:rPr>
            </w:pPr>
            <w:r>
              <w:rPr>
                <w:rFonts w:hint="eastAsia" w:ascii="宋体" w:hAnsi="宋体" w:cs="宋体"/>
                <w:szCs w:val="21"/>
              </w:rPr>
              <w:t>硬件技术要求</w:t>
            </w:r>
          </w:p>
        </w:tc>
        <w:tc>
          <w:tcPr>
            <w:tcW w:w="66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EC993D">
            <w:pPr>
              <w:widowControl/>
              <w:spacing w:line="360" w:lineRule="auto"/>
              <w:rPr>
                <w:rFonts w:ascii="宋体" w:hAnsi="宋体" w:cs="宋体"/>
                <w:szCs w:val="21"/>
              </w:rPr>
            </w:pPr>
            <w:r>
              <w:rPr>
                <w:rFonts w:hint="eastAsia" w:ascii="宋体" w:hAnsi="宋体" w:cs="宋体"/>
                <w:szCs w:val="21"/>
              </w:rPr>
              <w:t>一.数据应用服务器</w:t>
            </w:r>
          </w:p>
          <w:p w14:paraId="7B6F0F90">
            <w:pPr>
              <w:widowControl/>
              <w:spacing w:line="360" w:lineRule="auto"/>
              <w:rPr>
                <w:rFonts w:ascii="宋体" w:hAnsi="宋体" w:cs="宋体"/>
                <w:szCs w:val="21"/>
              </w:rPr>
            </w:pPr>
            <w:r>
              <w:rPr>
                <w:rFonts w:hint="eastAsia" w:ascii="宋体" w:hAnsi="宋体" w:cs="宋体"/>
                <w:szCs w:val="21"/>
              </w:rPr>
              <w:t>1.操作系统类型/版本</w:t>
            </w:r>
          </w:p>
          <w:p w14:paraId="010C940C">
            <w:pPr>
              <w:widowControl/>
              <w:spacing w:line="360" w:lineRule="auto"/>
              <w:rPr>
                <w:rFonts w:ascii="宋体" w:hAnsi="宋体" w:cs="宋体"/>
                <w:szCs w:val="21"/>
              </w:rPr>
            </w:pPr>
            <w:r>
              <w:rPr>
                <w:rFonts w:hint="eastAsia" w:ascii="宋体" w:hAnsi="宋体" w:cs="宋体"/>
                <w:szCs w:val="21"/>
              </w:rPr>
              <w:t>Centos8.5</w:t>
            </w:r>
          </w:p>
          <w:p w14:paraId="1C68F767">
            <w:pPr>
              <w:widowControl/>
              <w:spacing w:line="360" w:lineRule="auto"/>
              <w:rPr>
                <w:rFonts w:ascii="宋体" w:hAnsi="宋体" w:cs="宋体"/>
                <w:szCs w:val="21"/>
              </w:rPr>
            </w:pPr>
            <w:r>
              <w:rPr>
                <w:rFonts w:hint="eastAsia" w:ascii="宋体" w:hAnsi="宋体" w:cs="宋体"/>
                <w:szCs w:val="21"/>
              </w:rPr>
              <w:t>2.计算资源</w:t>
            </w:r>
          </w:p>
          <w:p w14:paraId="66C25615">
            <w:pPr>
              <w:widowControl/>
              <w:spacing w:line="360" w:lineRule="auto"/>
              <w:rPr>
                <w:rFonts w:ascii="宋体" w:hAnsi="宋体" w:cs="宋体"/>
                <w:szCs w:val="21"/>
              </w:rPr>
            </w:pPr>
            <w:r>
              <w:rPr>
                <w:rFonts w:hint="eastAsia" w:ascii="宋体" w:hAnsi="宋体" w:cs="宋体"/>
                <w:szCs w:val="21"/>
              </w:rPr>
              <w:t>CPU：8核，内存：32GB</w:t>
            </w:r>
          </w:p>
          <w:p w14:paraId="165D0328">
            <w:pPr>
              <w:widowControl/>
              <w:spacing w:line="360" w:lineRule="auto"/>
              <w:rPr>
                <w:rFonts w:ascii="宋体" w:hAnsi="宋体" w:cs="宋体"/>
                <w:szCs w:val="21"/>
              </w:rPr>
            </w:pPr>
            <w:r>
              <w:rPr>
                <w:rFonts w:hint="eastAsia" w:ascii="宋体" w:hAnsi="宋体" w:cs="宋体"/>
                <w:szCs w:val="21"/>
              </w:rPr>
              <w:t>3.磁盘</w:t>
            </w:r>
          </w:p>
          <w:p w14:paraId="3A26CF43">
            <w:pPr>
              <w:widowControl/>
              <w:spacing w:line="360" w:lineRule="auto"/>
              <w:rPr>
                <w:rFonts w:ascii="宋体" w:hAnsi="宋体" w:cs="宋体"/>
                <w:szCs w:val="21"/>
              </w:rPr>
            </w:pPr>
            <w:r>
              <w:rPr>
                <w:rFonts w:hint="eastAsia" w:ascii="宋体" w:hAnsi="宋体" w:cs="宋体"/>
                <w:szCs w:val="21"/>
              </w:rPr>
              <w:t>系统盘：40G 业务盘：500GB</w:t>
            </w:r>
          </w:p>
          <w:p w14:paraId="3213012C">
            <w:pPr>
              <w:widowControl/>
              <w:spacing w:line="360" w:lineRule="auto"/>
              <w:rPr>
                <w:rFonts w:ascii="宋体" w:hAnsi="宋体" w:cs="宋体"/>
                <w:szCs w:val="21"/>
              </w:rPr>
            </w:pPr>
            <w:r>
              <w:rPr>
                <w:rFonts w:hint="eastAsia" w:ascii="宋体" w:hAnsi="宋体" w:cs="宋体"/>
                <w:szCs w:val="21"/>
              </w:rPr>
              <w:t>二、数据库服务器</w:t>
            </w:r>
          </w:p>
          <w:p w14:paraId="77950DC3">
            <w:pPr>
              <w:widowControl/>
              <w:spacing w:line="360" w:lineRule="auto"/>
              <w:rPr>
                <w:rFonts w:ascii="宋体" w:hAnsi="宋体" w:cs="宋体"/>
                <w:szCs w:val="21"/>
              </w:rPr>
            </w:pPr>
            <w:r>
              <w:rPr>
                <w:rFonts w:hint="eastAsia" w:ascii="宋体" w:hAnsi="宋体" w:cs="宋体"/>
                <w:szCs w:val="21"/>
              </w:rPr>
              <w:t>1.操作系统类型/版本</w:t>
            </w:r>
          </w:p>
          <w:p w14:paraId="60EA699C">
            <w:pPr>
              <w:widowControl/>
              <w:spacing w:line="360" w:lineRule="auto"/>
              <w:rPr>
                <w:rFonts w:ascii="宋体" w:hAnsi="宋体" w:cs="宋体"/>
                <w:szCs w:val="21"/>
              </w:rPr>
            </w:pPr>
            <w:r>
              <w:rPr>
                <w:rFonts w:hint="eastAsia" w:ascii="宋体" w:hAnsi="宋体" w:cs="宋体"/>
                <w:szCs w:val="21"/>
              </w:rPr>
              <w:t>Centos8.5</w:t>
            </w:r>
          </w:p>
          <w:p w14:paraId="5F64F0BD">
            <w:pPr>
              <w:widowControl/>
              <w:spacing w:line="360" w:lineRule="auto"/>
              <w:rPr>
                <w:rFonts w:ascii="宋体" w:hAnsi="宋体" w:cs="宋体"/>
                <w:szCs w:val="21"/>
              </w:rPr>
            </w:pPr>
            <w:r>
              <w:rPr>
                <w:rFonts w:hint="eastAsia" w:ascii="宋体" w:hAnsi="宋体" w:cs="宋体"/>
                <w:szCs w:val="21"/>
              </w:rPr>
              <w:t>2.计算资源</w:t>
            </w:r>
          </w:p>
          <w:p w14:paraId="5DB220E8">
            <w:pPr>
              <w:widowControl/>
              <w:spacing w:line="360" w:lineRule="auto"/>
              <w:rPr>
                <w:rFonts w:ascii="宋体" w:hAnsi="宋体" w:cs="宋体"/>
                <w:szCs w:val="21"/>
              </w:rPr>
            </w:pPr>
            <w:r>
              <w:rPr>
                <w:rFonts w:hint="eastAsia" w:ascii="宋体" w:hAnsi="宋体" w:cs="宋体"/>
                <w:szCs w:val="21"/>
              </w:rPr>
              <w:t>CPU：8核，内存：32GB</w:t>
            </w:r>
          </w:p>
          <w:p w14:paraId="320AAA11">
            <w:pPr>
              <w:widowControl/>
              <w:spacing w:line="360" w:lineRule="auto"/>
              <w:rPr>
                <w:rFonts w:ascii="宋体" w:hAnsi="宋体" w:cs="宋体"/>
                <w:szCs w:val="21"/>
              </w:rPr>
            </w:pPr>
            <w:r>
              <w:rPr>
                <w:rFonts w:hint="eastAsia" w:ascii="宋体" w:hAnsi="宋体" w:cs="宋体"/>
                <w:szCs w:val="21"/>
              </w:rPr>
              <w:t>3.磁盘</w:t>
            </w:r>
          </w:p>
          <w:p w14:paraId="721EE009">
            <w:pPr>
              <w:widowControl/>
              <w:spacing w:line="360" w:lineRule="auto"/>
              <w:rPr>
                <w:rFonts w:ascii="宋体" w:hAnsi="宋体" w:cs="宋体"/>
                <w:szCs w:val="21"/>
              </w:rPr>
            </w:pPr>
            <w:r>
              <w:rPr>
                <w:rFonts w:hint="eastAsia" w:ascii="宋体" w:hAnsi="宋体" w:cs="宋体"/>
                <w:szCs w:val="21"/>
              </w:rPr>
              <w:t>系统盘：40G 业务盘：1TB</w:t>
            </w:r>
          </w:p>
          <w:p w14:paraId="25204CFD">
            <w:pPr>
              <w:widowControl/>
              <w:spacing w:line="360" w:lineRule="auto"/>
              <w:rPr>
                <w:rFonts w:ascii="宋体" w:hAnsi="宋体" w:cs="宋体"/>
                <w:szCs w:val="21"/>
              </w:rPr>
            </w:pPr>
            <w:r>
              <w:rPr>
                <w:rFonts w:hint="eastAsia" w:ascii="宋体" w:hAnsi="宋体" w:cs="宋体"/>
                <w:szCs w:val="21"/>
              </w:rPr>
              <w:t>三．智能视频管理平台服务器</w:t>
            </w:r>
          </w:p>
          <w:p w14:paraId="635BBE8F">
            <w:pPr>
              <w:widowControl/>
              <w:spacing w:line="360" w:lineRule="auto"/>
              <w:rPr>
                <w:rFonts w:ascii="宋体" w:hAnsi="宋体" w:cs="宋体"/>
                <w:szCs w:val="21"/>
              </w:rPr>
            </w:pPr>
            <w:r>
              <w:rPr>
                <w:rFonts w:hint="eastAsia" w:ascii="宋体" w:hAnsi="宋体" w:cs="宋体"/>
                <w:szCs w:val="21"/>
              </w:rPr>
              <w:t>针对SMB中小场景业务需求的综合安防管理一体机，在兼容安防视频监控的固有功能基础上，可扩展门禁考勤管理、运维中心管理、基础业务管理等业务功能。</w:t>
            </w:r>
          </w:p>
          <w:p w14:paraId="2E3CFB49">
            <w:pPr>
              <w:widowControl/>
              <w:spacing w:line="360" w:lineRule="auto"/>
              <w:rPr>
                <w:rFonts w:ascii="宋体" w:hAnsi="宋体" w:cs="宋体"/>
                <w:szCs w:val="21"/>
              </w:rPr>
            </w:pPr>
            <w:r>
              <w:rPr>
                <w:rFonts w:hint="eastAsia" w:ascii="宋体" w:hAnsi="宋体" w:cs="宋体"/>
                <w:szCs w:val="21"/>
              </w:rPr>
              <w:t>四．视频综合平台系统软件</w:t>
            </w:r>
          </w:p>
          <w:p w14:paraId="26FFFB47">
            <w:pPr>
              <w:widowControl/>
              <w:spacing w:line="360" w:lineRule="auto"/>
              <w:rPr>
                <w:rFonts w:ascii="宋体" w:hAnsi="宋体" w:cs="宋体"/>
                <w:szCs w:val="21"/>
              </w:rPr>
            </w:pPr>
            <w:r>
              <w:rPr>
                <w:rFonts w:hint="eastAsia" w:ascii="宋体" w:hAnsi="宋体" w:cs="宋体"/>
                <w:szCs w:val="21"/>
              </w:rPr>
              <w:t>支持窗口操作、预览上墙、回放上墙、视图、报警联动等功能</w:t>
            </w:r>
          </w:p>
          <w:p w14:paraId="22C9DAAA">
            <w:pPr>
              <w:widowControl/>
              <w:spacing w:line="360" w:lineRule="auto"/>
              <w:rPr>
                <w:rFonts w:ascii="宋体" w:hAnsi="宋体" w:cs="宋体"/>
                <w:szCs w:val="21"/>
              </w:rPr>
            </w:pPr>
            <w:r>
              <w:rPr>
                <w:rFonts w:hint="eastAsia" w:ascii="宋体" w:hAnsi="宋体" w:cs="宋体"/>
                <w:szCs w:val="21"/>
              </w:rPr>
              <w:t>五．解码器</w:t>
            </w:r>
          </w:p>
          <w:p w14:paraId="0421462A">
            <w:pPr>
              <w:widowControl/>
              <w:spacing w:line="360" w:lineRule="auto"/>
              <w:rPr>
                <w:rFonts w:ascii="宋体" w:hAnsi="宋体" w:cs="宋体"/>
                <w:szCs w:val="21"/>
              </w:rPr>
            </w:pPr>
            <w:r>
              <w:rPr>
                <w:rFonts w:hint="eastAsia" w:ascii="宋体" w:hAnsi="宋体" w:cs="宋体"/>
                <w:szCs w:val="21"/>
              </w:rPr>
              <w:t>支持9路或以上HDMI信号输出</w:t>
            </w:r>
          </w:p>
          <w:p w14:paraId="54DD2286">
            <w:pPr>
              <w:widowControl/>
              <w:spacing w:line="360" w:lineRule="auto"/>
              <w:rPr>
                <w:rFonts w:ascii="宋体" w:hAnsi="宋体" w:cs="宋体"/>
                <w:szCs w:val="21"/>
              </w:rPr>
            </w:pPr>
            <w:r>
              <w:rPr>
                <w:rFonts w:hint="eastAsia" w:ascii="宋体" w:hAnsi="宋体" w:cs="宋体"/>
                <w:szCs w:val="21"/>
              </w:rPr>
              <w:t>输出接口最大支持1920×1080支持超高超宽自定义分辨率输出设置，</w:t>
            </w:r>
          </w:p>
          <w:p w14:paraId="7861E6EF">
            <w:pPr>
              <w:widowControl/>
              <w:spacing w:line="360" w:lineRule="auto"/>
              <w:rPr>
                <w:rFonts w:ascii="宋体" w:hAnsi="宋体" w:cs="宋体"/>
                <w:szCs w:val="21"/>
              </w:rPr>
            </w:pPr>
            <w:r>
              <w:rPr>
                <w:rFonts w:hint="eastAsia" w:ascii="宋体" w:hAnsi="宋体" w:cs="宋体"/>
                <w:szCs w:val="21"/>
              </w:rPr>
              <w:t>整机解码H265及其他相关等</w:t>
            </w:r>
          </w:p>
          <w:p w14:paraId="0DF92981">
            <w:pPr>
              <w:widowControl/>
              <w:spacing w:line="360" w:lineRule="auto"/>
              <w:rPr>
                <w:rFonts w:ascii="宋体" w:hAnsi="宋体" w:cs="宋体"/>
                <w:szCs w:val="21"/>
              </w:rPr>
            </w:pPr>
            <w:r>
              <w:rPr>
                <w:rFonts w:hint="eastAsia" w:ascii="宋体" w:hAnsi="宋体" w:cs="宋体"/>
                <w:szCs w:val="21"/>
              </w:rPr>
              <w:t>六．4G全网通VPN</w:t>
            </w:r>
          </w:p>
          <w:p w14:paraId="1CAE40A2">
            <w:pPr>
              <w:widowControl/>
              <w:spacing w:line="360" w:lineRule="auto"/>
              <w:rPr>
                <w:rFonts w:ascii="宋体" w:hAnsi="宋体" w:cs="宋体"/>
                <w:szCs w:val="21"/>
              </w:rPr>
            </w:pPr>
            <w:r>
              <w:rPr>
                <w:rFonts w:hint="eastAsia" w:ascii="宋体" w:hAnsi="宋体" w:cs="宋体"/>
                <w:szCs w:val="21"/>
              </w:rPr>
              <w:t>支持私有网络域名，支持旁路模式，支持设备密钥系统，支持安卓设备接入，支持三级互联，实现分级管理，提高安全性。</w:t>
            </w:r>
          </w:p>
          <w:p w14:paraId="31068211">
            <w:pPr>
              <w:widowControl/>
              <w:spacing w:line="360" w:lineRule="auto"/>
              <w:rPr>
                <w:rFonts w:ascii="宋体" w:hAnsi="宋体" w:cs="宋体"/>
                <w:szCs w:val="21"/>
              </w:rPr>
            </w:pPr>
            <w:r>
              <w:rPr>
                <w:rFonts w:hint="eastAsia" w:ascii="宋体" w:hAnsi="宋体" w:cs="宋体"/>
                <w:szCs w:val="21"/>
              </w:rPr>
              <w:t>七．网关</w:t>
            </w:r>
          </w:p>
          <w:p w14:paraId="2CE44709">
            <w:pPr>
              <w:widowControl/>
              <w:spacing w:line="360" w:lineRule="auto"/>
              <w:contextualSpacing/>
              <w:rPr>
                <w:rFonts w:ascii="宋体" w:hAnsi="宋体" w:cs="宋体"/>
                <w:szCs w:val="21"/>
              </w:rPr>
            </w:pPr>
            <w:r>
              <w:rPr>
                <w:rFonts w:hint="eastAsia" w:ascii="宋体" w:hAnsi="宋体" w:cs="宋体"/>
                <w:szCs w:val="21"/>
              </w:rPr>
              <w:t>支持电信和联通宽带ADSL。支持B/S软件，支持端口映射，支持设备对设备跨网络加速服务。</w:t>
            </w:r>
          </w:p>
        </w:tc>
      </w:tr>
    </w:tbl>
    <w:p w14:paraId="50904524">
      <w:pPr>
        <w:rPr>
          <w:rFonts w:ascii="Arial" w:hAnsi="Arial" w:eastAsia="黑体"/>
          <w:b/>
          <w:bCs/>
          <w:sz w:val="28"/>
          <w:szCs w:val="28"/>
        </w:rPr>
      </w:pPr>
      <w:r>
        <w:rPr>
          <w:rFonts w:ascii="Arial" w:hAnsi="Arial" w:eastAsia="黑体"/>
          <w:b/>
          <w:bCs/>
          <w:sz w:val="28"/>
          <w:szCs w:val="28"/>
        </w:rPr>
        <w:br w:type="page"/>
      </w:r>
    </w:p>
    <w:p w14:paraId="17F9EDE8">
      <w:pPr>
        <w:spacing w:after="580" w:line="500" w:lineRule="exact"/>
        <w:outlineLvl w:val="2"/>
        <w:rPr>
          <w:rFonts w:ascii="宋体" w:hAnsi="宋体" w:cs="宋体"/>
          <w:sz w:val="28"/>
          <w:szCs w:val="28"/>
          <w:lang w:val="zh-TW" w:bidi="zh-TW"/>
        </w:rPr>
      </w:pPr>
      <w:r>
        <w:rPr>
          <w:rFonts w:hint="eastAsia" w:ascii="宋体" w:hAnsi="宋体" w:cs="宋体"/>
          <w:sz w:val="28"/>
          <w:szCs w:val="28"/>
          <w:lang w:val="zh-TW" w:eastAsia="zh-TW" w:bidi="zh-TW"/>
        </w:rPr>
        <w:t>二、技术要求</w:t>
      </w:r>
    </w:p>
    <w:p w14:paraId="0B59A4E2">
      <w:pPr>
        <w:pStyle w:val="4"/>
        <w:adjustRightInd w:val="0"/>
        <w:snapToGrid w:val="0"/>
        <w:spacing w:before="0" w:after="0" w:line="360" w:lineRule="auto"/>
        <w:ind w:firstLine="0"/>
        <w:jc w:val="left"/>
        <w:rPr>
          <w:rFonts w:ascii="宋体" w:hAnsi="宋体" w:eastAsia="宋体" w:cs="宋体"/>
          <w:sz w:val="28"/>
          <w:szCs w:val="28"/>
        </w:rPr>
      </w:pPr>
      <w:r>
        <w:rPr>
          <w:rFonts w:hint="eastAsia" w:ascii="宋体" w:hAnsi="宋体" w:eastAsia="宋体" w:cs="宋体"/>
          <w:sz w:val="28"/>
          <w:szCs w:val="28"/>
        </w:rPr>
        <w:t>1.水质在线监测系统</w:t>
      </w:r>
    </w:p>
    <w:p w14:paraId="15AAFB52">
      <w:pPr>
        <w:spacing w:line="360" w:lineRule="auto"/>
        <w:ind w:firstLine="480"/>
        <w:rPr>
          <w:rFonts w:ascii="宋体" w:hAnsi="宋体" w:cs="宋体"/>
        </w:rPr>
      </w:pPr>
      <w:r>
        <w:rPr>
          <w:rFonts w:hint="eastAsia" w:ascii="宋体" w:hAnsi="宋体" w:cs="宋体"/>
        </w:rPr>
        <w:t>微型水质自动监测站，由微型站房、供电系统、取配水系统、预处理系统、在线监测分析仪表、温控系统、安防系统等组成。供电单元完成电压信号的转换，为相应设备供电；取配水、预处理系统主要完成采水功能，提供监测的水样；控制系统基于工控机平台及PLC，完成数据的汇总与传送，使在线监测的数据通过有线或4G网络发布到监管平台；监测系统可集成4台主仪表、常规五参数变送器，实现数据的分析与传送；另外，通过温控单元的工业空调控制站房内温度或采用试剂保温冰箱保存易过期试剂，采用密码锁、监控视频等安防设备保障现场安全。</w:t>
      </w:r>
    </w:p>
    <w:p w14:paraId="03DE1567">
      <w:pPr>
        <w:spacing w:line="360" w:lineRule="auto"/>
        <w:ind w:firstLine="480"/>
        <w:rPr>
          <w:rFonts w:ascii="宋体" w:hAnsi="宋体" w:cs="宋体"/>
        </w:rPr>
      </w:pPr>
      <w:r>
        <w:rPr>
          <w:rFonts w:hint="eastAsia" w:ascii="宋体" w:hAnsi="宋体" w:cs="宋体"/>
        </w:rPr>
        <w:t>功能模块化。微型水站采用模块化设计，各模块功能独立，模块间采用现场总线进行连接通信。单个模块处理流程或功能的改进不会影响到其它模块，可快速满足用户的个性化需求。当发生故障时模块可整体更换，有效缩短故障修复时间，提高微型水站有效运转率。</w:t>
      </w:r>
    </w:p>
    <w:p w14:paraId="3CB70942">
      <w:pPr>
        <w:spacing w:line="360" w:lineRule="auto"/>
        <w:ind w:firstLine="480"/>
        <w:rPr>
          <w:rFonts w:ascii="宋体" w:hAnsi="宋体" w:cs="宋体"/>
        </w:rPr>
      </w:pPr>
      <w:r>
        <w:rPr>
          <w:rFonts w:hint="eastAsia" w:ascii="宋体" w:hAnsi="宋体" w:cs="宋体"/>
        </w:rPr>
        <w:t>吊装一体化。微型水站现场施工采用一体化吊装，大大缩短了项目施工进度；微型水站室内部分集成、测试均在厂内完成，保证了到现场微型水站的质量；在现场“四通一平”完成时，站房可以快速运抵现场，整体吊装就位。</w:t>
      </w:r>
    </w:p>
    <w:p w14:paraId="17D360E7">
      <w:pPr>
        <w:spacing w:line="360" w:lineRule="auto"/>
        <w:ind w:firstLine="480"/>
        <w:rPr>
          <w:rFonts w:ascii="宋体" w:hAnsi="宋体" w:cs="宋体"/>
        </w:rPr>
      </w:pPr>
      <w:r>
        <w:rPr>
          <w:rFonts w:hint="eastAsia" w:ascii="宋体" w:hAnsi="宋体" w:cs="宋体"/>
        </w:rPr>
        <w:t>运行状态可视化。微型水站实现了水质分析仪器运行状态及进程感知、现场运行环境感知和视频感知；监控软件具有全流程可视化界面，仪器及设备的运行状态一目了然。</w:t>
      </w:r>
    </w:p>
    <w:p w14:paraId="5242A2D0">
      <w:pPr>
        <w:spacing w:line="360" w:lineRule="auto"/>
        <w:ind w:firstLine="480"/>
        <w:rPr>
          <w:rFonts w:ascii="宋体" w:hAnsi="宋体" w:cs="宋体"/>
        </w:rPr>
      </w:pPr>
      <w:r>
        <w:rPr>
          <w:rFonts w:hint="eastAsia" w:ascii="宋体" w:hAnsi="宋体" w:cs="宋体"/>
        </w:rPr>
        <w:t>功能维护自动化。微型水站作为无人值守的自动监测站，各个单元自动定期维护，降低了水站在定期维护间隔时间内的故障几率。自动维护包括：自动清洗和自动部件维护。在每个清洗流程中，都执行清水冲洗、水气混和冲洗、高压气吹管道等清洗方式，增强清洗效果；定期对各部件进行自动清洗，包括室内管路、室外管路、沉淀池和过滤器等。</w:t>
      </w:r>
    </w:p>
    <w:p w14:paraId="4A5544DA">
      <w:pPr>
        <w:spacing w:line="360" w:lineRule="auto"/>
        <w:ind w:firstLine="480"/>
        <w:rPr>
          <w:rFonts w:ascii="宋体" w:hAnsi="宋体" w:cs="宋体"/>
        </w:rPr>
      </w:pPr>
      <w:r>
        <w:rPr>
          <w:rFonts w:hint="eastAsia" w:ascii="宋体" w:hAnsi="宋体" w:cs="宋体"/>
        </w:rPr>
        <w:t>可扩展性。微型水站设计中，充分考虑到未来增加监测因子的可能，除实现目前用户要求的氨氮、总磷、化学需氧量、常规五参数的几个因子监测外，站房预留空间便于增加监测因子。监控一体机预留足够的RS485接口，使将来升级时可方便接入新的仪器和设备，不需要增加额外投资。监控软件采用模块化组件设计，并且可以配置，将来增加新的功能模块时只需动态注册组件即可，不需要对原有系统的内核进行改动，实现“递增式开发”。</w:t>
      </w:r>
    </w:p>
    <w:p w14:paraId="47976CDD">
      <w:pPr>
        <w:spacing w:line="360" w:lineRule="auto"/>
        <w:ind w:firstLine="480"/>
        <w:rPr>
          <w:rFonts w:ascii="宋体" w:hAnsi="宋体" w:cs="宋体"/>
        </w:rPr>
      </w:pPr>
      <w:r>
        <w:rPr>
          <w:rFonts w:hint="eastAsia" w:ascii="宋体" w:hAnsi="宋体" w:cs="宋体"/>
        </w:rPr>
        <w:t>高可靠性。微型水站水质分析仪器及关键部件全部采用优质品牌，测量数据准确可靠；针对不同的水体情况设计科学合理的取水方式，选择适用的耐腐蚀、长寿命采水泵；全部仪器及设备具备断电后来电自动恢复功能。</w:t>
      </w:r>
    </w:p>
    <w:p w14:paraId="194D2497">
      <w:pPr>
        <w:spacing w:line="360" w:lineRule="auto"/>
        <w:ind w:firstLine="480"/>
        <w:rPr>
          <w:rFonts w:ascii="宋体" w:hAnsi="宋体" w:cs="宋体"/>
        </w:rPr>
      </w:pPr>
      <w:r>
        <w:rPr>
          <w:rFonts w:hint="eastAsia" w:ascii="宋体" w:hAnsi="宋体" w:cs="宋体"/>
        </w:rPr>
        <w:t>站房安全性设计。站房配置智能门禁系统，实时记录站房门的开闭时间、进出人员信息；站房内安装视频监控，采用动态视频区域入侵侦测，自动拍照并将图片发送至监控中心；站房内安装缆式的漏水监测器和光电烟雾探测器，进行安防监测；站房内采用水电隔离的安全设计；防雷安全性设计主要包括站房防雷、电源防雷和信号防雷。</w:t>
      </w:r>
    </w:p>
    <w:p w14:paraId="3F988309">
      <w:pPr>
        <w:spacing w:line="360" w:lineRule="auto"/>
        <w:ind w:firstLine="480"/>
        <w:rPr>
          <w:rFonts w:ascii="宋体" w:hAnsi="宋体" w:cs="宋体"/>
        </w:rPr>
      </w:pPr>
      <w:r>
        <w:rPr>
          <w:rFonts w:hint="eastAsia" w:ascii="宋体" w:hAnsi="宋体" w:cs="宋体"/>
        </w:rPr>
        <w:t>微型水站站房按均压等电位原则设计，以避免同一个设备不同接地之间出现电位差，对设备产生“反击”。微型水站站房的信号地、保护地(电源系统PE线)防雷接地共用一个接地体，接地电阻≤4Ω。电源防雷微型水站采用三级电源浪涌保护，第一级电源浪涌保护器采用三相四线电源避雷器，在UPS输入断路器后端安装第二级电源浪涌保护器，在UPS输出端安装第三级电源浪涌保护器，将过电压的水平限制在设备所能承受的水平内，提高设备使用的安全度。信号防雷由站房外引入站房内的信号线采用穿金属管埋地，避免感应过大的雷电流。信号线进站房处增加相应接口和相应信号电平的信号避雷器，避雷器和电缆内的空线对均做保护接地。数据安全性设计数据采集控制传输单元部署病毒防护软件，同时严格限制用户对数据的访问权限，根据设置时间周期自动对监测数据进行备份。</w:t>
      </w:r>
    </w:p>
    <w:p w14:paraId="1AAC17CC">
      <w:pPr>
        <w:wordWrap w:val="0"/>
        <w:topLinePunct/>
        <w:spacing w:line="360" w:lineRule="auto"/>
        <w:ind w:firstLine="422" w:firstLineChars="200"/>
        <w:rPr>
          <w:rFonts w:ascii="宋体" w:hAnsi="宋体" w:cs="宋体"/>
          <w:b/>
          <w:lang w:val="zh-CN"/>
        </w:rPr>
      </w:pPr>
      <w:r>
        <w:rPr>
          <w:rFonts w:hint="eastAsia" w:ascii="宋体" w:hAnsi="宋体" w:cs="宋体"/>
          <w:b/>
        </w:rPr>
        <w:t>（一）</w:t>
      </w:r>
      <w:r>
        <w:rPr>
          <w:rFonts w:hint="eastAsia" w:ascii="宋体" w:hAnsi="宋体" w:cs="宋体"/>
          <w:b/>
          <w:lang w:val="zh-CN"/>
        </w:rPr>
        <w:t>机柜要求</w:t>
      </w:r>
    </w:p>
    <w:p w14:paraId="32DB38F9">
      <w:pPr>
        <w:spacing w:line="360" w:lineRule="auto"/>
        <w:ind w:firstLine="480"/>
        <w:rPr>
          <w:rFonts w:ascii="宋体" w:hAnsi="宋体" w:cs="宋体"/>
        </w:rPr>
      </w:pPr>
      <w:r>
        <w:rPr>
          <w:rFonts w:hint="eastAsia" w:ascii="宋体" w:hAnsi="宋体" w:cs="宋体"/>
        </w:rPr>
        <w:t>采用一体化集成机柜，外观应美观实用，与当地环境相协调，无需征地建房，占地面积小，内部面积底部密封防潮，保温性能优良。机柜占地面积小于2平方米。</w:t>
      </w:r>
    </w:p>
    <w:p w14:paraId="3FCFE745">
      <w:pPr>
        <w:spacing w:line="360" w:lineRule="auto"/>
        <w:ind w:firstLine="480"/>
        <w:rPr>
          <w:rFonts w:ascii="宋体" w:hAnsi="宋体" w:cs="宋体"/>
        </w:rPr>
      </w:pPr>
      <w:r>
        <w:rPr>
          <w:rFonts w:hint="eastAsia" w:ascii="宋体" w:hAnsi="宋体" w:cs="宋体"/>
        </w:rPr>
        <w:t>采样管线以及电线电缆的敷设，符合《仪表配管配线设计规定》(HG/T20512)的规定。</w:t>
      </w:r>
    </w:p>
    <w:p w14:paraId="4650356E">
      <w:pPr>
        <w:spacing w:line="360" w:lineRule="auto"/>
        <w:ind w:firstLine="480"/>
        <w:rPr>
          <w:rFonts w:ascii="宋体" w:hAnsi="宋体" w:cs="宋体"/>
        </w:rPr>
      </w:pPr>
      <w:r>
        <w:rPr>
          <w:rFonts w:hint="eastAsia" w:ascii="宋体" w:hAnsi="宋体" w:cs="宋体"/>
        </w:rPr>
        <w:t>配备具有来电自启功能的冷暖空调。机柜内安装有温湿度传感器，在线采集机柜内环境因素。</w:t>
      </w:r>
    </w:p>
    <w:p w14:paraId="6F0AF6FC">
      <w:pPr>
        <w:spacing w:line="360" w:lineRule="auto"/>
        <w:ind w:firstLine="480"/>
        <w:rPr>
          <w:rFonts w:ascii="宋体" w:hAnsi="宋体" w:cs="宋体"/>
        </w:rPr>
      </w:pPr>
      <w:r>
        <w:rPr>
          <w:rFonts w:hint="eastAsia" w:ascii="宋体" w:hAnsi="宋体" w:cs="宋体"/>
        </w:rPr>
        <w:t>机柜底座有足够的强度，保证在拖动、起吊、荷载和空载时不变形，安装于混凝土基础上。同时机柜安装有避雷设施和良好的接地装置；</w:t>
      </w:r>
    </w:p>
    <w:p w14:paraId="707D13AD">
      <w:pPr>
        <w:spacing w:line="360" w:lineRule="auto"/>
        <w:ind w:firstLine="480"/>
        <w:rPr>
          <w:rFonts w:ascii="宋体" w:hAnsi="宋体" w:cs="宋体"/>
        </w:rPr>
      </w:pPr>
      <w:r>
        <w:rPr>
          <w:rFonts w:hint="eastAsia" w:ascii="宋体" w:hAnsi="宋体" w:cs="宋体"/>
        </w:rPr>
        <w:t>机柜高程满足50年一遇防洪标准。</w:t>
      </w:r>
    </w:p>
    <w:p w14:paraId="79F95AF7">
      <w:pPr>
        <w:spacing w:line="360" w:lineRule="auto"/>
        <w:ind w:firstLine="480"/>
        <w:rPr>
          <w:rFonts w:ascii="宋体" w:hAnsi="宋体" w:cs="宋体"/>
        </w:rPr>
      </w:pPr>
      <w:r>
        <w:rPr>
          <w:rFonts w:hint="eastAsia" w:ascii="宋体" w:hAnsi="宋体" w:cs="宋体"/>
        </w:rPr>
        <w:t>机柜耐火等级应符合现行国家标准《建筑设计防火规范》（GB50016）的规定。</w:t>
      </w:r>
    </w:p>
    <w:p w14:paraId="2CE2B049">
      <w:pPr>
        <w:spacing w:line="360" w:lineRule="auto"/>
        <w:ind w:firstLine="480"/>
        <w:rPr>
          <w:rFonts w:ascii="宋体" w:hAnsi="宋体" w:cs="宋体"/>
        </w:rPr>
      </w:pPr>
      <w:r>
        <w:rPr>
          <w:rFonts w:hint="eastAsia" w:ascii="宋体" w:hAnsi="宋体" w:cs="宋体"/>
        </w:rPr>
        <w:t>机柜内使用的材料需为耐火材料。</w:t>
      </w:r>
    </w:p>
    <w:p w14:paraId="7AAF0628">
      <w:pPr>
        <w:spacing w:line="360" w:lineRule="auto"/>
        <w:ind w:firstLine="480"/>
        <w:rPr>
          <w:rFonts w:ascii="宋体" w:hAnsi="宋体" w:cs="宋体"/>
        </w:rPr>
      </w:pPr>
      <w:r>
        <w:rPr>
          <w:rFonts w:hint="eastAsia" w:ascii="宋体" w:hAnsi="宋体" w:cs="宋体"/>
        </w:rPr>
        <w:t>机柜应设置防盗门，配备门禁装置。</w:t>
      </w:r>
    </w:p>
    <w:p w14:paraId="2FA1EE0B">
      <w:pPr>
        <w:spacing w:line="360" w:lineRule="auto"/>
        <w:ind w:firstLine="480"/>
        <w:rPr>
          <w:rFonts w:ascii="宋体" w:hAnsi="宋体" w:cs="宋体"/>
        </w:rPr>
      </w:pPr>
      <w:r>
        <w:rPr>
          <w:rFonts w:hint="eastAsia" w:ascii="宋体" w:hAnsi="宋体" w:cs="宋体"/>
        </w:rPr>
        <w:t>机柜整体防护等级达到IP55及以上。</w:t>
      </w:r>
    </w:p>
    <w:p w14:paraId="6117F67F">
      <w:pPr>
        <w:spacing w:line="360" w:lineRule="auto"/>
        <w:ind w:firstLine="480"/>
        <w:rPr>
          <w:rFonts w:ascii="宋体" w:hAnsi="宋体" w:cs="宋体"/>
        </w:rPr>
      </w:pPr>
      <w:r>
        <w:rPr>
          <w:rFonts w:hint="eastAsia" w:ascii="宋体" w:hAnsi="宋体" w:cs="宋体"/>
        </w:rPr>
        <w:t>机柜总电源处需加装避雷箱，内装多级集成避雷器确保设备安全。</w:t>
      </w:r>
    </w:p>
    <w:p w14:paraId="01CE1F56">
      <w:pPr>
        <w:spacing w:line="360" w:lineRule="auto"/>
        <w:ind w:firstLine="480"/>
        <w:rPr>
          <w:rFonts w:ascii="宋体" w:hAnsi="宋体" w:cs="宋体"/>
          <w:b/>
          <w:bCs/>
        </w:rPr>
      </w:pPr>
      <w:r>
        <w:rPr>
          <w:rFonts w:hint="eastAsia" w:ascii="宋体" w:hAnsi="宋体" w:cs="宋体"/>
        </w:rPr>
        <w:t>地基要求</w:t>
      </w:r>
    </w:p>
    <w:p w14:paraId="54A54D2F">
      <w:pPr>
        <w:spacing w:line="360" w:lineRule="auto"/>
        <w:ind w:firstLine="480"/>
        <w:rPr>
          <w:rFonts w:ascii="宋体" w:hAnsi="宋体" w:cs="宋体"/>
        </w:rPr>
      </w:pPr>
      <w:r>
        <w:rPr>
          <w:rFonts w:hint="eastAsia" w:ascii="宋体" w:hAnsi="宋体" w:cs="宋体"/>
        </w:rPr>
        <w:t>水质自动监测站安装需提供一个水泥基础平台，水泥基础平台必须建设在牢固的地基上，保证地基不垮塌。</w:t>
      </w:r>
    </w:p>
    <w:p w14:paraId="054A7D7E">
      <w:pPr>
        <w:spacing w:line="360" w:lineRule="auto"/>
        <w:ind w:firstLine="480"/>
        <w:rPr>
          <w:rFonts w:ascii="宋体" w:hAnsi="宋体" w:cs="宋体"/>
        </w:rPr>
      </w:pPr>
      <w:r>
        <w:rPr>
          <w:rFonts w:hint="eastAsia" w:ascii="宋体" w:hAnsi="宋体" w:cs="宋体"/>
        </w:rPr>
        <w:t>根据水质自动监测站的尺寸建设水泥地基平台，水泥地基平台的高度可根据站点选址地形要求，适当调节地基高度，一般高出地面0.2-0.3米，保证地基不积水。</w:t>
      </w:r>
    </w:p>
    <w:p w14:paraId="056B80CB">
      <w:pPr>
        <w:spacing w:line="360" w:lineRule="auto"/>
        <w:ind w:firstLine="480"/>
        <w:rPr>
          <w:rFonts w:ascii="宋体" w:hAnsi="宋体" w:cs="宋体"/>
        </w:rPr>
      </w:pPr>
      <w:r>
        <w:rPr>
          <w:rFonts w:hint="eastAsia" w:ascii="宋体" w:hAnsi="宋体" w:cs="宋体"/>
        </w:rPr>
        <w:t>基座必须牢固，能承重800Kg以上的重物，能承受较大风力；</w:t>
      </w:r>
    </w:p>
    <w:p w14:paraId="1C02F259">
      <w:pPr>
        <w:spacing w:line="360" w:lineRule="auto"/>
        <w:ind w:firstLine="480"/>
        <w:rPr>
          <w:rFonts w:ascii="宋体" w:hAnsi="宋体" w:cs="宋体"/>
        </w:rPr>
      </w:pPr>
      <w:r>
        <w:rPr>
          <w:rFonts w:hint="eastAsia" w:ascii="宋体" w:hAnsi="宋体" w:cs="宋体"/>
        </w:rPr>
        <w:t>基座必须要水平，一体化机柜安装在基座上不能倾斜；</w:t>
      </w:r>
    </w:p>
    <w:p w14:paraId="064BA246">
      <w:pPr>
        <w:spacing w:line="360" w:lineRule="auto"/>
        <w:ind w:firstLine="480"/>
        <w:rPr>
          <w:rFonts w:ascii="宋体" w:hAnsi="宋体" w:cs="宋体"/>
        </w:rPr>
      </w:pPr>
      <w:r>
        <w:rPr>
          <w:rFonts w:hint="eastAsia" w:ascii="宋体" w:hAnsi="宋体" w:cs="宋体"/>
        </w:rPr>
        <w:t>基座安装位置不能距采样点位置太远，最好距离采水点位置100m内。</w:t>
      </w:r>
    </w:p>
    <w:p w14:paraId="49830421">
      <w:pPr>
        <w:wordWrap w:val="0"/>
        <w:topLinePunct/>
        <w:spacing w:line="360" w:lineRule="auto"/>
        <w:ind w:firstLine="422" w:firstLineChars="200"/>
        <w:rPr>
          <w:rFonts w:ascii="宋体" w:hAnsi="宋体" w:cs="宋体"/>
          <w:b/>
          <w:lang w:val="zh-CN"/>
        </w:rPr>
      </w:pPr>
      <w:bookmarkStart w:id="54" w:name="_Toc22710"/>
      <w:r>
        <w:rPr>
          <w:rFonts w:hint="eastAsia" w:ascii="宋体" w:hAnsi="宋体" w:cs="宋体"/>
          <w:b/>
        </w:rPr>
        <w:t>（二）</w:t>
      </w:r>
      <w:r>
        <w:rPr>
          <w:rFonts w:hint="eastAsia" w:ascii="宋体" w:hAnsi="宋体" w:cs="宋体"/>
          <w:b/>
          <w:lang w:val="zh-CN"/>
        </w:rPr>
        <w:t>仪器功能</w:t>
      </w:r>
      <w:bookmarkEnd w:id="54"/>
      <w:r>
        <w:rPr>
          <w:rFonts w:hint="eastAsia" w:ascii="宋体" w:hAnsi="宋体" w:cs="宋体"/>
          <w:b/>
          <w:lang w:val="zh-CN"/>
        </w:rPr>
        <w:t>要求</w:t>
      </w:r>
    </w:p>
    <w:p w14:paraId="5B5ACCB9">
      <w:pPr>
        <w:wordWrap w:val="0"/>
        <w:topLinePunct/>
        <w:spacing w:line="360" w:lineRule="auto"/>
        <w:ind w:firstLine="422" w:firstLineChars="200"/>
        <w:rPr>
          <w:rFonts w:ascii="宋体" w:hAnsi="宋体" w:cs="宋体"/>
          <w:b/>
          <w:lang w:val="zh-CN"/>
        </w:rPr>
      </w:pPr>
      <w:r>
        <w:rPr>
          <w:rFonts w:hint="eastAsia" w:ascii="宋体" w:hAnsi="宋体" w:cs="宋体"/>
          <w:b/>
          <w:lang w:val="zh-CN"/>
        </w:rPr>
        <w:t>2.1通用技术要求</w:t>
      </w:r>
    </w:p>
    <w:p w14:paraId="7FD8AD33">
      <w:pPr>
        <w:wordWrap w:val="0"/>
        <w:topLinePunct/>
        <w:spacing w:line="360" w:lineRule="auto"/>
        <w:ind w:firstLine="422" w:firstLineChars="200"/>
        <w:rPr>
          <w:rFonts w:ascii="宋体" w:hAnsi="宋体" w:cs="宋体"/>
          <w:b/>
          <w:lang w:val="zh-CN"/>
        </w:rPr>
      </w:pPr>
      <w:r>
        <w:rPr>
          <w:rFonts w:hint="eastAsia" w:ascii="宋体" w:hAnsi="宋体" w:cs="宋体"/>
          <w:b/>
          <w:lang w:val="zh-CN"/>
        </w:rPr>
        <w:t>操作语言</w:t>
      </w:r>
    </w:p>
    <w:p w14:paraId="79131842">
      <w:pPr>
        <w:wordWrap w:val="0"/>
        <w:topLinePunct/>
        <w:spacing w:line="360" w:lineRule="auto"/>
        <w:ind w:firstLine="420" w:firstLineChars="200"/>
        <w:rPr>
          <w:rFonts w:ascii="宋体" w:hAnsi="宋体" w:cs="宋体"/>
          <w:bCs/>
          <w:lang w:val="zh-CN"/>
        </w:rPr>
      </w:pPr>
      <w:r>
        <w:rPr>
          <w:rFonts w:hint="eastAsia" w:ascii="宋体" w:hAnsi="宋体" w:cs="宋体"/>
          <w:bCs/>
          <w:lang w:val="zh-CN"/>
        </w:rPr>
        <w:t>水质自动分析仪器和控制单元所有显示均为中文，符合《信息交换用汉字编码字符集》（GB2312－1980）。</w:t>
      </w:r>
    </w:p>
    <w:p w14:paraId="4F3AA58C">
      <w:pPr>
        <w:wordWrap w:val="0"/>
        <w:topLinePunct/>
        <w:spacing w:line="360" w:lineRule="auto"/>
        <w:ind w:firstLine="420" w:firstLineChars="200"/>
        <w:rPr>
          <w:rFonts w:ascii="宋体" w:hAnsi="宋体" w:cs="宋体"/>
          <w:bCs/>
          <w:lang w:val="zh-CN"/>
        </w:rPr>
      </w:pPr>
      <w:r>
        <w:rPr>
          <w:rFonts w:hint="eastAsia" w:ascii="宋体" w:hAnsi="宋体" w:cs="宋体"/>
          <w:bCs/>
          <w:lang w:val="zh-CN"/>
        </w:rPr>
        <w:t>供电参数</w:t>
      </w:r>
    </w:p>
    <w:p w14:paraId="53A93779">
      <w:pPr>
        <w:wordWrap w:val="0"/>
        <w:topLinePunct/>
        <w:spacing w:line="360" w:lineRule="auto"/>
        <w:ind w:firstLine="420" w:firstLineChars="200"/>
        <w:rPr>
          <w:rFonts w:ascii="宋体" w:hAnsi="宋体" w:cs="宋体"/>
          <w:bCs/>
          <w:lang w:val="zh-CN"/>
        </w:rPr>
      </w:pPr>
      <w:r>
        <w:rPr>
          <w:rFonts w:hint="eastAsia" w:ascii="宋体" w:hAnsi="宋体" w:cs="宋体"/>
          <w:bCs/>
          <w:lang w:val="zh-CN"/>
        </w:rPr>
        <w:t>水站设备的运行电压为：(220±22)V，交流频率为（50±0.5）Hz；所有设备的电源插头为中国制式A9120-9085-1。</w:t>
      </w:r>
    </w:p>
    <w:p w14:paraId="2292736C">
      <w:pPr>
        <w:wordWrap w:val="0"/>
        <w:topLinePunct/>
        <w:spacing w:line="360" w:lineRule="auto"/>
        <w:ind w:firstLine="420" w:firstLineChars="200"/>
        <w:rPr>
          <w:rFonts w:ascii="宋体" w:hAnsi="宋体" w:cs="宋体"/>
          <w:bCs/>
          <w:lang w:val="zh-CN"/>
        </w:rPr>
      </w:pPr>
      <w:r>
        <w:rPr>
          <w:rFonts w:hint="eastAsia" w:ascii="宋体" w:hAnsi="宋体" w:cs="宋体"/>
          <w:bCs/>
          <w:lang w:val="zh-CN"/>
        </w:rPr>
        <w:t>使用环境</w:t>
      </w:r>
    </w:p>
    <w:p w14:paraId="619DCD87">
      <w:pPr>
        <w:wordWrap w:val="0"/>
        <w:topLinePunct/>
        <w:spacing w:line="360" w:lineRule="auto"/>
        <w:ind w:firstLine="420" w:firstLineChars="200"/>
        <w:rPr>
          <w:rFonts w:ascii="宋体" w:hAnsi="宋体" w:cs="宋体"/>
          <w:bCs/>
          <w:lang w:val="zh-CN"/>
        </w:rPr>
      </w:pPr>
      <w:r>
        <w:rPr>
          <w:rFonts w:hint="eastAsia" w:ascii="宋体" w:hAnsi="宋体" w:cs="宋体"/>
          <w:bCs/>
          <w:lang w:val="zh-CN"/>
        </w:rPr>
        <w:t>设备在温度5～45℃，相对湿度小于90%环境下能够正常运行。</w:t>
      </w:r>
    </w:p>
    <w:p w14:paraId="08033275">
      <w:pPr>
        <w:wordWrap w:val="0"/>
        <w:topLinePunct/>
        <w:spacing w:line="360" w:lineRule="auto"/>
        <w:ind w:firstLine="420" w:firstLineChars="200"/>
        <w:rPr>
          <w:rFonts w:ascii="宋体" w:hAnsi="宋体" w:cs="宋体"/>
          <w:bCs/>
          <w:lang w:val="zh-CN"/>
        </w:rPr>
      </w:pPr>
      <w:r>
        <w:rPr>
          <w:rFonts w:hint="eastAsia" w:ascii="宋体" w:hAnsi="宋体" w:cs="宋体"/>
          <w:bCs/>
          <w:lang w:val="zh-CN"/>
        </w:rPr>
        <w:t>通讯协议</w:t>
      </w:r>
    </w:p>
    <w:p w14:paraId="2D7BD415">
      <w:pPr>
        <w:wordWrap w:val="0"/>
        <w:topLinePunct/>
        <w:spacing w:line="360" w:lineRule="auto"/>
        <w:ind w:firstLine="420" w:firstLineChars="200"/>
        <w:rPr>
          <w:rFonts w:ascii="宋体" w:hAnsi="宋体" w:cs="宋体"/>
          <w:bCs/>
          <w:lang w:val="zh-CN"/>
        </w:rPr>
      </w:pPr>
      <w:r>
        <w:rPr>
          <w:rFonts w:hint="eastAsia" w:ascii="宋体" w:hAnsi="宋体" w:cs="宋体"/>
          <w:bCs/>
          <w:lang w:val="zh-CN"/>
        </w:rPr>
        <w:t>按照采购人指定的传输协议要求，将所有监测数据及相关信息传输至指定的平台，包括但不限于仪器的实时状态、关键参数和监测数据等。并向采购人提供所有仪器的底层通信协议。</w:t>
      </w:r>
    </w:p>
    <w:p w14:paraId="6418CFF9">
      <w:pPr>
        <w:wordWrap w:val="0"/>
        <w:topLinePunct/>
        <w:spacing w:line="360" w:lineRule="auto"/>
        <w:ind w:firstLine="422" w:firstLineChars="200"/>
        <w:rPr>
          <w:rFonts w:ascii="宋体" w:hAnsi="宋体" w:cs="宋体"/>
          <w:b/>
          <w:lang w:val="zh-CN"/>
        </w:rPr>
      </w:pPr>
      <w:r>
        <w:rPr>
          <w:rFonts w:hint="eastAsia" w:ascii="宋体" w:hAnsi="宋体" w:cs="宋体"/>
          <w:b/>
          <w:lang w:val="zh-CN"/>
        </w:rPr>
        <w:t>2.2仪器功能要求</w:t>
      </w:r>
    </w:p>
    <w:p w14:paraId="5F15EF41">
      <w:pPr>
        <w:wordWrap w:val="0"/>
        <w:topLinePunct/>
        <w:spacing w:line="360" w:lineRule="auto"/>
        <w:ind w:firstLine="422" w:firstLineChars="200"/>
        <w:rPr>
          <w:rFonts w:ascii="宋体" w:hAnsi="宋体" w:cs="宋体"/>
          <w:b/>
          <w:lang w:val="zh-CN"/>
        </w:rPr>
      </w:pPr>
      <w:r>
        <w:rPr>
          <w:rFonts w:hint="eastAsia" w:ascii="宋体" w:hAnsi="宋体" w:cs="宋体"/>
          <w:b/>
          <w:lang w:val="zh-CN"/>
        </w:rPr>
        <w:t>投标人提供的自动监测仪器必须为适合于长期运行的在线式仪器，仪器必须具有密封的箱体，具有防潮和防尘功能。</w:t>
      </w:r>
      <w:r>
        <w:rPr>
          <w:rFonts w:hint="eastAsia" w:ascii="宋体" w:hAnsi="宋体" w:cs="宋体"/>
          <w:b/>
        </w:rPr>
        <w:t>氨氮、总磷、总氮、化学需氧量</w:t>
      </w:r>
      <w:r>
        <w:rPr>
          <w:rFonts w:hint="eastAsia" w:ascii="宋体" w:hAnsi="宋体" w:cs="宋体"/>
          <w:b/>
          <w:lang w:val="zh-CN"/>
        </w:rPr>
        <w:t>自动监测仪器必须具有：</w:t>
      </w:r>
    </w:p>
    <w:p w14:paraId="668B8060">
      <w:pPr>
        <w:spacing w:line="360" w:lineRule="auto"/>
        <w:ind w:firstLine="420" w:firstLineChars="200"/>
        <w:rPr>
          <w:rFonts w:ascii="宋体" w:hAnsi="宋体" w:cs="宋体"/>
        </w:rPr>
      </w:pPr>
      <w:r>
        <w:rPr>
          <w:rFonts w:hint="eastAsia" w:ascii="宋体" w:hAnsi="宋体" w:cs="宋体"/>
        </w:rPr>
        <w:t>具有分析仪器过程日志记录功能；</w:t>
      </w:r>
    </w:p>
    <w:p w14:paraId="6F250BD7">
      <w:pPr>
        <w:spacing w:line="360" w:lineRule="auto"/>
        <w:ind w:firstLine="420" w:firstLineChars="200"/>
        <w:rPr>
          <w:rFonts w:ascii="宋体" w:hAnsi="宋体" w:cs="宋体"/>
        </w:rPr>
      </w:pPr>
      <w:r>
        <w:rPr>
          <w:rFonts w:hint="eastAsia" w:ascii="宋体" w:hAnsi="宋体" w:cs="宋体"/>
        </w:rPr>
        <w:t>存储不少于 3年的原始数据和运行日志；</w:t>
      </w:r>
    </w:p>
    <w:p w14:paraId="2E9E634F">
      <w:pPr>
        <w:spacing w:line="360" w:lineRule="auto"/>
        <w:ind w:firstLine="420" w:firstLineChars="200"/>
        <w:rPr>
          <w:rFonts w:ascii="宋体" w:hAnsi="宋体" w:cs="宋体"/>
        </w:rPr>
      </w:pPr>
      <w:r>
        <w:rPr>
          <w:rFonts w:hint="eastAsia" w:ascii="宋体" w:hAnsi="宋体" w:cs="宋体"/>
        </w:rPr>
        <w:t>必须支持《国家地表水监测仪器通信协议技术要求》；</w:t>
      </w:r>
    </w:p>
    <w:p w14:paraId="6D20DCF6">
      <w:pPr>
        <w:spacing w:line="360" w:lineRule="auto"/>
        <w:ind w:firstLine="420" w:firstLineChars="200"/>
        <w:rPr>
          <w:rFonts w:ascii="宋体" w:hAnsi="宋体" w:cs="宋体"/>
        </w:rPr>
      </w:pPr>
      <w:r>
        <w:rPr>
          <w:rFonts w:hint="eastAsia" w:ascii="宋体" w:hAnsi="宋体" w:cs="宋体"/>
        </w:rPr>
        <w:t>具备自动清洗功能；</w:t>
      </w:r>
    </w:p>
    <w:p w14:paraId="31A89109">
      <w:pPr>
        <w:spacing w:line="360" w:lineRule="auto"/>
        <w:ind w:firstLine="420" w:firstLineChars="200"/>
        <w:rPr>
          <w:rFonts w:ascii="宋体" w:hAnsi="宋体" w:cs="宋体"/>
        </w:rPr>
      </w:pPr>
      <w:r>
        <w:rPr>
          <w:rFonts w:hint="eastAsia" w:ascii="宋体" w:hAnsi="宋体" w:cs="宋体"/>
        </w:rPr>
        <w:t>具有试剂余置监控及报警功能；</w:t>
      </w:r>
    </w:p>
    <w:p w14:paraId="33CD9DE1">
      <w:pPr>
        <w:spacing w:line="360" w:lineRule="auto"/>
        <w:ind w:firstLine="420" w:firstLineChars="200"/>
        <w:rPr>
          <w:rFonts w:ascii="宋体" w:hAnsi="宋体" w:cs="宋体"/>
        </w:rPr>
      </w:pPr>
      <w:r>
        <w:rPr>
          <w:rFonts w:hint="eastAsia" w:ascii="宋体" w:hAnsi="宋体" w:cs="宋体"/>
        </w:rPr>
        <w:t>能接受远程控制功能；</w:t>
      </w:r>
    </w:p>
    <w:p w14:paraId="00AFA9FA">
      <w:pPr>
        <w:spacing w:line="360" w:lineRule="auto"/>
        <w:ind w:firstLine="420" w:firstLineChars="200"/>
        <w:rPr>
          <w:rFonts w:ascii="宋体" w:hAnsi="宋体" w:cs="宋体"/>
        </w:rPr>
      </w:pPr>
      <w:r>
        <w:rPr>
          <w:rFonts w:hint="eastAsia" w:ascii="宋体" w:hAnsi="宋体" w:cs="宋体"/>
        </w:rPr>
        <w:t>具备关键参数变更的自动记录和查询功能；</w:t>
      </w:r>
    </w:p>
    <w:p w14:paraId="016F445A">
      <w:pPr>
        <w:spacing w:line="360" w:lineRule="auto"/>
        <w:ind w:firstLine="420" w:firstLineChars="200"/>
        <w:rPr>
          <w:rFonts w:ascii="宋体" w:hAnsi="宋体" w:cs="宋体"/>
        </w:rPr>
      </w:pPr>
      <w:r>
        <w:rPr>
          <w:rFonts w:hint="eastAsia" w:ascii="宋体" w:hAnsi="宋体" w:cs="宋体"/>
        </w:rPr>
        <w:t>具备自动/手动标样核查（零点核查、跨度核查）、零点校准、标样校准、工作曲线自动标定、加标回收率测试等功能；</w:t>
      </w:r>
    </w:p>
    <w:p w14:paraId="07DC0843">
      <w:pPr>
        <w:spacing w:line="360" w:lineRule="auto"/>
        <w:ind w:firstLine="420" w:firstLineChars="200"/>
        <w:rPr>
          <w:rFonts w:ascii="宋体" w:hAnsi="宋体" w:cs="宋体"/>
        </w:rPr>
      </w:pPr>
      <w:r>
        <w:rPr>
          <w:rFonts w:hint="eastAsia" w:ascii="宋体" w:hAnsi="宋体" w:cs="宋体"/>
        </w:rPr>
        <w:t>具有仪器故障自动报警功能，如零部件故障、超量程报警、异常数据报警、缺试剂（水样、蒸馏水、试剂） 报警等信息，并能够记录、上传；</w:t>
      </w:r>
    </w:p>
    <w:p w14:paraId="09624D9F">
      <w:pPr>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具备高低量程自动切换的功能，量程切换时不影响监测数据的正常显示和信号的正常输出；</w:t>
      </w:r>
    </w:p>
    <w:p w14:paraId="0784099C">
      <w:pPr>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仪器数据单位为mg/L或u g/L并具有mg/L和u g/L单位相互转换功能；</w:t>
      </w:r>
    </w:p>
    <w:p w14:paraId="24B68B86">
      <w:pPr>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仪器可扩展性好，可完成不同监测参数之间的转换；</w:t>
      </w:r>
    </w:p>
    <w:p w14:paraId="2E08A68A">
      <w:pPr>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具有抗浊度干扰功能；</w:t>
      </w:r>
    </w:p>
    <w:p w14:paraId="25364F2D">
      <w:pPr>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具备一键性能检验功能，包括零点漂移、量程漂移、示值误差、重复性、检出限测试，并自动计算测试结果；仪器具有多种曲线标定方式，多量程共用一条工作曲线，也可多量程采用多条工作曲线。</w:t>
      </w:r>
    </w:p>
    <w:p w14:paraId="3CA7CB46">
      <w:pPr>
        <w:spacing w:line="360" w:lineRule="auto"/>
        <w:ind w:firstLine="420" w:firstLineChars="200"/>
        <w:rPr>
          <w:rFonts w:ascii="宋体" w:hAnsi="宋体" w:cs="宋体"/>
        </w:rPr>
      </w:pPr>
      <w:r>
        <w:rPr>
          <w:rFonts w:hint="eastAsia" w:ascii="宋体" w:hAnsi="宋体" w:cs="宋体"/>
        </w:rPr>
        <w:t>具有漏电保护装置和过载保护装置，防止人身触电和仪器意外烧毁；</w:t>
      </w:r>
    </w:p>
    <w:p w14:paraId="4DF3D74B">
      <w:pPr>
        <w:spacing w:line="360" w:lineRule="auto"/>
        <w:ind w:firstLine="420" w:firstLineChars="200"/>
        <w:rPr>
          <w:rFonts w:ascii="宋体" w:hAnsi="宋体" w:cs="宋体"/>
        </w:rPr>
      </w:pPr>
      <w:r>
        <w:rPr>
          <w:rFonts w:hint="eastAsia" w:ascii="宋体" w:hAnsi="宋体" w:cs="宋体"/>
        </w:rPr>
        <w:t>具有仪器运行周期（连续或间歇）设置功能；</w:t>
      </w:r>
    </w:p>
    <w:p w14:paraId="36E9D7F5">
      <w:pPr>
        <w:spacing w:line="360" w:lineRule="auto"/>
        <w:ind w:firstLine="420" w:firstLineChars="200"/>
        <w:rPr>
          <w:rFonts w:ascii="宋体" w:hAnsi="宋体" w:cs="宋体"/>
        </w:rPr>
      </w:pPr>
      <w:r>
        <w:rPr>
          <w:rFonts w:hint="eastAsia" w:ascii="宋体" w:hAnsi="宋体" w:cs="宋体"/>
        </w:rPr>
        <w:t>具备双管路进样，避免试剂干扰；</w:t>
      </w:r>
    </w:p>
    <w:p w14:paraId="3C340F4C">
      <w:pPr>
        <w:spacing w:line="360" w:lineRule="auto"/>
        <w:ind w:firstLine="420" w:firstLineChars="200"/>
        <w:rPr>
          <w:rFonts w:ascii="宋体" w:hAnsi="宋体" w:cs="宋体"/>
        </w:rPr>
      </w:pPr>
      <w:r>
        <w:rPr>
          <w:rFonts w:hint="eastAsia" w:ascii="宋体" w:hAnsi="宋体" w:cs="宋体"/>
        </w:rPr>
        <w:t>具有仪器状态(如测量、空闲、故障、维护等)显示；</w:t>
      </w:r>
    </w:p>
    <w:p w14:paraId="2EF98B10">
      <w:pPr>
        <w:spacing w:line="360" w:lineRule="auto"/>
        <w:ind w:firstLine="420" w:firstLineChars="200"/>
        <w:rPr>
          <w:rFonts w:ascii="宋体" w:hAnsi="宋体" w:cs="宋体"/>
        </w:rPr>
      </w:pPr>
      <w:r>
        <w:rPr>
          <w:rFonts w:hint="eastAsia" w:ascii="宋体" w:hAnsi="宋体" w:cs="宋体"/>
        </w:rPr>
        <w:t>具备双向数据传输和工作状态输出功能；</w:t>
      </w:r>
    </w:p>
    <w:p w14:paraId="3A6B9B80">
      <w:pPr>
        <w:spacing w:line="360" w:lineRule="auto"/>
        <w:ind w:firstLine="420" w:firstLineChars="200"/>
        <w:rPr>
          <w:rFonts w:ascii="宋体" w:hAnsi="宋体" w:cs="宋体"/>
        </w:rPr>
      </w:pPr>
      <w:r>
        <w:rPr>
          <w:rFonts w:hint="eastAsia" w:ascii="宋体" w:hAnsi="宋体" w:cs="宋体"/>
        </w:rPr>
        <w:t>具有 RS-232 或 RS-485 标准通讯接口；</w:t>
      </w:r>
    </w:p>
    <w:p w14:paraId="6BF1848C">
      <w:pPr>
        <w:spacing w:line="360" w:lineRule="auto"/>
        <w:ind w:firstLine="420" w:firstLineChars="200"/>
        <w:rPr>
          <w:rFonts w:ascii="宋体" w:hAnsi="宋体" w:cs="宋体"/>
        </w:rPr>
      </w:pPr>
      <w:r>
        <w:rPr>
          <w:rFonts w:hint="eastAsia" w:ascii="宋体" w:hAnsi="宋体" w:cs="宋体"/>
        </w:rPr>
        <w:t>水质自动分析仪器（常规五参数外）应具有三级管理权限；</w:t>
      </w:r>
    </w:p>
    <w:p w14:paraId="5CB97F14">
      <w:pPr>
        <w:spacing w:line="360" w:lineRule="auto"/>
        <w:ind w:firstLine="420" w:firstLineChars="200"/>
        <w:rPr>
          <w:rFonts w:ascii="宋体" w:hAnsi="宋体" w:cs="宋体"/>
        </w:rPr>
      </w:pPr>
      <w:r>
        <w:rPr>
          <w:rFonts w:hint="eastAsia" w:ascii="宋体" w:hAnsi="宋体" w:cs="宋体"/>
        </w:rPr>
        <w:t>监测频次4个小时1次，应具备1小时1次的监测能力。</w:t>
      </w:r>
    </w:p>
    <w:p w14:paraId="6A5FE0F9">
      <w:pPr>
        <w:wordWrap w:val="0"/>
        <w:topLinePunct/>
        <w:spacing w:line="360" w:lineRule="auto"/>
        <w:ind w:firstLine="422" w:firstLineChars="200"/>
        <w:rPr>
          <w:rFonts w:ascii="宋体" w:hAnsi="宋体" w:cs="宋体"/>
          <w:b/>
          <w:lang w:val="zh-TW"/>
        </w:rPr>
      </w:pPr>
      <w:r>
        <w:rPr>
          <w:rFonts w:hint="eastAsia" w:ascii="宋体" w:hAnsi="宋体" w:cs="宋体"/>
          <w:b/>
        </w:rPr>
        <w:t>（三）</w:t>
      </w:r>
      <w:r>
        <w:rPr>
          <w:rFonts w:hint="eastAsia" w:ascii="宋体" w:hAnsi="宋体" w:cs="宋体"/>
          <w:b/>
          <w:lang w:val="zh-TW" w:eastAsia="zh-TW"/>
        </w:rPr>
        <w:t>分析仪器技术指标</w:t>
      </w:r>
    </w:p>
    <w:p w14:paraId="0EDD164F">
      <w:pPr>
        <w:spacing w:line="360" w:lineRule="auto"/>
        <w:rPr>
          <w:rFonts w:ascii="宋体" w:hAnsi="宋体" w:cs="宋体"/>
        </w:rPr>
      </w:pPr>
      <w:bookmarkStart w:id="55" w:name="_Toc19218"/>
      <w:r>
        <w:rPr>
          <w:rFonts w:hint="eastAsia" w:ascii="宋体" w:hAnsi="宋体" w:cs="宋体"/>
        </w:rPr>
        <w:t>3.1五参数水质自动分析仪</w:t>
      </w:r>
      <w:bookmarkEnd w:id="55"/>
    </w:p>
    <w:p w14:paraId="387EA3E9">
      <w:pPr>
        <w:numPr>
          <w:ilvl w:val="0"/>
          <w:numId w:val="2"/>
        </w:numPr>
        <w:spacing w:line="360" w:lineRule="auto"/>
        <w:rPr>
          <w:rFonts w:ascii="宋体" w:hAnsi="宋体" w:cs="宋体"/>
        </w:rPr>
      </w:pPr>
      <w:r>
        <w:rPr>
          <w:rFonts w:hint="eastAsia" w:ascii="宋体" w:hAnsi="宋体" w:cs="宋体"/>
        </w:rPr>
        <w:t>水温水质自动分析仪</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176"/>
      </w:tblGrid>
      <w:tr w14:paraId="5020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0" w:type="dxa"/>
            <w:vAlign w:val="center"/>
          </w:tcPr>
          <w:p w14:paraId="67117DE3">
            <w:pPr>
              <w:tabs>
                <w:tab w:val="left" w:pos="668"/>
              </w:tabs>
              <w:spacing w:line="360" w:lineRule="auto"/>
              <w:jc w:val="center"/>
              <w:rPr>
                <w:rFonts w:ascii="宋体" w:hAnsi="宋体" w:cs="宋体"/>
                <w:b/>
                <w:bCs/>
              </w:rPr>
            </w:pPr>
            <w:r>
              <w:rPr>
                <w:rFonts w:hint="eastAsia" w:ascii="宋体" w:hAnsi="宋体" w:cs="宋体"/>
                <w:b/>
                <w:bCs/>
              </w:rPr>
              <w:t>项目</w:t>
            </w:r>
          </w:p>
        </w:tc>
        <w:tc>
          <w:tcPr>
            <w:tcW w:w="5176" w:type="dxa"/>
            <w:vAlign w:val="center"/>
          </w:tcPr>
          <w:p w14:paraId="4C4B6AF3">
            <w:pPr>
              <w:tabs>
                <w:tab w:val="left" w:pos="668"/>
              </w:tabs>
              <w:spacing w:line="360" w:lineRule="auto"/>
              <w:jc w:val="center"/>
              <w:rPr>
                <w:rFonts w:ascii="宋体" w:hAnsi="宋体" w:cs="宋体"/>
                <w:b/>
                <w:bCs/>
              </w:rPr>
            </w:pPr>
            <w:r>
              <w:rPr>
                <w:rFonts w:hint="eastAsia" w:ascii="宋体" w:hAnsi="宋体" w:cs="宋体"/>
                <w:b/>
                <w:bCs/>
              </w:rPr>
              <w:t>技术指标</w:t>
            </w:r>
          </w:p>
        </w:tc>
      </w:tr>
      <w:tr w14:paraId="2AF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0" w:type="dxa"/>
            <w:vAlign w:val="center"/>
          </w:tcPr>
          <w:p w14:paraId="2DAC3815">
            <w:pPr>
              <w:tabs>
                <w:tab w:val="left" w:pos="668"/>
              </w:tabs>
              <w:spacing w:line="360" w:lineRule="auto"/>
              <w:jc w:val="center"/>
              <w:rPr>
                <w:rFonts w:ascii="宋体" w:hAnsi="宋体" w:cs="宋体"/>
              </w:rPr>
            </w:pPr>
            <w:r>
              <w:rPr>
                <w:rFonts w:hint="eastAsia" w:ascii="宋体" w:hAnsi="宋体" w:cs="宋体"/>
              </w:rPr>
              <w:t>测定原理</w:t>
            </w:r>
          </w:p>
        </w:tc>
        <w:tc>
          <w:tcPr>
            <w:tcW w:w="5176" w:type="dxa"/>
            <w:vAlign w:val="center"/>
          </w:tcPr>
          <w:p w14:paraId="5A73D8E1">
            <w:pPr>
              <w:tabs>
                <w:tab w:val="left" w:pos="668"/>
              </w:tabs>
              <w:spacing w:line="360" w:lineRule="auto"/>
              <w:jc w:val="center"/>
              <w:rPr>
                <w:rFonts w:ascii="宋体" w:hAnsi="宋体" w:cs="宋体"/>
              </w:rPr>
            </w:pPr>
            <w:r>
              <w:rPr>
                <w:rFonts w:hint="eastAsia" w:ascii="宋体" w:hAnsi="宋体" w:cs="宋体"/>
              </w:rPr>
              <w:t>热电阻</w:t>
            </w:r>
          </w:p>
        </w:tc>
      </w:tr>
      <w:tr w14:paraId="0E60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0" w:type="dxa"/>
            <w:vAlign w:val="center"/>
          </w:tcPr>
          <w:p w14:paraId="24D747DD">
            <w:pPr>
              <w:tabs>
                <w:tab w:val="left" w:pos="668"/>
              </w:tabs>
              <w:spacing w:line="360" w:lineRule="auto"/>
              <w:jc w:val="center"/>
              <w:rPr>
                <w:rFonts w:ascii="宋体" w:hAnsi="宋体" w:cs="宋体"/>
              </w:rPr>
            </w:pPr>
            <w:r>
              <w:rPr>
                <w:rFonts w:hint="eastAsia" w:ascii="宋体" w:hAnsi="宋体" w:cs="宋体"/>
              </w:rPr>
              <w:t>量程</w:t>
            </w:r>
          </w:p>
        </w:tc>
        <w:tc>
          <w:tcPr>
            <w:tcW w:w="5176" w:type="dxa"/>
            <w:vAlign w:val="center"/>
          </w:tcPr>
          <w:p w14:paraId="70647649">
            <w:pPr>
              <w:tabs>
                <w:tab w:val="left" w:pos="668"/>
              </w:tabs>
              <w:spacing w:line="360" w:lineRule="auto"/>
              <w:jc w:val="center"/>
              <w:rPr>
                <w:rFonts w:ascii="宋体" w:hAnsi="宋体" w:cs="宋体"/>
              </w:rPr>
            </w:pPr>
            <w:r>
              <w:rPr>
                <w:rFonts w:hint="eastAsia" w:ascii="宋体" w:hAnsi="宋体" w:cs="宋体"/>
              </w:rPr>
              <w:t>0℃～60℃，可调</w:t>
            </w:r>
          </w:p>
        </w:tc>
      </w:tr>
      <w:tr w14:paraId="36E7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0" w:type="dxa"/>
            <w:vAlign w:val="center"/>
          </w:tcPr>
          <w:p w14:paraId="424B7CED">
            <w:pPr>
              <w:tabs>
                <w:tab w:val="left" w:pos="668"/>
              </w:tabs>
              <w:spacing w:line="360" w:lineRule="auto"/>
              <w:jc w:val="center"/>
              <w:rPr>
                <w:rFonts w:ascii="宋体" w:hAnsi="宋体" w:cs="宋体"/>
              </w:rPr>
            </w:pPr>
            <w:r>
              <w:rPr>
                <w:rFonts w:hint="eastAsia" w:ascii="宋体" w:hAnsi="宋体" w:cs="宋体"/>
              </w:rPr>
              <w:t>准确度</w:t>
            </w:r>
          </w:p>
        </w:tc>
        <w:tc>
          <w:tcPr>
            <w:tcW w:w="5176" w:type="dxa"/>
            <w:vAlign w:val="center"/>
          </w:tcPr>
          <w:p w14:paraId="2F8C8974">
            <w:pPr>
              <w:tabs>
                <w:tab w:val="left" w:pos="668"/>
              </w:tabs>
              <w:spacing w:line="360" w:lineRule="auto"/>
              <w:jc w:val="center"/>
              <w:rPr>
                <w:rFonts w:ascii="宋体" w:hAnsi="宋体" w:cs="宋体"/>
              </w:rPr>
            </w:pPr>
            <w:r>
              <w:rPr>
                <w:rFonts w:hint="eastAsia" w:ascii="宋体" w:hAnsi="宋体" w:cs="宋体"/>
              </w:rPr>
              <w:t>±0.5℃</w:t>
            </w:r>
          </w:p>
        </w:tc>
      </w:tr>
      <w:tr w14:paraId="7F14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0" w:type="dxa"/>
            <w:vAlign w:val="center"/>
          </w:tcPr>
          <w:p w14:paraId="34B857D7">
            <w:pPr>
              <w:tabs>
                <w:tab w:val="left" w:pos="668"/>
              </w:tabs>
              <w:spacing w:line="360" w:lineRule="auto"/>
              <w:jc w:val="center"/>
              <w:rPr>
                <w:rFonts w:ascii="宋体" w:hAnsi="宋体" w:cs="宋体"/>
              </w:rPr>
            </w:pPr>
            <w:r>
              <w:rPr>
                <w:rFonts w:hint="eastAsia" w:ascii="宋体" w:hAnsi="宋体" w:cs="宋体"/>
              </w:rPr>
              <w:t>MTBF</w:t>
            </w:r>
          </w:p>
        </w:tc>
        <w:tc>
          <w:tcPr>
            <w:tcW w:w="5176" w:type="dxa"/>
            <w:vAlign w:val="center"/>
          </w:tcPr>
          <w:p w14:paraId="37E0D1CA">
            <w:pPr>
              <w:tabs>
                <w:tab w:val="left" w:pos="668"/>
              </w:tabs>
              <w:spacing w:line="360" w:lineRule="auto"/>
              <w:jc w:val="center"/>
              <w:rPr>
                <w:rFonts w:ascii="宋体" w:hAnsi="宋体" w:cs="宋体"/>
              </w:rPr>
            </w:pPr>
            <w:r>
              <w:rPr>
                <w:rFonts w:hint="eastAsia" w:ascii="宋体" w:hAnsi="宋体" w:cs="宋体"/>
              </w:rPr>
              <w:t>≥720h/次</w:t>
            </w:r>
          </w:p>
        </w:tc>
      </w:tr>
    </w:tbl>
    <w:p w14:paraId="2B524EB0">
      <w:pPr>
        <w:adjustRightInd w:val="0"/>
        <w:spacing w:line="420" w:lineRule="atLeast"/>
        <w:textAlignment w:val="baseline"/>
        <w:rPr>
          <w:rFonts w:ascii="宋体" w:hAnsi="宋体" w:cs="宋体"/>
          <w:sz w:val="32"/>
        </w:rPr>
      </w:pPr>
    </w:p>
    <w:p w14:paraId="262F87DE">
      <w:pPr>
        <w:numPr>
          <w:ilvl w:val="0"/>
          <w:numId w:val="2"/>
        </w:numPr>
        <w:spacing w:line="360" w:lineRule="auto"/>
        <w:rPr>
          <w:rFonts w:ascii="宋体" w:hAnsi="宋体" w:cs="宋体"/>
        </w:rPr>
      </w:pPr>
      <w:r>
        <w:rPr>
          <w:rFonts w:hint="eastAsia" w:ascii="宋体" w:hAnsi="宋体" w:cs="宋体"/>
        </w:rPr>
        <w:t>pH水质自动分析仪</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121"/>
      </w:tblGrid>
      <w:tr w14:paraId="7657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2660" w:type="dxa"/>
            <w:vAlign w:val="center"/>
          </w:tcPr>
          <w:p w14:paraId="11592337">
            <w:pPr>
              <w:tabs>
                <w:tab w:val="left" w:pos="668"/>
              </w:tabs>
              <w:spacing w:line="360" w:lineRule="auto"/>
              <w:jc w:val="center"/>
              <w:rPr>
                <w:rFonts w:ascii="宋体" w:hAnsi="宋体" w:cs="宋体"/>
                <w:b/>
                <w:bCs/>
              </w:rPr>
            </w:pPr>
            <w:r>
              <w:rPr>
                <w:rFonts w:hint="eastAsia" w:ascii="宋体" w:hAnsi="宋体" w:cs="宋体"/>
                <w:b/>
                <w:bCs/>
              </w:rPr>
              <w:t>项目</w:t>
            </w:r>
          </w:p>
        </w:tc>
        <w:tc>
          <w:tcPr>
            <w:tcW w:w="5121" w:type="dxa"/>
            <w:vAlign w:val="center"/>
          </w:tcPr>
          <w:p w14:paraId="6F14742C">
            <w:pPr>
              <w:tabs>
                <w:tab w:val="left" w:pos="668"/>
              </w:tabs>
              <w:spacing w:line="360" w:lineRule="auto"/>
              <w:jc w:val="center"/>
              <w:rPr>
                <w:rFonts w:ascii="宋体" w:hAnsi="宋体" w:cs="宋体"/>
                <w:b/>
                <w:bCs/>
              </w:rPr>
            </w:pPr>
            <w:r>
              <w:rPr>
                <w:rFonts w:hint="eastAsia" w:ascii="宋体" w:hAnsi="宋体" w:cs="宋体"/>
                <w:b/>
                <w:bCs/>
              </w:rPr>
              <w:t>技术指标</w:t>
            </w:r>
          </w:p>
        </w:tc>
      </w:tr>
      <w:tr w14:paraId="62B0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60" w:type="dxa"/>
            <w:vAlign w:val="center"/>
          </w:tcPr>
          <w:p w14:paraId="24B2E0FF">
            <w:pPr>
              <w:tabs>
                <w:tab w:val="left" w:pos="668"/>
              </w:tabs>
              <w:spacing w:line="360" w:lineRule="auto"/>
              <w:jc w:val="center"/>
              <w:rPr>
                <w:rFonts w:ascii="宋体" w:hAnsi="宋体" w:cs="宋体"/>
              </w:rPr>
            </w:pPr>
            <w:r>
              <w:rPr>
                <w:rFonts w:hint="eastAsia" w:ascii="宋体" w:hAnsi="宋体" w:cs="宋体"/>
              </w:rPr>
              <w:t>测定原理</w:t>
            </w:r>
          </w:p>
        </w:tc>
        <w:tc>
          <w:tcPr>
            <w:tcW w:w="5121" w:type="dxa"/>
            <w:vAlign w:val="center"/>
          </w:tcPr>
          <w:p w14:paraId="7C818A33">
            <w:pPr>
              <w:tabs>
                <w:tab w:val="left" w:pos="668"/>
              </w:tabs>
              <w:spacing w:line="360" w:lineRule="auto"/>
              <w:jc w:val="center"/>
              <w:rPr>
                <w:rFonts w:ascii="宋体" w:hAnsi="宋体" w:cs="宋体"/>
              </w:rPr>
            </w:pPr>
            <w:r>
              <w:rPr>
                <w:rFonts w:hint="eastAsia" w:ascii="宋体" w:hAnsi="宋体" w:cs="宋体"/>
              </w:rPr>
              <w:t>玻璃电极法</w:t>
            </w:r>
          </w:p>
        </w:tc>
      </w:tr>
      <w:tr w14:paraId="5070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60" w:type="dxa"/>
            <w:vAlign w:val="center"/>
          </w:tcPr>
          <w:p w14:paraId="591634F7">
            <w:pPr>
              <w:tabs>
                <w:tab w:val="left" w:pos="668"/>
              </w:tabs>
              <w:spacing w:line="360" w:lineRule="auto"/>
              <w:jc w:val="center"/>
              <w:rPr>
                <w:rFonts w:ascii="宋体" w:hAnsi="宋体" w:cs="宋体"/>
              </w:rPr>
            </w:pPr>
            <w:r>
              <w:rPr>
                <w:rFonts w:hint="eastAsia" w:ascii="宋体" w:hAnsi="宋体" w:cs="宋体"/>
              </w:rPr>
              <w:t>量程</w:t>
            </w:r>
          </w:p>
        </w:tc>
        <w:tc>
          <w:tcPr>
            <w:tcW w:w="5121" w:type="dxa"/>
            <w:vAlign w:val="center"/>
          </w:tcPr>
          <w:p w14:paraId="199A53C7">
            <w:pPr>
              <w:tabs>
                <w:tab w:val="left" w:pos="668"/>
              </w:tabs>
              <w:spacing w:line="360" w:lineRule="auto"/>
              <w:jc w:val="center"/>
              <w:rPr>
                <w:rFonts w:ascii="宋体" w:hAnsi="宋体" w:cs="宋体"/>
              </w:rPr>
            </w:pPr>
            <w:r>
              <w:rPr>
                <w:rFonts w:hint="eastAsia" w:ascii="宋体" w:hAnsi="宋体" w:cs="宋体"/>
              </w:rPr>
              <w:t>pH0～14（0～40℃），可调</w:t>
            </w:r>
          </w:p>
        </w:tc>
      </w:tr>
      <w:tr w14:paraId="7CC6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60" w:type="dxa"/>
            <w:vAlign w:val="center"/>
          </w:tcPr>
          <w:p w14:paraId="7B986C1F">
            <w:pPr>
              <w:spacing w:before="144" w:after="120" w:line="360" w:lineRule="auto"/>
              <w:ind w:firstLine="420" w:firstLineChars="200"/>
              <w:jc w:val="center"/>
              <w:rPr>
                <w:rFonts w:ascii="宋体" w:hAnsi="宋体" w:cs="宋体"/>
              </w:rPr>
            </w:pPr>
            <w:r>
              <w:rPr>
                <w:rFonts w:hint="eastAsia" w:ascii="宋体" w:hAnsi="宋体" w:cs="宋体"/>
              </w:rPr>
              <w:t>示值误差</w:t>
            </w:r>
          </w:p>
        </w:tc>
        <w:tc>
          <w:tcPr>
            <w:tcW w:w="5121" w:type="dxa"/>
            <w:vAlign w:val="center"/>
          </w:tcPr>
          <w:p w14:paraId="69E4B1CB">
            <w:pPr>
              <w:spacing w:line="360" w:lineRule="auto"/>
              <w:ind w:firstLine="420" w:firstLineChars="200"/>
              <w:jc w:val="center"/>
              <w:rPr>
                <w:rFonts w:ascii="宋体" w:hAnsi="宋体" w:cs="宋体"/>
              </w:rPr>
            </w:pPr>
            <w:r>
              <w:rPr>
                <w:rFonts w:hint="eastAsia" w:ascii="宋体" w:hAnsi="宋体" w:cs="宋体"/>
              </w:rPr>
              <w:t>±0.1pH</w:t>
            </w:r>
          </w:p>
        </w:tc>
      </w:tr>
      <w:tr w14:paraId="0FFA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60" w:type="dxa"/>
            <w:vAlign w:val="center"/>
          </w:tcPr>
          <w:p w14:paraId="4098CCE6">
            <w:pPr>
              <w:tabs>
                <w:tab w:val="left" w:pos="668"/>
              </w:tabs>
              <w:spacing w:line="360" w:lineRule="auto"/>
              <w:jc w:val="center"/>
              <w:rPr>
                <w:rFonts w:ascii="宋体" w:hAnsi="宋体" w:cs="宋体"/>
              </w:rPr>
            </w:pPr>
            <w:r>
              <w:rPr>
                <w:rFonts w:hint="eastAsia" w:ascii="宋体" w:hAnsi="宋体" w:cs="宋体"/>
              </w:rPr>
              <w:t>漂移（pH=4、7、9）</w:t>
            </w:r>
          </w:p>
        </w:tc>
        <w:tc>
          <w:tcPr>
            <w:tcW w:w="5121" w:type="dxa"/>
            <w:vAlign w:val="center"/>
          </w:tcPr>
          <w:p w14:paraId="63D7E6B6">
            <w:pPr>
              <w:tabs>
                <w:tab w:val="left" w:pos="668"/>
              </w:tabs>
              <w:spacing w:line="360" w:lineRule="auto"/>
              <w:jc w:val="center"/>
              <w:rPr>
                <w:rFonts w:ascii="宋体" w:hAnsi="宋体" w:cs="宋体"/>
              </w:rPr>
            </w:pPr>
            <w:r>
              <w:rPr>
                <w:rFonts w:hint="eastAsia" w:ascii="宋体" w:hAnsi="宋体" w:cs="宋体"/>
              </w:rPr>
              <w:t>±0.1pH</w:t>
            </w:r>
          </w:p>
        </w:tc>
      </w:tr>
      <w:tr w14:paraId="41EC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60" w:type="dxa"/>
            <w:vAlign w:val="center"/>
          </w:tcPr>
          <w:p w14:paraId="4449458F">
            <w:pPr>
              <w:tabs>
                <w:tab w:val="left" w:pos="668"/>
              </w:tabs>
              <w:spacing w:line="360" w:lineRule="auto"/>
              <w:jc w:val="center"/>
              <w:rPr>
                <w:rFonts w:ascii="宋体" w:hAnsi="宋体" w:cs="宋体"/>
              </w:rPr>
            </w:pPr>
            <w:r>
              <w:rPr>
                <w:rFonts w:hint="eastAsia" w:ascii="宋体" w:hAnsi="宋体" w:cs="宋体"/>
              </w:rPr>
              <w:t>响应时间</w:t>
            </w:r>
          </w:p>
        </w:tc>
        <w:tc>
          <w:tcPr>
            <w:tcW w:w="5121" w:type="dxa"/>
            <w:vAlign w:val="center"/>
          </w:tcPr>
          <w:p w14:paraId="7BB93F71">
            <w:pPr>
              <w:tabs>
                <w:tab w:val="left" w:pos="668"/>
              </w:tabs>
              <w:spacing w:line="360" w:lineRule="auto"/>
              <w:jc w:val="center"/>
              <w:rPr>
                <w:rFonts w:ascii="宋体" w:hAnsi="宋体" w:cs="宋体"/>
              </w:rPr>
            </w:pPr>
            <w:r>
              <w:rPr>
                <w:rFonts w:hint="eastAsia" w:ascii="宋体" w:hAnsi="宋体" w:cs="宋体"/>
              </w:rPr>
              <w:t>≤30s</w:t>
            </w:r>
          </w:p>
        </w:tc>
      </w:tr>
      <w:tr w14:paraId="34D4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60" w:type="dxa"/>
            <w:vAlign w:val="center"/>
          </w:tcPr>
          <w:p w14:paraId="57911ABE">
            <w:pPr>
              <w:tabs>
                <w:tab w:val="left" w:pos="668"/>
              </w:tabs>
              <w:spacing w:line="360" w:lineRule="auto"/>
              <w:jc w:val="center"/>
              <w:rPr>
                <w:rFonts w:ascii="宋体" w:hAnsi="宋体" w:cs="宋体"/>
              </w:rPr>
            </w:pPr>
            <w:r>
              <w:rPr>
                <w:rFonts w:hint="eastAsia" w:ascii="宋体" w:hAnsi="宋体" w:cs="宋体"/>
              </w:rPr>
              <w:t>温度补偿精度</w:t>
            </w:r>
          </w:p>
        </w:tc>
        <w:tc>
          <w:tcPr>
            <w:tcW w:w="5121" w:type="dxa"/>
            <w:vAlign w:val="center"/>
          </w:tcPr>
          <w:p w14:paraId="41F30A61">
            <w:pPr>
              <w:tabs>
                <w:tab w:val="left" w:pos="668"/>
              </w:tabs>
              <w:spacing w:line="360" w:lineRule="auto"/>
              <w:jc w:val="center"/>
              <w:rPr>
                <w:rFonts w:ascii="宋体" w:hAnsi="宋体" w:cs="宋体"/>
              </w:rPr>
            </w:pPr>
            <w:r>
              <w:rPr>
                <w:rFonts w:hint="eastAsia" w:ascii="宋体" w:hAnsi="宋体" w:cs="宋体"/>
              </w:rPr>
              <w:t>±0.1pH</w:t>
            </w:r>
          </w:p>
        </w:tc>
      </w:tr>
      <w:tr w14:paraId="4E39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60" w:type="dxa"/>
            <w:vAlign w:val="center"/>
          </w:tcPr>
          <w:p w14:paraId="3395DCC6">
            <w:pPr>
              <w:tabs>
                <w:tab w:val="left" w:pos="668"/>
              </w:tabs>
              <w:spacing w:line="360" w:lineRule="auto"/>
              <w:jc w:val="center"/>
              <w:rPr>
                <w:rFonts w:ascii="宋体" w:hAnsi="宋体" w:cs="宋体"/>
              </w:rPr>
            </w:pPr>
            <w:r>
              <w:rPr>
                <w:rFonts w:hint="eastAsia" w:ascii="宋体" w:hAnsi="宋体" w:cs="宋体"/>
              </w:rPr>
              <w:t>MTBF</w:t>
            </w:r>
          </w:p>
        </w:tc>
        <w:tc>
          <w:tcPr>
            <w:tcW w:w="5121" w:type="dxa"/>
            <w:vAlign w:val="center"/>
          </w:tcPr>
          <w:p w14:paraId="05016C1A">
            <w:pPr>
              <w:tabs>
                <w:tab w:val="left" w:pos="668"/>
              </w:tabs>
              <w:spacing w:line="360" w:lineRule="auto"/>
              <w:jc w:val="center"/>
              <w:rPr>
                <w:rFonts w:ascii="宋体" w:hAnsi="宋体" w:cs="宋体"/>
              </w:rPr>
            </w:pPr>
            <w:r>
              <w:rPr>
                <w:rFonts w:hint="eastAsia" w:ascii="宋体" w:hAnsi="宋体" w:cs="宋体"/>
              </w:rPr>
              <w:t>≥720h/次</w:t>
            </w:r>
          </w:p>
        </w:tc>
      </w:tr>
      <w:tr w14:paraId="68C8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60" w:type="dxa"/>
            <w:vAlign w:val="center"/>
          </w:tcPr>
          <w:p w14:paraId="6FF6A8A1">
            <w:pPr>
              <w:tabs>
                <w:tab w:val="left" w:pos="668"/>
              </w:tabs>
              <w:spacing w:line="360" w:lineRule="auto"/>
              <w:jc w:val="center"/>
              <w:rPr>
                <w:rFonts w:ascii="宋体" w:hAnsi="宋体" w:cs="宋体"/>
              </w:rPr>
            </w:pPr>
            <w:r>
              <w:rPr>
                <w:rFonts w:hint="eastAsia" w:ascii="宋体" w:hAnsi="宋体" w:cs="宋体"/>
              </w:rPr>
              <w:t>实际水样比对试验</w:t>
            </w:r>
          </w:p>
        </w:tc>
        <w:tc>
          <w:tcPr>
            <w:tcW w:w="5121" w:type="dxa"/>
            <w:vAlign w:val="center"/>
          </w:tcPr>
          <w:p w14:paraId="22E4A7CC">
            <w:pPr>
              <w:tabs>
                <w:tab w:val="left" w:pos="668"/>
              </w:tabs>
              <w:spacing w:line="360" w:lineRule="auto"/>
              <w:jc w:val="center"/>
              <w:rPr>
                <w:rFonts w:ascii="宋体" w:hAnsi="宋体" w:cs="宋体"/>
              </w:rPr>
            </w:pPr>
            <w:r>
              <w:rPr>
                <w:rFonts w:hint="eastAsia" w:ascii="宋体" w:hAnsi="宋体" w:cs="宋体"/>
              </w:rPr>
              <w:t>±0.1 pH</w:t>
            </w:r>
          </w:p>
        </w:tc>
      </w:tr>
      <w:tr w14:paraId="7D1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660" w:type="dxa"/>
            <w:vAlign w:val="center"/>
          </w:tcPr>
          <w:p w14:paraId="46BB2F2D">
            <w:pPr>
              <w:tabs>
                <w:tab w:val="left" w:pos="668"/>
              </w:tabs>
              <w:spacing w:line="360" w:lineRule="auto"/>
              <w:jc w:val="center"/>
              <w:rPr>
                <w:rFonts w:ascii="宋体" w:hAnsi="宋体" w:cs="宋体"/>
              </w:rPr>
            </w:pPr>
            <w:r>
              <w:rPr>
                <w:rFonts w:hint="eastAsia" w:ascii="宋体" w:hAnsi="宋体" w:cs="宋体"/>
              </w:rPr>
              <w:t>防护等级</w:t>
            </w:r>
          </w:p>
        </w:tc>
        <w:tc>
          <w:tcPr>
            <w:tcW w:w="5121" w:type="dxa"/>
            <w:vAlign w:val="center"/>
          </w:tcPr>
          <w:p w14:paraId="49586E26">
            <w:pPr>
              <w:tabs>
                <w:tab w:val="left" w:pos="668"/>
              </w:tabs>
              <w:spacing w:line="360" w:lineRule="auto"/>
              <w:jc w:val="center"/>
              <w:rPr>
                <w:rFonts w:ascii="宋体" w:hAnsi="宋体" w:cs="宋体"/>
              </w:rPr>
            </w:pPr>
            <w:r>
              <w:rPr>
                <w:rFonts w:hint="eastAsia" w:ascii="宋体" w:hAnsi="宋体" w:cs="宋体"/>
              </w:rPr>
              <w:t>≥IP65</w:t>
            </w:r>
          </w:p>
        </w:tc>
      </w:tr>
    </w:tbl>
    <w:p w14:paraId="7063DF02">
      <w:pPr>
        <w:spacing w:line="360" w:lineRule="auto"/>
        <w:ind w:left="425"/>
        <w:rPr>
          <w:rFonts w:ascii="宋体" w:hAnsi="宋体" w:cs="宋体"/>
        </w:rPr>
      </w:pPr>
    </w:p>
    <w:p w14:paraId="5075BD94">
      <w:pPr>
        <w:numPr>
          <w:ilvl w:val="0"/>
          <w:numId w:val="2"/>
        </w:numPr>
        <w:spacing w:line="360" w:lineRule="auto"/>
        <w:rPr>
          <w:rFonts w:ascii="宋体" w:hAnsi="宋体" w:cs="宋体"/>
        </w:rPr>
      </w:pPr>
      <w:r>
        <w:rPr>
          <w:rFonts w:hint="eastAsia" w:ascii="宋体" w:hAnsi="宋体" w:cs="宋体"/>
        </w:rPr>
        <w:t>溶解氧水质自动分析仪</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5185"/>
      </w:tblGrid>
      <w:tr w14:paraId="24AF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6222707A">
            <w:pPr>
              <w:tabs>
                <w:tab w:val="left" w:pos="668"/>
              </w:tabs>
              <w:spacing w:line="360" w:lineRule="auto"/>
              <w:jc w:val="center"/>
              <w:rPr>
                <w:rFonts w:ascii="宋体" w:hAnsi="宋体" w:cs="宋体"/>
                <w:b/>
                <w:bCs/>
              </w:rPr>
            </w:pPr>
            <w:r>
              <w:rPr>
                <w:rFonts w:hint="eastAsia" w:ascii="宋体" w:hAnsi="宋体" w:cs="宋体"/>
                <w:b/>
                <w:bCs/>
              </w:rPr>
              <w:t>项目</w:t>
            </w:r>
          </w:p>
        </w:tc>
        <w:tc>
          <w:tcPr>
            <w:tcW w:w="5185" w:type="dxa"/>
            <w:vAlign w:val="center"/>
          </w:tcPr>
          <w:p w14:paraId="565C097A">
            <w:pPr>
              <w:tabs>
                <w:tab w:val="left" w:pos="668"/>
              </w:tabs>
              <w:spacing w:line="360" w:lineRule="auto"/>
              <w:jc w:val="center"/>
              <w:rPr>
                <w:rFonts w:ascii="宋体" w:hAnsi="宋体" w:cs="宋体"/>
                <w:b/>
                <w:bCs/>
              </w:rPr>
            </w:pPr>
            <w:r>
              <w:rPr>
                <w:rFonts w:hint="eastAsia" w:ascii="宋体" w:hAnsi="宋体" w:cs="宋体"/>
                <w:b/>
                <w:bCs/>
              </w:rPr>
              <w:t>技术指标</w:t>
            </w:r>
          </w:p>
        </w:tc>
      </w:tr>
      <w:tr w14:paraId="6BA8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06763E3B">
            <w:pPr>
              <w:tabs>
                <w:tab w:val="left" w:pos="668"/>
              </w:tabs>
              <w:spacing w:line="360" w:lineRule="auto"/>
              <w:jc w:val="center"/>
              <w:rPr>
                <w:rFonts w:ascii="宋体" w:hAnsi="宋体" w:cs="宋体"/>
              </w:rPr>
            </w:pPr>
            <w:r>
              <w:rPr>
                <w:rFonts w:hint="eastAsia" w:ascii="宋体" w:hAnsi="宋体" w:cs="宋体"/>
              </w:rPr>
              <w:t>测定原理</w:t>
            </w:r>
          </w:p>
        </w:tc>
        <w:tc>
          <w:tcPr>
            <w:tcW w:w="5185" w:type="dxa"/>
            <w:vAlign w:val="center"/>
          </w:tcPr>
          <w:p w14:paraId="6BA1F975">
            <w:pPr>
              <w:tabs>
                <w:tab w:val="left" w:pos="668"/>
              </w:tabs>
              <w:spacing w:line="360" w:lineRule="auto"/>
              <w:jc w:val="center"/>
              <w:rPr>
                <w:rFonts w:ascii="宋体" w:hAnsi="宋体" w:cs="宋体"/>
              </w:rPr>
            </w:pPr>
            <w:r>
              <w:rPr>
                <w:rFonts w:hint="eastAsia" w:ascii="宋体" w:hAnsi="宋体" w:cs="宋体"/>
              </w:rPr>
              <w:t>荧光法</w:t>
            </w:r>
          </w:p>
        </w:tc>
      </w:tr>
      <w:tr w14:paraId="5F60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3A55D2A0">
            <w:pPr>
              <w:tabs>
                <w:tab w:val="left" w:pos="668"/>
              </w:tabs>
              <w:spacing w:line="360" w:lineRule="auto"/>
              <w:jc w:val="center"/>
              <w:rPr>
                <w:rFonts w:ascii="宋体" w:hAnsi="宋体" w:cs="宋体"/>
              </w:rPr>
            </w:pPr>
            <w:r>
              <w:rPr>
                <w:rFonts w:hint="eastAsia" w:ascii="宋体" w:hAnsi="宋体" w:cs="宋体"/>
              </w:rPr>
              <w:t>量程</w:t>
            </w:r>
          </w:p>
        </w:tc>
        <w:tc>
          <w:tcPr>
            <w:tcW w:w="5185" w:type="dxa"/>
            <w:vAlign w:val="center"/>
          </w:tcPr>
          <w:p w14:paraId="547A7364">
            <w:pPr>
              <w:tabs>
                <w:tab w:val="left" w:pos="668"/>
              </w:tabs>
              <w:spacing w:line="360" w:lineRule="auto"/>
              <w:jc w:val="center"/>
              <w:rPr>
                <w:rFonts w:ascii="宋体" w:hAnsi="宋体" w:cs="宋体"/>
              </w:rPr>
            </w:pPr>
            <w:r>
              <w:rPr>
                <w:rFonts w:hint="eastAsia" w:ascii="宋体" w:hAnsi="宋体" w:cs="宋体"/>
              </w:rPr>
              <w:t>0～20mg/L，可调</w:t>
            </w:r>
          </w:p>
        </w:tc>
      </w:tr>
      <w:tr w14:paraId="4FF0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524179D0">
            <w:pPr>
              <w:spacing w:before="143" w:after="120" w:line="360" w:lineRule="auto"/>
              <w:ind w:firstLine="420" w:firstLineChars="200"/>
              <w:jc w:val="center"/>
              <w:rPr>
                <w:rFonts w:ascii="宋体" w:hAnsi="宋体" w:cs="宋体"/>
              </w:rPr>
            </w:pPr>
            <w:r>
              <w:rPr>
                <w:rFonts w:hint="eastAsia" w:ascii="宋体" w:hAnsi="宋体" w:cs="宋体"/>
              </w:rPr>
              <w:t>零点漂移</w:t>
            </w:r>
          </w:p>
        </w:tc>
        <w:tc>
          <w:tcPr>
            <w:tcW w:w="5185" w:type="dxa"/>
            <w:vAlign w:val="center"/>
          </w:tcPr>
          <w:p w14:paraId="1660E484">
            <w:pPr>
              <w:spacing w:before="143" w:after="120" w:line="360" w:lineRule="auto"/>
              <w:ind w:firstLine="420" w:firstLineChars="200"/>
              <w:jc w:val="center"/>
              <w:rPr>
                <w:rFonts w:ascii="宋体" w:hAnsi="宋体" w:cs="宋体"/>
              </w:rPr>
            </w:pPr>
            <w:r>
              <w:rPr>
                <w:rFonts w:hint="eastAsia" w:ascii="宋体" w:hAnsi="宋体" w:cs="宋体"/>
              </w:rPr>
              <w:t>±0.3mg/L</w:t>
            </w:r>
          </w:p>
        </w:tc>
      </w:tr>
      <w:tr w14:paraId="69C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1876CA09">
            <w:pPr>
              <w:spacing w:before="143" w:after="120" w:line="360" w:lineRule="auto"/>
              <w:ind w:firstLine="420" w:firstLineChars="200"/>
              <w:jc w:val="center"/>
              <w:rPr>
                <w:rFonts w:ascii="宋体" w:hAnsi="宋体" w:cs="宋体"/>
              </w:rPr>
            </w:pPr>
            <w:r>
              <w:rPr>
                <w:rFonts w:hint="eastAsia" w:ascii="宋体" w:hAnsi="宋体" w:cs="宋体"/>
              </w:rPr>
              <w:t>量程漂移</w:t>
            </w:r>
          </w:p>
        </w:tc>
        <w:tc>
          <w:tcPr>
            <w:tcW w:w="5185" w:type="dxa"/>
            <w:vAlign w:val="center"/>
          </w:tcPr>
          <w:p w14:paraId="29F8614C">
            <w:pPr>
              <w:spacing w:before="143" w:after="120" w:line="360" w:lineRule="auto"/>
              <w:ind w:firstLine="420" w:firstLineChars="200"/>
              <w:jc w:val="center"/>
              <w:rPr>
                <w:rFonts w:ascii="宋体" w:hAnsi="宋体" w:cs="宋体"/>
              </w:rPr>
            </w:pPr>
            <w:r>
              <w:rPr>
                <w:rFonts w:hint="eastAsia" w:ascii="宋体" w:hAnsi="宋体" w:cs="宋体"/>
              </w:rPr>
              <w:t>±0.3mg/L</w:t>
            </w:r>
          </w:p>
        </w:tc>
      </w:tr>
      <w:tr w14:paraId="575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097FF170">
            <w:pPr>
              <w:spacing w:before="143" w:after="120" w:line="360" w:lineRule="auto"/>
              <w:ind w:firstLine="420" w:firstLineChars="200"/>
              <w:jc w:val="center"/>
              <w:rPr>
                <w:rFonts w:ascii="宋体" w:hAnsi="宋体" w:cs="宋体"/>
              </w:rPr>
            </w:pPr>
            <w:r>
              <w:rPr>
                <w:rFonts w:hint="eastAsia" w:ascii="宋体" w:hAnsi="宋体" w:cs="宋体"/>
              </w:rPr>
              <w:t>重复性</w:t>
            </w:r>
          </w:p>
        </w:tc>
        <w:tc>
          <w:tcPr>
            <w:tcW w:w="5185" w:type="dxa"/>
            <w:vAlign w:val="center"/>
          </w:tcPr>
          <w:p w14:paraId="3960C2E2">
            <w:pPr>
              <w:spacing w:before="143" w:after="120" w:line="360" w:lineRule="auto"/>
              <w:ind w:firstLine="420" w:firstLineChars="200"/>
              <w:jc w:val="center"/>
              <w:rPr>
                <w:rFonts w:ascii="宋体" w:hAnsi="宋体" w:cs="宋体"/>
              </w:rPr>
            </w:pPr>
            <w:r>
              <w:rPr>
                <w:rFonts w:hint="eastAsia" w:ascii="宋体" w:hAnsi="宋体" w:cs="宋体"/>
              </w:rPr>
              <w:t>±0.3 mg/L</w:t>
            </w:r>
          </w:p>
        </w:tc>
      </w:tr>
      <w:tr w14:paraId="02D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6C5970F3">
            <w:pPr>
              <w:tabs>
                <w:tab w:val="left" w:pos="668"/>
              </w:tabs>
              <w:spacing w:line="360" w:lineRule="auto"/>
              <w:jc w:val="center"/>
              <w:rPr>
                <w:rFonts w:ascii="宋体" w:hAnsi="宋体" w:cs="宋体"/>
              </w:rPr>
            </w:pPr>
            <w:r>
              <w:rPr>
                <w:rFonts w:hint="eastAsia" w:ascii="宋体" w:hAnsi="宋体" w:cs="宋体"/>
              </w:rPr>
              <w:t>响应时间（T90）</w:t>
            </w:r>
          </w:p>
        </w:tc>
        <w:tc>
          <w:tcPr>
            <w:tcW w:w="5185" w:type="dxa"/>
            <w:vAlign w:val="center"/>
          </w:tcPr>
          <w:p w14:paraId="2165D848">
            <w:pPr>
              <w:tabs>
                <w:tab w:val="left" w:pos="668"/>
              </w:tabs>
              <w:spacing w:line="360" w:lineRule="auto"/>
              <w:jc w:val="center"/>
              <w:rPr>
                <w:rFonts w:ascii="宋体" w:hAnsi="宋体" w:cs="宋体"/>
              </w:rPr>
            </w:pPr>
            <w:r>
              <w:rPr>
                <w:rFonts w:hint="eastAsia" w:ascii="宋体" w:hAnsi="宋体" w:cs="宋体"/>
              </w:rPr>
              <w:t>≤120s</w:t>
            </w:r>
          </w:p>
        </w:tc>
      </w:tr>
      <w:tr w14:paraId="39B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77AC0933">
            <w:pPr>
              <w:tabs>
                <w:tab w:val="left" w:pos="668"/>
              </w:tabs>
              <w:spacing w:line="360" w:lineRule="auto"/>
              <w:jc w:val="center"/>
              <w:rPr>
                <w:rFonts w:ascii="宋体" w:hAnsi="宋体" w:cs="宋体"/>
              </w:rPr>
            </w:pPr>
            <w:r>
              <w:rPr>
                <w:rFonts w:hint="eastAsia" w:ascii="宋体" w:hAnsi="宋体" w:cs="宋体"/>
              </w:rPr>
              <w:t>温度补偿精度</w:t>
            </w:r>
          </w:p>
        </w:tc>
        <w:tc>
          <w:tcPr>
            <w:tcW w:w="5185" w:type="dxa"/>
            <w:vAlign w:val="center"/>
          </w:tcPr>
          <w:p w14:paraId="16E16AFE">
            <w:pPr>
              <w:tabs>
                <w:tab w:val="left" w:pos="668"/>
              </w:tabs>
              <w:spacing w:line="360" w:lineRule="auto"/>
              <w:jc w:val="center"/>
              <w:rPr>
                <w:rFonts w:ascii="宋体" w:hAnsi="宋体" w:cs="宋体"/>
              </w:rPr>
            </w:pPr>
            <w:r>
              <w:rPr>
                <w:rFonts w:hint="eastAsia" w:ascii="宋体" w:hAnsi="宋体" w:cs="宋体"/>
              </w:rPr>
              <w:t>±0.3mg/L</w:t>
            </w:r>
          </w:p>
        </w:tc>
      </w:tr>
      <w:tr w14:paraId="6776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6DD153D6">
            <w:pPr>
              <w:tabs>
                <w:tab w:val="left" w:pos="668"/>
              </w:tabs>
              <w:spacing w:line="360" w:lineRule="auto"/>
              <w:jc w:val="center"/>
              <w:rPr>
                <w:rFonts w:ascii="宋体" w:hAnsi="宋体" w:cs="宋体"/>
              </w:rPr>
            </w:pPr>
            <w:r>
              <w:rPr>
                <w:rFonts w:hint="eastAsia" w:ascii="宋体" w:hAnsi="宋体" w:cs="宋体"/>
              </w:rPr>
              <w:t>MTBF</w:t>
            </w:r>
          </w:p>
        </w:tc>
        <w:tc>
          <w:tcPr>
            <w:tcW w:w="5185" w:type="dxa"/>
            <w:vAlign w:val="center"/>
          </w:tcPr>
          <w:p w14:paraId="05E98F95">
            <w:pPr>
              <w:tabs>
                <w:tab w:val="left" w:pos="668"/>
              </w:tabs>
              <w:spacing w:line="360" w:lineRule="auto"/>
              <w:jc w:val="center"/>
              <w:rPr>
                <w:rFonts w:ascii="宋体" w:hAnsi="宋体" w:cs="宋体"/>
              </w:rPr>
            </w:pPr>
            <w:r>
              <w:rPr>
                <w:rFonts w:hint="eastAsia" w:ascii="宋体" w:hAnsi="宋体" w:cs="宋体"/>
              </w:rPr>
              <w:t>≥720h/次</w:t>
            </w:r>
          </w:p>
        </w:tc>
      </w:tr>
      <w:tr w14:paraId="4E2F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33C678E4">
            <w:pPr>
              <w:tabs>
                <w:tab w:val="left" w:pos="668"/>
              </w:tabs>
              <w:spacing w:line="360" w:lineRule="auto"/>
              <w:jc w:val="center"/>
              <w:rPr>
                <w:rFonts w:ascii="宋体" w:hAnsi="宋体" w:cs="宋体"/>
              </w:rPr>
            </w:pPr>
            <w:r>
              <w:rPr>
                <w:rFonts w:hint="eastAsia" w:ascii="宋体" w:hAnsi="宋体" w:cs="宋体"/>
              </w:rPr>
              <w:t>实际水样比对试验</w:t>
            </w:r>
          </w:p>
        </w:tc>
        <w:tc>
          <w:tcPr>
            <w:tcW w:w="5185" w:type="dxa"/>
            <w:vAlign w:val="center"/>
          </w:tcPr>
          <w:p w14:paraId="0F23D417">
            <w:pPr>
              <w:tabs>
                <w:tab w:val="left" w:pos="668"/>
              </w:tabs>
              <w:spacing w:line="360" w:lineRule="auto"/>
              <w:jc w:val="center"/>
              <w:rPr>
                <w:rFonts w:ascii="宋体" w:hAnsi="宋体" w:cs="宋体"/>
              </w:rPr>
            </w:pPr>
            <w:r>
              <w:rPr>
                <w:rFonts w:hint="eastAsia" w:ascii="宋体" w:hAnsi="宋体" w:cs="宋体"/>
              </w:rPr>
              <w:t>±0.3 mg/L</w:t>
            </w:r>
          </w:p>
        </w:tc>
      </w:tr>
      <w:tr w14:paraId="61A2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63" w:type="dxa"/>
            <w:vAlign w:val="center"/>
          </w:tcPr>
          <w:p w14:paraId="1D50A737">
            <w:pPr>
              <w:tabs>
                <w:tab w:val="left" w:pos="668"/>
              </w:tabs>
              <w:spacing w:line="360" w:lineRule="auto"/>
              <w:jc w:val="center"/>
              <w:rPr>
                <w:rFonts w:ascii="宋体" w:hAnsi="宋体" w:cs="宋体"/>
              </w:rPr>
            </w:pPr>
            <w:r>
              <w:rPr>
                <w:rFonts w:hint="eastAsia" w:ascii="宋体" w:hAnsi="宋体" w:cs="宋体"/>
              </w:rPr>
              <w:t>防护等级</w:t>
            </w:r>
          </w:p>
        </w:tc>
        <w:tc>
          <w:tcPr>
            <w:tcW w:w="5185" w:type="dxa"/>
            <w:vAlign w:val="center"/>
          </w:tcPr>
          <w:p w14:paraId="261D1D61">
            <w:pPr>
              <w:tabs>
                <w:tab w:val="left" w:pos="668"/>
              </w:tabs>
              <w:spacing w:line="360" w:lineRule="auto"/>
              <w:jc w:val="center"/>
              <w:rPr>
                <w:rFonts w:ascii="宋体" w:hAnsi="宋体" w:cs="宋体"/>
              </w:rPr>
            </w:pPr>
            <w:r>
              <w:rPr>
                <w:rFonts w:hint="eastAsia" w:ascii="宋体" w:hAnsi="宋体" w:cs="宋体"/>
              </w:rPr>
              <w:t>≥IP65</w:t>
            </w:r>
          </w:p>
        </w:tc>
      </w:tr>
    </w:tbl>
    <w:p w14:paraId="257A9E76">
      <w:pPr>
        <w:spacing w:line="360" w:lineRule="auto"/>
        <w:rPr>
          <w:rFonts w:ascii="宋体" w:hAnsi="宋体" w:cs="宋体"/>
        </w:rPr>
      </w:pPr>
    </w:p>
    <w:p w14:paraId="2BE0AEAD">
      <w:pPr>
        <w:numPr>
          <w:ilvl w:val="0"/>
          <w:numId w:val="2"/>
        </w:numPr>
        <w:spacing w:line="360" w:lineRule="auto"/>
        <w:rPr>
          <w:rFonts w:ascii="宋体" w:hAnsi="宋体" w:cs="宋体"/>
        </w:rPr>
      </w:pPr>
      <w:r>
        <w:rPr>
          <w:rFonts w:hint="eastAsia" w:ascii="宋体" w:hAnsi="宋体" w:cs="宋体"/>
        </w:rPr>
        <w:t>电导率水质自动分析仪</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5177"/>
      </w:tblGrid>
      <w:tr w14:paraId="3B62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0AB93726">
            <w:pPr>
              <w:tabs>
                <w:tab w:val="left" w:pos="668"/>
              </w:tabs>
              <w:spacing w:line="360" w:lineRule="auto"/>
              <w:jc w:val="center"/>
              <w:rPr>
                <w:rFonts w:ascii="宋体" w:hAnsi="宋体" w:cs="宋体"/>
                <w:b/>
                <w:bCs/>
              </w:rPr>
            </w:pPr>
            <w:r>
              <w:rPr>
                <w:rFonts w:hint="eastAsia" w:ascii="宋体" w:hAnsi="宋体" w:cs="宋体"/>
                <w:b/>
                <w:bCs/>
              </w:rPr>
              <w:t>项目</w:t>
            </w:r>
          </w:p>
        </w:tc>
        <w:tc>
          <w:tcPr>
            <w:tcW w:w="5177" w:type="dxa"/>
            <w:vAlign w:val="center"/>
          </w:tcPr>
          <w:p w14:paraId="2728F9FC">
            <w:pPr>
              <w:tabs>
                <w:tab w:val="left" w:pos="668"/>
              </w:tabs>
              <w:spacing w:line="360" w:lineRule="auto"/>
              <w:jc w:val="center"/>
              <w:rPr>
                <w:rFonts w:ascii="宋体" w:hAnsi="宋体" w:cs="宋体"/>
                <w:b/>
                <w:bCs/>
              </w:rPr>
            </w:pPr>
            <w:r>
              <w:rPr>
                <w:rFonts w:hint="eastAsia" w:ascii="宋体" w:hAnsi="宋体" w:cs="宋体"/>
                <w:b/>
                <w:bCs/>
              </w:rPr>
              <w:t>技术指标</w:t>
            </w:r>
          </w:p>
        </w:tc>
      </w:tr>
      <w:tr w14:paraId="0DDA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03480DE6">
            <w:pPr>
              <w:tabs>
                <w:tab w:val="left" w:pos="668"/>
              </w:tabs>
              <w:spacing w:line="360" w:lineRule="auto"/>
              <w:jc w:val="center"/>
              <w:rPr>
                <w:rFonts w:ascii="宋体" w:hAnsi="宋体" w:cs="宋体"/>
              </w:rPr>
            </w:pPr>
            <w:r>
              <w:rPr>
                <w:rFonts w:hint="eastAsia" w:ascii="宋体" w:hAnsi="宋体" w:cs="宋体"/>
              </w:rPr>
              <w:t>测定原理</w:t>
            </w:r>
          </w:p>
        </w:tc>
        <w:tc>
          <w:tcPr>
            <w:tcW w:w="5177" w:type="dxa"/>
            <w:vAlign w:val="center"/>
          </w:tcPr>
          <w:p w14:paraId="30BDA5F8">
            <w:pPr>
              <w:tabs>
                <w:tab w:val="left" w:pos="668"/>
              </w:tabs>
              <w:spacing w:line="360" w:lineRule="auto"/>
              <w:jc w:val="center"/>
              <w:rPr>
                <w:rFonts w:ascii="宋体" w:hAnsi="宋体" w:cs="宋体"/>
              </w:rPr>
            </w:pPr>
            <w:r>
              <w:rPr>
                <w:rFonts w:hint="eastAsia" w:ascii="宋体" w:hAnsi="宋体" w:cs="宋体"/>
              </w:rPr>
              <w:t>电极法</w:t>
            </w:r>
          </w:p>
        </w:tc>
      </w:tr>
      <w:tr w14:paraId="524D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7E5717AD">
            <w:pPr>
              <w:tabs>
                <w:tab w:val="left" w:pos="668"/>
              </w:tabs>
              <w:spacing w:line="360" w:lineRule="auto"/>
              <w:jc w:val="center"/>
              <w:rPr>
                <w:rFonts w:ascii="宋体" w:hAnsi="宋体" w:cs="宋体"/>
              </w:rPr>
            </w:pPr>
            <w:r>
              <w:rPr>
                <w:rFonts w:hint="eastAsia" w:ascii="宋体" w:hAnsi="宋体" w:cs="宋体"/>
              </w:rPr>
              <w:t>最小检测范围</w:t>
            </w:r>
          </w:p>
        </w:tc>
        <w:tc>
          <w:tcPr>
            <w:tcW w:w="5177" w:type="dxa"/>
            <w:vAlign w:val="center"/>
          </w:tcPr>
          <w:p w14:paraId="21E5C521">
            <w:pPr>
              <w:tabs>
                <w:tab w:val="left" w:pos="668"/>
              </w:tabs>
              <w:spacing w:line="360" w:lineRule="auto"/>
              <w:jc w:val="center"/>
              <w:rPr>
                <w:rFonts w:ascii="宋体" w:hAnsi="宋体" w:cs="宋体"/>
              </w:rPr>
            </w:pPr>
            <w:r>
              <w:rPr>
                <w:rFonts w:hint="eastAsia" w:ascii="宋体" w:hAnsi="宋体" w:cs="宋体"/>
              </w:rPr>
              <w:t>0～500mS/m（0～40℃），可调</w:t>
            </w:r>
          </w:p>
        </w:tc>
      </w:tr>
      <w:tr w14:paraId="1CC3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4EAEA656">
            <w:pPr>
              <w:tabs>
                <w:tab w:val="left" w:pos="668"/>
              </w:tabs>
              <w:spacing w:line="360" w:lineRule="auto"/>
              <w:jc w:val="center"/>
              <w:rPr>
                <w:rFonts w:ascii="宋体" w:hAnsi="宋体" w:cs="宋体"/>
              </w:rPr>
            </w:pPr>
            <w:r>
              <w:rPr>
                <w:rFonts w:hint="eastAsia" w:ascii="宋体" w:hAnsi="宋体" w:cs="宋体"/>
              </w:rPr>
              <w:t>零点漂移</w:t>
            </w:r>
          </w:p>
        </w:tc>
        <w:tc>
          <w:tcPr>
            <w:tcW w:w="5177" w:type="dxa"/>
            <w:vAlign w:val="center"/>
          </w:tcPr>
          <w:p w14:paraId="705E0003">
            <w:pPr>
              <w:tabs>
                <w:tab w:val="left" w:pos="668"/>
              </w:tabs>
              <w:spacing w:line="360" w:lineRule="auto"/>
              <w:jc w:val="center"/>
              <w:rPr>
                <w:rFonts w:ascii="宋体" w:hAnsi="宋体" w:cs="宋体"/>
              </w:rPr>
            </w:pPr>
            <w:r>
              <w:rPr>
                <w:rFonts w:hint="eastAsia" w:ascii="宋体" w:hAnsi="宋体" w:cs="宋体"/>
              </w:rPr>
              <w:t>±1%</w:t>
            </w:r>
          </w:p>
        </w:tc>
      </w:tr>
      <w:tr w14:paraId="4063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71FB1F6C">
            <w:pPr>
              <w:tabs>
                <w:tab w:val="left" w:pos="668"/>
              </w:tabs>
              <w:spacing w:line="360" w:lineRule="auto"/>
              <w:jc w:val="center"/>
              <w:rPr>
                <w:rFonts w:ascii="宋体" w:hAnsi="宋体" w:cs="宋体"/>
              </w:rPr>
            </w:pPr>
            <w:r>
              <w:rPr>
                <w:rFonts w:hint="eastAsia" w:ascii="宋体" w:hAnsi="宋体" w:cs="宋体"/>
              </w:rPr>
              <w:t>量程漂移</w:t>
            </w:r>
          </w:p>
        </w:tc>
        <w:tc>
          <w:tcPr>
            <w:tcW w:w="5177" w:type="dxa"/>
            <w:vAlign w:val="center"/>
          </w:tcPr>
          <w:p w14:paraId="1C836A6C">
            <w:pPr>
              <w:tabs>
                <w:tab w:val="left" w:pos="668"/>
              </w:tabs>
              <w:spacing w:line="360" w:lineRule="auto"/>
              <w:jc w:val="center"/>
              <w:rPr>
                <w:rFonts w:ascii="宋体" w:hAnsi="宋体" w:cs="宋体"/>
              </w:rPr>
            </w:pPr>
            <w:r>
              <w:rPr>
                <w:rFonts w:hint="eastAsia" w:ascii="宋体" w:hAnsi="宋体" w:cs="宋体"/>
              </w:rPr>
              <w:t>±1%</w:t>
            </w:r>
          </w:p>
        </w:tc>
      </w:tr>
      <w:tr w14:paraId="4859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15D9611C">
            <w:pPr>
              <w:tabs>
                <w:tab w:val="left" w:pos="668"/>
              </w:tabs>
              <w:spacing w:line="360" w:lineRule="auto"/>
              <w:jc w:val="center"/>
              <w:rPr>
                <w:rFonts w:ascii="宋体" w:hAnsi="宋体" w:cs="宋体"/>
              </w:rPr>
            </w:pPr>
            <w:r>
              <w:rPr>
                <w:rFonts w:hint="eastAsia" w:ascii="宋体" w:hAnsi="宋体" w:cs="宋体"/>
              </w:rPr>
              <w:t>重复性</w:t>
            </w:r>
          </w:p>
        </w:tc>
        <w:tc>
          <w:tcPr>
            <w:tcW w:w="5177" w:type="dxa"/>
            <w:vAlign w:val="center"/>
          </w:tcPr>
          <w:p w14:paraId="5CB948A1">
            <w:pPr>
              <w:tabs>
                <w:tab w:val="left" w:pos="668"/>
              </w:tabs>
              <w:spacing w:line="360" w:lineRule="auto"/>
              <w:jc w:val="center"/>
              <w:rPr>
                <w:rFonts w:ascii="宋体" w:hAnsi="宋体" w:cs="宋体"/>
              </w:rPr>
            </w:pPr>
            <w:r>
              <w:rPr>
                <w:rFonts w:hint="eastAsia" w:ascii="宋体" w:hAnsi="宋体" w:cs="宋体"/>
              </w:rPr>
              <w:t>±1%</w:t>
            </w:r>
          </w:p>
        </w:tc>
      </w:tr>
      <w:tr w14:paraId="04E2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3" w:type="dxa"/>
            <w:vAlign w:val="center"/>
          </w:tcPr>
          <w:p w14:paraId="0D568F10">
            <w:pPr>
              <w:tabs>
                <w:tab w:val="left" w:pos="668"/>
              </w:tabs>
              <w:spacing w:line="360" w:lineRule="auto"/>
              <w:jc w:val="center"/>
              <w:rPr>
                <w:rFonts w:ascii="宋体" w:hAnsi="宋体" w:cs="宋体"/>
              </w:rPr>
            </w:pPr>
            <w:r>
              <w:rPr>
                <w:rFonts w:hint="eastAsia" w:ascii="宋体" w:hAnsi="宋体" w:cs="宋体"/>
              </w:rPr>
              <w:t>响应时间（T</w:t>
            </w:r>
            <w:r>
              <w:rPr>
                <w:rFonts w:hint="eastAsia" w:ascii="宋体" w:hAnsi="宋体" w:cs="宋体"/>
                <w:vertAlign w:val="subscript"/>
              </w:rPr>
              <w:t>90</w:t>
            </w:r>
            <w:r>
              <w:rPr>
                <w:rFonts w:hint="eastAsia" w:ascii="宋体" w:hAnsi="宋体" w:cs="宋体"/>
              </w:rPr>
              <w:t>）</w:t>
            </w:r>
          </w:p>
        </w:tc>
        <w:tc>
          <w:tcPr>
            <w:tcW w:w="5177" w:type="dxa"/>
            <w:vAlign w:val="center"/>
          </w:tcPr>
          <w:p w14:paraId="63675964">
            <w:pPr>
              <w:tabs>
                <w:tab w:val="left" w:pos="668"/>
              </w:tabs>
              <w:spacing w:line="360" w:lineRule="auto"/>
              <w:jc w:val="center"/>
              <w:rPr>
                <w:rFonts w:ascii="宋体" w:hAnsi="宋体" w:cs="宋体"/>
              </w:rPr>
            </w:pPr>
            <w:r>
              <w:rPr>
                <w:rFonts w:hint="eastAsia" w:ascii="宋体" w:hAnsi="宋体" w:cs="宋体"/>
              </w:rPr>
              <w:t>≤30s</w:t>
            </w:r>
          </w:p>
        </w:tc>
      </w:tr>
      <w:tr w14:paraId="0ED2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542B9089">
            <w:pPr>
              <w:tabs>
                <w:tab w:val="left" w:pos="668"/>
              </w:tabs>
              <w:spacing w:line="360" w:lineRule="auto"/>
              <w:jc w:val="center"/>
              <w:rPr>
                <w:rFonts w:ascii="宋体" w:hAnsi="宋体" w:cs="宋体"/>
              </w:rPr>
            </w:pPr>
            <w:r>
              <w:rPr>
                <w:rFonts w:hint="eastAsia" w:ascii="宋体" w:hAnsi="宋体" w:cs="宋体"/>
              </w:rPr>
              <w:t>温度补偿精度</w:t>
            </w:r>
          </w:p>
        </w:tc>
        <w:tc>
          <w:tcPr>
            <w:tcW w:w="5177" w:type="dxa"/>
            <w:vAlign w:val="center"/>
          </w:tcPr>
          <w:p w14:paraId="75A5D3FC">
            <w:pPr>
              <w:tabs>
                <w:tab w:val="left" w:pos="668"/>
              </w:tabs>
              <w:spacing w:line="360" w:lineRule="auto"/>
              <w:jc w:val="center"/>
              <w:rPr>
                <w:rFonts w:ascii="宋体" w:hAnsi="宋体" w:cs="宋体"/>
              </w:rPr>
            </w:pPr>
            <w:r>
              <w:rPr>
                <w:rFonts w:hint="eastAsia" w:ascii="宋体" w:hAnsi="宋体" w:cs="宋体"/>
              </w:rPr>
              <w:t>±1%</w:t>
            </w:r>
          </w:p>
        </w:tc>
      </w:tr>
      <w:tr w14:paraId="5F01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6CE6D769">
            <w:pPr>
              <w:tabs>
                <w:tab w:val="left" w:pos="668"/>
              </w:tabs>
              <w:spacing w:line="360" w:lineRule="auto"/>
              <w:jc w:val="center"/>
              <w:rPr>
                <w:rFonts w:ascii="宋体" w:hAnsi="宋体" w:cs="宋体"/>
              </w:rPr>
            </w:pPr>
            <w:r>
              <w:rPr>
                <w:rFonts w:hint="eastAsia" w:ascii="宋体" w:hAnsi="宋体" w:cs="宋体"/>
              </w:rPr>
              <w:t>MTBF</w:t>
            </w:r>
          </w:p>
        </w:tc>
        <w:tc>
          <w:tcPr>
            <w:tcW w:w="5177" w:type="dxa"/>
            <w:vAlign w:val="center"/>
          </w:tcPr>
          <w:p w14:paraId="13A602FA">
            <w:pPr>
              <w:tabs>
                <w:tab w:val="left" w:pos="668"/>
              </w:tabs>
              <w:spacing w:line="360" w:lineRule="auto"/>
              <w:jc w:val="center"/>
              <w:rPr>
                <w:rFonts w:ascii="宋体" w:hAnsi="宋体" w:cs="宋体"/>
              </w:rPr>
            </w:pPr>
            <w:r>
              <w:rPr>
                <w:rFonts w:hint="eastAsia" w:ascii="宋体" w:hAnsi="宋体" w:cs="宋体"/>
              </w:rPr>
              <w:t>≥720h/次</w:t>
            </w:r>
          </w:p>
        </w:tc>
      </w:tr>
      <w:tr w14:paraId="76B9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3D960751">
            <w:pPr>
              <w:tabs>
                <w:tab w:val="left" w:pos="668"/>
              </w:tabs>
              <w:spacing w:line="360" w:lineRule="auto"/>
              <w:jc w:val="center"/>
              <w:rPr>
                <w:rFonts w:ascii="宋体" w:hAnsi="宋体" w:cs="宋体"/>
              </w:rPr>
            </w:pPr>
            <w:r>
              <w:rPr>
                <w:rFonts w:hint="eastAsia" w:ascii="宋体" w:hAnsi="宋体" w:cs="宋体"/>
              </w:rPr>
              <w:t>实际水样比对试验</w:t>
            </w:r>
          </w:p>
        </w:tc>
        <w:tc>
          <w:tcPr>
            <w:tcW w:w="5177" w:type="dxa"/>
            <w:vAlign w:val="center"/>
          </w:tcPr>
          <w:p w14:paraId="322CB897">
            <w:pPr>
              <w:tabs>
                <w:tab w:val="left" w:pos="668"/>
              </w:tabs>
              <w:spacing w:line="360" w:lineRule="auto"/>
              <w:jc w:val="center"/>
              <w:rPr>
                <w:rFonts w:ascii="宋体" w:hAnsi="宋体" w:cs="宋体"/>
              </w:rPr>
            </w:pPr>
            <w:r>
              <w:rPr>
                <w:rFonts w:hint="eastAsia" w:ascii="宋体" w:hAnsi="宋体" w:cs="宋体"/>
              </w:rPr>
              <w:t>±1%</w:t>
            </w:r>
          </w:p>
        </w:tc>
      </w:tr>
      <w:tr w14:paraId="2778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63" w:type="dxa"/>
            <w:vAlign w:val="center"/>
          </w:tcPr>
          <w:p w14:paraId="17EA1460">
            <w:pPr>
              <w:tabs>
                <w:tab w:val="left" w:pos="668"/>
              </w:tabs>
              <w:spacing w:line="360" w:lineRule="auto"/>
              <w:jc w:val="center"/>
              <w:rPr>
                <w:rFonts w:ascii="宋体" w:hAnsi="宋体" w:cs="宋体"/>
              </w:rPr>
            </w:pPr>
            <w:r>
              <w:rPr>
                <w:rFonts w:hint="eastAsia" w:ascii="宋体" w:hAnsi="宋体" w:cs="宋体"/>
              </w:rPr>
              <w:t>防护等级</w:t>
            </w:r>
          </w:p>
        </w:tc>
        <w:tc>
          <w:tcPr>
            <w:tcW w:w="5177" w:type="dxa"/>
            <w:vAlign w:val="center"/>
          </w:tcPr>
          <w:p w14:paraId="3B5FB8F7">
            <w:pPr>
              <w:tabs>
                <w:tab w:val="left" w:pos="668"/>
              </w:tabs>
              <w:spacing w:line="360" w:lineRule="auto"/>
              <w:jc w:val="center"/>
              <w:rPr>
                <w:rFonts w:ascii="宋体" w:hAnsi="宋体" w:cs="宋体"/>
              </w:rPr>
            </w:pPr>
            <w:r>
              <w:rPr>
                <w:rFonts w:hint="eastAsia" w:ascii="宋体" w:hAnsi="宋体" w:cs="宋体"/>
              </w:rPr>
              <w:t>≥IP65</w:t>
            </w:r>
          </w:p>
        </w:tc>
      </w:tr>
    </w:tbl>
    <w:p w14:paraId="6137007D">
      <w:pPr>
        <w:spacing w:line="360" w:lineRule="auto"/>
        <w:rPr>
          <w:rFonts w:ascii="宋体" w:hAnsi="宋体" w:cs="宋体"/>
        </w:rPr>
      </w:pPr>
    </w:p>
    <w:p w14:paraId="25CBC9B8">
      <w:pPr>
        <w:numPr>
          <w:ilvl w:val="0"/>
          <w:numId w:val="2"/>
        </w:numPr>
        <w:spacing w:line="360" w:lineRule="auto"/>
        <w:rPr>
          <w:rFonts w:ascii="宋体" w:hAnsi="宋体" w:cs="宋体"/>
        </w:rPr>
      </w:pPr>
      <w:r>
        <w:rPr>
          <w:rFonts w:hint="eastAsia" w:ascii="宋体" w:hAnsi="宋体" w:cs="宋体"/>
        </w:rPr>
        <w:t>浊度水质自动分析仪</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750"/>
      </w:tblGrid>
      <w:tr w14:paraId="44CD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3088" w:type="dxa"/>
            <w:vAlign w:val="center"/>
          </w:tcPr>
          <w:p w14:paraId="1E103A2A">
            <w:pPr>
              <w:tabs>
                <w:tab w:val="left" w:pos="668"/>
              </w:tabs>
              <w:spacing w:line="360" w:lineRule="auto"/>
              <w:jc w:val="center"/>
              <w:rPr>
                <w:rFonts w:ascii="宋体" w:hAnsi="宋体" w:cs="宋体"/>
                <w:b/>
                <w:bCs/>
              </w:rPr>
            </w:pPr>
            <w:r>
              <w:rPr>
                <w:rFonts w:hint="eastAsia" w:ascii="宋体" w:hAnsi="宋体" w:cs="宋体"/>
                <w:b/>
                <w:bCs/>
              </w:rPr>
              <w:t>项目</w:t>
            </w:r>
          </w:p>
        </w:tc>
        <w:tc>
          <w:tcPr>
            <w:tcW w:w="4750" w:type="dxa"/>
            <w:vAlign w:val="center"/>
          </w:tcPr>
          <w:p w14:paraId="745F11F9">
            <w:pPr>
              <w:tabs>
                <w:tab w:val="left" w:pos="668"/>
              </w:tabs>
              <w:spacing w:line="360" w:lineRule="auto"/>
              <w:jc w:val="center"/>
              <w:rPr>
                <w:rFonts w:ascii="宋体" w:hAnsi="宋体" w:cs="宋体"/>
                <w:b/>
                <w:bCs/>
              </w:rPr>
            </w:pPr>
            <w:r>
              <w:rPr>
                <w:rFonts w:hint="eastAsia" w:ascii="宋体" w:hAnsi="宋体" w:cs="宋体"/>
                <w:b/>
                <w:bCs/>
              </w:rPr>
              <w:t>技术指标</w:t>
            </w:r>
          </w:p>
        </w:tc>
      </w:tr>
      <w:tr w14:paraId="1307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088" w:type="dxa"/>
            <w:vAlign w:val="center"/>
          </w:tcPr>
          <w:p w14:paraId="0C32ECE1">
            <w:pPr>
              <w:tabs>
                <w:tab w:val="left" w:pos="668"/>
              </w:tabs>
              <w:spacing w:line="360" w:lineRule="auto"/>
              <w:jc w:val="center"/>
              <w:rPr>
                <w:rFonts w:ascii="宋体" w:hAnsi="宋体" w:cs="宋体"/>
              </w:rPr>
            </w:pPr>
            <w:r>
              <w:rPr>
                <w:rFonts w:hint="eastAsia" w:ascii="宋体" w:hAnsi="宋体" w:cs="宋体"/>
              </w:rPr>
              <w:t>测定原理</w:t>
            </w:r>
          </w:p>
        </w:tc>
        <w:tc>
          <w:tcPr>
            <w:tcW w:w="4750" w:type="dxa"/>
            <w:vAlign w:val="center"/>
          </w:tcPr>
          <w:p w14:paraId="4F9160AF">
            <w:pPr>
              <w:tabs>
                <w:tab w:val="left" w:pos="668"/>
              </w:tabs>
              <w:spacing w:line="360" w:lineRule="auto"/>
              <w:jc w:val="center"/>
              <w:rPr>
                <w:rFonts w:ascii="宋体" w:hAnsi="宋体" w:cs="宋体"/>
              </w:rPr>
            </w:pPr>
            <w:r>
              <w:rPr>
                <w:rFonts w:hint="eastAsia" w:ascii="宋体" w:hAnsi="宋体" w:cs="宋体"/>
              </w:rPr>
              <w:t>光散射法</w:t>
            </w:r>
          </w:p>
        </w:tc>
      </w:tr>
      <w:tr w14:paraId="7C51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69213684">
            <w:pPr>
              <w:tabs>
                <w:tab w:val="left" w:pos="668"/>
              </w:tabs>
              <w:spacing w:line="360" w:lineRule="auto"/>
              <w:jc w:val="center"/>
              <w:rPr>
                <w:rFonts w:ascii="宋体" w:hAnsi="宋体" w:cs="宋体"/>
              </w:rPr>
            </w:pPr>
            <w:r>
              <w:rPr>
                <w:rFonts w:hint="eastAsia" w:ascii="宋体" w:hAnsi="宋体" w:cs="宋体"/>
              </w:rPr>
              <w:t>量程</w:t>
            </w:r>
          </w:p>
        </w:tc>
        <w:tc>
          <w:tcPr>
            <w:tcW w:w="4750" w:type="dxa"/>
            <w:vAlign w:val="center"/>
          </w:tcPr>
          <w:p w14:paraId="12F55523">
            <w:pPr>
              <w:tabs>
                <w:tab w:val="left" w:pos="668"/>
              </w:tabs>
              <w:spacing w:line="360" w:lineRule="auto"/>
              <w:jc w:val="center"/>
              <w:rPr>
                <w:rFonts w:ascii="宋体" w:hAnsi="宋体" w:cs="宋体"/>
              </w:rPr>
            </w:pPr>
            <w:r>
              <w:rPr>
                <w:rFonts w:hint="eastAsia" w:ascii="宋体" w:hAnsi="宋体" w:cs="宋体"/>
              </w:rPr>
              <w:t>0～1000NTU，可调</w:t>
            </w:r>
          </w:p>
        </w:tc>
      </w:tr>
      <w:tr w14:paraId="6AF4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07F8E5FD">
            <w:pPr>
              <w:tabs>
                <w:tab w:val="left" w:pos="668"/>
              </w:tabs>
              <w:spacing w:line="360" w:lineRule="auto"/>
              <w:jc w:val="center"/>
              <w:rPr>
                <w:rFonts w:ascii="宋体" w:hAnsi="宋体" w:cs="宋体"/>
              </w:rPr>
            </w:pPr>
            <w:r>
              <w:rPr>
                <w:rFonts w:hint="eastAsia" w:ascii="宋体" w:hAnsi="宋体" w:cs="宋体"/>
              </w:rPr>
              <w:t>重复性</w:t>
            </w:r>
          </w:p>
        </w:tc>
        <w:tc>
          <w:tcPr>
            <w:tcW w:w="4750" w:type="dxa"/>
            <w:vAlign w:val="center"/>
          </w:tcPr>
          <w:p w14:paraId="560909AB">
            <w:pPr>
              <w:tabs>
                <w:tab w:val="left" w:pos="668"/>
              </w:tabs>
              <w:spacing w:line="360" w:lineRule="auto"/>
              <w:jc w:val="center"/>
              <w:rPr>
                <w:rFonts w:ascii="宋体" w:hAnsi="宋体" w:cs="宋体"/>
              </w:rPr>
            </w:pPr>
            <w:r>
              <w:rPr>
                <w:rFonts w:hint="eastAsia" w:ascii="宋体" w:hAnsi="宋体" w:cs="宋体"/>
              </w:rPr>
              <w:t>±5%</w:t>
            </w:r>
          </w:p>
        </w:tc>
      </w:tr>
      <w:tr w14:paraId="49FE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6C782CA3">
            <w:pPr>
              <w:tabs>
                <w:tab w:val="left" w:pos="668"/>
              </w:tabs>
              <w:spacing w:line="360" w:lineRule="auto"/>
              <w:jc w:val="center"/>
              <w:rPr>
                <w:rFonts w:ascii="宋体" w:hAnsi="宋体" w:cs="宋体"/>
              </w:rPr>
            </w:pPr>
            <w:r>
              <w:rPr>
                <w:rFonts w:hint="eastAsia" w:ascii="宋体" w:hAnsi="宋体" w:cs="宋体"/>
              </w:rPr>
              <w:t>零点漂移</w:t>
            </w:r>
          </w:p>
        </w:tc>
        <w:tc>
          <w:tcPr>
            <w:tcW w:w="4750" w:type="dxa"/>
            <w:vAlign w:val="center"/>
          </w:tcPr>
          <w:p w14:paraId="66B9C79F">
            <w:pPr>
              <w:tabs>
                <w:tab w:val="left" w:pos="668"/>
              </w:tabs>
              <w:spacing w:line="360" w:lineRule="auto"/>
              <w:jc w:val="center"/>
              <w:rPr>
                <w:rFonts w:ascii="宋体" w:hAnsi="宋体" w:cs="宋体"/>
              </w:rPr>
            </w:pPr>
            <w:r>
              <w:rPr>
                <w:rFonts w:hint="eastAsia" w:ascii="宋体" w:hAnsi="宋体" w:cs="宋体"/>
              </w:rPr>
              <w:t>±3%</w:t>
            </w:r>
          </w:p>
        </w:tc>
      </w:tr>
      <w:tr w14:paraId="191B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4832DF7F">
            <w:pPr>
              <w:tabs>
                <w:tab w:val="left" w:pos="668"/>
              </w:tabs>
              <w:spacing w:line="360" w:lineRule="auto"/>
              <w:jc w:val="center"/>
              <w:rPr>
                <w:rFonts w:ascii="宋体" w:hAnsi="宋体" w:cs="宋体"/>
              </w:rPr>
            </w:pPr>
            <w:r>
              <w:rPr>
                <w:rFonts w:hint="eastAsia" w:ascii="宋体" w:hAnsi="宋体" w:cs="宋体"/>
              </w:rPr>
              <w:t>量程漂移</w:t>
            </w:r>
          </w:p>
        </w:tc>
        <w:tc>
          <w:tcPr>
            <w:tcW w:w="4750" w:type="dxa"/>
            <w:vAlign w:val="center"/>
          </w:tcPr>
          <w:p w14:paraId="26CD243E">
            <w:pPr>
              <w:tabs>
                <w:tab w:val="left" w:pos="668"/>
              </w:tabs>
              <w:spacing w:line="360" w:lineRule="auto"/>
              <w:jc w:val="center"/>
              <w:rPr>
                <w:rFonts w:ascii="宋体" w:hAnsi="宋体" w:cs="宋体"/>
              </w:rPr>
            </w:pPr>
            <w:r>
              <w:rPr>
                <w:rFonts w:hint="eastAsia" w:ascii="宋体" w:hAnsi="宋体" w:cs="宋体"/>
              </w:rPr>
              <w:t>±5%</w:t>
            </w:r>
          </w:p>
        </w:tc>
      </w:tr>
      <w:tr w14:paraId="525E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0F3DF478">
            <w:pPr>
              <w:tabs>
                <w:tab w:val="left" w:pos="668"/>
              </w:tabs>
              <w:spacing w:line="360" w:lineRule="auto"/>
              <w:jc w:val="center"/>
              <w:rPr>
                <w:rFonts w:ascii="宋体" w:hAnsi="宋体" w:cs="宋体"/>
              </w:rPr>
            </w:pPr>
            <w:r>
              <w:rPr>
                <w:rFonts w:hint="eastAsia" w:ascii="宋体" w:hAnsi="宋体" w:cs="宋体"/>
              </w:rPr>
              <w:t>线性误差</w:t>
            </w:r>
          </w:p>
        </w:tc>
        <w:tc>
          <w:tcPr>
            <w:tcW w:w="4750" w:type="dxa"/>
            <w:vAlign w:val="center"/>
          </w:tcPr>
          <w:p w14:paraId="61E8E7BC">
            <w:pPr>
              <w:tabs>
                <w:tab w:val="left" w:pos="668"/>
              </w:tabs>
              <w:spacing w:line="360" w:lineRule="auto"/>
              <w:jc w:val="center"/>
              <w:rPr>
                <w:rFonts w:ascii="宋体" w:hAnsi="宋体" w:cs="宋体"/>
              </w:rPr>
            </w:pPr>
            <w:r>
              <w:rPr>
                <w:rFonts w:hint="eastAsia" w:ascii="宋体" w:hAnsi="宋体" w:cs="宋体"/>
              </w:rPr>
              <w:t>±5%</w:t>
            </w:r>
          </w:p>
        </w:tc>
      </w:tr>
      <w:tr w14:paraId="222E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07D2FFA2">
            <w:pPr>
              <w:tabs>
                <w:tab w:val="left" w:pos="668"/>
              </w:tabs>
              <w:spacing w:line="360" w:lineRule="auto"/>
              <w:jc w:val="center"/>
              <w:rPr>
                <w:rFonts w:ascii="宋体" w:hAnsi="宋体" w:cs="宋体"/>
              </w:rPr>
            </w:pPr>
            <w:r>
              <w:rPr>
                <w:rFonts w:hint="eastAsia" w:ascii="宋体" w:hAnsi="宋体" w:cs="宋体"/>
              </w:rPr>
              <w:t>MTBF</w:t>
            </w:r>
          </w:p>
        </w:tc>
        <w:tc>
          <w:tcPr>
            <w:tcW w:w="4750" w:type="dxa"/>
            <w:vAlign w:val="center"/>
          </w:tcPr>
          <w:p w14:paraId="23B004CA">
            <w:pPr>
              <w:tabs>
                <w:tab w:val="left" w:pos="668"/>
              </w:tabs>
              <w:spacing w:line="360" w:lineRule="auto"/>
              <w:jc w:val="center"/>
              <w:rPr>
                <w:rFonts w:ascii="宋体" w:hAnsi="宋体" w:cs="宋体"/>
              </w:rPr>
            </w:pPr>
            <w:r>
              <w:rPr>
                <w:rFonts w:hint="eastAsia" w:ascii="宋体" w:hAnsi="宋体" w:cs="宋体"/>
              </w:rPr>
              <w:t>≥720h/次</w:t>
            </w:r>
          </w:p>
        </w:tc>
      </w:tr>
      <w:tr w14:paraId="6AFD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16324816">
            <w:pPr>
              <w:tabs>
                <w:tab w:val="left" w:pos="668"/>
              </w:tabs>
              <w:spacing w:line="360" w:lineRule="auto"/>
              <w:jc w:val="center"/>
              <w:rPr>
                <w:rFonts w:ascii="宋体" w:hAnsi="宋体" w:cs="宋体"/>
              </w:rPr>
            </w:pPr>
            <w:r>
              <w:rPr>
                <w:rFonts w:hint="eastAsia" w:ascii="宋体" w:hAnsi="宋体" w:cs="宋体"/>
              </w:rPr>
              <w:t>实际水样比对试验</w:t>
            </w:r>
          </w:p>
        </w:tc>
        <w:tc>
          <w:tcPr>
            <w:tcW w:w="4750" w:type="dxa"/>
            <w:vAlign w:val="center"/>
          </w:tcPr>
          <w:p w14:paraId="03884FE9">
            <w:pPr>
              <w:tabs>
                <w:tab w:val="left" w:pos="668"/>
              </w:tabs>
              <w:spacing w:line="360" w:lineRule="auto"/>
              <w:jc w:val="center"/>
              <w:rPr>
                <w:rFonts w:ascii="宋体" w:hAnsi="宋体" w:cs="宋体"/>
              </w:rPr>
            </w:pPr>
            <w:r>
              <w:rPr>
                <w:rFonts w:hint="eastAsia" w:ascii="宋体" w:hAnsi="宋体" w:cs="宋体"/>
              </w:rPr>
              <w:t>±10%</w:t>
            </w:r>
          </w:p>
        </w:tc>
      </w:tr>
      <w:tr w14:paraId="1716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088" w:type="dxa"/>
            <w:vAlign w:val="center"/>
          </w:tcPr>
          <w:p w14:paraId="384E1222">
            <w:pPr>
              <w:tabs>
                <w:tab w:val="left" w:pos="668"/>
              </w:tabs>
              <w:spacing w:line="360" w:lineRule="auto"/>
              <w:jc w:val="center"/>
              <w:rPr>
                <w:rFonts w:ascii="宋体" w:hAnsi="宋体" w:cs="宋体"/>
              </w:rPr>
            </w:pPr>
            <w:r>
              <w:rPr>
                <w:rFonts w:hint="eastAsia" w:ascii="宋体" w:hAnsi="宋体" w:cs="宋体"/>
              </w:rPr>
              <w:t>防护等级</w:t>
            </w:r>
          </w:p>
        </w:tc>
        <w:tc>
          <w:tcPr>
            <w:tcW w:w="4750" w:type="dxa"/>
            <w:vAlign w:val="center"/>
          </w:tcPr>
          <w:p w14:paraId="75194373">
            <w:pPr>
              <w:tabs>
                <w:tab w:val="left" w:pos="668"/>
              </w:tabs>
              <w:spacing w:line="360" w:lineRule="auto"/>
              <w:jc w:val="center"/>
              <w:rPr>
                <w:rFonts w:ascii="宋体" w:hAnsi="宋体" w:cs="宋体"/>
              </w:rPr>
            </w:pPr>
            <w:r>
              <w:rPr>
                <w:rFonts w:hint="eastAsia" w:ascii="宋体" w:hAnsi="宋体" w:cs="宋体"/>
              </w:rPr>
              <w:t>≥IP65</w:t>
            </w:r>
          </w:p>
        </w:tc>
      </w:tr>
    </w:tbl>
    <w:p w14:paraId="5ADFD403">
      <w:pPr>
        <w:spacing w:line="360" w:lineRule="auto"/>
        <w:ind w:firstLine="480"/>
        <w:rPr>
          <w:rFonts w:ascii="宋体" w:hAnsi="宋体" w:cs="宋体"/>
        </w:rPr>
      </w:pPr>
    </w:p>
    <w:p w14:paraId="6A48A560">
      <w:pPr>
        <w:spacing w:line="360" w:lineRule="auto"/>
        <w:rPr>
          <w:rFonts w:ascii="宋体" w:hAnsi="宋体" w:cs="宋体"/>
        </w:rPr>
      </w:pPr>
      <w:bookmarkStart w:id="56" w:name="_Toc844"/>
      <w:r>
        <w:rPr>
          <w:rFonts w:hint="eastAsia" w:ascii="宋体" w:hAnsi="宋体" w:cs="宋体"/>
        </w:rPr>
        <w:t>3.2化学需氧量水质自动分析仪</w:t>
      </w:r>
    </w:p>
    <w:tbl>
      <w:tblPr>
        <w:tblStyle w:val="2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4961"/>
      </w:tblGrid>
      <w:tr w14:paraId="3012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5B8DDACE">
            <w:pPr>
              <w:widowControl/>
              <w:autoSpaceDE w:val="0"/>
              <w:autoSpaceDN w:val="0"/>
              <w:spacing w:line="360" w:lineRule="auto"/>
              <w:jc w:val="center"/>
              <w:rPr>
                <w:rFonts w:ascii="宋体" w:hAnsi="宋体" w:cs="宋体"/>
                <w:b/>
                <w:lang w:val="zh-CN" w:bidi="zh-CN"/>
              </w:rPr>
            </w:pPr>
            <w:r>
              <w:rPr>
                <w:rFonts w:hint="eastAsia" w:ascii="宋体" w:hAnsi="宋体" w:cs="宋体"/>
                <w:b/>
                <w:lang w:val="zh-CN" w:bidi="zh-CN"/>
              </w:rPr>
              <w:t>项目</w:t>
            </w:r>
          </w:p>
        </w:tc>
        <w:tc>
          <w:tcPr>
            <w:tcW w:w="4961" w:type="dxa"/>
            <w:vAlign w:val="center"/>
          </w:tcPr>
          <w:p w14:paraId="2F8E649E">
            <w:pPr>
              <w:widowControl/>
              <w:autoSpaceDE w:val="0"/>
              <w:autoSpaceDN w:val="0"/>
              <w:spacing w:line="360" w:lineRule="auto"/>
              <w:jc w:val="center"/>
              <w:rPr>
                <w:rFonts w:ascii="宋体" w:hAnsi="宋体" w:cs="宋体"/>
                <w:b/>
                <w:lang w:val="zh-CN" w:bidi="zh-CN"/>
              </w:rPr>
            </w:pPr>
            <w:r>
              <w:rPr>
                <w:rFonts w:hint="eastAsia" w:ascii="宋体" w:hAnsi="宋体" w:cs="宋体"/>
                <w:b/>
                <w:lang w:val="zh-CN" w:bidi="zh-CN"/>
              </w:rPr>
              <w:t>技术指标</w:t>
            </w:r>
          </w:p>
        </w:tc>
      </w:tr>
      <w:tr w14:paraId="02AB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2AE51D13">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测定原理</w:t>
            </w:r>
          </w:p>
        </w:tc>
        <w:tc>
          <w:tcPr>
            <w:tcW w:w="4961" w:type="dxa"/>
            <w:vAlign w:val="center"/>
          </w:tcPr>
          <w:p w14:paraId="625F0226">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重铬酸钾氧化分光光度法</w:t>
            </w:r>
          </w:p>
        </w:tc>
      </w:tr>
      <w:tr w14:paraId="7FA0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26707AA4">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量程</w:t>
            </w:r>
          </w:p>
        </w:tc>
        <w:tc>
          <w:tcPr>
            <w:tcW w:w="4961" w:type="dxa"/>
            <w:vAlign w:val="center"/>
          </w:tcPr>
          <w:p w14:paraId="7BD8734B">
            <w:pPr>
              <w:widowControl/>
              <w:autoSpaceDE w:val="0"/>
              <w:autoSpaceDN w:val="0"/>
              <w:spacing w:line="360" w:lineRule="auto"/>
              <w:jc w:val="center"/>
              <w:rPr>
                <w:rFonts w:ascii="宋体" w:hAnsi="宋体" w:cs="宋体"/>
                <w:lang w:val="zh-CN" w:bidi="zh-CN"/>
              </w:rPr>
            </w:pPr>
            <w:r>
              <w:rPr>
                <w:rFonts w:hint="eastAsia" w:ascii="宋体" w:hAnsi="宋体" w:cs="宋体"/>
                <w:lang w:bidi="zh-CN"/>
              </w:rPr>
              <w:t>15</w:t>
            </w:r>
            <w:r>
              <w:rPr>
                <w:rFonts w:hint="eastAsia" w:ascii="宋体" w:hAnsi="宋体" w:cs="宋体"/>
                <w:lang w:val="zh-CN" w:bidi="zh-CN"/>
              </w:rPr>
              <w:t>～</w:t>
            </w:r>
            <w:r>
              <w:rPr>
                <w:rFonts w:hint="eastAsia" w:ascii="宋体" w:hAnsi="宋体" w:cs="宋体"/>
                <w:lang w:bidi="zh-CN"/>
              </w:rPr>
              <w:t>200</w:t>
            </w:r>
            <w:r>
              <w:rPr>
                <w:rFonts w:hint="eastAsia" w:ascii="宋体" w:hAnsi="宋体" w:cs="宋体"/>
                <w:lang w:val="zh-CN" w:bidi="zh-CN"/>
              </w:rPr>
              <w:t>mg/L，可调</w:t>
            </w:r>
          </w:p>
        </w:tc>
      </w:tr>
      <w:tr w14:paraId="4AF2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6C333BC5">
            <w:pPr>
              <w:widowControl/>
              <w:autoSpaceDE w:val="0"/>
              <w:autoSpaceDN w:val="0"/>
              <w:spacing w:line="360" w:lineRule="auto"/>
              <w:jc w:val="center"/>
              <w:rPr>
                <w:rFonts w:ascii="宋体" w:hAnsi="宋体" w:cs="宋体"/>
                <w:lang w:val="zh-CN" w:bidi="zh-CN"/>
              </w:rPr>
            </w:pPr>
            <w:r>
              <w:rPr>
                <w:rFonts w:hint="eastAsia" w:ascii="宋体" w:hAnsi="宋体" w:cs="宋体"/>
                <w:lang w:bidi="zh-CN"/>
              </w:rPr>
              <w:t>24h低浓度</w:t>
            </w:r>
            <w:r>
              <w:rPr>
                <w:rFonts w:hint="eastAsia" w:ascii="宋体" w:hAnsi="宋体" w:cs="宋体"/>
                <w:lang w:val="zh-CN" w:bidi="zh-CN"/>
              </w:rPr>
              <w:t>漂移</w:t>
            </w:r>
          </w:p>
        </w:tc>
        <w:tc>
          <w:tcPr>
            <w:tcW w:w="4961" w:type="dxa"/>
            <w:vAlign w:val="center"/>
          </w:tcPr>
          <w:p w14:paraId="66CE521D">
            <w:pPr>
              <w:widowControl/>
              <w:autoSpaceDE w:val="0"/>
              <w:autoSpaceDN w:val="0"/>
              <w:spacing w:line="360" w:lineRule="auto"/>
              <w:jc w:val="center"/>
              <w:rPr>
                <w:rFonts w:ascii="宋体" w:hAnsi="宋体" w:cs="宋体"/>
                <w:lang w:bidi="zh-CN"/>
              </w:rPr>
            </w:pPr>
            <w:r>
              <w:rPr>
                <w:rFonts w:hint="eastAsia" w:ascii="宋体" w:hAnsi="宋体" w:cs="宋体"/>
                <w:lang w:val="zh-CN" w:bidi="zh-CN"/>
              </w:rPr>
              <w:t>±5</w:t>
            </w:r>
            <w:r>
              <w:rPr>
                <w:rFonts w:hint="eastAsia" w:ascii="宋体" w:hAnsi="宋体" w:cs="宋体"/>
                <w:lang w:bidi="zh-CN"/>
              </w:rPr>
              <w:t>mg/L</w:t>
            </w:r>
          </w:p>
        </w:tc>
      </w:tr>
      <w:tr w14:paraId="38E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08A567D8">
            <w:pPr>
              <w:widowControl/>
              <w:autoSpaceDE w:val="0"/>
              <w:autoSpaceDN w:val="0"/>
              <w:spacing w:line="360" w:lineRule="auto"/>
              <w:jc w:val="center"/>
              <w:rPr>
                <w:rFonts w:ascii="宋体" w:hAnsi="宋体" w:cs="宋体"/>
                <w:lang w:val="zh-CN" w:bidi="zh-CN"/>
              </w:rPr>
            </w:pPr>
            <w:r>
              <w:rPr>
                <w:rFonts w:hint="eastAsia" w:ascii="宋体" w:hAnsi="宋体" w:cs="宋体"/>
                <w:lang w:bidi="zh-CN"/>
              </w:rPr>
              <w:t>24h高浓度</w:t>
            </w:r>
            <w:r>
              <w:rPr>
                <w:rFonts w:hint="eastAsia" w:ascii="宋体" w:hAnsi="宋体" w:cs="宋体"/>
                <w:lang w:val="zh-CN" w:bidi="zh-CN"/>
              </w:rPr>
              <w:t>漂移</w:t>
            </w:r>
          </w:p>
        </w:tc>
        <w:tc>
          <w:tcPr>
            <w:tcW w:w="4961" w:type="dxa"/>
            <w:vAlign w:val="center"/>
          </w:tcPr>
          <w:p w14:paraId="08A48E53">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≤5%</w:t>
            </w:r>
          </w:p>
        </w:tc>
      </w:tr>
      <w:tr w14:paraId="0A12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2C713448">
            <w:pPr>
              <w:widowControl/>
              <w:autoSpaceDE w:val="0"/>
              <w:autoSpaceDN w:val="0"/>
              <w:spacing w:line="360" w:lineRule="auto"/>
              <w:jc w:val="center"/>
              <w:rPr>
                <w:rFonts w:ascii="宋体" w:hAnsi="宋体" w:cs="宋体"/>
                <w:lang w:bidi="zh-CN"/>
              </w:rPr>
            </w:pPr>
            <w:r>
              <w:rPr>
                <w:rFonts w:hint="eastAsia" w:ascii="宋体" w:hAnsi="宋体" w:cs="宋体"/>
                <w:lang w:bidi="zh-CN"/>
              </w:rPr>
              <w:t>氯离子影响</w:t>
            </w:r>
          </w:p>
        </w:tc>
        <w:tc>
          <w:tcPr>
            <w:tcW w:w="4961" w:type="dxa"/>
            <w:vAlign w:val="center"/>
          </w:tcPr>
          <w:p w14:paraId="76961CA8">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w:t>
            </w:r>
            <w:r>
              <w:rPr>
                <w:rFonts w:hint="eastAsia" w:ascii="宋体" w:hAnsi="宋体" w:cs="宋体"/>
                <w:lang w:bidi="zh-CN"/>
              </w:rPr>
              <w:t>10</w:t>
            </w:r>
            <w:r>
              <w:rPr>
                <w:rFonts w:hint="eastAsia" w:ascii="宋体" w:hAnsi="宋体" w:cs="宋体"/>
                <w:lang w:val="zh-CN" w:bidi="zh-CN"/>
              </w:rPr>
              <w:t>%</w:t>
            </w:r>
          </w:p>
        </w:tc>
      </w:tr>
      <w:tr w14:paraId="6A1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5D1A5248">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重复性</w:t>
            </w:r>
          </w:p>
        </w:tc>
        <w:tc>
          <w:tcPr>
            <w:tcW w:w="4961" w:type="dxa"/>
            <w:vAlign w:val="center"/>
          </w:tcPr>
          <w:p w14:paraId="3410CA8B">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≤5%</w:t>
            </w:r>
          </w:p>
        </w:tc>
      </w:tr>
      <w:tr w14:paraId="01BC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653FF475">
            <w:pPr>
              <w:widowControl/>
              <w:autoSpaceDE w:val="0"/>
              <w:autoSpaceDN w:val="0"/>
              <w:spacing w:line="360" w:lineRule="auto"/>
              <w:jc w:val="center"/>
              <w:rPr>
                <w:rFonts w:ascii="宋体" w:hAnsi="宋体" w:cs="宋体"/>
                <w:lang w:bidi="zh-CN"/>
              </w:rPr>
            </w:pPr>
            <w:r>
              <w:rPr>
                <w:rFonts w:hint="eastAsia" w:ascii="宋体" w:hAnsi="宋体" w:cs="宋体"/>
                <w:lang w:bidi="zh-CN"/>
              </w:rPr>
              <w:t>定量下限</w:t>
            </w:r>
          </w:p>
        </w:tc>
        <w:tc>
          <w:tcPr>
            <w:tcW w:w="4961" w:type="dxa"/>
            <w:vAlign w:val="center"/>
          </w:tcPr>
          <w:p w14:paraId="0DBDDBEB">
            <w:pPr>
              <w:widowControl/>
              <w:autoSpaceDE w:val="0"/>
              <w:autoSpaceDN w:val="0"/>
              <w:spacing w:line="360" w:lineRule="auto"/>
              <w:jc w:val="center"/>
              <w:rPr>
                <w:rFonts w:ascii="宋体" w:hAnsi="宋体" w:cs="宋体"/>
                <w:lang w:bidi="zh-CN"/>
              </w:rPr>
            </w:pPr>
            <w:r>
              <w:rPr>
                <w:rFonts w:hint="eastAsia" w:ascii="宋体" w:hAnsi="宋体" w:cs="宋体"/>
                <w:lang w:val="zh-CN" w:bidi="zh-CN"/>
              </w:rPr>
              <w:t>≤</w:t>
            </w:r>
            <w:r>
              <w:rPr>
                <w:rFonts w:hint="eastAsia" w:ascii="宋体" w:hAnsi="宋体" w:cs="宋体"/>
                <w:lang w:bidi="zh-CN"/>
              </w:rPr>
              <w:t>1</w:t>
            </w:r>
            <w:r>
              <w:rPr>
                <w:rFonts w:hint="eastAsia" w:ascii="宋体" w:hAnsi="宋体" w:cs="宋体"/>
                <w:lang w:val="zh-CN" w:bidi="zh-CN"/>
              </w:rPr>
              <w:t>5mg/L（</w:t>
            </w:r>
            <w:r>
              <w:rPr>
                <w:rFonts w:hint="eastAsia" w:ascii="宋体" w:hAnsi="宋体" w:cs="宋体"/>
                <w:lang w:bidi="zh-CN"/>
              </w:rPr>
              <w:t>示值误差</w:t>
            </w:r>
            <w:r>
              <w:rPr>
                <w:rFonts w:hint="eastAsia" w:ascii="宋体" w:hAnsi="宋体" w:cs="宋体"/>
                <w:lang w:val="zh-CN" w:bidi="zh-CN"/>
              </w:rPr>
              <w:t>±</w:t>
            </w:r>
            <w:r>
              <w:rPr>
                <w:rFonts w:hint="eastAsia" w:ascii="宋体" w:hAnsi="宋体" w:cs="宋体"/>
                <w:lang w:bidi="zh-CN"/>
              </w:rPr>
              <w:t>30</w:t>
            </w:r>
            <w:r>
              <w:rPr>
                <w:rFonts w:hint="eastAsia" w:ascii="宋体" w:hAnsi="宋体" w:cs="宋体"/>
                <w:lang w:val="zh-CN" w:bidi="zh-CN"/>
              </w:rPr>
              <w:t>%）</w:t>
            </w:r>
          </w:p>
        </w:tc>
      </w:tr>
      <w:tr w14:paraId="79D4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2F79A1AE">
            <w:pPr>
              <w:widowControl/>
              <w:autoSpaceDE w:val="0"/>
              <w:autoSpaceDN w:val="0"/>
              <w:spacing w:line="360" w:lineRule="auto"/>
              <w:jc w:val="center"/>
              <w:rPr>
                <w:rFonts w:ascii="宋体" w:hAnsi="宋体" w:cs="宋体"/>
                <w:lang w:bidi="zh-CN"/>
              </w:rPr>
            </w:pPr>
            <w:r>
              <w:rPr>
                <w:rFonts w:hint="eastAsia" w:ascii="宋体" w:hAnsi="宋体" w:cs="宋体"/>
                <w:lang w:bidi="zh-CN"/>
              </w:rPr>
              <w:t>环境温度影响</w:t>
            </w:r>
          </w:p>
        </w:tc>
        <w:tc>
          <w:tcPr>
            <w:tcW w:w="4961" w:type="dxa"/>
            <w:vAlign w:val="center"/>
          </w:tcPr>
          <w:p w14:paraId="53D43289">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w:t>
            </w:r>
            <w:r>
              <w:rPr>
                <w:rFonts w:hint="eastAsia" w:ascii="宋体" w:hAnsi="宋体" w:cs="宋体"/>
                <w:lang w:bidi="zh-CN"/>
              </w:rPr>
              <w:t>5</w:t>
            </w:r>
            <w:r>
              <w:rPr>
                <w:rFonts w:hint="eastAsia" w:ascii="宋体" w:hAnsi="宋体" w:cs="宋体"/>
                <w:lang w:val="zh-CN" w:bidi="zh-CN"/>
              </w:rPr>
              <w:t>%</w:t>
            </w:r>
          </w:p>
        </w:tc>
      </w:tr>
      <w:tr w14:paraId="79C3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256" w:type="dxa"/>
            <w:vAlign w:val="center"/>
          </w:tcPr>
          <w:p w14:paraId="26BD4423">
            <w:pPr>
              <w:widowControl/>
              <w:autoSpaceDE w:val="0"/>
              <w:autoSpaceDN w:val="0"/>
              <w:spacing w:line="360" w:lineRule="auto"/>
              <w:jc w:val="center"/>
              <w:rPr>
                <w:rFonts w:ascii="宋体" w:hAnsi="宋体" w:cs="宋体"/>
                <w:lang w:bidi="zh-CN"/>
              </w:rPr>
            </w:pPr>
            <w:r>
              <w:rPr>
                <w:rFonts w:hint="eastAsia" w:ascii="宋体" w:hAnsi="宋体" w:cs="宋体"/>
                <w:lang w:bidi="zh-CN"/>
              </w:rPr>
              <w:t>最小维护周期</w:t>
            </w:r>
          </w:p>
        </w:tc>
        <w:tc>
          <w:tcPr>
            <w:tcW w:w="4961" w:type="dxa"/>
            <w:vAlign w:val="center"/>
          </w:tcPr>
          <w:p w14:paraId="190526DD">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w:t>
            </w:r>
            <w:r>
              <w:rPr>
                <w:rFonts w:hint="eastAsia" w:ascii="宋体" w:hAnsi="宋体" w:cs="宋体"/>
                <w:lang w:bidi="zh-CN"/>
              </w:rPr>
              <w:t>168</w:t>
            </w:r>
            <w:r>
              <w:rPr>
                <w:rFonts w:hint="eastAsia" w:ascii="宋体" w:hAnsi="宋体" w:cs="宋体"/>
                <w:lang w:val="zh-CN" w:bidi="zh-CN"/>
              </w:rPr>
              <w:t>h</w:t>
            </w:r>
          </w:p>
        </w:tc>
      </w:tr>
      <w:tr w14:paraId="00A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256" w:type="dxa"/>
            <w:vMerge w:val="restart"/>
            <w:vAlign w:val="center"/>
          </w:tcPr>
          <w:p w14:paraId="3D5843A2">
            <w:pPr>
              <w:widowControl/>
              <w:autoSpaceDE w:val="0"/>
              <w:autoSpaceDN w:val="0"/>
              <w:spacing w:line="360" w:lineRule="auto"/>
              <w:jc w:val="center"/>
              <w:rPr>
                <w:rFonts w:ascii="宋体" w:hAnsi="宋体" w:cs="宋体"/>
                <w:lang w:val="zh-CN" w:bidi="zh-CN"/>
              </w:rPr>
            </w:pPr>
            <w:r>
              <w:rPr>
                <w:rFonts w:hint="eastAsia" w:ascii="宋体" w:hAnsi="宋体" w:cs="宋体"/>
                <w:lang w:val="zh-CN" w:bidi="zh-CN"/>
              </w:rPr>
              <w:t>实际水样比对试验</w:t>
            </w:r>
          </w:p>
        </w:tc>
        <w:tc>
          <w:tcPr>
            <w:tcW w:w="4961" w:type="dxa"/>
            <w:vAlign w:val="center"/>
          </w:tcPr>
          <w:p w14:paraId="7E510FF7">
            <w:pPr>
              <w:widowControl/>
              <w:autoSpaceDE w:val="0"/>
              <w:autoSpaceDN w:val="0"/>
              <w:spacing w:line="360" w:lineRule="auto"/>
              <w:jc w:val="center"/>
              <w:rPr>
                <w:rFonts w:ascii="宋体" w:hAnsi="宋体" w:cs="宋体"/>
                <w:lang w:val="zh-CN" w:bidi="zh-CN"/>
              </w:rPr>
            </w:pPr>
            <w:r>
              <w:rPr>
                <w:rFonts w:hint="eastAsia" w:ascii="宋体" w:hAnsi="宋体" w:cs="宋体"/>
                <w:lang w:bidi="zh-CN"/>
              </w:rPr>
              <w:t>COD＜50mg/L，绝对误差</w:t>
            </w:r>
            <w:r>
              <w:rPr>
                <w:rFonts w:hint="eastAsia" w:ascii="宋体" w:hAnsi="宋体" w:cs="宋体"/>
                <w:lang w:val="zh-CN" w:bidi="zh-CN"/>
              </w:rPr>
              <w:t>≤</w:t>
            </w:r>
            <w:r>
              <w:rPr>
                <w:rFonts w:hint="eastAsia" w:ascii="宋体" w:hAnsi="宋体" w:cs="宋体"/>
                <w:lang w:bidi="zh-CN"/>
              </w:rPr>
              <w:t>5mg/L</w:t>
            </w:r>
          </w:p>
        </w:tc>
      </w:tr>
      <w:tr w14:paraId="3A6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256" w:type="dxa"/>
            <w:vMerge w:val="continue"/>
            <w:vAlign w:val="center"/>
          </w:tcPr>
          <w:p w14:paraId="161865C2">
            <w:pPr>
              <w:widowControl/>
              <w:autoSpaceDE w:val="0"/>
              <w:autoSpaceDN w:val="0"/>
              <w:spacing w:line="360" w:lineRule="auto"/>
              <w:jc w:val="center"/>
              <w:rPr>
                <w:rFonts w:ascii="宋体" w:hAnsi="宋体" w:cs="宋体"/>
                <w:lang w:val="zh-CN" w:bidi="zh-CN"/>
              </w:rPr>
            </w:pPr>
          </w:p>
        </w:tc>
        <w:tc>
          <w:tcPr>
            <w:tcW w:w="4961" w:type="dxa"/>
            <w:vAlign w:val="center"/>
          </w:tcPr>
          <w:p w14:paraId="535C9B45">
            <w:pPr>
              <w:widowControl/>
              <w:autoSpaceDE w:val="0"/>
              <w:autoSpaceDN w:val="0"/>
              <w:spacing w:line="360" w:lineRule="auto"/>
              <w:jc w:val="center"/>
              <w:rPr>
                <w:rFonts w:ascii="宋体" w:hAnsi="宋体" w:cs="宋体"/>
                <w:lang w:bidi="zh-CN"/>
              </w:rPr>
            </w:pPr>
            <w:r>
              <w:rPr>
                <w:rFonts w:hint="eastAsia" w:ascii="宋体" w:hAnsi="宋体" w:cs="宋体"/>
                <w:lang w:bidi="zh-CN"/>
              </w:rPr>
              <w:t>COD</w:t>
            </w:r>
            <w:r>
              <w:rPr>
                <w:rFonts w:hint="eastAsia" w:ascii="宋体" w:hAnsi="宋体" w:cs="宋体"/>
                <w:lang w:val="zh-CN" w:bidi="zh-CN"/>
              </w:rPr>
              <w:t>≥</w:t>
            </w:r>
            <w:r>
              <w:rPr>
                <w:rFonts w:hint="eastAsia" w:ascii="宋体" w:hAnsi="宋体" w:cs="宋体"/>
                <w:lang w:bidi="zh-CN"/>
              </w:rPr>
              <w:t>50mg/L，相对误差</w:t>
            </w:r>
            <w:r>
              <w:rPr>
                <w:rFonts w:hint="eastAsia" w:ascii="宋体" w:hAnsi="宋体" w:cs="宋体"/>
                <w:lang w:val="zh-CN" w:bidi="zh-CN"/>
              </w:rPr>
              <w:t>≤</w:t>
            </w:r>
            <w:r>
              <w:rPr>
                <w:rFonts w:hint="eastAsia" w:ascii="宋体" w:hAnsi="宋体" w:cs="宋体"/>
                <w:lang w:bidi="zh-CN"/>
              </w:rPr>
              <w:t>10%</w:t>
            </w:r>
          </w:p>
        </w:tc>
      </w:tr>
    </w:tbl>
    <w:p w14:paraId="7235DF21">
      <w:pPr>
        <w:spacing w:after="120" w:line="360" w:lineRule="auto"/>
        <w:ind w:firstLine="210" w:firstLineChars="100"/>
        <w:rPr>
          <w:rFonts w:ascii="宋体" w:hAnsi="宋体" w:cs="宋体"/>
        </w:rPr>
      </w:pPr>
    </w:p>
    <w:p w14:paraId="09F67559">
      <w:pPr>
        <w:spacing w:line="360" w:lineRule="auto"/>
        <w:rPr>
          <w:rFonts w:ascii="宋体" w:hAnsi="宋体" w:cs="宋体"/>
        </w:rPr>
      </w:pPr>
      <w:r>
        <w:rPr>
          <w:rFonts w:hint="eastAsia" w:ascii="宋体" w:hAnsi="宋体" w:cs="宋体"/>
        </w:rPr>
        <w:t>3.3氨氮水质自动分析仪</w:t>
      </w:r>
      <w:bookmarkEnd w:id="56"/>
    </w:p>
    <w:tbl>
      <w:tblPr>
        <w:tblStyle w:val="28"/>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3074"/>
        <w:gridCol w:w="3074"/>
      </w:tblGrid>
      <w:tr w14:paraId="629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149" w:type="dxa"/>
            <w:vAlign w:val="center"/>
          </w:tcPr>
          <w:p w14:paraId="3080662D">
            <w:pPr>
              <w:widowControl/>
              <w:spacing w:line="360" w:lineRule="auto"/>
              <w:ind w:firstLine="422" w:firstLineChars="200"/>
              <w:jc w:val="center"/>
              <w:rPr>
                <w:rFonts w:ascii="宋体" w:hAnsi="宋体" w:cs="宋体"/>
                <w:b/>
              </w:rPr>
            </w:pPr>
            <w:r>
              <w:rPr>
                <w:rFonts w:hint="eastAsia" w:ascii="宋体" w:hAnsi="宋体" w:cs="宋体"/>
                <w:b/>
              </w:rPr>
              <w:t>项目</w:t>
            </w:r>
          </w:p>
        </w:tc>
        <w:tc>
          <w:tcPr>
            <w:tcW w:w="6148" w:type="dxa"/>
            <w:gridSpan w:val="2"/>
            <w:vAlign w:val="center"/>
          </w:tcPr>
          <w:p w14:paraId="205E2DDF">
            <w:pPr>
              <w:widowControl/>
              <w:spacing w:line="360" w:lineRule="auto"/>
              <w:ind w:firstLine="422" w:firstLineChars="200"/>
              <w:jc w:val="center"/>
              <w:rPr>
                <w:rFonts w:ascii="宋体" w:hAnsi="宋体" w:cs="宋体"/>
                <w:b/>
              </w:rPr>
            </w:pPr>
            <w:r>
              <w:rPr>
                <w:rFonts w:hint="eastAsia" w:ascii="宋体" w:hAnsi="宋体" w:cs="宋体"/>
                <w:b/>
              </w:rPr>
              <w:t>技术指标</w:t>
            </w:r>
          </w:p>
        </w:tc>
      </w:tr>
      <w:tr w14:paraId="30CB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2F24F69F">
            <w:pPr>
              <w:widowControl/>
              <w:spacing w:line="360" w:lineRule="auto"/>
              <w:ind w:firstLine="420" w:firstLineChars="200"/>
              <w:jc w:val="center"/>
              <w:rPr>
                <w:rFonts w:ascii="宋体" w:hAnsi="宋体" w:cs="宋体"/>
              </w:rPr>
            </w:pPr>
            <w:r>
              <w:rPr>
                <w:rFonts w:hint="eastAsia" w:ascii="宋体" w:hAnsi="宋体" w:cs="宋体"/>
              </w:rPr>
              <w:t>测定原理</w:t>
            </w:r>
          </w:p>
        </w:tc>
        <w:tc>
          <w:tcPr>
            <w:tcW w:w="6148" w:type="dxa"/>
            <w:gridSpan w:val="2"/>
            <w:vAlign w:val="center"/>
          </w:tcPr>
          <w:p w14:paraId="6705F29E">
            <w:pPr>
              <w:widowControl/>
              <w:spacing w:line="360" w:lineRule="auto"/>
              <w:ind w:firstLine="420" w:firstLineChars="200"/>
              <w:jc w:val="center"/>
              <w:rPr>
                <w:rFonts w:ascii="宋体" w:hAnsi="宋体" w:cs="宋体"/>
              </w:rPr>
            </w:pPr>
            <w:r>
              <w:rPr>
                <w:rFonts w:hint="eastAsia" w:ascii="宋体" w:hAnsi="宋体" w:cs="宋体"/>
              </w:rPr>
              <w:t>水杨酸分光光度法</w:t>
            </w:r>
          </w:p>
        </w:tc>
      </w:tr>
      <w:tr w14:paraId="033A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168DD109">
            <w:pPr>
              <w:widowControl/>
              <w:spacing w:line="360" w:lineRule="auto"/>
              <w:ind w:firstLine="420" w:firstLineChars="200"/>
              <w:jc w:val="center"/>
              <w:rPr>
                <w:rFonts w:ascii="宋体" w:hAnsi="宋体" w:cs="宋体"/>
              </w:rPr>
            </w:pPr>
            <w:r>
              <w:rPr>
                <w:rFonts w:hint="eastAsia" w:ascii="宋体" w:hAnsi="宋体" w:cs="宋体"/>
              </w:rPr>
              <w:t>量程</w:t>
            </w:r>
          </w:p>
        </w:tc>
        <w:tc>
          <w:tcPr>
            <w:tcW w:w="6148" w:type="dxa"/>
            <w:gridSpan w:val="2"/>
            <w:vAlign w:val="center"/>
          </w:tcPr>
          <w:p w14:paraId="03E44DED">
            <w:pPr>
              <w:widowControl/>
              <w:spacing w:line="360" w:lineRule="auto"/>
              <w:ind w:firstLine="420" w:firstLineChars="200"/>
              <w:jc w:val="center"/>
              <w:rPr>
                <w:rFonts w:ascii="宋体" w:hAnsi="宋体" w:cs="宋体"/>
              </w:rPr>
            </w:pPr>
            <w:r>
              <w:rPr>
                <w:rFonts w:hint="eastAsia" w:ascii="宋体" w:hAnsi="宋体" w:cs="宋体"/>
              </w:rPr>
              <w:t>0～10 mg/L，可调</w:t>
            </w:r>
          </w:p>
        </w:tc>
      </w:tr>
      <w:tr w14:paraId="7639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76EEF683">
            <w:pPr>
              <w:widowControl/>
              <w:spacing w:line="360" w:lineRule="auto"/>
              <w:ind w:firstLine="420" w:firstLineChars="200"/>
              <w:jc w:val="center"/>
              <w:rPr>
                <w:rFonts w:ascii="宋体" w:hAnsi="宋体" w:cs="宋体"/>
              </w:rPr>
            </w:pPr>
            <w:r>
              <w:rPr>
                <w:rFonts w:hint="eastAsia" w:ascii="宋体" w:hAnsi="宋体" w:cs="宋体"/>
              </w:rPr>
              <w:t>零点漂移</w:t>
            </w:r>
          </w:p>
        </w:tc>
        <w:tc>
          <w:tcPr>
            <w:tcW w:w="6148" w:type="dxa"/>
            <w:gridSpan w:val="2"/>
            <w:vAlign w:val="center"/>
          </w:tcPr>
          <w:p w14:paraId="414C1B6F">
            <w:pPr>
              <w:widowControl/>
              <w:spacing w:line="360" w:lineRule="auto"/>
              <w:ind w:firstLine="420" w:firstLineChars="200"/>
              <w:jc w:val="center"/>
              <w:rPr>
                <w:rFonts w:ascii="宋体" w:hAnsi="宋体" w:cs="宋体"/>
              </w:rPr>
            </w:pPr>
            <w:r>
              <w:rPr>
                <w:rFonts w:hint="eastAsia" w:ascii="宋体" w:hAnsi="宋体" w:cs="宋体"/>
              </w:rPr>
              <w:t>≤0.02 mg/L</w:t>
            </w:r>
          </w:p>
        </w:tc>
      </w:tr>
      <w:tr w14:paraId="2760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53E2AF50">
            <w:pPr>
              <w:widowControl/>
              <w:spacing w:line="360" w:lineRule="auto"/>
              <w:ind w:firstLine="420" w:firstLineChars="200"/>
              <w:jc w:val="center"/>
              <w:rPr>
                <w:rFonts w:ascii="宋体" w:hAnsi="宋体" w:cs="宋体"/>
              </w:rPr>
            </w:pPr>
            <w:r>
              <w:rPr>
                <w:rFonts w:hint="eastAsia" w:ascii="宋体" w:hAnsi="宋体" w:cs="宋体"/>
              </w:rPr>
              <w:t>量程漂移</w:t>
            </w:r>
          </w:p>
        </w:tc>
        <w:tc>
          <w:tcPr>
            <w:tcW w:w="6148" w:type="dxa"/>
            <w:gridSpan w:val="2"/>
            <w:vAlign w:val="center"/>
          </w:tcPr>
          <w:p w14:paraId="680C1902">
            <w:pPr>
              <w:widowControl/>
              <w:spacing w:line="360" w:lineRule="auto"/>
              <w:ind w:firstLine="420" w:firstLineChars="200"/>
              <w:jc w:val="center"/>
              <w:rPr>
                <w:rFonts w:ascii="宋体" w:hAnsi="宋体" w:cs="宋体"/>
              </w:rPr>
            </w:pPr>
            <w:r>
              <w:rPr>
                <w:rFonts w:hint="eastAsia" w:ascii="宋体" w:hAnsi="宋体" w:cs="宋体"/>
              </w:rPr>
              <w:t>≤1.0%</w:t>
            </w:r>
          </w:p>
        </w:tc>
      </w:tr>
      <w:tr w14:paraId="7121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restart"/>
            <w:vAlign w:val="center"/>
          </w:tcPr>
          <w:p w14:paraId="7238C593">
            <w:pPr>
              <w:widowControl/>
              <w:spacing w:line="360" w:lineRule="auto"/>
              <w:ind w:firstLine="420" w:firstLineChars="200"/>
              <w:jc w:val="center"/>
              <w:rPr>
                <w:rFonts w:ascii="宋体" w:hAnsi="宋体" w:cs="宋体"/>
              </w:rPr>
            </w:pPr>
            <w:r>
              <w:rPr>
                <w:rFonts w:hint="eastAsia" w:ascii="宋体" w:hAnsi="宋体" w:cs="宋体"/>
              </w:rPr>
              <w:t>示值误差</w:t>
            </w:r>
          </w:p>
        </w:tc>
        <w:tc>
          <w:tcPr>
            <w:tcW w:w="3074" w:type="dxa"/>
            <w:vAlign w:val="center"/>
          </w:tcPr>
          <w:p w14:paraId="702AEE19">
            <w:pPr>
              <w:widowControl/>
              <w:spacing w:line="360" w:lineRule="auto"/>
              <w:ind w:firstLine="420" w:firstLineChars="200"/>
              <w:jc w:val="center"/>
              <w:rPr>
                <w:rFonts w:ascii="宋体" w:hAnsi="宋体" w:cs="宋体"/>
              </w:rPr>
            </w:pPr>
            <w:r>
              <w:rPr>
                <w:rFonts w:hint="eastAsia" w:ascii="宋体" w:hAnsi="宋体" w:cs="宋体"/>
              </w:rPr>
              <w:t>标液浓度为2.0 mg/L时</w:t>
            </w:r>
          </w:p>
        </w:tc>
        <w:tc>
          <w:tcPr>
            <w:tcW w:w="3074" w:type="dxa"/>
            <w:vAlign w:val="center"/>
          </w:tcPr>
          <w:p w14:paraId="58D906F9">
            <w:pPr>
              <w:widowControl/>
              <w:spacing w:line="360" w:lineRule="auto"/>
              <w:ind w:firstLine="420" w:firstLineChars="200"/>
              <w:jc w:val="center"/>
              <w:rPr>
                <w:rFonts w:ascii="宋体" w:hAnsi="宋体" w:cs="宋体"/>
              </w:rPr>
            </w:pPr>
            <w:r>
              <w:rPr>
                <w:rFonts w:hint="eastAsia" w:ascii="宋体" w:hAnsi="宋体" w:cs="宋体"/>
              </w:rPr>
              <w:t>± 8.0%</w:t>
            </w:r>
          </w:p>
        </w:tc>
      </w:tr>
      <w:tr w14:paraId="216C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continue"/>
            <w:vAlign w:val="center"/>
          </w:tcPr>
          <w:p w14:paraId="15D8DA7E">
            <w:pPr>
              <w:widowControl/>
              <w:spacing w:line="360" w:lineRule="auto"/>
              <w:ind w:firstLine="420" w:firstLineChars="200"/>
              <w:jc w:val="center"/>
              <w:rPr>
                <w:rFonts w:ascii="宋体" w:hAnsi="宋体" w:cs="宋体"/>
              </w:rPr>
            </w:pPr>
          </w:p>
        </w:tc>
        <w:tc>
          <w:tcPr>
            <w:tcW w:w="3074" w:type="dxa"/>
            <w:vAlign w:val="center"/>
          </w:tcPr>
          <w:p w14:paraId="7A945E3D">
            <w:pPr>
              <w:widowControl/>
              <w:spacing w:line="360" w:lineRule="auto"/>
              <w:ind w:firstLine="420" w:firstLineChars="200"/>
              <w:jc w:val="center"/>
              <w:rPr>
                <w:rFonts w:ascii="宋体" w:hAnsi="宋体" w:cs="宋体"/>
              </w:rPr>
            </w:pPr>
            <w:r>
              <w:rPr>
                <w:rFonts w:hint="eastAsia" w:ascii="宋体" w:hAnsi="宋体" w:cs="宋体"/>
              </w:rPr>
              <w:t>标液浓度为5.0 mg/L时</w:t>
            </w:r>
          </w:p>
        </w:tc>
        <w:tc>
          <w:tcPr>
            <w:tcW w:w="3074" w:type="dxa"/>
            <w:vAlign w:val="center"/>
          </w:tcPr>
          <w:p w14:paraId="753CA15A">
            <w:pPr>
              <w:widowControl/>
              <w:spacing w:line="360" w:lineRule="auto"/>
              <w:ind w:firstLine="420" w:firstLineChars="200"/>
              <w:jc w:val="center"/>
              <w:rPr>
                <w:rFonts w:ascii="宋体" w:hAnsi="宋体" w:cs="宋体"/>
              </w:rPr>
            </w:pPr>
            <w:r>
              <w:rPr>
                <w:rFonts w:hint="eastAsia" w:ascii="宋体" w:hAnsi="宋体" w:cs="宋体"/>
              </w:rPr>
              <w:t>± 5.0%</w:t>
            </w:r>
          </w:p>
        </w:tc>
      </w:tr>
      <w:tr w14:paraId="2A42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continue"/>
            <w:vAlign w:val="center"/>
          </w:tcPr>
          <w:p w14:paraId="2BFDAD2A">
            <w:pPr>
              <w:widowControl/>
              <w:spacing w:line="360" w:lineRule="auto"/>
              <w:ind w:firstLine="420" w:firstLineChars="200"/>
              <w:jc w:val="center"/>
              <w:rPr>
                <w:rFonts w:ascii="宋体" w:hAnsi="宋体" w:cs="宋体"/>
              </w:rPr>
            </w:pPr>
          </w:p>
        </w:tc>
        <w:tc>
          <w:tcPr>
            <w:tcW w:w="3074" w:type="dxa"/>
            <w:vAlign w:val="center"/>
          </w:tcPr>
          <w:p w14:paraId="65F5BA9F">
            <w:pPr>
              <w:widowControl/>
              <w:spacing w:line="360" w:lineRule="auto"/>
              <w:ind w:firstLine="420" w:firstLineChars="200"/>
              <w:jc w:val="center"/>
              <w:rPr>
                <w:rFonts w:ascii="宋体" w:hAnsi="宋体" w:cs="宋体"/>
              </w:rPr>
            </w:pPr>
            <w:r>
              <w:rPr>
                <w:rFonts w:hint="eastAsia" w:ascii="宋体" w:hAnsi="宋体" w:cs="宋体"/>
              </w:rPr>
              <w:t>标液浓度为8.0 mg/L时</w:t>
            </w:r>
          </w:p>
        </w:tc>
        <w:tc>
          <w:tcPr>
            <w:tcW w:w="3074" w:type="dxa"/>
            <w:vAlign w:val="center"/>
          </w:tcPr>
          <w:p w14:paraId="4B4EFC2D">
            <w:pPr>
              <w:widowControl/>
              <w:spacing w:line="360" w:lineRule="auto"/>
              <w:ind w:firstLine="420" w:firstLineChars="200"/>
              <w:jc w:val="center"/>
              <w:rPr>
                <w:rFonts w:ascii="宋体" w:hAnsi="宋体" w:cs="宋体"/>
              </w:rPr>
            </w:pPr>
            <w:r>
              <w:rPr>
                <w:rFonts w:hint="eastAsia" w:ascii="宋体" w:hAnsi="宋体" w:cs="宋体"/>
              </w:rPr>
              <w:t>± 3.0%</w:t>
            </w:r>
          </w:p>
        </w:tc>
      </w:tr>
      <w:tr w14:paraId="0E21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5B46E9D9">
            <w:pPr>
              <w:widowControl/>
              <w:spacing w:line="360" w:lineRule="auto"/>
              <w:ind w:firstLine="420" w:firstLineChars="200"/>
              <w:jc w:val="center"/>
              <w:rPr>
                <w:rFonts w:ascii="宋体" w:hAnsi="宋体" w:cs="宋体"/>
              </w:rPr>
            </w:pPr>
            <w:r>
              <w:rPr>
                <w:rFonts w:hint="eastAsia" w:ascii="宋体" w:hAnsi="宋体" w:cs="宋体"/>
              </w:rPr>
              <w:t>重复性</w:t>
            </w:r>
          </w:p>
        </w:tc>
        <w:tc>
          <w:tcPr>
            <w:tcW w:w="6148" w:type="dxa"/>
            <w:gridSpan w:val="2"/>
            <w:vAlign w:val="center"/>
          </w:tcPr>
          <w:p w14:paraId="23093E71">
            <w:pPr>
              <w:widowControl/>
              <w:spacing w:line="360" w:lineRule="auto"/>
              <w:ind w:firstLine="420" w:firstLineChars="200"/>
              <w:jc w:val="center"/>
              <w:rPr>
                <w:rFonts w:ascii="宋体" w:hAnsi="宋体" w:cs="宋体"/>
              </w:rPr>
            </w:pPr>
            <w:r>
              <w:rPr>
                <w:rFonts w:hint="eastAsia" w:ascii="宋体" w:hAnsi="宋体" w:cs="宋体"/>
              </w:rPr>
              <w:t>≤2.0%</w:t>
            </w:r>
          </w:p>
        </w:tc>
      </w:tr>
      <w:tr w14:paraId="6AE3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restart"/>
            <w:vAlign w:val="center"/>
          </w:tcPr>
          <w:p w14:paraId="296ADDCE">
            <w:pPr>
              <w:widowControl/>
              <w:spacing w:line="360" w:lineRule="auto"/>
              <w:ind w:firstLine="420" w:firstLineChars="200"/>
              <w:jc w:val="center"/>
              <w:rPr>
                <w:rFonts w:ascii="宋体" w:hAnsi="宋体" w:cs="宋体"/>
              </w:rPr>
            </w:pPr>
            <w:r>
              <w:rPr>
                <w:rFonts w:hint="eastAsia" w:ascii="宋体" w:hAnsi="宋体" w:cs="宋体"/>
              </w:rPr>
              <w:t>记忆效应</w:t>
            </w:r>
          </w:p>
        </w:tc>
        <w:tc>
          <w:tcPr>
            <w:tcW w:w="3074" w:type="dxa"/>
            <w:vAlign w:val="center"/>
          </w:tcPr>
          <w:p w14:paraId="56D1E287">
            <w:pPr>
              <w:widowControl/>
              <w:spacing w:line="360" w:lineRule="auto"/>
              <w:ind w:firstLine="420" w:firstLineChars="200"/>
              <w:jc w:val="center"/>
              <w:rPr>
                <w:rFonts w:ascii="宋体" w:hAnsi="宋体" w:cs="宋体"/>
              </w:rPr>
            </w:pPr>
            <w:r>
              <w:rPr>
                <w:rFonts w:hint="eastAsia" w:ascii="宋体" w:hAnsi="宋体" w:cs="宋体"/>
              </w:rPr>
              <w:t>标液浓度为2.0 mg/L时</w:t>
            </w:r>
          </w:p>
        </w:tc>
        <w:tc>
          <w:tcPr>
            <w:tcW w:w="3074" w:type="dxa"/>
            <w:vAlign w:val="center"/>
          </w:tcPr>
          <w:p w14:paraId="51646019">
            <w:pPr>
              <w:widowControl/>
              <w:spacing w:line="360" w:lineRule="auto"/>
              <w:ind w:firstLine="420" w:firstLineChars="200"/>
              <w:jc w:val="center"/>
              <w:rPr>
                <w:rFonts w:ascii="宋体" w:hAnsi="宋体" w:cs="宋体"/>
              </w:rPr>
            </w:pPr>
            <w:r>
              <w:rPr>
                <w:rFonts w:hint="eastAsia" w:ascii="宋体" w:hAnsi="宋体" w:cs="宋体"/>
              </w:rPr>
              <w:t>± 0.3 mg/L</w:t>
            </w:r>
          </w:p>
        </w:tc>
      </w:tr>
      <w:tr w14:paraId="525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continue"/>
            <w:vAlign w:val="center"/>
          </w:tcPr>
          <w:p w14:paraId="3E8772DD">
            <w:pPr>
              <w:widowControl/>
              <w:spacing w:line="360" w:lineRule="auto"/>
              <w:ind w:firstLine="420" w:firstLineChars="200"/>
              <w:jc w:val="center"/>
              <w:rPr>
                <w:rFonts w:ascii="宋体" w:hAnsi="宋体" w:cs="宋体"/>
              </w:rPr>
            </w:pPr>
          </w:p>
        </w:tc>
        <w:tc>
          <w:tcPr>
            <w:tcW w:w="3074" w:type="dxa"/>
            <w:vAlign w:val="center"/>
          </w:tcPr>
          <w:p w14:paraId="6B9AA293">
            <w:pPr>
              <w:widowControl/>
              <w:spacing w:line="360" w:lineRule="auto"/>
              <w:ind w:firstLine="420" w:firstLineChars="200"/>
              <w:jc w:val="center"/>
              <w:rPr>
                <w:rFonts w:ascii="宋体" w:hAnsi="宋体" w:cs="宋体"/>
              </w:rPr>
            </w:pPr>
            <w:r>
              <w:rPr>
                <w:rFonts w:hint="eastAsia" w:ascii="宋体" w:hAnsi="宋体" w:cs="宋体"/>
              </w:rPr>
              <w:t>标液浓度为8.0 mg/L时</w:t>
            </w:r>
          </w:p>
        </w:tc>
        <w:tc>
          <w:tcPr>
            <w:tcW w:w="3074" w:type="dxa"/>
            <w:vAlign w:val="center"/>
          </w:tcPr>
          <w:p w14:paraId="2240DEF6">
            <w:pPr>
              <w:widowControl/>
              <w:spacing w:line="360" w:lineRule="auto"/>
              <w:ind w:firstLine="420" w:firstLineChars="200"/>
              <w:jc w:val="center"/>
              <w:rPr>
                <w:rFonts w:ascii="宋体" w:hAnsi="宋体" w:cs="宋体"/>
              </w:rPr>
            </w:pPr>
            <w:r>
              <w:rPr>
                <w:rFonts w:hint="eastAsia" w:ascii="宋体" w:hAnsi="宋体" w:cs="宋体"/>
              </w:rPr>
              <w:t>± 0.2 mg/L</w:t>
            </w:r>
          </w:p>
        </w:tc>
      </w:tr>
      <w:tr w14:paraId="22DC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36484638">
            <w:pPr>
              <w:widowControl/>
              <w:spacing w:line="360" w:lineRule="auto"/>
              <w:ind w:firstLine="420" w:firstLineChars="200"/>
              <w:jc w:val="center"/>
              <w:rPr>
                <w:rFonts w:ascii="宋体" w:hAnsi="宋体" w:cs="宋体"/>
              </w:rPr>
            </w:pPr>
            <w:r>
              <w:rPr>
                <w:rFonts w:hint="eastAsia" w:ascii="宋体" w:hAnsi="宋体" w:cs="宋体"/>
              </w:rPr>
              <w:t>检出限</w:t>
            </w:r>
          </w:p>
        </w:tc>
        <w:tc>
          <w:tcPr>
            <w:tcW w:w="6148" w:type="dxa"/>
            <w:gridSpan w:val="2"/>
            <w:vAlign w:val="center"/>
          </w:tcPr>
          <w:p w14:paraId="4E55CE8E">
            <w:pPr>
              <w:widowControl/>
              <w:spacing w:line="360" w:lineRule="auto"/>
              <w:ind w:firstLine="420" w:firstLineChars="200"/>
              <w:jc w:val="center"/>
              <w:rPr>
                <w:rFonts w:ascii="宋体" w:hAnsi="宋体" w:cs="宋体"/>
              </w:rPr>
            </w:pPr>
            <w:r>
              <w:rPr>
                <w:rFonts w:hint="eastAsia" w:ascii="宋体" w:hAnsi="宋体" w:cs="宋体"/>
              </w:rPr>
              <w:t>≤0.02mg/L</w:t>
            </w:r>
          </w:p>
        </w:tc>
      </w:tr>
      <w:tr w14:paraId="7861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9" w:type="dxa"/>
            <w:vAlign w:val="center"/>
          </w:tcPr>
          <w:p w14:paraId="6D44A482">
            <w:pPr>
              <w:widowControl/>
              <w:spacing w:line="360" w:lineRule="auto"/>
              <w:ind w:firstLine="420" w:firstLineChars="200"/>
              <w:jc w:val="center"/>
              <w:rPr>
                <w:rFonts w:ascii="宋体" w:hAnsi="宋体" w:cs="宋体"/>
              </w:rPr>
            </w:pPr>
            <w:r>
              <w:rPr>
                <w:rFonts w:hint="eastAsia" w:ascii="宋体" w:hAnsi="宋体" w:cs="宋体"/>
              </w:rPr>
              <w:t>pH干扰试验</w:t>
            </w:r>
          </w:p>
        </w:tc>
        <w:tc>
          <w:tcPr>
            <w:tcW w:w="6148" w:type="dxa"/>
            <w:gridSpan w:val="2"/>
            <w:vAlign w:val="center"/>
          </w:tcPr>
          <w:p w14:paraId="70C4FDDC">
            <w:pPr>
              <w:widowControl/>
              <w:spacing w:line="360" w:lineRule="auto"/>
              <w:ind w:firstLine="420" w:firstLineChars="200"/>
              <w:jc w:val="center"/>
              <w:rPr>
                <w:rFonts w:ascii="宋体" w:hAnsi="宋体" w:cs="宋体"/>
              </w:rPr>
            </w:pPr>
            <w:r>
              <w:rPr>
                <w:rFonts w:hint="eastAsia" w:ascii="宋体" w:hAnsi="宋体" w:cs="宋体"/>
              </w:rPr>
              <w:t>±6.0%</w:t>
            </w:r>
          </w:p>
        </w:tc>
      </w:tr>
      <w:tr w14:paraId="030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restart"/>
            <w:vAlign w:val="center"/>
          </w:tcPr>
          <w:p w14:paraId="31972030">
            <w:pPr>
              <w:widowControl/>
              <w:spacing w:line="360" w:lineRule="auto"/>
              <w:ind w:firstLine="420" w:firstLineChars="200"/>
              <w:jc w:val="center"/>
              <w:rPr>
                <w:rFonts w:ascii="宋体" w:hAnsi="宋体" w:cs="宋体"/>
              </w:rPr>
            </w:pPr>
            <w:r>
              <w:rPr>
                <w:rFonts w:hint="eastAsia" w:ascii="宋体" w:hAnsi="宋体" w:cs="宋体"/>
              </w:rPr>
              <w:t>实际水样比对试验</w:t>
            </w:r>
          </w:p>
        </w:tc>
        <w:tc>
          <w:tcPr>
            <w:tcW w:w="3074" w:type="dxa"/>
            <w:vAlign w:val="center"/>
          </w:tcPr>
          <w:p w14:paraId="257E25FF">
            <w:pPr>
              <w:widowControl/>
              <w:spacing w:line="360" w:lineRule="auto"/>
              <w:ind w:firstLine="420" w:firstLineChars="200"/>
              <w:jc w:val="center"/>
              <w:rPr>
                <w:rFonts w:ascii="宋体" w:hAnsi="宋体" w:cs="宋体"/>
              </w:rPr>
            </w:pPr>
            <w:r>
              <w:rPr>
                <w:rFonts w:hint="eastAsia" w:ascii="宋体" w:hAnsi="宋体" w:cs="宋体"/>
              </w:rPr>
              <w:t>水样浓度&lt;2.0 mg/L</w:t>
            </w:r>
          </w:p>
        </w:tc>
        <w:tc>
          <w:tcPr>
            <w:tcW w:w="3074" w:type="dxa"/>
            <w:vAlign w:val="center"/>
          </w:tcPr>
          <w:p w14:paraId="1B725B66">
            <w:pPr>
              <w:widowControl/>
              <w:spacing w:line="360" w:lineRule="auto"/>
              <w:ind w:firstLine="420" w:firstLineChars="200"/>
              <w:jc w:val="center"/>
              <w:rPr>
                <w:rFonts w:ascii="宋体" w:hAnsi="宋体" w:cs="宋体"/>
              </w:rPr>
            </w:pPr>
            <w:r>
              <w:rPr>
                <w:rFonts w:hint="eastAsia" w:ascii="宋体" w:hAnsi="宋体" w:cs="宋体"/>
              </w:rPr>
              <w:t>≤0.2 mg/L</w:t>
            </w:r>
          </w:p>
        </w:tc>
      </w:tr>
      <w:tr w14:paraId="5E48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Merge w:val="continue"/>
            <w:vAlign w:val="center"/>
          </w:tcPr>
          <w:p w14:paraId="1BEE809D">
            <w:pPr>
              <w:widowControl/>
              <w:spacing w:line="360" w:lineRule="auto"/>
              <w:ind w:firstLine="420" w:firstLineChars="200"/>
              <w:jc w:val="center"/>
              <w:rPr>
                <w:rFonts w:ascii="宋体" w:hAnsi="宋体" w:cs="宋体"/>
              </w:rPr>
            </w:pPr>
          </w:p>
        </w:tc>
        <w:tc>
          <w:tcPr>
            <w:tcW w:w="3074" w:type="dxa"/>
            <w:vAlign w:val="center"/>
          </w:tcPr>
          <w:p w14:paraId="034F106C">
            <w:pPr>
              <w:widowControl/>
              <w:spacing w:line="360" w:lineRule="auto"/>
              <w:ind w:firstLine="420" w:firstLineChars="200"/>
              <w:jc w:val="center"/>
              <w:rPr>
                <w:rFonts w:ascii="宋体" w:hAnsi="宋体" w:cs="宋体"/>
              </w:rPr>
            </w:pPr>
            <w:r>
              <w:rPr>
                <w:rFonts w:hint="eastAsia" w:ascii="宋体" w:hAnsi="宋体" w:cs="宋体"/>
              </w:rPr>
              <w:t>水样浓度≥2.0 mg/L</w:t>
            </w:r>
          </w:p>
        </w:tc>
        <w:tc>
          <w:tcPr>
            <w:tcW w:w="3074" w:type="dxa"/>
            <w:vAlign w:val="center"/>
          </w:tcPr>
          <w:p w14:paraId="3F02150D">
            <w:pPr>
              <w:widowControl/>
              <w:spacing w:line="360" w:lineRule="auto"/>
              <w:ind w:firstLine="420" w:firstLineChars="200"/>
              <w:jc w:val="center"/>
              <w:rPr>
                <w:rFonts w:ascii="宋体" w:hAnsi="宋体" w:cs="宋体"/>
              </w:rPr>
            </w:pPr>
            <w:r>
              <w:rPr>
                <w:rFonts w:hint="eastAsia" w:ascii="宋体" w:hAnsi="宋体" w:cs="宋体"/>
              </w:rPr>
              <w:t>≤10.0%</w:t>
            </w:r>
          </w:p>
        </w:tc>
      </w:tr>
      <w:tr w14:paraId="29C4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9" w:type="dxa"/>
            <w:vAlign w:val="center"/>
          </w:tcPr>
          <w:p w14:paraId="0C67F960">
            <w:pPr>
              <w:widowControl/>
              <w:spacing w:line="360" w:lineRule="auto"/>
              <w:ind w:firstLine="420" w:firstLineChars="200"/>
              <w:jc w:val="center"/>
              <w:rPr>
                <w:rFonts w:ascii="宋体" w:hAnsi="宋体" w:cs="宋体"/>
              </w:rPr>
            </w:pPr>
            <w:r>
              <w:rPr>
                <w:rFonts w:hint="eastAsia" w:ascii="宋体" w:hAnsi="宋体" w:cs="宋体"/>
              </w:rPr>
              <w:t>最小维护周期</w:t>
            </w:r>
          </w:p>
        </w:tc>
        <w:tc>
          <w:tcPr>
            <w:tcW w:w="6148" w:type="dxa"/>
            <w:gridSpan w:val="2"/>
            <w:vAlign w:val="center"/>
          </w:tcPr>
          <w:p w14:paraId="0E4E79D5">
            <w:pPr>
              <w:widowControl/>
              <w:spacing w:line="360" w:lineRule="auto"/>
              <w:ind w:firstLine="420" w:firstLineChars="200"/>
              <w:jc w:val="center"/>
              <w:rPr>
                <w:rFonts w:ascii="宋体" w:hAnsi="宋体" w:cs="宋体"/>
              </w:rPr>
            </w:pPr>
            <w:r>
              <w:rPr>
                <w:rFonts w:hint="eastAsia" w:ascii="宋体" w:hAnsi="宋体" w:cs="宋体"/>
              </w:rPr>
              <w:t>≥168h</w:t>
            </w:r>
          </w:p>
        </w:tc>
      </w:tr>
    </w:tbl>
    <w:p w14:paraId="36AB5C89">
      <w:pPr>
        <w:spacing w:line="360" w:lineRule="auto"/>
        <w:rPr>
          <w:rFonts w:ascii="宋体" w:hAnsi="宋体" w:cs="宋体"/>
        </w:rPr>
      </w:pPr>
    </w:p>
    <w:p w14:paraId="768EB6A0">
      <w:pPr>
        <w:spacing w:line="360" w:lineRule="auto"/>
        <w:rPr>
          <w:rFonts w:ascii="宋体" w:hAnsi="宋体" w:cs="宋体"/>
        </w:rPr>
      </w:pPr>
      <w:bookmarkStart w:id="57" w:name="_Toc8128"/>
      <w:r>
        <w:rPr>
          <w:rFonts w:hint="eastAsia" w:ascii="宋体" w:hAnsi="宋体" w:cs="宋体"/>
        </w:rPr>
        <w:t>3.4总磷水质自动分析仪</w:t>
      </w:r>
      <w:bookmarkEnd w:id="57"/>
    </w:p>
    <w:tbl>
      <w:tblPr>
        <w:tblStyle w:val="28"/>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1"/>
        <w:gridCol w:w="4142"/>
      </w:tblGrid>
      <w:tr w14:paraId="644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534E1C9A">
            <w:pPr>
              <w:widowControl/>
              <w:spacing w:line="360" w:lineRule="auto"/>
              <w:ind w:firstLine="422" w:firstLineChars="200"/>
              <w:jc w:val="center"/>
              <w:rPr>
                <w:rFonts w:ascii="宋体" w:hAnsi="宋体" w:cs="宋体"/>
                <w:b/>
              </w:rPr>
            </w:pPr>
            <w:r>
              <w:rPr>
                <w:rFonts w:hint="eastAsia" w:ascii="宋体" w:hAnsi="宋体" w:cs="宋体"/>
                <w:b/>
              </w:rPr>
              <w:t>项目</w:t>
            </w:r>
          </w:p>
        </w:tc>
        <w:tc>
          <w:tcPr>
            <w:tcW w:w="4142" w:type="dxa"/>
            <w:vAlign w:val="center"/>
          </w:tcPr>
          <w:p w14:paraId="3EE8EC58">
            <w:pPr>
              <w:widowControl/>
              <w:spacing w:line="360" w:lineRule="auto"/>
              <w:ind w:firstLine="422" w:firstLineChars="200"/>
              <w:jc w:val="center"/>
              <w:rPr>
                <w:rFonts w:ascii="宋体" w:hAnsi="宋体" w:cs="宋体"/>
                <w:b/>
              </w:rPr>
            </w:pPr>
            <w:r>
              <w:rPr>
                <w:rFonts w:hint="eastAsia" w:ascii="宋体" w:hAnsi="宋体" w:cs="宋体"/>
                <w:b/>
              </w:rPr>
              <w:t>技术指标</w:t>
            </w:r>
          </w:p>
        </w:tc>
      </w:tr>
      <w:tr w14:paraId="2CE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495E70B9">
            <w:pPr>
              <w:widowControl/>
              <w:spacing w:line="360" w:lineRule="auto"/>
              <w:ind w:firstLine="420" w:firstLineChars="200"/>
              <w:jc w:val="center"/>
              <w:rPr>
                <w:rFonts w:ascii="宋体" w:hAnsi="宋体" w:cs="宋体"/>
              </w:rPr>
            </w:pPr>
            <w:r>
              <w:rPr>
                <w:rFonts w:hint="eastAsia" w:ascii="宋体" w:hAnsi="宋体" w:cs="宋体"/>
              </w:rPr>
              <w:t>测定原理</w:t>
            </w:r>
          </w:p>
        </w:tc>
        <w:tc>
          <w:tcPr>
            <w:tcW w:w="4142" w:type="dxa"/>
            <w:vAlign w:val="center"/>
          </w:tcPr>
          <w:p w14:paraId="14C3F2B8">
            <w:pPr>
              <w:widowControl/>
              <w:spacing w:line="360" w:lineRule="auto"/>
              <w:ind w:firstLine="420" w:firstLineChars="200"/>
              <w:jc w:val="center"/>
              <w:rPr>
                <w:rFonts w:ascii="宋体" w:hAnsi="宋体" w:cs="宋体"/>
              </w:rPr>
            </w:pPr>
            <w:r>
              <w:rPr>
                <w:rFonts w:hint="eastAsia" w:ascii="宋体" w:hAnsi="宋体" w:cs="宋体"/>
              </w:rPr>
              <w:t>钼酸铵分光光度法</w:t>
            </w:r>
          </w:p>
        </w:tc>
      </w:tr>
      <w:tr w14:paraId="6970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40434C38">
            <w:pPr>
              <w:widowControl/>
              <w:spacing w:line="360" w:lineRule="auto"/>
              <w:ind w:firstLine="420" w:firstLineChars="200"/>
              <w:jc w:val="center"/>
              <w:rPr>
                <w:rFonts w:ascii="宋体" w:hAnsi="宋体" w:cs="宋体"/>
              </w:rPr>
            </w:pPr>
            <w:r>
              <w:rPr>
                <w:rFonts w:hint="eastAsia" w:ascii="宋体" w:hAnsi="宋体" w:cs="宋体"/>
              </w:rPr>
              <w:t>量程</w:t>
            </w:r>
          </w:p>
        </w:tc>
        <w:tc>
          <w:tcPr>
            <w:tcW w:w="4142" w:type="dxa"/>
            <w:vAlign w:val="center"/>
          </w:tcPr>
          <w:p w14:paraId="293E67AD">
            <w:pPr>
              <w:widowControl/>
              <w:spacing w:line="360" w:lineRule="auto"/>
              <w:ind w:firstLine="420" w:firstLineChars="200"/>
              <w:jc w:val="center"/>
              <w:rPr>
                <w:rFonts w:ascii="宋体" w:hAnsi="宋体" w:cs="宋体"/>
              </w:rPr>
            </w:pPr>
            <w:r>
              <w:rPr>
                <w:rFonts w:hint="eastAsia" w:ascii="宋体" w:hAnsi="宋体" w:cs="宋体"/>
              </w:rPr>
              <w:t>0～10mg/L，可调</w:t>
            </w:r>
          </w:p>
        </w:tc>
      </w:tr>
      <w:tr w14:paraId="71DE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60C4A909">
            <w:pPr>
              <w:widowControl/>
              <w:spacing w:line="360" w:lineRule="auto"/>
              <w:ind w:firstLine="420" w:firstLineChars="200"/>
              <w:jc w:val="center"/>
              <w:rPr>
                <w:rFonts w:ascii="宋体" w:hAnsi="宋体" w:cs="宋体"/>
              </w:rPr>
            </w:pPr>
            <w:r>
              <w:rPr>
                <w:rFonts w:hint="eastAsia" w:ascii="宋体" w:hAnsi="宋体" w:cs="宋体"/>
              </w:rPr>
              <w:t>零点漂移</w:t>
            </w:r>
          </w:p>
        </w:tc>
        <w:tc>
          <w:tcPr>
            <w:tcW w:w="4142" w:type="dxa"/>
            <w:vAlign w:val="center"/>
          </w:tcPr>
          <w:p w14:paraId="335AF5F7">
            <w:pPr>
              <w:widowControl/>
              <w:spacing w:line="360" w:lineRule="auto"/>
              <w:ind w:firstLine="420" w:firstLineChars="200"/>
              <w:jc w:val="center"/>
              <w:rPr>
                <w:rFonts w:ascii="宋体" w:hAnsi="宋体" w:cs="宋体"/>
              </w:rPr>
            </w:pPr>
            <w:r>
              <w:rPr>
                <w:rFonts w:hint="eastAsia" w:ascii="宋体" w:hAnsi="宋体" w:cs="宋体"/>
              </w:rPr>
              <w:t>±5%</w:t>
            </w:r>
          </w:p>
        </w:tc>
      </w:tr>
      <w:tr w14:paraId="77F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28BFB459">
            <w:pPr>
              <w:widowControl/>
              <w:spacing w:line="360" w:lineRule="auto"/>
              <w:ind w:firstLine="420" w:firstLineChars="200"/>
              <w:jc w:val="center"/>
              <w:rPr>
                <w:rFonts w:ascii="宋体" w:hAnsi="宋体" w:cs="宋体"/>
              </w:rPr>
            </w:pPr>
            <w:r>
              <w:rPr>
                <w:rFonts w:hint="eastAsia" w:ascii="宋体" w:hAnsi="宋体" w:cs="宋体"/>
              </w:rPr>
              <w:t>量程漂移</w:t>
            </w:r>
          </w:p>
        </w:tc>
        <w:tc>
          <w:tcPr>
            <w:tcW w:w="4142" w:type="dxa"/>
            <w:vAlign w:val="center"/>
          </w:tcPr>
          <w:p w14:paraId="27AA42D1">
            <w:pPr>
              <w:widowControl/>
              <w:spacing w:line="360" w:lineRule="auto"/>
              <w:ind w:firstLine="420" w:firstLineChars="200"/>
              <w:jc w:val="center"/>
              <w:rPr>
                <w:rFonts w:ascii="宋体" w:hAnsi="宋体" w:cs="宋体"/>
              </w:rPr>
            </w:pPr>
            <w:r>
              <w:rPr>
                <w:rFonts w:hint="eastAsia" w:ascii="宋体" w:hAnsi="宋体" w:cs="宋体"/>
              </w:rPr>
              <w:t>±5%</w:t>
            </w:r>
          </w:p>
        </w:tc>
      </w:tr>
      <w:tr w14:paraId="7BD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499AFAC3">
            <w:pPr>
              <w:widowControl/>
              <w:spacing w:line="360" w:lineRule="auto"/>
              <w:ind w:firstLine="420" w:firstLineChars="200"/>
              <w:jc w:val="center"/>
              <w:rPr>
                <w:rFonts w:ascii="宋体" w:hAnsi="宋体" w:cs="宋体"/>
              </w:rPr>
            </w:pPr>
            <w:r>
              <w:rPr>
                <w:rFonts w:hint="eastAsia" w:ascii="宋体" w:hAnsi="宋体" w:cs="宋体"/>
              </w:rPr>
              <w:t>直线性</w:t>
            </w:r>
          </w:p>
        </w:tc>
        <w:tc>
          <w:tcPr>
            <w:tcW w:w="4142" w:type="dxa"/>
            <w:vAlign w:val="center"/>
          </w:tcPr>
          <w:p w14:paraId="20809C07">
            <w:pPr>
              <w:widowControl/>
              <w:spacing w:line="360" w:lineRule="auto"/>
              <w:ind w:firstLine="420" w:firstLineChars="200"/>
              <w:jc w:val="center"/>
              <w:rPr>
                <w:rFonts w:ascii="宋体" w:hAnsi="宋体" w:cs="宋体"/>
              </w:rPr>
            </w:pPr>
            <w:r>
              <w:rPr>
                <w:rFonts w:hint="eastAsia" w:ascii="宋体" w:hAnsi="宋体" w:cs="宋体"/>
              </w:rPr>
              <w:t>±10%</w:t>
            </w:r>
          </w:p>
        </w:tc>
      </w:tr>
      <w:tr w14:paraId="6E9C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47951CED">
            <w:pPr>
              <w:widowControl/>
              <w:spacing w:line="360" w:lineRule="auto"/>
              <w:ind w:firstLine="420" w:firstLineChars="200"/>
              <w:jc w:val="center"/>
              <w:rPr>
                <w:rFonts w:ascii="宋体" w:hAnsi="宋体" w:cs="宋体"/>
              </w:rPr>
            </w:pPr>
            <w:r>
              <w:rPr>
                <w:rFonts w:hint="eastAsia" w:ascii="宋体" w:hAnsi="宋体" w:cs="宋体"/>
              </w:rPr>
              <w:t>重复性误差</w:t>
            </w:r>
          </w:p>
        </w:tc>
        <w:tc>
          <w:tcPr>
            <w:tcW w:w="4142" w:type="dxa"/>
            <w:vAlign w:val="center"/>
          </w:tcPr>
          <w:p w14:paraId="1058D498">
            <w:pPr>
              <w:widowControl/>
              <w:spacing w:line="360" w:lineRule="auto"/>
              <w:ind w:firstLine="420" w:firstLineChars="200"/>
              <w:jc w:val="center"/>
              <w:rPr>
                <w:rFonts w:ascii="宋体" w:hAnsi="宋体" w:cs="宋体"/>
              </w:rPr>
            </w:pPr>
            <w:r>
              <w:rPr>
                <w:rFonts w:hint="eastAsia" w:ascii="宋体" w:hAnsi="宋体" w:cs="宋体"/>
              </w:rPr>
              <w:t>±10%</w:t>
            </w:r>
          </w:p>
        </w:tc>
      </w:tr>
      <w:tr w14:paraId="3F97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228357A9">
            <w:pPr>
              <w:widowControl/>
              <w:spacing w:line="360" w:lineRule="auto"/>
              <w:ind w:firstLine="420" w:firstLineChars="200"/>
              <w:jc w:val="center"/>
              <w:rPr>
                <w:rFonts w:ascii="宋体" w:hAnsi="宋体" w:cs="宋体"/>
              </w:rPr>
            </w:pPr>
            <w:r>
              <w:rPr>
                <w:rFonts w:hint="eastAsia" w:ascii="宋体" w:hAnsi="宋体" w:cs="宋体"/>
              </w:rPr>
              <w:t>检出限</w:t>
            </w:r>
          </w:p>
        </w:tc>
        <w:tc>
          <w:tcPr>
            <w:tcW w:w="4142" w:type="dxa"/>
            <w:vAlign w:val="center"/>
          </w:tcPr>
          <w:p w14:paraId="3294C905">
            <w:pPr>
              <w:widowControl/>
              <w:spacing w:line="360" w:lineRule="auto"/>
              <w:ind w:firstLine="420" w:firstLineChars="200"/>
              <w:jc w:val="center"/>
              <w:rPr>
                <w:rFonts w:ascii="宋体" w:hAnsi="宋体" w:cs="宋体"/>
              </w:rPr>
            </w:pPr>
            <w:r>
              <w:rPr>
                <w:rFonts w:hint="eastAsia" w:ascii="宋体" w:hAnsi="宋体" w:cs="宋体"/>
              </w:rPr>
              <w:t>≤0.01mg/L</w:t>
            </w:r>
          </w:p>
        </w:tc>
      </w:tr>
      <w:tr w14:paraId="6771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2B6F707E">
            <w:pPr>
              <w:widowControl/>
              <w:spacing w:line="360" w:lineRule="auto"/>
              <w:ind w:firstLine="420" w:firstLineChars="200"/>
              <w:jc w:val="center"/>
              <w:rPr>
                <w:rFonts w:ascii="宋体" w:hAnsi="宋体" w:cs="宋体"/>
              </w:rPr>
            </w:pPr>
            <w:r>
              <w:rPr>
                <w:rFonts w:hint="eastAsia" w:ascii="宋体" w:hAnsi="宋体" w:cs="宋体"/>
              </w:rPr>
              <w:t>MTBF</w:t>
            </w:r>
          </w:p>
        </w:tc>
        <w:tc>
          <w:tcPr>
            <w:tcW w:w="4142" w:type="dxa"/>
            <w:vAlign w:val="center"/>
          </w:tcPr>
          <w:p w14:paraId="19270113">
            <w:pPr>
              <w:widowControl/>
              <w:spacing w:line="360" w:lineRule="auto"/>
              <w:ind w:firstLine="420" w:firstLineChars="200"/>
              <w:jc w:val="center"/>
              <w:rPr>
                <w:rFonts w:ascii="宋体" w:hAnsi="宋体" w:cs="宋体"/>
              </w:rPr>
            </w:pPr>
            <w:r>
              <w:rPr>
                <w:rFonts w:hint="eastAsia" w:ascii="宋体" w:hAnsi="宋体" w:cs="宋体"/>
              </w:rPr>
              <w:t>≥720h/次</w:t>
            </w:r>
          </w:p>
        </w:tc>
      </w:tr>
      <w:tr w14:paraId="28DD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1" w:type="dxa"/>
            <w:vAlign w:val="center"/>
          </w:tcPr>
          <w:p w14:paraId="3F2CEDA2">
            <w:pPr>
              <w:widowControl/>
              <w:spacing w:line="360" w:lineRule="auto"/>
              <w:ind w:firstLine="420" w:firstLineChars="200"/>
              <w:jc w:val="center"/>
              <w:rPr>
                <w:rFonts w:ascii="宋体" w:hAnsi="宋体" w:cs="宋体"/>
              </w:rPr>
            </w:pPr>
            <w:r>
              <w:rPr>
                <w:rFonts w:hint="eastAsia" w:ascii="宋体" w:hAnsi="宋体" w:cs="宋体"/>
              </w:rPr>
              <w:t>实际水样比对试验</w:t>
            </w:r>
          </w:p>
        </w:tc>
        <w:tc>
          <w:tcPr>
            <w:tcW w:w="4142" w:type="dxa"/>
            <w:vAlign w:val="center"/>
          </w:tcPr>
          <w:p w14:paraId="6491531B">
            <w:pPr>
              <w:widowControl/>
              <w:spacing w:line="360" w:lineRule="auto"/>
              <w:ind w:firstLine="420" w:firstLineChars="200"/>
              <w:jc w:val="center"/>
              <w:rPr>
                <w:rFonts w:ascii="宋体" w:hAnsi="宋体" w:cs="宋体"/>
              </w:rPr>
            </w:pPr>
            <w:r>
              <w:rPr>
                <w:rFonts w:hint="eastAsia" w:ascii="宋体" w:hAnsi="宋体" w:cs="宋体"/>
              </w:rPr>
              <w:t>±10%</w:t>
            </w:r>
          </w:p>
        </w:tc>
      </w:tr>
    </w:tbl>
    <w:p w14:paraId="7095C4D7">
      <w:pPr>
        <w:spacing w:line="360" w:lineRule="auto"/>
        <w:rPr>
          <w:rFonts w:ascii="宋体" w:hAnsi="宋体" w:cs="宋体"/>
        </w:rPr>
      </w:pPr>
      <w:r>
        <w:rPr>
          <w:rFonts w:hint="eastAsia" w:ascii="宋体" w:hAnsi="宋体" w:cs="宋体"/>
        </w:rPr>
        <w:t>3.5总氮水质自动分析仪</w:t>
      </w:r>
    </w:p>
    <w:tbl>
      <w:tblPr>
        <w:tblStyle w:val="2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14:paraId="4671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111" w:type="dxa"/>
            <w:vAlign w:val="center"/>
          </w:tcPr>
          <w:p w14:paraId="63A7BF19">
            <w:pPr>
              <w:widowControl/>
              <w:spacing w:line="360" w:lineRule="auto"/>
              <w:ind w:firstLine="422" w:firstLineChars="200"/>
              <w:jc w:val="center"/>
              <w:rPr>
                <w:rFonts w:ascii="宋体" w:hAnsi="宋体" w:cs="宋体"/>
                <w:b/>
              </w:rPr>
            </w:pPr>
            <w:r>
              <w:rPr>
                <w:rFonts w:hint="eastAsia" w:ascii="宋体" w:hAnsi="宋体" w:cs="宋体"/>
                <w:b/>
              </w:rPr>
              <w:t>项目</w:t>
            </w:r>
          </w:p>
        </w:tc>
        <w:tc>
          <w:tcPr>
            <w:tcW w:w="4111" w:type="dxa"/>
            <w:vAlign w:val="center"/>
          </w:tcPr>
          <w:p w14:paraId="68EB5F9F">
            <w:pPr>
              <w:widowControl/>
              <w:spacing w:line="360" w:lineRule="auto"/>
              <w:ind w:firstLine="422" w:firstLineChars="200"/>
              <w:jc w:val="center"/>
              <w:rPr>
                <w:rFonts w:ascii="宋体" w:hAnsi="宋体" w:cs="宋体"/>
                <w:b/>
              </w:rPr>
            </w:pPr>
            <w:r>
              <w:rPr>
                <w:rFonts w:hint="eastAsia" w:ascii="宋体" w:hAnsi="宋体" w:cs="宋体"/>
                <w:b/>
              </w:rPr>
              <w:t>技术指标</w:t>
            </w:r>
          </w:p>
        </w:tc>
      </w:tr>
      <w:tr w14:paraId="046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111" w:type="dxa"/>
            <w:vAlign w:val="center"/>
          </w:tcPr>
          <w:p w14:paraId="4F9773FC">
            <w:pPr>
              <w:widowControl/>
              <w:spacing w:line="360" w:lineRule="auto"/>
              <w:ind w:firstLine="420" w:firstLineChars="200"/>
              <w:jc w:val="center"/>
              <w:rPr>
                <w:rFonts w:ascii="宋体" w:hAnsi="宋体" w:cs="宋体"/>
              </w:rPr>
            </w:pPr>
            <w:r>
              <w:rPr>
                <w:rFonts w:hint="eastAsia" w:ascii="宋体" w:hAnsi="宋体" w:cs="宋体"/>
              </w:rPr>
              <w:t>测定原理</w:t>
            </w:r>
          </w:p>
        </w:tc>
        <w:tc>
          <w:tcPr>
            <w:tcW w:w="4111" w:type="dxa"/>
            <w:vAlign w:val="center"/>
          </w:tcPr>
          <w:p w14:paraId="755430DD">
            <w:pPr>
              <w:widowControl/>
              <w:spacing w:line="360" w:lineRule="auto"/>
              <w:ind w:firstLine="420" w:firstLineChars="200"/>
              <w:jc w:val="center"/>
              <w:rPr>
                <w:rFonts w:ascii="宋体" w:hAnsi="宋体" w:cs="宋体"/>
              </w:rPr>
            </w:pPr>
            <w:r>
              <w:rPr>
                <w:rFonts w:hint="eastAsia" w:ascii="宋体" w:hAnsi="宋体" w:cs="宋体"/>
              </w:rPr>
              <w:t>过硫酸钾消解-紫外分光光度法</w:t>
            </w:r>
          </w:p>
        </w:tc>
      </w:tr>
      <w:tr w14:paraId="3B09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511469F0">
            <w:pPr>
              <w:widowControl/>
              <w:spacing w:line="360" w:lineRule="auto"/>
              <w:ind w:firstLine="420" w:firstLineChars="200"/>
              <w:jc w:val="center"/>
              <w:rPr>
                <w:rFonts w:ascii="宋体" w:hAnsi="宋体" w:cs="宋体"/>
              </w:rPr>
            </w:pPr>
            <w:r>
              <w:rPr>
                <w:rFonts w:hint="eastAsia" w:ascii="宋体" w:hAnsi="宋体" w:cs="宋体"/>
              </w:rPr>
              <w:t>量程</w:t>
            </w:r>
          </w:p>
        </w:tc>
        <w:tc>
          <w:tcPr>
            <w:tcW w:w="4111" w:type="dxa"/>
            <w:vAlign w:val="center"/>
          </w:tcPr>
          <w:p w14:paraId="75261653">
            <w:pPr>
              <w:widowControl/>
              <w:spacing w:line="360" w:lineRule="auto"/>
              <w:ind w:firstLine="420" w:firstLineChars="200"/>
              <w:jc w:val="center"/>
              <w:rPr>
                <w:rFonts w:ascii="宋体" w:hAnsi="宋体" w:cs="宋体"/>
              </w:rPr>
            </w:pPr>
            <w:r>
              <w:rPr>
                <w:rFonts w:hint="eastAsia" w:ascii="宋体" w:hAnsi="宋体" w:cs="宋体"/>
              </w:rPr>
              <w:t>0～50mg/L，可调</w:t>
            </w:r>
          </w:p>
        </w:tc>
      </w:tr>
      <w:tr w14:paraId="4C12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233B31D0">
            <w:pPr>
              <w:widowControl/>
              <w:spacing w:line="360" w:lineRule="auto"/>
              <w:ind w:firstLine="420" w:firstLineChars="200"/>
              <w:jc w:val="center"/>
              <w:rPr>
                <w:rFonts w:ascii="宋体" w:hAnsi="宋体" w:cs="宋体"/>
              </w:rPr>
            </w:pPr>
            <w:r>
              <w:rPr>
                <w:rFonts w:hint="eastAsia" w:ascii="宋体" w:hAnsi="宋体" w:cs="宋体"/>
              </w:rPr>
              <w:t>零点漂移</w:t>
            </w:r>
          </w:p>
        </w:tc>
        <w:tc>
          <w:tcPr>
            <w:tcW w:w="4111" w:type="dxa"/>
            <w:vAlign w:val="center"/>
          </w:tcPr>
          <w:p w14:paraId="5E2B1807">
            <w:pPr>
              <w:widowControl/>
              <w:spacing w:line="360" w:lineRule="auto"/>
              <w:ind w:firstLine="420" w:firstLineChars="200"/>
              <w:jc w:val="center"/>
              <w:rPr>
                <w:rFonts w:ascii="宋体" w:hAnsi="宋体" w:cs="宋体"/>
              </w:rPr>
            </w:pPr>
            <w:r>
              <w:rPr>
                <w:rFonts w:hint="eastAsia" w:ascii="宋体" w:hAnsi="宋体" w:cs="宋体"/>
              </w:rPr>
              <w:t>±5%</w:t>
            </w:r>
          </w:p>
        </w:tc>
      </w:tr>
      <w:tr w14:paraId="34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11C28CDD">
            <w:pPr>
              <w:widowControl/>
              <w:spacing w:line="360" w:lineRule="auto"/>
              <w:ind w:firstLine="420" w:firstLineChars="200"/>
              <w:jc w:val="center"/>
              <w:rPr>
                <w:rFonts w:ascii="宋体" w:hAnsi="宋体" w:cs="宋体"/>
              </w:rPr>
            </w:pPr>
            <w:r>
              <w:rPr>
                <w:rFonts w:hint="eastAsia" w:ascii="宋体" w:hAnsi="宋体" w:cs="宋体"/>
              </w:rPr>
              <w:t>量程漂移</w:t>
            </w:r>
          </w:p>
        </w:tc>
        <w:tc>
          <w:tcPr>
            <w:tcW w:w="4111" w:type="dxa"/>
            <w:vAlign w:val="center"/>
          </w:tcPr>
          <w:p w14:paraId="216A5A60">
            <w:pPr>
              <w:widowControl/>
              <w:spacing w:line="360" w:lineRule="auto"/>
              <w:ind w:firstLine="420" w:firstLineChars="200"/>
              <w:jc w:val="center"/>
              <w:rPr>
                <w:rFonts w:ascii="宋体" w:hAnsi="宋体" w:cs="宋体"/>
              </w:rPr>
            </w:pPr>
            <w:r>
              <w:rPr>
                <w:rFonts w:hint="eastAsia" w:ascii="宋体" w:hAnsi="宋体" w:cs="宋体"/>
              </w:rPr>
              <w:t>±5%</w:t>
            </w:r>
          </w:p>
        </w:tc>
      </w:tr>
      <w:tr w14:paraId="331D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01EB428F">
            <w:pPr>
              <w:widowControl/>
              <w:spacing w:line="360" w:lineRule="auto"/>
              <w:ind w:firstLine="420" w:firstLineChars="200"/>
              <w:jc w:val="center"/>
              <w:rPr>
                <w:rFonts w:ascii="宋体" w:hAnsi="宋体" w:cs="宋体"/>
              </w:rPr>
            </w:pPr>
            <w:r>
              <w:rPr>
                <w:rFonts w:hint="eastAsia" w:ascii="宋体" w:hAnsi="宋体" w:cs="宋体"/>
              </w:rPr>
              <w:t>直线性</w:t>
            </w:r>
          </w:p>
        </w:tc>
        <w:tc>
          <w:tcPr>
            <w:tcW w:w="4111" w:type="dxa"/>
            <w:vAlign w:val="center"/>
          </w:tcPr>
          <w:p w14:paraId="5CEB7D14">
            <w:pPr>
              <w:widowControl/>
              <w:spacing w:line="360" w:lineRule="auto"/>
              <w:ind w:firstLine="420" w:firstLineChars="200"/>
              <w:jc w:val="center"/>
              <w:rPr>
                <w:rFonts w:ascii="宋体" w:hAnsi="宋体" w:cs="宋体"/>
              </w:rPr>
            </w:pPr>
            <w:r>
              <w:rPr>
                <w:rFonts w:hint="eastAsia" w:ascii="宋体" w:hAnsi="宋体" w:cs="宋体"/>
              </w:rPr>
              <w:t>±5%</w:t>
            </w:r>
          </w:p>
        </w:tc>
      </w:tr>
      <w:tr w14:paraId="5E25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4B073090">
            <w:pPr>
              <w:widowControl/>
              <w:spacing w:line="360" w:lineRule="auto"/>
              <w:ind w:firstLine="420" w:firstLineChars="200"/>
              <w:jc w:val="center"/>
              <w:rPr>
                <w:rFonts w:ascii="宋体" w:hAnsi="宋体" w:cs="宋体"/>
              </w:rPr>
            </w:pPr>
            <w:r>
              <w:rPr>
                <w:rFonts w:hint="eastAsia" w:ascii="宋体" w:hAnsi="宋体" w:cs="宋体"/>
              </w:rPr>
              <w:t>重复性</w:t>
            </w:r>
          </w:p>
        </w:tc>
        <w:tc>
          <w:tcPr>
            <w:tcW w:w="4111" w:type="dxa"/>
            <w:vAlign w:val="center"/>
          </w:tcPr>
          <w:p w14:paraId="130FCB13">
            <w:pPr>
              <w:widowControl/>
              <w:spacing w:line="360" w:lineRule="auto"/>
              <w:ind w:firstLine="420" w:firstLineChars="200"/>
              <w:jc w:val="center"/>
              <w:rPr>
                <w:rFonts w:ascii="宋体" w:hAnsi="宋体" w:cs="宋体"/>
              </w:rPr>
            </w:pPr>
            <w:r>
              <w:rPr>
                <w:rFonts w:hint="eastAsia" w:ascii="宋体" w:hAnsi="宋体" w:cs="宋体"/>
              </w:rPr>
              <w:t>±5%</w:t>
            </w:r>
          </w:p>
        </w:tc>
      </w:tr>
      <w:tr w14:paraId="02AE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7D3E26F6">
            <w:pPr>
              <w:widowControl/>
              <w:spacing w:line="360" w:lineRule="auto"/>
              <w:ind w:firstLine="420" w:firstLineChars="200"/>
              <w:jc w:val="center"/>
              <w:rPr>
                <w:rFonts w:ascii="宋体" w:hAnsi="宋体" w:cs="宋体"/>
              </w:rPr>
            </w:pPr>
            <w:r>
              <w:rPr>
                <w:rFonts w:hint="eastAsia" w:ascii="宋体" w:hAnsi="宋体" w:cs="宋体"/>
              </w:rPr>
              <w:t>检出限</w:t>
            </w:r>
          </w:p>
        </w:tc>
        <w:tc>
          <w:tcPr>
            <w:tcW w:w="4111" w:type="dxa"/>
            <w:vAlign w:val="center"/>
          </w:tcPr>
          <w:p w14:paraId="4C6F04AF">
            <w:pPr>
              <w:widowControl/>
              <w:spacing w:line="360" w:lineRule="auto"/>
              <w:ind w:firstLine="420" w:firstLineChars="200"/>
              <w:jc w:val="center"/>
              <w:rPr>
                <w:rFonts w:ascii="宋体" w:hAnsi="宋体" w:cs="宋体"/>
              </w:rPr>
            </w:pPr>
            <w:r>
              <w:rPr>
                <w:rFonts w:hint="eastAsia" w:ascii="宋体" w:hAnsi="宋体" w:cs="宋体"/>
              </w:rPr>
              <w:t>≤0.1mg/L</w:t>
            </w:r>
          </w:p>
        </w:tc>
      </w:tr>
      <w:tr w14:paraId="7369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39AAFB7F">
            <w:pPr>
              <w:widowControl/>
              <w:spacing w:line="360" w:lineRule="auto"/>
              <w:ind w:firstLine="420" w:firstLineChars="200"/>
              <w:jc w:val="center"/>
              <w:rPr>
                <w:rFonts w:ascii="宋体" w:hAnsi="宋体" w:cs="宋体"/>
              </w:rPr>
            </w:pPr>
            <w:r>
              <w:rPr>
                <w:rFonts w:hint="eastAsia" w:ascii="宋体" w:hAnsi="宋体" w:cs="宋体"/>
              </w:rPr>
              <w:t>MTBF</w:t>
            </w:r>
          </w:p>
        </w:tc>
        <w:tc>
          <w:tcPr>
            <w:tcW w:w="4111" w:type="dxa"/>
            <w:vAlign w:val="center"/>
          </w:tcPr>
          <w:p w14:paraId="12FF6596">
            <w:pPr>
              <w:widowControl/>
              <w:spacing w:line="360" w:lineRule="auto"/>
              <w:ind w:firstLine="420" w:firstLineChars="200"/>
              <w:jc w:val="center"/>
              <w:rPr>
                <w:rFonts w:ascii="宋体" w:hAnsi="宋体" w:cs="宋体"/>
              </w:rPr>
            </w:pPr>
            <w:r>
              <w:rPr>
                <w:rFonts w:hint="eastAsia" w:ascii="宋体" w:hAnsi="宋体" w:cs="宋体"/>
              </w:rPr>
              <w:t>≥720h/次</w:t>
            </w:r>
          </w:p>
        </w:tc>
      </w:tr>
      <w:tr w14:paraId="457D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1" w:type="dxa"/>
            <w:vAlign w:val="center"/>
          </w:tcPr>
          <w:p w14:paraId="6C70F7B8">
            <w:pPr>
              <w:widowControl/>
              <w:spacing w:line="360" w:lineRule="auto"/>
              <w:ind w:firstLine="420" w:firstLineChars="200"/>
              <w:jc w:val="center"/>
              <w:rPr>
                <w:rFonts w:ascii="宋体" w:hAnsi="宋体" w:cs="宋体"/>
              </w:rPr>
            </w:pPr>
            <w:r>
              <w:rPr>
                <w:rFonts w:hint="eastAsia" w:ascii="宋体" w:hAnsi="宋体" w:cs="宋体"/>
              </w:rPr>
              <w:t>实际水样比对试验</w:t>
            </w:r>
          </w:p>
        </w:tc>
        <w:tc>
          <w:tcPr>
            <w:tcW w:w="4111" w:type="dxa"/>
            <w:vAlign w:val="center"/>
          </w:tcPr>
          <w:p w14:paraId="3AA9AE52">
            <w:pPr>
              <w:widowControl/>
              <w:spacing w:line="360" w:lineRule="auto"/>
              <w:ind w:firstLine="420" w:firstLineChars="200"/>
              <w:jc w:val="center"/>
              <w:rPr>
                <w:rFonts w:ascii="宋体" w:hAnsi="宋体" w:cs="宋体"/>
              </w:rPr>
            </w:pPr>
            <w:r>
              <w:rPr>
                <w:rFonts w:hint="eastAsia" w:ascii="宋体" w:hAnsi="宋体" w:cs="宋体"/>
              </w:rPr>
              <w:t>≤±10%</w:t>
            </w:r>
          </w:p>
        </w:tc>
      </w:tr>
    </w:tbl>
    <w:p w14:paraId="7DBF43DE">
      <w:pPr>
        <w:spacing w:line="360" w:lineRule="auto"/>
        <w:rPr>
          <w:rFonts w:ascii="宋体" w:hAnsi="宋体" w:cs="宋体"/>
        </w:rPr>
      </w:pPr>
    </w:p>
    <w:p w14:paraId="4628AF7D">
      <w:pPr>
        <w:wordWrap w:val="0"/>
        <w:topLinePunct/>
        <w:spacing w:line="360" w:lineRule="auto"/>
        <w:ind w:firstLine="422" w:firstLineChars="200"/>
        <w:rPr>
          <w:rFonts w:ascii="宋体" w:hAnsi="宋体" w:cs="宋体"/>
          <w:b/>
          <w:lang w:val="zh-TW"/>
        </w:rPr>
      </w:pPr>
      <w:r>
        <w:rPr>
          <w:rFonts w:hint="eastAsia" w:ascii="宋体" w:hAnsi="宋体" w:cs="宋体"/>
          <w:b/>
        </w:rPr>
        <w:t>（四）</w:t>
      </w:r>
      <w:r>
        <w:rPr>
          <w:rFonts w:hint="eastAsia" w:ascii="宋体" w:hAnsi="宋体" w:cs="宋体"/>
          <w:b/>
          <w:lang w:val="zh-TW" w:eastAsia="zh-TW"/>
        </w:rPr>
        <w:t>系统集成要求</w:t>
      </w:r>
    </w:p>
    <w:p w14:paraId="76D8CAD3">
      <w:pPr>
        <w:spacing w:line="360" w:lineRule="auto"/>
        <w:ind w:firstLine="422" w:firstLineChars="200"/>
        <w:rPr>
          <w:rFonts w:ascii="宋体" w:hAnsi="宋体" w:cs="宋体"/>
          <w:b/>
          <w:bCs/>
        </w:rPr>
      </w:pPr>
      <w:r>
        <w:rPr>
          <w:rFonts w:hint="eastAsia" w:ascii="宋体" w:hAnsi="宋体" w:cs="宋体"/>
          <w:b/>
          <w:bCs/>
        </w:rPr>
        <w:t>4.1采水单元技术要求</w:t>
      </w:r>
    </w:p>
    <w:p w14:paraId="452F1FE8">
      <w:pPr>
        <w:spacing w:line="360" w:lineRule="auto"/>
        <w:ind w:firstLine="480"/>
        <w:rPr>
          <w:rFonts w:ascii="宋体" w:hAnsi="宋体" w:cs="宋体"/>
        </w:rPr>
      </w:pPr>
      <w:r>
        <w:rPr>
          <w:rFonts w:hint="eastAsia" w:ascii="宋体" w:hAnsi="宋体" w:cs="宋体"/>
        </w:rPr>
        <w:t>1、采水点位布设要求</w:t>
      </w:r>
    </w:p>
    <w:p w14:paraId="3E8B4187">
      <w:pPr>
        <w:spacing w:line="360" w:lineRule="auto"/>
        <w:ind w:firstLine="480"/>
        <w:rPr>
          <w:rFonts w:ascii="宋体" w:hAnsi="宋体" w:cs="宋体"/>
        </w:rPr>
      </w:pPr>
      <w:r>
        <w:rPr>
          <w:rFonts w:hint="eastAsia" w:ascii="宋体" w:hAnsi="宋体" w:cs="宋体"/>
        </w:rPr>
        <w:t>1.1采水点位一般选择在水质分布均匀，流速稳定的平直河段；</w:t>
      </w:r>
    </w:p>
    <w:p w14:paraId="2E3E356B">
      <w:pPr>
        <w:spacing w:line="360" w:lineRule="auto"/>
        <w:ind w:firstLine="480"/>
        <w:rPr>
          <w:rFonts w:ascii="宋体" w:hAnsi="宋体" w:cs="宋体"/>
        </w:rPr>
      </w:pPr>
      <w:r>
        <w:rPr>
          <w:rFonts w:hint="eastAsia" w:ascii="宋体" w:hAnsi="宋体" w:cs="宋体"/>
        </w:rPr>
        <w:t>1.2取水口位置一般应设在河流凸岸（冲刷岸），不能设在河流的漫滩处，避开湍流和容易造成淤积的部位，丰、枯水期离河岸的距离不得小于10m；</w:t>
      </w:r>
    </w:p>
    <w:p w14:paraId="6AC9CE4C">
      <w:pPr>
        <w:spacing w:line="360" w:lineRule="auto"/>
        <w:ind w:firstLine="480"/>
        <w:rPr>
          <w:rFonts w:ascii="宋体" w:hAnsi="宋体" w:cs="宋体"/>
        </w:rPr>
      </w:pPr>
      <w:r>
        <w:rPr>
          <w:rFonts w:hint="eastAsia" w:ascii="宋体" w:hAnsi="宋体" w:cs="宋体"/>
        </w:rPr>
        <w:t>1.3取水口应有良好的水力交换，不能 设在死水区、缓流区、回流区；</w:t>
      </w:r>
    </w:p>
    <w:p w14:paraId="0355A91B">
      <w:pPr>
        <w:spacing w:line="360" w:lineRule="auto"/>
        <w:ind w:firstLine="480"/>
        <w:rPr>
          <w:rFonts w:ascii="宋体" w:hAnsi="宋体" w:cs="宋体"/>
        </w:rPr>
      </w:pPr>
      <w:r>
        <w:rPr>
          <w:rFonts w:hint="eastAsia" w:ascii="宋体" w:hAnsi="宋体" w:cs="宋体"/>
        </w:rPr>
        <w:t>1.4取水点与小型站的距离一般不应超出100m，枯水期不超过150m，确因客观条件无法达到的，可根据实际情况进行调整，尽量缩短采水管路的距离，减少因采水管路过长对结果的影响；</w:t>
      </w:r>
    </w:p>
    <w:p w14:paraId="5851FB29">
      <w:pPr>
        <w:spacing w:line="360" w:lineRule="auto"/>
        <w:ind w:firstLine="480"/>
        <w:rPr>
          <w:rFonts w:ascii="宋体" w:hAnsi="宋体" w:cs="宋体"/>
        </w:rPr>
      </w:pPr>
      <w:r>
        <w:rPr>
          <w:rFonts w:hint="eastAsia" w:ascii="宋体" w:hAnsi="宋体" w:cs="宋体"/>
        </w:rPr>
        <w:t>1.5枯水季节采水点原则上水深不小于1m，采水点最大流速一般低于3m/s。如现场情况无法满足，供应商应根据现场实际情况予以解决，以满足采购人要求。</w:t>
      </w:r>
    </w:p>
    <w:p w14:paraId="0981C279">
      <w:pPr>
        <w:spacing w:line="360" w:lineRule="auto"/>
        <w:ind w:firstLine="480"/>
        <w:rPr>
          <w:rFonts w:ascii="宋体" w:hAnsi="宋体" w:cs="宋体"/>
        </w:rPr>
      </w:pPr>
      <w:r>
        <w:rPr>
          <w:rFonts w:hint="eastAsia" w:ascii="宋体" w:hAnsi="宋体" w:cs="宋体"/>
        </w:rPr>
        <w:t>2、采水技术要求</w:t>
      </w:r>
    </w:p>
    <w:p w14:paraId="2B1EB15E">
      <w:pPr>
        <w:spacing w:line="360" w:lineRule="auto"/>
        <w:ind w:firstLine="480"/>
        <w:rPr>
          <w:rFonts w:ascii="宋体" w:hAnsi="宋体" w:cs="宋体"/>
        </w:rPr>
      </w:pPr>
      <w:r>
        <w:rPr>
          <w:rFonts w:hint="eastAsia" w:ascii="宋体" w:hAnsi="宋体" w:cs="宋体"/>
        </w:rPr>
        <w:t>2.1采水设施应结合现场水文、地质条件确定合适的采水方式，符合《地表水和污水监测技术规范》（HJ/T915-2017）及《地表水水质自动监测站站房及采排水技术要求（试行）》的要求，保证运行的稳定性、水样的代表性、维护的方便性；</w:t>
      </w:r>
    </w:p>
    <w:p w14:paraId="002D4081">
      <w:pPr>
        <w:spacing w:line="360" w:lineRule="auto"/>
        <w:ind w:firstLine="480"/>
        <w:rPr>
          <w:rFonts w:ascii="宋体" w:hAnsi="宋体" w:cs="宋体"/>
        </w:rPr>
      </w:pPr>
      <w:r>
        <w:rPr>
          <w:rFonts w:hint="eastAsia" w:ascii="宋体" w:hAnsi="宋体" w:cs="宋体"/>
        </w:rPr>
        <w:t>2.2采水设施一般包括采水构筑物、采水泵、采水管道、清洗配套装置、防堵塞装置和保温配套装置；</w:t>
      </w:r>
    </w:p>
    <w:p w14:paraId="68C9A4B8">
      <w:pPr>
        <w:spacing w:line="360" w:lineRule="auto"/>
        <w:ind w:firstLine="480"/>
        <w:rPr>
          <w:rFonts w:ascii="宋体" w:hAnsi="宋体" w:cs="宋体"/>
        </w:rPr>
      </w:pPr>
      <w:r>
        <w:rPr>
          <w:rFonts w:hint="eastAsia" w:ascii="宋体" w:hAnsi="宋体" w:cs="宋体"/>
        </w:rPr>
        <w:t>2.3采样装置的吸水口原则上应设在水下0.5～1m范围内，并能够随水位变化适时调整位置，同时与水体底部保持足够的距离，防止底质淤泥对采样水质的影响；如水体深度不足0.5m，采水口位置应位于水深一半处；</w:t>
      </w:r>
    </w:p>
    <w:p w14:paraId="0F84E96F">
      <w:pPr>
        <w:spacing w:line="360" w:lineRule="auto"/>
        <w:ind w:firstLine="480"/>
        <w:rPr>
          <w:rFonts w:ascii="宋体" w:hAnsi="宋体" w:cs="宋体"/>
        </w:rPr>
      </w:pPr>
      <w:r>
        <w:rPr>
          <w:rFonts w:hint="eastAsia" w:ascii="宋体" w:hAnsi="宋体" w:cs="宋体"/>
        </w:rPr>
        <w:t>2.4采水系统应至少具备双泵/双管路轮换功能，配置双泵/双管路采水，一用一备；可进行自动或手动切换，满足实时不间断监测的要求；</w:t>
      </w:r>
    </w:p>
    <w:p w14:paraId="21A292D7">
      <w:pPr>
        <w:spacing w:line="360" w:lineRule="auto"/>
        <w:ind w:firstLine="480"/>
        <w:rPr>
          <w:rFonts w:ascii="宋体" w:hAnsi="宋体" w:cs="宋体"/>
        </w:rPr>
      </w:pPr>
      <w:r>
        <w:rPr>
          <w:rFonts w:hint="eastAsia" w:ascii="宋体" w:hAnsi="宋体" w:cs="宋体"/>
        </w:rPr>
        <w:t>2.5采水管道应设置防冻保温措施，以减少环境温度等因素对水样造成影响；</w:t>
      </w:r>
    </w:p>
    <w:p w14:paraId="11F080DB">
      <w:pPr>
        <w:spacing w:line="360" w:lineRule="auto"/>
        <w:ind w:firstLine="480"/>
        <w:rPr>
          <w:rFonts w:ascii="宋体" w:hAnsi="宋体" w:cs="宋体"/>
        </w:rPr>
      </w:pPr>
      <w:r>
        <w:rPr>
          <w:rFonts w:hint="eastAsia" w:ascii="宋体" w:hAnsi="宋体" w:cs="宋体"/>
        </w:rPr>
        <w:t>2.6采水管道材质应有足够的强度，具有良好的化学稳定性，不与水样中被测物产生物理和化学反应；</w:t>
      </w:r>
    </w:p>
    <w:p w14:paraId="1A30BC8B">
      <w:pPr>
        <w:spacing w:line="360" w:lineRule="auto"/>
        <w:ind w:firstLine="480"/>
        <w:rPr>
          <w:rFonts w:ascii="宋体" w:hAnsi="宋体" w:cs="宋体"/>
        </w:rPr>
      </w:pPr>
      <w:r>
        <w:rPr>
          <w:rFonts w:hint="eastAsia" w:ascii="宋体" w:hAnsi="宋体" w:cs="宋体"/>
        </w:rPr>
        <w:t>2.7采水管道应具有防意外堵塞和方便泥沙沉积后的清洗功能，管路应易于拆卸和清洗；</w:t>
      </w:r>
    </w:p>
    <w:p w14:paraId="705B648F">
      <w:pPr>
        <w:spacing w:line="360" w:lineRule="auto"/>
        <w:ind w:firstLine="480"/>
        <w:rPr>
          <w:rFonts w:ascii="宋体" w:hAnsi="宋体" w:cs="宋体"/>
        </w:rPr>
      </w:pPr>
      <w:r>
        <w:rPr>
          <w:rFonts w:hint="eastAsia" w:ascii="宋体" w:hAnsi="宋体" w:cs="宋体"/>
        </w:rPr>
        <w:t>2.8采水管道应有除藻和反清洗设备，可以通入清洗水进行自动反冲洗；</w:t>
      </w:r>
    </w:p>
    <w:p w14:paraId="3FDC0BEE">
      <w:pPr>
        <w:spacing w:line="360" w:lineRule="auto"/>
        <w:ind w:firstLine="480"/>
        <w:rPr>
          <w:rFonts w:ascii="宋体" w:hAnsi="宋体" w:cs="宋体"/>
        </w:rPr>
      </w:pPr>
      <w:r>
        <w:rPr>
          <w:rFonts w:hint="eastAsia" w:ascii="宋体" w:hAnsi="宋体" w:cs="宋体"/>
        </w:rPr>
        <w:t>2.9采水设施采集的样品应能保证水样代表性，集成干预核查应符合要求。</w:t>
      </w:r>
    </w:p>
    <w:p w14:paraId="32EB5D0E">
      <w:pPr>
        <w:spacing w:line="360" w:lineRule="auto"/>
        <w:ind w:firstLine="480"/>
        <w:rPr>
          <w:rFonts w:ascii="宋体" w:hAnsi="宋体" w:cs="宋体"/>
        </w:rPr>
      </w:pPr>
      <w:r>
        <w:rPr>
          <w:rFonts w:hint="eastAsia" w:ascii="宋体" w:hAnsi="宋体" w:cs="宋体"/>
        </w:rPr>
        <w:t>3、采水设备要求</w:t>
      </w:r>
    </w:p>
    <w:p w14:paraId="5290B8A0">
      <w:pPr>
        <w:spacing w:line="360" w:lineRule="auto"/>
        <w:ind w:firstLine="480"/>
        <w:rPr>
          <w:rFonts w:ascii="宋体" w:hAnsi="宋体" w:cs="宋体"/>
        </w:rPr>
      </w:pPr>
      <w:r>
        <w:rPr>
          <w:rFonts w:hint="eastAsia" w:ascii="宋体" w:hAnsi="宋体" w:cs="宋体"/>
        </w:rPr>
        <w:t>3.1采水泵</w:t>
      </w:r>
    </w:p>
    <w:p w14:paraId="7769CF16">
      <w:pPr>
        <w:spacing w:line="360" w:lineRule="auto"/>
        <w:ind w:firstLine="480"/>
        <w:rPr>
          <w:rFonts w:ascii="宋体" w:hAnsi="宋体" w:cs="宋体"/>
        </w:rPr>
      </w:pPr>
      <w:r>
        <w:rPr>
          <w:rFonts w:hint="eastAsia" w:ascii="宋体" w:hAnsi="宋体" w:cs="宋体"/>
        </w:rPr>
        <w:t>（1）采水泵优先选用清水潜水泵；当监测水体浊度过大时，应选择污水潜水泵。当取水头位置与站房的高差小于8m或平面距离小于80m可考虑选用离心泵或自吸泵。采水泵的选择须满足水质监测系统运行所需水量和水压的要求，根据现场采水距离、水位落差配置相应功率的采水泵。</w:t>
      </w:r>
    </w:p>
    <w:p w14:paraId="718A7FC8">
      <w:pPr>
        <w:spacing w:line="360" w:lineRule="auto"/>
        <w:ind w:firstLine="480"/>
        <w:rPr>
          <w:rFonts w:ascii="宋体" w:hAnsi="宋体" w:cs="宋体"/>
        </w:rPr>
      </w:pPr>
      <w:r>
        <w:rPr>
          <w:rFonts w:hint="eastAsia" w:ascii="宋体" w:hAnsi="宋体" w:cs="宋体"/>
        </w:rPr>
        <w:t>潜水泵：满足采水距离，具备安全的固定方式，能提供最大扬程、电压（380V或220V）和所需功率的参数。</w:t>
      </w:r>
    </w:p>
    <w:p w14:paraId="3123CE83">
      <w:pPr>
        <w:spacing w:line="360" w:lineRule="auto"/>
        <w:ind w:firstLine="480"/>
        <w:rPr>
          <w:rFonts w:ascii="宋体" w:hAnsi="宋体" w:cs="宋体"/>
        </w:rPr>
      </w:pPr>
      <w:r>
        <w:rPr>
          <w:rFonts w:hint="eastAsia" w:ascii="宋体" w:hAnsi="宋体" w:cs="宋体"/>
        </w:rPr>
        <w:t>（2）选用的材质应适应环境需要，应具备防腐、防漏等性能。</w:t>
      </w:r>
    </w:p>
    <w:p w14:paraId="46FD898E">
      <w:pPr>
        <w:spacing w:line="360" w:lineRule="auto"/>
        <w:ind w:firstLine="480"/>
        <w:rPr>
          <w:rFonts w:ascii="宋体" w:hAnsi="宋体" w:cs="宋体"/>
        </w:rPr>
      </w:pPr>
      <w:r>
        <w:rPr>
          <w:rFonts w:hint="eastAsia" w:ascii="宋体" w:hAnsi="宋体" w:cs="宋体"/>
        </w:rPr>
        <w:t>（3）按照一用一备原则，配备2个采水泵，提供电缆的材料。</w:t>
      </w:r>
    </w:p>
    <w:p w14:paraId="299E423E">
      <w:pPr>
        <w:spacing w:line="360" w:lineRule="auto"/>
        <w:ind w:firstLine="480"/>
        <w:rPr>
          <w:rFonts w:ascii="宋体" w:hAnsi="宋体" w:cs="宋体"/>
        </w:rPr>
      </w:pPr>
      <w:r>
        <w:rPr>
          <w:rFonts w:hint="eastAsia" w:ascii="宋体" w:hAnsi="宋体" w:cs="宋体"/>
        </w:rPr>
        <w:t>3.2采水管道</w:t>
      </w:r>
    </w:p>
    <w:p w14:paraId="2C1BB334">
      <w:pPr>
        <w:spacing w:line="360" w:lineRule="auto"/>
        <w:ind w:firstLine="480"/>
        <w:rPr>
          <w:rFonts w:ascii="宋体" w:hAnsi="宋体" w:cs="宋体"/>
        </w:rPr>
      </w:pPr>
      <w:r>
        <w:rPr>
          <w:rFonts w:hint="eastAsia" w:ascii="宋体" w:hAnsi="宋体" w:cs="宋体"/>
        </w:rPr>
        <w:t>（1）采水管道材质应有足够的强度，可以承受内压和外载荷，具有良好的化学稳定性、重量轻、耐磨耗和耐油性强。</w:t>
      </w:r>
    </w:p>
    <w:p w14:paraId="052A602E">
      <w:pPr>
        <w:spacing w:line="360" w:lineRule="auto"/>
        <w:ind w:firstLine="480"/>
        <w:rPr>
          <w:rFonts w:ascii="宋体" w:hAnsi="宋体" w:cs="宋体"/>
        </w:rPr>
      </w:pPr>
      <w:r>
        <w:rPr>
          <w:rFonts w:hint="eastAsia" w:ascii="宋体" w:hAnsi="宋体" w:cs="宋体"/>
        </w:rPr>
        <w:t>（2）采水完成后系统应具备自动排空管道并清洗的功能，清洗过程不对环境造成污染。</w:t>
      </w:r>
    </w:p>
    <w:p w14:paraId="650AAB9F">
      <w:pPr>
        <w:spacing w:line="360" w:lineRule="auto"/>
        <w:ind w:firstLine="480"/>
        <w:rPr>
          <w:rFonts w:ascii="宋体" w:hAnsi="宋体" w:cs="宋体"/>
        </w:rPr>
      </w:pPr>
      <w:r>
        <w:rPr>
          <w:rFonts w:hint="eastAsia" w:ascii="宋体" w:hAnsi="宋体" w:cs="宋体"/>
        </w:rPr>
        <w:t>（3）管路铺设深度原则上应满足当地防冻深度要求，对无法满足深度要求的，应采取伴热保温措施；采样管线铺设应提前预埋保护套管；回填后在管路施工铺设线路上应做好警示，防止其他施工误挖，保证管路使用安全。</w:t>
      </w:r>
    </w:p>
    <w:p w14:paraId="23F819BB">
      <w:pPr>
        <w:spacing w:line="360" w:lineRule="auto"/>
        <w:ind w:firstLine="480"/>
        <w:rPr>
          <w:rFonts w:ascii="宋体" w:hAnsi="宋体" w:cs="宋体"/>
        </w:rPr>
      </w:pPr>
      <w:r>
        <w:rPr>
          <w:rFonts w:hint="eastAsia" w:ascii="宋体" w:hAnsi="宋体" w:cs="宋体"/>
        </w:rPr>
        <w:t>（4）采水管径应大于DN25，采用耐用、耐热、耐压及环保材质，不改变水样代表性。</w:t>
      </w:r>
    </w:p>
    <w:p w14:paraId="79AF70A6">
      <w:pPr>
        <w:spacing w:line="360" w:lineRule="auto"/>
        <w:ind w:firstLine="480"/>
        <w:rPr>
          <w:rFonts w:ascii="宋体" w:hAnsi="宋体" w:cs="宋体"/>
        </w:rPr>
      </w:pPr>
      <w:r>
        <w:rPr>
          <w:rFonts w:hint="eastAsia" w:ascii="宋体" w:hAnsi="宋体" w:cs="宋体"/>
        </w:rPr>
        <w:t>（5）采水管道至少一用一备，不少于2条，采用可拆洗式采水管路，并装有活接头，易于拆卸和清洗。</w:t>
      </w:r>
    </w:p>
    <w:p w14:paraId="71E1661B">
      <w:pPr>
        <w:spacing w:line="360" w:lineRule="auto"/>
        <w:ind w:firstLine="480"/>
        <w:rPr>
          <w:rFonts w:ascii="宋体" w:hAnsi="宋体" w:cs="宋体"/>
        </w:rPr>
      </w:pPr>
      <w:r>
        <w:rPr>
          <w:rFonts w:hint="eastAsia" w:ascii="宋体" w:hAnsi="宋体" w:cs="宋体"/>
        </w:rPr>
        <w:t>（6）采水装置延长距离后，配备必要水泵电缆线。</w:t>
      </w:r>
    </w:p>
    <w:p w14:paraId="13F420BD">
      <w:pPr>
        <w:spacing w:line="360" w:lineRule="auto"/>
        <w:ind w:firstLine="480"/>
        <w:rPr>
          <w:rFonts w:ascii="宋体" w:hAnsi="宋体" w:cs="宋体"/>
        </w:rPr>
      </w:pPr>
      <w:r>
        <w:rPr>
          <w:rFonts w:hint="eastAsia" w:ascii="宋体" w:hAnsi="宋体" w:cs="宋体"/>
        </w:rPr>
        <w:t>3.3保温、防冻、防压、防淤、防藻要求</w:t>
      </w:r>
    </w:p>
    <w:p w14:paraId="526EA59D">
      <w:pPr>
        <w:spacing w:line="360" w:lineRule="auto"/>
        <w:ind w:firstLine="480"/>
        <w:rPr>
          <w:rFonts w:ascii="宋体" w:hAnsi="宋体" w:cs="宋体"/>
        </w:rPr>
      </w:pPr>
      <w:r>
        <w:rPr>
          <w:rFonts w:hint="eastAsia" w:ascii="宋体" w:hAnsi="宋体" w:cs="宋体"/>
        </w:rPr>
        <w:t>（1）保温结构应具有足够的机械强度以防止压力损坏，结构简单、施工方便、易于维修、拥有良好的防水性能等特点。</w:t>
      </w:r>
    </w:p>
    <w:p w14:paraId="74FC78CE">
      <w:pPr>
        <w:spacing w:line="360" w:lineRule="auto"/>
        <w:ind w:firstLine="480"/>
        <w:rPr>
          <w:rFonts w:ascii="宋体" w:hAnsi="宋体" w:cs="宋体"/>
        </w:rPr>
      </w:pPr>
      <w:r>
        <w:rPr>
          <w:rFonts w:hint="eastAsia" w:ascii="宋体" w:hAnsi="宋体" w:cs="宋体"/>
        </w:rPr>
        <w:t>（2）地面段管路通过外层敷设伴热带和保温棉实现保温和防冻功能；埋地段管路通过将管路敷设于当地冻土层以下，对管路起到防冻作用；也可采用深埋和排空方式。在采水管道经过水面冰冻层的一段，应安装电加热保温层，并有良好的防水性能。</w:t>
      </w:r>
    </w:p>
    <w:p w14:paraId="385F1FCF">
      <w:pPr>
        <w:spacing w:line="360" w:lineRule="auto"/>
        <w:ind w:firstLine="480"/>
        <w:rPr>
          <w:rFonts w:ascii="宋体" w:hAnsi="宋体" w:cs="宋体"/>
        </w:rPr>
      </w:pPr>
      <w:r>
        <w:rPr>
          <w:rFonts w:hint="eastAsia" w:ascii="宋体" w:hAnsi="宋体" w:cs="宋体"/>
        </w:rPr>
        <w:t>（3）经过道路的管路应敷设于预留的地沟或套管内，上部设置水泥盖板防止人为踩踏；经过道路的保护套管应选用热浸镀锌钢管或足够强度的优质PE管。</w:t>
      </w:r>
    </w:p>
    <w:p w14:paraId="0354DAC1">
      <w:pPr>
        <w:spacing w:line="360" w:lineRule="auto"/>
        <w:ind w:firstLine="480"/>
        <w:rPr>
          <w:rFonts w:ascii="宋体" w:hAnsi="宋体" w:cs="宋体"/>
        </w:rPr>
      </w:pPr>
      <w:r>
        <w:rPr>
          <w:rFonts w:hint="eastAsia" w:ascii="宋体" w:hAnsi="宋体" w:cs="宋体"/>
        </w:rPr>
        <w:t>（4）确保采水管道铺设平滑并具有一定坡度，尽可能减少弯头数量，避免管道内部存水。在系统设计时，设置反冲洗装置，以防止淤泥沉积和藻类聚集。</w:t>
      </w:r>
    </w:p>
    <w:p w14:paraId="4940D8C1">
      <w:pPr>
        <w:spacing w:line="360" w:lineRule="auto"/>
        <w:ind w:firstLine="480"/>
        <w:rPr>
          <w:rFonts w:ascii="宋体" w:hAnsi="宋体" w:cs="宋体"/>
        </w:rPr>
      </w:pPr>
      <w:r>
        <w:rPr>
          <w:rFonts w:hint="eastAsia" w:ascii="宋体" w:hAnsi="宋体" w:cs="宋体"/>
        </w:rPr>
        <w:t>（5）根据实际情况选择套管，套管可采用优质PE管或热浸镀锌钢管，水中套管应使用钢丝软管。</w:t>
      </w:r>
    </w:p>
    <w:p w14:paraId="34BAFD0B">
      <w:pPr>
        <w:spacing w:line="360" w:lineRule="auto"/>
        <w:ind w:firstLine="480"/>
        <w:rPr>
          <w:rFonts w:ascii="宋体" w:hAnsi="宋体" w:cs="宋体"/>
          <w:b/>
          <w:bCs/>
        </w:rPr>
      </w:pPr>
      <w:r>
        <w:rPr>
          <w:rFonts w:hint="eastAsia" w:ascii="宋体" w:hAnsi="宋体" w:cs="宋体"/>
          <w:b/>
          <w:bCs/>
        </w:rPr>
        <w:t>4.2配水及预处理单元技术要求</w:t>
      </w:r>
    </w:p>
    <w:p w14:paraId="7D39B592">
      <w:pPr>
        <w:spacing w:line="360" w:lineRule="auto"/>
        <w:ind w:firstLine="480"/>
        <w:rPr>
          <w:rFonts w:ascii="宋体" w:hAnsi="宋体" w:cs="宋体"/>
        </w:rPr>
      </w:pPr>
      <w:r>
        <w:rPr>
          <w:rFonts w:hint="eastAsia" w:ascii="宋体" w:hAnsi="宋体" w:cs="宋体"/>
        </w:rPr>
        <w:t>1.基本功能要求</w:t>
      </w:r>
    </w:p>
    <w:p w14:paraId="4E465534">
      <w:pPr>
        <w:spacing w:line="360" w:lineRule="auto"/>
        <w:ind w:firstLine="480"/>
        <w:rPr>
          <w:rFonts w:ascii="宋体" w:hAnsi="宋体" w:cs="宋体"/>
        </w:rPr>
      </w:pPr>
      <w:r>
        <w:rPr>
          <w:rFonts w:hint="eastAsia" w:ascii="宋体" w:hAnsi="宋体" w:cs="宋体"/>
        </w:rPr>
        <w:t>（1）配水管路设计合理，流向清晰，便于维护；保证仪器分析测试的水样应能代表断面水质情况并满足仪器测试需求；</w:t>
      </w:r>
    </w:p>
    <w:p w14:paraId="5704E33E">
      <w:pPr>
        <w:spacing w:line="360" w:lineRule="auto"/>
        <w:ind w:firstLine="480"/>
        <w:rPr>
          <w:rFonts w:ascii="宋体" w:hAnsi="宋体" w:cs="宋体"/>
        </w:rPr>
      </w:pPr>
      <w:r>
        <w:rPr>
          <w:rFonts w:hint="eastAsia" w:ascii="宋体" w:hAnsi="宋体" w:cs="宋体"/>
        </w:rPr>
        <w:t>（2）具备自动反清（吹）洗功能，防止菌类和藻类等微生物对样品污染或对系统工作造成不良影响，设计中不使用对环境产生污染的清洗方法；</w:t>
      </w:r>
    </w:p>
    <w:p w14:paraId="5442EA24">
      <w:pPr>
        <w:spacing w:line="360" w:lineRule="auto"/>
        <w:ind w:firstLine="480"/>
        <w:rPr>
          <w:rFonts w:ascii="宋体" w:hAnsi="宋体" w:cs="宋体"/>
        </w:rPr>
      </w:pPr>
      <w:r>
        <w:rPr>
          <w:rFonts w:hint="eastAsia" w:ascii="宋体" w:hAnsi="宋体" w:cs="宋体"/>
        </w:rPr>
        <w:t>（3）配水主管路采用串联方式，各仪器之间管路采用并联方式，每台仪器从各自的取样杯中取水，任何仪器的配水管路出现故障不能影响其他仪器的测试；</w:t>
      </w:r>
    </w:p>
    <w:p w14:paraId="22162E79">
      <w:pPr>
        <w:spacing w:line="360" w:lineRule="auto"/>
        <w:ind w:firstLine="480"/>
        <w:rPr>
          <w:rFonts w:ascii="宋体" w:hAnsi="宋体" w:cs="宋体"/>
        </w:rPr>
      </w:pPr>
      <w:r>
        <w:rPr>
          <w:rFonts w:hint="eastAsia" w:ascii="宋体" w:hAnsi="宋体" w:cs="宋体"/>
        </w:rPr>
        <w:t>（4）具备可扩展功能，自动站预留接水口、排水口以及水样比对实验用的手动取水口；</w:t>
      </w:r>
    </w:p>
    <w:p w14:paraId="14C1AFFD">
      <w:pPr>
        <w:spacing w:line="360" w:lineRule="auto"/>
        <w:ind w:firstLine="480"/>
        <w:rPr>
          <w:rFonts w:ascii="宋体" w:hAnsi="宋体" w:cs="宋体"/>
        </w:rPr>
      </w:pPr>
      <w:r>
        <w:rPr>
          <w:rFonts w:hint="eastAsia" w:ascii="宋体" w:hAnsi="宋体" w:cs="宋体"/>
        </w:rPr>
        <w:t>（5）能配合系统实现水样自动分配、自动预处理、故障自动报警、关键部件工作状态的显示和反控等功能；</w:t>
      </w:r>
    </w:p>
    <w:p w14:paraId="00E2DB77">
      <w:pPr>
        <w:spacing w:line="360" w:lineRule="auto"/>
        <w:ind w:firstLine="480"/>
        <w:rPr>
          <w:rFonts w:ascii="宋体" w:hAnsi="宋体" w:cs="宋体"/>
        </w:rPr>
      </w:pPr>
      <w:r>
        <w:rPr>
          <w:rFonts w:hint="eastAsia" w:ascii="宋体" w:hAnsi="宋体" w:cs="宋体"/>
        </w:rPr>
        <w:t>（6）配水单元的所有操作均可通过控制单元实现，并接受平台端的远程控制；</w:t>
      </w:r>
    </w:p>
    <w:p w14:paraId="597A7982">
      <w:pPr>
        <w:spacing w:line="360" w:lineRule="auto"/>
        <w:ind w:firstLine="480"/>
        <w:rPr>
          <w:rFonts w:ascii="宋体" w:hAnsi="宋体" w:cs="宋体"/>
        </w:rPr>
      </w:pPr>
      <w:r>
        <w:rPr>
          <w:rFonts w:hint="eastAsia" w:ascii="宋体" w:hAnsi="宋体" w:cs="宋体"/>
        </w:rPr>
        <w:t>（7）所选管材机械强度及化学稳定性好、使用寿命长、便于安装维护，不会对水样水质造成影响；管路内径、压力、流量、流速满足仪器分析需要，并留有余量；</w:t>
      </w:r>
    </w:p>
    <w:p w14:paraId="73EB3D3E">
      <w:pPr>
        <w:spacing w:line="360" w:lineRule="auto"/>
        <w:ind w:firstLine="480"/>
        <w:rPr>
          <w:rFonts w:ascii="宋体" w:hAnsi="宋体" w:cs="宋体"/>
        </w:rPr>
      </w:pPr>
      <w:r>
        <w:rPr>
          <w:rFonts w:hint="eastAsia" w:ascii="宋体" w:hAnsi="宋体" w:cs="宋体"/>
          <w:b/>
          <w:bCs/>
        </w:rPr>
        <w:t>*</w:t>
      </w:r>
      <w:r>
        <w:rPr>
          <w:rFonts w:hint="eastAsia" w:ascii="宋体" w:hAnsi="宋体" w:cs="宋体"/>
        </w:rPr>
        <w:t>（8）针对泥沙较大水体、暴雨期间、泄洪、丰水期等浊度影响较大的情况，系统应针对性的设计预处理旁路系统，并具备自动切换预处理系统工作功能。</w:t>
      </w:r>
    </w:p>
    <w:p w14:paraId="3B488087">
      <w:pPr>
        <w:spacing w:line="360" w:lineRule="auto"/>
        <w:ind w:firstLine="480"/>
        <w:rPr>
          <w:rFonts w:ascii="宋体" w:hAnsi="宋体" w:cs="宋体"/>
          <w:b/>
          <w:bCs/>
        </w:rPr>
      </w:pPr>
      <w:r>
        <w:rPr>
          <w:rFonts w:hint="eastAsia" w:ascii="宋体" w:hAnsi="宋体" w:cs="宋体"/>
          <w:b/>
          <w:bCs/>
        </w:rPr>
        <w:t>4.3控制单元技术要求</w:t>
      </w:r>
    </w:p>
    <w:p w14:paraId="1C7F2D3A">
      <w:pPr>
        <w:spacing w:line="360" w:lineRule="auto"/>
        <w:ind w:firstLine="480"/>
        <w:rPr>
          <w:rFonts w:ascii="宋体" w:hAnsi="宋体" w:cs="宋体"/>
        </w:rPr>
      </w:pPr>
      <w:r>
        <w:rPr>
          <w:rFonts w:hint="eastAsia" w:ascii="宋体" w:hAnsi="宋体" w:cs="宋体"/>
        </w:rPr>
        <w:t>1.基本功能要求</w:t>
      </w:r>
    </w:p>
    <w:p w14:paraId="694F0CD5">
      <w:pPr>
        <w:spacing w:line="360" w:lineRule="auto"/>
        <w:ind w:firstLine="480"/>
        <w:rPr>
          <w:rFonts w:ascii="宋体" w:hAnsi="宋体" w:cs="宋体"/>
        </w:rPr>
      </w:pPr>
      <w:r>
        <w:rPr>
          <w:rFonts w:hint="eastAsia" w:ascii="宋体" w:hAnsi="宋体" w:cs="宋体"/>
        </w:rPr>
        <w:t>（1）具有断电保护功能，应能够在断电时保存系统参数和历史数据，在来电时自动恢复系统；</w:t>
      </w:r>
    </w:p>
    <w:p w14:paraId="44872B1F">
      <w:pPr>
        <w:spacing w:line="360" w:lineRule="auto"/>
        <w:ind w:firstLine="480"/>
        <w:rPr>
          <w:rFonts w:ascii="宋体" w:hAnsi="宋体" w:cs="宋体"/>
        </w:rPr>
      </w:pPr>
      <w:r>
        <w:rPr>
          <w:rFonts w:hint="eastAsia" w:ascii="宋体" w:hAnsi="宋体" w:cs="宋体"/>
        </w:rPr>
        <w:t>（2）实现对单一控制点（阀、泵等）进行调试，对采水设施、配水及预处理单元、分析单元等的控制，并将控制点状态信息，以及水泵的开关状态等记录和显示；</w:t>
      </w:r>
    </w:p>
    <w:p w14:paraId="6DD96215">
      <w:pPr>
        <w:spacing w:line="360" w:lineRule="auto"/>
        <w:ind w:firstLine="480"/>
        <w:rPr>
          <w:rFonts w:ascii="宋体" w:hAnsi="宋体" w:cs="宋体"/>
        </w:rPr>
      </w:pPr>
      <w:r>
        <w:rPr>
          <w:rFonts w:hint="eastAsia" w:ascii="宋体" w:hAnsi="宋体" w:cs="宋体"/>
        </w:rPr>
        <w:t>（3）具备对自动分析仪器的启停、校时、校准、质控测试等控制功能；</w:t>
      </w:r>
    </w:p>
    <w:p w14:paraId="28123E64">
      <w:pPr>
        <w:spacing w:line="360" w:lineRule="auto"/>
        <w:ind w:firstLine="480"/>
        <w:rPr>
          <w:rFonts w:ascii="宋体" w:hAnsi="宋体" w:cs="宋体"/>
        </w:rPr>
      </w:pPr>
      <w:r>
        <w:rPr>
          <w:rFonts w:hint="eastAsia" w:ascii="宋体" w:hAnsi="宋体" w:cs="宋体"/>
        </w:rPr>
        <w:t>（4）控制器符合抗电磁辐射、电磁感应的相关规定，具备电源隔离和信号隔离措施；</w:t>
      </w:r>
    </w:p>
    <w:p w14:paraId="2C12756D">
      <w:pPr>
        <w:spacing w:line="360" w:lineRule="auto"/>
        <w:ind w:firstLine="480"/>
        <w:rPr>
          <w:rFonts w:ascii="宋体" w:hAnsi="宋体" w:cs="宋体"/>
        </w:rPr>
      </w:pPr>
      <w:r>
        <w:rPr>
          <w:rFonts w:hint="eastAsia" w:ascii="宋体" w:hAnsi="宋体" w:cs="宋体"/>
        </w:rPr>
        <w:t>（5）能够兼容视频监控设备并能实现对视频设备控制、校时、重新启动、参数设置、软件升级、远程维护等功能；</w:t>
      </w:r>
    </w:p>
    <w:p w14:paraId="47A88646">
      <w:pPr>
        <w:spacing w:line="360" w:lineRule="auto"/>
        <w:ind w:firstLine="480"/>
        <w:rPr>
          <w:rFonts w:ascii="宋体" w:hAnsi="宋体" w:cs="宋体"/>
        </w:rPr>
      </w:pPr>
      <w:r>
        <w:rPr>
          <w:rFonts w:hint="eastAsia" w:ascii="宋体" w:hAnsi="宋体" w:cs="宋体"/>
        </w:rPr>
        <w:t>（6）具备参数设置功能，能够对小数位、单位、仪器测定上下限、报警（超标）上下限等进行设置；</w:t>
      </w:r>
    </w:p>
    <w:p w14:paraId="7E6A9C77">
      <w:pPr>
        <w:spacing w:line="360" w:lineRule="auto"/>
        <w:ind w:firstLine="480"/>
        <w:rPr>
          <w:rFonts w:ascii="宋体" w:hAnsi="宋体" w:cs="宋体"/>
        </w:rPr>
      </w:pPr>
      <w:r>
        <w:rPr>
          <w:rFonts w:hint="eastAsia" w:ascii="宋体" w:hAnsi="宋体" w:cs="宋体"/>
        </w:rPr>
        <w:t>（7）具备各仪器监测结果、状态参数、运行流程、报警信息等显示的功能；</w:t>
      </w:r>
    </w:p>
    <w:p w14:paraId="016115EC">
      <w:pPr>
        <w:spacing w:line="360" w:lineRule="auto"/>
        <w:ind w:firstLine="480"/>
        <w:rPr>
          <w:rFonts w:ascii="宋体" w:hAnsi="宋体" w:cs="宋体"/>
        </w:rPr>
      </w:pPr>
      <w:r>
        <w:rPr>
          <w:rFonts w:hint="eastAsia" w:ascii="宋体" w:hAnsi="宋体" w:cs="宋体"/>
        </w:rPr>
        <w:t>（8）具有三级权限管理功能；</w:t>
      </w:r>
    </w:p>
    <w:p w14:paraId="5683E550">
      <w:pPr>
        <w:spacing w:line="360" w:lineRule="auto"/>
        <w:ind w:firstLine="480"/>
        <w:rPr>
          <w:rFonts w:ascii="宋体" w:hAnsi="宋体" w:cs="宋体"/>
        </w:rPr>
      </w:pPr>
      <w:r>
        <w:rPr>
          <w:rFonts w:hint="eastAsia" w:ascii="宋体" w:hAnsi="宋体" w:cs="宋体"/>
          <w:b/>
          <w:bCs/>
        </w:rPr>
        <w:t>*</w:t>
      </w:r>
      <w:r>
        <w:rPr>
          <w:rFonts w:hint="eastAsia" w:ascii="宋体" w:hAnsi="宋体" w:cs="宋体"/>
        </w:rPr>
        <w:t>（9）具有监测数据查询、导出、自动备份功能，可分类查询水质周期数据、质控数据（空白测试数据、标样核查数据、加标回收率数据等），及每条数据对应的系统与仪器日志、流程信息。具有监测数据查询功能、数据分类功能，存储不少于1年的原始数据和运行日志；</w:t>
      </w:r>
    </w:p>
    <w:p w14:paraId="62C5997C">
      <w:pPr>
        <w:spacing w:line="360" w:lineRule="auto"/>
        <w:ind w:firstLine="480"/>
        <w:rPr>
          <w:rFonts w:ascii="宋体" w:hAnsi="宋体" w:cs="宋体"/>
        </w:rPr>
      </w:pPr>
      <w:r>
        <w:rPr>
          <w:rFonts w:hint="eastAsia" w:ascii="宋体" w:hAnsi="宋体" w:cs="宋体"/>
          <w:b/>
          <w:bCs/>
        </w:rPr>
        <w:t>*</w:t>
      </w:r>
      <w:r>
        <w:rPr>
          <w:rFonts w:hint="eastAsia" w:ascii="宋体" w:hAnsi="宋体" w:cs="宋体"/>
        </w:rPr>
        <w:t>（10）具有工控机软关机功能，即断电后 UPS 电量耗完前，基站软件触发操作系统正常关机，以防止强制断电造成的硬盘损坏或数据库损坏；</w:t>
      </w:r>
    </w:p>
    <w:p w14:paraId="6E63FF6C">
      <w:pPr>
        <w:spacing w:line="360" w:lineRule="auto"/>
        <w:ind w:firstLine="480"/>
        <w:rPr>
          <w:rFonts w:ascii="宋体" w:hAnsi="宋体" w:cs="宋体"/>
        </w:rPr>
      </w:pPr>
      <w:r>
        <w:rPr>
          <w:rFonts w:hint="eastAsia" w:ascii="宋体" w:hAnsi="宋体" w:cs="宋体"/>
        </w:rPr>
        <w:t>（11）能够实时采集视频信息并传输至中心平台；</w:t>
      </w:r>
    </w:p>
    <w:p w14:paraId="0DDFB52A">
      <w:pPr>
        <w:spacing w:line="360" w:lineRule="auto"/>
        <w:ind w:firstLine="480"/>
        <w:rPr>
          <w:rFonts w:ascii="宋体" w:hAnsi="宋体" w:cs="宋体"/>
        </w:rPr>
      </w:pPr>
      <w:r>
        <w:rPr>
          <w:rFonts w:hint="eastAsia" w:ascii="宋体" w:hAnsi="宋体" w:cs="宋体"/>
        </w:rPr>
        <w:t>（12）采用无线、有线的通讯方式满足数据传输要求；</w:t>
      </w:r>
    </w:p>
    <w:p w14:paraId="662A6699">
      <w:pPr>
        <w:spacing w:line="360" w:lineRule="auto"/>
        <w:ind w:firstLine="480"/>
        <w:rPr>
          <w:rFonts w:ascii="宋体" w:hAnsi="宋体" w:cs="宋体"/>
        </w:rPr>
      </w:pPr>
      <w:r>
        <w:rPr>
          <w:rFonts w:hint="eastAsia" w:ascii="宋体" w:hAnsi="宋体" w:cs="宋体"/>
        </w:rPr>
        <w:t>（13）具备对通信链路的自动诊断功能，具备超时补发功能；</w:t>
      </w:r>
    </w:p>
    <w:p w14:paraId="27DE989F">
      <w:pPr>
        <w:spacing w:line="360" w:lineRule="auto"/>
        <w:ind w:firstLine="480"/>
        <w:rPr>
          <w:rFonts w:ascii="宋体" w:hAnsi="宋体" w:cs="宋体"/>
        </w:rPr>
      </w:pPr>
      <w:r>
        <w:rPr>
          <w:rFonts w:hint="eastAsia" w:ascii="宋体" w:hAnsi="宋体" w:cs="宋体"/>
        </w:rPr>
        <w:t>2.系统集成技术要求</w:t>
      </w:r>
    </w:p>
    <w:p w14:paraId="0827D2FD">
      <w:pPr>
        <w:spacing w:line="360" w:lineRule="auto"/>
        <w:ind w:firstLine="480"/>
        <w:rPr>
          <w:rFonts w:ascii="宋体" w:hAnsi="宋体" w:cs="宋体"/>
        </w:rPr>
      </w:pPr>
      <w:r>
        <w:rPr>
          <w:rFonts w:hint="eastAsia" w:ascii="宋体" w:hAnsi="宋体" w:cs="宋体"/>
        </w:rPr>
        <w:t>（1）具有仪器及系统运行周期（连续或间歇）设置功能，至少具备常规、应急、质控等多种运行模式；</w:t>
      </w:r>
    </w:p>
    <w:p w14:paraId="461F9252">
      <w:pPr>
        <w:spacing w:line="360" w:lineRule="auto"/>
        <w:ind w:firstLine="480"/>
        <w:rPr>
          <w:rFonts w:ascii="宋体" w:hAnsi="宋体" w:cs="宋体"/>
        </w:rPr>
      </w:pPr>
      <w:r>
        <w:rPr>
          <w:rFonts w:hint="eastAsia" w:ascii="宋体" w:hAnsi="宋体" w:cs="宋体"/>
        </w:rPr>
        <w:t>（2）系统集成管路具备断电再度通电后自动排空水样、自动清洗管路、自动复位到待机状态的功能；</w:t>
      </w:r>
    </w:p>
    <w:p w14:paraId="68BF8631">
      <w:pPr>
        <w:spacing w:line="360" w:lineRule="auto"/>
        <w:ind w:firstLine="480"/>
        <w:rPr>
          <w:rFonts w:ascii="宋体" w:hAnsi="宋体" w:cs="宋体"/>
        </w:rPr>
      </w:pPr>
      <w:r>
        <w:rPr>
          <w:rFonts w:hint="eastAsia" w:ascii="宋体" w:hAnsi="宋体" w:cs="宋体"/>
        </w:rPr>
        <w:t>（3）系统应具有良好的扩展性和兼容性，根据实际应用需要，可增加新的监测参数，并方便仪器安装与接入；</w:t>
      </w:r>
    </w:p>
    <w:p w14:paraId="2EBC6C93">
      <w:pPr>
        <w:spacing w:line="360" w:lineRule="auto"/>
        <w:ind w:firstLine="480"/>
        <w:rPr>
          <w:rFonts w:ascii="宋体" w:hAnsi="宋体" w:cs="宋体"/>
        </w:rPr>
      </w:pPr>
      <w:r>
        <w:rPr>
          <w:rFonts w:hint="eastAsia" w:ascii="宋体" w:hAnsi="宋体" w:cs="宋体"/>
        </w:rPr>
        <w:t>（4）具有异常信息记录、上传功能：如采水故障、部件故障、超量程报警、超标报警、缺试剂报警等信息；</w:t>
      </w:r>
    </w:p>
    <w:p w14:paraId="71568FB1">
      <w:pPr>
        <w:spacing w:line="360" w:lineRule="auto"/>
        <w:ind w:firstLine="480"/>
        <w:rPr>
          <w:rFonts w:ascii="宋体" w:hAnsi="宋体" w:cs="宋体"/>
        </w:rPr>
      </w:pPr>
      <w:r>
        <w:rPr>
          <w:rFonts w:hint="eastAsia" w:ascii="宋体" w:hAnsi="宋体" w:cs="宋体"/>
        </w:rPr>
        <w:t>（5）必须支持《国家地表水监测系统通信协议技术要求》（总站水字〔2019〕649号）；</w:t>
      </w:r>
    </w:p>
    <w:p w14:paraId="11E682D9">
      <w:pPr>
        <w:spacing w:line="360" w:lineRule="auto"/>
        <w:ind w:firstLine="480"/>
        <w:rPr>
          <w:rFonts w:ascii="宋体" w:hAnsi="宋体" w:cs="宋体"/>
        </w:rPr>
      </w:pPr>
      <w:r>
        <w:rPr>
          <w:rFonts w:hint="eastAsia" w:ascii="宋体" w:hAnsi="宋体" w:cs="宋体"/>
        </w:rPr>
        <w:t>（6）具有仪器关键参数上传、远程设置功能，能接受远程控制指令，具体关键参数和指令按照《国家地表水监测系统通信协议技术要求》（总站水字〔2019〕649号）；</w:t>
      </w:r>
    </w:p>
    <w:p w14:paraId="4934113D">
      <w:pPr>
        <w:spacing w:line="360" w:lineRule="auto"/>
        <w:ind w:firstLine="480"/>
        <w:rPr>
          <w:rFonts w:ascii="宋体" w:hAnsi="宋体" w:cs="宋体"/>
        </w:rPr>
      </w:pPr>
      <w:r>
        <w:rPr>
          <w:rFonts w:hint="eastAsia" w:ascii="宋体" w:hAnsi="宋体" w:cs="宋体"/>
        </w:rPr>
        <w:t>（7）具有分析仪器及系统过程日志记录和环境参数记录功能，并能够上传至中心平台；</w:t>
      </w:r>
    </w:p>
    <w:p w14:paraId="112948CE">
      <w:pPr>
        <w:spacing w:line="360" w:lineRule="auto"/>
        <w:ind w:firstLine="480"/>
        <w:rPr>
          <w:rFonts w:ascii="宋体" w:hAnsi="宋体" w:cs="宋体"/>
        </w:rPr>
      </w:pPr>
      <w:r>
        <w:rPr>
          <w:rFonts w:hint="eastAsia" w:ascii="宋体" w:hAnsi="宋体" w:cs="宋体"/>
        </w:rPr>
        <w:t>（8）确保仪器、系统运行的监测数据和状态信息等稳定传输。</w:t>
      </w:r>
    </w:p>
    <w:p w14:paraId="0BBDE3AF">
      <w:pPr>
        <w:spacing w:line="360" w:lineRule="auto"/>
        <w:ind w:firstLine="480"/>
        <w:rPr>
          <w:rFonts w:ascii="宋体" w:hAnsi="宋体" w:cs="宋体"/>
        </w:rPr>
      </w:pPr>
      <w:r>
        <w:rPr>
          <w:rFonts w:hint="eastAsia" w:ascii="宋体" w:hAnsi="宋体" w:cs="宋体"/>
        </w:rPr>
        <w:t>（9）实现水质自动分析仪器进行自动核查、零点校准、标样校准等质控功能。</w:t>
      </w:r>
    </w:p>
    <w:p w14:paraId="5BE461DA">
      <w:pPr>
        <w:spacing w:line="360" w:lineRule="auto"/>
        <w:ind w:firstLine="480"/>
        <w:rPr>
          <w:rFonts w:ascii="宋体" w:hAnsi="宋体" w:cs="宋体"/>
        </w:rPr>
      </w:pPr>
      <w:r>
        <w:rPr>
          <w:rFonts w:hint="eastAsia" w:ascii="宋体" w:hAnsi="宋体" w:cs="宋体"/>
          <w:b/>
          <w:bCs/>
        </w:rPr>
        <w:t>*</w:t>
      </w:r>
      <w:r>
        <w:rPr>
          <w:rFonts w:hint="eastAsia" w:ascii="宋体" w:hAnsi="宋体" w:cs="宋体"/>
        </w:rPr>
        <w:t>（10）具有系统状态(测量、空闲、故障、维护等)显示；具备系统过程日志记录并上传(清洗外管路、取原水、取水成功启动仪器测试、进样管开始进样等以及时间节点显示)，对系统过程的关键节点有记录，满足系统数据溯源的要求；</w:t>
      </w:r>
    </w:p>
    <w:p w14:paraId="1BFC79C8">
      <w:pPr>
        <w:spacing w:line="360" w:lineRule="auto"/>
        <w:ind w:firstLine="480"/>
        <w:rPr>
          <w:rFonts w:ascii="宋体" w:hAnsi="宋体" w:cs="宋体"/>
        </w:rPr>
      </w:pPr>
      <w:r>
        <w:rPr>
          <w:rFonts w:hint="eastAsia" w:ascii="宋体" w:hAnsi="宋体" w:cs="宋体"/>
          <w:b/>
          <w:bCs/>
        </w:rPr>
        <w:t>*</w:t>
      </w:r>
      <w:r>
        <w:rPr>
          <w:rFonts w:hint="eastAsia" w:ascii="宋体" w:hAnsi="宋体" w:cs="宋体"/>
        </w:rPr>
        <w:t>（11）针对不同的水质情况(浊度、色度、泥沙等)，控制系统满足复杂水样的监测要求，具备抗浊度模式、抗色度模式、抗泥沙模式等，并可一键配置，还可灵活修改配置 PLC 的流程关键参数(如采水时间、沉降时间、清洗时间等)；</w:t>
      </w:r>
    </w:p>
    <w:p w14:paraId="70ACA61A">
      <w:pPr>
        <w:spacing w:line="360" w:lineRule="auto"/>
        <w:ind w:firstLine="480"/>
        <w:rPr>
          <w:rFonts w:ascii="宋体" w:hAnsi="宋体" w:cs="宋体"/>
        </w:rPr>
      </w:pPr>
      <w:r>
        <w:rPr>
          <w:rFonts w:hint="eastAsia" w:ascii="宋体" w:hAnsi="宋体" w:cs="宋体"/>
        </w:rPr>
        <w:t>4.硬件设备技术参数</w:t>
      </w:r>
    </w:p>
    <w:p w14:paraId="7C720D30">
      <w:pPr>
        <w:spacing w:line="360" w:lineRule="auto"/>
        <w:ind w:firstLine="480"/>
        <w:rPr>
          <w:rFonts w:ascii="宋体" w:hAnsi="宋体" w:cs="宋体"/>
        </w:rPr>
      </w:pPr>
      <w:r>
        <w:rPr>
          <w:rFonts w:hint="eastAsia" w:ascii="宋体" w:hAnsi="宋体" w:cs="宋体"/>
        </w:rPr>
        <w:t>4.1工业控制系统1套</w:t>
      </w:r>
    </w:p>
    <w:p w14:paraId="1F5072BA">
      <w:pPr>
        <w:spacing w:line="360" w:lineRule="auto"/>
        <w:ind w:firstLine="480"/>
        <w:rPr>
          <w:rFonts w:ascii="宋体" w:hAnsi="宋体" w:cs="宋体"/>
        </w:rPr>
      </w:pPr>
      <w:r>
        <w:rPr>
          <w:rFonts w:hint="eastAsia" w:ascii="宋体" w:hAnsi="宋体" w:cs="宋体"/>
        </w:rPr>
        <w:t>（1）主机</w:t>
      </w:r>
    </w:p>
    <w:p w14:paraId="45C06D0D">
      <w:pPr>
        <w:spacing w:line="360" w:lineRule="auto"/>
        <w:ind w:firstLine="480"/>
        <w:rPr>
          <w:rFonts w:ascii="宋体" w:hAnsi="宋体" w:cs="宋体"/>
        </w:rPr>
      </w:pPr>
      <w:r>
        <w:rPr>
          <w:rFonts w:hint="eastAsia" w:ascii="宋体" w:hAnsi="宋体" w:cs="宋体"/>
        </w:rPr>
        <w:t>CPU主频≥2.0GHz；</w:t>
      </w:r>
    </w:p>
    <w:p w14:paraId="3016DFC0">
      <w:pPr>
        <w:spacing w:line="360" w:lineRule="auto"/>
        <w:ind w:firstLine="480"/>
        <w:rPr>
          <w:rFonts w:ascii="宋体" w:hAnsi="宋体" w:cs="宋体"/>
        </w:rPr>
      </w:pPr>
      <w:r>
        <w:rPr>
          <w:rFonts w:hint="eastAsia" w:ascii="宋体" w:hAnsi="宋体" w:cs="宋体"/>
        </w:rPr>
        <w:t>内存≥2GB；</w:t>
      </w:r>
    </w:p>
    <w:p w14:paraId="6DA9AE2C">
      <w:pPr>
        <w:spacing w:line="360" w:lineRule="auto"/>
        <w:ind w:firstLine="480"/>
        <w:rPr>
          <w:rFonts w:ascii="宋体" w:hAnsi="宋体" w:cs="宋体"/>
        </w:rPr>
      </w:pPr>
      <w:r>
        <w:rPr>
          <w:rFonts w:hint="eastAsia" w:ascii="宋体" w:hAnsi="宋体" w:cs="宋体"/>
        </w:rPr>
        <w:t>硬盘容量≥500GB；</w:t>
      </w:r>
    </w:p>
    <w:p w14:paraId="54F9ECBF">
      <w:pPr>
        <w:spacing w:line="360" w:lineRule="auto"/>
        <w:ind w:firstLine="480"/>
        <w:rPr>
          <w:rFonts w:ascii="宋体" w:hAnsi="宋体" w:cs="宋体"/>
        </w:rPr>
      </w:pPr>
      <w:r>
        <w:rPr>
          <w:rFonts w:hint="eastAsia" w:ascii="宋体" w:hAnsi="宋体" w:cs="宋体"/>
        </w:rPr>
        <w:t>通讯接口：RS232/485COM口，不少于8个；</w:t>
      </w:r>
    </w:p>
    <w:p w14:paraId="214A36CA">
      <w:pPr>
        <w:spacing w:line="360" w:lineRule="auto"/>
        <w:ind w:firstLine="480"/>
        <w:rPr>
          <w:rFonts w:ascii="宋体" w:hAnsi="宋体" w:cs="宋体"/>
        </w:rPr>
      </w:pPr>
      <w:r>
        <w:rPr>
          <w:rFonts w:hint="eastAsia" w:ascii="宋体" w:hAnsi="宋体" w:cs="宋体"/>
        </w:rPr>
        <w:t>网口，不少于2个；</w:t>
      </w:r>
    </w:p>
    <w:p w14:paraId="3B9455DE">
      <w:pPr>
        <w:spacing w:line="360" w:lineRule="auto"/>
        <w:ind w:firstLine="480"/>
        <w:rPr>
          <w:rFonts w:ascii="宋体" w:hAnsi="宋体" w:cs="宋体"/>
        </w:rPr>
      </w:pPr>
      <w:r>
        <w:rPr>
          <w:rFonts w:hint="eastAsia" w:ascii="宋体" w:hAnsi="宋体" w:cs="宋体"/>
        </w:rPr>
        <w:t>（2）显示功能</w:t>
      </w:r>
    </w:p>
    <w:p w14:paraId="19ED0CBF">
      <w:pPr>
        <w:spacing w:line="360" w:lineRule="auto"/>
        <w:ind w:firstLine="480"/>
        <w:rPr>
          <w:rFonts w:ascii="宋体" w:hAnsi="宋体" w:cs="宋体"/>
        </w:rPr>
      </w:pPr>
      <w:r>
        <w:rPr>
          <w:rFonts w:hint="eastAsia" w:ascii="宋体" w:hAnsi="宋体" w:cs="宋体"/>
        </w:rPr>
        <w:t>液晶彩色显示功能，尺寸≥12英寸；</w:t>
      </w:r>
    </w:p>
    <w:p w14:paraId="6233BA01">
      <w:pPr>
        <w:spacing w:line="360" w:lineRule="auto"/>
        <w:ind w:firstLine="480"/>
        <w:rPr>
          <w:rFonts w:ascii="宋体" w:hAnsi="宋体" w:cs="宋体"/>
          <w:b/>
          <w:bCs/>
        </w:rPr>
      </w:pPr>
      <w:r>
        <w:rPr>
          <w:rFonts w:hint="eastAsia" w:ascii="宋体" w:hAnsi="宋体" w:cs="宋体"/>
          <w:b/>
          <w:bCs/>
        </w:rPr>
        <w:t>4.4数据采集传输单元技术要求</w:t>
      </w:r>
    </w:p>
    <w:p w14:paraId="12F49D3B">
      <w:pPr>
        <w:spacing w:line="360" w:lineRule="auto"/>
        <w:ind w:firstLine="480"/>
        <w:rPr>
          <w:rFonts w:ascii="宋体" w:hAnsi="宋体" w:cs="宋体"/>
        </w:rPr>
      </w:pPr>
      <w:r>
        <w:rPr>
          <w:rFonts w:hint="eastAsia" w:ascii="宋体" w:hAnsi="宋体" w:cs="宋体"/>
        </w:rPr>
        <w:t>1.基本功能要求</w:t>
      </w:r>
    </w:p>
    <w:p w14:paraId="330F042E">
      <w:pPr>
        <w:spacing w:line="360" w:lineRule="auto"/>
        <w:ind w:firstLine="480"/>
        <w:rPr>
          <w:rFonts w:ascii="宋体" w:hAnsi="宋体" w:cs="宋体"/>
        </w:rPr>
      </w:pPr>
      <w:r>
        <w:rPr>
          <w:rFonts w:hint="eastAsia" w:ascii="宋体" w:hAnsi="宋体" w:cs="宋体"/>
        </w:rPr>
        <w:t>（1）具有断电保护功能，须能够在断电时保存系统参数和历史数据，在来电时自动恢复系统；</w:t>
      </w:r>
    </w:p>
    <w:p w14:paraId="25C1A97E">
      <w:pPr>
        <w:spacing w:line="360" w:lineRule="auto"/>
        <w:ind w:firstLine="480"/>
        <w:rPr>
          <w:rFonts w:ascii="宋体" w:hAnsi="宋体" w:cs="宋体"/>
        </w:rPr>
      </w:pPr>
      <w:r>
        <w:rPr>
          <w:rFonts w:hint="eastAsia" w:ascii="宋体" w:hAnsi="宋体" w:cs="宋体"/>
        </w:rPr>
        <w:t>（2）具备自动采集数据功能，包括自动采集水质自动分析仪器数据、集成控制数据等信息，采集的数据应自动添加数据标识，异常监测数据能自动识别，并主动上传至中心平台；采集自动分析仪器的监测数据并分类保存，采集自动分析仪器的集成系统各单元的工作状态量，并以运行日志的形式记录保存。</w:t>
      </w:r>
    </w:p>
    <w:p w14:paraId="7F6AD702">
      <w:pPr>
        <w:spacing w:line="360" w:lineRule="auto"/>
        <w:ind w:firstLine="480"/>
        <w:rPr>
          <w:rFonts w:ascii="宋体" w:hAnsi="宋体" w:cs="宋体"/>
        </w:rPr>
      </w:pPr>
      <w:r>
        <w:rPr>
          <w:rFonts w:hint="eastAsia" w:ascii="宋体" w:hAnsi="宋体" w:cs="宋体"/>
        </w:rPr>
        <w:t>（3）能够实时采集视频信息并传输至中心平台；</w:t>
      </w:r>
    </w:p>
    <w:p w14:paraId="4684EBAA">
      <w:pPr>
        <w:spacing w:line="360" w:lineRule="auto"/>
        <w:ind w:firstLine="480"/>
        <w:rPr>
          <w:rFonts w:ascii="宋体" w:hAnsi="宋体" w:cs="宋体"/>
        </w:rPr>
      </w:pPr>
      <w:r>
        <w:rPr>
          <w:rFonts w:hint="eastAsia" w:ascii="宋体" w:hAnsi="宋体" w:cs="宋体"/>
        </w:rPr>
        <w:t>（4）采用无线、有线的通讯方式满足数据传输要求；</w:t>
      </w:r>
    </w:p>
    <w:p w14:paraId="68C4577C">
      <w:pPr>
        <w:spacing w:line="360" w:lineRule="auto"/>
        <w:ind w:firstLine="480"/>
        <w:rPr>
          <w:rFonts w:ascii="宋体" w:hAnsi="宋体" w:cs="宋体"/>
        </w:rPr>
      </w:pPr>
      <w:r>
        <w:rPr>
          <w:rFonts w:hint="eastAsia" w:ascii="宋体" w:hAnsi="宋体" w:cs="宋体"/>
        </w:rPr>
        <w:t>（5）具备对通信链路的自动诊断功能，具备超时补发功能；</w:t>
      </w:r>
    </w:p>
    <w:p w14:paraId="7DF6CAC6">
      <w:pPr>
        <w:spacing w:line="360" w:lineRule="auto"/>
        <w:ind w:firstLine="480"/>
        <w:rPr>
          <w:rFonts w:ascii="宋体" w:hAnsi="宋体" w:cs="宋体"/>
          <w:b/>
          <w:bCs/>
        </w:rPr>
      </w:pPr>
      <w:r>
        <w:rPr>
          <w:rFonts w:hint="eastAsia" w:ascii="宋体" w:hAnsi="宋体" w:cs="宋体"/>
          <w:b/>
          <w:bCs/>
        </w:rPr>
        <w:t>4.5辅助单元技术要求</w:t>
      </w:r>
    </w:p>
    <w:p w14:paraId="67157437">
      <w:pPr>
        <w:spacing w:line="360" w:lineRule="auto"/>
        <w:ind w:firstLine="480"/>
        <w:rPr>
          <w:rFonts w:ascii="宋体" w:hAnsi="宋体" w:cs="宋体"/>
        </w:rPr>
      </w:pPr>
      <w:r>
        <w:rPr>
          <w:rFonts w:hint="eastAsia" w:ascii="宋体" w:hAnsi="宋体" w:cs="宋体"/>
        </w:rPr>
        <w:t>辅助单元包括UPS不间断电源、稳压电源、空调、温湿度传感器、烟雾报警器、水浸报警器、综合防雷等。</w:t>
      </w:r>
    </w:p>
    <w:p w14:paraId="1FE98CE7">
      <w:pPr>
        <w:spacing w:line="360" w:lineRule="auto"/>
        <w:ind w:firstLine="480"/>
        <w:rPr>
          <w:rFonts w:ascii="宋体" w:hAnsi="宋体" w:cs="宋体"/>
        </w:rPr>
      </w:pPr>
      <w:r>
        <w:rPr>
          <w:rFonts w:hint="eastAsia" w:ascii="宋体" w:hAnsi="宋体" w:cs="宋体"/>
        </w:rPr>
        <w:t>1）UPS不间断电源</w:t>
      </w:r>
    </w:p>
    <w:p w14:paraId="23C57F34">
      <w:pPr>
        <w:spacing w:line="360" w:lineRule="auto"/>
        <w:ind w:firstLine="480"/>
        <w:rPr>
          <w:rFonts w:ascii="宋体" w:hAnsi="宋体" w:cs="宋体"/>
        </w:rPr>
      </w:pPr>
      <w:r>
        <w:rPr>
          <w:rFonts w:hint="eastAsia" w:ascii="宋体" w:hAnsi="宋体" w:cs="宋体"/>
        </w:rPr>
        <w:t>配备UPS≥3KVA，功率应保证监测站内断电后系统监测数据及系统状态能正常上传。UPS不间断电源具有正弦波、断电保护、自动恢复、过载保护、故障诊断记录等功能，并采用知名品牌。</w:t>
      </w:r>
    </w:p>
    <w:p w14:paraId="59F230D9">
      <w:pPr>
        <w:spacing w:line="360" w:lineRule="auto"/>
        <w:ind w:firstLine="480"/>
        <w:rPr>
          <w:rFonts w:ascii="宋体" w:hAnsi="宋体" w:cs="宋体"/>
        </w:rPr>
      </w:pPr>
      <w:r>
        <w:rPr>
          <w:rFonts w:hint="eastAsia" w:ascii="宋体" w:hAnsi="宋体" w:cs="宋体"/>
        </w:rPr>
        <w:t>2）具备断电保护、过载保护、稳压与自动恢复等功能。在断电的情况下，能够继续待机运行至少2h。</w:t>
      </w:r>
    </w:p>
    <w:p w14:paraId="3E26BDC5">
      <w:pPr>
        <w:spacing w:line="360" w:lineRule="auto"/>
        <w:ind w:firstLine="480"/>
        <w:rPr>
          <w:rFonts w:ascii="宋体" w:hAnsi="宋体" w:cs="宋体"/>
        </w:rPr>
      </w:pPr>
      <w:r>
        <w:rPr>
          <w:rFonts w:hint="eastAsia" w:ascii="宋体" w:hAnsi="宋体" w:cs="宋体"/>
        </w:rPr>
        <w:t>2）稳压电源</w:t>
      </w:r>
    </w:p>
    <w:p w14:paraId="09188C4E">
      <w:pPr>
        <w:spacing w:line="360" w:lineRule="auto"/>
        <w:ind w:firstLine="480"/>
        <w:rPr>
          <w:rFonts w:ascii="宋体" w:hAnsi="宋体" w:cs="宋体"/>
        </w:rPr>
      </w:pPr>
      <w:r>
        <w:rPr>
          <w:rFonts w:hint="eastAsia" w:ascii="宋体" w:hAnsi="宋体" w:cs="宋体"/>
        </w:rPr>
        <w:t>稳压电源能够满足化学需氧量、氨氮和总磷等在线分析仪、工控机等设备需求，确保上述仪器设备长期稳定运行，不受感应电影响跳变电压，供仪器正常使用，稳压电源接地。</w:t>
      </w:r>
    </w:p>
    <w:p w14:paraId="06C57BBB">
      <w:pPr>
        <w:spacing w:line="360" w:lineRule="auto"/>
        <w:ind w:firstLine="480"/>
        <w:rPr>
          <w:rFonts w:ascii="宋体" w:hAnsi="宋体" w:cs="宋体"/>
        </w:rPr>
      </w:pPr>
      <w:r>
        <w:rPr>
          <w:rFonts w:hint="eastAsia" w:ascii="宋体" w:hAnsi="宋体" w:cs="宋体"/>
        </w:rPr>
        <w:t>3）空调</w:t>
      </w:r>
    </w:p>
    <w:p w14:paraId="29D14E9D">
      <w:pPr>
        <w:spacing w:line="360" w:lineRule="auto"/>
        <w:ind w:firstLine="480"/>
        <w:rPr>
          <w:rFonts w:ascii="宋体" w:hAnsi="宋体" w:cs="宋体"/>
        </w:rPr>
      </w:pPr>
      <w:r>
        <w:rPr>
          <w:rFonts w:hint="eastAsia" w:ascii="宋体" w:hAnsi="宋体" w:cs="宋体"/>
        </w:rPr>
        <w:t>空调能将水质自动监测小型站机柜内温度控制在10～30℃，防止仪表试剂变质和温度过高或过低导致仪表不能正常运行。空调可制冷或加热，保证夏天和冬天站房内温度均在可控范围。</w:t>
      </w:r>
    </w:p>
    <w:p w14:paraId="15DBB723">
      <w:pPr>
        <w:spacing w:line="360" w:lineRule="auto"/>
        <w:ind w:firstLine="480"/>
        <w:rPr>
          <w:rFonts w:ascii="宋体" w:hAnsi="宋体" w:cs="宋体"/>
        </w:rPr>
      </w:pPr>
      <w:r>
        <w:rPr>
          <w:rFonts w:hint="eastAsia" w:ascii="宋体" w:hAnsi="宋体" w:cs="宋体"/>
        </w:rPr>
        <w:t>4）综合防雷</w:t>
      </w:r>
    </w:p>
    <w:p w14:paraId="1FE94E3E">
      <w:pPr>
        <w:spacing w:line="360" w:lineRule="auto"/>
        <w:ind w:firstLine="480"/>
        <w:rPr>
          <w:rFonts w:ascii="宋体" w:hAnsi="宋体" w:cs="宋体"/>
        </w:rPr>
      </w:pPr>
      <w:r>
        <w:rPr>
          <w:rFonts w:hint="eastAsia" w:ascii="宋体" w:hAnsi="宋体" w:cs="宋体"/>
        </w:rPr>
        <w:t>综合防雷要求监测系统配置全面的防感应雷措施、防雷器均采用优质的防雷模块，有效防止雷击对系统造成的损坏。内部防雷装置由等电位连接系统、共用接地系统、屏蔽系统、合理布线系统、浪涌保护器等组成，主要用于减小和防止雷电流在需防空间内所产生的电磁效应，包括通讯系统、供电系统和仪器设备等。</w:t>
      </w:r>
    </w:p>
    <w:p w14:paraId="7B67965F">
      <w:pPr>
        <w:spacing w:line="360" w:lineRule="auto"/>
        <w:ind w:firstLine="480"/>
        <w:rPr>
          <w:rFonts w:ascii="宋体" w:hAnsi="宋体" w:cs="宋体"/>
        </w:rPr>
      </w:pPr>
      <w:r>
        <w:rPr>
          <w:rFonts w:hint="eastAsia" w:ascii="宋体" w:hAnsi="宋体" w:cs="宋体"/>
        </w:rPr>
        <w:t>废液收集</w:t>
      </w:r>
    </w:p>
    <w:p w14:paraId="7F752442">
      <w:pPr>
        <w:spacing w:line="360" w:lineRule="auto"/>
        <w:ind w:firstLine="480"/>
        <w:rPr>
          <w:rFonts w:ascii="宋体" w:hAnsi="宋体" w:cs="宋体"/>
        </w:rPr>
      </w:pPr>
      <w:r>
        <w:rPr>
          <w:rFonts w:hint="eastAsia" w:ascii="宋体" w:hAnsi="宋体" w:cs="宋体"/>
        </w:rPr>
        <w:t>配备废液自动处理单元或废液收集单元，满足两周以上废液量的收集。</w:t>
      </w:r>
    </w:p>
    <w:p w14:paraId="376A47D1">
      <w:pPr>
        <w:spacing w:line="360" w:lineRule="auto"/>
        <w:ind w:firstLine="480"/>
        <w:rPr>
          <w:rFonts w:ascii="宋体" w:hAnsi="宋体" w:cs="宋体"/>
        </w:rPr>
      </w:pPr>
      <w:r>
        <w:rPr>
          <w:rFonts w:hint="eastAsia" w:ascii="宋体" w:hAnsi="宋体" w:cs="宋体"/>
        </w:rPr>
        <w:t>5）自动留样单元</w:t>
      </w:r>
    </w:p>
    <w:p w14:paraId="28DE9F78">
      <w:pPr>
        <w:spacing w:line="360" w:lineRule="auto"/>
        <w:ind w:firstLine="480"/>
        <w:rPr>
          <w:rFonts w:ascii="宋体" w:hAnsi="宋体" w:cs="宋体"/>
        </w:rPr>
      </w:pPr>
      <w:r>
        <w:rPr>
          <w:rFonts w:hint="eastAsia" w:ascii="宋体" w:hAnsi="宋体" w:cs="宋体"/>
        </w:rPr>
        <w:t>（1）具备水样冷藏功能，温度在4±2℃；</w:t>
      </w:r>
    </w:p>
    <w:p w14:paraId="395FCCF8">
      <w:pPr>
        <w:spacing w:line="360" w:lineRule="auto"/>
        <w:ind w:firstLine="480"/>
        <w:rPr>
          <w:rFonts w:ascii="宋体" w:hAnsi="宋体" w:cs="宋体"/>
        </w:rPr>
      </w:pPr>
      <w:r>
        <w:rPr>
          <w:rFonts w:hint="eastAsia" w:ascii="宋体" w:hAnsi="宋体" w:cs="宋体"/>
        </w:rPr>
        <w:t>（2）留样瓶数≥12个；</w:t>
      </w:r>
    </w:p>
    <w:p w14:paraId="7277E735">
      <w:pPr>
        <w:spacing w:line="360" w:lineRule="auto"/>
        <w:ind w:firstLine="480"/>
        <w:rPr>
          <w:rFonts w:ascii="宋体" w:hAnsi="宋体" w:cs="宋体"/>
        </w:rPr>
      </w:pPr>
      <w:r>
        <w:rPr>
          <w:rFonts w:hint="eastAsia" w:ascii="宋体" w:hAnsi="宋体" w:cs="宋体"/>
        </w:rPr>
        <w:t>（3）留样瓶由惰性材料制成，易清洗，容量应在500mL以上；</w:t>
      </w:r>
    </w:p>
    <w:p w14:paraId="3E6CC476">
      <w:pPr>
        <w:spacing w:line="360" w:lineRule="auto"/>
        <w:ind w:firstLine="480"/>
        <w:rPr>
          <w:rFonts w:ascii="宋体" w:hAnsi="宋体" w:cs="宋体"/>
        </w:rPr>
      </w:pPr>
      <w:r>
        <w:rPr>
          <w:rFonts w:hint="eastAsia" w:ascii="宋体" w:hAnsi="宋体" w:cs="宋体"/>
        </w:rPr>
        <w:t>（4）留样瓶具有密封功能；</w:t>
      </w:r>
    </w:p>
    <w:p w14:paraId="37ADE586">
      <w:pPr>
        <w:spacing w:line="360" w:lineRule="auto"/>
        <w:ind w:firstLine="480"/>
        <w:rPr>
          <w:rFonts w:ascii="宋体" w:hAnsi="宋体" w:cs="宋体"/>
        </w:rPr>
      </w:pPr>
      <w:r>
        <w:rPr>
          <w:rFonts w:hint="eastAsia" w:ascii="宋体" w:hAnsi="宋体" w:cs="宋体"/>
        </w:rPr>
        <w:t>（5）具有留样后自动排空的功能；</w:t>
      </w:r>
    </w:p>
    <w:p w14:paraId="51364C93">
      <w:pPr>
        <w:spacing w:line="360" w:lineRule="auto"/>
        <w:ind w:firstLine="480"/>
        <w:rPr>
          <w:rFonts w:ascii="宋体" w:hAnsi="宋体" w:cs="宋体"/>
        </w:rPr>
      </w:pPr>
      <w:r>
        <w:rPr>
          <w:rFonts w:hint="eastAsia" w:ascii="宋体" w:hAnsi="宋体" w:cs="宋体"/>
        </w:rPr>
        <w:t>（6）配置门禁系统，具有自动信息记录功能；</w:t>
      </w:r>
    </w:p>
    <w:p w14:paraId="39E85E68">
      <w:pPr>
        <w:spacing w:line="360" w:lineRule="auto"/>
        <w:ind w:firstLine="480"/>
        <w:rPr>
          <w:rFonts w:ascii="宋体" w:hAnsi="宋体" w:cs="宋体"/>
        </w:rPr>
      </w:pPr>
      <w:r>
        <w:rPr>
          <w:rFonts w:hint="eastAsia" w:ascii="宋体" w:hAnsi="宋体" w:cs="宋体"/>
        </w:rPr>
        <w:t>（7）具有留样失败报警功能。</w:t>
      </w:r>
    </w:p>
    <w:p w14:paraId="4FE3FFE8">
      <w:pPr>
        <w:pStyle w:val="73"/>
        <w:rPr>
          <w:rFonts w:ascii="宋体" w:hAnsi="宋体" w:cs="宋体"/>
        </w:rPr>
      </w:pPr>
      <w:r>
        <w:rPr>
          <w:rFonts w:hint="eastAsia" w:ascii="宋体" w:hAnsi="宋体" w:cs="宋体"/>
          <w:b/>
          <w:bCs/>
          <w:lang w:val="en-US" w:eastAsia="zh-CN"/>
        </w:rPr>
        <w:t>注：</w:t>
      </w:r>
      <w:r>
        <w:rPr>
          <w:rFonts w:hint="eastAsia" w:ascii="宋体" w:hAnsi="宋体" w:cs="宋体"/>
          <w:b/>
          <w:bCs/>
        </w:rPr>
        <w:t>带“*”标注</w:t>
      </w:r>
      <w:r>
        <w:rPr>
          <w:rFonts w:hint="eastAsia" w:ascii="宋体" w:hAnsi="宋体" w:cs="宋体"/>
          <w:b/>
          <w:bCs/>
          <w:lang w:val="en-US" w:eastAsia="zh-CN"/>
        </w:rPr>
        <w:t>为</w:t>
      </w:r>
      <w:r>
        <w:rPr>
          <w:rFonts w:hint="eastAsia" w:ascii="宋体" w:hAnsi="宋体" w:cs="宋体"/>
          <w:b/>
          <w:bCs/>
        </w:rPr>
        <w:t>重要技术参数，须提供省级及以上计量检测部门出具的检测报告原件扫描件作为有效证明材料。</w:t>
      </w:r>
    </w:p>
    <w:p w14:paraId="59D45097">
      <w:pPr>
        <w:rPr>
          <w:rFonts w:ascii="宋体" w:hAnsi="宋体" w:cs="宋体"/>
          <w:sz w:val="28"/>
          <w:szCs w:val="28"/>
        </w:rPr>
      </w:pPr>
    </w:p>
    <w:p w14:paraId="3C0593AD">
      <w:pPr>
        <w:pStyle w:val="73"/>
        <w:rPr>
          <w:rFonts w:ascii="宋体" w:hAnsi="宋体" w:cs="宋体"/>
          <w:sz w:val="28"/>
          <w:szCs w:val="28"/>
        </w:rPr>
      </w:pPr>
    </w:p>
    <w:p w14:paraId="50E30C25">
      <w:pPr>
        <w:pStyle w:val="73"/>
        <w:rPr>
          <w:rFonts w:ascii="宋体" w:hAnsi="宋体" w:cs="宋体"/>
          <w:sz w:val="28"/>
          <w:szCs w:val="28"/>
        </w:rPr>
      </w:pPr>
    </w:p>
    <w:p w14:paraId="3142CBE8">
      <w:pPr>
        <w:pStyle w:val="73"/>
        <w:rPr>
          <w:rFonts w:ascii="宋体" w:hAnsi="宋体" w:cs="宋体"/>
          <w:sz w:val="28"/>
          <w:szCs w:val="28"/>
        </w:rPr>
      </w:pPr>
    </w:p>
    <w:p w14:paraId="36ED9474">
      <w:pPr>
        <w:pStyle w:val="73"/>
        <w:rPr>
          <w:rFonts w:ascii="宋体" w:hAnsi="宋体" w:cs="宋体"/>
          <w:sz w:val="28"/>
          <w:szCs w:val="28"/>
        </w:rPr>
      </w:pPr>
    </w:p>
    <w:p w14:paraId="35FE165C">
      <w:pPr>
        <w:pStyle w:val="73"/>
        <w:rPr>
          <w:rFonts w:ascii="宋体" w:hAnsi="宋体" w:cs="宋体"/>
          <w:sz w:val="28"/>
          <w:szCs w:val="28"/>
        </w:rPr>
      </w:pPr>
    </w:p>
    <w:p w14:paraId="4A3E2A24">
      <w:pPr>
        <w:pStyle w:val="73"/>
        <w:rPr>
          <w:rFonts w:ascii="宋体" w:hAnsi="宋体" w:cs="宋体"/>
          <w:sz w:val="28"/>
          <w:szCs w:val="28"/>
        </w:rPr>
      </w:pPr>
    </w:p>
    <w:p w14:paraId="7DEA8B9F">
      <w:pPr>
        <w:pStyle w:val="73"/>
        <w:rPr>
          <w:rFonts w:ascii="宋体" w:hAnsi="宋体" w:cs="宋体"/>
          <w:sz w:val="28"/>
          <w:szCs w:val="28"/>
        </w:rPr>
      </w:pPr>
    </w:p>
    <w:p w14:paraId="38E54B46">
      <w:pPr>
        <w:pStyle w:val="73"/>
        <w:rPr>
          <w:rFonts w:ascii="宋体" w:hAnsi="宋体" w:cs="宋体"/>
          <w:sz w:val="28"/>
          <w:szCs w:val="28"/>
        </w:rPr>
      </w:pPr>
    </w:p>
    <w:p w14:paraId="48063295">
      <w:pPr>
        <w:pStyle w:val="73"/>
        <w:rPr>
          <w:rFonts w:ascii="宋体" w:hAnsi="宋体" w:cs="宋体"/>
          <w:sz w:val="28"/>
          <w:szCs w:val="28"/>
        </w:rPr>
      </w:pPr>
    </w:p>
    <w:p w14:paraId="600A1FD7">
      <w:pPr>
        <w:pStyle w:val="73"/>
        <w:rPr>
          <w:rFonts w:ascii="宋体" w:hAnsi="宋体" w:cs="宋体"/>
          <w:sz w:val="28"/>
          <w:szCs w:val="28"/>
        </w:rPr>
      </w:pPr>
    </w:p>
    <w:p w14:paraId="25862569">
      <w:pPr>
        <w:pStyle w:val="73"/>
        <w:rPr>
          <w:rFonts w:ascii="宋体" w:hAnsi="宋体" w:cs="宋体"/>
          <w:sz w:val="28"/>
          <w:szCs w:val="28"/>
        </w:rPr>
      </w:pPr>
    </w:p>
    <w:p w14:paraId="61C1601A">
      <w:pPr>
        <w:pStyle w:val="73"/>
        <w:rPr>
          <w:rFonts w:ascii="宋体" w:hAnsi="宋体" w:cs="宋体"/>
          <w:sz w:val="28"/>
          <w:szCs w:val="28"/>
        </w:rPr>
      </w:pPr>
    </w:p>
    <w:p w14:paraId="203C200D">
      <w:pPr>
        <w:pStyle w:val="73"/>
        <w:rPr>
          <w:rFonts w:ascii="宋体" w:hAnsi="宋体" w:cs="宋体"/>
          <w:sz w:val="28"/>
          <w:szCs w:val="28"/>
        </w:rPr>
      </w:pPr>
    </w:p>
    <w:p w14:paraId="6BDD7373">
      <w:pPr>
        <w:pStyle w:val="73"/>
        <w:rPr>
          <w:rFonts w:ascii="宋体" w:hAnsi="宋体" w:cs="宋体"/>
          <w:sz w:val="28"/>
          <w:szCs w:val="28"/>
        </w:rPr>
      </w:pPr>
    </w:p>
    <w:p w14:paraId="703FD741">
      <w:pPr>
        <w:pStyle w:val="73"/>
        <w:rPr>
          <w:rFonts w:ascii="宋体" w:hAnsi="宋体" w:cs="宋体"/>
          <w:sz w:val="28"/>
          <w:szCs w:val="28"/>
        </w:rPr>
      </w:pPr>
    </w:p>
    <w:p w14:paraId="41DB3BD1">
      <w:pPr>
        <w:pStyle w:val="73"/>
        <w:rPr>
          <w:rFonts w:ascii="宋体" w:hAnsi="宋体" w:cs="宋体"/>
          <w:sz w:val="28"/>
          <w:szCs w:val="28"/>
        </w:rPr>
      </w:pPr>
    </w:p>
    <w:p w14:paraId="3862E432">
      <w:pPr>
        <w:pStyle w:val="73"/>
        <w:rPr>
          <w:rFonts w:ascii="宋体" w:hAnsi="宋体" w:cs="宋体"/>
          <w:sz w:val="28"/>
          <w:szCs w:val="28"/>
        </w:rPr>
      </w:pPr>
    </w:p>
    <w:p w14:paraId="4B6027B5">
      <w:pPr>
        <w:pStyle w:val="73"/>
        <w:rPr>
          <w:rFonts w:ascii="宋体" w:hAnsi="宋体" w:cs="宋体"/>
          <w:sz w:val="28"/>
          <w:szCs w:val="28"/>
        </w:rPr>
      </w:pPr>
    </w:p>
    <w:p w14:paraId="03EC1049">
      <w:pPr>
        <w:pStyle w:val="73"/>
        <w:rPr>
          <w:rFonts w:ascii="宋体" w:hAnsi="宋体" w:cs="宋体"/>
          <w:sz w:val="28"/>
          <w:szCs w:val="28"/>
        </w:rPr>
      </w:pPr>
    </w:p>
    <w:p w14:paraId="091AF055">
      <w:pPr>
        <w:pStyle w:val="73"/>
        <w:rPr>
          <w:rFonts w:ascii="宋体" w:hAnsi="宋体" w:cs="宋体"/>
          <w:sz w:val="28"/>
          <w:szCs w:val="28"/>
        </w:rPr>
      </w:pPr>
    </w:p>
    <w:p w14:paraId="3B862D70">
      <w:pPr>
        <w:pStyle w:val="73"/>
        <w:rPr>
          <w:rFonts w:ascii="宋体" w:hAnsi="宋体" w:cs="宋体"/>
          <w:sz w:val="28"/>
          <w:szCs w:val="28"/>
        </w:rPr>
      </w:pPr>
    </w:p>
    <w:p w14:paraId="3A5FB817">
      <w:pPr>
        <w:pStyle w:val="73"/>
        <w:rPr>
          <w:rFonts w:ascii="宋体" w:hAnsi="宋体" w:cs="宋体"/>
          <w:sz w:val="28"/>
          <w:szCs w:val="28"/>
        </w:rPr>
      </w:pPr>
    </w:p>
    <w:p w14:paraId="2CADF2D1">
      <w:pPr>
        <w:pStyle w:val="73"/>
        <w:rPr>
          <w:rFonts w:ascii="宋体" w:hAnsi="宋体" w:cs="宋体"/>
          <w:sz w:val="28"/>
          <w:szCs w:val="28"/>
        </w:rPr>
      </w:pPr>
    </w:p>
    <w:p w14:paraId="647CB454">
      <w:pPr>
        <w:pStyle w:val="73"/>
        <w:rPr>
          <w:rFonts w:ascii="宋体" w:hAnsi="宋体" w:cs="宋体"/>
          <w:sz w:val="28"/>
          <w:szCs w:val="28"/>
        </w:rPr>
      </w:pPr>
    </w:p>
    <w:p w14:paraId="6980CE71">
      <w:pPr>
        <w:pStyle w:val="73"/>
        <w:rPr>
          <w:rFonts w:ascii="宋体" w:hAnsi="宋体" w:cs="宋体"/>
          <w:sz w:val="28"/>
          <w:szCs w:val="28"/>
        </w:rPr>
      </w:pPr>
    </w:p>
    <w:p w14:paraId="2A377860">
      <w:pPr>
        <w:pStyle w:val="73"/>
        <w:rPr>
          <w:rFonts w:ascii="宋体" w:hAnsi="宋体" w:cs="宋体"/>
          <w:sz w:val="28"/>
          <w:szCs w:val="28"/>
        </w:rPr>
      </w:pPr>
    </w:p>
    <w:p w14:paraId="66806C5C">
      <w:pPr>
        <w:pStyle w:val="73"/>
        <w:rPr>
          <w:rFonts w:ascii="宋体" w:hAnsi="宋体" w:cs="宋体"/>
          <w:sz w:val="28"/>
          <w:szCs w:val="28"/>
        </w:rPr>
      </w:pPr>
    </w:p>
    <w:p w14:paraId="6BFCBD0E">
      <w:pPr>
        <w:pStyle w:val="73"/>
        <w:rPr>
          <w:rFonts w:ascii="宋体" w:hAnsi="宋体" w:cs="宋体"/>
          <w:sz w:val="28"/>
          <w:szCs w:val="28"/>
        </w:rPr>
      </w:pPr>
    </w:p>
    <w:p w14:paraId="3D07B1C9">
      <w:pPr>
        <w:pStyle w:val="73"/>
        <w:rPr>
          <w:rFonts w:ascii="宋体" w:hAnsi="宋体" w:cs="宋体"/>
          <w:sz w:val="28"/>
          <w:szCs w:val="28"/>
        </w:rPr>
      </w:pPr>
    </w:p>
    <w:p w14:paraId="50C31DC8">
      <w:pPr>
        <w:rPr>
          <w:rFonts w:ascii="宋体" w:hAnsi="宋体" w:cs="宋体"/>
          <w:b/>
          <w:bCs/>
          <w:sz w:val="28"/>
          <w:szCs w:val="28"/>
          <w:lang w:val="zh-TW"/>
        </w:rPr>
      </w:pPr>
      <w:r>
        <w:rPr>
          <w:rFonts w:hint="eastAsia" w:ascii="宋体" w:hAnsi="宋体" w:cs="宋体"/>
          <w:b/>
          <w:bCs/>
          <w:sz w:val="28"/>
          <w:szCs w:val="28"/>
        </w:rPr>
        <w:t>2.</w:t>
      </w:r>
      <w:r>
        <w:rPr>
          <w:rFonts w:hint="eastAsia" w:ascii="宋体" w:hAnsi="宋体" w:cs="宋体"/>
          <w:b/>
          <w:bCs/>
          <w:sz w:val="28"/>
          <w:szCs w:val="28"/>
          <w:lang w:val="zh-TW" w:eastAsia="zh-TW"/>
        </w:rPr>
        <w:t>视频监控系统要求</w:t>
      </w:r>
    </w:p>
    <w:p w14:paraId="18AA6594">
      <w:pPr>
        <w:spacing w:line="360" w:lineRule="auto"/>
        <w:ind w:firstLine="480"/>
        <w:rPr>
          <w:rFonts w:ascii="宋体" w:hAnsi="宋体" w:cs="宋体"/>
        </w:rPr>
      </w:pPr>
      <w:r>
        <w:rPr>
          <w:rFonts w:hint="eastAsia" w:ascii="宋体" w:hAnsi="宋体" w:cs="宋体"/>
        </w:rPr>
        <w:t>视频监控传输需满足《公共安全视频监控联网系统信息传输、交换制技术要求》（GB/T28181）。必须采购国内主流厂商的视频监控设备，否则传输信号协议无法满足接入平台的需要。</w:t>
      </w:r>
    </w:p>
    <w:p w14:paraId="4CA6AF00">
      <w:pPr>
        <w:spacing w:line="360" w:lineRule="auto"/>
        <w:ind w:firstLine="480"/>
        <w:rPr>
          <w:rFonts w:ascii="宋体" w:hAnsi="宋体" w:cs="宋体"/>
        </w:rPr>
      </w:pPr>
      <w:r>
        <w:rPr>
          <w:rFonts w:hint="eastAsia" w:ascii="宋体" w:hAnsi="宋体" w:cs="宋体"/>
        </w:rPr>
        <w:t>要求视频监控单元由前端系统、传输网络和监控平台三部分组成，可远程监视取水工程工作状况，同时也可观察自动站院落、供电线路等周边环境。其中，前端系统主要对监控区域现场视音频、环境信息、报警信息等进行采集、编码、储存及上传，并通过客户端平台预置的规则进行自动化联动；传输网络主要用于前端与平台、平台之间的通信，确保前端系统的视音频、环境信息、报警信息可实时稳定上传至监控中心；监控平台主要用于对监控设备的控制和满足用户查看环境信息、视音频资料。</w:t>
      </w:r>
    </w:p>
    <w:p w14:paraId="21AE0CB8">
      <w:pPr>
        <w:spacing w:line="360" w:lineRule="auto"/>
        <w:ind w:firstLine="480"/>
        <w:rPr>
          <w:rFonts w:ascii="宋体" w:hAnsi="宋体" w:cs="宋体"/>
        </w:rPr>
      </w:pPr>
      <w:r>
        <w:rPr>
          <w:rFonts w:hint="eastAsia" w:ascii="宋体" w:hAnsi="宋体" w:cs="宋体"/>
        </w:rPr>
        <w:t>（1）视频监控单元功能要求</w:t>
      </w:r>
    </w:p>
    <w:p w14:paraId="7E780362">
      <w:pPr>
        <w:spacing w:line="360" w:lineRule="auto"/>
        <w:ind w:firstLine="480"/>
        <w:rPr>
          <w:rFonts w:ascii="宋体" w:hAnsi="宋体" w:cs="宋体"/>
        </w:rPr>
      </w:pPr>
      <w:r>
        <w:rPr>
          <w:rFonts w:hint="eastAsia" w:ascii="宋体" w:hAnsi="宋体" w:cs="宋体"/>
        </w:rPr>
        <w:t>1）实时监控功能：实时获取监控区域内清晰的监控图像。</w:t>
      </w:r>
    </w:p>
    <w:p w14:paraId="502DC60F">
      <w:pPr>
        <w:spacing w:line="360" w:lineRule="auto"/>
        <w:ind w:firstLine="480"/>
        <w:rPr>
          <w:rFonts w:ascii="宋体" w:hAnsi="宋体" w:cs="宋体"/>
        </w:rPr>
      </w:pPr>
      <w:r>
        <w:rPr>
          <w:rFonts w:hint="eastAsia" w:ascii="宋体" w:hAnsi="宋体" w:cs="宋体"/>
        </w:rPr>
        <w:t>2）云台操作功能：可实现全方位、多视角式监控。</w:t>
      </w:r>
    </w:p>
    <w:p w14:paraId="3F3570CC">
      <w:pPr>
        <w:spacing w:line="360" w:lineRule="auto"/>
        <w:ind w:firstLine="480"/>
        <w:rPr>
          <w:rFonts w:ascii="宋体" w:hAnsi="宋体" w:cs="宋体"/>
        </w:rPr>
      </w:pPr>
      <w:r>
        <w:rPr>
          <w:rFonts w:hint="eastAsia" w:ascii="宋体" w:hAnsi="宋体" w:cs="宋体"/>
        </w:rPr>
        <w:t>3）录像存储功能：支持前端存储和中心存储两种模式，既可通过前端的视音信号接入视频处理单元存储数据，满足前端存储的需要，供事后调查取证；也可通过部署存储服务器和存储设备，满足大容量多通道并发的中心存储需要。前端存储至少满足30天的存储能力。</w:t>
      </w:r>
    </w:p>
    <w:p w14:paraId="03937B9A">
      <w:pPr>
        <w:spacing w:line="360" w:lineRule="auto"/>
        <w:ind w:firstLine="480"/>
        <w:rPr>
          <w:rFonts w:ascii="宋体" w:hAnsi="宋体" w:cs="宋体"/>
        </w:rPr>
      </w:pPr>
      <w:r>
        <w:rPr>
          <w:rFonts w:hint="eastAsia" w:ascii="宋体" w:hAnsi="宋体" w:cs="宋体"/>
        </w:rPr>
        <w:t>4）远程维护功能：可通过平台软件对前端设备进行校时、重启、修正参数、软件升级、远程维护等操作；</w:t>
      </w:r>
    </w:p>
    <w:p w14:paraId="1A763A0B">
      <w:pPr>
        <w:spacing w:line="360" w:lineRule="auto"/>
        <w:ind w:firstLine="480"/>
        <w:rPr>
          <w:rFonts w:ascii="宋体" w:hAnsi="宋体" w:cs="宋体"/>
        </w:rPr>
      </w:pPr>
      <w:r>
        <w:rPr>
          <w:rFonts w:hint="eastAsia" w:ascii="宋体" w:hAnsi="宋体" w:cs="宋体"/>
        </w:rPr>
        <w:t>5）视频监控系统具备断电自启功能。</w:t>
      </w:r>
    </w:p>
    <w:p w14:paraId="7FFB731D">
      <w:pPr>
        <w:spacing w:line="360" w:lineRule="auto"/>
        <w:ind w:firstLine="480"/>
        <w:rPr>
          <w:rFonts w:ascii="宋体" w:hAnsi="宋体" w:cs="宋体"/>
        </w:rPr>
      </w:pPr>
      <w:r>
        <w:rPr>
          <w:rFonts w:hint="eastAsia" w:ascii="宋体" w:hAnsi="宋体" w:cs="宋体"/>
        </w:rPr>
        <w:t>（2）前端视频监控设备技术要求</w:t>
      </w:r>
    </w:p>
    <w:p w14:paraId="58354F63">
      <w:pPr>
        <w:spacing w:line="360" w:lineRule="auto"/>
        <w:ind w:firstLine="480"/>
        <w:rPr>
          <w:rFonts w:ascii="宋体" w:hAnsi="宋体" w:cs="宋体"/>
        </w:rPr>
      </w:pPr>
      <w:r>
        <w:rPr>
          <w:rFonts w:hint="eastAsia" w:ascii="宋体" w:hAnsi="宋体" w:cs="宋体"/>
        </w:rPr>
        <w:t>1）网络红外球型摄像机：球机带云台，支持水平旋转范围360°连续旋转，垂直旋转范围-35°~90°；带红外，支持夜间查看；</w:t>
      </w:r>
    </w:p>
    <w:p w14:paraId="278148F4">
      <w:pPr>
        <w:spacing w:line="360" w:lineRule="auto"/>
        <w:ind w:firstLine="480"/>
        <w:rPr>
          <w:rFonts w:ascii="宋体" w:hAnsi="宋体" w:cs="宋体"/>
        </w:rPr>
      </w:pPr>
      <w:r>
        <w:rPr>
          <w:rFonts w:hint="eastAsia" w:ascii="宋体" w:hAnsi="宋体" w:cs="宋体"/>
        </w:rPr>
        <w:t>高清网络录像机：应选用可接驳符合ONVIF、PSLA、RTSP标准及的主流厂商的网络摄像机；支持不低于200万像素高清网络视频的预览、存储和回放；支持IPC集中管理，包括IPC参数配置、信息的导入/导出、语音对讲和升级等；支持智能搜索、回放及备份。</w:t>
      </w:r>
    </w:p>
    <w:p w14:paraId="41D7505D">
      <w:pPr>
        <w:pStyle w:val="73"/>
        <w:numPr>
          <w:ilvl w:val="0"/>
          <w:numId w:val="3"/>
        </w:numPr>
        <w:rPr>
          <w:rFonts w:ascii="宋体" w:hAnsi="宋体" w:cs="宋体"/>
        </w:rPr>
      </w:pPr>
      <w:r>
        <w:rPr>
          <w:rFonts w:hint="eastAsia" w:ascii="宋体" w:hAnsi="宋体" w:cs="宋体"/>
        </w:rPr>
        <w:t>智能视频管理平台服务器技术要求</w:t>
      </w:r>
    </w:p>
    <w:p w14:paraId="5E88C63A">
      <w:pPr>
        <w:pStyle w:val="73"/>
        <w:spacing w:line="360" w:lineRule="auto"/>
        <w:ind w:firstLineChars="200"/>
        <w:rPr>
          <w:rFonts w:ascii="宋体" w:hAnsi="宋体" w:cs="宋体"/>
        </w:rPr>
      </w:pPr>
      <w:r>
        <w:rPr>
          <w:rFonts w:hint="eastAsia" w:ascii="宋体" w:hAnsi="宋体" w:cs="宋体"/>
        </w:rPr>
        <w:t>针对SMB中小场景业务需求的综合安防管理一体机，在兼容安防视频监控的固有功能基础上，可扩展门禁考勤管理、运维中心管理、基础业务管理等业务功能。</w:t>
      </w:r>
    </w:p>
    <w:p w14:paraId="3A05970A">
      <w:pPr>
        <w:pStyle w:val="73"/>
        <w:spacing w:line="360" w:lineRule="auto"/>
        <w:rPr>
          <w:rFonts w:ascii="宋体" w:hAnsi="宋体" w:cs="宋体"/>
        </w:rPr>
      </w:pPr>
      <w:r>
        <w:rPr>
          <w:rFonts w:hint="eastAsia" w:ascii="宋体" w:hAnsi="宋体" w:cs="宋体"/>
          <w:b/>
          <w:bCs/>
        </w:rPr>
        <w:t>*</w:t>
      </w:r>
      <w:r>
        <w:rPr>
          <w:rFonts w:hint="eastAsia" w:ascii="宋体" w:hAnsi="宋体" w:cs="宋体"/>
        </w:rPr>
        <w:t>1）支持大屏控制，可对大屏进行1/4/9/16/25分屏、拼接、开窗、窗口漫游的操作，通过客户端支持电视墙开窗后支持分割，并可将大屏分屏配置另保存为场景，支持在iPad上操作监控点上墙、拼接、分屏、漫游、预案切换等操作。</w:t>
      </w:r>
    </w:p>
    <w:p w14:paraId="63897655">
      <w:pPr>
        <w:pStyle w:val="73"/>
        <w:spacing w:line="360" w:lineRule="auto"/>
        <w:rPr>
          <w:rFonts w:ascii="宋体" w:hAnsi="宋体" w:cs="宋体"/>
        </w:rPr>
      </w:pPr>
      <w:r>
        <w:rPr>
          <w:rFonts w:hint="eastAsia" w:ascii="宋体" w:hAnsi="宋体" w:cs="宋体"/>
          <w:b/>
          <w:bCs/>
        </w:rPr>
        <w:t>*</w:t>
      </w:r>
      <w:r>
        <w:rPr>
          <w:rFonts w:hint="eastAsia" w:ascii="宋体" w:hAnsi="宋体" w:cs="宋体"/>
        </w:rPr>
        <w:t>2）设备具有1个DP接口、2个HDMI接口，1个VGA口、4个RJ45 10/100/1000Mbps 自适应以太网口、7个USB接口（其中5个USB2.0接口,2个USB3.0接口）、1个RS-485接口、1个RS-232接口、16路报警输入接口、4路报警输出接口、 5个SATA 3.0接口；具有2路音频输入（1路3.5mm，1路RCA），2路音频输出（1路3.5mm、1路RCA）。</w:t>
      </w:r>
    </w:p>
    <w:p w14:paraId="14F1C0F8">
      <w:pPr>
        <w:pStyle w:val="73"/>
        <w:spacing w:line="360" w:lineRule="auto"/>
        <w:rPr>
          <w:rFonts w:ascii="宋体" w:hAnsi="宋体" w:cs="宋体"/>
        </w:rPr>
      </w:pPr>
      <w:r>
        <w:rPr>
          <w:rFonts w:hint="eastAsia" w:ascii="宋体" w:hAnsi="宋体" w:cs="宋体"/>
          <w:b/>
          <w:bCs/>
        </w:rPr>
        <w:t>*</w:t>
      </w:r>
      <w:r>
        <w:rPr>
          <w:rFonts w:hint="eastAsia" w:ascii="宋体" w:hAnsi="宋体" w:cs="宋体"/>
        </w:rPr>
        <w:t>3）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w:t>
      </w:r>
    </w:p>
    <w:p w14:paraId="0EC29C1B">
      <w:pPr>
        <w:pStyle w:val="73"/>
        <w:spacing w:line="360" w:lineRule="auto"/>
        <w:rPr>
          <w:rFonts w:ascii="宋体" w:hAnsi="宋体" w:cs="宋体"/>
        </w:rPr>
      </w:pPr>
      <w:r>
        <w:rPr>
          <w:rFonts w:hint="eastAsia" w:ascii="宋体" w:hAnsi="宋体" w:cs="宋体"/>
        </w:rPr>
        <w:t>（4）解码器技术要求</w:t>
      </w:r>
    </w:p>
    <w:p w14:paraId="225A9026">
      <w:pPr>
        <w:pStyle w:val="73"/>
        <w:spacing w:line="360" w:lineRule="auto"/>
        <w:rPr>
          <w:rFonts w:ascii="宋体" w:hAnsi="宋体" w:cs="宋体"/>
        </w:rPr>
      </w:pPr>
      <w:r>
        <w:rPr>
          <w:rFonts w:hint="eastAsia" w:ascii="宋体" w:hAnsi="宋体" w:cs="宋体"/>
        </w:rPr>
        <w:t>1）支持9路或以上HDMI信号输出，输出接口最大支持1920×1080支持超高超宽自定义分辨率输出设置，整机解码H265及其他相关等。</w:t>
      </w:r>
    </w:p>
    <w:p w14:paraId="03A37944">
      <w:pPr>
        <w:pStyle w:val="73"/>
        <w:spacing w:line="360" w:lineRule="auto"/>
        <w:rPr>
          <w:rFonts w:ascii="宋体" w:hAnsi="宋体" w:cs="宋体"/>
        </w:rPr>
      </w:pPr>
      <w:r>
        <w:rPr>
          <w:rFonts w:hint="eastAsia" w:ascii="宋体" w:hAnsi="宋体" w:cs="宋体"/>
          <w:b/>
          <w:bCs/>
        </w:rPr>
        <w:t>*</w:t>
      </w:r>
      <w:r>
        <w:rPr>
          <w:rFonts w:hint="eastAsia" w:ascii="宋体" w:hAnsi="宋体" w:cs="宋体"/>
        </w:rPr>
        <w:t>2）支持客户端软件将电脑投屏后，通过设备对电脑进行远程操作。</w:t>
      </w:r>
    </w:p>
    <w:p w14:paraId="7E25415F">
      <w:pPr>
        <w:pStyle w:val="73"/>
        <w:spacing w:line="360" w:lineRule="auto"/>
        <w:rPr>
          <w:rFonts w:ascii="宋体" w:hAnsi="宋体" w:cs="宋体"/>
        </w:rPr>
      </w:pPr>
      <w:r>
        <w:rPr>
          <w:rFonts w:hint="eastAsia" w:ascii="宋体" w:hAnsi="宋体" w:cs="宋体"/>
          <w:b/>
          <w:bCs/>
        </w:rPr>
        <w:t>*</w:t>
      </w:r>
      <w:r>
        <w:rPr>
          <w:rFonts w:hint="eastAsia" w:ascii="宋体" w:hAnsi="宋体" w:cs="宋体"/>
        </w:rPr>
        <w:t>3）周界防范场景：支持接入具有周界防范功能的前端摄像机，支持区域入侵、越界入侵、徘徊、物品移除、物品遗留、人员聚集、停车的检测，可对前端码流里面的智能信息进行解码并显示，并触发报警弹窗、联动报警输出。</w:t>
      </w:r>
    </w:p>
    <w:p w14:paraId="7967CE66">
      <w:pPr>
        <w:pStyle w:val="73"/>
        <w:spacing w:line="360" w:lineRule="auto"/>
        <w:ind w:firstLine="422" w:firstLineChars="200"/>
        <w:rPr>
          <w:rFonts w:ascii="宋体" w:hAnsi="宋体" w:cs="宋体"/>
        </w:rPr>
      </w:pPr>
      <w:r>
        <w:rPr>
          <w:rFonts w:hint="eastAsia" w:ascii="宋体" w:hAnsi="宋体" w:cs="宋体"/>
          <w:b/>
          <w:bCs/>
        </w:rPr>
        <w:t>*</w:t>
      </w:r>
      <w:r>
        <w:rPr>
          <w:rFonts w:hint="eastAsia" w:ascii="宋体" w:hAnsi="宋体" w:cs="宋体"/>
        </w:rPr>
        <w:t>4）支持客户端软件将电脑投屏后，通过设备对电脑进行远程操作。</w:t>
      </w:r>
    </w:p>
    <w:p w14:paraId="2860BE02">
      <w:pPr>
        <w:pStyle w:val="73"/>
        <w:spacing w:line="360" w:lineRule="auto"/>
        <w:ind w:firstLine="0"/>
        <w:rPr>
          <w:rFonts w:hint="eastAsia" w:ascii="宋体" w:hAnsi="宋体" w:cs="宋体"/>
          <w:b/>
          <w:bCs/>
        </w:rPr>
      </w:pPr>
      <w:r>
        <w:rPr>
          <w:rFonts w:hint="eastAsia" w:ascii="宋体" w:hAnsi="宋体" w:cs="宋体"/>
          <w:b/>
          <w:bCs/>
          <w:lang w:val="en-US" w:eastAsia="zh-CN"/>
        </w:rPr>
        <w:t>注：</w:t>
      </w:r>
      <w:r>
        <w:rPr>
          <w:rFonts w:hint="eastAsia" w:ascii="宋体" w:hAnsi="宋体" w:cs="宋体"/>
          <w:b/>
          <w:bCs/>
        </w:rPr>
        <w:t>带“*”标注为重要技术参数，须提供公安部检测报告原件扫描件作为有效证明材料。</w:t>
      </w:r>
    </w:p>
    <w:p w14:paraId="169AA89A">
      <w:pPr>
        <w:rPr>
          <w:rFonts w:hint="eastAsia" w:ascii="宋体" w:hAnsi="宋体" w:cs="宋体"/>
          <w:b/>
          <w:bCs/>
        </w:rPr>
      </w:pPr>
      <w:r>
        <w:rPr>
          <w:rFonts w:hint="eastAsia" w:ascii="宋体" w:hAnsi="宋体" w:cs="宋体"/>
          <w:b/>
          <w:bCs/>
        </w:rPr>
        <w:br w:type="page"/>
      </w:r>
    </w:p>
    <w:p w14:paraId="467321CF"/>
    <w:p w14:paraId="4781EC89">
      <w:pPr>
        <w:pStyle w:val="4"/>
        <w:adjustRightInd w:val="0"/>
        <w:snapToGrid w:val="0"/>
        <w:spacing w:before="0" w:after="0" w:line="360" w:lineRule="auto"/>
        <w:ind w:firstLine="0"/>
        <w:jc w:val="left"/>
        <w:rPr>
          <w:rFonts w:ascii="宋体" w:hAnsi="宋体" w:eastAsia="宋体" w:cs="宋体"/>
          <w:sz w:val="28"/>
          <w:szCs w:val="28"/>
          <w:lang w:val="zh-TW" w:eastAsia="zh-TW"/>
        </w:rPr>
      </w:pPr>
      <w:r>
        <w:rPr>
          <w:rFonts w:hint="eastAsia" w:ascii="宋体" w:hAnsi="宋体" w:eastAsia="宋体" w:cs="宋体"/>
          <w:sz w:val="28"/>
          <w:szCs w:val="28"/>
        </w:rPr>
        <w:t>3.</w:t>
      </w:r>
      <w:r>
        <w:rPr>
          <w:rFonts w:hint="eastAsia" w:ascii="宋体" w:hAnsi="宋体" w:eastAsia="宋体" w:cs="宋体"/>
          <w:sz w:val="28"/>
          <w:szCs w:val="28"/>
          <w:lang w:val="zh-TW" w:eastAsia="zh-TW"/>
        </w:rPr>
        <w:t>流量在线监测系统</w:t>
      </w:r>
    </w:p>
    <w:p w14:paraId="28EFAC66">
      <w:pPr>
        <w:spacing w:line="360" w:lineRule="auto"/>
        <w:ind w:firstLine="480"/>
        <w:rPr>
          <w:rFonts w:ascii="宋体" w:hAnsi="宋体" w:cs="宋体"/>
        </w:rPr>
      </w:pPr>
      <w:r>
        <w:rPr>
          <w:rFonts w:hint="eastAsia" w:ascii="宋体" w:hAnsi="宋体" w:cs="宋体"/>
        </w:rPr>
        <w:t>根据《入河入海排污口监督管理技术指南 入河排污口规范化建设》（HJ1309-2023）要求，入河排污口流量在线监测系统安装在采样监测点处.</w:t>
      </w:r>
    </w:p>
    <w:p w14:paraId="42519E96">
      <w:pPr>
        <w:spacing w:line="360" w:lineRule="auto"/>
        <w:ind w:firstLine="480"/>
        <w:rPr>
          <w:rFonts w:ascii="宋体" w:hAnsi="宋体" w:cs="宋体"/>
        </w:rPr>
      </w:pPr>
      <w:r>
        <w:rPr>
          <w:rFonts w:hint="eastAsia" w:ascii="宋体" w:hAnsi="宋体" w:cs="宋体"/>
        </w:rPr>
        <w:t>总体要求</w:t>
      </w:r>
    </w:p>
    <w:p w14:paraId="63B8DADF">
      <w:pPr>
        <w:spacing w:line="360" w:lineRule="auto"/>
        <w:ind w:firstLine="480"/>
        <w:rPr>
          <w:rFonts w:ascii="宋体" w:hAnsi="宋体" w:cs="宋体"/>
        </w:rPr>
      </w:pPr>
      <w:r>
        <w:rPr>
          <w:rFonts w:hint="eastAsia" w:ascii="宋体" w:hAnsi="宋体" w:cs="宋体"/>
        </w:rPr>
        <w:t>（1）需测定流量的排污单位，根据地形和排水方式及排水量大小，应在其排放口上游能包含全部污水束流的位置，修建一段特殊渠（管）道的测流段，以满足测量流量、流速的要求。</w:t>
      </w:r>
    </w:p>
    <w:p w14:paraId="6033C226">
      <w:pPr>
        <w:spacing w:line="360" w:lineRule="auto"/>
        <w:ind w:firstLine="480"/>
        <w:rPr>
          <w:rFonts w:ascii="宋体" w:hAnsi="宋体" w:cs="宋体"/>
        </w:rPr>
      </w:pPr>
      <w:r>
        <w:rPr>
          <w:rFonts w:hint="eastAsia" w:ascii="宋体" w:hAnsi="宋体" w:cs="宋体"/>
        </w:rPr>
        <w:t>（2）一般可安装三角形薄壁堰、矩形薄壁堰、巴歇尔槽等标准化计量堰（槽）。</w:t>
      </w:r>
    </w:p>
    <w:p w14:paraId="0F68E1DE">
      <w:pPr>
        <w:spacing w:line="360" w:lineRule="auto"/>
        <w:ind w:firstLine="480"/>
        <w:rPr>
          <w:rFonts w:ascii="宋体" w:hAnsi="宋体" w:cs="宋体"/>
        </w:rPr>
      </w:pPr>
      <w:r>
        <w:rPr>
          <w:rFonts w:hint="eastAsia" w:ascii="宋体" w:hAnsi="宋体" w:cs="宋体"/>
        </w:rPr>
        <w:t>（3）标准化计量堰（槽）的建设应使：能够清除堰板附近堆积物，能够进行明渠流量计比对工作。</w:t>
      </w:r>
    </w:p>
    <w:p w14:paraId="6D3B8DCA">
      <w:pPr>
        <w:spacing w:line="360" w:lineRule="auto"/>
        <w:ind w:firstLine="480"/>
        <w:rPr>
          <w:rFonts w:ascii="宋体" w:hAnsi="宋体" w:cs="宋体"/>
        </w:rPr>
      </w:pPr>
      <w:r>
        <w:rPr>
          <w:rFonts w:hint="eastAsia" w:ascii="宋体" w:hAnsi="宋体" w:cs="宋体"/>
        </w:rPr>
        <w:t>四、硬件技术参数要求</w:t>
      </w:r>
    </w:p>
    <w:p w14:paraId="10CBD1A2">
      <w:pPr>
        <w:autoSpaceDE w:val="0"/>
        <w:autoSpaceDN w:val="0"/>
        <w:adjustRightInd w:val="0"/>
        <w:spacing w:line="360" w:lineRule="auto"/>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超声波多普勒流量计</w:t>
      </w:r>
    </w:p>
    <w:tbl>
      <w:tblPr>
        <w:tblStyle w:val="28"/>
        <w:tblW w:w="0" w:type="auto"/>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873"/>
        <w:gridCol w:w="2655"/>
        <w:gridCol w:w="1213"/>
      </w:tblGrid>
      <w:tr w14:paraId="26CC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733B5951">
            <w:pPr>
              <w:topLinePunct/>
              <w:spacing w:line="360" w:lineRule="auto"/>
              <w:jc w:val="center"/>
              <w:rPr>
                <w:rFonts w:ascii="宋体" w:hAnsi="宋体" w:cs="宋体"/>
                <w:szCs w:val="28"/>
              </w:rPr>
            </w:pPr>
            <w:r>
              <w:rPr>
                <w:rFonts w:hint="eastAsia" w:ascii="宋体" w:hAnsi="宋体" w:cs="宋体"/>
                <w:szCs w:val="28"/>
              </w:rPr>
              <w:t>序号</w:t>
            </w:r>
          </w:p>
        </w:tc>
        <w:tc>
          <w:tcPr>
            <w:tcW w:w="2873" w:type="dxa"/>
            <w:vAlign w:val="center"/>
          </w:tcPr>
          <w:p w14:paraId="3B71A0E6">
            <w:pPr>
              <w:topLinePunct/>
              <w:spacing w:line="360" w:lineRule="auto"/>
              <w:jc w:val="center"/>
              <w:rPr>
                <w:rFonts w:ascii="宋体" w:hAnsi="宋体" w:cs="宋体"/>
                <w:szCs w:val="28"/>
              </w:rPr>
            </w:pPr>
            <w:r>
              <w:rPr>
                <w:rFonts w:hint="eastAsia" w:ascii="宋体" w:hAnsi="宋体" w:cs="宋体"/>
                <w:szCs w:val="28"/>
              </w:rPr>
              <w:t>参数名称</w:t>
            </w:r>
          </w:p>
        </w:tc>
        <w:tc>
          <w:tcPr>
            <w:tcW w:w="2655" w:type="dxa"/>
            <w:vAlign w:val="center"/>
          </w:tcPr>
          <w:p w14:paraId="331F460A">
            <w:pPr>
              <w:topLinePunct/>
              <w:spacing w:line="360" w:lineRule="auto"/>
              <w:jc w:val="center"/>
              <w:rPr>
                <w:rFonts w:ascii="宋体" w:hAnsi="宋体" w:cs="宋体"/>
                <w:szCs w:val="28"/>
              </w:rPr>
            </w:pPr>
            <w:r>
              <w:rPr>
                <w:rFonts w:hint="eastAsia" w:ascii="宋体" w:hAnsi="宋体" w:cs="宋体"/>
                <w:szCs w:val="28"/>
              </w:rPr>
              <w:t>技术规格</w:t>
            </w:r>
          </w:p>
        </w:tc>
        <w:tc>
          <w:tcPr>
            <w:tcW w:w="1213" w:type="dxa"/>
            <w:vAlign w:val="center"/>
          </w:tcPr>
          <w:p w14:paraId="5009057C">
            <w:pPr>
              <w:topLinePunct/>
              <w:spacing w:line="360" w:lineRule="auto"/>
              <w:jc w:val="center"/>
              <w:rPr>
                <w:rFonts w:ascii="宋体" w:hAnsi="宋体" w:cs="宋体"/>
                <w:szCs w:val="28"/>
              </w:rPr>
            </w:pPr>
            <w:r>
              <w:rPr>
                <w:rFonts w:hint="eastAsia" w:ascii="宋体" w:hAnsi="宋体" w:cs="宋体"/>
                <w:szCs w:val="28"/>
              </w:rPr>
              <w:t>备注</w:t>
            </w:r>
          </w:p>
        </w:tc>
      </w:tr>
      <w:tr w14:paraId="786C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5987EC25">
            <w:pPr>
              <w:topLinePunct/>
              <w:spacing w:line="360" w:lineRule="auto"/>
              <w:jc w:val="center"/>
              <w:rPr>
                <w:rFonts w:ascii="宋体" w:hAnsi="宋体" w:cs="宋体"/>
                <w:szCs w:val="28"/>
              </w:rPr>
            </w:pPr>
            <w:r>
              <w:rPr>
                <w:rFonts w:hint="eastAsia" w:ascii="宋体" w:hAnsi="宋体" w:cs="宋体"/>
                <w:szCs w:val="28"/>
              </w:rPr>
              <w:t>1</w:t>
            </w:r>
          </w:p>
        </w:tc>
        <w:tc>
          <w:tcPr>
            <w:tcW w:w="2873" w:type="dxa"/>
            <w:vAlign w:val="center"/>
          </w:tcPr>
          <w:p w14:paraId="6DB0329E">
            <w:pPr>
              <w:topLinePunct/>
              <w:spacing w:line="360" w:lineRule="auto"/>
              <w:jc w:val="center"/>
              <w:rPr>
                <w:rFonts w:ascii="宋体" w:hAnsi="宋体" w:cs="宋体"/>
                <w:szCs w:val="28"/>
              </w:rPr>
            </w:pPr>
            <w:r>
              <w:rPr>
                <w:rFonts w:hint="eastAsia" w:ascii="宋体" w:hAnsi="宋体" w:cs="宋体"/>
                <w:szCs w:val="28"/>
              </w:rPr>
              <w:t>测速范围</w:t>
            </w:r>
          </w:p>
        </w:tc>
        <w:tc>
          <w:tcPr>
            <w:tcW w:w="2655" w:type="dxa"/>
            <w:vAlign w:val="center"/>
          </w:tcPr>
          <w:p w14:paraId="55E5D63A">
            <w:pPr>
              <w:topLinePunct/>
              <w:spacing w:line="360" w:lineRule="auto"/>
              <w:jc w:val="center"/>
              <w:rPr>
                <w:rFonts w:ascii="宋体" w:hAnsi="宋体" w:cs="宋体"/>
                <w:szCs w:val="28"/>
              </w:rPr>
            </w:pPr>
            <w:r>
              <w:rPr>
                <w:rFonts w:hint="eastAsia" w:ascii="宋体" w:hAnsi="宋体" w:cs="宋体"/>
                <w:szCs w:val="28"/>
              </w:rPr>
              <w:t>-6m～6m/s</w:t>
            </w:r>
          </w:p>
        </w:tc>
        <w:tc>
          <w:tcPr>
            <w:tcW w:w="1213" w:type="dxa"/>
            <w:vAlign w:val="center"/>
          </w:tcPr>
          <w:p w14:paraId="41A9CB30">
            <w:pPr>
              <w:topLinePunct/>
              <w:spacing w:line="360" w:lineRule="auto"/>
              <w:jc w:val="center"/>
              <w:rPr>
                <w:rFonts w:ascii="宋体" w:hAnsi="宋体" w:cs="宋体"/>
                <w:szCs w:val="28"/>
              </w:rPr>
            </w:pPr>
          </w:p>
        </w:tc>
      </w:tr>
      <w:tr w14:paraId="7147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0F11B7DA">
            <w:pPr>
              <w:topLinePunct/>
              <w:spacing w:line="360" w:lineRule="auto"/>
              <w:jc w:val="center"/>
              <w:rPr>
                <w:rFonts w:ascii="宋体" w:hAnsi="宋体" w:cs="宋体"/>
                <w:szCs w:val="28"/>
              </w:rPr>
            </w:pPr>
            <w:r>
              <w:rPr>
                <w:rFonts w:hint="eastAsia" w:ascii="宋体" w:hAnsi="宋体" w:cs="宋体"/>
                <w:szCs w:val="28"/>
              </w:rPr>
              <w:t>2</w:t>
            </w:r>
          </w:p>
        </w:tc>
        <w:tc>
          <w:tcPr>
            <w:tcW w:w="2873" w:type="dxa"/>
            <w:vAlign w:val="center"/>
          </w:tcPr>
          <w:p w14:paraId="607B64F6">
            <w:pPr>
              <w:topLinePunct/>
              <w:spacing w:line="360" w:lineRule="auto"/>
              <w:jc w:val="center"/>
              <w:rPr>
                <w:rFonts w:ascii="宋体" w:hAnsi="宋体" w:cs="宋体"/>
                <w:szCs w:val="28"/>
              </w:rPr>
            </w:pPr>
            <w:r>
              <w:rPr>
                <w:rFonts w:hint="eastAsia" w:ascii="宋体" w:hAnsi="宋体" w:cs="宋体"/>
                <w:szCs w:val="28"/>
              </w:rPr>
              <w:t>测速精度</w:t>
            </w:r>
          </w:p>
        </w:tc>
        <w:tc>
          <w:tcPr>
            <w:tcW w:w="2655" w:type="dxa"/>
            <w:vAlign w:val="center"/>
          </w:tcPr>
          <w:p w14:paraId="21131E81">
            <w:pPr>
              <w:topLinePunct/>
              <w:spacing w:line="360" w:lineRule="auto"/>
              <w:jc w:val="center"/>
              <w:rPr>
                <w:rFonts w:ascii="宋体" w:hAnsi="宋体" w:cs="宋体"/>
                <w:szCs w:val="28"/>
              </w:rPr>
            </w:pPr>
            <w:r>
              <w:rPr>
                <w:rFonts w:hint="eastAsia" w:ascii="宋体" w:hAnsi="宋体" w:cs="宋体"/>
                <w:szCs w:val="28"/>
              </w:rPr>
              <w:t>±0.005m/s ；±1%FS</w:t>
            </w:r>
          </w:p>
        </w:tc>
        <w:tc>
          <w:tcPr>
            <w:tcW w:w="1213" w:type="dxa"/>
            <w:vAlign w:val="center"/>
          </w:tcPr>
          <w:p w14:paraId="6079C580">
            <w:pPr>
              <w:topLinePunct/>
              <w:spacing w:line="360" w:lineRule="auto"/>
              <w:jc w:val="center"/>
              <w:rPr>
                <w:rFonts w:ascii="宋体" w:hAnsi="宋体" w:cs="宋体"/>
                <w:szCs w:val="28"/>
              </w:rPr>
            </w:pPr>
          </w:p>
        </w:tc>
      </w:tr>
      <w:tr w14:paraId="690D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72B67AD1">
            <w:pPr>
              <w:topLinePunct/>
              <w:spacing w:line="360" w:lineRule="auto"/>
              <w:jc w:val="center"/>
              <w:rPr>
                <w:rFonts w:ascii="宋体" w:hAnsi="宋体" w:cs="宋体"/>
                <w:szCs w:val="28"/>
              </w:rPr>
            </w:pPr>
            <w:r>
              <w:rPr>
                <w:rFonts w:hint="eastAsia" w:ascii="宋体" w:hAnsi="宋体" w:cs="宋体"/>
                <w:szCs w:val="28"/>
              </w:rPr>
              <w:t>3</w:t>
            </w:r>
          </w:p>
        </w:tc>
        <w:tc>
          <w:tcPr>
            <w:tcW w:w="2873" w:type="dxa"/>
            <w:vAlign w:val="center"/>
          </w:tcPr>
          <w:p w14:paraId="0F205FEA">
            <w:pPr>
              <w:topLinePunct/>
              <w:spacing w:line="360" w:lineRule="auto"/>
              <w:jc w:val="center"/>
              <w:rPr>
                <w:rFonts w:ascii="宋体" w:hAnsi="宋体" w:cs="宋体"/>
                <w:szCs w:val="28"/>
              </w:rPr>
            </w:pPr>
            <w:r>
              <w:rPr>
                <w:rFonts w:hint="eastAsia" w:ascii="宋体" w:hAnsi="宋体" w:cs="宋体"/>
                <w:szCs w:val="28"/>
              </w:rPr>
              <w:t>稳定输出数据时间</w:t>
            </w:r>
          </w:p>
        </w:tc>
        <w:tc>
          <w:tcPr>
            <w:tcW w:w="2655" w:type="dxa"/>
            <w:vAlign w:val="center"/>
          </w:tcPr>
          <w:p w14:paraId="2AB1D0A1">
            <w:pPr>
              <w:topLinePunct/>
              <w:spacing w:line="360" w:lineRule="auto"/>
              <w:jc w:val="center"/>
              <w:rPr>
                <w:rFonts w:ascii="宋体" w:hAnsi="宋体" w:cs="宋体"/>
                <w:szCs w:val="28"/>
              </w:rPr>
            </w:pPr>
            <w:r>
              <w:rPr>
                <w:rFonts w:hint="eastAsia" w:ascii="宋体" w:hAnsi="宋体" w:cs="宋体"/>
                <w:szCs w:val="28"/>
              </w:rPr>
              <w:t>小于 10S</w:t>
            </w:r>
          </w:p>
        </w:tc>
        <w:tc>
          <w:tcPr>
            <w:tcW w:w="1213" w:type="dxa"/>
            <w:vAlign w:val="center"/>
          </w:tcPr>
          <w:p w14:paraId="17D9F335">
            <w:pPr>
              <w:topLinePunct/>
              <w:spacing w:line="360" w:lineRule="auto"/>
              <w:jc w:val="center"/>
              <w:rPr>
                <w:rFonts w:ascii="宋体" w:hAnsi="宋体" w:cs="宋体"/>
                <w:szCs w:val="28"/>
              </w:rPr>
            </w:pPr>
          </w:p>
        </w:tc>
      </w:tr>
      <w:tr w14:paraId="4745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71EBD9D7">
            <w:pPr>
              <w:topLinePunct/>
              <w:spacing w:line="360" w:lineRule="auto"/>
              <w:jc w:val="center"/>
              <w:rPr>
                <w:rFonts w:ascii="宋体" w:hAnsi="宋体" w:cs="宋体"/>
                <w:szCs w:val="28"/>
              </w:rPr>
            </w:pPr>
            <w:r>
              <w:rPr>
                <w:rFonts w:hint="eastAsia" w:ascii="宋体" w:hAnsi="宋体" w:cs="宋体"/>
                <w:szCs w:val="28"/>
              </w:rPr>
              <w:t>4</w:t>
            </w:r>
          </w:p>
        </w:tc>
        <w:tc>
          <w:tcPr>
            <w:tcW w:w="2873" w:type="dxa"/>
            <w:vAlign w:val="center"/>
          </w:tcPr>
          <w:p w14:paraId="3E931463">
            <w:pPr>
              <w:topLinePunct/>
              <w:spacing w:line="360" w:lineRule="auto"/>
              <w:jc w:val="center"/>
              <w:rPr>
                <w:rFonts w:ascii="宋体" w:hAnsi="宋体" w:cs="宋体"/>
                <w:szCs w:val="28"/>
              </w:rPr>
            </w:pPr>
            <w:r>
              <w:rPr>
                <w:rFonts w:hint="eastAsia" w:ascii="宋体" w:hAnsi="宋体" w:cs="宋体"/>
                <w:szCs w:val="28"/>
              </w:rPr>
              <w:t>最大测量水深</w:t>
            </w:r>
          </w:p>
        </w:tc>
        <w:tc>
          <w:tcPr>
            <w:tcW w:w="2655" w:type="dxa"/>
            <w:vAlign w:val="center"/>
          </w:tcPr>
          <w:p w14:paraId="0DE58024">
            <w:pPr>
              <w:topLinePunct/>
              <w:spacing w:line="360" w:lineRule="auto"/>
              <w:jc w:val="center"/>
              <w:rPr>
                <w:rFonts w:ascii="宋体" w:hAnsi="宋体" w:cs="宋体"/>
                <w:szCs w:val="28"/>
              </w:rPr>
            </w:pPr>
            <w:r>
              <w:rPr>
                <w:rFonts w:hint="eastAsia" w:ascii="宋体" w:hAnsi="宋体" w:cs="宋体"/>
                <w:szCs w:val="28"/>
              </w:rPr>
              <w:t>10m</w:t>
            </w:r>
          </w:p>
        </w:tc>
        <w:tc>
          <w:tcPr>
            <w:tcW w:w="1213" w:type="dxa"/>
            <w:vAlign w:val="center"/>
          </w:tcPr>
          <w:p w14:paraId="2F499C99">
            <w:pPr>
              <w:topLinePunct/>
              <w:spacing w:line="360" w:lineRule="auto"/>
              <w:jc w:val="center"/>
              <w:rPr>
                <w:rFonts w:ascii="宋体" w:hAnsi="宋体" w:cs="宋体"/>
                <w:szCs w:val="28"/>
              </w:rPr>
            </w:pPr>
          </w:p>
        </w:tc>
      </w:tr>
      <w:tr w14:paraId="26CA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6A8C7EB5">
            <w:pPr>
              <w:topLinePunct/>
              <w:spacing w:line="360" w:lineRule="auto"/>
              <w:jc w:val="center"/>
              <w:rPr>
                <w:rFonts w:ascii="宋体" w:hAnsi="宋体" w:cs="宋体"/>
                <w:szCs w:val="28"/>
              </w:rPr>
            </w:pPr>
            <w:r>
              <w:rPr>
                <w:rFonts w:hint="eastAsia" w:ascii="宋体" w:hAnsi="宋体" w:cs="宋体"/>
                <w:szCs w:val="28"/>
              </w:rPr>
              <w:t>5</w:t>
            </w:r>
          </w:p>
        </w:tc>
        <w:tc>
          <w:tcPr>
            <w:tcW w:w="2873" w:type="dxa"/>
            <w:vAlign w:val="center"/>
          </w:tcPr>
          <w:p w14:paraId="42041A7E">
            <w:pPr>
              <w:topLinePunct/>
              <w:spacing w:line="360" w:lineRule="auto"/>
              <w:jc w:val="center"/>
              <w:rPr>
                <w:rFonts w:ascii="宋体" w:hAnsi="宋体" w:cs="宋体"/>
                <w:szCs w:val="28"/>
              </w:rPr>
            </w:pPr>
            <w:r>
              <w:rPr>
                <w:rFonts w:hint="eastAsia" w:ascii="宋体" w:hAnsi="宋体" w:cs="宋体"/>
                <w:szCs w:val="28"/>
              </w:rPr>
              <w:t>水位测量精度</w:t>
            </w:r>
          </w:p>
        </w:tc>
        <w:tc>
          <w:tcPr>
            <w:tcW w:w="2655" w:type="dxa"/>
            <w:vAlign w:val="center"/>
          </w:tcPr>
          <w:p w14:paraId="1E309156">
            <w:pPr>
              <w:topLinePunct/>
              <w:spacing w:line="360" w:lineRule="auto"/>
              <w:jc w:val="center"/>
              <w:rPr>
                <w:rFonts w:ascii="宋体" w:hAnsi="宋体" w:cs="宋体"/>
                <w:szCs w:val="28"/>
              </w:rPr>
            </w:pPr>
            <w:r>
              <w:rPr>
                <w:rFonts w:hint="eastAsia" w:ascii="宋体" w:hAnsi="宋体" w:cs="宋体"/>
                <w:szCs w:val="28"/>
              </w:rPr>
              <w:t>±3mm</w:t>
            </w:r>
          </w:p>
        </w:tc>
        <w:tc>
          <w:tcPr>
            <w:tcW w:w="1213" w:type="dxa"/>
            <w:vAlign w:val="center"/>
          </w:tcPr>
          <w:p w14:paraId="22C9BC81">
            <w:pPr>
              <w:topLinePunct/>
              <w:spacing w:line="360" w:lineRule="auto"/>
              <w:jc w:val="center"/>
              <w:rPr>
                <w:rFonts w:ascii="宋体" w:hAnsi="宋体" w:cs="宋体"/>
                <w:szCs w:val="28"/>
              </w:rPr>
            </w:pPr>
          </w:p>
        </w:tc>
      </w:tr>
      <w:tr w14:paraId="4DE9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Align w:val="center"/>
          </w:tcPr>
          <w:p w14:paraId="7238EAD8">
            <w:pPr>
              <w:topLinePunct/>
              <w:spacing w:line="360" w:lineRule="auto"/>
              <w:jc w:val="center"/>
              <w:rPr>
                <w:rFonts w:ascii="宋体" w:hAnsi="宋体" w:cs="宋体"/>
                <w:szCs w:val="28"/>
              </w:rPr>
            </w:pPr>
            <w:r>
              <w:rPr>
                <w:rFonts w:hint="eastAsia" w:ascii="宋体" w:hAnsi="宋体" w:cs="宋体"/>
                <w:szCs w:val="28"/>
              </w:rPr>
              <w:t>6</w:t>
            </w:r>
          </w:p>
        </w:tc>
        <w:tc>
          <w:tcPr>
            <w:tcW w:w="2873" w:type="dxa"/>
            <w:vAlign w:val="center"/>
          </w:tcPr>
          <w:p w14:paraId="4372CC39">
            <w:pPr>
              <w:topLinePunct/>
              <w:spacing w:line="360" w:lineRule="auto"/>
              <w:jc w:val="center"/>
              <w:rPr>
                <w:rFonts w:ascii="宋体" w:hAnsi="宋体" w:cs="宋体"/>
                <w:szCs w:val="28"/>
              </w:rPr>
            </w:pPr>
            <w:r>
              <w:rPr>
                <w:rFonts w:hint="eastAsia" w:ascii="宋体" w:hAnsi="宋体" w:cs="宋体"/>
                <w:szCs w:val="28"/>
              </w:rPr>
              <w:t>防护等级</w:t>
            </w:r>
          </w:p>
        </w:tc>
        <w:tc>
          <w:tcPr>
            <w:tcW w:w="2655" w:type="dxa"/>
            <w:vAlign w:val="center"/>
          </w:tcPr>
          <w:p w14:paraId="4E57030C">
            <w:pPr>
              <w:topLinePunct/>
              <w:spacing w:line="360" w:lineRule="auto"/>
              <w:jc w:val="center"/>
              <w:rPr>
                <w:rFonts w:ascii="宋体" w:hAnsi="宋体" w:cs="宋体"/>
                <w:szCs w:val="28"/>
              </w:rPr>
            </w:pPr>
            <w:r>
              <w:rPr>
                <w:rFonts w:hint="eastAsia" w:ascii="宋体" w:hAnsi="宋体" w:cs="宋体"/>
                <w:szCs w:val="28"/>
              </w:rPr>
              <w:t>IP68</w:t>
            </w:r>
          </w:p>
        </w:tc>
        <w:tc>
          <w:tcPr>
            <w:tcW w:w="1213" w:type="dxa"/>
            <w:vAlign w:val="center"/>
          </w:tcPr>
          <w:p w14:paraId="261AEC60">
            <w:pPr>
              <w:topLinePunct/>
              <w:spacing w:line="360" w:lineRule="auto"/>
              <w:jc w:val="center"/>
              <w:rPr>
                <w:rFonts w:ascii="宋体" w:hAnsi="宋体" w:cs="宋体"/>
                <w:szCs w:val="28"/>
              </w:rPr>
            </w:pPr>
          </w:p>
        </w:tc>
      </w:tr>
    </w:tbl>
    <w:p w14:paraId="5CFDAE47">
      <w:pPr>
        <w:autoSpaceDE w:val="0"/>
        <w:autoSpaceDN w:val="0"/>
        <w:adjustRightInd w:val="0"/>
        <w:spacing w:line="360" w:lineRule="auto"/>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遥测终端（RTU）</w:t>
      </w:r>
    </w:p>
    <w:tbl>
      <w:tblPr>
        <w:tblStyle w:val="28"/>
        <w:tblW w:w="0" w:type="auto"/>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5607"/>
      </w:tblGrid>
      <w:tr w14:paraId="727A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vAlign w:val="center"/>
          </w:tcPr>
          <w:p w14:paraId="5DCCFC9C">
            <w:pPr>
              <w:topLinePunct/>
              <w:spacing w:line="360" w:lineRule="auto"/>
              <w:jc w:val="center"/>
              <w:rPr>
                <w:rFonts w:ascii="宋体" w:hAnsi="宋体" w:cs="宋体"/>
                <w:szCs w:val="28"/>
              </w:rPr>
            </w:pPr>
            <w:r>
              <w:rPr>
                <w:rFonts w:hint="eastAsia" w:ascii="宋体" w:hAnsi="宋体" w:cs="宋体"/>
                <w:szCs w:val="28"/>
              </w:rPr>
              <w:t>通讯方式</w:t>
            </w:r>
          </w:p>
        </w:tc>
        <w:tc>
          <w:tcPr>
            <w:tcW w:w="5607" w:type="dxa"/>
            <w:vAlign w:val="center"/>
          </w:tcPr>
          <w:p w14:paraId="2F2F7B59">
            <w:pPr>
              <w:topLinePunct/>
              <w:spacing w:line="360" w:lineRule="auto"/>
              <w:jc w:val="center"/>
              <w:rPr>
                <w:rFonts w:ascii="宋体" w:hAnsi="宋体" w:cs="宋体"/>
                <w:szCs w:val="28"/>
              </w:rPr>
            </w:pPr>
            <w:r>
              <w:rPr>
                <w:rFonts w:hint="eastAsia" w:ascii="宋体" w:hAnsi="宋体" w:cs="宋体"/>
                <w:szCs w:val="28"/>
              </w:rPr>
              <w:t>无线传输</w:t>
            </w:r>
          </w:p>
        </w:tc>
      </w:tr>
      <w:tr w14:paraId="154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680DDE34">
            <w:pPr>
              <w:topLinePunct/>
              <w:spacing w:line="360" w:lineRule="auto"/>
              <w:jc w:val="center"/>
              <w:rPr>
                <w:rFonts w:ascii="宋体" w:hAnsi="宋体" w:cs="宋体"/>
                <w:szCs w:val="28"/>
              </w:rPr>
            </w:pPr>
            <w:r>
              <w:rPr>
                <w:rFonts w:hint="eastAsia" w:ascii="宋体" w:hAnsi="宋体" w:cs="宋体"/>
                <w:szCs w:val="28"/>
              </w:rPr>
              <w:t>发射功率</w:t>
            </w:r>
          </w:p>
        </w:tc>
        <w:tc>
          <w:tcPr>
            <w:tcW w:w="5607" w:type="dxa"/>
            <w:vAlign w:val="center"/>
          </w:tcPr>
          <w:p w14:paraId="4FB3E03F">
            <w:pPr>
              <w:topLinePunct/>
              <w:spacing w:line="360" w:lineRule="auto"/>
              <w:jc w:val="center"/>
              <w:rPr>
                <w:rFonts w:ascii="宋体" w:hAnsi="宋体" w:cs="宋体"/>
                <w:szCs w:val="28"/>
              </w:rPr>
            </w:pPr>
            <w:r>
              <w:rPr>
                <w:rFonts w:hint="eastAsia" w:ascii="宋体" w:hAnsi="宋体" w:cs="宋体"/>
                <w:szCs w:val="28"/>
              </w:rPr>
              <w:t>23dB</w:t>
            </w:r>
          </w:p>
        </w:tc>
      </w:tr>
      <w:tr w14:paraId="4D8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BDEF4AF">
            <w:pPr>
              <w:topLinePunct/>
              <w:spacing w:line="360" w:lineRule="auto"/>
              <w:jc w:val="center"/>
              <w:rPr>
                <w:rFonts w:ascii="宋体" w:hAnsi="宋体" w:cs="宋体"/>
                <w:szCs w:val="28"/>
              </w:rPr>
            </w:pPr>
            <w:r>
              <w:rPr>
                <w:rFonts w:hint="eastAsia" w:ascii="宋体" w:hAnsi="宋体" w:cs="宋体"/>
                <w:szCs w:val="28"/>
              </w:rPr>
              <w:t>电池容量</w:t>
            </w:r>
          </w:p>
        </w:tc>
        <w:tc>
          <w:tcPr>
            <w:tcW w:w="5607" w:type="dxa"/>
            <w:vAlign w:val="center"/>
          </w:tcPr>
          <w:p w14:paraId="4D86B841">
            <w:pPr>
              <w:topLinePunct/>
              <w:spacing w:line="360" w:lineRule="auto"/>
              <w:jc w:val="center"/>
              <w:rPr>
                <w:rFonts w:ascii="宋体" w:hAnsi="宋体" w:cs="宋体"/>
                <w:szCs w:val="28"/>
              </w:rPr>
            </w:pPr>
            <w:r>
              <w:rPr>
                <w:rFonts w:hint="eastAsia" w:ascii="宋体" w:hAnsi="宋体" w:cs="宋体"/>
                <w:szCs w:val="28"/>
              </w:rPr>
              <w:t>3.6V@38Ah</w:t>
            </w:r>
          </w:p>
        </w:tc>
      </w:tr>
      <w:tr w14:paraId="37E6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57EBD6AE">
            <w:pPr>
              <w:topLinePunct/>
              <w:spacing w:line="360" w:lineRule="auto"/>
              <w:jc w:val="center"/>
              <w:rPr>
                <w:rFonts w:ascii="宋体" w:hAnsi="宋体" w:cs="宋体"/>
                <w:szCs w:val="28"/>
              </w:rPr>
            </w:pPr>
            <w:r>
              <w:rPr>
                <w:rFonts w:hint="eastAsia" w:ascii="宋体" w:hAnsi="宋体" w:cs="宋体"/>
                <w:szCs w:val="28"/>
              </w:rPr>
              <w:t>动态电流</w:t>
            </w:r>
          </w:p>
        </w:tc>
        <w:tc>
          <w:tcPr>
            <w:tcW w:w="5607" w:type="dxa"/>
            <w:vAlign w:val="center"/>
          </w:tcPr>
          <w:p w14:paraId="3428F65A">
            <w:pPr>
              <w:topLinePunct/>
              <w:spacing w:line="360" w:lineRule="auto"/>
              <w:jc w:val="center"/>
              <w:rPr>
                <w:rFonts w:ascii="宋体" w:hAnsi="宋体" w:cs="宋体"/>
                <w:szCs w:val="28"/>
              </w:rPr>
            </w:pPr>
            <w:r>
              <w:rPr>
                <w:rFonts w:hint="eastAsia" w:ascii="宋体" w:hAnsi="宋体" w:cs="宋体"/>
                <w:szCs w:val="28"/>
              </w:rPr>
              <w:t>&lt;500mA</w:t>
            </w:r>
          </w:p>
        </w:tc>
      </w:tr>
      <w:tr w14:paraId="6928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2B576EB3">
            <w:pPr>
              <w:topLinePunct/>
              <w:spacing w:line="360" w:lineRule="auto"/>
              <w:jc w:val="center"/>
              <w:rPr>
                <w:rFonts w:ascii="宋体" w:hAnsi="宋体" w:cs="宋体"/>
                <w:szCs w:val="28"/>
              </w:rPr>
            </w:pPr>
            <w:r>
              <w:rPr>
                <w:rFonts w:hint="eastAsia" w:ascii="宋体" w:hAnsi="宋体" w:cs="宋体"/>
                <w:szCs w:val="28"/>
              </w:rPr>
              <w:t>静态电流</w:t>
            </w:r>
          </w:p>
        </w:tc>
        <w:tc>
          <w:tcPr>
            <w:tcW w:w="5607" w:type="dxa"/>
            <w:vAlign w:val="center"/>
          </w:tcPr>
          <w:p w14:paraId="75B988A9">
            <w:pPr>
              <w:topLinePunct/>
              <w:spacing w:line="360" w:lineRule="auto"/>
              <w:jc w:val="center"/>
              <w:rPr>
                <w:rFonts w:ascii="宋体" w:hAnsi="宋体" w:cs="宋体"/>
                <w:szCs w:val="28"/>
              </w:rPr>
            </w:pPr>
            <w:r>
              <w:rPr>
                <w:rFonts w:hint="eastAsia" w:ascii="宋体" w:hAnsi="宋体" w:cs="宋体"/>
                <w:szCs w:val="28"/>
              </w:rPr>
              <w:t>＜35uA</w:t>
            </w:r>
          </w:p>
        </w:tc>
      </w:tr>
      <w:tr w14:paraId="3300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66ECEA2">
            <w:pPr>
              <w:topLinePunct/>
              <w:spacing w:line="360" w:lineRule="auto"/>
              <w:jc w:val="center"/>
              <w:rPr>
                <w:rFonts w:ascii="宋体" w:hAnsi="宋体" w:cs="宋体"/>
                <w:szCs w:val="28"/>
              </w:rPr>
            </w:pPr>
            <w:r>
              <w:rPr>
                <w:rFonts w:hint="eastAsia" w:ascii="宋体" w:hAnsi="宋体" w:cs="宋体"/>
                <w:szCs w:val="28"/>
              </w:rPr>
              <w:t>存储容量</w:t>
            </w:r>
          </w:p>
        </w:tc>
        <w:tc>
          <w:tcPr>
            <w:tcW w:w="5607" w:type="dxa"/>
            <w:vAlign w:val="center"/>
          </w:tcPr>
          <w:p w14:paraId="554BC7B9">
            <w:pPr>
              <w:topLinePunct/>
              <w:spacing w:line="360" w:lineRule="auto"/>
              <w:jc w:val="center"/>
              <w:rPr>
                <w:rFonts w:ascii="宋体" w:hAnsi="宋体" w:cs="宋体"/>
                <w:szCs w:val="28"/>
              </w:rPr>
            </w:pPr>
            <w:r>
              <w:rPr>
                <w:rFonts w:hint="eastAsia" w:ascii="宋体" w:hAnsi="宋体" w:cs="宋体"/>
                <w:szCs w:val="28"/>
              </w:rPr>
              <w:t>4Mbit</w:t>
            </w:r>
          </w:p>
        </w:tc>
      </w:tr>
      <w:tr w14:paraId="5ECF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F552031">
            <w:pPr>
              <w:topLinePunct/>
              <w:spacing w:line="360" w:lineRule="auto"/>
              <w:jc w:val="center"/>
              <w:rPr>
                <w:rFonts w:ascii="宋体" w:hAnsi="宋体" w:cs="宋体"/>
                <w:szCs w:val="28"/>
              </w:rPr>
            </w:pPr>
            <w:r>
              <w:rPr>
                <w:rFonts w:hint="eastAsia" w:ascii="宋体" w:hAnsi="宋体" w:cs="宋体"/>
                <w:szCs w:val="28"/>
              </w:rPr>
              <w:t>历史数据数量</w:t>
            </w:r>
          </w:p>
        </w:tc>
        <w:tc>
          <w:tcPr>
            <w:tcW w:w="5607" w:type="dxa"/>
            <w:vAlign w:val="center"/>
          </w:tcPr>
          <w:p w14:paraId="192A2676">
            <w:pPr>
              <w:topLinePunct/>
              <w:spacing w:line="360" w:lineRule="auto"/>
              <w:jc w:val="center"/>
              <w:rPr>
                <w:rFonts w:ascii="宋体" w:hAnsi="宋体" w:cs="宋体"/>
                <w:szCs w:val="28"/>
              </w:rPr>
            </w:pPr>
            <w:r>
              <w:rPr>
                <w:rFonts w:hint="eastAsia" w:ascii="宋体" w:hAnsi="宋体" w:cs="宋体"/>
                <w:szCs w:val="28"/>
              </w:rPr>
              <w:t>&gt;4000条</w:t>
            </w:r>
          </w:p>
        </w:tc>
      </w:tr>
      <w:tr w14:paraId="5B1C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80F36D4">
            <w:pPr>
              <w:topLinePunct/>
              <w:spacing w:line="360" w:lineRule="auto"/>
              <w:ind w:firstLine="420" w:firstLineChars="200"/>
              <w:jc w:val="center"/>
              <w:rPr>
                <w:rFonts w:ascii="宋体" w:hAnsi="宋体" w:cs="宋体"/>
                <w:szCs w:val="28"/>
              </w:rPr>
            </w:pPr>
            <w:r>
              <w:rPr>
                <w:rFonts w:hint="eastAsia" w:ascii="宋体" w:hAnsi="宋体" w:cs="宋体"/>
                <w:szCs w:val="28"/>
              </w:rPr>
              <w:t>存储时间</w:t>
            </w:r>
          </w:p>
        </w:tc>
        <w:tc>
          <w:tcPr>
            <w:tcW w:w="5607" w:type="dxa"/>
            <w:vAlign w:val="center"/>
          </w:tcPr>
          <w:p w14:paraId="278A499F">
            <w:pPr>
              <w:topLinePunct/>
              <w:spacing w:line="360" w:lineRule="auto"/>
              <w:jc w:val="center"/>
              <w:rPr>
                <w:rFonts w:ascii="宋体" w:hAnsi="宋体" w:cs="宋体"/>
                <w:szCs w:val="28"/>
              </w:rPr>
            </w:pPr>
            <w:r>
              <w:rPr>
                <w:rFonts w:hint="eastAsia" w:ascii="宋体" w:hAnsi="宋体" w:cs="宋体"/>
                <w:szCs w:val="28"/>
              </w:rPr>
              <w:t>&gt;10年</w:t>
            </w:r>
          </w:p>
        </w:tc>
      </w:tr>
      <w:tr w14:paraId="07D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2DCBE236">
            <w:pPr>
              <w:topLinePunct/>
              <w:spacing w:line="360" w:lineRule="auto"/>
              <w:ind w:firstLine="420" w:firstLineChars="200"/>
              <w:jc w:val="center"/>
              <w:rPr>
                <w:rFonts w:ascii="宋体" w:hAnsi="宋体" w:cs="宋体"/>
                <w:szCs w:val="28"/>
              </w:rPr>
            </w:pPr>
            <w:r>
              <w:rPr>
                <w:rFonts w:hint="eastAsia" w:ascii="宋体" w:hAnsi="宋体" w:cs="宋体"/>
                <w:szCs w:val="28"/>
              </w:rPr>
              <w:t>防水等级</w:t>
            </w:r>
          </w:p>
        </w:tc>
        <w:tc>
          <w:tcPr>
            <w:tcW w:w="5607" w:type="dxa"/>
            <w:vAlign w:val="center"/>
          </w:tcPr>
          <w:p w14:paraId="63047902">
            <w:pPr>
              <w:topLinePunct/>
              <w:spacing w:line="360" w:lineRule="auto"/>
              <w:jc w:val="center"/>
              <w:rPr>
                <w:rFonts w:ascii="宋体" w:hAnsi="宋体" w:cs="宋体"/>
                <w:szCs w:val="28"/>
              </w:rPr>
            </w:pPr>
            <w:r>
              <w:rPr>
                <w:rFonts w:hint="eastAsia" w:ascii="宋体" w:hAnsi="宋体" w:cs="宋体"/>
                <w:szCs w:val="28"/>
              </w:rPr>
              <w:t>IP68</w:t>
            </w:r>
          </w:p>
        </w:tc>
      </w:tr>
      <w:tr w14:paraId="6426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20D97AB1">
            <w:pPr>
              <w:topLinePunct/>
              <w:spacing w:line="360" w:lineRule="auto"/>
              <w:ind w:firstLine="420" w:firstLineChars="200"/>
              <w:jc w:val="center"/>
              <w:rPr>
                <w:rFonts w:ascii="宋体" w:hAnsi="宋体" w:cs="宋体"/>
                <w:szCs w:val="28"/>
              </w:rPr>
            </w:pPr>
            <w:r>
              <w:rPr>
                <w:rFonts w:hint="eastAsia" w:ascii="宋体" w:hAnsi="宋体" w:cs="宋体"/>
                <w:szCs w:val="28"/>
              </w:rPr>
              <w:t>工作环境</w:t>
            </w:r>
          </w:p>
        </w:tc>
        <w:tc>
          <w:tcPr>
            <w:tcW w:w="5607" w:type="dxa"/>
            <w:vAlign w:val="center"/>
          </w:tcPr>
          <w:p w14:paraId="0AD3008E">
            <w:pPr>
              <w:topLinePunct/>
              <w:spacing w:line="360" w:lineRule="auto"/>
              <w:jc w:val="center"/>
              <w:rPr>
                <w:rFonts w:ascii="宋体" w:hAnsi="宋体" w:cs="宋体"/>
                <w:szCs w:val="28"/>
              </w:rPr>
            </w:pPr>
            <w:r>
              <w:rPr>
                <w:rFonts w:hint="eastAsia" w:ascii="宋体" w:hAnsi="宋体" w:cs="宋体"/>
                <w:szCs w:val="28"/>
              </w:rPr>
              <w:t>温度(-40℃～+85℃),环境相对湿度</w:t>
            </w:r>
          </w:p>
        </w:tc>
      </w:tr>
    </w:tbl>
    <w:p w14:paraId="77E94850">
      <w:pPr>
        <w:pStyle w:val="43"/>
        <w:ind w:firstLine="0" w:firstLineChars="0"/>
        <w:rPr>
          <w:rFonts w:ascii="宋体" w:hAnsi="宋体" w:cs="宋体"/>
        </w:rPr>
      </w:pPr>
    </w:p>
    <w:p w14:paraId="7544FFE3">
      <w:pPr>
        <w:widowControl/>
        <w:rPr>
          <w:rFonts w:ascii="宋体" w:hAnsi="宋体" w:cs="宋体"/>
        </w:rPr>
      </w:pPr>
      <w:r>
        <w:rPr>
          <w:rFonts w:hint="eastAsia" w:ascii="宋体" w:hAnsi="宋体" w:cs="宋体"/>
        </w:rPr>
        <w:br w:type="page"/>
      </w:r>
    </w:p>
    <w:p w14:paraId="60AC9E72">
      <w:pPr>
        <w:pStyle w:val="4"/>
        <w:ind w:firstLine="0"/>
        <w:jc w:val="left"/>
        <w:rPr>
          <w:rFonts w:ascii="宋体" w:hAnsi="宋体" w:eastAsia="宋体" w:cs="宋体"/>
          <w:sz w:val="28"/>
          <w:szCs w:val="28"/>
        </w:rPr>
      </w:pPr>
      <w:r>
        <w:rPr>
          <w:rFonts w:hint="eastAsia" w:ascii="宋体" w:hAnsi="宋体" w:eastAsia="宋体" w:cs="宋体"/>
          <w:sz w:val="28"/>
          <w:szCs w:val="28"/>
        </w:rPr>
        <w:t>4.入河排污口管理系统</w:t>
      </w:r>
    </w:p>
    <w:p w14:paraId="2AE125E3">
      <w:pPr>
        <w:spacing w:line="360" w:lineRule="auto"/>
        <w:ind w:firstLine="480"/>
        <w:rPr>
          <w:rFonts w:ascii="宋体" w:hAnsi="宋体" w:cs="宋体"/>
        </w:rPr>
      </w:pPr>
      <w:r>
        <w:rPr>
          <w:rFonts w:hint="eastAsia" w:ascii="宋体" w:hAnsi="宋体" w:cs="宋体"/>
        </w:rPr>
        <w:t>入河排污口在线监控平台是将入河排污口水质监测系统、流量监测系统、视频监测系统通过协议与平台建立连接，直接将入河排污口相关信息接入到平台，实现对周口市颍河流域入河排污口的管理，提高数据信息的可用性和易用性。</w:t>
      </w:r>
    </w:p>
    <w:p w14:paraId="4156E214">
      <w:pPr>
        <w:spacing w:line="360" w:lineRule="auto"/>
        <w:ind w:firstLine="480"/>
        <w:rPr>
          <w:rFonts w:ascii="宋体" w:hAnsi="宋体" w:cs="宋体"/>
        </w:rPr>
      </w:pPr>
      <w:r>
        <w:rPr>
          <w:rFonts w:hint="eastAsia" w:ascii="宋体" w:hAnsi="宋体" w:cs="宋体"/>
        </w:rPr>
        <w:t>总体要求</w:t>
      </w:r>
    </w:p>
    <w:p w14:paraId="2883D15E">
      <w:pPr>
        <w:spacing w:line="360" w:lineRule="auto"/>
        <w:ind w:firstLine="480"/>
        <w:rPr>
          <w:rFonts w:ascii="宋体" w:hAnsi="宋体" w:cs="宋体"/>
        </w:rPr>
      </w:pPr>
      <w:r>
        <w:rPr>
          <w:rFonts w:hint="eastAsia" w:ascii="宋体" w:hAnsi="宋体" w:cs="宋体"/>
        </w:rPr>
        <w:t>数据采集、传输</w:t>
      </w:r>
    </w:p>
    <w:p w14:paraId="68B20CB3">
      <w:pPr>
        <w:spacing w:line="360" w:lineRule="auto"/>
        <w:ind w:firstLine="480"/>
        <w:rPr>
          <w:rFonts w:ascii="宋体" w:hAnsi="宋体" w:cs="宋体"/>
        </w:rPr>
      </w:pPr>
      <w:r>
        <w:rPr>
          <w:rFonts w:hint="eastAsia" w:ascii="宋体" w:hAnsi="宋体" w:cs="宋体"/>
        </w:rPr>
        <w:t>实现自动监测数据的接入，数据包的有效性检查、解析和入库；采用多线程异步通信技术与各监测点通信，可查看原始数据报文，并可实现数据同步转发；可实现多种不同接入协议的动态配置；支持接入协议的启用和停止；支持水站及监测项目动态扩展和调整；数据采集与传输性能指标需满足数据的实时性，数据传输延迟不大于5s；能满足至少5000个监测点同时采集。</w:t>
      </w:r>
    </w:p>
    <w:p w14:paraId="5F386380">
      <w:pPr>
        <w:spacing w:line="360" w:lineRule="auto"/>
        <w:ind w:firstLine="480"/>
        <w:rPr>
          <w:rFonts w:ascii="宋体" w:hAnsi="宋体" w:cs="宋体"/>
        </w:rPr>
      </w:pPr>
      <w:r>
        <w:rPr>
          <w:rFonts w:hint="eastAsia" w:ascii="宋体" w:hAnsi="宋体" w:cs="宋体"/>
        </w:rPr>
        <w:t>满足以下应用要求：</w:t>
      </w:r>
    </w:p>
    <w:p w14:paraId="2431F2B8">
      <w:pPr>
        <w:spacing w:line="360" w:lineRule="auto"/>
        <w:ind w:firstLine="480"/>
        <w:rPr>
          <w:rFonts w:ascii="宋体" w:hAnsi="宋体" w:cs="宋体"/>
        </w:rPr>
      </w:pPr>
      <w:r>
        <w:rPr>
          <w:rFonts w:hint="eastAsia" w:ascii="宋体" w:hAnsi="宋体" w:cs="宋体"/>
        </w:rPr>
        <w:t>①平台从水质自动监测站采集和传输的数据包括：水质监测数据、设备状态数据、系统和设备报警数据、设备内部参数数据、动力环境数据、视频监控数据等；</w:t>
      </w:r>
    </w:p>
    <w:p w14:paraId="3397DE71">
      <w:pPr>
        <w:spacing w:line="360" w:lineRule="auto"/>
        <w:ind w:firstLine="480"/>
        <w:rPr>
          <w:rFonts w:ascii="宋体" w:hAnsi="宋体" w:cs="宋体"/>
        </w:rPr>
      </w:pPr>
      <w:r>
        <w:rPr>
          <w:rFonts w:hint="eastAsia" w:ascii="宋体" w:hAnsi="宋体" w:cs="宋体"/>
        </w:rPr>
        <w:t>②支持统一的通讯协议标准，并能满足子站联网管理实际需求而扩展的协议指令，如心跳检测、远程质控及相关数据传输、针对浮船站的GPS定位；</w:t>
      </w:r>
    </w:p>
    <w:p w14:paraId="079C7D22">
      <w:pPr>
        <w:spacing w:line="360" w:lineRule="auto"/>
        <w:ind w:firstLine="480"/>
        <w:rPr>
          <w:rFonts w:ascii="宋体" w:hAnsi="宋体" w:cs="宋体"/>
        </w:rPr>
      </w:pPr>
      <w:r>
        <w:rPr>
          <w:rFonts w:hint="eastAsia" w:ascii="宋体" w:hAnsi="宋体" w:cs="宋体"/>
        </w:rPr>
        <w:t>③具备远程连接功能，能够连接按照统一规范建设的水质自动监测站点；</w:t>
      </w:r>
    </w:p>
    <w:p w14:paraId="17E9D586">
      <w:pPr>
        <w:spacing w:line="360" w:lineRule="auto"/>
        <w:ind w:firstLine="480"/>
        <w:rPr>
          <w:rFonts w:ascii="宋体" w:hAnsi="宋体" w:cs="宋体"/>
        </w:rPr>
      </w:pPr>
      <w:r>
        <w:rPr>
          <w:rFonts w:hint="eastAsia" w:ascii="宋体" w:hAnsi="宋体" w:cs="宋体"/>
        </w:rPr>
        <w:t>④支持实时接收和主动获取水质自动监测站通过各种信道上报的数据；</w:t>
      </w:r>
    </w:p>
    <w:p w14:paraId="34EC841E">
      <w:pPr>
        <w:spacing w:line="360" w:lineRule="auto"/>
        <w:ind w:firstLine="480"/>
        <w:rPr>
          <w:rFonts w:ascii="宋体" w:hAnsi="宋体" w:cs="宋体"/>
        </w:rPr>
      </w:pPr>
      <w:r>
        <w:rPr>
          <w:rFonts w:hint="eastAsia" w:ascii="宋体" w:hAnsi="宋体" w:cs="宋体"/>
        </w:rPr>
        <w:t>⑤具备实时监控远程站点的运行状态监控功能；</w:t>
      </w:r>
    </w:p>
    <w:p w14:paraId="5A849A74">
      <w:pPr>
        <w:spacing w:line="360" w:lineRule="auto"/>
        <w:ind w:firstLine="480"/>
        <w:rPr>
          <w:rFonts w:ascii="宋体" w:hAnsi="宋体" w:cs="宋体"/>
        </w:rPr>
      </w:pPr>
      <w:r>
        <w:rPr>
          <w:rFonts w:hint="eastAsia" w:ascii="宋体" w:hAnsi="宋体" w:cs="宋体"/>
        </w:rPr>
        <w:t>⑥具备根据监测因子的监测频率配置和制定数据采集周期和采集任务的功能；</w:t>
      </w:r>
    </w:p>
    <w:p w14:paraId="7B7E8B3F">
      <w:pPr>
        <w:spacing w:line="360" w:lineRule="auto"/>
        <w:ind w:firstLine="480"/>
        <w:rPr>
          <w:rFonts w:ascii="宋体" w:hAnsi="宋体" w:cs="宋体"/>
        </w:rPr>
      </w:pPr>
      <w:r>
        <w:rPr>
          <w:rFonts w:hint="eastAsia" w:ascii="宋体" w:hAnsi="宋体" w:cs="宋体"/>
        </w:rPr>
        <w:t>⑦提供处理大量并发的数据连接任务的能力；</w:t>
      </w:r>
    </w:p>
    <w:p w14:paraId="296F3196">
      <w:pPr>
        <w:spacing w:line="360" w:lineRule="auto"/>
        <w:ind w:firstLine="480"/>
        <w:rPr>
          <w:rFonts w:ascii="宋体" w:hAnsi="宋体" w:cs="宋体"/>
        </w:rPr>
      </w:pPr>
      <w:r>
        <w:rPr>
          <w:rFonts w:hint="eastAsia" w:ascii="宋体" w:hAnsi="宋体" w:cs="宋体"/>
        </w:rPr>
        <w:t>⑧具备负载均衡能力，支持集群功能，满足日益增长的监测站网数据传输和交换需要;</w:t>
      </w:r>
    </w:p>
    <w:p w14:paraId="3B247ED4">
      <w:pPr>
        <w:spacing w:line="360" w:lineRule="auto"/>
        <w:ind w:firstLine="480"/>
        <w:rPr>
          <w:rFonts w:ascii="宋体" w:hAnsi="宋体" w:cs="宋体"/>
        </w:rPr>
      </w:pPr>
      <w:r>
        <w:rPr>
          <w:rFonts w:hint="eastAsia" w:ascii="宋体" w:hAnsi="宋体" w:cs="宋体"/>
        </w:rPr>
        <w:t>⑨主服务模块支持跨平台部署，支持Windows和Linux;</w:t>
      </w:r>
    </w:p>
    <w:p w14:paraId="1AEF264B">
      <w:pPr>
        <w:spacing w:line="360" w:lineRule="auto"/>
        <w:ind w:firstLine="480"/>
        <w:rPr>
          <w:rFonts w:ascii="宋体" w:hAnsi="宋体" w:cs="宋体"/>
        </w:rPr>
      </w:pPr>
      <w:r>
        <w:rPr>
          <w:rFonts w:hint="eastAsia" w:ascii="宋体" w:hAnsi="宋体" w:cs="宋体"/>
        </w:rPr>
        <w:t>⑩平台具有数据回补功能，在网络状态异常等情况导致数据未及时上报的情况下，在网络恢复后平台需能够自动接收回补数据。</w:t>
      </w:r>
    </w:p>
    <w:p w14:paraId="0E31F698">
      <w:pPr>
        <w:spacing w:line="360" w:lineRule="auto"/>
        <w:ind w:firstLine="480"/>
        <w:rPr>
          <w:rFonts w:ascii="宋体" w:hAnsi="宋体" w:cs="宋体"/>
        </w:rPr>
      </w:pPr>
      <w:r>
        <w:rPr>
          <w:rFonts w:hint="eastAsia" w:ascii="宋体" w:hAnsi="宋体" w:cs="宋体"/>
        </w:rPr>
        <w:t>数据存储</w:t>
      </w:r>
    </w:p>
    <w:p w14:paraId="2A4EE103">
      <w:pPr>
        <w:spacing w:line="360" w:lineRule="auto"/>
        <w:ind w:firstLine="480"/>
        <w:rPr>
          <w:rFonts w:ascii="宋体" w:hAnsi="宋体" w:cs="宋体"/>
        </w:rPr>
      </w:pPr>
      <w:r>
        <w:rPr>
          <w:rFonts w:hint="eastAsia" w:ascii="宋体" w:hAnsi="宋体" w:cs="宋体"/>
        </w:rPr>
        <w:t>数据采集服务采用先进技术满足高性能的通讯存储要求，系统不仅仅满足目前全部水站数据接入的需求，考虑以后的点位扩展需求，满足日益增长的水站数据传输和交换需要。至少支持1万个现场点位同时入库，满足分钟级数据上传需求，支持大数据存储需求。</w:t>
      </w:r>
    </w:p>
    <w:p w14:paraId="37F90400">
      <w:pPr>
        <w:spacing w:line="360" w:lineRule="auto"/>
        <w:ind w:firstLine="480"/>
        <w:rPr>
          <w:rFonts w:ascii="宋体" w:hAnsi="宋体" w:cs="宋体"/>
        </w:rPr>
      </w:pPr>
      <w:r>
        <w:rPr>
          <w:rFonts w:hint="eastAsia" w:ascii="宋体" w:hAnsi="宋体" w:cs="宋体"/>
        </w:rPr>
        <w:t>数据展示</w:t>
      </w:r>
    </w:p>
    <w:p w14:paraId="7B94A544">
      <w:pPr>
        <w:spacing w:line="360" w:lineRule="auto"/>
        <w:ind w:firstLine="480"/>
        <w:rPr>
          <w:rFonts w:ascii="宋体" w:hAnsi="宋体" w:cs="宋体"/>
        </w:rPr>
      </w:pPr>
      <w:r>
        <w:rPr>
          <w:rFonts w:hint="eastAsia" w:ascii="宋体" w:hAnsi="宋体" w:cs="宋体"/>
        </w:rPr>
        <w:t>（1）综合展示</w:t>
      </w:r>
    </w:p>
    <w:p w14:paraId="20AE6ECE">
      <w:pPr>
        <w:spacing w:line="360" w:lineRule="auto"/>
        <w:ind w:firstLine="480"/>
        <w:rPr>
          <w:rFonts w:ascii="宋体" w:hAnsi="宋体" w:cs="宋体"/>
        </w:rPr>
      </w:pPr>
      <w:r>
        <w:rPr>
          <w:rFonts w:hint="eastAsia" w:ascii="宋体" w:hAnsi="宋体" w:cs="宋体"/>
        </w:rPr>
        <w:t>综合展示入河排污口某个时间段内的水质状况及设备运行的总览情况，包括质控统计情况、运维统计情况、重要任务、重要报警及跟踪处理情况、数据审核完成情况、重要公告及关注信息等信息，以上信息支持大屏模式展示，面向领导汇报及重点任务跟踪管理，实现入河排污口水环境大屏看板管理。</w:t>
      </w:r>
    </w:p>
    <w:p w14:paraId="00C18D4A">
      <w:pPr>
        <w:spacing w:line="360" w:lineRule="auto"/>
        <w:ind w:firstLine="480"/>
        <w:rPr>
          <w:rFonts w:ascii="宋体" w:hAnsi="宋体" w:cs="宋体"/>
        </w:rPr>
      </w:pPr>
      <w:r>
        <w:rPr>
          <w:rFonts w:hint="eastAsia" w:ascii="宋体" w:hAnsi="宋体" w:cs="宋体"/>
        </w:rPr>
        <w:t>（2）GIS地图展示</w:t>
      </w:r>
    </w:p>
    <w:p w14:paraId="2D1D133C">
      <w:pPr>
        <w:spacing w:line="360" w:lineRule="auto"/>
        <w:ind w:firstLine="480"/>
        <w:rPr>
          <w:rFonts w:ascii="宋体" w:hAnsi="宋体" w:cs="宋体"/>
        </w:rPr>
      </w:pPr>
      <w:r>
        <w:rPr>
          <w:rFonts w:hint="eastAsia" w:ascii="宋体" w:hAnsi="宋体" w:cs="宋体"/>
        </w:rPr>
        <w:t>在GIS地图上直观展示所有监测点位的点位分布位置、运行状态、通讯状态、最新监测数据等信息。可以查看水质情况、在线率、超标情况、超标点位、首要污染物因子及历史数据等内容。能通过图表等方式对历史数据趋势进行分析，并对超标和异常数据进行标识提醒。</w:t>
      </w:r>
    </w:p>
    <w:p w14:paraId="14AC9B03">
      <w:pPr>
        <w:spacing w:line="360" w:lineRule="auto"/>
        <w:ind w:firstLine="480"/>
        <w:rPr>
          <w:rFonts w:ascii="宋体" w:hAnsi="宋体" w:cs="宋体"/>
        </w:rPr>
      </w:pPr>
      <w:r>
        <w:rPr>
          <w:rFonts w:hint="eastAsia" w:ascii="宋体" w:hAnsi="宋体" w:cs="宋体"/>
        </w:rPr>
        <w:t>（3）视频监控</w:t>
      </w:r>
    </w:p>
    <w:p w14:paraId="5084D83A">
      <w:pPr>
        <w:spacing w:line="360" w:lineRule="auto"/>
        <w:ind w:firstLine="480"/>
        <w:rPr>
          <w:rFonts w:ascii="宋体" w:hAnsi="宋体" w:cs="宋体"/>
        </w:rPr>
      </w:pPr>
      <w:r>
        <w:rPr>
          <w:rFonts w:hint="eastAsia" w:ascii="宋体" w:hAnsi="宋体" w:cs="宋体"/>
        </w:rPr>
        <w:t>实现对水站现场自动监测系统的视频集成功能，可以调看现场实时视频、历史视频，支持视频云台控制。支持视频事件联动，依据门禁事件、报警事件等联动控制视频转动，录取视频和拍照，并上传到中心平台保存，作为报警等事件的关联信息，便于以后查看。能够将系统运行情况和用户的主要操作自动生成日记，方便维护管理和用户行为的事后审计；所有日志能够导出，保存成CSV格式，用户可以通过EXCEL等工具进行浏览分析。</w:t>
      </w:r>
    </w:p>
    <w:p w14:paraId="4B72257C">
      <w:pPr>
        <w:spacing w:line="360" w:lineRule="auto"/>
        <w:ind w:firstLine="480"/>
        <w:rPr>
          <w:rFonts w:ascii="宋体" w:hAnsi="宋体" w:cs="宋体"/>
        </w:rPr>
      </w:pPr>
      <w:r>
        <w:rPr>
          <w:rFonts w:hint="eastAsia" w:ascii="宋体" w:hAnsi="宋体" w:cs="宋体"/>
        </w:rPr>
        <w:t>数据质量控制与管理</w:t>
      </w:r>
    </w:p>
    <w:p w14:paraId="266D6D92">
      <w:pPr>
        <w:spacing w:line="360" w:lineRule="auto"/>
        <w:ind w:firstLine="480"/>
        <w:rPr>
          <w:rFonts w:ascii="宋体" w:hAnsi="宋体" w:cs="宋体"/>
        </w:rPr>
      </w:pPr>
      <w:r>
        <w:rPr>
          <w:rFonts w:hint="eastAsia" w:ascii="宋体" w:hAnsi="宋体" w:cs="宋体"/>
        </w:rPr>
        <w:t>运用设备智能化技术、模型分析技术，结合多种度量规则和核查方法对数据质量（重复性、关联性、正确性、完全性、一致性、合理性等）进行全面评估，及时发现数据异常，从多个层次保障数据准确性、合理性和完整性。</w:t>
      </w:r>
    </w:p>
    <w:p w14:paraId="77C62F7E">
      <w:pPr>
        <w:spacing w:line="360" w:lineRule="auto"/>
        <w:ind w:firstLine="480"/>
        <w:rPr>
          <w:rFonts w:ascii="宋体" w:hAnsi="宋体" w:cs="宋体"/>
        </w:rPr>
      </w:pPr>
      <w:r>
        <w:rPr>
          <w:rFonts w:hint="eastAsia" w:ascii="宋体" w:hAnsi="宋体" w:cs="宋体"/>
        </w:rPr>
        <w:t>系统同时具备自动审核和人工审核两种方式。通过内置的多种可靠性检验和实时监控方法能够辅助对海量数据的自动筛检，对异常数据、缺失数据进行标识，提高数据维护的自动化水平和效率。系统提供多种自动审核的规则和方法，根据在线数据错误原因和实际情况，可以分别对各个水站以及监测因子配置各自的审核规则。在审核规则配置完成后，系统能够对数据自动检测，对异常的数据进行自动标识或执行预定义的操作，如删除、发送警报信息等。</w:t>
      </w:r>
    </w:p>
    <w:p w14:paraId="7F617359">
      <w:pPr>
        <w:spacing w:line="360" w:lineRule="auto"/>
        <w:ind w:firstLine="480"/>
        <w:rPr>
          <w:rFonts w:ascii="宋体" w:hAnsi="宋体" w:cs="宋体"/>
        </w:rPr>
      </w:pPr>
      <w:r>
        <w:rPr>
          <w:rFonts w:hint="eastAsia" w:ascii="宋体" w:hAnsi="宋体" w:cs="宋体"/>
        </w:rPr>
        <w:t>数据综合应用</w:t>
      </w:r>
    </w:p>
    <w:p w14:paraId="1D1699E6">
      <w:pPr>
        <w:spacing w:line="360" w:lineRule="auto"/>
        <w:ind w:firstLine="480"/>
        <w:rPr>
          <w:rFonts w:ascii="宋体" w:hAnsi="宋体" w:cs="宋体"/>
        </w:rPr>
      </w:pPr>
      <w:r>
        <w:rPr>
          <w:rFonts w:hint="eastAsia" w:ascii="宋体" w:hAnsi="宋体" w:cs="宋体"/>
        </w:rPr>
        <w:t>按照标准规范将数据进行整理、加工，整合成统一的数据库，形成覆盖周口市颍河流域入河排污口的多类型、多尺度、多时态的综合性水环境数据中心，建立数据分发、数据更新与管理维护体系，为日常管理与决策提供可靠、全面、准确的数据支撑。</w:t>
      </w:r>
    </w:p>
    <w:p w14:paraId="5043AC6B">
      <w:pPr>
        <w:spacing w:line="360" w:lineRule="auto"/>
        <w:ind w:firstLine="480"/>
        <w:rPr>
          <w:rFonts w:ascii="宋体" w:hAnsi="宋体" w:cs="宋体"/>
        </w:rPr>
      </w:pPr>
      <w:r>
        <w:rPr>
          <w:rFonts w:hint="eastAsia" w:ascii="宋体" w:hAnsi="宋体" w:cs="宋体"/>
        </w:rPr>
        <w:t>从用户的实际需求出发进行设计，体现监测为管理服务的思想，并对数据进行多维度分析和可视化展示，使用户可以从宏观到微观了解每个入河排污口的水质现状、模拟变化趋势、预测预警水环境风险，能够对风险进行科学处置。</w:t>
      </w:r>
    </w:p>
    <w:p w14:paraId="5B000C09">
      <w:pPr>
        <w:spacing w:line="360" w:lineRule="auto"/>
        <w:ind w:firstLine="480"/>
        <w:rPr>
          <w:rFonts w:ascii="宋体" w:hAnsi="宋体" w:cs="宋体"/>
        </w:rPr>
      </w:pPr>
      <w:r>
        <w:rPr>
          <w:rFonts w:hint="eastAsia" w:ascii="宋体" w:hAnsi="宋体" w:cs="宋体"/>
        </w:rPr>
        <w:t>（1）数据查询</w:t>
      </w:r>
    </w:p>
    <w:p w14:paraId="59E08B1E">
      <w:pPr>
        <w:spacing w:line="360" w:lineRule="auto"/>
        <w:ind w:firstLine="480"/>
        <w:rPr>
          <w:rFonts w:ascii="宋体" w:hAnsi="宋体" w:cs="宋体"/>
        </w:rPr>
      </w:pPr>
      <w:r>
        <w:rPr>
          <w:rFonts w:hint="eastAsia" w:ascii="宋体" w:hAnsi="宋体" w:cs="宋体"/>
        </w:rPr>
        <w:t>具有在不同条件能够下查询相应监测数据的功能。能按点位、区域、时段、断面属性等条件查询；支持原始数据查询、有效数据查询、有效日均值、月均值、年均值、时段值查询。支持图形化数据展示；支持单点多参、多点单参等数据比对查询；查询结果可导出。原始数据、审核数据、质控数据分库管理。</w:t>
      </w:r>
    </w:p>
    <w:p w14:paraId="3CCF3EC8">
      <w:pPr>
        <w:spacing w:line="360" w:lineRule="auto"/>
        <w:ind w:firstLine="480"/>
        <w:rPr>
          <w:rFonts w:ascii="宋体" w:hAnsi="宋体" w:cs="宋体"/>
        </w:rPr>
      </w:pPr>
      <w:r>
        <w:rPr>
          <w:rFonts w:hint="eastAsia" w:ascii="宋体" w:hAnsi="宋体" w:cs="宋体"/>
        </w:rPr>
        <w:t>（2）数据综合分析</w:t>
      </w:r>
    </w:p>
    <w:p w14:paraId="306ECBE1">
      <w:pPr>
        <w:spacing w:line="360" w:lineRule="auto"/>
        <w:ind w:firstLine="480"/>
        <w:rPr>
          <w:rFonts w:ascii="宋体" w:hAnsi="宋体" w:cs="宋体"/>
        </w:rPr>
      </w:pPr>
      <w:r>
        <w:rPr>
          <w:rFonts w:hint="eastAsia" w:ascii="宋体" w:hAnsi="宋体" w:cs="宋体"/>
        </w:rPr>
        <w:t>按照国家标准的评价考核标准，生成水质达标率、各类水质比例、功能超标率、以及按照国考和省控等分类进行评价的等各类标准评价表。以及相应的各类图标分析功能（时间段、断面属性和流域可选择的各类水质比例饼图，时间段可选且显示同比数据的Ⅰ～Ⅲ类水质比例柱状图等）。</w:t>
      </w:r>
    </w:p>
    <w:p w14:paraId="69BFA46A">
      <w:pPr>
        <w:spacing w:line="360" w:lineRule="auto"/>
        <w:ind w:firstLine="480"/>
        <w:rPr>
          <w:rFonts w:ascii="宋体" w:hAnsi="宋体" w:cs="宋体"/>
        </w:rPr>
      </w:pPr>
      <w:r>
        <w:rPr>
          <w:rFonts w:hint="eastAsia" w:ascii="宋体" w:hAnsi="宋体" w:cs="宋体"/>
        </w:rPr>
        <w:t>（3）数据报表</w:t>
      </w:r>
    </w:p>
    <w:p w14:paraId="7B7BEA25">
      <w:pPr>
        <w:spacing w:line="360" w:lineRule="auto"/>
        <w:ind w:firstLine="480"/>
      </w:pPr>
      <w:r>
        <w:rPr>
          <w:rFonts w:hint="eastAsia" w:ascii="宋体" w:hAnsi="宋体" w:cs="宋体"/>
        </w:rPr>
        <w:t>为满足对水质状况的统计及上报，系统提供多种类型的报表生成与导出功能，如周报、月报、季报、年报等。既可生成单个站点的水质报表，包括最大值、最小值、平均值、百分位值、区间值、超标次数等，又能按时间、流域、区域等导航的方式生成多个站点的水质状况报表。报表可导出成Word、Excel或PDF文件。</w:t>
      </w:r>
    </w:p>
    <w:p w14:paraId="01027C74">
      <w:pPr>
        <w:pStyle w:val="73"/>
      </w:pPr>
    </w:p>
    <w:p w14:paraId="0B82F8BE">
      <w:pPr>
        <w:pStyle w:val="73"/>
      </w:pPr>
    </w:p>
    <w:p w14:paraId="1F5042A2">
      <w:pPr>
        <w:pStyle w:val="73"/>
      </w:pPr>
    </w:p>
    <w:p w14:paraId="2AE652D7">
      <w:pPr>
        <w:pStyle w:val="73"/>
      </w:pPr>
    </w:p>
    <w:p w14:paraId="1807B28F">
      <w:pPr>
        <w:pStyle w:val="73"/>
      </w:pPr>
    </w:p>
    <w:p w14:paraId="1A6732B7">
      <w:pPr>
        <w:pStyle w:val="73"/>
      </w:pPr>
    </w:p>
    <w:p w14:paraId="7CA3A80C">
      <w:pPr>
        <w:pStyle w:val="73"/>
      </w:pPr>
    </w:p>
    <w:p w14:paraId="52B092C1">
      <w:pPr>
        <w:pStyle w:val="73"/>
      </w:pPr>
    </w:p>
    <w:p w14:paraId="619DDF47">
      <w:pPr>
        <w:pStyle w:val="73"/>
      </w:pPr>
    </w:p>
    <w:p w14:paraId="12131B47">
      <w:pPr>
        <w:pStyle w:val="73"/>
      </w:pPr>
    </w:p>
    <w:p w14:paraId="1F855271">
      <w:pPr>
        <w:pStyle w:val="73"/>
      </w:pPr>
    </w:p>
    <w:p w14:paraId="76B15442">
      <w:pPr>
        <w:pStyle w:val="73"/>
      </w:pPr>
    </w:p>
    <w:p w14:paraId="07D1F576">
      <w:pPr>
        <w:pStyle w:val="73"/>
      </w:pPr>
    </w:p>
    <w:p w14:paraId="0E9232CD">
      <w:pPr>
        <w:pStyle w:val="73"/>
      </w:pPr>
    </w:p>
    <w:p w14:paraId="172340D2">
      <w:pPr>
        <w:pStyle w:val="73"/>
      </w:pPr>
    </w:p>
    <w:p w14:paraId="2AEDEA26">
      <w:pPr>
        <w:pStyle w:val="73"/>
      </w:pPr>
    </w:p>
    <w:p w14:paraId="343E3C5B">
      <w:pPr>
        <w:pStyle w:val="73"/>
      </w:pPr>
    </w:p>
    <w:p w14:paraId="3D4630AD">
      <w:pPr>
        <w:pStyle w:val="73"/>
      </w:pPr>
    </w:p>
    <w:p w14:paraId="4EE5972B">
      <w:pPr>
        <w:pStyle w:val="73"/>
      </w:pPr>
    </w:p>
    <w:p w14:paraId="2673FAC6">
      <w:pPr>
        <w:pStyle w:val="73"/>
      </w:pPr>
    </w:p>
    <w:p w14:paraId="41AF9DFF">
      <w:pPr>
        <w:pStyle w:val="73"/>
      </w:pPr>
    </w:p>
    <w:p w14:paraId="52F5D6D7">
      <w:pPr>
        <w:pStyle w:val="73"/>
      </w:pPr>
    </w:p>
    <w:p w14:paraId="6FCE2FA7">
      <w:pPr>
        <w:pStyle w:val="73"/>
      </w:pPr>
    </w:p>
    <w:p w14:paraId="1D723A0F">
      <w:pPr>
        <w:pStyle w:val="73"/>
      </w:pPr>
    </w:p>
    <w:p w14:paraId="6C222BBA">
      <w:pPr>
        <w:pStyle w:val="73"/>
      </w:pPr>
    </w:p>
    <w:p w14:paraId="4A1D09EE">
      <w:pPr>
        <w:pStyle w:val="73"/>
      </w:pPr>
    </w:p>
    <w:p w14:paraId="70F1EBCE"/>
    <w:p w14:paraId="4CEEFC95"/>
    <w:p w14:paraId="42487370">
      <w:pPr>
        <w:pStyle w:val="73"/>
      </w:pPr>
    </w:p>
    <w:p w14:paraId="0F602D6C">
      <w:pPr>
        <w:pStyle w:val="73"/>
      </w:pPr>
    </w:p>
    <w:p w14:paraId="7A096E4A"/>
    <w:p w14:paraId="03BA1476">
      <w:pPr>
        <w:pStyle w:val="73"/>
      </w:pPr>
    </w:p>
    <w:p w14:paraId="0C858955">
      <w:pPr>
        <w:pStyle w:val="73"/>
      </w:pPr>
    </w:p>
    <w:p w14:paraId="4A13DC2D">
      <w:pPr>
        <w:pStyle w:val="73"/>
      </w:pPr>
    </w:p>
    <w:p w14:paraId="0FA932B4">
      <w:pPr>
        <w:pStyle w:val="73"/>
      </w:pPr>
    </w:p>
    <w:p w14:paraId="3B1F5B52">
      <w:pPr>
        <w:pStyle w:val="73"/>
      </w:pPr>
    </w:p>
    <w:p w14:paraId="64C11663">
      <w:pPr>
        <w:pStyle w:val="73"/>
      </w:pPr>
    </w:p>
    <w:p w14:paraId="50FF8D61"/>
    <w:p w14:paraId="38DD337D"/>
    <w:p w14:paraId="2B14518C"/>
    <w:p w14:paraId="10D57E98">
      <w:pPr>
        <w:pStyle w:val="4"/>
        <w:ind w:firstLine="0"/>
        <w:rPr>
          <w:rFonts w:ascii="宋体" w:hAnsi="宋体" w:eastAsia="宋体" w:cs="宋体"/>
        </w:rPr>
      </w:pPr>
      <w:r>
        <w:rPr>
          <w:rFonts w:hint="eastAsia" w:ascii="宋体" w:hAnsi="宋体" w:eastAsia="宋体" w:cs="宋体"/>
        </w:rPr>
        <w:t>第</w:t>
      </w:r>
      <w:bookmarkStart w:id="58" w:name="_Hlt240110027"/>
      <w:bookmarkEnd w:id="58"/>
      <w:r>
        <w:rPr>
          <w:rFonts w:hint="eastAsia" w:ascii="宋体" w:hAnsi="宋体" w:eastAsia="宋体" w:cs="宋体"/>
        </w:rPr>
        <w:t>四章 评标办法</w:t>
      </w:r>
    </w:p>
    <w:p w14:paraId="48B29D34">
      <w:pPr>
        <w:tabs>
          <w:tab w:val="left" w:pos="360"/>
          <w:tab w:val="left" w:pos="540"/>
          <w:tab w:val="left" w:pos="3600"/>
          <w:tab w:val="left" w:pos="3780"/>
          <w:tab w:val="left" w:pos="8460"/>
          <w:tab w:val="left" w:pos="9180"/>
        </w:tabs>
        <w:adjustRightInd w:val="0"/>
        <w:snapToGrid w:val="0"/>
        <w:spacing w:line="360" w:lineRule="auto"/>
        <w:ind w:firstLine="3313" w:firstLineChars="1375"/>
        <w:rPr>
          <w:rFonts w:ascii="宋体" w:hAnsi="宋体" w:cs="宋体"/>
          <w:b/>
          <w:sz w:val="24"/>
        </w:rPr>
      </w:pPr>
      <w:bookmarkStart w:id="59" w:name="_Toc10750_WPSOffice_Level2"/>
      <w:r>
        <w:rPr>
          <w:rFonts w:hint="eastAsia" w:ascii="宋体" w:hAnsi="宋体" w:cs="宋体"/>
          <w:b/>
          <w:sz w:val="24"/>
        </w:rPr>
        <w:t>一．总  则</w:t>
      </w:r>
      <w:bookmarkEnd w:id="59"/>
    </w:p>
    <w:p w14:paraId="22E39D1E">
      <w:pPr>
        <w:adjustRightInd w:val="0"/>
        <w:snapToGrid w:val="0"/>
        <w:spacing w:line="360" w:lineRule="auto"/>
        <w:ind w:right="-10" w:firstLine="422" w:firstLineChars="175"/>
        <w:rPr>
          <w:rFonts w:ascii="宋体" w:hAnsi="宋体" w:cs="宋体"/>
          <w:b/>
          <w:bCs/>
          <w:sz w:val="24"/>
        </w:rPr>
      </w:pPr>
      <w:r>
        <w:rPr>
          <w:rFonts w:hint="eastAsia" w:ascii="宋体" w:hAnsi="宋体" w:cs="宋体"/>
          <w:b/>
          <w:bCs/>
          <w:sz w:val="24"/>
        </w:rPr>
        <w:t xml:space="preserve">第一条 </w:t>
      </w:r>
      <w:r>
        <w:rPr>
          <w:rFonts w:hint="eastAsia" w:ascii="宋体" w:hAnsi="宋体" w:cs="宋体"/>
          <w:sz w:val="24"/>
        </w:rPr>
        <w:t>为了做好本项目（项目编号: ***号）的招标评标工作，保证项目评审工作的正常有序进行，维护采购人、投标人的合法权益，依据《中华人民共和国政府采购法》及其它相关法律法规，本着公开、公平、公正的原则，制定评标办法。</w:t>
      </w:r>
    </w:p>
    <w:p w14:paraId="703A9453">
      <w:pPr>
        <w:adjustRightInd w:val="0"/>
        <w:snapToGrid w:val="0"/>
        <w:spacing w:line="360" w:lineRule="auto"/>
        <w:ind w:right="-10" w:firstLine="422" w:firstLineChars="175"/>
        <w:rPr>
          <w:rFonts w:ascii="宋体" w:hAnsi="宋体" w:cs="宋体"/>
          <w:sz w:val="24"/>
        </w:rPr>
      </w:pPr>
      <w:r>
        <w:rPr>
          <w:rFonts w:hint="eastAsia" w:ascii="宋体" w:hAnsi="宋体" w:cs="宋体"/>
          <w:b/>
          <w:bCs/>
          <w:sz w:val="24"/>
        </w:rPr>
        <w:t xml:space="preserve">第二条 </w:t>
      </w:r>
      <w:r>
        <w:rPr>
          <w:rFonts w:hint="eastAsia" w:ascii="宋体" w:hAnsi="宋体" w:cs="宋体"/>
          <w:sz w:val="24"/>
        </w:rPr>
        <w:t>本次项目评标采用综合评分法作为对投标人标书的比较方法。</w:t>
      </w:r>
    </w:p>
    <w:p w14:paraId="1EE3485F">
      <w:pPr>
        <w:adjustRightInd w:val="0"/>
        <w:snapToGrid w:val="0"/>
        <w:spacing w:line="360" w:lineRule="auto"/>
        <w:ind w:left="-61" w:leftChars="-29" w:right="-10" w:firstLine="482" w:firstLineChars="200"/>
        <w:rPr>
          <w:rFonts w:ascii="宋体" w:hAnsi="宋体" w:cs="宋体"/>
          <w:sz w:val="24"/>
        </w:rPr>
      </w:pPr>
      <w:r>
        <w:rPr>
          <w:rFonts w:hint="eastAsia" w:ascii="宋体" w:hAnsi="宋体" w:cs="宋体"/>
          <w:b/>
          <w:sz w:val="24"/>
        </w:rPr>
        <w:t xml:space="preserve">第三条 </w:t>
      </w:r>
      <w:r>
        <w:rPr>
          <w:rFonts w:hint="eastAsia" w:ascii="宋体" w:hAnsi="宋体" w:cs="宋体"/>
          <w:sz w:val="24"/>
        </w:rPr>
        <w:t>按照《中华人民共和国政府采购法》及其相关规定组成评标委员会负责本项目的评审工作。评标委员会</w:t>
      </w:r>
      <w:r>
        <w:rPr>
          <w:rFonts w:hint="eastAsia" w:ascii="宋体" w:hAnsi="宋体" w:cs="宋体"/>
          <w:sz w:val="24"/>
          <w:szCs w:val="22"/>
        </w:rPr>
        <w:t>在政府采购专家库中随机抽取。</w:t>
      </w:r>
    </w:p>
    <w:p w14:paraId="12D7723C">
      <w:pPr>
        <w:adjustRightInd w:val="0"/>
        <w:snapToGrid w:val="0"/>
        <w:spacing w:line="360" w:lineRule="auto"/>
        <w:ind w:right="-10" w:firstLine="482" w:firstLineChars="200"/>
        <w:rPr>
          <w:rFonts w:ascii="宋体" w:hAnsi="宋体" w:cs="宋体"/>
          <w:sz w:val="24"/>
        </w:rPr>
      </w:pPr>
      <w:r>
        <w:rPr>
          <w:rFonts w:hint="eastAsia" w:ascii="宋体" w:hAnsi="宋体" w:cs="宋体"/>
          <w:b/>
          <w:sz w:val="24"/>
        </w:rPr>
        <w:t xml:space="preserve">第四条 </w:t>
      </w:r>
      <w:r>
        <w:rPr>
          <w:rFonts w:hint="eastAsia" w:ascii="宋体" w:hAnsi="宋体" w:cs="宋体"/>
          <w:sz w:val="24"/>
        </w:rPr>
        <w:t>评委会按照“客观公正，实事求是”的原则，评价参加本次招标的投标人所提供的产品价格、性能、质量、服务及对招标文件的符合性及响应性。</w:t>
      </w:r>
    </w:p>
    <w:p w14:paraId="49658C59">
      <w:pPr>
        <w:adjustRightInd w:val="0"/>
        <w:snapToGrid w:val="0"/>
        <w:spacing w:line="360" w:lineRule="auto"/>
        <w:jc w:val="center"/>
        <w:rPr>
          <w:rFonts w:ascii="宋体" w:hAnsi="宋体" w:cs="宋体"/>
          <w:sz w:val="24"/>
        </w:rPr>
      </w:pPr>
      <w:bookmarkStart w:id="60" w:name="_Toc31922_WPSOffice_Level2"/>
      <w:r>
        <w:rPr>
          <w:rFonts w:hint="eastAsia" w:ascii="宋体" w:hAnsi="宋体" w:cs="宋体"/>
          <w:b/>
          <w:sz w:val="24"/>
        </w:rPr>
        <w:t>二．评标程序及评审细则</w:t>
      </w:r>
      <w:bookmarkEnd w:id="60"/>
    </w:p>
    <w:p w14:paraId="284ADEC0">
      <w:pPr>
        <w:adjustRightInd w:val="0"/>
        <w:snapToGrid w:val="0"/>
        <w:spacing w:line="360" w:lineRule="auto"/>
        <w:ind w:right="-10" w:firstLine="422" w:firstLineChars="175"/>
        <w:rPr>
          <w:rFonts w:ascii="宋体" w:hAnsi="宋体" w:cs="宋体"/>
          <w:bCs/>
          <w:sz w:val="24"/>
        </w:rPr>
      </w:pPr>
      <w:r>
        <w:rPr>
          <w:rFonts w:hint="eastAsia" w:ascii="宋体" w:hAnsi="宋体" w:cs="宋体"/>
          <w:b/>
          <w:bCs/>
          <w:sz w:val="24"/>
        </w:rPr>
        <w:t>第五条</w:t>
      </w:r>
      <w:r>
        <w:rPr>
          <w:rFonts w:hint="eastAsia" w:ascii="宋体" w:hAnsi="宋体" w:cs="宋体"/>
          <w:bCs/>
          <w:sz w:val="24"/>
        </w:rPr>
        <w:t xml:space="preserve"> 评标工作于开标后进行。评委会应认真研究招标文件，至少应了解和熟悉以下内容：</w:t>
      </w:r>
    </w:p>
    <w:p w14:paraId="33192EAE">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（一）招标的目标；</w:t>
      </w:r>
    </w:p>
    <w:p w14:paraId="6C4E2C79">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（二）招标项目的范围和性质；</w:t>
      </w:r>
    </w:p>
    <w:p w14:paraId="742DCC19">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（三）招标文件中规定的主要技术要求、标准和商务条款；</w:t>
      </w:r>
    </w:p>
    <w:p w14:paraId="3D200F2D">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（四）招标文件规定的评标标准、评标方法和在评标过程中考虑的相关因素。</w:t>
      </w:r>
    </w:p>
    <w:p w14:paraId="074D8230">
      <w:pPr>
        <w:adjustRightInd w:val="0"/>
        <w:snapToGrid w:val="0"/>
        <w:spacing w:line="360" w:lineRule="auto"/>
        <w:ind w:right="-10" w:firstLine="422" w:firstLineChars="175"/>
        <w:rPr>
          <w:rFonts w:ascii="宋体" w:hAnsi="宋体" w:cs="宋体"/>
          <w:bCs/>
          <w:sz w:val="24"/>
        </w:rPr>
      </w:pPr>
      <w:r>
        <w:rPr>
          <w:rFonts w:hint="eastAsia" w:ascii="宋体" w:hAnsi="宋体" w:cs="宋体"/>
          <w:b/>
          <w:bCs/>
          <w:sz w:val="24"/>
        </w:rPr>
        <w:t>第六条</w:t>
      </w:r>
      <w:r>
        <w:rPr>
          <w:rFonts w:hint="eastAsia" w:ascii="宋体" w:hAnsi="宋体" w:cs="宋体"/>
          <w:bCs/>
          <w:sz w:val="24"/>
        </w:rPr>
        <w:t xml:space="preserve"> 有效投标应符合以下原则：</w:t>
      </w:r>
    </w:p>
    <w:p w14:paraId="4BAE0C0D">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（一）满足招标文件的实质性要求；</w:t>
      </w:r>
    </w:p>
    <w:p w14:paraId="61B170DB">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（二）无重大偏离、保留或采购人不能接受的附加条件；</w:t>
      </w:r>
    </w:p>
    <w:p w14:paraId="3C78B15D">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（三）通过投标符合性审查；</w:t>
      </w:r>
    </w:p>
    <w:p w14:paraId="2E33DF28">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（四）评委会依据招标文件认定的其他原则；</w:t>
      </w:r>
    </w:p>
    <w:p w14:paraId="1BD4DA4B">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（五）商务偏差表或技术偏差表数据不存在弄虚作假现象；</w:t>
      </w:r>
    </w:p>
    <w:p w14:paraId="7642814D">
      <w:pPr>
        <w:adjustRightInd w:val="0"/>
        <w:snapToGrid w:val="0"/>
        <w:spacing w:line="360" w:lineRule="auto"/>
        <w:ind w:right="-10" w:firstLine="420" w:firstLineChars="175"/>
        <w:rPr>
          <w:rFonts w:ascii="宋体" w:hAnsi="宋体" w:cs="宋体"/>
          <w:bCs/>
          <w:sz w:val="24"/>
        </w:rPr>
      </w:pPr>
      <w:r>
        <w:rPr>
          <w:rFonts w:hint="eastAsia" w:ascii="宋体" w:hAnsi="宋体" w:cs="宋体"/>
          <w:bCs/>
          <w:sz w:val="24"/>
        </w:rPr>
        <w:t>（六）投标人报价未超过采购人的采购预算；</w:t>
      </w:r>
    </w:p>
    <w:p w14:paraId="14F0DC66">
      <w:pPr>
        <w:adjustRightInd w:val="0"/>
        <w:snapToGrid w:val="0"/>
        <w:spacing w:line="360" w:lineRule="auto"/>
        <w:ind w:right="-10" w:firstLine="482" w:firstLineChars="200"/>
        <w:rPr>
          <w:rFonts w:ascii="宋体" w:hAnsi="宋体" w:cs="宋体"/>
          <w:bCs/>
          <w:sz w:val="24"/>
          <w:szCs w:val="22"/>
        </w:rPr>
      </w:pPr>
      <w:r>
        <w:rPr>
          <w:rFonts w:hint="eastAsia" w:ascii="宋体" w:hAnsi="宋体" w:cs="宋体"/>
          <w:b/>
          <w:sz w:val="24"/>
        </w:rPr>
        <w:t xml:space="preserve">第七条 </w:t>
      </w:r>
      <w:r>
        <w:rPr>
          <w:rFonts w:hint="eastAsia" w:ascii="宋体" w:hAnsi="宋体" w:cs="宋体"/>
          <w:sz w:val="24"/>
        </w:rPr>
        <w:t>评委会从每个投标人的投标文件开始独立评审，对开标后投标人所提出的优惠条件不予以考虑。按</w:t>
      </w:r>
      <w:r>
        <w:rPr>
          <w:rFonts w:hint="eastAsia" w:ascii="宋体" w:hAnsi="宋体" w:cs="宋体"/>
          <w:bCs/>
          <w:sz w:val="24"/>
          <w:szCs w:val="22"/>
        </w:rPr>
        <w:t>综合得分从高到低的顺序评出中标候选人。</w:t>
      </w:r>
    </w:p>
    <w:p w14:paraId="2F32D033">
      <w:pPr>
        <w:adjustRightInd w:val="0"/>
        <w:snapToGrid w:val="0"/>
        <w:spacing w:line="360" w:lineRule="auto"/>
        <w:ind w:right="-10" w:firstLine="482" w:firstLineChars="200"/>
        <w:rPr>
          <w:rFonts w:ascii="宋体" w:hAnsi="宋体" w:cs="宋体"/>
          <w:sz w:val="24"/>
        </w:rPr>
      </w:pPr>
      <w:r>
        <w:rPr>
          <w:rFonts w:hint="eastAsia" w:ascii="宋体" w:hAnsi="宋体" w:cs="宋体"/>
          <w:b/>
          <w:sz w:val="24"/>
        </w:rPr>
        <w:t xml:space="preserve">第八条 </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14:paraId="14D608C8">
      <w:pPr>
        <w:adjustRightInd w:val="0"/>
        <w:snapToGrid w:val="0"/>
        <w:spacing w:line="360" w:lineRule="auto"/>
        <w:ind w:right="-10" w:firstLine="482" w:firstLineChars="200"/>
        <w:rPr>
          <w:rFonts w:ascii="宋体" w:hAnsi="宋体" w:cs="宋体"/>
          <w:sz w:val="24"/>
        </w:rPr>
      </w:pPr>
      <w:r>
        <w:rPr>
          <w:rFonts w:hint="eastAsia" w:ascii="宋体" w:hAnsi="宋体" w:cs="宋体"/>
          <w:b/>
          <w:sz w:val="24"/>
        </w:rPr>
        <w:t>第九条</w:t>
      </w:r>
      <w:r>
        <w:rPr>
          <w:rFonts w:hint="eastAsia" w:ascii="宋体" w:hAnsi="宋体" w:cs="宋体"/>
          <w:sz w:val="24"/>
        </w:rPr>
        <w:t xml:space="preserve"> 评委会首先对各投标人进行符合性审查，通过符合性审查的投标人为有效投标人，有效投标人进入综合评分环节，按招标文件约定由评委会推荐中标候选人；没有通过符合性审查的投标人为无效投标。</w:t>
      </w:r>
    </w:p>
    <w:p w14:paraId="76E716FA">
      <w:pPr>
        <w:rPr>
          <w:rFonts w:ascii="宋体" w:hAnsi="宋体" w:cs="宋体"/>
          <w:sz w:val="24"/>
        </w:rPr>
      </w:pPr>
    </w:p>
    <w:p w14:paraId="3ECC4A14">
      <w:pPr>
        <w:pStyle w:val="20"/>
        <w:ind w:firstLine="480" w:firstLineChars="200"/>
        <w:rPr>
          <w:rFonts w:ascii="宋体" w:hAnsi="宋体" w:cs="宋体"/>
          <w:sz w:val="24"/>
          <w:szCs w:val="20"/>
        </w:rPr>
      </w:pPr>
    </w:p>
    <w:p w14:paraId="3D8DFB4D">
      <w:pPr>
        <w:pStyle w:val="20"/>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05"/>
        <w:gridCol w:w="2353"/>
        <w:gridCol w:w="725"/>
        <w:gridCol w:w="2569"/>
      </w:tblGrid>
      <w:tr w14:paraId="0F3B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8364" w:type="dxa"/>
            <w:gridSpan w:val="5"/>
            <w:vAlign w:val="center"/>
          </w:tcPr>
          <w:p w14:paraId="37F15CD8">
            <w:pPr>
              <w:pStyle w:val="49"/>
              <w:pBdr>
                <w:bottom w:val="none" w:color="auto" w:sz="0" w:space="0"/>
              </w:pBdr>
              <w:tabs>
                <w:tab w:val="clear" w:pos="4153"/>
                <w:tab w:val="clear" w:pos="8306"/>
              </w:tabs>
              <w:snapToGrid w:val="0"/>
              <w:spacing w:line="360" w:lineRule="auto"/>
              <w:ind w:right="-10"/>
              <w:textAlignment w:val="auto"/>
              <w:rPr>
                <w:rFonts w:ascii="宋体" w:hAnsi="宋体" w:cs="宋体"/>
                <w:b/>
                <w:kern w:val="2"/>
              </w:rPr>
            </w:pPr>
            <w:r>
              <w:rPr>
                <w:rFonts w:hint="eastAsia" w:ascii="宋体" w:hAnsi="宋体" w:cs="宋体"/>
                <w:b/>
                <w:kern w:val="2"/>
              </w:rPr>
              <w:t>项目符合性审查表</w:t>
            </w:r>
          </w:p>
        </w:tc>
      </w:tr>
      <w:tr w14:paraId="0DA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12" w:type="dxa"/>
            <w:tcBorders>
              <w:bottom w:val="single" w:color="auto" w:sz="4" w:space="0"/>
            </w:tcBorders>
            <w:vAlign w:val="center"/>
          </w:tcPr>
          <w:p w14:paraId="3E55B155">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005" w:type="dxa"/>
            <w:tcBorders>
              <w:bottom w:val="single" w:color="auto" w:sz="4" w:space="0"/>
            </w:tcBorders>
            <w:vAlign w:val="center"/>
          </w:tcPr>
          <w:p w14:paraId="35D0C96D">
            <w:pPr>
              <w:pStyle w:val="49"/>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2353" w:type="dxa"/>
            <w:tcBorders>
              <w:bottom w:val="single" w:color="auto" w:sz="4" w:space="0"/>
            </w:tcBorders>
            <w:vAlign w:val="center"/>
          </w:tcPr>
          <w:p w14:paraId="7E828D63">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725" w:type="dxa"/>
            <w:tcBorders>
              <w:bottom w:val="single" w:color="auto" w:sz="4" w:space="0"/>
            </w:tcBorders>
            <w:vAlign w:val="center"/>
          </w:tcPr>
          <w:p w14:paraId="7724CC92">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62F082C9">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569" w:type="dxa"/>
            <w:tcBorders>
              <w:bottom w:val="single" w:color="auto" w:sz="4" w:space="0"/>
            </w:tcBorders>
            <w:vAlign w:val="center"/>
          </w:tcPr>
          <w:p w14:paraId="15BCBB25">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4CFF4C7F">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5E22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712" w:type="dxa"/>
            <w:vAlign w:val="center"/>
          </w:tcPr>
          <w:p w14:paraId="25CF8904">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005" w:type="dxa"/>
            <w:vAlign w:val="center"/>
          </w:tcPr>
          <w:p w14:paraId="6622E483">
            <w:pPr>
              <w:spacing w:after="50" w:line="360" w:lineRule="auto"/>
              <w:ind w:right="-10"/>
              <w:jc w:val="center"/>
              <w:rPr>
                <w:rFonts w:ascii="宋体" w:hAnsi="宋体" w:cs="宋体"/>
                <w:sz w:val="24"/>
                <w:szCs w:val="28"/>
              </w:rPr>
            </w:pPr>
            <w:r>
              <w:rPr>
                <w:rFonts w:hint="eastAsia" w:ascii="宋体" w:hAnsi="宋体" w:cs="宋体"/>
                <w:sz w:val="24"/>
                <w:szCs w:val="28"/>
              </w:rPr>
              <w:t>投标人资格</w:t>
            </w:r>
          </w:p>
        </w:tc>
        <w:tc>
          <w:tcPr>
            <w:tcW w:w="2353" w:type="dxa"/>
            <w:vAlign w:val="center"/>
          </w:tcPr>
          <w:p w14:paraId="217322CB">
            <w:pPr>
              <w:spacing w:after="50" w:line="360" w:lineRule="auto"/>
              <w:ind w:right="-10"/>
              <w:jc w:val="center"/>
              <w:rPr>
                <w:rFonts w:ascii="宋体" w:hAnsi="宋体" w:cs="宋体"/>
                <w:sz w:val="24"/>
                <w:szCs w:val="28"/>
              </w:rPr>
            </w:pPr>
            <w:r>
              <w:rPr>
                <w:rFonts w:hint="eastAsia" w:ascii="宋体" w:hAnsi="宋体" w:cs="宋体"/>
                <w:sz w:val="24"/>
                <w:szCs w:val="28"/>
              </w:rPr>
              <w:t>见招标文件</w:t>
            </w:r>
          </w:p>
        </w:tc>
        <w:tc>
          <w:tcPr>
            <w:tcW w:w="725" w:type="dxa"/>
            <w:vAlign w:val="center"/>
          </w:tcPr>
          <w:p w14:paraId="5682F333">
            <w:pPr>
              <w:adjustRightInd w:val="0"/>
              <w:snapToGrid w:val="0"/>
              <w:spacing w:line="360" w:lineRule="auto"/>
              <w:ind w:right="-10"/>
              <w:rPr>
                <w:rFonts w:ascii="宋体" w:hAnsi="宋体" w:cs="宋体"/>
                <w:sz w:val="24"/>
              </w:rPr>
            </w:pPr>
          </w:p>
        </w:tc>
        <w:tc>
          <w:tcPr>
            <w:tcW w:w="2569" w:type="dxa"/>
            <w:vAlign w:val="center"/>
          </w:tcPr>
          <w:p w14:paraId="7049A2C5">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7F1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712" w:type="dxa"/>
            <w:vAlign w:val="center"/>
          </w:tcPr>
          <w:p w14:paraId="41097754">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005" w:type="dxa"/>
            <w:vAlign w:val="center"/>
          </w:tcPr>
          <w:p w14:paraId="1317CFE9">
            <w:pPr>
              <w:spacing w:after="50" w:line="360" w:lineRule="auto"/>
              <w:ind w:right="-10"/>
              <w:jc w:val="center"/>
              <w:rPr>
                <w:rFonts w:ascii="宋体" w:hAnsi="宋体" w:cs="宋体"/>
                <w:sz w:val="24"/>
                <w:szCs w:val="28"/>
              </w:rPr>
            </w:pPr>
            <w:r>
              <w:rPr>
                <w:rFonts w:hint="eastAsia" w:ascii="宋体" w:hAnsi="宋体" w:cs="宋体"/>
                <w:sz w:val="24"/>
                <w:szCs w:val="28"/>
              </w:rPr>
              <w:t>货物技术要求</w:t>
            </w:r>
          </w:p>
        </w:tc>
        <w:tc>
          <w:tcPr>
            <w:tcW w:w="2353" w:type="dxa"/>
            <w:vAlign w:val="center"/>
          </w:tcPr>
          <w:p w14:paraId="2B8F450C">
            <w:pPr>
              <w:spacing w:after="50" w:line="360" w:lineRule="auto"/>
              <w:ind w:right="-10"/>
              <w:jc w:val="center"/>
              <w:rPr>
                <w:rFonts w:ascii="宋体" w:hAnsi="宋体" w:cs="宋体"/>
                <w:sz w:val="24"/>
                <w:szCs w:val="28"/>
              </w:rPr>
            </w:pPr>
            <w:r>
              <w:rPr>
                <w:rFonts w:hint="eastAsia" w:ascii="宋体" w:hAnsi="宋体" w:cs="宋体"/>
                <w:sz w:val="24"/>
                <w:szCs w:val="28"/>
              </w:rPr>
              <w:t>按评标办法</w:t>
            </w:r>
          </w:p>
        </w:tc>
        <w:tc>
          <w:tcPr>
            <w:tcW w:w="725" w:type="dxa"/>
            <w:vAlign w:val="center"/>
          </w:tcPr>
          <w:p w14:paraId="7A241BE8">
            <w:pPr>
              <w:adjustRightInd w:val="0"/>
              <w:snapToGrid w:val="0"/>
              <w:spacing w:line="360" w:lineRule="auto"/>
              <w:ind w:right="-10"/>
              <w:rPr>
                <w:rFonts w:ascii="宋体" w:hAnsi="宋体" w:cs="宋体"/>
                <w:sz w:val="24"/>
              </w:rPr>
            </w:pPr>
          </w:p>
        </w:tc>
        <w:tc>
          <w:tcPr>
            <w:tcW w:w="2569" w:type="dxa"/>
            <w:vAlign w:val="center"/>
          </w:tcPr>
          <w:p w14:paraId="5E03224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A58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12" w:type="dxa"/>
            <w:vAlign w:val="center"/>
          </w:tcPr>
          <w:p w14:paraId="3B6D1D47">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005" w:type="dxa"/>
            <w:vAlign w:val="center"/>
          </w:tcPr>
          <w:p w14:paraId="2D1DF6C4">
            <w:pPr>
              <w:spacing w:after="50" w:line="360" w:lineRule="auto"/>
              <w:ind w:right="-10"/>
              <w:jc w:val="center"/>
              <w:rPr>
                <w:rFonts w:ascii="宋体" w:hAnsi="宋体" w:cs="宋体"/>
                <w:sz w:val="24"/>
                <w:szCs w:val="28"/>
              </w:rPr>
            </w:pPr>
            <w:r>
              <w:rPr>
                <w:rFonts w:hint="eastAsia" w:ascii="宋体" w:hAnsi="宋体" w:cs="宋体"/>
                <w:sz w:val="24"/>
                <w:szCs w:val="28"/>
              </w:rPr>
              <w:t>质保及售后等</w:t>
            </w:r>
          </w:p>
        </w:tc>
        <w:tc>
          <w:tcPr>
            <w:tcW w:w="2353" w:type="dxa"/>
            <w:vAlign w:val="center"/>
          </w:tcPr>
          <w:p w14:paraId="743EB576">
            <w:pPr>
              <w:spacing w:after="50" w:line="360" w:lineRule="auto"/>
              <w:ind w:right="-10"/>
              <w:jc w:val="center"/>
              <w:rPr>
                <w:rFonts w:ascii="宋体" w:hAnsi="宋体" w:cs="宋体"/>
                <w:sz w:val="24"/>
                <w:szCs w:val="28"/>
              </w:rPr>
            </w:pPr>
            <w:r>
              <w:rPr>
                <w:rFonts w:hint="eastAsia" w:ascii="宋体" w:hAnsi="宋体" w:cs="宋体"/>
                <w:sz w:val="24"/>
                <w:szCs w:val="28"/>
              </w:rPr>
              <w:t>见招标文件</w:t>
            </w:r>
          </w:p>
        </w:tc>
        <w:tc>
          <w:tcPr>
            <w:tcW w:w="725" w:type="dxa"/>
            <w:vAlign w:val="center"/>
          </w:tcPr>
          <w:p w14:paraId="6A0D4B51">
            <w:pPr>
              <w:adjustRightInd w:val="0"/>
              <w:snapToGrid w:val="0"/>
              <w:spacing w:line="360" w:lineRule="auto"/>
              <w:ind w:right="-10"/>
              <w:rPr>
                <w:rFonts w:ascii="宋体" w:hAnsi="宋体" w:cs="宋体"/>
                <w:sz w:val="24"/>
              </w:rPr>
            </w:pPr>
          </w:p>
        </w:tc>
        <w:tc>
          <w:tcPr>
            <w:tcW w:w="2569" w:type="dxa"/>
            <w:vAlign w:val="center"/>
          </w:tcPr>
          <w:p w14:paraId="6C46DC39">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bl>
    <w:p w14:paraId="278550A1">
      <w:pPr>
        <w:spacing w:line="360" w:lineRule="auto"/>
        <w:ind w:firstLine="482" w:firstLineChars="200"/>
        <w:rPr>
          <w:rFonts w:ascii="宋体" w:hAnsi="宋体" w:cs="Arial"/>
          <w:sz w:val="24"/>
          <w:szCs w:val="24"/>
        </w:rPr>
      </w:pPr>
      <w:r>
        <w:rPr>
          <w:rFonts w:hint="eastAsia" w:ascii="宋体" w:hAnsi="宋体"/>
          <w:b/>
          <w:bCs/>
          <w:sz w:val="24"/>
        </w:rPr>
        <w:t>评分标准（满分为100分）</w:t>
      </w:r>
      <w:r>
        <w:rPr>
          <w:rFonts w:hint="eastAsia" w:ascii="宋体" w:hAnsi="宋体"/>
          <w:sz w:val="24"/>
        </w:rPr>
        <w:t>说明:</w:t>
      </w:r>
      <w:r>
        <w:rPr>
          <w:rFonts w:hint="eastAsia" w:ascii="宋体" w:hAnsi="宋体" w:cs="Arial"/>
          <w:sz w:val="24"/>
          <w:szCs w:val="24"/>
        </w:rPr>
        <w:t>各投标人的最终得分为各评委得分的算术平均值；评分分值计算保留小数点后两位，小数点后第三位“四舍五入”。</w:t>
      </w:r>
    </w:p>
    <w:p w14:paraId="591F74C7">
      <w:pPr>
        <w:pStyle w:val="24"/>
        <w:spacing w:before="0" w:beforeAutospacing="0" w:after="0" w:afterAutospacing="0"/>
        <w:contextualSpacing/>
        <w:jc w:val="center"/>
        <w:rPr>
          <w:rFonts w:cs="宋体"/>
          <w:sz w:val="32"/>
          <w:szCs w:val="32"/>
        </w:rPr>
      </w:pPr>
    </w:p>
    <w:p w14:paraId="764BF976">
      <w:pPr>
        <w:pStyle w:val="24"/>
        <w:spacing w:before="0" w:beforeAutospacing="0" w:after="0" w:afterAutospacing="0"/>
        <w:contextualSpacing/>
        <w:jc w:val="center"/>
        <w:rPr>
          <w:rFonts w:cs="宋体"/>
          <w:sz w:val="32"/>
          <w:szCs w:val="32"/>
        </w:rPr>
      </w:pPr>
    </w:p>
    <w:p w14:paraId="061032DE">
      <w:pPr>
        <w:pStyle w:val="24"/>
        <w:spacing w:before="0" w:beforeAutospacing="0" w:after="0" w:afterAutospacing="0"/>
        <w:contextualSpacing/>
        <w:jc w:val="center"/>
        <w:rPr>
          <w:rFonts w:cs="宋体"/>
          <w:sz w:val="32"/>
          <w:szCs w:val="32"/>
        </w:rPr>
      </w:pPr>
    </w:p>
    <w:p w14:paraId="7F80F2F9">
      <w:pPr>
        <w:pStyle w:val="24"/>
        <w:spacing w:before="0" w:beforeAutospacing="0" w:after="0" w:afterAutospacing="0"/>
        <w:contextualSpacing/>
        <w:jc w:val="center"/>
        <w:rPr>
          <w:rFonts w:cs="宋体"/>
          <w:sz w:val="32"/>
          <w:szCs w:val="32"/>
        </w:rPr>
      </w:pPr>
    </w:p>
    <w:p w14:paraId="54A1F6D0">
      <w:pPr>
        <w:pStyle w:val="24"/>
        <w:spacing w:before="0" w:beforeAutospacing="0" w:after="0" w:afterAutospacing="0"/>
        <w:contextualSpacing/>
        <w:jc w:val="center"/>
        <w:rPr>
          <w:rFonts w:cs="宋体"/>
          <w:sz w:val="32"/>
          <w:szCs w:val="32"/>
        </w:rPr>
      </w:pPr>
    </w:p>
    <w:p w14:paraId="21A75B73">
      <w:pPr>
        <w:pStyle w:val="24"/>
        <w:spacing w:before="0" w:beforeAutospacing="0" w:after="0" w:afterAutospacing="0"/>
        <w:contextualSpacing/>
        <w:jc w:val="center"/>
        <w:rPr>
          <w:rFonts w:cs="宋体"/>
          <w:sz w:val="32"/>
          <w:szCs w:val="32"/>
        </w:rPr>
      </w:pPr>
    </w:p>
    <w:p w14:paraId="00A0A6A7">
      <w:pPr>
        <w:pStyle w:val="24"/>
        <w:spacing w:before="0" w:beforeAutospacing="0" w:after="0" w:afterAutospacing="0"/>
        <w:contextualSpacing/>
        <w:jc w:val="center"/>
        <w:rPr>
          <w:rFonts w:cs="宋体"/>
          <w:sz w:val="32"/>
          <w:szCs w:val="32"/>
        </w:rPr>
      </w:pPr>
    </w:p>
    <w:p w14:paraId="2E6614B1">
      <w:pPr>
        <w:pStyle w:val="24"/>
        <w:spacing w:before="0" w:beforeAutospacing="0" w:after="0" w:afterAutospacing="0"/>
        <w:contextualSpacing/>
        <w:jc w:val="center"/>
        <w:rPr>
          <w:rFonts w:cs="宋体"/>
          <w:sz w:val="32"/>
          <w:szCs w:val="32"/>
        </w:rPr>
      </w:pPr>
    </w:p>
    <w:p w14:paraId="14700E11">
      <w:pPr>
        <w:pStyle w:val="24"/>
        <w:spacing w:before="0" w:beforeAutospacing="0" w:after="0" w:afterAutospacing="0"/>
        <w:contextualSpacing/>
        <w:jc w:val="center"/>
        <w:rPr>
          <w:rFonts w:cs="宋体"/>
          <w:sz w:val="32"/>
          <w:szCs w:val="32"/>
        </w:rPr>
      </w:pPr>
    </w:p>
    <w:p w14:paraId="233522CD">
      <w:pPr>
        <w:pStyle w:val="24"/>
        <w:spacing w:before="0" w:beforeAutospacing="0" w:after="0" w:afterAutospacing="0"/>
        <w:contextualSpacing/>
        <w:jc w:val="center"/>
        <w:rPr>
          <w:rFonts w:cs="宋体"/>
          <w:sz w:val="32"/>
          <w:szCs w:val="32"/>
        </w:rPr>
      </w:pPr>
    </w:p>
    <w:p w14:paraId="3627A6AC">
      <w:pPr>
        <w:pStyle w:val="24"/>
        <w:spacing w:before="0" w:beforeAutospacing="0" w:after="0" w:afterAutospacing="0"/>
        <w:contextualSpacing/>
        <w:jc w:val="center"/>
        <w:rPr>
          <w:rFonts w:cs="宋体"/>
          <w:sz w:val="32"/>
          <w:szCs w:val="32"/>
        </w:rPr>
      </w:pPr>
    </w:p>
    <w:p w14:paraId="17C57F57">
      <w:pPr>
        <w:pStyle w:val="24"/>
        <w:spacing w:before="0" w:beforeAutospacing="0" w:after="0" w:afterAutospacing="0"/>
        <w:contextualSpacing/>
        <w:jc w:val="center"/>
        <w:rPr>
          <w:rFonts w:cs="宋体"/>
          <w:sz w:val="32"/>
          <w:szCs w:val="32"/>
        </w:rPr>
      </w:pPr>
    </w:p>
    <w:p w14:paraId="4D123819">
      <w:pPr>
        <w:pStyle w:val="24"/>
        <w:spacing w:before="0" w:beforeAutospacing="0" w:after="0" w:afterAutospacing="0"/>
        <w:contextualSpacing/>
        <w:jc w:val="center"/>
        <w:rPr>
          <w:rFonts w:cs="宋体"/>
          <w:sz w:val="32"/>
          <w:szCs w:val="32"/>
        </w:rPr>
      </w:pPr>
    </w:p>
    <w:p w14:paraId="23B7D31B">
      <w:pPr>
        <w:pStyle w:val="24"/>
        <w:spacing w:before="0" w:beforeAutospacing="0" w:after="0" w:afterAutospacing="0"/>
        <w:contextualSpacing/>
        <w:jc w:val="center"/>
        <w:rPr>
          <w:rFonts w:cs="宋体"/>
          <w:sz w:val="32"/>
          <w:szCs w:val="32"/>
        </w:rPr>
      </w:pPr>
    </w:p>
    <w:p w14:paraId="5E8215AE">
      <w:pPr>
        <w:pStyle w:val="24"/>
        <w:spacing w:before="0" w:beforeAutospacing="0" w:after="0" w:afterAutospacing="0"/>
        <w:contextualSpacing/>
        <w:jc w:val="center"/>
        <w:rPr>
          <w:rFonts w:cs="宋体"/>
          <w:sz w:val="32"/>
          <w:szCs w:val="32"/>
        </w:rPr>
      </w:pPr>
    </w:p>
    <w:p w14:paraId="03EE9C8D">
      <w:pPr>
        <w:pStyle w:val="24"/>
        <w:spacing w:before="0" w:beforeAutospacing="0" w:after="0" w:afterAutospacing="0"/>
        <w:contextualSpacing/>
        <w:jc w:val="center"/>
        <w:rPr>
          <w:rFonts w:cs="宋体"/>
          <w:sz w:val="32"/>
          <w:szCs w:val="32"/>
        </w:rPr>
      </w:pPr>
    </w:p>
    <w:p w14:paraId="5CD0157B">
      <w:pPr>
        <w:pStyle w:val="24"/>
        <w:spacing w:before="0" w:beforeAutospacing="0" w:after="0" w:afterAutospacing="0"/>
        <w:contextualSpacing/>
        <w:jc w:val="center"/>
        <w:rPr>
          <w:rFonts w:cs="宋体"/>
          <w:sz w:val="32"/>
          <w:szCs w:val="32"/>
        </w:rPr>
      </w:pPr>
    </w:p>
    <w:p w14:paraId="392F71DB">
      <w:pPr>
        <w:pStyle w:val="24"/>
        <w:spacing w:before="0" w:beforeAutospacing="0" w:after="0" w:afterAutospacing="0"/>
        <w:contextualSpacing/>
        <w:jc w:val="center"/>
        <w:rPr>
          <w:rFonts w:cs="宋体"/>
          <w:color w:val="000000" w:themeColor="text1"/>
          <w:sz w:val="32"/>
          <w:szCs w:val="32"/>
          <w14:textFill>
            <w14:solidFill>
              <w14:schemeClr w14:val="tx1"/>
            </w14:solidFill>
          </w14:textFill>
        </w:rPr>
      </w:pPr>
      <w:r>
        <w:rPr>
          <w:rFonts w:hint="eastAsia" w:cs="宋体"/>
          <w:color w:val="000000" w:themeColor="text1"/>
          <w:sz w:val="32"/>
          <w:szCs w:val="32"/>
          <w14:textFill>
            <w14:solidFill>
              <w14:schemeClr w14:val="tx1"/>
            </w14:solidFill>
          </w14:textFill>
        </w:rPr>
        <w:t>评标办法</w:t>
      </w:r>
    </w:p>
    <w:tbl>
      <w:tblPr>
        <w:tblStyle w:val="28"/>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325"/>
        <w:gridCol w:w="1433"/>
        <w:gridCol w:w="6575"/>
      </w:tblGrid>
      <w:tr w14:paraId="0AA1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top w:val="single" w:color="auto" w:sz="4" w:space="0"/>
              <w:left w:val="single" w:color="auto" w:sz="4" w:space="0"/>
              <w:bottom w:val="single" w:color="auto" w:sz="4" w:space="0"/>
              <w:right w:val="single" w:color="auto" w:sz="4" w:space="0"/>
            </w:tcBorders>
            <w:vAlign w:val="center"/>
          </w:tcPr>
          <w:p w14:paraId="19725FC4">
            <w:pPr>
              <w:tabs>
                <w:tab w:val="left" w:pos="5130"/>
              </w:tabs>
              <w:adjustRightInd w:val="0"/>
              <w:snapToGrid w:val="0"/>
              <w:spacing w:line="360" w:lineRule="auto"/>
              <w:jc w:val="center"/>
              <w:rPr>
                <w:rFonts w:ascii="宋体" w:hAnsi="宋体" w:cs="宋体"/>
                <w:bCs/>
                <w:sz w:val="24"/>
                <w:szCs w:val="24"/>
              </w:rPr>
            </w:pPr>
            <w:r>
              <w:rPr>
                <w:rFonts w:hint="eastAsia" w:ascii="宋体" w:hAnsi="宋体" w:cs="宋体"/>
                <w:bCs/>
                <w:sz w:val="24"/>
                <w:szCs w:val="24"/>
              </w:rPr>
              <w:t>序号</w:t>
            </w:r>
          </w:p>
        </w:tc>
        <w:tc>
          <w:tcPr>
            <w:tcW w:w="1407" w:type="pct"/>
            <w:gridSpan w:val="2"/>
            <w:tcBorders>
              <w:top w:val="single" w:color="auto" w:sz="4" w:space="0"/>
              <w:left w:val="single" w:color="auto" w:sz="4" w:space="0"/>
              <w:bottom w:val="single" w:color="auto" w:sz="4" w:space="0"/>
              <w:right w:val="single" w:color="auto" w:sz="4" w:space="0"/>
            </w:tcBorders>
            <w:vAlign w:val="center"/>
          </w:tcPr>
          <w:p w14:paraId="7067A7A7">
            <w:pPr>
              <w:tabs>
                <w:tab w:val="left" w:pos="5130"/>
              </w:tabs>
              <w:adjustRightInd w:val="0"/>
              <w:snapToGrid w:val="0"/>
              <w:spacing w:line="360" w:lineRule="auto"/>
              <w:jc w:val="center"/>
              <w:rPr>
                <w:rFonts w:ascii="宋体" w:hAnsi="宋体" w:cs="宋体"/>
                <w:bCs/>
                <w:sz w:val="24"/>
                <w:szCs w:val="24"/>
              </w:rPr>
            </w:pPr>
            <w:r>
              <w:rPr>
                <w:rFonts w:hint="eastAsia" w:ascii="宋体" w:hAnsi="宋体" w:cs="宋体"/>
                <w:bCs/>
                <w:sz w:val="24"/>
                <w:szCs w:val="24"/>
              </w:rPr>
              <w:t>评分因素及权重</w:t>
            </w:r>
          </w:p>
        </w:tc>
        <w:tc>
          <w:tcPr>
            <w:tcW w:w="3354" w:type="pct"/>
            <w:tcBorders>
              <w:top w:val="single" w:color="auto" w:sz="4" w:space="0"/>
              <w:left w:val="single" w:color="auto" w:sz="4" w:space="0"/>
              <w:bottom w:val="single" w:color="auto" w:sz="4" w:space="0"/>
              <w:right w:val="single" w:color="auto" w:sz="4" w:space="0"/>
            </w:tcBorders>
            <w:vAlign w:val="center"/>
          </w:tcPr>
          <w:p w14:paraId="06B0D49A">
            <w:pPr>
              <w:tabs>
                <w:tab w:val="left" w:pos="5130"/>
              </w:tabs>
              <w:adjustRightInd w:val="0"/>
              <w:snapToGrid w:val="0"/>
              <w:spacing w:line="360" w:lineRule="auto"/>
              <w:jc w:val="center"/>
              <w:rPr>
                <w:rFonts w:ascii="宋体" w:hAnsi="宋体" w:cs="宋体"/>
                <w:bCs/>
                <w:sz w:val="24"/>
                <w:szCs w:val="24"/>
              </w:rPr>
            </w:pPr>
            <w:r>
              <w:rPr>
                <w:rFonts w:hint="eastAsia" w:ascii="宋体" w:hAnsi="宋体" w:cs="宋体"/>
                <w:bCs/>
                <w:sz w:val="24"/>
                <w:szCs w:val="24"/>
              </w:rPr>
              <w:t>评分标准</w:t>
            </w:r>
          </w:p>
        </w:tc>
      </w:tr>
      <w:tr w14:paraId="7C60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tcBorders>
              <w:top w:val="single" w:color="auto" w:sz="4" w:space="0"/>
              <w:left w:val="single" w:color="auto" w:sz="4" w:space="0"/>
              <w:bottom w:val="single" w:color="auto" w:sz="4" w:space="0"/>
              <w:right w:val="single" w:color="auto" w:sz="4" w:space="0"/>
            </w:tcBorders>
            <w:vAlign w:val="center"/>
          </w:tcPr>
          <w:p w14:paraId="134FAFE2">
            <w:pPr>
              <w:spacing w:line="360" w:lineRule="auto"/>
              <w:ind w:right="27" w:rightChars="13"/>
              <w:jc w:val="center"/>
              <w:rPr>
                <w:rFonts w:ascii="宋体" w:hAnsi="宋体" w:cs="宋体"/>
                <w:sz w:val="24"/>
                <w:szCs w:val="24"/>
              </w:rPr>
            </w:pPr>
            <w:r>
              <w:rPr>
                <w:rFonts w:hint="eastAsia" w:ascii="宋体" w:hAnsi="宋体" w:cs="宋体"/>
                <w:sz w:val="24"/>
                <w:szCs w:val="24"/>
              </w:rPr>
              <w:t>1</w:t>
            </w:r>
          </w:p>
        </w:tc>
        <w:tc>
          <w:tcPr>
            <w:tcW w:w="676" w:type="pct"/>
            <w:tcBorders>
              <w:top w:val="single" w:color="auto" w:sz="4" w:space="0"/>
              <w:left w:val="single" w:color="auto" w:sz="4" w:space="0"/>
              <w:bottom w:val="single" w:color="auto" w:sz="4" w:space="0"/>
              <w:right w:val="single" w:color="auto" w:sz="4" w:space="0"/>
            </w:tcBorders>
            <w:vAlign w:val="center"/>
          </w:tcPr>
          <w:p w14:paraId="6BEDE62E">
            <w:pPr>
              <w:tabs>
                <w:tab w:val="left" w:pos="5130"/>
              </w:tabs>
              <w:adjustRightInd w:val="0"/>
              <w:snapToGrid w:val="0"/>
              <w:spacing w:line="360" w:lineRule="auto"/>
              <w:rPr>
                <w:rFonts w:ascii="宋体" w:hAnsi="宋体" w:cs="宋体"/>
                <w:bCs/>
                <w:sz w:val="24"/>
                <w:szCs w:val="24"/>
              </w:rPr>
            </w:pPr>
            <w:r>
              <w:rPr>
                <w:rFonts w:hint="eastAsia" w:ascii="宋体" w:hAnsi="宋体" w:cs="宋体"/>
                <w:bCs/>
                <w:sz w:val="24"/>
                <w:szCs w:val="24"/>
              </w:rPr>
              <w:t>投标报价（30分）</w:t>
            </w:r>
          </w:p>
          <w:p w14:paraId="4B2661B2">
            <w:pPr>
              <w:spacing w:line="360" w:lineRule="auto"/>
              <w:ind w:right="27" w:rightChars="13"/>
              <w:jc w:val="center"/>
              <w:rPr>
                <w:rFonts w:ascii="宋体" w:hAnsi="宋体" w:cs="宋体"/>
                <w:sz w:val="24"/>
                <w:szCs w:val="24"/>
              </w:rPr>
            </w:pPr>
          </w:p>
        </w:tc>
        <w:tc>
          <w:tcPr>
            <w:tcW w:w="731" w:type="pct"/>
            <w:tcBorders>
              <w:top w:val="single" w:color="auto" w:sz="4" w:space="0"/>
              <w:left w:val="single" w:color="auto" w:sz="4" w:space="0"/>
              <w:bottom w:val="single" w:color="auto" w:sz="4" w:space="0"/>
              <w:right w:val="single" w:color="auto" w:sz="4" w:space="0"/>
            </w:tcBorders>
            <w:vAlign w:val="center"/>
          </w:tcPr>
          <w:p w14:paraId="281A3EA2">
            <w:pPr>
              <w:spacing w:line="360" w:lineRule="auto"/>
              <w:ind w:right="27" w:rightChars="13"/>
              <w:jc w:val="center"/>
              <w:rPr>
                <w:rFonts w:ascii="宋体" w:hAnsi="宋体" w:cs="宋体"/>
                <w:sz w:val="24"/>
                <w:szCs w:val="24"/>
              </w:rPr>
            </w:pPr>
            <w:r>
              <w:rPr>
                <w:rFonts w:hint="eastAsia" w:ascii="宋体" w:hAnsi="宋体" w:cs="宋体"/>
                <w:bCs/>
                <w:sz w:val="24"/>
                <w:szCs w:val="24"/>
              </w:rPr>
              <w:t>投标报价（30分）</w:t>
            </w:r>
          </w:p>
        </w:tc>
        <w:tc>
          <w:tcPr>
            <w:tcW w:w="3354" w:type="pct"/>
            <w:tcBorders>
              <w:top w:val="single" w:color="auto" w:sz="4" w:space="0"/>
              <w:left w:val="single" w:color="auto" w:sz="4" w:space="0"/>
              <w:bottom w:val="single" w:color="auto" w:sz="4" w:space="0"/>
              <w:right w:val="single" w:color="auto" w:sz="4" w:space="0"/>
            </w:tcBorders>
            <w:vAlign w:val="center"/>
          </w:tcPr>
          <w:p w14:paraId="1B12FD2E">
            <w:pPr>
              <w:tabs>
                <w:tab w:val="left" w:pos="5130"/>
              </w:tabs>
              <w:adjustRightInd w:val="0"/>
              <w:snapToGrid w:val="0"/>
              <w:spacing w:after="50" w:line="360" w:lineRule="auto"/>
              <w:ind w:right="-10"/>
              <w:jc w:val="left"/>
              <w:rPr>
                <w:rFonts w:hint="eastAsia" w:ascii="宋体" w:hAnsi="宋体" w:cs="宋体"/>
                <w:color w:val="000000"/>
                <w:sz w:val="24"/>
                <w:szCs w:val="28"/>
              </w:rPr>
            </w:pPr>
            <w:r>
              <w:rPr>
                <w:rFonts w:hint="eastAsia" w:ascii="宋体" w:hAnsi="宋体" w:cs="宋体"/>
                <w:color w:val="000000"/>
                <w:sz w:val="24"/>
                <w:szCs w:val="28"/>
              </w:rPr>
              <w:t>价格分应当采用低价优先法计算，即满足招标文件要求且投标价格最低的投标报价为评标基准价，其价格分为满分。其他投标人的价格分统一按照下列公式计算：</w:t>
            </w:r>
          </w:p>
          <w:p w14:paraId="68547C31">
            <w:pPr>
              <w:spacing w:line="360" w:lineRule="auto"/>
              <w:ind w:right="27" w:rightChars="13"/>
              <w:jc w:val="left"/>
              <w:rPr>
                <w:rFonts w:ascii="宋体" w:hAnsi="宋体" w:cs="宋体"/>
                <w:sz w:val="24"/>
                <w:szCs w:val="24"/>
              </w:rPr>
            </w:pPr>
            <w:r>
              <w:rPr>
                <w:rFonts w:hint="eastAsia" w:ascii="宋体" w:hAnsi="宋体" w:cs="宋体"/>
                <w:sz w:val="24"/>
                <w:szCs w:val="24"/>
              </w:rPr>
              <w:t>投标报价得分=(评标基准价／投标报价)×30分</w:t>
            </w:r>
          </w:p>
          <w:p w14:paraId="6F85C1B9">
            <w:pPr>
              <w:spacing w:line="360" w:lineRule="auto"/>
              <w:ind w:right="27" w:rightChars="13"/>
              <w:jc w:val="left"/>
              <w:rPr>
                <w:rFonts w:ascii="宋体" w:hAnsi="宋体" w:cs="宋体"/>
                <w:sz w:val="24"/>
                <w:szCs w:val="24"/>
              </w:rPr>
            </w:pPr>
            <w:r>
              <w:rPr>
                <w:rFonts w:hint="eastAsia" w:ascii="宋体" w:hAnsi="宋体" w:cs="宋体"/>
                <w:sz w:val="24"/>
                <w:szCs w:val="24"/>
              </w:rPr>
              <w:t>注：价格分计算保留小数点后二位。</w:t>
            </w:r>
          </w:p>
          <w:p w14:paraId="71C3D381">
            <w:pPr>
              <w:spacing w:line="360" w:lineRule="auto"/>
              <w:ind w:right="27" w:rightChars="13"/>
              <w:jc w:val="left"/>
              <w:rPr>
                <w:rFonts w:ascii="宋体" w:hAnsi="宋体" w:cs="宋体"/>
                <w:sz w:val="24"/>
                <w:szCs w:val="24"/>
              </w:rPr>
            </w:pPr>
            <w:r>
              <w:rPr>
                <w:rFonts w:hint="eastAsia" w:ascii="宋体" w:hAnsi="宋体" w:cs="宋体"/>
                <w:sz w:val="24"/>
                <w:szCs w:val="24"/>
              </w:rPr>
              <w:t>备注：根据财政部、工信部关于印发《政府采购促进中小企业发展管理办法》的通知（财库〔2020〕46号 ）和财库〔2022〕19号文件规定：</w:t>
            </w:r>
          </w:p>
          <w:p w14:paraId="33926440">
            <w:pPr>
              <w:spacing w:line="360" w:lineRule="auto"/>
              <w:ind w:right="27" w:rightChars="13"/>
              <w:jc w:val="left"/>
              <w:rPr>
                <w:rFonts w:ascii="宋体" w:hAnsi="宋体" w:cs="宋体"/>
                <w:sz w:val="24"/>
                <w:szCs w:val="24"/>
              </w:rPr>
            </w:pPr>
            <w:r>
              <w:rPr>
                <w:rFonts w:hint="eastAsia" w:ascii="宋体" w:hAnsi="宋体" w:cs="宋体"/>
                <w:sz w:val="24"/>
                <w:szCs w:val="24"/>
              </w:rPr>
              <w:t>（1）对小微企业报价给予</w:t>
            </w:r>
            <w:r>
              <w:rPr>
                <w:rFonts w:hint="eastAsia" w:ascii="宋体" w:hAnsi="宋体" w:cs="宋体"/>
                <w:sz w:val="24"/>
                <w:szCs w:val="24"/>
                <w:lang w:val="en-US" w:eastAsia="zh-CN"/>
              </w:rPr>
              <w:t>2</w:t>
            </w:r>
            <w:r>
              <w:rPr>
                <w:rFonts w:hint="eastAsia" w:ascii="宋体" w:hAnsi="宋体" w:cs="宋体"/>
                <w:sz w:val="24"/>
                <w:szCs w:val="24"/>
              </w:rPr>
              <w:t>0%扣除，请按照《政府采购促进中小企业发展管理办法》要求提供中小企业声明函。</w:t>
            </w:r>
          </w:p>
          <w:p w14:paraId="20C47177">
            <w:pPr>
              <w:spacing w:line="360" w:lineRule="auto"/>
              <w:ind w:right="27" w:rightChars="13"/>
              <w:jc w:val="left"/>
              <w:rPr>
                <w:rFonts w:ascii="宋体" w:hAnsi="宋体" w:cs="宋体"/>
                <w:sz w:val="24"/>
                <w:szCs w:val="24"/>
              </w:rPr>
            </w:pPr>
            <w:r>
              <w:rPr>
                <w:rFonts w:hint="eastAsia" w:ascii="宋体" w:hAnsi="宋体" w:cs="宋体"/>
                <w:sz w:val="24"/>
                <w:szCs w:val="24"/>
              </w:rPr>
              <w:t>（2）关于监狱企业：视同小微企业。须提供由省级以上监狱管理局、戒毒管理局（含新疆生产建设兵团）出具的属于监狱企业的证明文件，否则不考虑价格扣除。</w:t>
            </w:r>
          </w:p>
          <w:p w14:paraId="3A9E6DF4">
            <w:pPr>
              <w:spacing w:line="360" w:lineRule="auto"/>
              <w:ind w:right="27" w:rightChars="13"/>
              <w:jc w:val="left"/>
              <w:rPr>
                <w:rFonts w:ascii="宋体" w:hAnsi="宋体" w:cs="宋体"/>
                <w:sz w:val="24"/>
                <w:szCs w:val="24"/>
              </w:rPr>
            </w:pPr>
            <w:r>
              <w:rPr>
                <w:rFonts w:hint="eastAsia" w:ascii="宋体" w:hAnsi="宋体" w:cs="宋体"/>
                <w:sz w:val="24"/>
                <w:szCs w:val="24"/>
              </w:rPr>
              <w:t>（3）关于残疾人福利性单位：视同小微企业。须提供完整的“残疾人福利性单位声明函”，否则在价格评审时不予考虑价格扣除。残疾人福利性单位属于小型、微型企业的，不重复享受政策。</w:t>
            </w:r>
          </w:p>
          <w:p w14:paraId="1156BF00">
            <w:pPr>
              <w:spacing w:line="360" w:lineRule="auto"/>
              <w:ind w:right="27" w:rightChars="13"/>
              <w:jc w:val="left"/>
              <w:rPr>
                <w:rFonts w:ascii="宋体" w:hAnsi="宋体" w:cs="宋体"/>
                <w:sz w:val="24"/>
                <w:szCs w:val="24"/>
              </w:rPr>
            </w:pPr>
            <w:r>
              <w:rPr>
                <w:rFonts w:hint="eastAsia" w:ascii="宋体" w:hAnsi="宋体" w:cs="宋体"/>
                <w:sz w:val="24"/>
                <w:szCs w:val="24"/>
              </w:rPr>
              <w:t>（4）没有提供有效证明材料的供应商将被视为不接受投标总价的扣除，用原投标总价参与评审。</w:t>
            </w:r>
          </w:p>
        </w:tc>
      </w:tr>
      <w:tr w14:paraId="2BA2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restart"/>
            <w:tcBorders>
              <w:top w:val="single" w:color="auto" w:sz="4" w:space="0"/>
              <w:left w:val="single" w:color="auto" w:sz="4" w:space="0"/>
              <w:right w:val="single" w:color="auto" w:sz="4" w:space="0"/>
            </w:tcBorders>
            <w:vAlign w:val="center"/>
          </w:tcPr>
          <w:p w14:paraId="2156A7A2">
            <w:pPr>
              <w:pStyle w:val="26"/>
              <w:ind w:right="-21" w:firstLine="0" w:firstLineChars="0"/>
              <w:rPr>
                <w:rFonts w:ascii="宋体" w:hAnsi="宋体" w:eastAsia="宋体" w:cs="宋体"/>
                <w:bCs/>
                <w:kern w:val="2"/>
                <w:szCs w:val="24"/>
              </w:rPr>
            </w:pPr>
            <w:r>
              <w:rPr>
                <w:rFonts w:hint="eastAsia" w:ascii="宋体" w:hAnsi="宋体" w:eastAsia="宋体" w:cs="宋体"/>
                <w:bCs/>
                <w:kern w:val="2"/>
                <w:szCs w:val="24"/>
              </w:rPr>
              <w:t>2</w:t>
            </w:r>
          </w:p>
        </w:tc>
        <w:tc>
          <w:tcPr>
            <w:tcW w:w="676" w:type="pct"/>
            <w:vMerge w:val="restart"/>
            <w:tcBorders>
              <w:top w:val="single" w:color="auto" w:sz="4" w:space="0"/>
              <w:left w:val="single" w:color="auto" w:sz="4" w:space="0"/>
              <w:right w:val="single" w:color="auto" w:sz="4" w:space="0"/>
            </w:tcBorders>
            <w:vAlign w:val="center"/>
          </w:tcPr>
          <w:p w14:paraId="621D1435">
            <w:pPr>
              <w:pStyle w:val="26"/>
              <w:ind w:right="-21" w:firstLine="0" w:firstLineChars="0"/>
              <w:rPr>
                <w:rFonts w:ascii="宋体" w:hAnsi="宋体" w:eastAsia="宋体" w:cs="宋体"/>
                <w:bCs/>
                <w:kern w:val="2"/>
                <w:szCs w:val="24"/>
              </w:rPr>
            </w:pPr>
            <w:r>
              <w:rPr>
                <w:rFonts w:hint="eastAsia" w:ascii="宋体" w:hAnsi="宋体" w:eastAsia="宋体" w:cs="宋体"/>
                <w:bCs/>
                <w:kern w:val="2"/>
                <w:szCs w:val="24"/>
              </w:rPr>
              <w:t>技术部分（</w:t>
            </w:r>
            <w:r>
              <w:rPr>
                <w:rFonts w:hint="eastAsia" w:ascii="宋体" w:hAnsi="宋体" w:eastAsia="宋体" w:cs="宋体"/>
                <w:bCs/>
                <w:kern w:val="2"/>
                <w:szCs w:val="24"/>
                <w:lang w:val="en-US" w:eastAsia="zh-CN"/>
              </w:rPr>
              <w:t>47</w:t>
            </w:r>
            <w:r>
              <w:rPr>
                <w:rFonts w:hint="eastAsia" w:ascii="宋体" w:hAnsi="宋体" w:eastAsia="宋体" w:cs="宋体"/>
                <w:bCs/>
                <w:kern w:val="2"/>
                <w:szCs w:val="24"/>
              </w:rPr>
              <w:t>分）</w:t>
            </w:r>
          </w:p>
        </w:tc>
        <w:tc>
          <w:tcPr>
            <w:tcW w:w="731" w:type="pct"/>
            <w:tcBorders>
              <w:top w:val="single" w:color="auto" w:sz="4" w:space="0"/>
              <w:left w:val="single" w:color="auto" w:sz="4" w:space="0"/>
              <w:bottom w:val="single" w:color="auto" w:sz="4" w:space="0"/>
              <w:right w:val="single" w:color="auto" w:sz="4" w:space="0"/>
            </w:tcBorders>
            <w:vAlign w:val="center"/>
          </w:tcPr>
          <w:p w14:paraId="600F1F72">
            <w:pPr>
              <w:spacing w:line="360" w:lineRule="auto"/>
              <w:ind w:right="27" w:rightChars="13"/>
              <w:jc w:val="left"/>
              <w:rPr>
                <w:rFonts w:hint="eastAsia" w:ascii="宋体" w:hAnsi="宋体" w:cs="宋体"/>
                <w:sz w:val="24"/>
                <w:szCs w:val="24"/>
              </w:rPr>
            </w:pPr>
            <w:r>
              <w:rPr>
                <w:rFonts w:hint="eastAsia" w:ascii="宋体" w:hAnsi="宋体" w:cs="宋体"/>
                <w:sz w:val="24"/>
                <w:szCs w:val="24"/>
              </w:rPr>
              <w:t>投标产品技术响应程度（</w:t>
            </w:r>
            <w:r>
              <w:rPr>
                <w:rFonts w:hint="eastAsia" w:ascii="宋体" w:hAnsi="宋体" w:cs="宋体"/>
                <w:sz w:val="24"/>
                <w:szCs w:val="24"/>
                <w:lang w:val="en-US" w:eastAsia="zh-CN"/>
              </w:rPr>
              <w:t>29</w:t>
            </w:r>
            <w:r>
              <w:rPr>
                <w:rFonts w:hint="eastAsia" w:ascii="宋体" w:hAnsi="宋体" w:cs="宋体"/>
                <w:sz w:val="24"/>
                <w:szCs w:val="24"/>
              </w:rPr>
              <w:t>分）</w:t>
            </w:r>
          </w:p>
        </w:tc>
        <w:tc>
          <w:tcPr>
            <w:tcW w:w="3354" w:type="pct"/>
            <w:tcBorders>
              <w:top w:val="single" w:color="auto" w:sz="4" w:space="0"/>
              <w:left w:val="single" w:color="auto" w:sz="4" w:space="0"/>
              <w:bottom w:val="single" w:color="auto" w:sz="4" w:space="0"/>
              <w:right w:val="single" w:color="auto" w:sz="4" w:space="0"/>
            </w:tcBorders>
            <w:vAlign w:val="center"/>
          </w:tcPr>
          <w:p w14:paraId="206D8509">
            <w:pPr>
              <w:spacing w:line="360" w:lineRule="auto"/>
              <w:ind w:right="27" w:rightChars="13"/>
              <w:jc w:val="left"/>
              <w:rPr>
                <w:rFonts w:hint="eastAsia" w:ascii="宋体" w:hAnsi="宋体" w:eastAsia="宋体" w:cs="宋体"/>
                <w:sz w:val="24"/>
                <w:szCs w:val="24"/>
                <w:lang w:eastAsia="zh-CN"/>
              </w:rPr>
            </w:pPr>
            <w:r>
              <w:rPr>
                <w:rFonts w:hint="eastAsia" w:ascii="宋体" w:hAnsi="宋体" w:cs="宋体"/>
                <w:sz w:val="24"/>
                <w:szCs w:val="24"/>
              </w:rPr>
              <w:t>根据投标文件对招标文件要求的技术指标响应情况全部满足招标文件要求的</w:t>
            </w:r>
            <w:r>
              <w:rPr>
                <w:rFonts w:hint="eastAsia" w:ascii="宋体" w:hAnsi="宋体" w:cs="宋体"/>
                <w:sz w:val="24"/>
                <w:szCs w:val="24"/>
                <w:lang w:val="en-US" w:eastAsia="zh-CN"/>
              </w:rPr>
              <w:t>29</w:t>
            </w:r>
            <w:r>
              <w:rPr>
                <w:rFonts w:hint="eastAsia" w:ascii="宋体" w:hAnsi="宋体" w:cs="宋体"/>
                <w:sz w:val="24"/>
                <w:szCs w:val="24"/>
              </w:rPr>
              <w:t>分;</w:t>
            </w:r>
            <w:r>
              <w:rPr>
                <w:rFonts w:hint="eastAsia" w:ascii="宋体" w:hAnsi="宋体" w:cs="宋体"/>
                <w:sz w:val="24"/>
                <w:szCs w:val="24"/>
                <w:lang w:val="en-US" w:eastAsia="zh-CN"/>
              </w:rPr>
              <w:t>带</w:t>
            </w:r>
            <w:r>
              <w:rPr>
                <w:rFonts w:hint="eastAsia" w:ascii="宋体" w:hAnsi="宋体" w:cs="宋体"/>
                <w:color w:val="000000"/>
                <w:sz w:val="24"/>
                <w:szCs w:val="28"/>
              </w:rPr>
              <w:t>“</w:t>
            </w:r>
            <w:r>
              <w:rPr>
                <w:rFonts w:hint="eastAsia" w:ascii="宋体" w:hAnsi="宋体" w:cs="宋体"/>
                <w:b/>
                <w:bCs/>
              </w:rPr>
              <w:t>*</w:t>
            </w:r>
            <w:r>
              <w:rPr>
                <w:rFonts w:hint="eastAsia" w:ascii="宋体" w:hAnsi="宋体" w:cs="宋体"/>
                <w:color w:val="000000"/>
                <w:sz w:val="24"/>
                <w:szCs w:val="28"/>
              </w:rPr>
              <w:t>”号技术条款不满足招标文件要求的，每项扣</w:t>
            </w:r>
            <w:r>
              <w:rPr>
                <w:rFonts w:hint="eastAsia" w:ascii="宋体" w:hAnsi="宋体" w:cs="宋体"/>
                <w:color w:val="000000"/>
                <w:sz w:val="24"/>
                <w:szCs w:val="28"/>
                <w:lang w:val="en-US" w:eastAsia="zh-CN"/>
              </w:rPr>
              <w:t>1.5</w:t>
            </w:r>
            <w:r>
              <w:rPr>
                <w:rFonts w:hint="eastAsia" w:ascii="宋体" w:hAnsi="宋体" w:cs="宋体"/>
                <w:color w:val="000000"/>
                <w:sz w:val="24"/>
                <w:szCs w:val="28"/>
              </w:rPr>
              <w:t>分； “</w:t>
            </w:r>
            <w:r>
              <w:rPr>
                <w:rFonts w:hint="eastAsia" w:ascii="宋体" w:hAnsi="宋体" w:cs="宋体"/>
                <w:b/>
                <w:bCs/>
              </w:rPr>
              <w:t>*</w:t>
            </w:r>
            <w:r>
              <w:rPr>
                <w:rFonts w:hint="eastAsia" w:ascii="宋体" w:hAnsi="宋体" w:cs="宋体"/>
                <w:color w:val="000000"/>
                <w:sz w:val="24"/>
                <w:szCs w:val="28"/>
              </w:rPr>
              <w:t>”以外的技术条款不满足的，扣1分，扣完为止。</w:t>
            </w:r>
            <w:r>
              <w:rPr>
                <w:rFonts w:hint="eastAsia" w:ascii="宋体" w:hAnsi="宋体" w:cs="宋体"/>
                <w:color w:val="000000"/>
                <w:sz w:val="24"/>
                <w:szCs w:val="28"/>
                <w:lang w:eastAsia="zh-CN"/>
              </w:rPr>
              <w:t>（水质在线监测系统带“*”号技术条款提供省级及以上计量检测部门出具的检测报告原件扫描件作为有效证明材料，</w:t>
            </w:r>
            <w:r>
              <w:rPr>
                <w:rFonts w:hint="eastAsia" w:ascii="宋体" w:hAnsi="宋体" w:cs="宋体"/>
                <w:color w:val="000000"/>
                <w:sz w:val="24"/>
                <w:szCs w:val="28"/>
                <w:lang w:val="zh-TW" w:eastAsia="zh-TW"/>
              </w:rPr>
              <w:t>视频监控系统要求</w:t>
            </w:r>
            <w:r>
              <w:rPr>
                <w:rFonts w:hint="eastAsia" w:ascii="宋体" w:hAnsi="宋体" w:cs="宋体"/>
                <w:color w:val="000000"/>
                <w:sz w:val="24"/>
                <w:szCs w:val="28"/>
                <w:lang w:eastAsia="zh-CN"/>
              </w:rPr>
              <w:t>带“*”号技术条款提供公安部检测报告原件扫描件作为有效证明材料）</w:t>
            </w:r>
          </w:p>
        </w:tc>
      </w:tr>
      <w:tr w14:paraId="7625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Merge w:val="continue"/>
            <w:tcBorders>
              <w:left w:val="single" w:color="auto" w:sz="4" w:space="0"/>
              <w:right w:val="single" w:color="auto" w:sz="4" w:space="0"/>
            </w:tcBorders>
            <w:vAlign w:val="center"/>
          </w:tcPr>
          <w:p w14:paraId="3EDAED00">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1B5EC774">
            <w:pPr>
              <w:pStyle w:val="26"/>
              <w:ind w:right="-21" w:firstLine="0" w:firstLineChars="0"/>
              <w:rPr>
                <w:rFonts w:ascii="宋体" w:hAnsi="宋体" w:eastAsia="宋体" w:cs="宋体"/>
                <w:bCs/>
                <w:kern w:val="2"/>
                <w:szCs w:val="24"/>
              </w:rPr>
            </w:pPr>
          </w:p>
        </w:tc>
        <w:tc>
          <w:tcPr>
            <w:tcW w:w="731" w:type="pct"/>
            <w:tcBorders>
              <w:top w:val="single" w:color="auto" w:sz="4" w:space="0"/>
              <w:left w:val="single" w:color="auto" w:sz="4" w:space="0"/>
              <w:right w:val="single" w:color="auto" w:sz="4" w:space="0"/>
            </w:tcBorders>
            <w:vAlign w:val="center"/>
          </w:tcPr>
          <w:p w14:paraId="2316E8BD">
            <w:pPr>
              <w:pStyle w:val="26"/>
              <w:ind w:right="-21" w:firstLine="0" w:firstLineChars="0"/>
              <w:jc w:val="center"/>
              <w:rPr>
                <w:rFonts w:ascii="宋体" w:hAnsi="宋体" w:eastAsia="宋体" w:cs="宋体"/>
                <w:bCs/>
                <w:kern w:val="2"/>
                <w:szCs w:val="24"/>
              </w:rPr>
            </w:pPr>
            <w:r>
              <w:rPr>
                <w:rFonts w:hint="eastAsia" w:ascii="宋体" w:hAnsi="宋体" w:eastAsia="宋体" w:cs="宋体"/>
                <w:bCs/>
                <w:kern w:val="2"/>
                <w:szCs w:val="24"/>
              </w:rPr>
              <w:t>货物制造商设备实力</w:t>
            </w:r>
          </w:p>
          <w:p w14:paraId="2C7F50BA">
            <w:pPr>
              <w:pStyle w:val="26"/>
              <w:ind w:right="-21" w:firstLine="0" w:firstLineChars="0"/>
              <w:jc w:val="center"/>
              <w:rPr>
                <w:rFonts w:ascii="宋体" w:hAnsi="宋体" w:eastAsia="宋体" w:cs="宋体"/>
                <w:bCs/>
                <w:kern w:val="2"/>
                <w:szCs w:val="24"/>
              </w:rPr>
            </w:pPr>
            <w:r>
              <w:rPr>
                <w:rFonts w:hint="eastAsia" w:ascii="宋体" w:hAnsi="宋体" w:eastAsia="宋体" w:cs="宋体"/>
                <w:bCs/>
                <w:kern w:val="2"/>
                <w:szCs w:val="24"/>
              </w:rPr>
              <w:t>（3分）</w:t>
            </w:r>
          </w:p>
        </w:tc>
        <w:tc>
          <w:tcPr>
            <w:tcW w:w="3354" w:type="pct"/>
            <w:tcBorders>
              <w:top w:val="single" w:color="auto" w:sz="4" w:space="0"/>
              <w:left w:val="single" w:color="auto" w:sz="4" w:space="0"/>
              <w:bottom w:val="single" w:color="auto" w:sz="4" w:space="0"/>
              <w:right w:val="single" w:color="auto" w:sz="4" w:space="0"/>
            </w:tcBorders>
            <w:vAlign w:val="center"/>
          </w:tcPr>
          <w:p w14:paraId="45CF571D">
            <w:pPr>
              <w:pStyle w:val="26"/>
              <w:ind w:right="-21" w:firstLine="0" w:firstLineChars="0"/>
              <w:jc w:val="left"/>
              <w:rPr>
                <w:rFonts w:ascii="宋体" w:hAnsi="宋体" w:eastAsia="宋体" w:cs="宋体"/>
                <w:bCs/>
                <w:kern w:val="2"/>
                <w:szCs w:val="24"/>
              </w:rPr>
            </w:pPr>
            <w:r>
              <w:rPr>
                <w:rFonts w:hint="eastAsia" w:ascii="宋体" w:hAnsi="宋体" w:eastAsia="宋体" w:cs="宋体"/>
                <w:bCs/>
                <w:kern w:val="2"/>
                <w:szCs w:val="24"/>
              </w:rPr>
              <w:t>主要设备制造商设备具有环保产品认证证书的得3分，缺项不得分。</w:t>
            </w:r>
          </w:p>
        </w:tc>
      </w:tr>
      <w:tr w14:paraId="136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37" w:type="pct"/>
            <w:vMerge w:val="continue"/>
            <w:tcBorders>
              <w:left w:val="single" w:color="auto" w:sz="4" w:space="0"/>
              <w:right w:val="single" w:color="auto" w:sz="4" w:space="0"/>
            </w:tcBorders>
            <w:vAlign w:val="center"/>
          </w:tcPr>
          <w:p w14:paraId="0F6FD219">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32F9643F">
            <w:pPr>
              <w:pStyle w:val="26"/>
              <w:ind w:right="-21" w:firstLine="0" w:firstLineChars="0"/>
              <w:rPr>
                <w:rFonts w:ascii="宋体" w:hAnsi="宋体" w:eastAsia="宋体" w:cs="宋体"/>
                <w:bCs/>
                <w:kern w:val="2"/>
                <w:szCs w:val="24"/>
              </w:rPr>
            </w:pPr>
          </w:p>
        </w:tc>
        <w:tc>
          <w:tcPr>
            <w:tcW w:w="731" w:type="pct"/>
            <w:tcBorders>
              <w:left w:val="single" w:color="auto" w:sz="4" w:space="0"/>
              <w:right w:val="single" w:color="auto" w:sz="4" w:space="0"/>
            </w:tcBorders>
            <w:shd w:val="clear" w:color="auto" w:fill="auto"/>
            <w:vAlign w:val="center"/>
          </w:tcPr>
          <w:p w14:paraId="5DB08C5A">
            <w:pPr>
              <w:adjustRightInd w:val="0"/>
              <w:snapToGrid w:val="0"/>
              <w:spacing w:line="360" w:lineRule="auto"/>
              <w:ind w:left="22" w:hanging="21" w:hangingChars="9"/>
              <w:jc w:val="left"/>
              <w:rPr>
                <w:rFonts w:ascii="宋体" w:hAnsi="宋体" w:cs="宋体"/>
                <w:bCs/>
                <w:sz w:val="24"/>
                <w:szCs w:val="24"/>
              </w:rPr>
            </w:pPr>
            <w:r>
              <w:rPr>
                <w:rFonts w:hint="eastAsia" w:ascii="宋体" w:hAnsi="宋体" w:cs="宋体"/>
                <w:sz w:val="24"/>
                <w:szCs w:val="24"/>
              </w:rPr>
              <w:t>项目实施方案（15分）</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center"/>
          </w:tcPr>
          <w:p w14:paraId="4B8AC95A">
            <w:pPr>
              <w:pStyle w:val="26"/>
              <w:ind w:right="-21" w:firstLine="0" w:firstLineChars="0"/>
              <w:rPr>
                <w:rFonts w:ascii="宋体" w:hAnsi="宋体" w:eastAsia="宋体" w:cs="宋体"/>
                <w:bCs/>
                <w:kern w:val="2"/>
                <w:szCs w:val="24"/>
              </w:rPr>
            </w:pPr>
            <w:r>
              <w:rPr>
                <w:rFonts w:hint="eastAsia" w:ascii="宋体" w:hAnsi="宋体" w:eastAsia="宋体" w:cs="宋体"/>
                <w:szCs w:val="24"/>
              </w:rPr>
              <w:t>针对本项目投标人提供实施方案内容全面详实，具有完整合理的项目实施方案、质量保障措施、安全保障措施、实施进度保障措施、重点难点分析每有一项得3分，此项最高15分，</w:t>
            </w:r>
            <w:r>
              <w:rPr>
                <w:rFonts w:hint="eastAsia" w:ascii="宋体" w:hAnsi="宋体" w:cs="宋体"/>
                <w:sz w:val="24"/>
                <w:szCs w:val="24"/>
              </w:rPr>
              <w:t>未提供不得分</w:t>
            </w:r>
            <w:r>
              <w:rPr>
                <w:rFonts w:hint="eastAsia" w:ascii="宋体" w:hAnsi="宋体" w:eastAsia="宋体" w:cs="宋体"/>
                <w:szCs w:val="24"/>
              </w:rPr>
              <w:t>。</w:t>
            </w:r>
          </w:p>
        </w:tc>
      </w:tr>
      <w:tr w14:paraId="585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7" w:type="pct"/>
            <w:vMerge w:val="restart"/>
            <w:tcBorders>
              <w:left w:val="single" w:color="auto" w:sz="4" w:space="0"/>
              <w:right w:val="single" w:color="auto" w:sz="4" w:space="0"/>
            </w:tcBorders>
            <w:vAlign w:val="center"/>
          </w:tcPr>
          <w:p w14:paraId="7FAF5BC0">
            <w:pPr>
              <w:pStyle w:val="26"/>
              <w:ind w:right="-21" w:firstLine="0" w:firstLineChars="0"/>
              <w:rPr>
                <w:rFonts w:ascii="宋体" w:hAnsi="宋体" w:eastAsia="宋体" w:cs="宋体"/>
                <w:bCs/>
                <w:kern w:val="2"/>
                <w:szCs w:val="24"/>
              </w:rPr>
            </w:pPr>
            <w:r>
              <w:rPr>
                <w:rFonts w:hint="eastAsia" w:ascii="宋体" w:hAnsi="宋体" w:eastAsia="宋体" w:cs="宋体"/>
                <w:bCs/>
                <w:kern w:val="2"/>
                <w:szCs w:val="24"/>
              </w:rPr>
              <w:t>3</w:t>
            </w:r>
          </w:p>
        </w:tc>
        <w:tc>
          <w:tcPr>
            <w:tcW w:w="676" w:type="pct"/>
            <w:vMerge w:val="restart"/>
            <w:tcBorders>
              <w:left w:val="single" w:color="auto" w:sz="4" w:space="0"/>
              <w:right w:val="single" w:color="auto" w:sz="4" w:space="0"/>
            </w:tcBorders>
            <w:vAlign w:val="center"/>
          </w:tcPr>
          <w:p w14:paraId="6D6A59BE">
            <w:pPr>
              <w:pStyle w:val="26"/>
              <w:ind w:right="-21" w:firstLine="0" w:firstLineChars="0"/>
              <w:rPr>
                <w:rFonts w:ascii="宋体" w:hAnsi="宋体" w:eastAsia="宋体" w:cs="宋体"/>
                <w:bCs/>
                <w:kern w:val="2"/>
                <w:szCs w:val="24"/>
              </w:rPr>
            </w:pPr>
            <w:r>
              <w:rPr>
                <w:rFonts w:hint="eastAsia" w:ascii="宋体" w:hAnsi="宋体" w:eastAsia="宋体" w:cs="宋体"/>
                <w:bCs/>
                <w:kern w:val="2"/>
                <w:szCs w:val="24"/>
              </w:rPr>
              <w:t>商务部分（2</w:t>
            </w:r>
            <w:r>
              <w:rPr>
                <w:rFonts w:hint="eastAsia" w:ascii="宋体" w:hAnsi="宋体" w:eastAsia="宋体" w:cs="宋体"/>
                <w:bCs/>
                <w:kern w:val="2"/>
                <w:szCs w:val="24"/>
                <w:lang w:val="en-US" w:eastAsia="zh-CN"/>
              </w:rPr>
              <w:t>3</w:t>
            </w:r>
            <w:r>
              <w:rPr>
                <w:rFonts w:hint="eastAsia" w:ascii="宋体" w:hAnsi="宋体" w:eastAsia="宋体" w:cs="宋体"/>
                <w:bCs/>
                <w:kern w:val="2"/>
                <w:szCs w:val="24"/>
              </w:rPr>
              <w:t>分）</w:t>
            </w:r>
          </w:p>
        </w:tc>
        <w:tc>
          <w:tcPr>
            <w:tcW w:w="731" w:type="pct"/>
            <w:tcBorders>
              <w:top w:val="single" w:color="auto" w:sz="4" w:space="0"/>
              <w:left w:val="single" w:color="auto" w:sz="4" w:space="0"/>
              <w:right w:val="single" w:color="auto" w:sz="4" w:space="0"/>
            </w:tcBorders>
            <w:vAlign w:val="center"/>
          </w:tcPr>
          <w:p w14:paraId="40E9BB38">
            <w:pPr>
              <w:pStyle w:val="26"/>
              <w:ind w:right="-21" w:firstLine="0" w:firstLineChars="0"/>
              <w:jc w:val="center"/>
              <w:rPr>
                <w:rFonts w:ascii="宋体" w:hAnsi="宋体" w:eastAsia="宋体" w:cs="宋体"/>
                <w:bCs/>
                <w:kern w:val="2"/>
                <w:szCs w:val="24"/>
              </w:rPr>
            </w:pPr>
            <w:r>
              <w:rPr>
                <w:rFonts w:hint="eastAsia" w:ascii="宋体" w:hAnsi="宋体" w:eastAsia="宋体" w:cs="宋体"/>
                <w:bCs/>
                <w:kern w:val="2"/>
                <w:szCs w:val="24"/>
              </w:rPr>
              <w:t>业绩（</w:t>
            </w:r>
            <w:r>
              <w:rPr>
                <w:rFonts w:hint="eastAsia" w:ascii="宋体" w:hAnsi="宋体" w:eastAsia="宋体" w:cs="宋体"/>
                <w:bCs/>
                <w:kern w:val="2"/>
                <w:szCs w:val="24"/>
                <w:lang w:val="en-US" w:eastAsia="zh-CN"/>
              </w:rPr>
              <w:t>6</w:t>
            </w:r>
            <w:r>
              <w:rPr>
                <w:rFonts w:hint="eastAsia" w:ascii="宋体" w:hAnsi="宋体" w:eastAsia="宋体" w:cs="宋体"/>
                <w:bCs/>
                <w:kern w:val="2"/>
                <w:szCs w:val="24"/>
              </w:rPr>
              <w:t>分）</w:t>
            </w:r>
          </w:p>
        </w:tc>
        <w:tc>
          <w:tcPr>
            <w:tcW w:w="3354" w:type="pct"/>
            <w:tcBorders>
              <w:top w:val="single" w:color="auto" w:sz="4" w:space="0"/>
              <w:left w:val="single" w:color="auto" w:sz="4" w:space="0"/>
              <w:right w:val="single" w:color="auto" w:sz="4" w:space="0"/>
            </w:tcBorders>
            <w:vAlign w:val="center"/>
          </w:tcPr>
          <w:p w14:paraId="2B61BD8F">
            <w:pPr>
              <w:pStyle w:val="26"/>
              <w:numPr>
                <w:ilvl w:val="0"/>
                <w:numId w:val="4"/>
              </w:numPr>
              <w:ind w:right="-21" w:firstLine="0" w:firstLineChars="0"/>
              <w:rPr>
                <w:rFonts w:ascii="宋体" w:hAnsi="宋体" w:eastAsia="宋体" w:cs="宋体"/>
                <w:szCs w:val="24"/>
                <w:lang w:val="zh-CN"/>
              </w:rPr>
            </w:pPr>
            <w:r>
              <w:rPr>
                <w:rFonts w:hint="eastAsia" w:ascii="宋体" w:hAnsi="宋体" w:eastAsia="宋体" w:cs="宋体"/>
                <w:szCs w:val="24"/>
                <w:lang w:val="zh-CN"/>
              </w:rPr>
              <w:t>投标人提供202</w:t>
            </w:r>
            <w:r>
              <w:rPr>
                <w:rFonts w:hint="eastAsia" w:ascii="宋体" w:hAnsi="宋体" w:eastAsia="宋体" w:cs="宋体"/>
                <w:szCs w:val="24"/>
              </w:rPr>
              <w:t>2</w:t>
            </w:r>
            <w:r>
              <w:rPr>
                <w:rFonts w:hint="eastAsia" w:ascii="宋体" w:hAnsi="宋体" w:eastAsia="宋体" w:cs="宋体"/>
                <w:szCs w:val="24"/>
                <w:lang w:val="zh-CN"/>
              </w:rPr>
              <w:t>年1月1日以来完成的同类型项目的业绩得</w:t>
            </w:r>
            <w:r>
              <w:rPr>
                <w:rFonts w:hint="eastAsia" w:ascii="宋体" w:hAnsi="宋体" w:eastAsia="宋体" w:cs="宋体"/>
                <w:szCs w:val="24"/>
                <w:lang w:val="en-US" w:eastAsia="zh-CN"/>
              </w:rPr>
              <w:t>3</w:t>
            </w:r>
            <w:r>
              <w:rPr>
                <w:rFonts w:hint="eastAsia" w:ascii="宋体" w:hAnsi="宋体" w:eastAsia="宋体" w:cs="宋体"/>
                <w:szCs w:val="24"/>
                <w:lang w:val="zh-CN"/>
              </w:rPr>
              <w:t>分，最高</w:t>
            </w:r>
            <w:r>
              <w:rPr>
                <w:rFonts w:hint="eastAsia" w:ascii="宋体" w:hAnsi="宋体" w:eastAsia="宋体" w:cs="宋体"/>
                <w:szCs w:val="24"/>
                <w:lang w:val="en-US" w:eastAsia="zh-CN"/>
              </w:rPr>
              <w:t>3</w:t>
            </w:r>
            <w:r>
              <w:rPr>
                <w:rFonts w:hint="eastAsia" w:ascii="宋体" w:hAnsi="宋体" w:eastAsia="宋体" w:cs="宋体"/>
                <w:szCs w:val="24"/>
                <w:lang w:val="zh-CN"/>
              </w:rPr>
              <w:t>分。</w:t>
            </w:r>
          </w:p>
          <w:p w14:paraId="61295EC5">
            <w:pPr>
              <w:pStyle w:val="26"/>
              <w:ind w:right="-21" w:firstLine="0" w:firstLineChars="0"/>
              <w:rPr>
                <w:rFonts w:ascii="宋体" w:hAnsi="宋体" w:eastAsia="宋体" w:cs="宋体"/>
                <w:szCs w:val="24"/>
                <w:lang w:val="zh-CN"/>
              </w:rPr>
            </w:pPr>
            <w:r>
              <w:rPr>
                <w:rFonts w:hint="eastAsia" w:ascii="宋体" w:hAnsi="宋体" w:eastAsia="宋体" w:cs="宋体"/>
                <w:szCs w:val="24"/>
                <w:lang w:val="zh-CN"/>
              </w:rPr>
              <w:t>注：须提供</w:t>
            </w:r>
            <w:r>
              <w:rPr>
                <w:rFonts w:hint="eastAsia" w:ascii="宋体" w:hAnsi="宋体" w:eastAsia="宋体" w:cs="宋体"/>
                <w:szCs w:val="24"/>
              </w:rPr>
              <w:t>中标通知书、</w:t>
            </w:r>
            <w:r>
              <w:rPr>
                <w:rFonts w:hint="eastAsia" w:ascii="宋体" w:hAnsi="宋体" w:eastAsia="宋体" w:cs="宋体"/>
                <w:szCs w:val="24"/>
                <w:lang w:val="zh-CN"/>
              </w:rPr>
              <w:t>合同</w:t>
            </w:r>
            <w:r>
              <w:rPr>
                <w:rFonts w:hint="eastAsia" w:ascii="宋体" w:hAnsi="宋体" w:eastAsia="宋体" w:cs="宋体"/>
                <w:szCs w:val="24"/>
              </w:rPr>
              <w:t>及验收资料</w:t>
            </w:r>
            <w:r>
              <w:rPr>
                <w:rFonts w:hint="eastAsia" w:ascii="宋体" w:hAnsi="宋体" w:eastAsia="宋体" w:cs="宋体"/>
                <w:szCs w:val="24"/>
                <w:lang w:val="zh-CN"/>
              </w:rPr>
              <w:t>原件扫描件，未提供或缺项者不得分。</w:t>
            </w:r>
          </w:p>
          <w:p w14:paraId="012D360B">
            <w:pPr>
              <w:pStyle w:val="26"/>
              <w:numPr>
                <w:ilvl w:val="0"/>
                <w:numId w:val="4"/>
              </w:numPr>
              <w:ind w:right="-21" w:firstLine="0" w:firstLineChars="0"/>
              <w:rPr>
                <w:rFonts w:ascii="宋体" w:hAnsi="宋体" w:eastAsia="宋体" w:cs="宋体"/>
                <w:szCs w:val="24"/>
                <w:lang w:val="zh-CN"/>
              </w:rPr>
            </w:pPr>
            <w:r>
              <w:rPr>
                <w:rFonts w:hint="eastAsia" w:ascii="宋体" w:hAnsi="宋体" w:eastAsia="宋体" w:cs="宋体"/>
                <w:szCs w:val="24"/>
                <w:lang w:val="zh-CN"/>
              </w:rPr>
              <w:t>主要设备制造商提供202</w:t>
            </w:r>
            <w:r>
              <w:rPr>
                <w:rFonts w:hint="eastAsia" w:ascii="宋体" w:hAnsi="宋体" w:eastAsia="宋体" w:cs="宋体"/>
                <w:szCs w:val="24"/>
              </w:rPr>
              <w:t>2</w:t>
            </w:r>
            <w:r>
              <w:rPr>
                <w:rFonts w:hint="eastAsia" w:ascii="宋体" w:hAnsi="宋体" w:eastAsia="宋体" w:cs="宋体"/>
                <w:szCs w:val="24"/>
                <w:lang w:val="zh-CN"/>
              </w:rPr>
              <w:t>年1月1日以来完成的同类型项目的业绩，每个业绩得</w:t>
            </w:r>
            <w:r>
              <w:rPr>
                <w:rFonts w:hint="eastAsia" w:ascii="宋体" w:hAnsi="宋体" w:eastAsia="宋体" w:cs="宋体"/>
                <w:szCs w:val="24"/>
                <w:lang w:val="en-US" w:eastAsia="zh-CN"/>
              </w:rPr>
              <w:t>1</w:t>
            </w:r>
            <w:r>
              <w:rPr>
                <w:rFonts w:hint="eastAsia" w:ascii="宋体" w:hAnsi="宋体" w:eastAsia="宋体" w:cs="宋体"/>
                <w:szCs w:val="24"/>
                <w:lang w:val="zh-CN"/>
              </w:rPr>
              <w:t>分，最高</w:t>
            </w:r>
            <w:r>
              <w:rPr>
                <w:rFonts w:hint="eastAsia" w:ascii="宋体" w:hAnsi="宋体" w:eastAsia="宋体" w:cs="宋体"/>
                <w:szCs w:val="24"/>
                <w:lang w:val="en-US" w:eastAsia="zh-CN"/>
              </w:rPr>
              <w:t>3</w:t>
            </w:r>
            <w:r>
              <w:rPr>
                <w:rFonts w:hint="eastAsia" w:ascii="宋体" w:hAnsi="宋体" w:eastAsia="宋体" w:cs="宋体"/>
                <w:szCs w:val="24"/>
                <w:lang w:val="zh-CN"/>
              </w:rPr>
              <w:t>分。</w:t>
            </w:r>
          </w:p>
          <w:p w14:paraId="6BEB105B">
            <w:pPr>
              <w:pStyle w:val="26"/>
              <w:ind w:right="-21" w:firstLine="0" w:firstLineChars="0"/>
              <w:rPr>
                <w:rFonts w:ascii="宋体" w:hAnsi="宋体" w:eastAsia="宋体" w:cs="宋体"/>
                <w:szCs w:val="24"/>
              </w:rPr>
            </w:pPr>
            <w:r>
              <w:rPr>
                <w:rFonts w:hint="eastAsia" w:ascii="宋体" w:hAnsi="宋体" w:eastAsia="宋体" w:cs="宋体"/>
                <w:szCs w:val="24"/>
                <w:lang w:val="zh-CN"/>
              </w:rPr>
              <w:t>注：须提供合同原件扫描件，未提供或缺项者不得分。</w:t>
            </w:r>
          </w:p>
        </w:tc>
      </w:tr>
      <w:tr w14:paraId="1CA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237" w:type="pct"/>
            <w:vMerge w:val="continue"/>
            <w:tcBorders>
              <w:left w:val="single" w:color="auto" w:sz="4" w:space="0"/>
              <w:right w:val="single" w:color="auto" w:sz="4" w:space="0"/>
            </w:tcBorders>
            <w:vAlign w:val="center"/>
          </w:tcPr>
          <w:p w14:paraId="2E41E4BA">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4ADEF7CD">
            <w:pPr>
              <w:pStyle w:val="26"/>
              <w:ind w:right="-21" w:firstLine="0" w:firstLineChars="0"/>
              <w:rPr>
                <w:rFonts w:ascii="宋体" w:hAnsi="宋体" w:eastAsia="宋体" w:cs="宋体"/>
                <w:bCs/>
                <w:kern w:val="2"/>
                <w:szCs w:val="24"/>
              </w:rPr>
            </w:pPr>
          </w:p>
        </w:tc>
        <w:tc>
          <w:tcPr>
            <w:tcW w:w="731" w:type="pct"/>
            <w:tcBorders>
              <w:left w:val="single" w:color="auto" w:sz="4" w:space="0"/>
              <w:right w:val="single" w:color="auto" w:sz="4" w:space="0"/>
            </w:tcBorders>
            <w:vAlign w:val="center"/>
          </w:tcPr>
          <w:p w14:paraId="2B0F3A78">
            <w:pPr>
              <w:pStyle w:val="26"/>
              <w:ind w:right="-21" w:firstLine="0" w:firstLineChars="0"/>
              <w:jc w:val="center"/>
              <w:rPr>
                <w:rFonts w:hint="eastAsia" w:ascii="宋体" w:hAnsi="宋体" w:eastAsia="宋体" w:cs="宋体"/>
                <w:bCs/>
                <w:kern w:val="2"/>
                <w:szCs w:val="24"/>
              </w:rPr>
            </w:pPr>
            <w:r>
              <w:rPr>
                <w:rFonts w:hint="eastAsia" w:ascii="宋体" w:hAnsi="宋体" w:eastAsia="宋体" w:cs="宋体"/>
                <w:bCs/>
                <w:kern w:val="2"/>
                <w:szCs w:val="24"/>
              </w:rPr>
              <w:t>售后服务</w:t>
            </w:r>
          </w:p>
          <w:p w14:paraId="53AB5C0E">
            <w:pPr>
              <w:pStyle w:val="26"/>
              <w:ind w:right="-21" w:rightChars="-10" w:firstLine="0" w:firstLineChars="0"/>
              <w:jc w:val="center"/>
              <w:rPr>
                <w:rFonts w:ascii="宋体" w:hAnsi="宋体" w:eastAsia="宋体" w:cs="宋体"/>
                <w:bCs/>
                <w:kern w:val="2"/>
                <w:szCs w:val="24"/>
              </w:rPr>
            </w:pPr>
            <w:r>
              <w:rPr>
                <w:rFonts w:hint="eastAsia" w:ascii="宋体" w:hAnsi="宋体" w:eastAsia="宋体" w:cs="宋体"/>
                <w:bCs/>
                <w:kern w:val="2"/>
                <w:szCs w:val="24"/>
              </w:rPr>
              <w:t>（</w:t>
            </w:r>
            <w:r>
              <w:rPr>
                <w:rFonts w:hint="eastAsia" w:ascii="宋体" w:hAnsi="宋体" w:eastAsia="宋体" w:cs="宋体"/>
                <w:bCs/>
                <w:kern w:val="2"/>
                <w:szCs w:val="24"/>
                <w:lang w:val="en-US" w:eastAsia="zh-CN"/>
              </w:rPr>
              <w:t>5</w:t>
            </w:r>
            <w:r>
              <w:rPr>
                <w:rFonts w:hint="eastAsia" w:ascii="宋体" w:hAnsi="宋体" w:eastAsia="宋体" w:cs="宋体"/>
                <w:bCs/>
                <w:kern w:val="2"/>
                <w:szCs w:val="24"/>
              </w:rPr>
              <w:t>分）</w:t>
            </w:r>
          </w:p>
        </w:tc>
        <w:tc>
          <w:tcPr>
            <w:tcW w:w="3354" w:type="pct"/>
            <w:tcBorders>
              <w:top w:val="single" w:color="auto" w:sz="4" w:space="0"/>
              <w:left w:val="single" w:color="auto" w:sz="4" w:space="0"/>
              <w:bottom w:val="single" w:color="auto" w:sz="4" w:space="0"/>
              <w:right w:val="single" w:color="auto" w:sz="4" w:space="0"/>
            </w:tcBorders>
            <w:vAlign w:val="center"/>
          </w:tcPr>
          <w:p w14:paraId="69BC368D">
            <w:pPr>
              <w:numPr>
                <w:ilvl w:val="0"/>
                <w:numId w:val="5"/>
              </w:numPr>
              <w:adjustRightInd w:val="0"/>
              <w:snapToGrid w:val="0"/>
              <w:spacing w:line="360" w:lineRule="auto"/>
              <w:ind w:left="22" w:hanging="21" w:hangingChars="9"/>
              <w:jc w:val="left"/>
              <w:rPr>
                <w:rFonts w:hint="eastAsia" w:ascii="宋体" w:hAnsi="宋体" w:cs="宋体"/>
                <w:bCs/>
                <w:sz w:val="24"/>
                <w:szCs w:val="24"/>
              </w:rPr>
            </w:pPr>
            <w:r>
              <w:rPr>
                <w:rFonts w:hint="eastAsia" w:ascii="宋体" w:hAnsi="宋体" w:cs="宋体"/>
                <w:bCs/>
                <w:sz w:val="24"/>
                <w:szCs w:val="24"/>
              </w:rPr>
              <w:t>针对本项目投标人提供全面、合理的售后服务方案，服务方案应保括保修期内售后服务方案、保修期外售后服务方案，每提供一项得1分</w:t>
            </w:r>
            <w:r>
              <w:rPr>
                <w:rFonts w:hint="eastAsia" w:ascii="宋体" w:hAnsi="宋体" w:cs="宋体"/>
                <w:bCs/>
                <w:sz w:val="24"/>
                <w:szCs w:val="24"/>
                <w:lang w:eastAsia="zh-CN"/>
              </w:rPr>
              <w:t>，</w:t>
            </w:r>
            <w:r>
              <w:rPr>
                <w:rFonts w:hint="eastAsia" w:ascii="宋体" w:hAnsi="宋体" w:cs="宋体"/>
                <w:bCs/>
                <w:sz w:val="24"/>
                <w:szCs w:val="24"/>
              </w:rPr>
              <w:t>此项共</w:t>
            </w:r>
            <w:r>
              <w:rPr>
                <w:rFonts w:hint="eastAsia" w:ascii="宋体" w:hAnsi="宋体" w:cs="宋体"/>
                <w:bCs/>
                <w:sz w:val="24"/>
                <w:szCs w:val="24"/>
                <w:lang w:val="en-US" w:eastAsia="zh-CN"/>
              </w:rPr>
              <w:t>2</w:t>
            </w:r>
            <w:r>
              <w:rPr>
                <w:rFonts w:hint="eastAsia" w:ascii="宋体" w:hAnsi="宋体" w:cs="宋体"/>
                <w:bCs/>
                <w:sz w:val="24"/>
                <w:szCs w:val="24"/>
              </w:rPr>
              <w:t>分，缺项不得分。</w:t>
            </w:r>
          </w:p>
          <w:p w14:paraId="184539BD">
            <w:pPr>
              <w:numPr>
                <w:ilvl w:val="0"/>
                <w:numId w:val="5"/>
              </w:numPr>
              <w:adjustRightInd w:val="0"/>
              <w:snapToGrid w:val="0"/>
              <w:spacing w:line="360" w:lineRule="auto"/>
              <w:ind w:left="21" w:leftChars="0" w:hanging="21" w:hangingChars="9"/>
              <w:jc w:val="left"/>
              <w:rPr>
                <w:rFonts w:ascii="宋体" w:hAnsi="宋体" w:cs="宋体"/>
                <w:bCs/>
                <w:sz w:val="24"/>
                <w:szCs w:val="24"/>
              </w:rPr>
            </w:pPr>
            <w:r>
              <w:rPr>
                <w:rFonts w:hint="eastAsia" w:ascii="宋体" w:hAnsi="宋体" w:cs="宋体"/>
                <w:sz w:val="24"/>
                <w:szCs w:val="24"/>
              </w:rPr>
              <w:t>针对本项目提供的完整、合理、可行性强的运行维护方案，方案至少包括运维目标</w:t>
            </w:r>
            <w:r>
              <w:rPr>
                <w:rFonts w:hint="eastAsia" w:ascii="宋体" w:hAnsi="宋体" w:cs="宋体"/>
                <w:sz w:val="24"/>
                <w:szCs w:val="24"/>
                <w:lang w:val="en-US" w:eastAsia="zh-CN"/>
              </w:rPr>
              <w:t>与</w:t>
            </w:r>
            <w:r>
              <w:rPr>
                <w:rFonts w:hint="eastAsia" w:ascii="宋体" w:hAnsi="宋体" w:cs="宋体"/>
                <w:sz w:val="24"/>
                <w:szCs w:val="24"/>
              </w:rPr>
              <w:t>内容（包括但不限于远程监控，巡检、维护的内容与频次，零部件的清洁与更换，校准等）、质量控制要求、预警能力等内容，每提供一项得1分</w:t>
            </w:r>
            <w:r>
              <w:rPr>
                <w:rFonts w:hint="eastAsia" w:ascii="宋体" w:hAnsi="宋体" w:cs="宋体"/>
                <w:sz w:val="24"/>
                <w:szCs w:val="24"/>
                <w:lang w:eastAsia="zh-CN"/>
              </w:rPr>
              <w:t>，</w:t>
            </w:r>
            <w:r>
              <w:rPr>
                <w:rFonts w:hint="eastAsia" w:ascii="宋体" w:hAnsi="宋体" w:cs="宋体"/>
                <w:sz w:val="24"/>
                <w:szCs w:val="24"/>
              </w:rPr>
              <w:t>共</w:t>
            </w:r>
            <w:r>
              <w:rPr>
                <w:rFonts w:hint="eastAsia" w:ascii="宋体" w:hAnsi="宋体" w:cs="宋体"/>
                <w:sz w:val="24"/>
                <w:szCs w:val="24"/>
                <w:lang w:val="en-US" w:eastAsia="zh-CN"/>
              </w:rPr>
              <w:t>3</w:t>
            </w:r>
            <w:r>
              <w:rPr>
                <w:rFonts w:hint="eastAsia" w:ascii="宋体" w:hAnsi="宋体" w:cs="宋体"/>
                <w:sz w:val="24"/>
                <w:szCs w:val="24"/>
              </w:rPr>
              <w:t>分。未提供不得分。</w:t>
            </w:r>
          </w:p>
        </w:tc>
      </w:tr>
      <w:tr w14:paraId="1CF1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37" w:type="pct"/>
            <w:vMerge w:val="continue"/>
            <w:tcBorders>
              <w:left w:val="single" w:color="auto" w:sz="4" w:space="0"/>
              <w:right w:val="single" w:color="auto" w:sz="4" w:space="0"/>
            </w:tcBorders>
            <w:vAlign w:val="center"/>
          </w:tcPr>
          <w:p w14:paraId="530B67B5">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536CE683">
            <w:pPr>
              <w:pStyle w:val="26"/>
              <w:ind w:right="-21" w:firstLine="0" w:firstLineChars="0"/>
              <w:rPr>
                <w:rFonts w:ascii="宋体" w:hAnsi="宋体" w:eastAsia="宋体" w:cs="宋体"/>
                <w:bCs/>
                <w:kern w:val="2"/>
                <w:szCs w:val="24"/>
              </w:rPr>
            </w:pPr>
          </w:p>
        </w:tc>
        <w:tc>
          <w:tcPr>
            <w:tcW w:w="731" w:type="pct"/>
            <w:tcBorders>
              <w:left w:val="single" w:color="auto" w:sz="4" w:space="0"/>
              <w:right w:val="single" w:color="auto" w:sz="4" w:space="0"/>
            </w:tcBorders>
            <w:shd w:val="clear" w:color="auto" w:fill="auto"/>
            <w:vAlign w:val="center"/>
          </w:tcPr>
          <w:p w14:paraId="29E4C99A">
            <w:pPr>
              <w:pStyle w:val="26"/>
              <w:ind w:right="-21" w:firstLine="0" w:firstLineChars="0"/>
              <w:jc w:val="center"/>
              <w:rPr>
                <w:rFonts w:ascii="宋体" w:hAnsi="宋体" w:eastAsia="宋体" w:cs="宋体"/>
                <w:bCs/>
                <w:kern w:val="2"/>
                <w:szCs w:val="24"/>
              </w:rPr>
            </w:pPr>
            <w:r>
              <w:rPr>
                <w:rFonts w:hint="eastAsia" w:ascii="宋体" w:hAnsi="宋体" w:eastAsia="宋体" w:cs="宋体"/>
                <w:bCs/>
                <w:kern w:val="2"/>
                <w:szCs w:val="24"/>
              </w:rPr>
              <w:t>体系认证</w:t>
            </w:r>
          </w:p>
          <w:p w14:paraId="17ED0BFA">
            <w:pPr>
              <w:pStyle w:val="26"/>
              <w:ind w:right="-21" w:firstLine="0" w:firstLineChars="0"/>
              <w:jc w:val="center"/>
              <w:rPr>
                <w:rFonts w:ascii="宋体" w:hAnsi="宋体" w:eastAsia="宋体" w:cs="宋体"/>
                <w:bCs/>
                <w:kern w:val="2"/>
                <w:szCs w:val="24"/>
              </w:rPr>
            </w:pPr>
            <w:r>
              <w:rPr>
                <w:rFonts w:hint="eastAsia" w:ascii="宋体" w:hAnsi="宋体" w:eastAsia="宋体" w:cs="宋体"/>
                <w:bCs/>
                <w:kern w:val="2"/>
                <w:szCs w:val="24"/>
              </w:rPr>
              <w:t>（</w:t>
            </w:r>
            <w:r>
              <w:rPr>
                <w:rFonts w:hint="eastAsia" w:ascii="宋体" w:hAnsi="宋体" w:eastAsia="宋体" w:cs="宋体"/>
                <w:bCs/>
                <w:kern w:val="2"/>
                <w:szCs w:val="24"/>
                <w:lang w:val="en-US" w:eastAsia="zh-CN"/>
              </w:rPr>
              <w:t>2</w:t>
            </w:r>
            <w:r>
              <w:rPr>
                <w:rFonts w:hint="eastAsia" w:ascii="宋体" w:hAnsi="宋体" w:eastAsia="宋体" w:cs="宋体"/>
                <w:bCs/>
                <w:kern w:val="2"/>
                <w:szCs w:val="24"/>
              </w:rPr>
              <w:t>分）</w:t>
            </w:r>
          </w:p>
        </w:tc>
        <w:tc>
          <w:tcPr>
            <w:tcW w:w="3354" w:type="pct"/>
            <w:tcBorders>
              <w:top w:val="single" w:color="auto" w:sz="4" w:space="0"/>
              <w:left w:val="single" w:color="auto" w:sz="4" w:space="0"/>
              <w:bottom w:val="single" w:color="auto" w:sz="4" w:space="0"/>
              <w:right w:val="single" w:color="auto" w:sz="4" w:space="0"/>
            </w:tcBorders>
            <w:shd w:val="clear" w:color="auto" w:fill="auto"/>
            <w:vAlign w:val="center"/>
          </w:tcPr>
          <w:p w14:paraId="439FF40C">
            <w:pPr>
              <w:pStyle w:val="26"/>
              <w:ind w:right="-21" w:firstLine="0" w:firstLineChars="0"/>
              <w:rPr>
                <w:rFonts w:ascii="宋体" w:hAnsi="宋体" w:eastAsia="宋体" w:cs="宋体"/>
                <w:bCs/>
                <w:szCs w:val="24"/>
              </w:rPr>
            </w:pPr>
            <w:r>
              <w:rPr>
                <w:rFonts w:hint="eastAsia" w:ascii="宋体" w:hAnsi="宋体" w:eastAsia="宋体" w:cs="宋体"/>
                <w:bCs/>
                <w:szCs w:val="24"/>
              </w:rPr>
              <w:t>投标人同时具备有效期内的质量管理体系认证证书、环境管理体系认证证书和职业健康安全管理体系认证证书的，得</w:t>
            </w:r>
            <w:r>
              <w:rPr>
                <w:rFonts w:hint="eastAsia" w:ascii="宋体" w:hAnsi="宋体" w:eastAsia="宋体" w:cs="宋体"/>
                <w:bCs/>
                <w:szCs w:val="24"/>
                <w:lang w:val="en-US" w:eastAsia="zh-CN"/>
              </w:rPr>
              <w:t>2</w:t>
            </w:r>
            <w:r>
              <w:rPr>
                <w:rFonts w:hint="eastAsia" w:ascii="宋体" w:hAnsi="宋体" w:eastAsia="宋体" w:cs="宋体"/>
                <w:bCs/>
                <w:szCs w:val="24"/>
              </w:rPr>
              <w:t>分，未提供或提供不全不得分。（提供证书原件扫描件并加盖公章，否则不得分）</w:t>
            </w:r>
          </w:p>
        </w:tc>
      </w:tr>
      <w:tr w14:paraId="5272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37" w:type="pct"/>
            <w:vMerge w:val="continue"/>
            <w:tcBorders>
              <w:left w:val="single" w:color="auto" w:sz="4" w:space="0"/>
              <w:right w:val="single" w:color="auto" w:sz="4" w:space="0"/>
            </w:tcBorders>
            <w:vAlign w:val="center"/>
          </w:tcPr>
          <w:p w14:paraId="27A07D71">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7B00930C">
            <w:pPr>
              <w:pStyle w:val="26"/>
              <w:ind w:right="-21" w:firstLine="0" w:firstLineChars="0"/>
              <w:rPr>
                <w:rFonts w:ascii="宋体" w:hAnsi="宋体" w:eastAsia="宋体" w:cs="宋体"/>
                <w:bCs/>
                <w:kern w:val="2"/>
                <w:szCs w:val="24"/>
              </w:rPr>
            </w:pPr>
          </w:p>
        </w:tc>
        <w:tc>
          <w:tcPr>
            <w:tcW w:w="731" w:type="pct"/>
            <w:vMerge w:val="restart"/>
            <w:tcBorders>
              <w:left w:val="single" w:color="auto" w:sz="4" w:space="0"/>
              <w:right w:val="single" w:color="auto" w:sz="4" w:space="0"/>
            </w:tcBorders>
            <w:vAlign w:val="center"/>
          </w:tcPr>
          <w:p w14:paraId="37E42E23">
            <w:pPr>
              <w:pStyle w:val="26"/>
              <w:ind w:right="-21" w:firstLine="0" w:firstLineChars="0"/>
              <w:jc w:val="center"/>
              <w:rPr>
                <w:rFonts w:ascii="宋体" w:hAnsi="宋体" w:eastAsia="宋体" w:cs="宋体"/>
                <w:bCs/>
                <w:color w:val="auto"/>
                <w:kern w:val="2"/>
                <w:szCs w:val="24"/>
              </w:rPr>
            </w:pPr>
            <w:r>
              <w:rPr>
                <w:rFonts w:hint="eastAsia" w:ascii="宋体" w:hAnsi="宋体" w:eastAsia="宋体" w:cs="宋体"/>
                <w:bCs/>
                <w:color w:val="auto"/>
                <w:kern w:val="2"/>
                <w:szCs w:val="24"/>
              </w:rPr>
              <w:t>企业实力</w:t>
            </w:r>
          </w:p>
          <w:p w14:paraId="01D4B06A">
            <w:pPr>
              <w:pStyle w:val="26"/>
              <w:ind w:right="-21" w:firstLine="0" w:firstLineChars="0"/>
              <w:jc w:val="center"/>
              <w:rPr>
                <w:rFonts w:ascii="宋体" w:hAnsi="宋体" w:eastAsia="宋体" w:cs="宋体"/>
                <w:bCs/>
                <w:color w:val="auto"/>
                <w:kern w:val="2"/>
                <w:szCs w:val="24"/>
              </w:rPr>
            </w:pPr>
            <w:r>
              <w:rPr>
                <w:rFonts w:hint="eastAsia" w:ascii="宋体" w:hAnsi="宋体" w:eastAsia="宋体" w:cs="宋体"/>
                <w:bCs/>
                <w:color w:val="auto"/>
                <w:kern w:val="2"/>
                <w:szCs w:val="24"/>
              </w:rPr>
              <w:t>（</w:t>
            </w:r>
            <w:r>
              <w:rPr>
                <w:rFonts w:hint="eastAsia" w:ascii="宋体" w:hAnsi="宋体" w:eastAsia="宋体" w:cs="宋体"/>
                <w:bCs/>
                <w:color w:val="auto"/>
                <w:kern w:val="2"/>
                <w:szCs w:val="24"/>
                <w:lang w:val="en-US" w:eastAsia="zh-CN"/>
              </w:rPr>
              <w:t>5</w:t>
            </w:r>
            <w:r>
              <w:rPr>
                <w:rFonts w:hint="eastAsia" w:ascii="宋体" w:hAnsi="宋体" w:eastAsia="宋体" w:cs="宋体"/>
                <w:bCs/>
                <w:color w:val="auto"/>
                <w:kern w:val="2"/>
                <w:szCs w:val="24"/>
              </w:rPr>
              <w:t>分）</w:t>
            </w:r>
          </w:p>
        </w:tc>
        <w:tc>
          <w:tcPr>
            <w:tcW w:w="3354" w:type="pct"/>
            <w:tcBorders>
              <w:top w:val="single" w:color="auto" w:sz="4" w:space="0"/>
              <w:left w:val="single" w:color="auto" w:sz="4" w:space="0"/>
              <w:bottom w:val="single" w:color="auto" w:sz="4" w:space="0"/>
              <w:right w:val="single" w:color="auto" w:sz="4" w:space="0"/>
            </w:tcBorders>
            <w:vAlign w:val="center"/>
          </w:tcPr>
          <w:p w14:paraId="56EE8BD4">
            <w:pPr>
              <w:pStyle w:val="26"/>
              <w:ind w:right="-21" w:rightChars="-10" w:firstLine="0" w:firstLineChars="0"/>
              <w:rPr>
                <w:rFonts w:ascii="宋体" w:hAnsi="宋体" w:eastAsia="宋体" w:cs="宋体"/>
                <w:bCs/>
                <w:color w:val="auto"/>
                <w:kern w:val="2"/>
                <w:szCs w:val="24"/>
              </w:rPr>
            </w:pPr>
            <w:r>
              <w:rPr>
                <w:rFonts w:hint="eastAsia" w:ascii="宋体" w:hAnsi="宋体" w:eastAsia="宋体" w:cs="宋体"/>
                <w:bCs/>
                <w:color w:val="auto"/>
                <w:szCs w:val="24"/>
              </w:rPr>
              <w:t>投标人具有高新技术企业证书的得</w:t>
            </w:r>
            <w:r>
              <w:rPr>
                <w:rFonts w:hint="eastAsia" w:ascii="宋体" w:hAnsi="宋体" w:eastAsia="宋体" w:cs="宋体"/>
                <w:bCs/>
                <w:color w:val="auto"/>
                <w:szCs w:val="24"/>
                <w:lang w:val="en-US" w:eastAsia="zh-CN"/>
              </w:rPr>
              <w:t>3</w:t>
            </w:r>
            <w:r>
              <w:rPr>
                <w:rFonts w:hint="eastAsia" w:ascii="宋体" w:hAnsi="宋体" w:eastAsia="宋体" w:cs="宋体"/>
                <w:bCs/>
                <w:color w:val="auto"/>
                <w:szCs w:val="24"/>
              </w:rPr>
              <w:t>分。（提供证书原件扫描件并加盖公章，否则不得分）</w:t>
            </w:r>
          </w:p>
        </w:tc>
      </w:tr>
      <w:tr w14:paraId="1EC0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237" w:type="pct"/>
            <w:vMerge w:val="continue"/>
            <w:tcBorders>
              <w:left w:val="single" w:color="auto" w:sz="4" w:space="0"/>
              <w:right w:val="single" w:color="auto" w:sz="4" w:space="0"/>
            </w:tcBorders>
            <w:vAlign w:val="center"/>
          </w:tcPr>
          <w:p w14:paraId="118E81DC">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65D5542A">
            <w:pPr>
              <w:pStyle w:val="26"/>
              <w:ind w:right="-21" w:firstLine="0" w:firstLineChars="0"/>
              <w:rPr>
                <w:rFonts w:ascii="宋体" w:hAnsi="宋体" w:eastAsia="宋体" w:cs="宋体"/>
                <w:bCs/>
                <w:kern w:val="2"/>
                <w:szCs w:val="24"/>
              </w:rPr>
            </w:pPr>
          </w:p>
        </w:tc>
        <w:tc>
          <w:tcPr>
            <w:tcW w:w="731" w:type="pct"/>
            <w:vMerge w:val="continue"/>
            <w:tcBorders>
              <w:left w:val="single" w:color="auto" w:sz="4" w:space="0"/>
              <w:right w:val="single" w:color="auto" w:sz="4" w:space="0"/>
            </w:tcBorders>
            <w:vAlign w:val="center"/>
          </w:tcPr>
          <w:p w14:paraId="2CF38126">
            <w:pPr>
              <w:pStyle w:val="26"/>
              <w:ind w:right="-21" w:firstLine="0" w:firstLineChars="0"/>
              <w:rPr>
                <w:rFonts w:ascii="宋体" w:hAnsi="宋体" w:eastAsia="宋体" w:cs="宋体"/>
                <w:bCs/>
                <w:kern w:val="2"/>
                <w:szCs w:val="24"/>
              </w:rPr>
            </w:pPr>
          </w:p>
        </w:tc>
        <w:tc>
          <w:tcPr>
            <w:tcW w:w="3354" w:type="pct"/>
            <w:tcBorders>
              <w:top w:val="single" w:color="auto" w:sz="4" w:space="0"/>
              <w:left w:val="single" w:color="auto" w:sz="4" w:space="0"/>
              <w:bottom w:val="single" w:color="auto" w:sz="4" w:space="0"/>
              <w:right w:val="single" w:color="auto" w:sz="4" w:space="0"/>
            </w:tcBorders>
            <w:vAlign w:val="center"/>
          </w:tcPr>
          <w:p w14:paraId="638A5D6E">
            <w:pPr>
              <w:pStyle w:val="26"/>
              <w:ind w:right="-21" w:firstLine="0" w:firstLineChars="0"/>
              <w:rPr>
                <w:rFonts w:hint="eastAsia" w:ascii="宋体" w:hAnsi="宋体" w:eastAsia="宋体" w:cs="宋体"/>
                <w:bCs/>
                <w:color w:val="auto"/>
                <w:szCs w:val="24"/>
              </w:rPr>
            </w:pPr>
            <w:r>
              <w:rPr>
                <w:rFonts w:hint="eastAsia" w:ascii="宋体" w:hAnsi="宋体" w:eastAsia="宋体" w:cs="宋体"/>
                <w:bCs/>
                <w:szCs w:val="24"/>
              </w:rPr>
              <w:t>项目</w:t>
            </w:r>
            <w:r>
              <w:rPr>
                <w:rFonts w:hint="eastAsia" w:ascii="宋体" w:hAnsi="宋体" w:eastAsia="宋体" w:cs="宋体"/>
                <w:bCs/>
                <w:color w:val="auto"/>
                <w:szCs w:val="24"/>
              </w:rPr>
              <w:t>参与人员具有相关行业高级工程师的每提供1个得2分，此项最高2分；</w:t>
            </w:r>
          </w:p>
          <w:p w14:paraId="558967E3">
            <w:pPr>
              <w:pStyle w:val="26"/>
              <w:ind w:right="-21" w:rightChars="-10" w:firstLine="0" w:firstLineChars="0"/>
              <w:rPr>
                <w:rFonts w:ascii="宋体" w:hAnsi="宋体" w:eastAsia="宋体" w:cs="宋体"/>
                <w:bCs/>
                <w:szCs w:val="24"/>
              </w:rPr>
            </w:pPr>
            <w:r>
              <w:rPr>
                <w:rFonts w:hint="eastAsia" w:ascii="宋体" w:hAnsi="宋体" w:eastAsia="宋体" w:cs="宋体"/>
                <w:bCs/>
                <w:color w:val="auto"/>
                <w:szCs w:val="24"/>
              </w:rPr>
              <w:t>须附人员相应证书扫描件及在本单位缴纳近半年任意三个月社保证明扫描件</w:t>
            </w:r>
            <w:r>
              <w:rPr>
                <w:rFonts w:hint="eastAsia" w:ascii="宋体" w:hAnsi="宋体" w:eastAsia="宋体" w:cs="宋体"/>
                <w:bCs/>
                <w:color w:val="auto"/>
                <w:szCs w:val="24"/>
                <w:lang w:eastAsia="zh-CN"/>
              </w:rPr>
              <w:t>（</w:t>
            </w:r>
            <w:r>
              <w:rPr>
                <w:rFonts w:hint="eastAsia" w:ascii="宋体" w:hAnsi="宋体" w:eastAsia="宋体" w:cs="宋体"/>
                <w:bCs/>
                <w:color w:val="auto"/>
                <w:szCs w:val="24"/>
                <w:lang w:val="en-US" w:eastAsia="zh-CN"/>
              </w:rPr>
              <w:t>新成立的公司提供自成立以来的）</w:t>
            </w:r>
            <w:r>
              <w:rPr>
                <w:rFonts w:hint="eastAsia" w:ascii="宋体" w:hAnsi="宋体" w:eastAsia="宋体" w:cs="宋体"/>
                <w:bCs/>
                <w:color w:val="auto"/>
                <w:szCs w:val="24"/>
              </w:rPr>
              <w:t>，否则不得分</w:t>
            </w:r>
          </w:p>
        </w:tc>
      </w:tr>
      <w:tr w14:paraId="57DA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237" w:type="pct"/>
            <w:tcBorders>
              <w:left w:val="single" w:color="auto" w:sz="4" w:space="0"/>
              <w:right w:val="single" w:color="auto" w:sz="4" w:space="0"/>
            </w:tcBorders>
            <w:vAlign w:val="center"/>
          </w:tcPr>
          <w:p w14:paraId="4309AC23">
            <w:pPr>
              <w:pStyle w:val="26"/>
              <w:ind w:right="-21" w:firstLine="0" w:firstLineChars="0"/>
              <w:rPr>
                <w:rFonts w:ascii="宋体" w:hAnsi="宋体" w:eastAsia="宋体" w:cs="宋体"/>
                <w:bCs/>
                <w:kern w:val="2"/>
                <w:szCs w:val="24"/>
              </w:rPr>
            </w:pPr>
          </w:p>
        </w:tc>
        <w:tc>
          <w:tcPr>
            <w:tcW w:w="676" w:type="pct"/>
            <w:vMerge w:val="continue"/>
            <w:tcBorders>
              <w:left w:val="single" w:color="auto" w:sz="4" w:space="0"/>
              <w:right w:val="single" w:color="auto" w:sz="4" w:space="0"/>
            </w:tcBorders>
            <w:vAlign w:val="center"/>
          </w:tcPr>
          <w:p w14:paraId="36253043">
            <w:pPr>
              <w:pStyle w:val="26"/>
              <w:ind w:right="-21" w:firstLine="0" w:firstLineChars="0"/>
              <w:rPr>
                <w:rFonts w:ascii="宋体" w:hAnsi="宋体" w:eastAsia="宋体" w:cs="宋体"/>
                <w:bCs/>
                <w:kern w:val="2"/>
                <w:szCs w:val="24"/>
              </w:rPr>
            </w:pPr>
          </w:p>
        </w:tc>
        <w:tc>
          <w:tcPr>
            <w:tcW w:w="731" w:type="pct"/>
            <w:tcBorders>
              <w:left w:val="single" w:color="auto" w:sz="4" w:space="0"/>
              <w:right w:val="single" w:color="auto" w:sz="4" w:space="0"/>
            </w:tcBorders>
            <w:vAlign w:val="center"/>
          </w:tcPr>
          <w:p w14:paraId="6B6D1430">
            <w:pPr>
              <w:tabs>
                <w:tab w:val="left" w:pos="5130"/>
              </w:tabs>
              <w:adjustRightInd w:val="0"/>
              <w:snapToGrid w:val="0"/>
              <w:spacing w:after="50"/>
              <w:ind w:right="-10"/>
              <w:jc w:val="center"/>
              <w:rPr>
                <w:rFonts w:hint="eastAsia" w:ascii="宋体" w:hAnsi="宋体" w:cs="宋体"/>
                <w:sz w:val="24"/>
                <w:szCs w:val="28"/>
                <w:highlight w:val="none"/>
              </w:rPr>
            </w:pPr>
            <w:r>
              <w:rPr>
                <w:rFonts w:hint="eastAsia" w:ascii="宋体" w:hAnsi="宋体"/>
                <w:sz w:val="24"/>
                <w:szCs w:val="24"/>
                <w:highlight w:val="none"/>
              </w:rPr>
              <w:t>勘察现场</w:t>
            </w:r>
          </w:p>
          <w:p w14:paraId="6FDEB015">
            <w:pPr>
              <w:tabs>
                <w:tab w:val="left" w:pos="5130"/>
              </w:tabs>
              <w:adjustRightInd w:val="0"/>
              <w:snapToGrid w:val="0"/>
              <w:spacing w:after="50"/>
              <w:ind w:right="-10" w:rightChars="0"/>
              <w:jc w:val="center"/>
              <w:rPr>
                <w:rFonts w:ascii="宋体" w:hAnsi="宋体" w:eastAsia="宋体" w:cs="宋体"/>
                <w:bCs/>
                <w:kern w:val="2"/>
                <w:szCs w:val="24"/>
              </w:rPr>
            </w:pPr>
            <w:r>
              <w:rPr>
                <w:rFonts w:hint="eastAsia" w:ascii="宋体" w:hAnsi="宋体" w:cs="宋体"/>
                <w:sz w:val="24"/>
                <w:szCs w:val="28"/>
                <w:highlight w:val="none"/>
              </w:rPr>
              <w:t>（5分）</w:t>
            </w:r>
          </w:p>
        </w:tc>
        <w:tc>
          <w:tcPr>
            <w:tcW w:w="3354" w:type="pct"/>
            <w:tcBorders>
              <w:top w:val="single" w:color="auto" w:sz="4" w:space="0"/>
              <w:left w:val="single" w:color="auto" w:sz="4" w:space="0"/>
              <w:right w:val="single" w:color="auto" w:sz="4" w:space="0"/>
            </w:tcBorders>
            <w:vAlign w:val="center"/>
          </w:tcPr>
          <w:p w14:paraId="4ED506A0">
            <w:pPr>
              <w:tabs>
                <w:tab w:val="left" w:pos="5130"/>
              </w:tabs>
              <w:adjustRightInd w:val="0"/>
              <w:snapToGrid w:val="0"/>
              <w:spacing w:after="50" w:line="360" w:lineRule="auto"/>
              <w:ind w:right="-10" w:rightChars="0"/>
              <w:jc w:val="left"/>
              <w:rPr>
                <w:rFonts w:hint="eastAsia" w:ascii="宋体" w:hAnsi="宋体" w:cs="宋体"/>
                <w:sz w:val="24"/>
                <w:szCs w:val="28"/>
                <w:highlight w:val="none"/>
              </w:rPr>
            </w:pPr>
            <w:r>
              <w:rPr>
                <w:rFonts w:hint="eastAsia" w:ascii="宋体" w:hAnsi="宋体" w:cs="宋体"/>
                <w:sz w:val="24"/>
                <w:szCs w:val="28"/>
                <w:highlight w:val="none"/>
              </w:rPr>
              <w:t>因项目情况复杂，技术要求较高，为使供应商充分了解评估建设地点基本情况及后期运维服务工作，避免盲目投标，保障项目后期的顺利实施，投标人可自行对供货现场和周围环境进行勘察。并在获取采购招标文件截止后第一个工作日到项目现场进行勘察。经采购人证实已到现场勘察的合格供应商，采购人开具加盖采购单位公章的勘察证明函。供应商将证明原件放在投标文件中（电子标为原件扫描件）。(现场勘察联系人：李德立 联系方式：1359228 5857）</w:t>
            </w:r>
          </w:p>
        </w:tc>
      </w:tr>
      <w:bookmarkEnd w:id="51"/>
    </w:tbl>
    <w:p w14:paraId="435A6F32">
      <w:pPr>
        <w:pStyle w:val="13"/>
        <w:spacing w:line="360" w:lineRule="auto"/>
        <w:ind w:right="-10" w:firstLine="482" w:firstLineChars="200"/>
        <w:rPr>
          <w:rFonts w:ascii="宋体" w:hAnsi="宋体" w:eastAsia="宋体" w:cs="宋体"/>
          <w:b/>
          <w:color w:val="000000" w:themeColor="text1"/>
          <w:kern w:val="1"/>
          <w:sz w:val="24"/>
          <w14:textFill>
            <w14:solidFill>
              <w14:schemeClr w14:val="tx1"/>
            </w14:solidFill>
          </w14:textFill>
        </w:rPr>
      </w:pPr>
      <w:r>
        <w:rPr>
          <w:rFonts w:hint="eastAsia" w:ascii="宋体" w:hAnsi="宋体" w:eastAsia="宋体" w:cs="宋体"/>
          <w:b/>
          <w:color w:val="000000" w:themeColor="text1"/>
          <w:kern w:val="1"/>
          <w:sz w:val="24"/>
          <w14:textFill>
            <w14:solidFill>
              <w14:schemeClr w14:val="tx1"/>
            </w14:solidFill>
          </w14:textFill>
        </w:rPr>
        <w:t>注：评标结束后，由采购人对评审结果及响应文件等进行复核，并在法定的时间内确定中标人。</w:t>
      </w:r>
    </w:p>
    <w:p w14:paraId="50281CC8">
      <w:pPr>
        <w:adjustRightInd w:val="0"/>
        <w:snapToGrid w:val="0"/>
        <w:spacing w:line="360" w:lineRule="auto"/>
        <w:ind w:right="-1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依据中华人民共和国财政部令第87号令《政府采购货物和服务招标投标管理办法》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p>
    <w:p w14:paraId="5E92952A">
      <w:pPr>
        <w:adjustRightInd w:val="0"/>
        <w:snapToGrid w:val="0"/>
        <w:spacing w:line="360" w:lineRule="auto"/>
        <w:ind w:right="-10"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2、按照周口市交易中心规定，本项目投标人所需提供原件在评标时无需提供，仅作为采购单位核实时使用，评审委员会评审时仅以投标人投标文件中扫描件为准。</w:t>
      </w:r>
    </w:p>
    <w:p w14:paraId="02A8E596">
      <w:pPr>
        <w:pStyle w:val="13"/>
        <w:spacing w:line="360" w:lineRule="auto"/>
        <w:ind w:right="-10" w:firstLine="482" w:firstLineChars="200"/>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第十条</w:t>
      </w:r>
      <w:r>
        <w:rPr>
          <w:rFonts w:hint="eastAsia" w:ascii="宋体" w:hAnsi="宋体" w:eastAsia="宋体" w:cs="宋体"/>
          <w:bCs/>
          <w:color w:val="000000" w:themeColor="text1"/>
          <w:sz w:val="24"/>
          <w14:textFill>
            <w14:solidFill>
              <w14:schemeClr w14:val="tx1"/>
            </w14:solidFill>
          </w14:textFill>
        </w:rPr>
        <w:t xml:space="preserve"> 评委独立评审后，评委会对投标人某项指标如有不同意见，按照少数服从多数的原则，确定该项指标是否通过。</w:t>
      </w:r>
    </w:p>
    <w:p w14:paraId="17448D3A">
      <w:pPr>
        <w:spacing w:line="360" w:lineRule="auto"/>
        <w:ind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w:t>
      </w:r>
      <w:r>
        <w:rPr>
          <w:rFonts w:hint="eastAsia" w:ascii="宋体" w:hAnsi="宋体" w:cs="宋体"/>
          <w:bCs/>
          <w:color w:val="000000" w:themeColor="text1"/>
          <w:sz w:val="24"/>
          <w14:textFill>
            <w14:solidFill>
              <w14:schemeClr w14:val="tx1"/>
            </w14:solidFill>
          </w14:textFill>
        </w:rPr>
        <w:t xml:space="preserve"> 商务、技术满足招标文件要求，综合得分最高的投标人将作为中标候选人。如果综合得分中出现两家或两家以上相同者，投标报价较低者优先中标，报价也相同的，由采购人自行确定。</w:t>
      </w:r>
    </w:p>
    <w:p w14:paraId="1DDAD844">
      <w:pPr>
        <w:pStyle w:val="13"/>
        <w:spacing w:line="360" w:lineRule="auto"/>
        <w:ind w:right="-10" w:firstLine="482"/>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w:t>
      </w:r>
      <w:r>
        <w:rPr>
          <w:rFonts w:hint="eastAsia" w:ascii="宋体" w:hAnsi="宋体" w:eastAsia="宋体" w:cs="宋体"/>
          <w:bCs/>
          <w:color w:val="000000" w:themeColor="text1"/>
          <w:sz w:val="24"/>
          <w14:textFill>
            <w14:solidFill>
              <w14:schemeClr w14:val="tx1"/>
            </w14:solidFill>
          </w14:textFill>
        </w:rPr>
        <w:t xml:space="preserve"> 评委会在评标过程中发现的问题，应当及时作出处理或者向采购人提出处理建议，并作书面记录。</w:t>
      </w:r>
    </w:p>
    <w:p w14:paraId="5969DD53">
      <w:pPr>
        <w:adjustRightInd w:val="0"/>
        <w:snapToGrid w:val="0"/>
        <w:spacing w:line="360" w:lineRule="auto"/>
        <w:ind w:right="-10" w:firstLine="482" w:firstLineChars="200"/>
        <w:rPr>
          <w:rFonts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w:t>
      </w:r>
      <w:r>
        <w:rPr>
          <w:rFonts w:hint="eastAsia" w:ascii="宋体" w:hAnsi="宋体" w:cs="宋体"/>
          <w:bCs/>
          <w:color w:val="000000" w:themeColor="text1"/>
          <w:sz w:val="24"/>
          <w14:textFill>
            <w14:solidFill>
              <w14:schemeClr w14:val="tx1"/>
            </w14:solidFill>
          </w14:textFill>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14:paraId="708C255A">
      <w:pPr>
        <w:rPr>
          <w:rFonts w:ascii="宋体" w:hAnsi="宋体" w:cs="宋体"/>
          <w:color w:val="000000" w:themeColor="text1"/>
          <w14:textFill>
            <w14:solidFill>
              <w14:schemeClr w14:val="tx1"/>
            </w14:solidFill>
          </w14:textFill>
        </w:rPr>
      </w:pPr>
    </w:p>
    <w:p w14:paraId="6550CB9F">
      <w:pPr>
        <w:adjustRightInd w:val="0"/>
        <w:snapToGrid w:val="0"/>
        <w:spacing w:line="360" w:lineRule="auto"/>
        <w:jc w:val="center"/>
        <w:rPr>
          <w:rFonts w:ascii="宋体" w:hAnsi="宋体" w:cs="宋体"/>
          <w:b/>
          <w:bCs/>
          <w:color w:val="000000" w:themeColor="text1"/>
          <w:sz w:val="24"/>
          <w14:textFill>
            <w14:solidFill>
              <w14:schemeClr w14:val="tx1"/>
            </w14:solidFill>
          </w14:textFill>
        </w:rPr>
      </w:pPr>
      <w:bookmarkStart w:id="61" w:name="_Toc40_WPSOffice_Level2"/>
      <w:r>
        <w:rPr>
          <w:rFonts w:hint="eastAsia" w:ascii="宋体" w:hAnsi="宋体" w:cs="宋体"/>
          <w:b/>
          <w:bCs/>
          <w:color w:val="000000" w:themeColor="text1"/>
          <w:sz w:val="24"/>
          <w14:textFill>
            <w14:solidFill>
              <w14:schemeClr w14:val="tx1"/>
            </w14:solidFill>
          </w14:textFill>
        </w:rPr>
        <w:t>三．评标纪律</w:t>
      </w:r>
      <w:bookmarkEnd w:id="61"/>
    </w:p>
    <w:p w14:paraId="18C56E88">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w:t>
      </w:r>
      <w:r>
        <w:rPr>
          <w:rFonts w:hint="eastAsia" w:ascii="宋体" w:hAnsi="宋体" w:cs="宋体"/>
          <w:bCs/>
          <w:color w:val="000000" w:themeColor="text1"/>
          <w:sz w:val="24"/>
          <w14:textFill>
            <w14:solidFill>
              <w14:schemeClr w14:val="tx1"/>
            </w14:solidFill>
          </w14:textFill>
        </w:rPr>
        <w:t xml:space="preserve"> 评委会和评标工作人员应严格遵守国家的法律、法规和规章制度；</w:t>
      </w:r>
      <w:r>
        <w:rPr>
          <w:rFonts w:hint="eastAsia" w:ascii="宋体" w:hAnsi="宋体" w:cs="宋体"/>
          <w:color w:val="000000" w:themeColor="text1"/>
          <w:sz w:val="24"/>
          <w14:textFill>
            <w14:solidFill>
              <w14:schemeClr w14:val="tx1"/>
            </w14:solidFill>
          </w14:textFill>
        </w:rPr>
        <w:t>严格按照本次招标文件进行评标；公正廉洁、不徇私情，不得损害国家利益；保护招、投标人的合法权益。</w:t>
      </w:r>
    </w:p>
    <w:p w14:paraId="6934EE5A">
      <w:pPr>
        <w:adjustRightInd w:val="0"/>
        <w:snapToGrid w:val="0"/>
        <w:spacing w:line="360" w:lineRule="auto"/>
        <w:ind w:right="-1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第十五条 </w:t>
      </w:r>
      <w:r>
        <w:rPr>
          <w:rFonts w:hint="eastAsia" w:ascii="宋体" w:hAnsi="宋体" w:cs="宋体"/>
          <w:color w:val="000000" w:themeColor="text1"/>
          <w:sz w:val="24"/>
          <w14:textFill>
            <w14:solidFill>
              <w14:schemeClr w14:val="tx1"/>
            </w14:solidFill>
          </w14:textFill>
        </w:rPr>
        <w:t>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14:paraId="0A7E85F1">
      <w:pPr>
        <w:spacing w:line="360" w:lineRule="auto"/>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第十六条</w:t>
      </w:r>
      <w:r>
        <w:rPr>
          <w:rFonts w:hint="eastAsia" w:ascii="宋体" w:hAnsi="宋体" w:cs="宋体"/>
          <w:color w:val="000000" w:themeColor="text1"/>
          <w:sz w:val="24"/>
          <w14:textFill>
            <w14:solidFill>
              <w14:schemeClr w14:val="tx1"/>
            </w14:solidFill>
          </w14:textFill>
        </w:rPr>
        <w:t xml:space="preserve"> 在招标采购中，出现下列情形之一的，应予废标：</w:t>
      </w:r>
    </w:p>
    <w:p w14:paraId="55CABC4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1.出现影响采购公正的违法、违规行为的。</w:t>
      </w:r>
    </w:p>
    <w:p w14:paraId="0BF505E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2.投标时有弄虚作假的行为。</w:t>
      </w:r>
    </w:p>
    <w:p w14:paraId="2309C8BF">
      <w:pPr>
        <w:spacing w:line="360" w:lineRule="auto"/>
        <w:ind w:firstLine="475" w:firstLineChars="197"/>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第十七条 </w:t>
      </w:r>
      <w:r>
        <w:rPr>
          <w:rFonts w:hint="eastAsia" w:ascii="宋体" w:hAnsi="宋体" w:cs="宋体"/>
          <w:color w:val="000000" w:themeColor="text1"/>
          <w:sz w:val="24"/>
          <w14:textFill>
            <w14:solidFill>
              <w14:schemeClr w14:val="tx1"/>
            </w14:solidFill>
          </w14:textFill>
        </w:rPr>
        <w:t>在投标过程中，出现下列情况之一的，按照无效投标处理：</w:t>
      </w:r>
    </w:p>
    <w:p w14:paraId="2FA7280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1.未按照招标文件规定要求签署、签章的</w:t>
      </w:r>
      <w:r>
        <w:rPr>
          <w:rFonts w:hint="eastAsia" w:ascii="宋体" w:hAnsi="宋体" w:cs="宋体"/>
          <w:b/>
          <w:color w:val="000000" w:themeColor="text1"/>
          <w:sz w:val="24"/>
          <w14:textFill>
            <w14:solidFill>
              <w14:schemeClr w14:val="tx1"/>
            </w14:solidFill>
          </w14:textFill>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p>
    <w:p w14:paraId="7728D68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2.不具备招标文件中规定资格要求的；</w:t>
      </w:r>
    </w:p>
    <w:p w14:paraId="79371E2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3.不符合法律、法规和招标文件中规定的其他实质性要求的。</w:t>
      </w:r>
    </w:p>
    <w:p w14:paraId="323FC40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4.投标人的报价超过了采购预算，采购人不能支付的；</w:t>
      </w:r>
    </w:p>
    <w:p w14:paraId="174BBBB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5.投标文件附有招标人不能接受的条件；</w:t>
      </w:r>
    </w:p>
    <w:p w14:paraId="09A3EFD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6.投标文件中对同一货物或标段提供选择性报价的；</w:t>
      </w:r>
    </w:p>
    <w:p w14:paraId="7D3F632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7.商务偏差表或技术偏差表存在弄虚作假的；</w:t>
      </w:r>
    </w:p>
    <w:p w14:paraId="106BBDB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8.不同供应商的电子投标（响应）文件上传计算机的网卡 MAC 地址、CPU 序列号和硬盘序列号等硬件信息相同的;</w:t>
      </w:r>
    </w:p>
    <w:p w14:paraId="6FF1C84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9.不同供应商的投标（响应）文件由同一电子设备编制，打印、复印、加密或者上传的；</w:t>
      </w:r>
    </w:p>
    <w:p w14:paraId="5FE11DC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10.不同供应商的投标（响应）文件由同一人送达或者分发，或者不同供应商联系人为同一人或不同联系人的联系电话一致的；</w:t>
      </w:r>
    </w:p>
    <w:p w14:paraId="13CB16C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11.不同供应商的投标（响应）文件的内容存在两处以上细节错误一致；</w:t>
      </w:r>
    </w:p>
    <w:p w14:paraId="7C33CA2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12.不同供应商的法定代表人、委托代理人、项目经理、项目负责人等由同一个单位缴纳社会保险或者领取报酬的；</w:t>
      </w:r>
    </w:p>
    <w:p w14:paraId="6EB578E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13.不同供应商投标（响应）文件中法定代表人或者负责人签字出自同一人之手。</w:t>
      </w:r>
    </w:p>
    <w:p w14:paraId="2937152F">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八</w:t>
      </w:r>
      <w:r>
        <w:rPr>
          <w:rFonts w:hint="eastAsia" w:ascii="宋体" w:hAnsi="宋体" w:cs="宋体"/>
          <w:b/>
          <w:color w:val="000000" w:themeColor="text1"/>
          <w:sz w:val="24"/>
          <w14:textFill>
            <w14:solidFill>
              <w14:schemeClr w14:val="tx1"/>
            </w14:solidFill>
          </w14:textFill>
        </w:rPr>
        <w:t xml:space="preserve">条 </w:t>
      </w:r>
      <w:r>
        <w:rPr>
          <w:rFonts w:hint="eastAsia" w:ascii="宋体" w:hAnsi="宋体" w:cs="宋体"/>
          <w:color w:val="000000" w:themeColor="text1"/>
          <w:sz w:val="24"/>
          <w14:textFill>
            <w14:solidFill>
              <w14:schemeClr w14:val="tx1"/>
            </w14:solidFill>
          </w14:textFill>
        </w:rPr>
        <w:t>在投标文件中，出现下列情形之一的，其投标有可能被拒绝：</w:t>
      </w:r>
    </w:p>
    <w:p w14:paraId="2677ACA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1.交货完工期不确切、不肯定的投标；供应商的投标质量无承诺的；</w:t>
      </w:r>
    </w:p>
    <w:p w14:paraId="03B90D5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2.对投标质量、付款方式无承诺的；售后服务不满足招标文件要求的； </w:t>
      </w:r>
    </w:p>
    <w:p w14:paraId="6BBE62F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3.投标人没有实质性响应招标文件的要求和条件的；</w:t>
      </w:r>
    </w:p>
    <w:p w14:paraId="425FD908">
      <w:pPr>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委员会认为投标人的报价明显低于其他通过符合性审查投标人的报价，有可能影响产品质量或者不能诚信履约的；且提供的书面说明和相关证明材料；投标人不能证明其报价合理性的，评标委员会应当将其作为无效投标处理。</w:t>
      </w:r>
    </w:p>
    <w:p w14:paraId="6117B03D">
      <w:pPr>
        <w:spacing w:line="360"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第十九条</w:t>
      </w:r>
      <w:r>
        <w:rPr>
          <w:rFonts w:hint="eastAsia" w:ascii="宋体" w:hAnsi="宋体" w:cs="宋体"/>
          <w:color w:val="000000" w:themeColor="text1"/>
          <w:sz w:val="24"/>
          <w14:textFill>
            <w14:solidFill>
              <w14:schemeClr w14:val="tx1"/>
            </w14:solidFill>
          </w14:textFill>
        </w:rPr>
        <w:t xml:space="preserve"> 本评标办法的解释权属于采购人。</w:t>
      </w:r>
    </w:p>
    <w:p w14:paraId="33BB4094">
      <w:pPr>
        <w:pStyle w:val="3"/>
        <w:spacing w:before="0" w:after="0" w:line="400" w:lineRule="exact"/>
        <w:rPr>
          <w:rFonts w:ascii="宋体" w:hAnsi="宋体" w:cs="宋体"/>
        </w:rPr>
      </w:pPr>
      <w:bookmarkStart w:id="62" w:name="_Toc527725920"/>
      <w:r>
        <w:rPr>
          <w:rFonts w:ascii="宋体" w:hAnsi="宋体" w:cs="宋体"/>
          <w:color w:val="000000" w:themeColor="text1"/>
          <w:sz w:val="32"/>
          <w14:textFill>
            <w14:solidFill>
              <w14:schemeClr w14:val="tx1"/>
            </w14:solidFill>
          </w14:textFill>
        </w:rPr>
        <w:br w:type="page"/>
      </w:r>
      <w:bookmarkStart w:id="63" w:name="_Toc40975440"/>
      <w:r>
        <w:rPr>
          <w:rFonts w:hint="eastAsia" w:ascii="宋体" w:hAnsi="宋体" w:cs="宋体"/>
          <w:sz w:val="32"/>
        </w:rPr>
        <w:t>招标文件第二部分</w:t>
      </w:r>
      <w:bookmarkEnd w:id="62"/>
      <w:bookmarkEnd w:id="63"/>
      <w:bookmarkStart w:id="64" w:name="_Toc40975441"/>
      <w:bookmarkStart w:id="65" w:name="_Toc527725921"/>
    </w:p>
    <w:p w14:paraId="5D9D3007">
      <w:pPr>
        <w:pStyle w:val="4"/>
        <w:spacing w:line="500" w:lineRule="exact"/>
        <w:ind w:firstLine="0"/>
        <w:rPr>
          <w:rFonts w:ascii="宋体" w:hAnsi="宋体" w:eastAsia="宋体" w:cs="宋体"/>
        </w:rPr>
      </w:pPr>
      <w:r>
        <w:rPr>
          <w:rFonts w:hint="eastAsia" w:ascii="宋体" w:hAnsi="宋体" w:eastAsia="宋体" w:cs="宋体"/>
        </w:rPr>
        <w:t>第五章 投标人须知</w:t>
      </w:r>
      <w:bookmarkEnd w:id="64"/>
      <w:bookmarkEnd w:id="65"/>
    </w:p>
    <w:p w14:paraId="5595116B">
      <w:pPr>
        <w:pStyle w:val="5"/>
        <w:spacing w:line="500" w:lineRule="exact"/>
        <w:rPr>
          <w:rFonts w:hAnsi="宋体" w:cs="宋体"/>
          <w:sz w:val="28"/>
        </w:rPr>
      </w:pPr>
      <w:bookmarkStart w:id="66" w:name="_Hlt509649998"/>
      <w:bookmarkEnd w:id="66"/>
      <w:bookmarkStart w:id="67" w:name="_Hlt509650686"/>
      <w:bookmarkEnd w:id="67"/>
      <w:bookmarkStart w:id="68" w:name="_Hlt509649722"/>
      <w:bookmarkEnd w:id="68"/>
      <w:bookmarkStart w:id="69" w:name="_Hlt526418143"/>
      <w:bookmarkEnd w:id="69"/>
      <w:bookmarkStart w:id="70" w:name="_Hlt509650955"/>
      <w:bookmarkEnd w:id="70"/>
      <w:bookmarkStart w:id="71" w:name="_Hlt509650126"/>
      <w:bookmarkEnd w:id="71"/>
      <w:bookmarkStart w:id="72" w:name="_Toc527725922"/>
      <w:bookmarkStart w:id="73" w:name="_Toc40975442"/>
      <w:r>
        <w:rPr>
          <w:rFonts w:hint="eastAsia" w:hAnsi="宋体" w:cs="宋体"/>
          <w:sz w:val="28"/>
        </w:rPr>
        <w:t>一．总    则</w:t>
      </w:r>
      <w:bookmarkEnd w:id="72"/>
      <w:bookmarkEnd w:id="73"/>
    </w:p>
    <w:p w14:paraId="76481926">
      <w:pPr>
        <w:spacing w:line="360" w:lineRule="auto"/>
        <w:ind w:firstLine="550"/>
        <w:rPr>
          <w:rFonts w:ascii="宋体" w:hAnsi="宋体" w:cs="宋体"/>
          <w:b/>
          <w:sz w:val="24"/>
        </w:rPr>
      </w:pPr>
      <w:r>
        <w:rPr>
          <w:rFonts w:hint="eastAsia" w:ascii="宋体" w:hAnsi="宋体" w:cs="宋体"/>
          <w:b/>
          <w:sz w:val="24"/>
        </w:rPr>
        <w:t>1.适用范围</w:t>
      </w:r>
    </w:p>
    <w:p w14:paraId="0BDAFE4C">
      <w:pPr>
        <w:spacing w:line="360" w:lineRule="auto"/>
        <w:ind w:firstLine="550"/>
        <w:rPr>
          <w:rFonts w:ascii="宋体" w:hAnsi="宋体" w:cs="宋体"/>
          <w:sz w:val="24"/>
        </w:rPr>
      </w:pPr>
      <w:r>
        <w:rPr>
          <w:rFonts w:hint="eastAsia" w:ascii="宋体" w:hAnsi="宋体" w:cs="宋体"/>
          <w:sz w:val="24"/>
        </w:rPr>
        <w:t>1.1本招标文件仅适用于本次公开招标所述的货物项目采购。</w:t>
      </w:r>
    </w:p>
    <w:p w14:paraId="3A966C4A">
      <w:pPr>
        <w:spacing w:line="360" w:lineRule="auto"/>
        <w:ind w:firstLine="550"/>
        <w:rPr>
          <w:rFonts w:ascii="宋体" w:hAnsi="宋体" w:cs="宋体"/>
          <w:b/>
          <w:sz w:val="24"/>
        </w:rPr>
      </w:pPr>
      <w:r>
        <w:rPr>
          <w:rFonts w:hint="eastAsia" w:ascii="宋体" w:hAnsi="宋体" w:cs="宋体"/>
          <w:b/>
          <w:sz w:val="24"/>
        </w:rPr>
        <w:t>2.有关定义</w:t>
      </w:r>
    </w:p>
    <w:p w14:paraId="6273D125">
      <w:pPr>
        <w:spacing w:line="360" w:lineRule="auto"/>
        <w:ind w:firstLine="550"/>
        <w:rPr>
          <w:rFonts w:ascii="宋体" w:hAnsi="宋体"/>
          <w:sz w:val="24"/>
          <w:szCs w:val="24"/>
        </w:rPr>
      </w:pPr>
      <w:r>
        <w:rPr>
          <w:rFonts w:hint="eastAsia" w:ascii="宋体" w:hAnsi="宋体" w:cs="宋体"/>
          <w:sz w:val="24"/>
        </w:rPr>
        <w:t>2.1招标人（采购人）：</w:t>
      </w:r>
      <w:r>
        <w:rPr>
          <w:rFonts w:hint="eastAsia" w:ascii="宋体" w:hAnsi="宋体" w:cs="宋体"/>
          <w:sz w:val="24"/>
          <w:szCs w:val="24"/>
        </w:rPr>
        <w:t>周口市生态环境局太康分局</w:t>
      </w:r>
      <w:r>
        <w:rPr>
          <w:rFonts w:hint="eastAsia" w:ascii="宋体" w:hAnsi="宋体"/>
          <w:sz w:val="24"/>
          <w:szCs w:val="24"/>
        </w:rPr>
        <w:t xml:space="preserve"> </w:t>
      </w:r>
    </w:p>
    <w:p w14:paraId="22B74DA8">
      <w:pPr>
        <w:spacing w:line="360" w:lineRule="auto"/>
        <w:ind w:firstLine="550"/>
        <w:rPr>
          <w:rFonts w:ascii="宋体" w:hAnsi="宋体" w:cs="宋体"/>
          <w:sz w:val="24"/>
        </w:rPr>
      </w:pPr>
      <w:r>
        <w:rPr>
          <w:rFonts w:hint="eastAsia" w:ascii="宋体" w:hAnsi="宋体" w:cs="宋体"/>
          <w:sz w:val="24"/>
        </w:rPr>
        <w:t>2.2招标代理机构（集中采购机构）：系指周口市公共资源交易中心政府采购中心，以下简称“采购中心”。</w:t>
      </w:r>
    </w:p>
    <w:p w14:paraId="16C7664B">
      <w:pPr>
        <w:spacing w:line="360" w:lineRule="auto"/>
        <w:ind w:firstLine="550"/>
        <w:rPr>
          <w:rFonts w:ascii="宋体" w:hAnsi="宋体" w:cs="宋体"/>
          <w:sz w:val="24"/>
        </w:rPr>
      </w:pPr>
      <w:r>
        <w:rPr>
          <w:rFonts w:hint="eastAsia" w:ascii="宋体" w:hAnsi="宋体" w:cs="宋体"/>
          <w:sz w:val="24"/>
        </w:rPr>
        <w:t>2.3政府采购监督管理部门：系指</w:t>
      </w:r>
      <w:r>
        <w:rPr>
          <w:rFonts w:hint="eastAsia" w:ascii="宋体" w:hAnsi="宋体" w:cs="宋体"/>
          <w:sz w:val="24"/>
          <w:szCs w:val="24"/>
        </w:rPr>
        <w:t>周口市财政局政府采购监督管理科</w:t>
      </w:r>
      <w:r>
        <w:rPr>
          <w:rFonts w:hint="eastAsia" w:ascii="宋体" w:hAnsi="宋体" w:cs="宋体"/>
          <w:sz w:val="24"/>
        </w:rPr>
        <w:t>。</w:t>
      </w:r>
    </w:p>
    <w:p w14:paraId="7CF37DF2">
      <w:pPr>
        <w:spacing w:line="360" w:lineRule="auto"/>
        <w:ind w:firstLine="550"/>
        <w:rPr>
          <w:rFonts w:ascii="宋体" w:hAnsi="宋体" w:cs="宋体"/>
          <w:sz w:val="24"/>
        </w:rPr>
      </w:pPr>
      <w:r>
        <w:rPr>
          <w:rFonts w:hint="eastAsia" w:ascii="宋体" w:hAnsi="宋体" w:cs="宋体"/>
          <w:sz w:val="24"/>
        </w:rPr>
        <w:t>2.4投标人：系指已经在周口市公共资源交易中心网上报名，且已经提交或准备提交本次投标文件的制造商、供应商或服务商。</w:t>
      </w:r>
    </w:p>
    <w:p w14:paraId="70DC0AE2">
      <w:pPr>
        <w:spacing w:line="360" w:lineRule="auto"/>
        <w:ind w:firstLine="550"/>
        <w:rPr>
          <w:rFonts w:ascii="宋体" w:hAnsi="宋体" w:cs="宋体"/>
          <w:sz w:val="24"/>
        </w:rPr>
      </w:pPr>
      <w:r>
        <w:rPr>
          <w:rFonts w:hint="eastAsia" w:ascii="宋体" w:hAnsi="宋体" w:cs="宋体"/>
          <w:sz w:val="24"/>
        </w:rPr>
        <w:t>2.5货物：系指各种形态和种类的物品，包括原材料、燃料、设备、产品等，包括与之相关的备品备件、工具、手册及安装、调试、技术协助、校准、培训、售后服务等。</w:t>
      </w:r>
    </w:p>
    <w:p w14:paraId="415A421B">
      <w:pPr>
        <w:spacing w:line="360" w:lineRule="auto"/>
        <w:ind w:firstLine="550"/>
        <w:rPr>
          <w:rFonts w:ascii="宋体" w:hAnsi="宋体" w:cs="宋体"/>
          <w:sz w:val="24"/>
        </w:rPr>
      </w:pPr>
      <w:r>
        <w:rPr>
          <w:rFonts w:hint="eastAsia" w:ascii="宋体" w:hAnsi="宋体" w:cs="宋体"/>
          <w:sz w:val="24"/>
        </w:rPr>
        <w:t>2.6业绩：系指符合本招标文件规定且已供货（安装）完毕的合同及相关证明。</w:t>
      </w:r>
    </w:p>
    <w:p w14:paraId="40A4520E">
      <w:pPr>
        <w:spacing w:line="360" w:lineRule="auto"/>
        <w:ind w:firstLine="550"/>
        <w:rPr>
          <w:rFonts w:ascii="宋体" w:hAnsi="宋体" w:cs="宋体"/>
          <w:sz w:val="24"/>
        </w:rPr>
      </w:pPr>
      <w:r>
        <w:rPr>
          <w:rFonts w:hint="eastAsia" w:ascii="宋体" w:hAnsi="宋体" w:cs="宋体"/>
          <w:sz w:val="24"/>
        </w:rPr>
        <w:t>2.7投标人公章：在电子投标文件中系指投标人电子签章。</w:t>
      </w:r>
    </w:p>
    <w:p w14:paraId="66BCC16E">
      <w:pPr>
        <w:spacing w:line="360" w:lineRule="auto"/>
        <w:ind w:firstLine="550"/>
        <w:rPr>
          <w:rFonts w:ascii="宋体" w:hAnsi="宋体" w:cs="宋体"/>
          <w:b/>
          <w:sz w:val="24"/>
        </w:rPr>
      </w:pPr>
      <w:r>
        <w:rPr>
          <w:rFonts w:hint="eastAsia" w:ascii="宋体" w:hAnsi="宋体" w:cs="宋体"/>
          <w:b/>
          <w:sz w:val="24"/>
        </w:rPr>
        <w:t>3.投标费用</w:t>
      </w:r>
    </w:p>
    <w:p w14:paraId="769633E4">
      <w:pPr>
        <w:spacing w:line="360" w:lineRule="auto"/>
        <w:ind w:firstLine="550"/>
        <w:rPr>
          <w:rFonts w:ascii="宋体" w:hAnsi="宋体" w:cs="宋体"/>
          <w:sz w:val="21"/>
          <w:szCs w:val="21"/>
        </w:rPr>
      </w:pPr>
      <w:r>
        <w:rPr>
          <w:rFonts w:hint="eastAsia" w:ascii="宋体" w:hAnsi="宋体" w:cs="宋体"/>
          <w:sz w:val="21"/>
          <w:szCs w:val="21"/>
        </w:rPr>
        <w:t>3.1无论投标结果如何，投标人应自行承担其编制与递交投标文件所涉及的一切费用。</w:t>
      </w:r>
      <w:r>
        <w:rPr>
          <w:rFonts w:hint="eastAsia" w:ascii="宋体" w:hAnsi="宋体" w:cs="宋体"/>
          <w:b/>
          <w:sz w:val="21"/>
          <w:szCs w:val="21"/>
        </w:rPr>
        <w:t>评标费用由采购人自行解决。</w:t>
      </w:r>
    </w:p>
    <w:p w14:paraId="51960C00">
      <w:pPr>
        <w:spacing w:line="360" w:lineRule="auto"/>
        <w:ind w:firstLine="550"/>
        <w:rPr>
          <w:rFonts w:ascii="宋体" w:hAnsi="宋体" w:cs="宋体"/>
          <w:b/>
          <w:bCs/>
          <w:sz w:val="24"/>
        </w:rPr>
      </w:pPr>
      <w:r>
        <w:rPr>
          <w:rFonts w:hint="eastAsia" w:ascii="宋体" w:hAnsi="宋体" w:cs="宋体"/>
          <w:b/>
          <w:bCs/>
          <w:sz w:val="24"/>
        </w:rPr>
        <w:t>4.合格的投标人</w:t>
      </w:r>
    </w:p>
    <w:p w14:paraId="3B011B3C">
      <w:pPr>
        <w:spacing w:line="360" w:lineRule="auto"/>
        <w:ind w:firstLine="523" w:firstLineChars="218"/>
        <w:rPr>
          <w:rFonts w:ascii="宋体" w:hAnsi="宋体" w:cs="宋体"/>
          <w:sz w:val="24"/>
        </w:rPr>
      </w:pPr>
      <w:r>
        <w:rPr>
          <w:rFonts w:hint="eastAsia" w:ascii="宋体" w:hAnsi="宋体" w:cs="宋体"/>
          <w:sz w:val="24"/>
        </w:rPr>
        <w:t>4.1合格的投标人应符合招标文件载明的投标资格。</w:t>
      </w:r>
    </w:p>
    <w:p w14:paraId="01D218FC">
      <w:pPr>
        <w:spacing w:line="360" w:lineRule="auto"/>
        <w:ind w:firstLine="523" w:firstLineChars="218"/>
        <w:rPr>
          <w:rFonts w:ascii="宋体" w:hAnsi="宋体" w:cs="宋体"/>
          <w:sz w:val="24"/>
        </w:rPr>
      </w:pPr>
      <w:r>
        <w:rPr>
          <w:rFonts w:hint="eastAsia" w:ascii="宋体" w:hAnsi="宋体" w:cs="宋体"/>
          <w:sz w:val="24"/>
        </w:rPr>
        <w:t>4.2投标人之间如果存在下列情形之一的，不得同时参加同一标段（包别）或者不分标段（包别）的同一项目投标：</w:t>
      </w:r>
    </w:p>
    <w:p w14:paraId="32CBD06C">
      <w:pPr>
        <w:spacing w:line="360" w:lineRule="auto"/>
        <w:ind w:left="420" w:leftChars="200" w:firstLine="88" w:firstLineChars="37"/>
        <w:rPr>
          <w:rFonts w:ascii="宋体" w:hAnsi="宋体" w:cs="宋体"/>
          <w:sz w:val="24"/>
        </w:rPr>
      </w:pPr>
      <w:r>
        <w:rPr>
          <w:rFonts w:hint="eastAsia" w:ascii="宋体" w:hAnsi="宋体" w:cs="宋体"/>
          <w:sz w:val="24"/>
        </w:rPr>
        <w:t>4.2.1法定代表人为同一个人的两个及两个以上法人；</w:t>
      </w:r>
    </w:p>
    <w:p w14:paraId="30CC108D">
      <w:pPr>
        <w:spacing w:line="360" w:lineRule="auto"/>
        <w:ind w:left="420" w:leftChars="200" w:firstLine="88" w:firstLineChars="37"/>
        <w:rPr>
          <w:rFonts w:ascii="宋体" w:hAnsi="宋体" w:cs="宋体"/>
          <w:sz w:val="24"/>
        </w:rPr>
      </w:pPr>
      <w:r>
        <w:rPr>
          <w:rFonts w:hint="eastAsia" w:ascii="宋体" w:hAnsi="宋体" w:cs="宋体"/>
          <w:sz w:val="24"/>
        </w:rPr>
        <w:t>4.2.2母公司、全资子公司及其控股公司；</w:t>
      </w:r>
    </w:p>
    <w:p w14:paraId="35C70218">
      <w:pPr>
        <w:pStyle w:val="9"/>
        <w:spacing w:line="360" w:lineRule="auto"/>
        <w:ind w:firstLine="480" w:firstLineChars="200"/>
        <w:rPr>
          <w:rFonts w:ascii="宋体" w:hAnsi="宋体" w:cs="宋体"/>
          <w:sz w:val="24"/>
        </w:rPr>
      </w:pPr>
      <w:r>
        <w:rPr>
          <w:rFonts w:hint="eastAsia" w:ascii="宋体" w:hAnsi="宋体" w:cs="宋体"/>
          <w:sz w:val="24"/>
        </w:rPr>
        <w:t>4.2.3参加投标的其他组织之间存在特殊的利害关系的；</w:t>
      </w:r>
    </w:p>
    <w:p w14:paraId="3088DDF0">
      <w:pPr>
        <w:spacing w:line="360" w:lineRule="auto"/>
        <w:ind w:left="420" w:leftChars="200" w:firstLine="88" w:firstLineChars="37"/>
        <w:rPr>
          <w:rFonts w:ascii="宋体" w:hAnsi="宋体" w:cs="宋体"/>
          <w:sz w:val="24"/>
        </w:rPr>
      </w:pPr>
      <w:r>
        <w:rPr>
          <w:rFonts w:hint="eastAsia" w:ascii="宋体" w:hAnsi="宋体" w:cs="宋体"/>
          <w:sz w:val="24"/>
        </w:rPr>
        <w:t>4.2.4法律和行政法规规定的其他情形。</w:t>
      </w:r>
    </w:p>
    <w:p w14:paraId="72ED1A7F">
      <w:pPr>
        <w:spacing w:line="360" w:lineRule="auto"/>
        <w:ind w:firstLine="550"/>
        <w:rPr>
          <w:rFonts w:ascii="宋体" w:hAnsi="宋体" w:cs="宋体"/>
          <w:bCs/>
          <w:sz w:val="24"/>
        </w:rPr>
      </w:pPr>
    </w:p>
    <w:p w14:paraId="42465FB1">
      <w:pPr>
        <w:spacing w:line="360" w:lineRule="auto"/>
        <w:ind w:firstLine="550"/>
        <w:rPr>
          <w:rFonts w:ascii="宋体" w:hAnsi="宋体" w:cs="宋体"/>
          <w:bCs/>
          <w:sz w:val="24"/>
        </w:rPr>
      </w:pPr>
      <w:r>
        <w:rPr>
          <w:rFonts w:hint="eastAsia" w:ascii="宋体" w:hAnsi="宋体" w:cs="宋体"/>
          <w:bCs/>
          <w:sz w:val="24"/>
        </w:rPr>
        <w:t>4.3</w:t>
      </w:r>
      <w:r>
        <w:rPr>
          <w:rFonts w:hint="eastAsia" w:ascii="宋体" w:hAnsi="宋体" w:cs="宋体"/>
          <w:spacing w:val="-1"/>
          <w:sz w:val="24"/>
          <w:szCs w:val="24"/>
          <w:lang w:val="zh-CN" w:bidi="zh-CN"/>
        </w:rPr>
        <w:t>具有良好的商业信誉和健全的财务会计制度（提供2024年度财务审计报告，包括资产负债表、现金流量表、利润表、财务情况说明书、财务报表附注、损益表及健全的财务会计制度。</w:t>
      </w:r>
    </w:p>
    <w:p w14:paraId="313178AB">
      <w:pPr>
        <w:spacing w:line="360" w:lineRule="auto"/>
        <w:ind w:firstLine="550"/>
        <w:rPr>
          <w:rFonts w:ascii="宋体" w:hAnsi="宋体" w:cs="宋体"/>
          <w:bCs/>
          <w:sz w:val="24"/>
        </w:rPr>
      </w:pPr>
      <w:r>
        <w:rPr>
          <w:rFonts w:hint="eastAsia" w:ascii="宋体" w:hAnsi="宋体" w:cs="宋体"/>
          <w:bCs/>
          <w:sz w:val="24"/>
        </w:rPr>
        <w:t>4.4投标人有依法缴纳税收和社会保障资金的良好记录（近一年以来任意连续3个月依法缴纳税收和社会保障资金的凭证；依法免税或不需要缴纳社会保障资金的供应商，提供相应文件证明其依法免税或不需要缴纳社会保障资金）；</w:t>
      </w:r>
    </w:p>
    <w:p w14:paraId="4E7E44AC">
      <w:pPr>
        <w:spacing w:line="360" w:lineRule="auto"/>
        <w:ind w:firstLine="550"/>
        <w:rPr>
          <w:rFonts w:ascii="宋体" w:hAnsi="宋体" w:cs="宋体"/>
          <w:b/>
          <w:sz w:val="24"/>
        </w:rPr>
      </w:pPr>
      <w:r>
        <w:rPr>
          <w:rFonts w:hint="eastAsia" w:ascii="宋体" w:hAnsi="宋体" w:cs="宋体"/>
          <w:bCs/>
          <w:sz w:val="24"/>
        </w:rPr>
        <w:t>4.5供应商或制造商需提供售后服务体系与承诺。</w:t>
      </w:r>
    </w:p>
    <w:p w14:paraId="6DF7D794">
      <w:pPr>
        <w:spacing w:line="360" w:lineRule="auto"/>
        <w:ind w:firstLine="550"/>
        <w:rPr>
          <w:rFonts w:ascii="宋体" w:hAnsi="宋体" w:cs="宋体"/>
          <w:bCs/>
          <w:sz w:val="24"/>
        </w:rPr>
      </w:pPr>
      <w:r>
        <w:rPr>
          <w:rFonts w:hint="eastAsia" w:ascii="宋体" w:hAnsi="宋体" w:cs="宋体"/>
          <w:bCs/>
          <w:sz w:val="24"/>
        </w:rPr>
        <w:t>4.6.合格供应商的声明函.</w:t>
      </w:r>
    </w:p>
    <w:p w14:paraId="3CE5895A">
      <w:pPr>
        <w:spacing w:line="360" w:lineRule="auto"/>
        <w:ind w:firstLine="550"/>
        <w:rPr>
          <w:rFonts w:ascii="宋体" w:hAnsi="宋体" w:cs="宋体"/>
          <w:spacing w:val="-1"/>
          <w:sz w:val="24"/>
          <w:szCs w:val="24"/>
          <w:lang w:val="zh-CN" w:bidi="zh-CN"/>
        </w:rPr>
      </w:pPr>
      <w:r>
        <w:rPr>
          <w:rFonts w:hint="eastAsia" w:ascii="宋体" w:hAnsi="宋体" w:cs="宋体"/>
          <w:spacing w:val="-1"/>
          <w:sz w:val="24"/>
          <w:szCs w:val="24"/>
          <w:lang w:val="zh-CN" w:bidi="zh-CN"/>
        </w:rPr>
        <w:t>4.7未被工商行政管理机关在全国企业信用信息公示系统中列入严重违法失信企业名单和经营异常名录。(查询时间发布公告之后）</w:t>
      </w:r>
    </w:p>
    <w:p w14:paraId="500C157D">
      <w:pPr>
        <w:spacing w:line="360" w:lineRule="auto"/>
        <w:ind w:firstLine="550"/>
        <w:rPr>
          <w:rFonts w:ascii="宋体" w:hAnsi="宋体" w:cs="宋体"/>
          <w:spacing w:val="-1"/>
          <w:sz w:val="24"/>
          <w:szCs w:val="24"/>
          <w:lang w:val="zh-CN" w:bidi="zh-CN"/>
        </w:rPr>
      </w:pPr>
      <w:r>
        <w:rPr>
          <w:rFonts w:hint="eastAsia" w:ascii="宋体" w:hAnsi="宋体" w:cs="宋体"/>
          <w:spacing w:val="-1"/>
          <w:sz w:val="24"/>
          <w:szCs w:val="24"/>
          <w:lang w:val="zh-CN" w:bidi="zh-CN"/>
        </w:rPr>
        <w:t>4.8投标人需提供加盖单位公章、法定代表人签章的营业执照扫描件及</w:t>
      </w:r>
      <w:r>
        <w:rPr>
          <w:rFonts w:hint="eastAsia" w:ascii="宋体" w:hAnsi="宋体" w:cs="宋体"/>
          <w:spacing w:val="-1"/>
          <w:sz w:val="24"/>
          <w:szCs w:val="24"/>
          <w:highlight w:val="none"/>
          <w:lang w:val="zh-CN" w:bidi="zh-CN"/>
        </w:rPr>
        <w:t>其年度报告</w:t>
      </w:r>
      <w:r>
        <w:rPr>
          <w:rFonts w:hint="eastAsia" w:ascii="宋体" w:hAnsi="宋体" w:cs="宋体"/>
          <w:spacing w:val="-1"/>
          <w:sz w:val="24"/>
          <w:szCs w:val="24"/>
          <w:lang w:val="zh-CN" w:bidi="zh-CN"/>
        </w:rPr>
        <w:t>。</w:t>
      </w:r>
    </w:p>
    <w:p w14:paraId="1368B5BD">
      <w:pPr>
        <w:spacing w:line="360" w:lineRule="auto"/>
        <w:ind w:firstLine="550"/>
        <w:rPr>
          <w:rFonts w:ascii="宋体" w:hAnsi="宋体" w:cs="宋体"/>
          <w:b/>
          <w:sz w:val="24"/>
        </w:rPr>
      </w:pPr>
      <w:r>
        <w:rPr>
          <w:rFonts w:hint="eastAsia" w:ascii="宋体" w:hAnsi="宋体" w:cs="宋体"/>
          <w:b/>
          <w:sz w:val="24"/>
        </w:rPr>
        <w:t>5.勘察现场</w:t>
      </w:r>
    </w:p>
    <w:p w14:paraId="1C6F6131">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cs="宋体"/>
          <w:kern w:val="0"/>
          <w:sz w:val="24"/>
          <w:lang w:val="zh-CN"/>
        </w:rPr>
        <w:t>5.1</w:t>
      </w:r>
      <w:r>
        <w:rPr>
          <w:rFonts w:hint="eastAsia" w:ascii="宋体" w:hAnsi="宋体" w:eastAsia="宋体" w:cs="宋体"/>
          <w:color w:val="auto"/>
          <w:sz w:val="24"/>
          <w:highlight w:val="none"/>
        </w:rPr>
        <w:t>因项目情况复杂，技术要求较高，为使供应商充分了解评估建设地点基本情况及后期运维服务工作，避免盲目投标，保障项目后期的顺利实施，投标人可自行对供货现场和周围环境进行勘察。并在</w:t>
      </w:r>
      <w:r>
        <w:rPr>
          <w:rFonts w:hint="eastAsia" w:ascii="宋体" w:hAnsi="宋体" w:eastAsia="宋体" w:cs="宋体"/>
          <w:color w:val="auto"/>
          <w:sz w:val="24"/>
          <w:highlight w:val="none"/>
          <w:lang w:val="en-US" w:eastAsia="zh-CN"/>
        </w:rPr>
        <w:t>获取采购</w:t>
      </w:r>
      <w:r>
        <w:rPr>
          <w:rFonts w:hint="eastAsia" w:ascii="宋体" w:hAnsi="宋体" w:eastAsia="宋体" w:cs="宋体"/>
          <w:color w:val="auto"/>
          <w:sz w:val="24"/>
          <w:highlight w:val="none"/>
        </w:rPr>
        <w:t>招标文件截止后第一个工作日到项目现场进行勘察。经采购人证实已到现场勘察的合格供应商，采购人开具加盖采购单位公章的勘察证明函。供应商将证明原件放在投标文件中（电子标为原件扫描件）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zh-CN"/>
        </w:rPr>
        <w:t>(现场勘察联系人：李德立 联系方式：1359228 5857）。</w:t>
      </w:r>
      <w:r>
        <w:rPr>
          <w:rFonts w:hint="eastAsia" w:ascii="宋体" w:hAnsi="宋体" w:eastAsia="宋体" w:cs="宋体"/>
          <w:color w:val="auto"/>
          <w:sz w:val="24"/>
          <w:highlight w:val="none"/>
        </w:rPr>
        <w:t>供应商将证明原件放在投标文件中（电子标为原件扫描件）</w:t>
      </w:r>
      <w:r>
        <w:rPr>
          <w:rFonts w:hint="eastAsia" w:ascii="宋体" w:hAnsi="宋体" w:eastAsia="宋体" w:cs="宋体"/>
          <w:color w:val="auto"/>
          <w:sz w:val="24"/>
          <w:highlight w:val="none"/>
          <w:lang w:val="zh-CN"/>
        </w:rPr>
        <w:t>。</w:t>
      </w:r>
    </w:p>
    <w:p w14:paraId="7F7D04F1">
      <w:pPr>
        <w:spacing w:line="360" w:lineRule="auto"/>
        <w:ind w:firstLine="550"/>
        <w:rPr>
          <w:rFonts w:ascii="宋体" w:hAnsi="宋体" w:cs="宋体"/>
          <w:sz w:val="24"/>
        </w:rPr>
      </w:pPr>
      <w:r>
        <w:rPr>
          <w:rFonts w:hint="eastAsia" w:ascii="宋体" w:hAnsi="宋体" w:cs="宋体"/>
          <w:sz w:val="24"/>
        </w:rPr>
        <w:t>5.2</w:t>
      </w:r>
      <w:r>
        <w:rPr>
          <w:rFonts w:hint="eastAsia" w:ascii="宋体" w:hAnsi="宋体" w:cs="宋体"/>
          <w:spacing w:val="-1"/>
          <w:sz w:val="24"/>
          <w:szCs w:val="24"/>
          <w:lang w:val="zh-CN" w:bidi="zh-CN"/>
        </w:rPr>
        <w:t>勘察现场所发生的费用由投标人自行承担</w:t>
      </w:r>
      <w:r>
        <w:rPr>
          <w:rFonts w:hint="eastAsia" w:ascii="宋体" w:hAnsi="宋体" w:cs="宋体"/>
          <w:spacing w:val="-1"/>
          <w:sz w:val="24"/>
          <w:szCs w:val="24"/>
          <w:highlight w:val="none"/>
          <w:lang w:val="zh-CN" w:bidi="zh-CN"/>
        </w:rPr>
        <w:t>，投标人须对上述做出书面承诺</w:t>
      </w:r>
      <w:r>
        <w:rPr>
          <w:rFonts w:hint="eastAsia" w:ascii="宋体" w:hAnsi="宋体" w:cs="宋体"/>
          <w:spacing w:val="-1"/>
          <w:sz w:val="24"/>
          <w:szCs w:val="24"/>
          <w:lang w:val="zh-CN" w:bidi="zh-CN"/>
        </w:rPr>
        <w:t>，否则视为不响应招标文件实质性内容。</w:t>
      </w:r>
      <w:r>
        <w:rPr>
          <w:rFonts w:hint="eastAsia" w:ascii="宋体" w:hAnsi="宋体" w:cs="宋体"/>
          <w:sz w:val="24"/>
        </w:rPr>
        <w:t>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35C0900C">
      <w:pPr>
        <w:spacing w:line="360" w:lineRule="auto"/>
        <w:ind w:firstLine="550"/>
        <w:rPr>
          <w:rFonts w:ascii="宋体" w:hAnsi="宋体" w:cs="宋体"/>
          <w:sz w:val="24"/>
        </w:rPr>
      </w:pPr>
      <w:r>
        <w:rPr>
          <w:rFonts w:hint="eastAsia" w:ascii="宋体" w:hAnsi="宋体" w:cs="宋体"/>
          <w:sz w:val="24"/>
        </w:rPr>
        <w:t>5.3除非有特殊要求，招标文件不单独提供供货使用地的自然环境、气候条件、公用设施等情况，投标人被视为熟悉上述与履行合同有关的一切情况。</w:t>
      </w:r>
    </w:p>
    <w:p w14:paraId="3D3CA737">
      <w:pPr>
        <w:spacing w:line="360" w:lineRule="auto"/>
        <w:ind w:firstLine="550"/>
        <w:rPr>
          <w:rFonts w:ascii="宋体" w:hAnsi="宋体" w:cs="宋体"/>
          <w:bCs/>
          <w:sz w:val="24"/>
        </w:rPr>
      </w:pPr>
      <w:r>
        <w:rPr>
          <w:rFonts w:hint="eastAsia" w:ascii="宋体" w:hAnsi="宋体" w:cs="宋体"/>
          <w:b/>
          <w:sz w:val="24"/>
        </w:rPr>
        <w:t>6.知识产权</w:t>
      </w:r>
    </w:p>
    <w:p w14:paraId="64900112">
      <w:pPr>
        <w:spacing w:line="360" w:lineRule="auto"/>
        <w:ind w:firstLine="549"/>
        <w:rPr>
          <w:rFonts w:ascii="宋体" w:hAnsi="宋体" w:cs="宋体"/>
          <w:bCs/>
          <w:sz w:val="24"/>
        </w:rPr>
      </w:pPr>
      <w:r>
        <w:rPr>
          <w:rFonts w:hint="eastAsia" w:ascii="宋体" w:hAnsi="宋体" w:cs="宋体"/>
          <w:sz w:val="24"/>
        </w:rPr>
        <w:t>6.1</w:t>
      </w:r>
      <w:r>
        <w:rPr>
          <w:rFonts w:hint="eastAsia" w:ascii="宋体" w:hAnsi="宋体" w:cs="宋体"/>
          <w:bCs/>
          <w:sz w:val="24"/>
        </w:rPr>
        <w:t>投标人另须</w:t>
      </w:r>
      <w:r>
        <w:rPr>
          <w:rFonts w:hint="eastAsia" w:ascii="宋体" w:hAnsi="宋体" w:cs="宋体"/>
          <w:bCs/>
          <w:sz w:val="24"/>
          <w:highlight w:val="none"/>
        </w:rPr>
        <w:t>书面承诺</w:t>
      </w:r>
      <w:r>
        <w:rPr>
          <w:rFonts w:hint="eastAsia" w:ascii="宋体" w:hAnsi="宋体" w:cs="宋体"/>
          <w:bCs/>
          <w:sz w:val="24"/>
        </w:rPr>
        <w:t>，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136C36B6">
      <w:pPr>
        <w:spacing w:line="360" w:lineRule="auto"/>
        <w:ind w:firstLine="549"/>
        <w:rPr>
          <w:rFonts w:ascii="宋体" w:hAnsi="宋体" w:cs="宋体"/>
          <w:bCs/>
          <w:sz w:val="24"/>
        </w:rPr>
      </w:pPr>
      <w:r>
        <w:rPr>
          <w:rFonts w:hint="eastAsia" w:ascii="宋体" w:hAnsi="宋体" w:cs="宋体"/>
          <w:bCs/>
          <w:sz w:val="24"/>
        </w:rPr>
        <w:t>6.2投</w:t>
      </w:r>
      <w:r>
        <w:rPr>
          <w:rFonts w:hint="eastAsia" w:ascii="宋体" w:hAnsi="宋体" w:cs="宋体"/>
          <w:spacing w:val="-1"/>
          <w:sz w:val="24"/>
          <w:szCs w:val="24"/>
          <w:lang w:val="zh-CN" w:bidi="zh-CN"/>
        </w:rPr>
        <w:t>标人如欲在项目实施过程中采用自有知识成果，须在投标文件中</w:t>
      </w:r>
      <w:r>
        <w:rPr>
          <w:rFonts w:hint="eastAsia" w:ascii="宋体" w:hAnsi="宋体" w:cs="宋体"/>
          <w:spacing w:val="-1"/>
          <w:sz w:val="24"/>
          <w:szCs w:val="24"/>
          <w:highlight w:val="none"/>
          <w:lang w:val="zh-CN" w:bidi="zh-CN"/>
        </w:rPr>
        <w:t>声明</w:t>
      </w:r>
      <w:r>
        <w:rPr>
          <w:rFonts w:hint="eastAsia" w:ascii="宋体" w:hAnsi="宋体" w:cs="宋体"/>
          <w:spacing w:val="-1"/>
          <w:sz w:val="24"/>
          <w:szCs w:val="24"/>
          <w:lang w:val="zh-CN" w:bidi="zh-CN"/>
        </w:rPr>
        <w:t>，并提</w:t>
      </w:r>
      <w:r>
        <w:rPr>
          <w:rFonts w:hint="eastAsia" w:ascii="宋体" w:hAnsi="宋体" w:cs="宋体"/>
          <w:bCs/>
          <w:sz w:val="24"/>
        </w:rPr>
        <w:t>供相关知识产权证明文件。使用该知识成果后，投标人须提供开发接口和开发手册等技术文档。</w:t>
      </w:r>
    </w:p>
    <w:p w14:paraId="307AEDA3">
      <w:pPr>
        <w:spacing w:line="360" w:lineRule="auto"/>
        <w:ind w:firstLine="549"/>
        <w:rPr>
          <w:rFonts w:ascii="宋体" w:hAnsi="宋体" w:cs="宋体"/>
          <w:b/>
          <w:sz w:val="24"/>
        </w:rPr>
      </w:pPr>
      <w:r>
        <w:rPr>
          <w:rFonts w:hint="eastAsia" w:ascii="宋体" w:hAnsi="宋体" w:cs="宋体"/>
          <w:b/>
          <w:sz w:val="24"/>
        </w:rPr>
        <w:t>7.纪律与保密</w:t>
      </w:r>
    </w:p>
    <w:p w14:paraId="465224A1">
      <w:pPr>
        <w:spacing w:line="360" w:lineRule="auto"/>
        <w:ind w:firstLine="549"/>
        <w:rPr>
          <w:rFonts w:ascii="宋体" w:hAnsi="宋体" w:cs="宋体"/>
          <w:sz w:val="24"/>
        </w:rPr>
      </w:pPr>
      <w:r>
        <w:rPr>
          <w:rFonts w:hint="eastAsia" w:ascii="宋体" w:hAnsi="宋体" w:cs="宋体"/>
          <w:sz w:val="24"/>
        </w:rPr>
        <w:t>7.1投标人的投标行为应遵守中国的有关法律、法规和规章。</w:t>
      </w:r>
    </w:p>
    <w:p w14:paraId="4CB254FC">
      <w:pPr>
        <w:spacing w:line="360" w:lineRule="auto"/>
        <w:ind w:firstLine="550"/>
        <w:rPr>
          <w:rFonts w:ascii="宋体" w:hAnsi="宋体" w:cs="宋体"/>
          <w:sz w:val="24"/>
          <w:highlight w:val="yellow"/>
        </w:rPr>
      </w:pPr>
      <w:r>
        <w:rPr>
          <w:rFonts w:hint="eastAsia" w:ascii="宋体" w:hAnsi="宋体" w:cs="宋体"/>
          <w:spacing w:val="-1"/>
          <w:sz w:val="24"/>
          <w:szCs w:val="24"/>
          <w:lang w:val="zh-CN" w:bidi="zh-CN"/>
        </w:rPr>
        <w:t>7.2投标人不得相互串通投标报价，不得妨碍其他投标人的公平竞争，不得损害采购人或其他投标人的合法权益，投标人不得以向采购人、评委会成员行贿或者采取其他不正当手段谋取中标，对上述作出保证并附投标文件中，否则视为不响应招标文件要求。</w:t>
      </w:r>
    </w:p>
    <w:p w14:paraId="05231911">
      <w:pPr>
        <w:spacing w:line="360" w:lineRule="auto"/>
        <w:ind w:firstLine="549"/>
        <w:rPr>
          <w:rFonts w:ascii="宋体" w:hAnsi="宋体" w:cs="宋体"/>
          <w:sz w:val="24"/>
        </w:rPr>
      </w:pPr>
      <w:r>
        <w:rPr>
          <w:rFonts w:hint="eastAsia" w:ascii="宋体" w:hAnsi="宋体" w:cs="宋体"/>
          <w:sz w:val="24"/>
        </w:rPr>
        <w:t>7.2.1有下列情形之一的，属于投标人相互串通投标：</w:t>
      </w:r>
    </w:p>
    <w:p w14:paraId="5DC0126E">
      <w:pPr>
        <w:spacing w:line="360" w:lineRule="auto"/>
        <w:ind w:firstLine="549"/>
        <w:rPr>
          <w:rFonts w:ascii="宋体" w:hAnsi="宋体" w:cs="宋体"/>
          <w:sz w:val="24"/>
        </w:rPr>
      </w:pPr>
      <w:r>
        <w:rPr>
          <w:rFonts w:hint="eastAsia" w:ascii="宋体" w:hAnsi="宋体" w:cs="宋体"/>
          <w:sz w:val="24"/>
        </w:rPr>
        <w:t>7.2.1.1投标人之间协商投标报价等投标文件的实质性内容；</w:t>
      </w:r>
    </w:p>
    <w:p w14:paraId="70E46115">
      <w:pPr>
        <w:spacing w:line="360" w:lineRule="auto"/>
        <w:ind w:firstLine="549"/>
        <w:rPr>
          <w:rFonts w:ascii="宋体" w:hAnsi="宋体" w:cs="宋体"/>
          <w:sz w:val="24"/>
        </w:rPr>
      </w:pPr>
      <w:r>
        <w:rPr>
          <w:rFonts w:hint="eastAsia" w:ascii="宋体" w:hAnsi="宋体" w:cs="宋体"/>
          <w:sz w:val="24"/>
        </w:rPr>
        <w:t>7.2.1.2投标人之间约定中标人；</w:t>
      </w:r>
    </w:p>
    <w:p w14:paraId="4F5FF0DF">
      <w:pPr>
        <w:spacing w:line="360" w:lineRule="auto"/>
        <w:ind w:firstLine="549"/>
        <w:rPr>
          <w:rFonts w:ascii="宋体" w:hAnsi="宋体" w:cs="宋体"/>
          <w:sz w:val="24"/>
        </w:rPr>
      </w:pPr>
      <w:r>
        <w:rPr>
          <w:rFonts w:hint="eastAsia" w:ascii="宋体" w:hAnsi="宋体" w:cs="宋体"/>
          <w:sz w:val="24"/>
        </w:rPr>
        <w:t>7.2.1.3投标人之间约定部分投标人放弃投标或者中标；</w:t>
      </w:r>
    </w:p>
    <w:p w14:paraId="2779A911">
      <w:pPr>
        <w:spacing w:line="360" w:lineRule="auto"/>
        <w:ind w:firstLine="549"/>
        <w:rPr>
          <w:rFonts w:ascii="宋体" w:hAnsi="宋体" w:cs="宋体"/>
          <w:sz w:val="24"/>
        </w:rPr>
      </w:pPr>
      <w:r>
        <w:rPr>
          <w:rFonts w:hint="eastAsia" w:ascii="宋体" w:hAnsi="宋体" w:cs="宋体"/>
          <w:sz w:val="24"/>
        </w:rPr>
        <w:t>7.2.1.4属于同一集团、协会、商会等组织成员的投标人按照该组织要求协同投标；</w:t>
      </w:r>
    </w:p>
    <w:p w14:paraId="52BB75E7">
      <w:pPr>
        <w:spacing w:line="360" w:lineRule="auto"/>
        <w:ind w:firstLine="549"/>
        <w:rPr>
          <w:rFonts w:ascii="宋体" w:hAnsi="宋体" w:cs="宋体"/>
          <w:sz w:val="24"/>
        </w:rPr>
      </w:pPr>
      <w:r>
        <w:rPr>
          <w:rFonts w:hint="eastAsia" w:ascii="宋体" w:hAnsi="宋体" w:cs="宋体"/>
          <w:sz w:val="24"/>
        </w:rPr>
        <w:t>7.2.1.5投标人之间为谋取中标或者排斥特定投标人而采取的其他联合行动。</w:t>
      </w:r>
    </w:p>
    <w:p w14:paraId="72AE3F25">
      <w:pPr>
        <w:spacing w:line="360" w:lineRule="auto"/>
        <w:ind w:firstLine="549"/>
        <w:rPr>
          <w:rFonts w:ascii="宋体" w:hAnsi="宋体" w:cs="宋体"/>
          <w:sz w:val="24"/>
        </w:rPr>
      </w:pPr>
      <w:r>
        <w:rPr>
          <w:rFonts w:hint="eastAsia" w:ascii="宋体" w:hAnsi="宋体" w:cs="宋体"/>
          <w:sz w:val="24"/>
        </w:rPr>
        <w:t>7.2.2 有下列情形之一的，视为投标人相互串通投标：</w:t>
      </w:r>
    </w:p>
    <w:p w14:paraId="58038EC5">
      <w:pPr>
        <w:spacing w:line="360" w:lineRule="auto"/>
        <w:ind w:firstLine="549"/>
        <w:rPr>
          <w:rFonts w:ascii="宋体" w:hAnsi="宋体" w:cs="宋体"/>
          <w:sz w:val="24"/>
        </w:rPr>
      </w:pPr>
      <w:r>
        <w:rPr>
          <w:rFonts w:hint="eastAsia" w:ascii="宋体" w:hAnsi="宋体" w:cs="宋体"/>
          <w:sz w:val="24"/>
        </w:rPr>
        <w:t>7.2.2.1不同投标人的投标文件由同一单位或者个人编制；</w:t>
      </w:r>
    </w:p>
    <w:p w14:paraId="421FCFB8">
      <w:pPr>
        <w:spacing w:line="360" w:lineRule="auto"/>
        <w:ind w:firstLine="549"/>
        <w:rPr>
          <w:rFonts w:ascii="宋体" w:hAnsi="宋体" w:cs="宋体"/>
          <w:sz w:val="24"/>
        </w:rPr>
      </w:pPr>
      <w:r>
        <w:rPr>
          <w:rFonts w:hint="eastAsia" w:ascii="宋体" w:hAnsi="宋体" w:cs="宋体"/>
          <w:sz w:val="24"/>
        </w:rPr>
        <w:t>7.2.2.2不同投标人委托同一单位或者个人办理投标事宜，或提交电子投标文件的网卡地址一致；</w:t>
      </w:r>
    </w:p>
    <w:p w14:paraId="4AD32EDE">
      <w:pPr>
        <w:spacing w:line="360" w:lineRule="auto"/>
        <w:ind w:firstLine="549"/>
        <w:rPr>
          <w:rFonts w:ascii="宋体" w:hAnsi="宋体" w:cs="宋体"/>
          <w:sz w:val="24"/>
        </w:rPr>
      </w:pPr>
      <w:r>
        <w:rPr>
          <w:rFonts w:hint="eastAsia" w:ascii="宋体" w:hAnsi="宋体" w:cs="宋体"/>
          <w:sz w:val="24"/>
        </w:rPr>
        <w:t>7.2.2.3不同投标人的投标文件载明的项目管理成员为同一人；</w:t>
      </w:r>
    </w:p>
    <w:p w14:paraId="175E37DE">
      <w:pPr>
        <w:spacing w:line="360" w:lineRule="auto"/>
        <w:ind w:firstLine="549"/>
        <w:rPr>
          <w:rFonts w:ascii="宋体" w:hAnsi="宋体" w:cs="宋体"/>
          <w:sz w:val="24"/>
        </w:rPr>
      </w:pPr>
      <w:r>
        <w:rPr>
          <w:rFonts w:hint="eastAsia" w:ascii="宋体" w:hAnsi="宋体" w:cs="宋体"/>
          <w:sz w:val="24"/>
        </w:rPr>
        <w:t>7.2.2.4不同投标人的投标文件异常一致或者投标报价呈规律性差异；</w:t>
      </w:r>
    </w:p>
    <w:p w14:paraId="65445596">
      <w:pPr>
        <w:spacing w:line="360" w:lineRule="auto"/>
        <w:ind w:firstLine="549"/>
        <w:rPr>
          <w:rFonts w:ascii="宋体" w:hAnsi="宋体" w:cs="宋体"/>
          <w:sz w:val="24"/>
        </w:rPr>
      </w:pPr>
      <w:r>
        <w:rPr>
          <w:rFonts w:hint="eastAsia" w:ascii="宋体" w:hAnsi="宋体" w:cs="宋体"/>
          <w:sz w:val="24"/>
        </w:rPr>
        <w:t>7.2.2.5不同投标人的投标文件相互混装；</w:t>
      </w:r>
    </w:p>
    <w:p w14:paraId="6FAD57B7">
      <w:pPr>
        <w:spacing w:line="360" w:lineRule="auto"/>
        <w:ind w:firstLine="549"/>
        <w:rPr>
          <w:rFonts w:ascii="宋体" w:hAnsi="宋体" w:cs="宋体"/>
          <w:sz w:val="24"/>
        </w:rPr>
      </w:pPr>
      <w:r>
        <w:rPr>
          <w:rFonts w:hint="eastAsia" w:ascii="宋体" w:hAnsi="宋体" w:cs="宋体"/>
          <w:sz w:val="24"/>
        </w:rPr>
        <w:t>7.2.2.6不同投标人的投标保证金从同一单位或者个人的账户转出。</w:t>
      </w:r>
    </w:p>
    <w:p w14:paraId="25AAE6AD">
      <w:pPr>
        <w:spacing w:line="360" w:lineRule="auto"/>
        <w:ind w:firstLine="549"/>
        <w:rPr>
          <w:rFonts w:ascii="宋体" w:hAnsi="宋体" w:cs="宋体"/>
          <w:sz w:val="24"/>
        </w:rPr>
      </w:pPr>
      <w:r>
        <w:rPr>
          <w:rFonts w:hint="eastAsia" w:ascii="宋体" w:hAnsi="宋体" w:cs="宋体"/>
          <w:sz w:val="24"/>
        </w:rPr>
        <w:t>7.3在确定中标人之前，投标人不得与采购人就投标价格、投标方案等实质性内容进行谈判，也不得私下接触评委会成员。</w:t>
      </w:r>
    </w:p>
    <w:p w14:paraId="0684C623">
      <w:pPr>
        <w:spacing w:line="360" w:lineRule="auto"/>
        <w:ind w:firstLine="549"/>
        <w:rPr>
          <w:rFonts w:ascii="宋体" w:hAnsi="宋体" w:cs="宋体"/>
          <w:sz w:val="24"/>
        </w:rPr>
      </w:pPr>
      <w:r>
        <w:rPr>
          <w:rFonts w:hint="eastAsia" w:ascii="宋体" w:hAnsi="宋体" w:cs="宋体"/>
          <w:sz w:val="24"/>
        </w:rPr>
        <w:t>7.4在确定中标人之前，投标人试图在投标文件审查、澄清、比较和评价时对评委会、采购人和采购中心施加任何影响都可能导致其投标无效。</w:t>
      </w:r>
    </w:p>
    <w:p w14:paraId="1F956668">
      <w:pPr>
        <w:spacing w:line="360" w:lineRule="auto"/>
        <w:ind w:firstLine="549"/>
        <w:rPr>
          <w:rFonts w:ascii="宋体" w:hAnsi="宋体" w:cs="宋体"/>
          <w:sz w:val="24"/>
        </w:rPr>
      </w:pPr>
      <w:r>
        <w:rPr>
          <w:rFonts w:hint="eastAsia" w:ascii="宋体" w:hAnsi="宋体" w:cs="宋体"/>
          <w:sz w:val="24"/>
        </w:rPr>
        <w:t>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E00C001">
      <w:pPr>
        <w:spacing w:line="360" w:lineRule="auto"/>
        <w:ind w:firstLine="549"/>
        <w:rPr>
          <w:rFonts w:ascii="宋体" w:hAnsi="宋体" w:cs="宋体"/>
          <w:spacing w:val="-1"/>
          <w:sz w:val="24"/>
          <w:szCs w:val="24"/>
          <w:lang w:val="zh-CN" w:bidi="zh-CN"/>
        </w:rPr>
      </w:pPr>
      <w:r>
        <w:rPr>
          <w:rFonts w:hint="eastAsia" w:ascii="宋体" w:hAnsi="宋体" w:cs="宋体"/>
          <w:spacing w:val="-1"/>
          <w:sz w:val="24"/>
          <w:szCs w:val="24"/>
          <w:lang w:val="zh-CN" w:bidi="zh-CN"/>
        </w:rPr>
        <w:t>7.6参与采购竞标活动的各方应对投标文件的商业和技术等秘密保密，违者应对由此造成的后果承担法律责任。对上述作出书面保证并附投标文件中，否则视为不响应</w:t>
      </w:r>
      <w:r>
        <w:rPr>
          <w:rFonts w:hint="eastAsia" w:ascii="宋体" w:hAnsi="宋体" w:cs="宋体"/>
          <w:spacing w:val="-1"/>
          <w:sz w:val="24"/>
          <w:szCs w:val="24"/>
          <w:lang w:bidi="zh-CN"/>
        </w:rPr>
        <w:t>招标</w:t>
      </w:r>
      <w:r>
        <w:rPr>
          <w:rFonts w:hint="eastAsia" w:ascii="宋体" w:hAnsi="宋体" w:cs="宋体"/>
          <w:spacing w:val="-1"/>
          <w:sz w:val="24"/>
          <w:szCs w:val="24"/>
          <w:lang w:val="zh-CN" w:bidi="zh-CN"/>
        </w:rPr>
        <w:t>文件要求。</w:t>
      </w:r>
    </w:p>
    <w:p w14:paraId="2A852000">
      <w:pPr>
        <w:spacing w:line="360" w:lineRule="auto"/>
        <w:ind w:firstLine="549"/>
        <w:rPr>
          <w:rFonts w:ascii="宋体" w:hAnsi="宋体" w:cs="宋体"/>
          <w:b/>
          <w:sz w:val="24"/>
        </w:rPr>
      </w:pPr>
      <w:r>
        <w:rPr>
          <w:rFonts w:hint="eastAsia" w:ascii="宋体" w:hAnsi="宋体" w:cs="宋体"/>
          <w:b/>
          <w:sz w:val="24"/>
        </w:rPr>
        <w:t>8.联合体投标</w:t>
      </w:r>
    </w:p>
    <w:p w14:paraId="15E99B5C">
      <w:pPr>
        <w:spacing w:line="360" w:lineRule="auto"/>
        <w:ind w:firstLine="480" w:firstLineChars="200"/>
        <w:rPr>
          <w:rFonts w:ascii="宋体" w:hAnsi="宋体" w:cs="宋体"/>
          <w:sz w:val="24"/>
        </w:rPr>
      </w:pPr>
      <w:r>
        <w:rPr>
          <w:rFonts w:hint="eastAsia" w:ascii="宋体" w:hAnsi="宋体" w:cs="宋体"/>
          <w:sz w:val="24"/>
        </w:rPr>
        <w:t>不接受联合体投标</w:t>
      </w:r>
    </w:p>
    <w:p w14:paraId="452783F0">
      <w:pPr>
        <w:spacing w:line="360" w:lineRule="auto"/>
        <w:ind w:firstLine="482" w:firstLineChars="200"/>
        <w:rPr>
          <w:rFonts w:ascii="宋体" w:hAnsi="宋体" w:cs="宋体"/>
          <w:b/>
          <w:bCs/>
          <w:sz w:val="24"/>
        </w:rPr>
      </w:pPr>
      <w:r>
        <w:rPr>
          <w:rFonts w:hint="eastAsia" w:ascii="宋体" w:hAnsi="宋体" w:cs="宋体"/>
          <w:b/>
          <w:bCs/>
          <w:sz w:val="24"/>
        </w:rPr>
        <w:t>9.投标品牌</w:t>
      </w:r>
    </w:p>
    <w:p w14:paraId="782C62B0">
      <w:pPr>
        <w:spacing w:line="360" w:lineRule="auto"/>
        <w:ind w:firstLine="523" w:firstLineChars="218"/>
        <w:rPr>
          <w:rFonts w:ascii="宋体" w:hAnsi="宋体" w:cs="宋体"/>
          <w:sz w:val="24"/>
        </w:rPr>
      </w:pPr>
      <w:r>
        <w:rPr>
          <w:rFonts w:hint="eastAsia" w:ascii="宋体" w:hAnsi="宋体" w:cs="宋体"/>
          <w:sz w:val="24"/>
        </w:rPr>
        <w:t>9.1招标文件中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14:paraId="2F4B1E6A">
      <w:pPr>
        <w:spacing w:line="360" w:lineRule="auto"/>
        <w:ind w:firstLine="525"/>
        <w:rPr>
          <w:rFonts w:ascii="宋体" w:hAnsi="宋体" w:cs="宋体"/>
          <w:b/>
          <w:bCs/>
          <w:sz w:val="24"/>
        </w:rPr>
      </w:pPr>
      <w:r>
        <w:rPr>
          <w:rFonts w:hint="eastAsia" w:ascii="宋体" w:hAnsi="宋体" w:cs="宋体"/>
          <w:b/>
          <w:bCs/>
          <w:sz w:val="24"/>
        </w:rPr>
        <w:t>10.投标专用章的效力</w:t>
      </w:r>
    </w:p>
    <w:p w14:paraId="5BC77964">
      <w:pPr>
        <w:spacing w:line="360" w:lineRule="auto"/>
        <w:ind w:firstLine="525"/>
        <w:rPr>
          <w:rFonts w:ascii="宋体" w:hAnsi="宋体" w:cs="宋体"/>
          <w:sz w:val="24"/>
        </w:rPr>
      </w:pPr>
      <w:r>
        <w:rPr>
          <w:rFonts w:hint="eastAsia" w:ascii="宋体" w:hAnsi="宋体" w:cs="宋体"/>
          <w:sz w:val="24"/>
        </w:rPr>
        <w:t>10.1招标文件中明确要求投标人加盖电子签章的，投标人必须加盖投标人电子签章。要求</w:t>
      </w:r>
      <w:r>
        <w:rPr>
          <w:rFonts w:hint="eastAsia" w:ascii="宋体" w:hAnsi="宋体" w:cs="宋体"/>
          <w:sz w:val="24"/>
          <w:highlight w:val="none"/>
        </w:rPr>
        <w:t>法定代表人签章的须由法定代表人签字和盖章。</w:t>
      </w:r>
    </w:p>
    <w:p w14:paraId="668334DB">
      <w:pPr>
        <w:spacing w:line="360" w:lineRule="auto"/>
        <w:ind w:firstLine="550"/>
        <w:rPr>
          <w:rFonts w:ascii="宋体" w:hAnsi="宋体" w:cs="宋体"/>
          <w:b/>
          <w:bCs/>
          <w:sz w:val="24"/>
        </w:rPr>
      </w:pPr>
      <w:r>
        <w:rPr>
          <w:rFonts w:hint="eastAsia" w:ascii="宋体" w:hAnsi="宋体" w:cs="宋体"/>
          <w:b/>
          <w:bCs/>
          <w:sz w:val="24"/>
        </w:rPr>
        <w:t>11.合同标的转让</w:t>
      </w:r>
    </w:p>
    <w:p w14:paraId="716557FE">
      <w:pPr>
        <w:spacing w:line="360" w:lineRule="auto"/>
        <w:ind w:firstLine="523" w:firstLineChars="218"/>
        <w:rPr>
          <w:rFonts w:ascii="宋体" w:hAnsi="宋体" w:cs="宋体"/>
          <w:sz w:val="24"/>
        </w:rPr>
      </w:pPr>
      <w:r>
        <w:rPr>
          <w:rFonts w:hint="eastAsia" w:ascii="宋体" w:hAnsi="宋体" w:cs="宋体"/>
          <w:sz w:val="24"/>
        </w:rPr>
        <w:t xml:space="preserve">11.1合同未约定或者未经采购人同意，中标人不得向他人转让中标项目，也不得将中标项目肢解后分别向他人转让。 </w:t>
      </w:r>
    </w:p>
    <w:p w14:paraId="3480AB3D">
      <w:pPr>
        <w:spacing w:line="360" w:lineRule="auto"/>
        <w:ind w:firstLine="523" w:firstLineChars="218"/>
        <w:rPr>
          <w:rFonts w:ascii="宋体" w:hAnsi="宋体" w:cs="宋体"/>
          <w:sz w:val="24"/>
        </w:rPr>
      </w:pPr>
      <w:r>
        <w:rPr>
          <w:rFonts w:hint="eastAsia" w:ascii="宋体" w:hAnsi="宋体" w:cs="宋体"/>
          <w:sz w:val="24"/>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14:paraId="36EC1EE8">
      <w:pPr>
        <w:spacing w:line="360" w:lineRule="auto"/>
        <w:ind w:firstLine="523" w:firstLineChars="218"/>
        <w:rPr>
          <w:rFonts w:ascii="宋体" w:hAnsi="宋体" w:cs="宋体"/>
          <w:sz w:val="24"/>
        </w:rPr>
      </w:pPr>
      <w:r>
        <w:rPr>
          <w:rFonts w:hint="eastAsia" w:ascii="宋体" w:hAnsi="宋体" w:cs="宋体"/>
          <w:sz w:val="24"/>
        </w:rPr>
        <w:t>11.3中标人应当就分包项目向采购人负责，接受分包的人就分包项目承担连带责任。</w:t>
      </w:r>
    </w:p>
    <w:p w14:paraId="5691DA8E">
      <w:pPr>
        <w:spacing w:line="360" w:lineRule="auto"/>
        <w:ind w:firstLine="523" w:firstLineChars="218"/>
        <w:rPr>
          <w:rFonts w:ascii="宋体" w:hAnsi="宋体" w:cs="宋体"/>
          <w:sz w:val="24"/>
        </w:rPr>
      </w:pPr>
      <w:r>
        <w:rPr>
          <w:rFonts w:hint="eastAsia" w:ascii="宋体" w:hAnsi="宋体" w:cs="宋体"/>
          <w:sz w:val="24"/>
        </w:rPr>
        <w:t>11.4未经政府采购管理部门批准，进口设备不得转包。</w:t>
      </w:r>
    </w:p>
    <w:p w14:paraId="414C3C00">
      <w:pPr>
        <w:spacing w:line="360" w:lineRule="auto"/>
        <w:ind w:firstLine="525" w:firstLineChars="218"/>
        <w:rPr>
          <w:rFonts w:ascii="宋体" w:hAnsi="宋体" w:cs="宋体"/>
          <w:sz w:val="24"/>
        </w:rPr>
      </w:pPr>
      <w:r>
        <w:rPr>
          <w:rFonts w:hint="eastAsia" w:ascii="宋体" w:hAnsi="宋体" w:cs="宋体"/>
          <w:b/>
          <w:bCs/>
          <w:sz w:val="24"/>
        </w:rPr>
        <w:t>12.会员信息库</w:t>
      </w:r>
    </w:p>
    <w:p w14:paraId="29B70343">
      <w:pPr>
        <w:spacing w:line="360" w:lineRule="auto"/>
        <w:ind w:firstLine="523" w:firstLineChars="218"/>
        <w:rPr>
          <w:rFonts w:ascii="宋体" w:hAnsi="宋体" w:cs="宋体"/>
          <w:sz w:val="24"/>
        </w:rPr>
      </w:pPr>
      <w:r>
        <w:rPr>
          <w:rFonts w:hint="eastAsia" w:ascii="宋体" w:hAnsi="宋体" w:cs="宋体"/>
          <w:sz w:val="24"/>
        </w:rPr>
        <w:t>12.1为进一步规范招投标行为，提高招投标工作效率，降低投标成本，加强对投标人诚信信息的管理，加快周口市招投标工作电子化、信息化建设，为周口市公共资源交易中心实行网上招投标奠定基础，经周口市公共资源交易管理办公室研究决定，周口市公共资源交易中心实行投标人会员信息库制度，并面向全国免费征集注册投标企业会员。</w:t>
      </w:r>
    </w:p>
    <w:p w14:paraId="29F651EF">
      <w:pPr>
        <w:spacing w:line="360" w:lineRule="auto"/>
        <w:ind w:firstLine="523" w:firstLineChars="218"/>
        <w:rPr>
          <w:rFonts w:ascii="宋体" w:hAnsi="宋体" w:cs="宋体"/>
          <w:sz w:val="24"/>
        </w:rPr>
      </w:pPr>
      <w:r>
        <w:rPr>
          <w:rFonts w:hint="eastAsia" w:ascii="宋体" w:hAnsi="宋体" w:cs="宋体"/>
          <w:sz w:val="24"/>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14:paraId="31332451">
      <w:pPr>
        <w:spacing w:line="360" w:lineRule="auto"/>
        <w:ind w:firstLine="523" w:firstLineChars="218"/>
        <w:rPr>
          <w:rFonts w:ascii="宋体" w:hAnsi="宋体" w:cs="宋体"/>
          <w:sz w:val="24"/>
        </w:rPr>
      </w:pPr>
      <w:r>
        <w:rPr>
          <w:rFonts w:hint="eastAsia" w:ascii="宋体" w:hAnsi="宋体" w:cs="宋体"/>
          <w:sz w:val="24"/>
        </w:rPr>
        <w:t>为确保投标文件通过评审，投标人应及时对入库资料进行补充、更新。</w:t>
      </w:r>
    </w:p>
    <w:p w14:paraId="3BAC8018">
      <w:pPr>
        <w:spacing w:line="360" w:lineRule="auto"/>
        <w:ind w:firstLine="523" w:firstLineChars="218"/>
        <w:rPr>
          <w:rFonts w:ascii="宋体" w:hAnsi="宋体" w:cs="宋体"/>
          <w:sz w:val="24"/>
        </w:rPr>
      </w:pPr>
      <w:r>
        <w:rPr>
          <w:rFonts w:hint="eastAsia" w:ascii="宋体" w:hAnsi="宋体" w:cs="宋体"/>
          <w:sz w:val="24"/>
        </w:rPr>
        <w:t>如因前款原因未通过本项目评委会评审，由投标人承担全部责任。</w:t>
      </w:r>
    </w:p>
    <w:p w14:paraId="227544DE">
      <w:pPr>
        <w:spacing w:line="360" w:lineRule="auto"/>
        <w:ind w:firstLine="523" w:firstLineChars="218"/>
        <w:rPr>
          <w:rFonts w:ascii="宋体" w:hAnsi="宋体" w:cs="宋体"/>
          <w:sz w:val="24"/>
        </w:rPr>
      </w:pPr>
      <w:r>
        <w:rPr>
          <w:rFonts w:hint="eastAsia" w:ascii="宋体" w:hAnsi="宋体" w:cs="宋体"/>
          <w:sz w:val="24"/>
        </w:rPr>
        <w:t>12.3网上会员库中文字资料与扫描件资料不一致时，以扫描件资料为准。</w:t>
      </w:r>
    </w:p>
    <w:p w14:paraId="6A0A0194">
      <w:pPr>
        <w:spacing w:line="360" w:lineRule="auto"/>
        <w:ind w:firstLine="523" w:firstLineChars="218"/>
        <w:rPr>
          <w:rFonts w:ascii="宋体" w:hAnsi="宋体" w:cs="宋体"/>
          <w:sz w:val="24"/>
        </w:rPr>
      </w:pPr>
      <w:r>
        <w:rPr>
          <w:rFonts w:hint="eastAsia" w:ascii="宋体" w:hAnsi="宋体" w:cs="宋体"/>
          <w:sz w:val="24"/>
        </w:rPr>
        <w:t>12.4有关会员库的更多信息，请登陆周口市公共资源交易中心网查询。</w:t>
      </w:r>
    </w:p>
    <w:p w14:paraId="3C12B990">
      <w:pPr>
        <w:spacing w:line="360" w:lineRule="auto"/>
        <w:ind w:firstLine="550"/>
        <w:rPr>
          <w:rFonts w:ascii="宋体" w:hAnsi="宋体" w:cs="宋体"/>
          <w:b/>
          <w:bCs/>
          <w:sz w:val="24"/>
        </w:rPr>
      </w:pPr>
      <w:r>
        <w:rPr>
          <w:rFonts w:hint="eastAsia" w:ascii="宋体" w:hAnsi="宋体" w:cs="宋体"/>
          <w:b/>
          <w:bCs/>
          <w:sz w:val="24"/>
        </w:rPr>
        <w:t>13.采购信息的发布</w:t>
      </w:r>
    </w:p>
    <w:p w14:paraId="1620D019">
      <w:pPr>
        <w:spacing w:line="360" w:lineRule="auto"/>
        <w:ind w:firstLine="550"/>
        <w:rPr>
          <w:rFonts w:ascii="宋体" w:hAnsi="宋体" w:cs="宋体"/>
          <w:sz w:val="24"/>
        </w:rPr>
      </w:pPr>
      <w:r>
        <w:rPr>
          <w:rFonts w:hint="eastAsia" w:ascii="宋体" w:hAnsi="宋体" w:cs="宋体"/>
          <w:sz w:val="24"/>
        </w:rPr>
        <w:t>13.1与本次采购活动相关的信息，将发布在周口市公共资源交易中心网(</w:t>
      </w:r>
      <w:r>
        <w:fldChar w:fldCharType="begin"/>
      </w:r>
      <w:r>
        <w:instrText xml:space="preserve"> HYPERLINK "http://jyzx.zhoukou.gov.cn" </w:instrText>
      </w:r>
      <w:r>
        <w:fldChar w:fldCharType="separate"/>
      </w:r>
      <w:r>
        <w:rPr>
          <w:rFonts w:hint="eastAsia" w:ascii="宋体" w:hAnsi="宋体" w:cs="宋体"/>
          <w:sz w:val="24"/>
        </w:rPr>
        <w:t>http://jyzx.zhoukou.gov.cn</w:t>
      </w:r>
      <w:r>
        <w:rPr>
          <w:rFonts w:hint="eastAsia" w:ascii="宋体" w:hAnsi="宋体" w:cs="宋体"/>
          <w:sz w:val="24"/>
        </w:rPr>
        <w:fldChar w:fldCharType="end"/>
      </w:r>
      <w:r>
        <w:rPr>
          <w:rFonts w:hint="eastAsia" w:ascii="宋体" w:hAnsi="宋体" w:cs="宋体"/>
          <w:sz w:val="24"/>
        </w:rPr>
        <w:t>)及河南省政府采购网（www.hngp.gov.cn），以下简称“网站”。</w:t>
      </w:r>
    </w:p>
    <w:p w14:paraId="3F267FB3">
      <w:pPr>
        <w:pStyle w:val="5"/>
        <w:spacing w:line="360" w:lineRule="auto"/>
        <w:ind w:firstLine="3418" w:firstLineChars="1216"/>
        <w:jc w:val="both"/>
        <w:rPr>
          <w:rFonts w:hAnsi="宋体" w:cs="宋体"/>
          <w:sz w:val="28"/>
        </w:rPr>
      </w:pPr>
      <w:bookmarkStart w:id="74" w:name="_Hlt509650929"/>
      <w:bookmarkEnd w:id="74"/>
      <w:bookmarkStart w:id="75" w:name="_Hlt509649678"/>
      <w:bookmarkEnd w:id="75"/>
      <w:bookmarkStart w:id="76" w:name="_Hlt509650936"/>
      <w:bookmarkEnd w:id="76"/>
      <w:bookmarkStart w:id="77" w:name="_Hlt509649645"/>
      <w:bookmarkEnd w:id="77"/>
      <w:bookmarkStart w:id="78" w:name="_Hlt509650690"/>
      <w:bookmarkEnd w:id="78"/>
      <w:bookmarkStart w:id="79" w:name="_Hlt526418153"/>
      <w:bookmarkEnd w:id="79"/>
      <w:bookmarkStart w:id="80" w:name="_Hlt509650333"/>
      <w:bookmarkEnd w:id="80"/>
      <w:bookmarkStart w:id="81" w:name="_Hlt509650961"/>
      <w:bookmarkEnd w:id="81"/>
      <w:bookmarkStart w:id="82" w:name="_Hlt509649669"/>
      <w:bookmarkEnd w:id="82"/>
      <w:bookmarkStart w:id="83" w:name="_Hlt509649795"/>
      <w:bookmarkEnd w:id="83"/>
      <w:bookmarkStart w:id="84" w:name="_Hlt509649330"/>
      <w:bookmarkEnd w:id="84"/>
      <w:bookmarkStart w:id="85" w:name="_Hlt509650103"/>
      <w:bookmarkEnd w:id="85"/>
      <w:bookmarkStart w:id="86" w:name="_Hlt509650116"/>
      <w:bookmarkEnd w:id="86"/>
      <w:bookmarkStart w:id="87" w:name="_Hlt509650932"/>
      <w:bookmarkEnd w:id="87"/>
      <w:bookmarkStart w:id="88" w:name="_Toc527725923"/>
      <w:bookmarkStart w:id="89" w:name="_Toc40975443"/>
      <w:r>
        <w:rPr>
          <w:rFonts w:hint="eastAsia" w:hAnsi="宋体" w:cs="宋体"/>
          <w:sz w:val="28"/>
        </w:rPr>
        <w:t>二．招标文件</w:t>
      </w:r>
      <w:bookmarkEnd w:id="88"/>
      <w:bookmarkEnd w:id="89"/>
      <w:bookmarkStart w:id="90" w:name="_Hlt509650361"/>
      <w:bookmarkEnd w:id="90"/>
      <w:bookmarkStart w:id="91" w:name="_Hlt509649930"/>
      <w:bookmarkEnd w:id="91"/>
      <w:bookmarkStart w:id="92" w:name="_Hlt509649791"/>
      <w:bookmarkEnd w:id="92"/>
    </w:p>
    <w:p w14:paraId="29076A2E">
      <w:pPr>
        <w:spacing w:line="360" w:lineRule="auto"/>
        <w:ind w:firstLine="549"/>
        <w:rPr>
          <w:rFonts w:ascii="宋体" w:hAnsi="宋体" w:cs="宋体"/>
          <w:b/>
          <w:sz w:val="24"/>
        </w:rPr>
      </w:pPr>
      <w:bookmarkStart w:id="93" w:name="_Hlt509650734"/>
      <w:bookmarkEnd w:id="93"/>
      <w:r>
        <w:rPr>
          <w:rFonts w:hint="eastAsia" w:ascii="宋体" w:hAnsi="宋体" w:cs="宋体"/>
          <w:b/>
          <w:sz w:val="24"/>
        </w:rPr>
        <w:t>14.招标文件构成</w:t>
      </w:r>
    </w:p>
    <w:p w14:paraId="29D611E1">
      <w:pPr>
        <w:spacing w:line="360" w:lineRule="auto"/>
        <w:ind w:firstLine="549"/>
        <w:rPr>
          <w:rFonts w:ascii="宋体" w:hAnsi="宋体" w:cs="宋体"/>
          <w:sz w:val="24"/>
        </w:rPr>
      </w:pPr>
      <w:r>
        <w:rPr>
          <w:rFonts w:hint="eastAsia" w:ascii="宋体" w:hAnsi="宋体" w:cs="宋体"/>
          <w:sz w:val="24"/>
        </w:rPr>
        <w:t>14.1招标文件包括以下部分：</w:t>
      </w:r>
    </w:p>
    <w:p w14:paraId="18CDE8D9">
      <w:pPr>
        <w:spacing w:line="360" w:lineRule="auto"/>
        <w:ind w:firstLine="523" w:firstLineChars="218"/>
        <w:rPr>
          <w:rFonts w:ascii="宋体" w:hAnsi="宋体" w:cs="宋体"/>
          <w:bCs/>
          <w:sz w:val="24"/>
        </w:rPr>
      </w:pPr>
      <w:r>
        <w:rPr>
          <w:rFonts w:hint="eastAsia" w:ascii="宋体" w:hAnsi="宋体" w:cs="宋体"/>
          <w:sz w:val="24"/>
        </w:rPr>
        <w:t>14.1.1第一章：</w:t>
      </w:r>
      <w:r>
        <w:rPr>
          <w:rFonts w:hint="eastAsia" w:ascii="宋体" w:hAnsi="宋体" w:cs="宋体"/>
          <w:bCs/>
          <w:sz w:val="24"/>
        </w:rPr>
        <w:t>投标邀请（招标公告）；</w:t>
      </w:r>
    </w:p>
    <w:p w14:paraId="5717C450">
      <w:pPr>
        <w:spacing w:line="360" w:lineRule="auto"/>
        <w:ind w:firstLine="523" w:firstLineChars="218"/>
        <w:rPr>
          <w:rFonts w:ascii="宋体" w:hAnsi="宋体" w:cs="宋体"/>
          <w:bCs/>
          <w:sz w:val="24"/>
        </w:rPr>
      </w:pPr>
      <w:r>
        <w:rPr>
          <w:rFonts w:hint="eastAsia" w:ascii="宋体" w:hAnsi="宋体" w:cs="宋体"/>
          <w:sz w:val="24"/>
        </w:rPr>
        <w:t>14.1.2第二章：</w:t>
      </w:r>
      <w:bookmarkStart w:id="94" w:name="_Hlt509650925"/>
      <w:bookmarkEnd w:id="94"/>
      <w:r>
        <w:rPr>
          <w:rFonts w:hint="eastAsia" w:ascii="宋体" w:hAnsi="宋体" w:cs="宋体"/>
          <w:bCs/>
          <w:sz w:val="24"/>
        </w:rPr>
        <w:t>投标人须知前附表；</w:t>
      </w:r>
    </w:p>
    <w:p w14:paraId="7D3D49A2">
      <w:pPr>
        <w:spacing w:line="360" w:lineRule="auto"/>
        <w:ind w:firstLine="523" w:firstLineChars="218"/>
        <w:rPr>
          <w:rFonts w:ascii="宋体" w:hAnsi="宋体" w:cs="宋体"/>
          <w:bCs/>
          <w:sz w:val="24"/>
        </w:rPr>
      </w:pPr>
      <w:r>
        <w:rPr>
          <w:rFonts w:hint="eastAsia" w:ascii="宋体" w:hAnsi="宋体" w:cs="宋体"/>
          <w:sz w:val="24"/>
        </w:rPr>
        <w:t>14.1.3第三章：</w:t>
      </w:r>
      <w:r>
        <w:rPr>
          <w:rFonts w:hint="eastAsia" w:ascii="宋体" w:hAnsi="宋体" w:cs="宋体"/>
          <w:bCs/>
          <w:sz w:val="24"/>
        </w:rPr>
        <w:t>货物需求一览表；</w:t>
      </w:r>
    </w:p>
    <w:p w14:paraId="7B70055B">
      <w:pPr>
        <w:spacing w:line="360" w:lineRule="auto"/>
        <w:ind w:firstLine="523" w:firstLineChars="218"/>
        <w:rPr>
          <w:rFonts w:ascii="宋体" w:hAnsi="宋体" w:cs="宋体"/>
          <w:sz w:val="24"/>
        </w:rPr>
      </w:pPr>
      <w:r>
        <w:rPr>
          <w:rFonts w:hint="eastAsia" w:ascii="宋体" w:hAnsi="宋体" w:cs="宋体"/>
          <w:sz w:val="24"/>
        </w:rPr>
        <w:t>14.1.4第四章：</w:t>
      </w:r>
      <w:r>
        <w:rPr>
          <w:rFonts w:hint="eastAsia" w:ascii="宋体" w:hAnsi="宋体" w:cs="宋体"/>
          <w:bCs/>
          <w:sz w:val="24"/>
        </w:rPr>
        <w:t>评标办法；</w:t>
      </w:r>
    </w:p>
    <w:p w14:paraId="6CBB5CDB">
      <w:pPr>
        <w:spacing w:line="360" w:lineRule="auto"/>
        <w:ind w:firstLine="523" w:firstLineChars="218"/>
        <w:rPr>
          <w:rFonts w:ascii="宋体" w:hAnsi="宋体" w:cs="宋体"/>
          <w:bCs/>
          <w:sz w:val="24"/>
        </w:rPr>
      </w:pPr>
      <w:r>
        <w:rPr>
          <w:rFonts w:hint="eastAsia" w:ascii="宋体" w:hAnsi="宋体" w:cs="宋体"/>
          <w:sz w:val="24"/>
        </w:rPr>
        <w:t>14.1.5第五章：</w:t>
      </w:r>
      <w:r>
        <w:rPr>
          <w:rFonts w:hint="eastAsia" w:ascii="宋体" w:hAnsi="宋体" w:cs="宋体"/>
          <w:bCs/>
          <w:sz w:val="24"/>
        </w:rPr>
        <w:t>投标人须知；</w:t>
      </w:r>
    </w:p>
    <w:p w14:paraId="56A402A7">
      <w:pPr>
        <w:spacing w:line="360" w:lineRule="auto"/>
        <w:ind w:firstLine="523" w:firstLineChars="218"/>
        <w:rPr>
          <w:rFonts w:ascii="宋体" w:hAnsi="宋体" w:cs="宋体"/>
          <w:bCs/>
          <w:sz w:val="24"/>
        </w:rPr>
      </w:pPr>
      <w:r>
        <w:rPr>
          <w:rFonts w:hint="eastAsia" w:ascii="宋体" w:hAnsi="宋体" w:cs="宋体"/>
          <w:sz w:val="24"/>
        </w:rPr>
        <w:t>14.1.6第六章：</w:t>
      </w:r>
      <w:r>
        <w:rPr>
          <w:rFonts w:hint="eastAsia" w:ascii="宋体" w:hAnsi="宋体" w:cs="宋体"/>
          <w:bCs/>
          <w:sz w:val="24"/>
        </w:rPr>
        <w:t>采购合同；</w:t>
      </w:r>
    </w:p>
    <w:p w14:paraId="6708B577">
      <w:pPr>
        <w:spacing w:line="360" w:lineRule="auto"/>
        <w:ind w:firstLine="523" w:firstLineChars="218"/>
        <w:rPr>
          <w:rFonts w:ascii="宋体" w:hAnsi="宋体" w:cs="宋体"/>
          <w:bCs/>
          <w:sz w:val="24"/>
        </w:rPr>
      </w:pPr>
      <w:r>
        <w:rPr>
          <w:rFonts w:hint="eastAsia" w:ascii="宋体" w:hAnsi="宋体" w:cs="宋体"/>
          <w:sz w:val="24"/>
        </w:rPr>
        <w:t>14.1.7第七章：</w:t>
      </w:r>
      <w:r>
        <w:rPr>
          <w:rFonts w:hint="eastAsia" w:ascii="宋体" w:hAnsi="宋体" w:cs="宋体"/>
          <w:bCs/>
          <w:sz w:val="24"/>
        </w:rPr>
        <w:t>投标文件格式；</w:t>
      </w:r>
    </w:p>
    <w:p w14:paraId="6C8336B5">
      <w:pPr>
        <w:spacing w:line="360" w:lineRule="auto"/>
        <w:ind w:firstLine="523" w:firstLineChars="218"/>
        <w:rPr>
          <w:rFonts w:ascii="宋体" w:hAnsi="宋体" w:cs="宋体"/>
          <w:sz w:val="24"/>
        </w:rPr>
      </w:pPr>
      <w:r>
        <w:rPr>
          <w:rFonts w:hint="eastAsia" w:ascii="宋体" w:hAnsi="宋体" w:cs="宋体"/>
          <w:bCs/>
          <w:sz w:val="24"/>
        </w:rPr>
        <w:t>14.1.8周口市公共资源交易中心政府采购中心发布的</w:t>
      </w:r>
      <w:r>
        <w:rPr>
          <w:rFonts w:hint="eastAsia" w:ascii="宋体" w:hAnsi="宋体" w:cs="宋体"/>
          <w:sz w:val="24"/>
        </w:rPr>
        <w:t>图纸、答疑、补遗、补充通知等。</w:t>
      </w:r>
    </w:p>
    <w:p w14:paraId="168BBCD1">
      <w:pPr>
        <w:spacing w:line="360" w:lineRule="auto"/>
        <w:ind w:firstLine="549"/>
        <w:rPr>
          <w:rFonts w:ascii="宋体" w:hAnsi="宋体" w:cs="宋体"/>
          <w:sz w:val="24"/>
          <w:highlight w:val="none"/>
        </w:rPr>
      </w:pPr>
      <w:r>
        <w:rPr>
          <w:rFonts w:hint="eastAsia" w:ascii="宋体" w:hAnsi="宋体" w:cs="宋体"/>
          <w:sz w:val="24"/>
        </w:rPr>
        <w:t>14.2 投标人应认真阅读招标文件中所有的事项、格式、条件、条款和规范等要求。</w:t>
      </w:r>
      <w:r>
        <w:rPr>
          <w:rFonts w:hint="eastAsia" w:ascii="宋体" w:hAnsi="宋体"/>
          <w:sz w:val="24"/>
        </w:rPr>
        <w:t>如果有异议在规定的时间内提出，</w:t>
      </w:r>
      <w:r>
        <w:rPr>
          <w:rFonts w:hint="eastAsia" w:ascii="宋体" w:hAnsi="宋体"/>
          <w:sz w:val="24"/>
          <w:highlight w:val="none"/>
        </w:rPr>
        <w:t>没有异议需做出“无异议”承诺书，承诺书作为响应文件的组织部分，否则为无效响应文件。</w:t>
      </w:r>
    </w:p>
    <w:p w14:paraId="07132704">
      <w:pPr>
        <w:pStyle w:val="56"/>
        <w:tabs>
          <w:tab w:val="left" w:pos="819"/>
        </w:tabs>
        <w:adjustRightInd w:val="0"/>
        <w:snapToGrid w:val="0"/>
        <w:spacing w:line="360" w:lineRule="auto"/>
        <w:ind w:left="0" w:firstLine="480" w:firstLineChars="200"/>
        <w:rPr>
          <w:rFonts w:ascii="宋体" w:hAnsi="宋体" w:cs="宋体"/>
          <w:sz w:val="24"/>
          <w:highlight w:val="none"/>
        </w:rPr>
      </w:pPr>
      <w:r>
        <w:rPr>
          <w:rFonts w:hint="eastAsia" w:ascii="宋体" w:hAnsi="宋体" w:cs="宋体"/>
          <w:kern w:val="2"/>
          <w:sz w:val="24"/>
          <w:szCs w:val="20"/>
          <w:highlight w:val="none"/>
        </w:rPr>
        <w:t>14.3投标人应当按照招标文件的要求编制投标文件。投标文件应对招标文件提出的要求和条件作出实质性响应。供应商应具备完善的管理制度，并根据制度制定合理可行的服务方案。按文件要求和规定顺序编制投标文件，并保证所提供全部资料的真实性，并在投标文件中附承诺书；供应商提交的资料应证明其满足招标文件要求并在材料上面签署“与原件一致”字样，该文件包括资格材料、文字资料、图纸和数据等详细描述的资料,否则视为不响应招标文件。</w:t>
      </w:r>
    </w:p>
    <w:p w14:paraId="43342706">
      <w:pPr>
        <w:pStyle w:val="56"/>
        <w:tabs>
          <w:tab w:val="left" w:pos="819"/>
        </w:tabs>
        <w:adjustRightInd w:val="0"/>
        <w:snapToGrid w:val="0"/>
        <w:spacing w:line="360" w:lineRule="auto"/>
        <w:ind w:left="420" w:leftChars="200"/>
        <w:jc w:val="both"/>
        <w:rPr>
          <w:rFonts w:ascii="宋体" w:hAnsi="宋体" w:cs="宋体"/>
          <w:sz w:val="24"/>
        </w:rPr>
      </w:pPr>
      <w:r>
        <w:rPr>
          <w:rFonts w:hint="eastAsia" w:ascii="宋体" w:hAnsi="宋体" w:cs="宋体"/>
          <w:sz w:val="24"/>
        </w:rPr>
        <w:t>14.4投标人获取招标文件后，应仔细检查招标文件的所有内容，如有残缺等问题应在获得招标文件3日内向</w:t>
      </w:r>
      <w:r>
        <w:rPr>
          <w:rFonts w:hint="eastAsia" w:ascii="宋体" w:hAnsi="宋体" w:cs="宋体"/>
          <w:bCs/>
          <w:sz w:val="24"/>
        </w:rPr>
        <w:t>周口市公共资源交易中心政府采购中心或采购人</w:t>
      </w:r>
      <w:r>
        <w:rPr>
          <w:rFonts w:hint="eastAsia" w:ascii="宋体" w:hAnsi="宋体" w:cs="宋体"/>
          <w:sz w:val="24"/>
        </w:rPr>
        <w:t>提出，否则，由此引起的损失由投标人自行承担。</w:t>
      </w:r>
    </w:p>
    <w:p w14:paraId="24D26EE7">
      <w:pPr>
        <w:spacing w:line="360" w:lineRule="auto"/>
        <w:ind w:firstLine="550"/>
        <w:rPr>
          <w:rFonts w:ascii="宋体" w:hAnsi="宋体" w:cs="宋体"/>
          <w:sz w:val="24"/>
        </w:rPr>
      </w:pPr>
      <w:r>
        <w:rPr>
          <w:rFonts w:hint="eastAsia" w:ascii="宋体" w:hAnsi="宋体" w:cs="宋体"/>
          <w:sz w:val="24"/>
        </w:rPr>
        <w:t>15.招标文件的澄清与修改</w:t>
      </w:r>
    </w:p>
    <w:p w14:paraId="09F118A8">
      <w:pPr>
        <w:spacing w:line="360" w:lineRule="auto"/>
        <w:ind w:firstLine="550"/>
        <w:rPr>
          <w:rFonts w:ascii="宋体" w:hAnsi="宋体" w:cs="宋体"/>
          <w:sz w:val="24"/>
        </w:rPr>
      </w:pPr>
      <w:r>
        <w:rPr>
          <w:rFonts w:hint="eastAsia" w:ascii="宋体" w:hAnsi="宋体" w:cs="宋体"/>
          <w:sz w:val="24"/>
        </w:rPr>
        <w:t>15.1</w:t>
      </w:r>
      <w:r>
        <w:rPr>
          <w:rFonts w:hint="eastAsia" w:ascii="宋体" w:hAnsi="宋体" w:cs="宋体"/>
          <w:bCs/>
          <w:sz w:val="24"/>
        </w:rPr>
        <w:t>周口市公共资源交易中心政府采购中心或采购人</w:t>
      </w:r>
      <w:r>
        <w:rPr>
          <w:rFonts w:hint="eastAsia" w:ascii="宋体" w:hAnsi="宋体" w:cs="宋体"/>
          <w:sz w:val="24"/>
        </w:rPr>
        <w:t>对招标文件进行的澄清、更正或更改，将在网站上及时发布，该公告内容为招标文件的组成部分，对投标人具有同样约束力。投标人应主动上网查询。</w:t>
      </w:r>
      <w:r>
        <w:rPr>
          <w:rFonts w:hint="eastAsia" w:ascii="宋体" w:hAnsi="宋体" w:cs="宋体"/>
          <w:bCs/>
          <w:sz w:val="24"/>
        </w:rPr>
        <w:t>周口市公共资源交易中心政府采购中心或采购人</w:t>
      </w:r>
      <w:r>
        <w:rPr>
          <w:rFonts w:hint="eastAsia" w:ascii="宋体" w:hAnsi="宋体" w:cs="宋体"/>
          <w:sz w:val="24"/>
        </w:rPr>
        <w:t>不承担投标人未及时关注相关信息引发的相关责任。澄清或者修改的内容可能影响投标文件编制的，采购人或者采购代理机构在投标截止时间至少15日前，将在网站上及时发布通知所有获取招标文件的潜在投标人；不足15日的，采购人或者采购代理机构顺延提交投标文件的截止时间。</w:t>
      </w:r>
    </w:p>
    <w:p w14:paraId="7BC28086">
      <w:pPr>
        <w:spacing w:line="360" w:lineRule="auto"/>
        <w:ind w:firstLine="550"/>
        <w:rPr>
          <w:rFonts w:ascii="宋体" w:hAnsi="宋体" w:cs="宋体"/>
          <w:sz w:val="24"/>
        </w:rPr>
      </w:pPr>
      <w:r>
        <w:rPr>
          <w:rFonts w:hint="eastAsia" w:ascii="宋体" w:hAnsi="宋体" w:cs="宋体"/>
          <w:sz w:val="24"/>
        </w:rPr>
        <w:t>15.2在投标截止时间前，</w:t>
      </w:r>
      <w:r>
        <w:rPr>
          <w:rFonts w:hint="eastAsia" w:ascii="宋体" w:hAnsi="宋体" w:cs="宋体"/>
          <w:bCs/>
          <w:sz w:val="24"/>
        </w:rPr>
        <w:t>采购人</w:t>
      </w:r>
      <w:r>
        <w:rPr>
          <w:rFonts w:hint="eastAsia" w:ascii="宋体" w:hAnsi="宋体" w:cs="宋体"/>
          <w:sz w:val="24"/>
        </w:rPr>
        <w:t>可以视采购具体情况，延长投标截止时间和开标时间，在网站上发布变更公告。在上述情况下，</w:t>
      </w:r>
      <w:r>
        <w:rPr>
          <w:rFonts w:hint="eastAsia" w:ascii="宋体" w:hAnsi="宋体" w:cs="宋体"/>
          <w:bCs/>
          <w:sz w:val="24"/>
        </w:rPr>
        <w:t>采购人</w:t>
      </w:r>
      <w:r>
        <w:rPr>
          <w:rFonts w:hint="eastAsia" w:ascii="宋体" w:hAnsi="宋体" w:cs="宋体"/>
          <w:sz w:val="24"/>
        </w:rPr>
        <w:t>和投标人在投标截止期方面的全部权力、责任和义务，将适用于延长后新的投标截止期。</w:t>
      </w:r>
    </w:p>
    <w:p w14:paraId="388B2713">
      <w:pPr>
        <w:spacing w:line="360" w:lineRule="auto"/>
        <w:ind w:firstLine="550"/>
        <w:rPr>
          <w:rFonts w:ascii="宋体" w:hAnsi="宋体" w:cs="宋体"/>
          <w:sz w:val="28"/>
        </w:rPr>
      </w:pPr>
      <w:r>
        <w:rPr>
          <w:rFonts w:hint="eastAsia" w:ascii="宋体" w:hAnsi="宋体" w:cs="宋体"/>
          <w:sz w:val="24"/>
        </w:rPr>
        <w:t>15.3特殊情况下，</w:t>
      </w:r>
      <w:r>
        <w:rPr>
          <w:rFonts w:hint="eastAsia" w:ascii="宋体" w:hAnsi="宋体" w:cs="宋体"/>
          <w:bCs/>
          <w:sz w:val="24"/>
        </w:rPr>
        <w:t>采购人</w:t>
      </w:r>
      <w:r>
        <w:rPr>
          <w:rFonts w:hint="eastAsia" w:ascii="宋体" w:hAnsi="宋体" w:cs="宋体"/>
          <w:sz w:val="24"/>
        </w:rPr>
        <w:t>发布澄清、更正或更改公告后，可不改变投标截止时间和开标时间。</w:t>
      </w:r>
    </w:p>
    <w:p w14:paraId="7266A10B">
      <w:pPr>
        <w:pStyle w:val="5"/>
        <w:spacing w:line="360" w:lineRule="auto"/>
        <w:ind w:firstLine="2715" w:firstLineChars="966"/>
        <w:jc w:val="both"/>
        <w:rPr>
          <w:rFonts w:hAnsi="宋体" w:cs="宋体"/>
          <w:sz w:val="28"/>
        </w:rPr>
      </w:pPr>
      <w:bookmarkStart w:id="95" w:name="_Hlt509649724"/>
      <w:bookmarkEnd w:id="95"/>
      <w:bookmarkStart w:id="96" w:name="_Hlt509650697"/>
      <w:bookmarkEnd w:id="96"/>
      <w:bookmarkStart w:id="97" w:name="_Hlt510342861"/>
      <w:bookmarkEnd w:id="97"/>
      <w:bookmarkStart w:id="98" w:name="_Toc527725924"/>
      <w:bookmarkStart w:id="99" w:name="_Toc40975444"/>
      <w:r>
        <w:rPr>
          <w:rFonts w:hint="eastAsia" w:hAnsi="宋体" w:cs="宋体"/>
          <w:sz w:val="28"/>
        </w:rPr>
        <w:t>三．投标文件的编制</w:t>
      </w:r>
      <w:bookmarkEnd w:id="98"/>
      <w:bookmarkEnd w:id="99"/>
    </w:p>
    <w:p w14:paraId="106BC3CC">
      <w:pPr>
        <w:spacing w:line="360" w:lineRule="auto"/>
        <w:ind w:firstLine="550"/>
        <w:rPr>
          <w:rFonts w:ascii="宋体" w:hAnsi="宋体" w:cs="宋体"/>
          <w:b/>
          <w:sz w:val="24"/>
        </w:rPr>
      </w:pPr>
      <w:r>
        <w:rPr>
          <w:rFonts w:hint="eastAsia" w:ascii="宋体" w:hAnsi="宋体" w:cs="宋体"/>
          <w:b/>
          <w:sz w:val="24"/>
        </w:rPr>
        <w:t>16.投标文件构成与格式</w:t>
      </w:r>
    </w:p>
    <w:p w14:paraId="3BA983CA">
      <w:pPr>
        <w:spacing w:line="360" w:lineRule="auto"/>
        <w:ind w:firstLine="550"/>
        <w:rPr>
          <w:rFonts w:ascii="宋体" w:hAnsi="宋体" w:cs="宋体"/>
          <w:sz w:val="24"/>
        </w:rPr>
      </w:pPr>
      <w:bookmarkStart w:id="100" w:name="_Hlt509650345"/>
      <w:bookmarkEnd w:id="100"/>
      <w:r>
        <w:rPr>
          <w:rFonts w:hint="eastAsia" w:ascii="宋体" w:hAnsi="宋体" w:cs="宋体"/>
          <w:sz w:val="24"/>
        </w:rPr>
        <w:t>16.1投标文件是对招标文件的实质性响应及承诺文件。</w:t>
      </w:r>
    </w:p>
    <w:p w14:paraId="2039F32D">
      <w:pPr>
        <w:spacing w:line="360" w:lineRule="auto"/>
        <w:ind w:firstLine="550"/>
        <w:jc w:val="left"/>
        <w:rPr>
          <w:rFonts w:ascii="宋体" w:hAnsi="宋体" w:cs="宋体"/>
          <w:sz w:val="24"/>
          <w:highlight w:val="none"/>
        </w:rPr>
      </w:pPr>
      <w:r>
        <w:rPr>
          <w:rFonts w:hint="eastAsia" w:ascii="宋体" w:hAnsi="宋体" w:cs="宋体"/>
          <w:sz w:val="24"/>
        </w:rPr>
        <w:t>16.2</w:t>
      </w:r>
      <w:r>
        <w:rPr>
          <w:rFonts w:hint="eastAsia" w:ascii="宋体" w:hAnsi="宋体" w:cs="宋体"/>
          <w:bCs/>
          <w:sz w:val="24"/>
          <w:highlight w:val="none"/>
        </w:rPr>
        <w:t>除非注明“投标人可自行制作格式”，投标文件应使用招标文件提供的格式。</w:t>
      </w:r>
    </w:p>
    <w:p w14:paraId="7F941B64">
      <w:pPr>
        <w:spacing w:line="360" w:lineRule="auto"/>
        <w:ind w:firstLine="550"/>
        <w:rPr>
          <w:rFonts w:ascii="宋体" w:hAnsi="宋体" w:cs="宋体"/>
          <w:sz w:val="24"/>
        </w:rPr>
      </w:pPr>
      <w:r>
        <w:rPr>
          <w:rFonts w:hint="eastAsia" w:ascii="宋体" w:hAnsi="宋体" w:cs="宋体"/>
          <w:bCs/>
          <w:sz w:val="24"/>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6F464FE0">
      <w:pPr>
        <w:spacing w:line="360" w:lineRule="auto"/>
        <w:ind w:firstLine="550"/>
        <w:rPr>
          <w:rFonts w:ascii="宋体" w:hAnsi="宋体" w:cs="宋体"/>
          <w:sz w:val="24"/>
        </w:rPr>
      </w:pPr>
      <w:r>
        <w:rPr>
          <w:rFonts w:hint="eastAsia" w:ascii="宋体" w:hAnsi="宋体" w:cs="宋体"/>
          <w:sz w:val="24"/>
        </w:rPr>
        <w:t>16.4除非招标文件另有规定，投标文件应使用中华人民共和国法定计量单位。</w:t>
      </w:r>
    </w:p>
    <w:p w14:paraId="68EC7AF0">
      <w:pPr>
        <w:spacing w:line="360" w:lineRule="auto"/>
        <w:ind w:firstLine="550"/>
        <w:rPr>
          <w:rFonts w:ascii="宋体" w:hAnsi="宋体" w:cs="宋体"/>
          <w:sz w:val="24"/>
        </w:rPr>
      </w:pPr>
      <w:r>
        <w:rPr>
          <w:rFonts w:hint="eastAsia" w:ascii="宋体" w:hAnsi="宋体" w:cs="宋体"/>
          <w:sz w:val="24"/>
        </w:rPr>
        <w:t>16.5除非招标文件另有规定，投标文件应使用人民币填报所有报价。允许以多种货币报价的，应当按照中国银行在开标日公布的汇率中间价换算成人民币。</w:t>
      </w:r>
    </w:p>
    <w:p w14:paraId="4C4690DA">
      <w:pPr>
        <w:spacing w:line="360" w:lineRule="auto"/>
        <w:ind w:firstLine="550"/>
        <w:rPr>
          <w:rFonts w:ascii="宋体" w:hAnsi="宋体" w:cs="宋体"/>
          <w:sz w:val="24"/>
          <w:highlight w:val="yellow"/>
        </w:rPr>
      </w:pPr>
      <w:r>
        <w:rPr>
          <w:rFonts w:hint="eastAsia" w:ascii="宋体" w:hAnsi="宋体" w:cs="宋体"/>
          <w:sz w:val="24"/>
        </w:rPr>
        <w:t>16.6</w:t>
      </w:r>
      <w:r>
        <w:rPr>
          <w:rFonts w:hint="eastAsia" w:ascii="宋体" w:hAnsi="宋体" w:cs="宋体"/>
          <w:kern w:val="0"/>
          <w:sz w:val="24"/>
          <w:highlight w:val="none"/>
        </w:rPr>
        <w:t>供应商应按文件规定的格式和顺序制作响应文件。除了响应文件封面以外，每个页面应在明显位置编制页码，由法定代表人逐页签字盖章，并加盖单位公章，响应文件的目录应编序。响应文件内容不完整、编排混乱导致被误读、漏读或者查找不到相关内容的，由供应商负责。</w:t>
      </w:r>
    </w:p>
    <w:p w14:paraId="5A5B556C">
      <w:pPr>
        <w:spacing w:line="360" w:lineRule="auto"/>
        <w:ind w:firstLine="550"/>
        <w:rPr>
          <w:rFonts w:ascii="宋体" w:hAnsi="宋体" w:cs="宋体"/>
          <w:sz w:val="24"/>
        </w:rPr>
      </w:pPr>
      <w:r>
        <w:rPr>
          <w:rFonts w:hint="eastAsia" w:ascii="宋体" w:hAnsi="宋体" w:cs="宋体"/>
          <w:sz w:val="24"/>
        </w:rPr>
        <w:t>16.7电报、电话、传真形式的投标概不接受。</w:t>
      </w:r>
    </w:p>
    <w:p w14:paraId="338F3F13">
      <w:pPr>
        <w:spacing w:line="360" w:lineRule="auto"/>
        <w:ind w:firstLine="550"/>
      </w:pPr>
      <w:r>
        <w:rPr>
          <w:rFonts w:hint="eastAsia" w:ascii="宋体" w:hAnsi="宋体" w:cs="宋体"/>
          <w:sz w:val="24"/>
        </w:rPr>
        <w:t>16.8电子投标文件制作，见周口市公共资源交易中心网站下载中心版块《投标单位-电子投标文件视频制作手册》的相关规定。</w:t>
      </w:r>
    </w:p>
    <w:p w14:paraId="0DDC120E">
      <w:pPr>
        <w:spacing w:line="360" w:lineRule="auto"/>
        <w:ind w:firstLine="550"/>
        <w:rPr>
          <w:rFonts w:ascii="宋体" w:hAnsi="宋体" w:cs="宋体"/>
          <w:sz w:val="24"/>
        </w:rPr>
      </w:pPr>
      <w:r>
        <w:rPr>
          <w:rFonts w:hint="eastAsia" w:ascii="宋体" w:hAnsi="宋体" w:cs="宋体"/>
          <w:b/>
          <w:sz w:val="24"/>
        </w:rPr>
        <w:t>17.报价</w:t>
      </w:r>
    </w:p>
    <w:p w14:paraId="302F9FF2">
      <w:pPr>
        <w:spacing w:line="360" w:lineRule="auto"/>
        <w:ind w:firstLine="550"/>
        <w:rPr>
          <w:rFonts w:ascii="宋体" w:hAnsi="宋体" w:cs="宋体"/>
          <w:sz w:val="24"/>
        </w:rPr>
      </w:pPr>
      <w:r>
        <w:rPr>
          <w:rFonts w:hint="eastAsia" w:ascii="宋体" w:hAnsi="宋体" w:cs="宋体"/>
          <w:sz w:val="24"/>
        </w:rPr>
        <w:t>17.1投标人应以“包”为报价的基本单位。若整个需求分为若干包，则投标人可选择其中的部分或所有包报价。包内所有项目均应报价（免费赠送的除外），否则将导致投标无效。</w:t>
      </w:r>
    </w:p>
    <w:p w14:paraId="174BFC00">
      <w:pPr>
        <w:spacing w:line="360" w:lineRule="auto"/>
        <w:ind w:firstLine="550"/>
        <w:rPr>
          <w:rFonts w:ascii="宋体" w:hAnsi="宋体" w:cs="宋体"/>
          <w:sz w:val="24"/>
        </w:rPr>
      </w:pPr>
      <w:r>
        <w:rPr>
          <w:rFonts w:hint="eastAsia" w:ascii="宋体" w:hAnsi="宋体" w:cs="宋体"/>
          <w:sz w:val="24"/>
        </w:rPr>
        <w:t>17.2投标人的报价应包含所投货物、保险、税费、包装、加工及加工损耗、运输、现场落地、安装及安装损耗、调试、检测验收和交付后约定期限内免费维保等工作所发生的一切应有费用。投标报价为签订合同的依据。</w:t>
      </w:r>
    </w:p>
    <w:p w14:paraId="4B30E572">
      <w:pPr>
        <w:spacing w:line="360" w:lineRule="auto"/>
        <w:ind w:firstLine="550"/>
        <w:rPr>
          <w:rFonts w:ascii="宋体" w:hAnsi="宋体" w:cs="宋体"/>
          <w:sz w:val="24"/>
        </w:rPr>
      </w:pPr>
      <w:r>
        <w:rPr>
          <w:rFonts w:hint="eastAsia" w:ascii="宋体" w:hAnsi="宋体" w:cs="宋体"/>
          <w:sz w:val="24"/>
        </w:rPr>
        <w:t>17.3投标人应在投标文件中注明拟提供货物的单价明细和总价。</w:t>
      </w:r>
    </w:p>
    <w:p w14:paraId="413A0CF2">
      <w:pPr>
        <w:spacing w:line="360" w:lineRule="auto"/>
        <w:ind w:firstLine="550"/>
        <w:rPr>
          <w:rFonts w:ascii="宋体" w:hAnsi="宋体" w:cs="宋体"/>
          <w:sz w:val="24"/>
        </w:rPr>
      </w:pPr>
      <w:r>
        <w:rPr>
          <w:rFonts w:hint="eastAsia" w:ascii="宋体" w:hAnsi="宋体" w:cs="宋体"/>
          <w:sz w:val="24"/>
        </w:rPr>
        <w:t>17.4除非招标文件另有规定，每一包只允许有一个最终报价，任何有选择的报价或替代方案将导致投标无效。</w:t>
      </w:r>
    </w:p>
    <w:p w14:paraId="6231BD31">
      <w:pPr>
        <w:spacing w:line="360" w:lineRule="auto"/>
        <w:ind w:firstLine="550"/>
        <w:rPr>
          <w:rFonts w:ascii="宋体" w:hAnsi="宋体" w:cs="宋体"/>
          <w:sz w:val="24"/>
        </w:rPr>
      </w:pPr>
      <w:r>
        <w:rPr>
          <w:rFonts w:hint="eastAsia" w:ascii="宋体" w:hAnsi="宋体" w:cs="宋体"/>
          <w:sz w:val="24"/>
        </w:rPr>
        <w:t>17.5采购人不建议投标人采用总价优惠或以总价百分比优惠的方式进行投标报价，其优惠可直接计算并体现在各项投标报价的单价中。</w:t>
      </w:r>
    </w:p>
    <w:p w14:paraId="2B3A8C39">
      <w:pPr>
        <w:spacing w:line="360" w:lineRule="auto"/>
        <w:ind w:firstLine="550"/>
        <w:rPr>
          <w:rFonts w:ascii="宋体" w:hAnsi="宋体" w:cs="宋体"/>
          <w:sz w:val="24"/>
        </w:rPr>
      </w:pPr>
      <w:r>
        <w:rPr>
          <w:rFonts w:hint="eastAsia" w:ascii="宋体" w:hAnsi="宋体" w:cs="宋体"/>
          <w:sz w:val="24"/>
        </w:rPr>
        <w:t>17.6除政策性文件规定以外，投标人所报价格在合同实施期间不因市场变化因素而变动。</w:t>
      </w:r>
    </w:p>
    <w:p w14:paraId="7F7F3E62">
      <w:pPr>
        <w:spacing w:line="360" w:lineRule="auto"/>
        <w:ind w:firstLine="549"/>
        <w:rPr>
          <w:rFonts w:ascii="宋体" w:hAnsi="宋体" w:cs="宋体"/>
          <w:b/>
          <w:bCs/>
          <w:sz w:val="24"/>
        </w:rPr>
      </w:pPr>
      <w:r>
        <w:rPr>
          <w:rFonts w:hint="eastAsia" w:ascii="宋体" w:hAnsi="宋体" w:cs="宋体"/>
          <w:b/>
          <w:bCs/>
          <w:sz w:val="24"/>
        </w:rPr>
        <w:t>18.投标内容填写及说明</w:t>
      </w:r>
    </w:p>
    <w:p w14:paraId="65A6DD7D">
      <w:pPr>
        <w:spacing w:line="360" w:lineRule="auto"/>
        <w:ind w:firstLine="549"/>
        <w:rPr>
          <w:rFonts w:ascii="宋体" w:hAnsi="宋体" w:cs="宋体"/>
          <w:sz w:val="24"/>
          <w:highlight w:val="none"/>
          <w:u w:val="single"/>
        </w:rPr>
      </w:pPr>
      <w:r>
        <w:rPr>
          <w:rFonts w:hint="eastAsia" w:ascii="宋体" w:hAnsi="宋体" w:cs="宋体"/>
          <w:sz w:val="24"/>
        </w:rPr>
        <w:t>18.1</w:t>
      </w:r>
      <w:r>
        <w:rPr>
          <w:rFonts w:hint="eastAsia" w:ascii="宋体" w:hAnsi="宋体" w:cs="宋体"/>
          <w:sz w:val="24"/>
          <w:highlight w:val="none"/>
        </w:rPr>
        <w:t>投标文件须对招标文件载明的投标资格、技术、资信、服务、报价等全部要求和条件做出实质性和完整的响应，如果投标文件填报的内容资料不详，或没有提供招标文件中所要求的全部资料、证明及数据，将导致投标无效。</w:t>
      </w:r>
    </w:p>
    <w:p w14:paraId="6973F490">
      <w:pPr>
        <w:spacing w:line="360" w:lineRule="auto"/>
        <w:ind w:firstLine="549"/>
        <w:rPr>
          <w:rFonts w:ascii="宋体" w:hAnsi="宋体" w:cs="宋体"/>
          <w:sz w:val="24"/>
        </w:rPr>
      </w:pPr>
      <w:r>
        <w:rPr>
          <w:rFonts w:hint="eastAsia" w:ascii="宋体" w:hAnsi="宋体" w:cs="宋体"/>
          <w:sz w:val="24"/>
        </w:rPr>
        <w:t>18.2投标人应在投标文件中提交招标文件要求的有关证明文件（扫描或影印件上传），作为其投标文件的一部分。</w:t>
      </w:r>
    </w:p>
    <w:p w14:paraId="0AA6ABC2">
      <w:pPr>
        <w:spacing w:line="360" w:lineRule="auto"/>
        <w:ind w:firstLine="549"/>
        <w:rPr>
          <w:rFonts w:ascii="宋体" w:hAnsi="宋体" w:cs="宋体"/>
          <w:sz w:val="24"/>
        </w:rPr>
      </w:pPr>
      <w:r>
        <w:rPr>
          <w:rFonts w:hint="eastAsia" w:ascii="宋体" w:hAnsi="宋体" w:cs="宋体"/>
          <w:sz w:val="24"/>
        </w:rPr>
        <w:t>18.3投标人应在投标文件中提交（以扫描件或影印件上传）招标文件要求的所有货物的合格性以及符合招标文件规定的证明文件（可以是手册、图纸和资料）等，并作为其投标文件的一部分。包括：</w:t>
      </w:r>
    </w:p>
    <w:p w14:paraId="6A6EC668">
      <w:pPr>
        <w:spacing w:line="360" w:lineRule="auto"/>
        <w:ind w:firstLine="523" w:firstLineChars="218"/>
        <w:rPr>
          <w:rFonts w:ascii="宋体" w:hAnsi="宋体" w:cs="宋体"/>
          <w:sz w:val="24"/>
        </w:rPr>
      </w:pPr>
      <w:r>
        <w:rPr>
          <w:rFonts w:hint="eastAsia" w:ascii="宋体" w:hAnsi="宋体" w:cs="宋体"/>
          <w:sz w:val="24"/>
        </w:rPr>
        <w:t>18.3.1货物主要性能（内容）的详细描述；</w:t>
      </w:r>
    </w:p>
    <w:p w14:paraId="475655C2">
      <w:pPr>
        <w:spacing w:line="360" w:lineRule="auto"/>
        <w:ind w:firstLine="523" w:firstLineChars="218"/>
        <w:rPr>
          <w:rFonts w:ascii="宋体" w:hAnsi="宋体" w:cs="宋体"/>
          <w:sz w:val="24"/>
        </w:rPr>
      </w:pPr>
      <w:r>
        <w:rPr>
          <w:rFonts w:hint="eastAsia" w:ascii="宋体" w:hAnsi="宋体" w:cs="宋体"/>
          <w:sz w:val="24"/>
        </w:rPr>
        <w:t>18.3.2保证所投货物正常、安全、连续运行期间所需的所有备品、备件及专用工具的详细清单。</w:t>
      </w:r>
    </w:p>
    <w:p w14:paraId="56F4AEDE">
      <w:pPr>
        <w:spacing w:line="360" w:lineRule="auto"/>
        <w:ind w:firstLine="523" w:firstLineChars="218"/>
        <w:rPr>
          <w:rFonts w:ascii="宋体" w:hAnsi="宋体" w:cs="宋体"/>
          <w:sz w:val="24"/>
        </w:rPr>
      </w:pPr>
      <w:r>
        <w:rPr>
          <w:rFonts w:hint="eastAsia" w:ascii="宋体" w:hAnsi="宋体" w:cs="宋体"/>
          <w:sz w:val="24"/>
        </w:rPr>
        <w:t>18.4投标文件应编排有序、内容齐全、不得任意涂改或增删。如有错漏处必须修改，应在修改处加盖投标人电子公章。</w:t>
      </w:r>
    </w:p>
    <w:p w14:paraId="630F435B">
      <w:pPr>
        <w:spacing w:line="360" w:lineRule="auto"/>
        <w:ind w:firstLine="549"/>
        <w:rPr>
          <w:rFonts w:ascii="宋体" w:hAnsi="宋体" w:cs="宋体"/>
          <w:b/>
          <w:sz w:val="24"/>
        </w:rPr>
      </w:pPr>
      <w:r>
        <w:rPr>
          <w:rFonts w:hint="eastAsia" w:ascii="宋体" w:hAnsi="宋体" w:cs="宋体"/>
          <w:b/>
          <w:sz w:val="24"/>
        </w:rPr>
        <w:t>19.投标保证金（免收）</w:t>
      </w:r>
    </w:p>
    <w:p w14:paraId="09C15471">
      <w:pPr>
        <w:spacing w:line="360" w:lineRule="auto"/>
        <w:ind w:firstLine="550"/>
        <w:rPr>
          <w:rFonts w:ascii="宋体" w:hAnsi="宋体" w:cs="宋体"/>
          <w:b/>
          <w:sz w:val="24"/>
        </w:rPr>
      </w:pPr>
      <w:r>
        <w:rPr>
          <w:rFonts w:hint="eastAsia" w:ascii="宋体" w:hAnsi="宋体" w:cs="宋体"/>
          <w:b/>
          <w:sz w:val="24"/>
        </w:rPr>
        <w:t>20.投标有效期</w:t>
      </w:r>
    </w:p>
    <w:p w14:paraId="44B1503E">
      <w:pPr>
        <w:spacing w:line="360" w:lineRule="auto"/>
        <w:ind w:firstLine="550"/>
        <w:rPr>
          <w:rFonts w:ascii="宋体" w:hAnsi="宋体" w:cs="宋体"/>
          <w:sz w:val="24"/>
        </w:rPr>
      </w:pPr>
      <w:r>
        <w:rPr>
          <w:rFonts w:hint="eastAsia" w:ascii="宋体" w:hAnsi="宋体" w:cs="宋体"/>
          <w:sz w:val="24"/>
        </w:rPr>
        <w:t>20.1为保证采购人有足够的时间完成评标和与中标人签订合同，规定投标有效期。投标有效期期限见投标人须知前附表。</w:t>
      </w:r>
    </w:p>
    <w:p w14:paraId="451B278F">
      <w:pPr>
        <w:spacing w:line="360" w:lineRule="auto"/>
        <w:ind w:firstLine="550"/>
        <w:rPr>
          <w:rFonts w:ascii="宋体" w:hAnsi="宋体" w:cs="宋体"/>
          <w:sz w:val="24"/>
        </w:rPr>
      </w:pPr>
      <w:r>
        <w:rPr>
          <w:rFonts w:hint="eastAsia" w:ascii="宋体" w:hAnsi="宋体" w:cs="宋体"/>
          <w:sz w:val="24"/>
        </w:rPr>
        <w:t>20.2在投标有效期内，投标人的投标保持有效，投标人不得要求撤销或修改其投标文件。</w:t>
      </w:r>
    </w:p>
    <w:p w14:paraId="79BF0A26">
      <w:pPr>
        <w:spacing w:line="360" w:lineRule="auto"/>
        <w:ind w:firstLine="550"/>
        <w:rPr>
          <w:rFonts w:ascii="宋体" w:hAnsi="宋体" w:cs="宋体"/>
          <w:sz w:val="24"/>
        </w:rPr>
      </w:pPr>
      <w:r>
        <w:rPr>
          <w:rFonts w:hint="eastAsia" w:ascii="宋体" w:hAnsi="宋体" w:cs="宋体"/>
          <w:sz w:val="24"/>
        </w:rPr>
        <w:t>20.3投标有效期从投标截止日起计算。</w:t>
      </w:r>
    </w:p>
    <w:p w14:paraId="7EFB7910">
      <w:pPr>
        <w:spacing w:line="360" w:lineRule="auto"/>
        <w:ind w:firstLine="550"/>
        <w:rPr>
          <w:rFonts w:ascii="宋体" w:hAnsi="宋体" w:cs="宋体"/>
          <w:sz w:val="24"/>
        </w:rPr>
      </w:pPr>
      <w:r>
        <w:rPr>
          <w:rFonts w:hint="eastAsia" w:ascii="宋体" w:hAnsi="宋体" w:cs="宋体"/>
          <w:sz w:val="24"/>
        </w:rPr>
        <w:t>20.4在原定投标有效期满之前，如果出现特殊情况，</w:t>
      </w:r>
      <w:r>
        <w:rPr>
          <w:rFonts w:hint="eastAsia" w:ascii="宋体" w:hAnsi="宋体" w:cs="宋体"/>
          <w:bCs/>
          <w:sz w:val="24"/>
        </w:rPr>
        <w:t>采购人</w:t>
      </w:r>
      <w:r>
        <w:rPr>
          <w:rFonts w:hint="eastAsia" w:ascii="宋体" w:hAnsi="宋体" w:cs="宋体"/>
          <w:sz w:val="24"/>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79C15146">
      <w:pPr>
        <w:spacing w:line="360" w:lineRule="auto"/>
        <w:ind w:firstLine="550"/>
        <w:rPr>
          <w:rFonts w:ascii="宋体" w:hAnsi="宋体" w:cs="宋体"/>
          <w:b/>
          <w:sz w:val="24"/>
        </w:rPr>
      </w:pPr>
      <w:r>
        <w:rPr>
          <w:rFonts w:hint="eastAsia" w:ascii="宋体" w:hAnsi="宋体" w:cs="宋体"/>
          <w:b/>
          <w:sz w:val="24"/>
        </w:rPr>
        <w:t>21.投标文件份数和签署</w:t>
      </w:r>
    </w:p>
    <w:p w14:paraId="70CAC10D">
      <w:pPr>
        <w:spacing w:line="360" w:lineRule="auto"/>
        <w:ind w:firstLine="550"/>
        <w:rPr>
          <w:rFonts w:ascii="宋体" w:hAnsi="宋体" w:cs="宋体"/>
          <w:sz w:val="24"/>
        </w:rPr>
      </w:pPr>
      <w:r>
        <w:rPr>
          <w:rFonts w:hint="eastAsia" w:ascii="宋体" w:hAnsi="宋体" w:cs="宋体"/>
          <w:sz w:val="24"/>
        </w:rPr>
        <w:t>21.1 投标人应按照投标人须知前附表的要求准备投标文件。</w:t>
      </w:r>
    </w:p>
    <w:p w14:paraId="732FC9F3">
      <w:pPr>
        <w:spacing w:line="360" w:lineRule="auto"/>
        <w:ind w:firstLine="550"/>
        <w:rPr>
          <w:rFonts w:ascii="宋体" w:hAnsi="宋体" w:cs="宋体"/>
          <w:b/>
          <w:sz w:val="24"/>
        </w:rPr>
      </w:pPr>
      <w:r>
        <w:rPr>
          <w:rFonts w:hint="eastAsia" w:ascii="宋体" w:hAnsi="宋体" w:cs="宋体"/>
          <w:sz w:val="24"/>
        </w:rPr>
        <w:t>21.2投标文件均应依招标文件要求加盖投标人签章</w:t>
      </w:r>
      <w:r>
        <w:rPr>
          <w:rFonts w:hint="eastAsia" w:ascii="宋体" w:hAnsi="宋体" w:cs="宋体"/>
          <w:b/>
          <w:sz w:val="24"/>
        </w:rPr>
        <w:t>。</w:t>
      </w:r>
    </w:p>
    <w:p w14:paraId="58A56FEE">
      <w:pPr>
        <w:pStyle w:val="5"/>
        <w:spacing w:line="360" w:lineRule="auto"/>
        <w:ind w:firstLine="2715" w:firstLineChars="966"/>
        <w:jc w:val="both"/>
        <w:rPr>
          <w:rFonts w:hAnsi="宋体" w:cs="宋体"/>
          <w:sz w:val="28"/>
        </w:rPr>
      </w:pPr>
      <w:bookmarkStart w:id="101" w:name="_Hlt509650572"/>
      <w:bookmarkEnd w:id="101"/>
      <w:bookmarkStart w:id="102" w:name="_Toc40975445"/>
      <w:bookmarkStart w:id="103" w:name="_Toc527725925"/>
      <w:r>
        <w:rPr>
          <w:rFonts w:hint="eastAsia" w:hAnsi="宋体" w:cs="宋体"/>
          <w:sz w:val="28"/>
        </w:rPr>
        <w:t>四．投标文件的递交</w:t>
      </w:r>
      <w:bookmarkEnd w:id="102"/>
      <w:bookmarkEnd w:id="103"/>
      <w:bookmarkStart w:id="104" w:name="_Hlt509649414"/>
      <w:bookmarkEnd w:id="104"/>
    </w:p>
    <w:p w14:paraId="47FDD125">
      <w:pPr>
        <w:spacing w:line="360" w:lineRule="auto"/>
        <w:ind w:firstLine="550"/>
        <w:rPr>
          <w:rFonts w:ascii="宋体" w:hAnsi="宋体" w:cs="宋体"/>
          <w:b/>
          <w:sz w:val="24"/>
        </w:rPr>
      </w:pPr>
      <w:r>
        <w:rPr>
          <w:rFonts w:hint="eastAsia" w:ascii="宋体" w:hAnsi="宋体" w:cs="宋体"/>
          <w:b/>
          <w:sz w:val="24"/>
        </w:rPr>
        <w:t>22.投标文件的密封和标记</w:t>
      </w:r>
    </w:p>
    <w:p w14:paraId="0D99EF26">
      <w:pPr>
        <w:spacing w:line="360" w:lineRule="auto"/>
        <w:ind w:firstLine="550"/>
        <w:rPr>
          <w:rFonts w:ascii="宋体" w:hAnsi="宋体" w:cs="宋体"/>
          <w:sz w:val="24"/>
        </w:rPr>
      </w:pPr>
      <w:r>
        <w:rPr>
          <w:rFonts w:hint="eastAsia" w:ascii="宋体" w:hAnsi="宋体" w:cs="宋体"/>
          <w:sz w:val="24"/>
        </w:rPr>
        <w:t>加密的电子投标文件的递交，见周口市公共资源交易中心网站下载中心版块《投标单位-电子投标文件视频制作手册》的相关规定。</w:t>
      </w:r>
    </w:p>
    <w:p w14:paraId="6948A95B">
      <w:pPr>
        <w:spacing w:line="360" w:lineRule="auto"/>
        <w:ind w:firstLine="550"/>
        <w:rPr>
          <w:rFonts w:ascii="宋体" w:hAnsi="宋体" w:cs="宋体"/>
          <w:b/>
          <w:sz w:val="24"/>
        </w:rPr>
      </w:pPr>
      <w:r>
        <w:rPr>
          <w:rFonts w:hint="eastAsia" w:ascii="宋体" w:hAnsi="宋体" w:cs="宋体"/>
          <w:b/>
          <w:sz w:val="24"/>
        </w:rPr>
        <w:t xml:space="preserve">23.投标文件的递交 </w:t>
      </w:r>
    </w:p>
    <w:p w14:paraId="75A4F493">
      <w:pPr>
        <w:spacing w:line="360" w:lineRule="auto"/>
        <w:ind w:firstLine="550"/>
        <w:rPr>
          <w:rFonts w:ascii="宋体" w:hAnsi="宋体" w:cs="宋体"/>
          <w:sz w:val="24"/>
        </w:rPr>
      </w:pPr>
      <w:r>
        <w:rPr>
          <w:rFonts w:hint="eastAsia" w:ascii="宋体" w:hAnsi="宋体" w:cs="宋体"/>
          <w:sz w:val="24"/>
        </w:rPr>
        <w:t>23.1投标人应当在招标文件要求提交投标文件的截止时间前网上投标。</w:t>
      </w:r>
    </w:p>
    <w:p w14:paraId="73ADD27E">
      <w:pPr>
        <w:spacing w:line="360" w:lineRule="auto"/>
        <w:ind w:firstLine="550"/>
        <w:rPr>
          <w:rFonts w:ascii="宋体" w:hAnsi="宋体" w:cs="宋体"/>
          <w:sz w:val="24"/>
        </w:rPr>
      </w:pPr>
      <w:r>
        <w:rPr>
          <w:rFonts w:hint="eastAsia" w:ascii="宋体" w:hAnsi="宋体" w:cs="宋体"/>
          <w:sz w:val="24"/>
        </w:rPr>
        <w:t>23.2在招标文件要求提交投标文件的截止时间之后制作上传的投标文件为无效投标文件，</w:t>
      </w:r>
      <w:r>
        <w:rPr>
          <w:rFonts w:hint="eastAsia" w:ascii="宋体" w:hAnsi="宋体" w:cs="宋体"/>
          <w:bCs/>
          <w:sz w:val="24"/>
        </w:rPr>
        <w:t>采购人</w:t>
      </w:r>
      <w:r>
        <w:rPr>
          <w:rFonts w:hint="eastAsia" w:ascii="宋体" w:hAnsi="宋体" w:cs="宋体"/>
          <w:sz w:val="24"/>
        </w:rPr>
        <w:t>将拒绝接收。</w:t>
      </w:r>
    </w:p>
    <w:p w14:paraId="6D73B9A6">
      <w:pPr>
        <w:spacing w:line="360" w:lineRule="auto"/>
        <w:ind w:firstLine="550"/>
        <w:rPr>
          <w:rFonts w:ascii="宋体" w:hAnsi="宋体" w:cs="宋体"/>
          <w:b/>
          <w:sz w:val="24"/>
        </w:rPr>
      </w:pPr>
      <w:r>
        <w:rPr>
          <w:rFonts w:hint="eastAsia" w:ascii="宋体" w:hAnsi="宋体" w:cs="宋体"/>
          <w:b/>
          <w:sz w:val="24"/>
        </w:rPr>
        <w:t>24.投标文件的修改和撤回</w:t>
      </w:r>
    </w:p>
    <w:p w14:paraId="31550B48">
      <w:pPr>
        <w:spacing w:line="360" w:lineRule="auto"/>
        <w:ind w:firstLine="550"/>
        <w:rPr>
          <w:rFonts w:ascii="宋体" w:hAnsi="宋体" w:cs="宋体"/>
          <w:sz w:val="24"/>
        </w:rPr>
      </w:pPr>
      <w:r>
        <w:rPr>
          <w:rFonts w:hint="eastAsia" w:ascii="宋体" w:hAnsi="宋体" w:cs="宋体"/>
          <w:sz w:val="24"/>
        </w:rPr>
        <w:t>投标截止日期前，投标人可以修改或撤回其投标文件；在投标截止时间后，投标人不得再要求修改或撤回其投标文件。</w:t>
      </w:r>
    </w:p>
    <w:p w14:paraId="373FC0C5">
      <w:pPr>
        <w:pStyle w:val="5"/>
        <w:spacing w:line="360" w:lineRule="auto"/>
        <w:ind w:firstLine="2996" w:firstLineChars="1066"/>
        <w:jc w:val="both"/>
        <w:rPr>
          <w:rFonts w:hAnsi="宋体" w:cs="宋体"/>
          <w:sz w:val="28"/>
        </w:rPr>
      </w:pPr>
      <w:bookmarkStart w:id="105" w:name="_Hlt509649294"/>
      <w:bookmarkEnd w:id="105"/>
      <w:bookmarkStart w:id="106" w:name="_Toc527725926"/>
      <w:bookmarkStart w:id="107" w:name="_Toc40975446"/>
      <w:r>
        <w:rPr>
          <w:rFonts w:hint="eastAsia" w:hAnsi="宋体" w:cs="宋体"/>
          <w:sz w:val="28"/>
        </w:rPr>
        <w:t>五．开标与评标</w:t>
      </w:r>
      <w:bookmarkEnd w:id="106"/>
      <w:bookmarkEnd w:id="107"/>
    </w:p>
    <w:p w14:paraId="1729CCCE">
      <w:pPr>
        <w:snapToGrid w:val="0"/>
        <w:spacing w:line="300" w:lineRule="auto"/>
        <w:ind w:firstLine="550"/>
        <w:rPr>
          <w:rFonts w:ascii="宋体" w:hAnsi="宋体" w:cs="宋体"/>
          <w:b/>
          <w:sz w:val="24"/>
          <w:szCs w:val="24"/>
        </w:rPr>
      </w:pPr>
      <w:r>
        <w:rPr>
          <w:rFonts w:hint="eastAsia" w:ascii="宋体" w:hAnsi="宋体" w:cs="宋体"/>
          <w:b/>
          <w:sz w:val="24"/>
          <w:szCs w:val="24"/>
        </w:rPr>
        <w:t>25.开标</w:t>
      </w:r>
    </w:p>
    <w:p w14:paraId="365CC783">
      <w:pPr>
        <w:spacing w:line="360" w:lineRule="auto"/>
        <w:ind w:firstLine="549"/>
        <w:rPr>
          <w:rFonts w:ascii="宋体" w:hAnsi="宋体" w:cs="宋体"/>
          <w:bCs/>
          <w:sz w:val="24"/>
        </w:rPr>
      </w:pPr>
      <w:r>
        <w:rPr>
          <w:rFonts w:hint="eastAsia" w:ascii="宋体" w:hAnsi="宋体" w:cs="宋体"/>
          <w:bCs/>
          <w:sz w:val="24"/>
        </w:rPr>
        <w:t>25.1本项目实行网上远程开标无须到现场提交投标文件。投标文件提交及解密详见周口市公共资源交易中心网</w:t>
      </w:r>
      <w:r>
        <w:rPr>
          <w:rFonts w:hint="eastAsia" w:ascii="宋体" w:hAnsi="宋体" w:cs="宋体"/>
          <w:sz w:val="24"/>
          <w:szCs w:val="24"/>
        </w:rPr>
        <w:t>办事指南《不见面开标远程在线解密会员端操作手册操作指南》</w:t>
      </w:r>
    </w:p>
    <w:p w14:paraId="48BDE8CF">
      <w:pPr>
        <w:spacing w:line="360" w:lineRule="auto"/>
        <w:ind w:firstLine="549"/>
        <w:jc w:val="left"/>
        <w:rPr>
          <w:rFonts w:ascii="宋体" w:hAnsi="宋体" w:cs="宋体"/>
          <w:bCs/>
          <w:sz w:val="24"/>
        </w:rPr>
      </w:pPr>
      <w:r>
        <w:rPr>
          <w:rFonts w:hint="eastAsia" w:ascii="宋体" w:hAnsi="宋体" w:cs="宋体"/>
          <w:bCs/>
          <w:sz w:val="24"/>
        </w:rPr>
        <w:t>25.2开标时，各投标单位应在规定时间内对本单位的投标文件现场解密，项目负责人在监督员或公证员监督下解密所有投标文件。在解密投标文件开始时30分钟内进行解密，超时视为放弃递交投标文件。</w:t>
      </w:r>
    </w:p>
    <w:p w14:paraId="462F7DA6">
      <w:pPr>
        <w:spacing w:line="360" w:lineRule="auto"/>
        <w:ind w:firstLine="549"/>
        <w:rPr>
          <w:rFonts w:ascii="宋体" w:hAnsi="宋体" w:cs="宋体"/>
          <w:bCs/>
          <w:sz w:val="24"/>
        </w:rPr>
      </w:pPr>
      <w:r>
        <w:rPr>
          <w:rFonts w:hint="eastAsia" w:ascii="宋体" w:hAnsi="宋体" w:cs="宋体"/>
          <w:bCs/>
          <w:sz w:val="24"/>
        </w:rPr>
        <w:t>25.3投标资格及投标文件的法律文本将由评审委员会在评标前进行审查。资格不符合招标文件要求和相关法律规定的，投标无效。</w:t>
      </w:r>
    </w:p>
    <w:p w14:paraId="506EB2EE">
      <w:pPr>
        <w:spacing w:line="360" w:lineRule="auto"/>
        <w:ind w:firstLine="549"/>
        <w:rPr>
          <w:rFonts w:ascii="宋体" w:hAnsi="宋体" w:cs="宋体"/>
          <w:bCs/>
          <w:sz w:val="24"/>
        </w:rPr>
      </w:pPr>
      <w:r>
        <w:rPr>
          <w:rFonts w:hint="eastAsia" w:ascii="宋体" w:hAnsi="宋体" w:cs="宋体"/>
          <w:bCs/>
          <w:sz w:val="24"/>
        </w:rPr>
        <w:t>25.4开标时，周口市公共资源交易中心政府采购中心将通过网上开标系统公布投标人名称、投标价格，以及周口市公共资源交易中心政府采购中心认为合适的其它详细内容。</w:t>
      </w:r>
    </w:p>
    <w:p w14:paraId="2509E275">
      <w:pPr>
        <w:spacing w:line="360" w:lineRule="auto"/>
        <w:ind w:firstLine="549"/>
        <w:rPr>
          <w:rFonts w:ascii="宋体" w:hAnsi="宋体" w:cs="宋体"/>
          <w:b/>
          <w:sz w:val="24"/>
        </w:rPr>
      </w:pPr>
      <w:r>
        <w:rPr>
          <w:rFonts w:hint="eastAsia" w:ascii="宋体" w:hAnsi="宋体" w:cs="宋体"/>
          <w:b/>
          <w:sz w:val="24"/>
        </w:rPr>
        <w:t>26.投标文件的澄清、说明或补正</w:t>
      </w:r>
    </w:p>
    <w:p w14:paraId="225C5FAE">
      <w:pPr>
        <w:spacing w:line="360" w:lineRule="auto"/>
        <w:ind w:firstLine="549"/>
        <w:rPr>
          <w:rFonts w:ascii="宋体" w:hAnsi="宋体" w:cs="宋体"/>
          <w:bCs/>
          <w:sz w:val="24"/>
        </w:rPr>
      </w:pPr>
      <w:r>
        <w:rPr>
          <w:rFonts w:hint="eastAsia" w:ascii="宋体" w:hAnsi="宋体" w:cs="宋体"/>
          <w:bCs/>
          <w:sz w:val="24"/>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14:paraId="2BA929E5">
      <w:pPr>
        <w:spacing w:line="360" w:lineRule="auto"/>
        <w:ind w:firstLine="549"/>
        <w:rPr>
          <w:rFonts w:ascii="宋体" w:hAnsi="宋体" w:cs="宋体"/>
          <w:sz w:val="24"/>
        </w:rPr>
      </w:pPr>
      <w:r>
        <w:rPr>
          <w:rFonts w:hint="eastAsia" w:ascii="宋体" w:hAnsi="宋体" w:cs="宋体"/>
          <w:sz w:val="24"/>
        </w:rPr>
        <w:t>26.2投标文件中大写金额和小写金额不一致的，以大写金额为准；总价金额与按单价汇总金额不一致的，以单价金额计算结果为准；单价金额小数点有明显错位的，应以总价为准，并修改单价。</w:t>
      </w:r>
    </w:p>
    <w:p w14:paraId="29241440">
      <w:pPr>
        <w:spacing w:line="360" w:lineRule="auto"/>
        <w:ind w:firstLine="549"/>
        <w:rPr>
          <w:rFonts w:ascii="宋体" w:hAnsi="宋体" w:cs="宋体"/>
          <w:bCs/>
          <w:sz w:val="24"/>
        </w:rPr>
      </w:pPr>
      <w:r>
        <w:rPr>
          <w:rFonts w:hint="eastAsia" w:ascii="宋体" w:hAnsi="宋体" w:cs="宋体"/>
          <w:sz w:val="24"/>
        </w:rPr>
        <w:t>26.3</w:t>
      </w:r>
      <w:r>
        <w:rPr>
          <w:rFonts w:hint="eastAsia" w:ascii="宋体" w:hAnsi="宋体" w:cs="宋体"/>
          <w:bCs/>
          <w:sz w:val="24"/>
        </w:rPr>
        <w:t>开标一览表内容与投标文件中明细表内容不一致的，以开标一览表为准。</w:t>
      </w:r>
    </w:p>
    <w:p w14:paraId="5E9F4722">
      <w:pPr>
        <w:spacing w:line="360" w:lineRule="auto"/>
        <w:ind w:firstLine="549"/>
        <w:rPr>
          <w:rFonts w:ascii="宋体" w:hAnsi="宋体" w:cs="宋体"/>
          <w:bCs/>
          <w:sz w:val="24"/>
        </w:rPr>
      </w:pPr>
      <w:r>
        <w:rPr>
          <w:rFonts w:hint="eastAsia" w:ascii="宋体" w:hAnsi="宋体" w:cs="宋体"/>
          <w:bCs/>
          <w:sz w:val="24"/>
        </w:rPr>
        <w:t>26.4 如同时出现26.2条和26.3条所述的不一致情况，以开标一览表为准。</w:t>
      </w:r>
    </w:p>
    <w:p w14:paraId="3A0300EF">
      <w:pPr>
        <w:spacing w:line="360" w:lineRule="auto"/>
        <w:ind w:firstLine="549"/>
        <w:rPr>
          <w:rFonts w:ascii="宋体" w:hAnsi="宋体" w:cs="宋体"/>
          <w:b/>
          <w:sz w:val="24"/>
        </w:rPr>
      </w:pPr>
      <w:r>
        <w:rPr>
          <w:rFonts w:hint="eastAsia" w:ascii="宋体" w:hAnsi="宋体" w:cs="宋体"/>
          <w:b/>
          <w:sz w:val="24"/>
        </w:rPr>
        <w:t>27.评标</w:t>
      </w:r>
    </w:p>
    <w:p w14:paraId="02969659">
      <w:pPr>
        <w:spacing w:line="360" w:lineRule="auto"/>
        <w:ind w:firstLine="523" w:firstLineChars="218"/>
        <w:rPr>
          <w:rFonts w:ascii="宋体" w:hAnsi="宋体" w:cs="宋体"/>
          <w:b/>
          <w:sz w:val="24"/>
        </w:rPr>
      </w:pPr>
      <w:r>
        <w:rPr>
          <w:rFonts w:hint="eastAsia" w:ascii="宋体" w:hAnsi="宋体" w:cs="宋体"/>
          <w:sz w:val="24"/>
        </w:rPr>
        <w:t>27.1 评委会将按照招标文件规定的评标办法对投标人独立进行投标评审。投标评审分为符合性审查和综合评分。</w:t>
      </w:r>
    </w:p>
    <w:p w14:paraId="14881CB4">
      <w:pPr>
        <w:spacing w:line="360" w:lineRule="auto"/>
        <w:ind w:firstLine="549"/>
        <w:rPr>
          <w:rFonts w:ascii="宋体" w:hAnsi="宋体" w:cs="宋体"/>
          <w:sz w:val="24"/>
        </w:rPr>
      </w:pPr>
      <w:r>
        <w:rPr>
          <w:rFonts w:hint="eastAsia" w:ascii="宋体" w:hAnsi="宋体" w:cs="宋体"/>
          <w:sz w:val="24"/>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29DBE6F4">
      <w:pPr>
        <w:spacing w:line="360" w:lineRule="auto"/>
        <w:ind w:firstLine="549"/>
        <w:rPr>
          <w:rFonts w:ascii="宋体" w:hAnsi="宋体" w:cs="宋体"/>
          <w:sz w:val="24"/>
        </w:rPr>
      </w:pPr>
      <w:r>
        <w:rPr>
          <w:rFonts w:hint="eastAsia" w:ascii="宋体" w:hAnsi="宋体" w:cs="宋体"/>
          <w:sz w:val="24"/>
        </w:rPr>
        <w:t>有下列情形之一的，评标委员会应当否决其投标：</w:t>
      </w:r>
    </w:p>
    <w:p w14:paraId="28F7C96C">
      <w:pPr>
        <w:spacing w:line="360" w:lineRule="auto"/>
        <w:ind w:firstLine="549"/>
        <w:rPr>
          <w:rFonts w:ascii="宋体" w:hAnsi="宋体" w:cs="宋体"/>
          <w:sz w:val="24"/>
        </w:rPr>
      </w:pPr>
      <w:r>
        <w:rPr>
          <w:rFonts w:hint="eastAsia" w:ascii="宋体" w:hAnsi="宋体" w:cs="宋体"/>
          <w:sz w:val="24"/>
        </w:rPr>
        <w:t>27.2.1投标文件未经投标单位电子签章的；</w:t>
      </w:r>
    </w:p>
    <w:p w14:paraId="409BD82C">
      <w:pPr>
        <w:spacing w:line="360" w:lineRule="auto"/>
        <w:ind w:firstLine="549"/>
        <w:rPr>
          <w:rFonts w:ascii="宋体" w:hAnsi="宋体" w:cs="宋体"/>
          <w:sz w:val="24"/>
        </w:rPr>
      </w:pPr>
      <w:r>
        <w:rPr>
          <w:rFonts w:hint="eastAsia" w:ascii="宋体" w:hAnsi="宋体" w:cs="宋体"/>
          <w:sz w:val="24"/>
        </w:rPr>
        <w:t>27.2.2投标联合体没有提交共同投标协议；</w:t>
      </w:r>
    </w:p>
    <w:p w14:paraId="679949E9">
      <w:pPr>
        <w:spacing w:line="360" w:lineRule="auto"/>
        <w:ind w:firstLine="549"/>
        <w:rPr>
          <w:rFonts w:ascii="宋体" w:hAnsi="宋体" w:cs="宋体"/>
          <w:sz w:val="24"/>
        </w:rPr>
      </w:pPr>
      <w:r>
        <w:rPr>
          <w:rFonts w:hint="eastAsia" w:ascii="宋体" w:hAnsi="宋体" w:cs="宋体"/>
          <w:sz w:val="24"/>
        </w:rPr>
        <w:t>27.2.3投标人不符合国家或者招标文件规定的资格条件；</w:t>
      </w:r>
    </w:p>
    <w:p w14:paraId="5FB0DBD9">
      <w:pPr>
        <w:spacing w:line="360" w:lineRule="auto"/>
        <w:ind w:firstLine="549"/>
        <w:rPr>
          <w:rFonts w:ascii="宋体" w:hAnsi="宋体" w:cs="宋体"/>
          <w:sz w:val="24"/>
        </w:rPr>
      </w:pPr>
      <w:r>
        <w:rPr>
          <w:rFonts w:hint="eastAsia" w:ascii="宋体" w:hAnsi="宋体" w:cs="宋体"/>
          <w:sz w:val="24"/>
        </w:rPr>
        <w:t>27.2.4同一投标人提交两个以上不同的投标文件或者投标报价，但招标文件要求提交备选投标的除外；</w:t>
      </w:r>
    </w:p>
    <w:p w14:paraId="762C34A8">
      <w:pPr>
        <w:spacing w:line="360" w:lineRule="auto"/>
        <w:ind w:firstLine="549"/>
        <w:rPr>
          <w:rFonts w:ascii="宋体" w:hAnsi="宋体" w:cs="宋体"/>
          <w:sz w:val="24"/>
        </w:rPr>
      </w:pPr>
      <w:r>
        <w:rPr>
          <w:rFonts w:hint="eastAsia" w:ascii="宋体" w:hAnsi="宋体" w:cs="宋体"/>
          <w:sz w:val="24"/>
        </w:rPr>
        <w:t>27.2.5投标报价或者某些分项报价明显不合理或者低于成本，有可能影响商品质量和不能诚信履约；</w:t>
      </w:r>
    </w:p>
    <w:p w14:paraId="67B48390">
      <w:pPr>
        <w:spacing w:line="360" w:lineRule="auto"/>
        <w:ind w:firstLine="549"/>
        <w:rPr>
          <w:rFonts w:ascii="宋体" w:hAnsi="宋体" w:cs="宋体"/>
          <w:sz w:val="24"/>
        </w:rPr>
      </w:pPr>
      <w:r>
        <w:rPr>
          <w:rFonts w:hint="eastAsia" w:ascii="宋体" w:hAnsi="宋体" w:cs="宋体"/>
          <w:sz w:val="24"/>
        </w:rPr>
        <w:t>27.2.6投标报价高于招标文件设定的最高投标限价；</w:t>
      </w:r>
    </w:p>
    <w:p w14:paraId="362B98E4">
      <w:pPr>
        <w:spacing w:line="360" w:lineRule="auto"/>
        <w:ind w:firstLine="549"/>
        <w:rPr>
          <w:rFonts w:ascii="宋体" w:hAnsi="宋体" w:cs="宋体"/>
          <w:sz w:val="24"/>
        </w:rPr>
      </w:pPr>
      <w:r>
        <w:rPr>
          <w:rFonts w:hint="eastAsia" w:ascii="宋体" w:hAnsi="宋体" w:cs="宋体"/>
          <w:sz w:val="24"/>
        </w:rPr>
        <w:t>27.2.7投标文件没有对招标文件的实质性要求和条件作出响应；</w:t>
      </w:r>
    </w:p>
    <w:p w14:paraId="7F8B06E9">
      <w:pPr>
        <w:pStyle w:val="43"/>
        <w:ind w:firstLine="480" w:firstLineChars="200"/>
        <w:rPr>
          <w:rFonts w:ascii="宋体" w:hAnsi="宋体" w:cs="宋体"/>
          <w:sz w:val="24"/>
          <w:highlight w:val="none"/>
        </w:rPr>
      </w:pPr>
      <w:r>
        <w:rPr>
          <w:rFonts w:hint="eastAsia" w:ascii="宋体" w:hAnsi="宋体" w:cs="宋体"/>
          <w:sz w:val="24"/>
          <w:highlight w:val="none"/>
        </w:rPr>
        <w:t>27.2.8供应商没有在投标（响应）文件附“廉洁自律承诺书”。</w:t>
      </w:r>
    </w:p>
    <w:p w14:paraId="4A7340C8">
      <w:pPr>
        <w:spacing w:line="360" w:lineRule="auto"/>
        <w:ind w:firstLine="549"/>
        <w:rPr>
          <w:rFonts w:ascii="宋体" w:hAnsi="宋体" w:cs="宋体"/>
          <w:sz w:val="24"/>
        </w:rPr>
      </w:pPr>
      <w:r>
        <w:rPr>
          <w:rFonts w:hint="eastAsia" w:ascii="宋体" w:hAnsi="宋体" w:cs="宋体"/>
          <w:sz w:val="24"/>
        </w:rPr>
        <w:t>27.2.9投标人有串通投标、弄虚作假、行贿等违法行为。</w:t>
      </w:r>
    </w:p>
    <w:p w14:paraId="4FBA8017">
      <w:pPr>
        <w:spacing w:line="360" w:lineRule="auto"/>
        <w:ind w:firstLine="549"/>
        <w:rPr>
          <w:rFonts w:ascii="宋体" w:hAnsi="宋体" w:cs="宋体"/>
          <w:sz w:val="24"/>
        </w:rPr>
      </w:pPr>
      <w:r>
        <w:rPr>
          <w:rFonts w:hint="eastAsia" w:ascii="宋体" w:hAnsi="宋体" w:cs="宋体"/>
          <w:sz w:val="24"/>
        </w:rPr>
        <w:t>27.3如果投标文件未通过投标符合性审查，投标无效。</w:t>
      </w:r>
    </w:p>
    <w:p w14:paraId="4D5D9375">
      <w:pPr>
        <w:spacing w:line="360" w:lineRule="auto"/>
        <w:ind w:firstLine="549"/>
        <w:rPr>
          <w:rFonts w:ascii="宋体" w:hAnsi="宋体" w:cs="宋体"/>
          <w:sz w:val="24"/>
        </w:rPr>
      </w:pPr>
      <w:r>
        <w:rPr>
          <w:rFonts w:hint="eastAsia" w:ascii="宋体" w:hAnsi="宋体" w:cs="宋体"/>
          <w:sz w:val="24"/>
        </w:rPr>
        <w:t>27.4评委会决定投标文件的响应性及符合性只根据投标文件本身的内容，不寻求其他外部证据。</w:t>
      </w:r>
    </w:p>
    <w:p w14:paraId="7FF267B8">
      <w:pPr>
        <w:spacing w:line="360" w:lineRule="auto"/>
        <w:ind w:firstLine="549"/>
        <w:rPr>
          <w:rFonts w:ascii="宋体" w:hAnsi="宋体" w:cs="宋体"/>
          <w:sz w:val="24"/>
        </w:rPr>
      </w:pPr>
      <w:r>
        <w:rPr>
          <w:rFonts w:hint="eastAsia" w:ascii="宋体" w:hAnsi="宋体" w:cs="宋体"/>
          <w:sz w:val="24"/>
        </w:rPr>
        <w:t>27.4.1投标人有串通投标、弄虚作假、行贿等违法行为；</w:t>
      </w:r>
    </w:p>
    <w:p w14:paraId="5A11950B">
      <w:pPr>
        <w:spacing w:line="360" w:lineRule="auto"/>
        <w:ind w:firstLine="549"/>
        <w:rPr>
          <w:rFonts w:ascii="宋体" w:hAnsi="宋体" w:cs="宋体"/>
          <w:sz w:val="24"/>
          <w:highlight w:val="none"/>
        </w:rPr>
      </w:pPr>
      <w:r>
        <w:rPr>
          <w:rFonts w:hint="eastAsia" w:ascii="宋体" w:hAnsi="宋体" w:cs="宋体"/>
          <w:sz w:val="24"/>
          <w:highlight w:val="none"/>
        </w:rPr>
        <w:t>27.4.2投标文件未编制目录及索引的；</w:t>
      </w:r>
    </w:p>
    <w:p w14:paraId="6AAD1C75">
      <w:pPr>
        <w:spacing w:line="360" w:lineRule="auto"/>
        <w:ind w:firstLine="549"/>
        <w:rPr>
          <w:rFonts w:ascii="宋体" w:hAnsi="宋体" w:cs="宋体"/>
          <w:sz w:val="24"/>
          <w:highlight w:val="none"/>
        </w:rPr>
      </w:pPr>
      <w:r>
        <w:rPr>
          <w:rFonts w:hint="eastAsia" w:ascii="宋体" w:hAnsi="宋体" w:cs="宋体"/>
          <w:sz w:val="24"/>
          <w:highlight w:val="none"/>
        </w:rPr>
        <w:t>27.4.3授权委托书中法定代表人和委托代理人未在身份证扫描件正面签字的；</w:t>
      </w:r>
    </w:p>
    <w:p w14:paraId="630BED84">
      <w:pPr>
        <w:spacing w:line="360" w:lineRule="auto"/>
        <w:ind w:firstLine="549"/>
        <w:rPr>
          <w:rFonts w:ascii="宋体" w:hAnsi="宋体" w:cs="宋体"/>
          <w:sz w:val="24"/>
        </w:rPr>
      </w:pPr>
      <w:r>
        <w:rPr>
          <w:rFonts w:hint="eastAsia" w:ascii="宋体" w:hAnsi="宋体" w:cs="宋体"/>
          <w:sz w:val="24"/>
        </w:rPr>
        <w:t>27.4.4如果投标文件未通过投标符合性审查，投标无效。</w:t>
      </w:r>
    </w:p>
    <w:p w14:paraId="3021A7E2">
      <w:pPr>
        <w:spacing w:line="360" w:lineRule="auto"/>
        <w:ind w:firstLine="549"/>
        <w:rPr>
          <w:rFonts w:ascii="宋体" w:hAnsi="宋体" w:cs="宋体"/>
          <w:sz w:val="24"/>
        </w:rPr>
      </w:pPr>
      <w:r>
        <w:rPr>
          <w:rFonts w:hint="eastAsia" w:ascii="宋体" w:hAnsi="宋体" w:cs="宋体"/>
          <w:sz w:val="24"/>
        </w:rPr>
        <w:t>27.4.5评委会决定投标文件的响应性及符合性只根据投标文件本身的内容，不寻求其他外部证据。</w:t>
      </w:r>
    </w:p>
    <w:p w14:paraId="25C9C093">
      <w:pPr>
        <w:spacing w:line="360" w:lineRule="auto"/>
        <w:ind w:firstLine="549"/>
        <w:rPr>
          <w:rFonts w:ascii="宋体" w:hAnsi="宋体" w:cs="宋体"/>
          <w:b/>
          <w:bCs/>
          <w:sz w:val="24"/>
        </w:rPr>
      </w:pPr>
      <w:r>
        <w:rPr>
          <w:rFonts w:hint="eastAsia" w:ascii="宋体" w:hAnsi="宋体" w:cs="宋体"/>
          <w:b/>
          <w:bCs/>
          <w:sz w:val="24"/>
        </w:rPr>
        <w:t>28</w:t>
      </w:r>
      <w:r>
        <w:rPr>
          <w:rFonts w:hint="eastAsia" w:ascii="宋体" w:hAnsi="宋体" w:cs="宋体"/>
          <w:b/>
          <w:sz w:val="24"/>
        </w:rPr>
        <w:t>.</w:t>
      </w:r>
      <w:r>
        <w:rPr>
          <w:rFonts w:hint="eastAsia" w:ascii="宋体" w:hAnsi="宋体" w:cs="宋体"/>
          <w:b/>
          <w:bCs/>
          <w:sz w:val="24"/>
        </w:rPr>
        <w:t>废标处理</w:t>
      </w:r>
    </w:p>
    <w:p w14:paraId="12A97CF0">
      <w:pPr>
        <w:spacing w:line="360" w:lineRule="auto"/>
        <w:ind w:firstLine="549"/>
        <w:rPr>
          <w:rFonts w:ascii="宋体" w:hAnsi="宋体" w:cs="宋体"/>
          <w:sz w:val="24"/>
        </w:rPr>
      </w:pPr>
      <w:r>
        <w:rPr>
          <w:rFonts w:hint="eastAsia" w:ascii="宋体" w:hAnsi="宋体" w:cs="宋体"/>
          <w:sz w:val="24"/>
        </w:rPr>
        <w:t>28.1在招标采购中，出现下列情形之一的，周口市公共资源交易中心政府采购中心有权宣布废标：</w:t>
      </w:r>
    </w:p>
    <w:p w14:paraId="6734CA01">
      <w:pPr>
        <w:spacing w:line="360" w:lineRule="auto"/>
        <w:ind w:firstLine="523" w:firstLineChars="218"/>
        <w:rPr>
          <w:rFonts w:ascii="宋体" w:hAnsi="宋体" w:cs="宋体"/>
          <w:sz w:val="24"/>
        </w:rPr>
      </w:pPr>
      <w:r>
        <w:rPr>
          <w:rFonts w:hint="eastAsia" w:ascii="宋体" w:hAnsi="宋体" w:cs="宋体"/>
          <w:sz w:val="24"/>
        </w:rPr>
        <w:t>28.1.1符合专业条件的投标人或对招标文件作实质响应的投标人不足三家的；</w:t>
      </w:r>
    </w:p>
    <w:p w14:paraId="75F17E51">
      <w:pPr>
        <w:spacing w:line="360" w:lineRule="auto"/>
        <w:ind w:firstLine="523" w:firstLineChars="218"/>
        <w:rPr>
          <w:rFonts w:ascii="宋体" w:hAnsi="宋体" w:cs="宋体"/>
          <w:sz w:val="24"/>
        </w:rPr>
      </w:pPr>
      <w:r>
        <w:rPr>
          <w:rFonts w:hint="eastAsia" w:ascii="宋体" w:hAnsi="宋体" w:cs="宋体"/>
          <w:sz w:val="24"/>
        </w:rPr>
        <w:t>28.1.2投标人的报价均超过采购预算，采购人不能支付的；</w:t>
      </w:r>
    </w:p>
    <w:p w14:paraId="70B6F0EE">
      <w:pPr>
        <w:spacing w:line="360" w:lineRule="auto"/>
        <w:ind w:firstLine="523" w:firstLineChars="218"/>
        <w:rPr>
          <w:rFonts w:ascii="宋体" w:hAnsi="宋体" w:cs="宋体"/>
          <w:sz w:val="24"/>
        </w:rPr>
      </w:pPr>
      <w:r>
        <w:rPr>
          <w:rFonts w:hint="eastAsia" w:ascii="宋体" w:hAnsi="宋体" w:cs="宋体"/>
          <w:sz w:val="24"/>
        </w:rPr>
        <w:t>28.1.3出现影响采购公正的违法、违规行为的；</w:t>
      </w:r>
    </w:p>
    <w:p w14:paraId="679E398E">
      <w:pPr>
        <w:spacing w:line="360" w:lineRule="auto"/>
        <w:ind w:firstLine="523" w:firstLineChars="218"/>
        <w:rPr>
          <w:rFonts w:ascii="宋体" w:hAnsi="宋体" w:cs="宋体"/>
          <w:sz w:val="24"/>
        </w:rPr>
      </w:pPr>
      <w:r>
        <w:rPr>
          <w:rFonts w:hint="eastAsia" w:ascii="宋体" w:hAnsi="宋体" w:cs="宋体"/>
          <w:sz w:val="24"/>
        </w:rPr>
        <w:t>28.1.4因重大变故，采购任务取消的。</w:t>
      </w:r>
    </w:p>
    <w:p w14:paraId="7D146215">
      <w:pPr>
        <w:spacing w:line="360" w:lineRule="auto"/>
        <w:ind w:firstLine="549"/>
        <w:rPr>
          <w:rFonts w:ascii="宋体" w:hAnsi="宋体" w:cs="宋体"/>
          <w:sz w:val="24"/>
        </w:rPr>
      </w:pPr>
      <w:r>
        <w:rPr>
          <w:rFonts w:hint="eastAsia" w:ascii="宋体" w:hAnsi="宋体" w:cs="宋体"/>
          <w:sz w:val="24"/>
        </w:rPr>
        <w:t>废标后，周口市公共资源交易中心政府采购中心会把废标理由通知所有投标人。</w:t>
      </w:r>
    </w:p>
    <w:p w14:paraId="26F1CB1A">
      <w:pPr>
        <w:spacing w:line="360" w:lineRule="auto"/>
        <w:ind w:firstLine="549"/>
        <w:rPr>
          <w:rFonts w:ascii="宋体" w:hAnsi="宋体" w:cs="宋体"/>
          <w:sz w:val="24"/>
        </w:rPr>
      </w:pPr>
      <w:r>
        <w:rPr>
          <w:rFonts w:hint="eastAsia" w:ascii="宋体" w:hAnsi="宋体" w:cs="宋体"/>
          <w:sz w:val="24"/>
        </w:rPr>
        <w:t>28.2 因上条第一款、第二款规定情形导致废标的，若采购人提出申请，报经政府采购监督管理部门批准，可现场改为竞争性谈判，投标人有下列情形之一的，不得参加谈判：</w:t>
      </w:r>
    </w:p>
    <w:p w14:paraId="3FAF7ACD">
      <w:pPr>
        <w:spacing w:line="360" w:lineRule="auto"/>
        <w:ind w:firstLine="523" w:firstLineChars="218"/>
        <w:rPr>
          <w:rFonts w:ascii="宋体" w:hAnsi="宋体" w:cs="宋体"/>
          <w:sz w:val="24"/>
        </w:rPr>
      </w:pPr>
      <w:r>
        <w:rPr>
          <w:rFonts w:hint="eastAsia" w:ascii="宋体" w:hAnsi="宋体" w:cs="宋体"/>
          <w:sz w:val="24"/>
        </w:rPr>
        <w:t>28.2.1放弃参加投标的；</w:t>
      </w:r>
    </w:p>
    <w:p w14:paraId="7285DCDF">
      <w:pPr>
        <w:spacing w:line="360" w:lineRule="auto"/>
        <w:ind w:firstLine="523" w:firstLineChars="218"/>
        <w:rPr>
          <w:rFonts w:ascii="宋体" w:hAnsi="宋体" w:cs="宋体"/>
          <w:sz w:val="24"/>
        </w:rPr>
      </w:pPr>
      <w:r>
        <w:rPr>
          <w:rFonts w:hint="eastAsia" w:ascii="宋体" w:hAnsi="宋体" w:cs="宋体"/>
          <w:sz w:val="24"/>
        </w:rPr>
        <w:t>28.2.2未经周口市公共资源交易中心政府采购中心允许，离开开标现场通知不上的；</w:t>
      </w:r>
    </w:p>
    <w:p w14:paraId="19C4CEAA">
      <w:pPr>
        <w:spacing w:line="360" w:lineRule="auto"/>
        <w:ind w:firstLine="523" w:firstLineChars="218"/>
        <w:rPr>
          <w:rFonts w:ascii="宋体" w:hAnsi="宋体" w:cs="宋体"/>
          <w:sz w:val="24"/>
        </w:rPr>
      </w:pPr>
      <w:r>
        <w:rPr>
          <w:rFonts w:hint="eastAsia" w:ascii="宋体" w:hAnsi="宋体" w:cs="宋体"/>
          <w:sz w:val="24"/>
        </w:rPr>
        <w:t>28.2.3不符合招标文件列明的专业条件的；</w:t>
      </w:r>
    </w:p>
    <w:p w14:paraId="1398AFE8">
      <w:pPr>
        <w:spacing w:line="360" w:lineRule="auto"/>
        <w:ind w:firstLine="523" w:firstLineChars="218"/>
        <w:rPr>
          <w:rFonts w:ascii="宋体" w:hAnsi="宋体" w:cs="宋体"/>
          <w:sz w:val="24"/>
        </w:rPr>
      </w:pPr>
      <w:r>
        <w:rPr>
          <w:rFonts w:hint="eastAsia" w:ascii="宋体" w:hAnsi="宋体" w:cs="宋体"/>
          <w:sz w:val="24"/>
        </w:rPr>
        <w:t>28.2.4未按规定交纳谈判保证金的；</w:t>
      </w:r>
    </w:p>
    <w:p w14:paraId="3F45D0D4">
      <w:pPr>
        <w:spacing w:line="360" w:lineRule="auto"/>
        <w:ind w:firstLine="523" w:firstLineChars="218"/>
        <w:rPr>
          <w:rFonts w:ascii="宋体" w:hAnsi="宋体" w:cs="宋体"/>
          <w:sz w:val="24"/>
        </w:rPr>
      </w:pPr>
      <w:r>
        <w:rPr>
          <w:rFonts w:hint="eastAsia" w:ascii="宋体" w:hAnsi="宋体" w:cs="宋体"/>
          <w:sz w:val="24"/>
        </w:rPr>
        <w:t>28.2.5有影响采购公正的违法、违规行为造成项目废标的；</w:t>
      </w:r>
    </w:p>
    <w:p w14:paraId="1E03C344">
      <w:pPr>
        <w:spacing w:line="360" w:lineRule="auto"/>
        <w:ind w:firstLine="523" w:firstLineChars="218"/>
        <w:rPr>
          <w:rFonts w:ascii="宋体" w:hAnsi="宋体" w:cs="宋体"/>
          <w:sz w:val="24"/>
        </w:rPr>
      </w:pPr>
      <w:r>
        <w:rPr>
          <w:rFonts w:hint="eastAsia" w:ascii="宋体" w:hAnsi="宋体" w:cs="宋体"/>
          <w:sz w:val="24"/>
        </w:rPr>
        <w:t>28.2.6其他不符合竞争性谈判条件的情况。</w:t>
      </w:r>
    </w:p>
    <w:p w14:paraId="5D54D65C">
      <w:pPr>
        <w:spacing w:line="360" w:lineRule="auto"/>
        <w:ind w:firstLine="549"/>
        <w:rPr>
          <w:rFonts w:ascii="宋体" w:hAnsi="宋体" w:cs="宋体"/>
          <w:sz w:val="24"/>
          <w:szCs w:val="24"/>
        </w:rPr>
      </w:pPr>
      <w:r>
        <w:rPr>
          <w:rFonts w:hint="eastAsia" w:ascii="宋体" w:hAnsi="宋体" w:cs="宋体"/>
          <w:sz w:val="24"/>
          <w:szCs w:val="24"/>
        </w:rPr>
        <w:t>28.3采购方式现场改为竞争性谈判时，</w:t>
      </w:r>
      <w:r>
        <w:rPr>
          <w:rFonts w:hint="eastAsia" w:ascii="宋体" w:hAnsi="宋体" w:cs="宋体"/>
          <w:sz w:val="24"/>
        </w:rPr>
        <w:t>周口市公共资源交易中心政府采购中心</w:t>
      </w:r>
      <w:r>
        <w:rPr>
          <w:rFonts w:hint="eastAsia" w:ascii="宋体" w:hAnsi="宋体" w:cs="宋体"/>
          <w:sz w:val="24"/>
          <w:szCs w:val="24"/>
        </w:rPr>
        <w:t>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14:paraId="47E6BDB8">
      <w:pPr>
        <w:spacing w:line="360" w:lineRule="auto"/>
        <w:ind w:firstLine="549"/>
        <w:rPr>
          <w:rFonts w:ascii="宋体" w:hAnsi="宋体" w:cs="宋体"/>
          <w:sz w:val="24"/>
          <w:szCs w:val="24"/>
        </w:rPr>
      </w:pPr>
      <w:r>
        <w:rPr>
          <w:rFonts w:hint="eastAsia" w:ascii="宋体" w:hAnsi="宋体" w:cs="宋体"/>
          <w:sz w:val="24"/>
          <w:szCs w:val="24"/>
        </w:rPr>
        <w:t>28.3.1谈判时，若投标人未能在评委会指定时间内（原则上不超过60分钟）提交符合要求的补充资料或未作出实质性响应的，投标无效。经过审查符合谈判要求的有效投标人少于两家的，谈判做流标处理。</w:t>
      </w:r>
    </w:p>
    <w:p w14:paraId="5E71865C">
      <w:pPr>
        <w:spacing w:line="360" w:lineRule="auto"/>
        <w:ind w:firstLine="549"/>
        <w:rPr>
          <w:rFonts w:ascii="宋体" w:hAnsi="宋体" w:cs="宋体"/>
          <w:sz w:val="24"/>
          <w:szCs w:val="24"/>
        </w:rPr>
      </w:pPr>
      <w:r>
        <w:rPr>
          <w:rFonts w:hint="eastAsia" w:ascii="宋体" w:hAnsi="宋体" w:cs="宋体"/>
          <w:sz w:val="24"/>
          <w:szCs w:val="24"/>
        </w:rPr>
        <w:t>28.3.2投标文件的报价视为谈判时的首次报价，未唱标转谈判的，谈判时不公开投标人各轮报价。已经唱标而转谈判的，谈判前公布各参与谈判的投标人首轮报价。</w:t>
      </w:r>
    </w:p>
    <w:p w14:paraId="50D3538A">
      <w:pPr>
        <w:spacing w:line="360" w:lineRule="auto"/>
        <w:ind w:firstLine="549"/>
        <w:rPr>
          <w:rFonts w:ascii="宋体" w:hAnsi="宋体" w:cs="宋体"/>
          <w:sz w:val="24"/>
          <w:szCs w:val="24"/>
        </w:rPr>
      </w:pPr>
      <w:r>
        <w:rPr>
          <w:rFonts w:hint="eastAsia" w:ascii="宋体" w:hAnsi="宋体" w:cs="宋体"/>
          <w:sz w:val="24"/>
          <w:szCs w:val="24"/>
        </w:rPr>
        <w:t>28.3.3在谈判内容不作实质性变更及重大调整的前提下，投标人次轮报价不得高于上一轮报价。</w:t>
      </w:r>
    </w:p>
    <w:p w14:paraId="3D568423">
      <w:pPr>
        <w:spacing w:line="360" w:lineRule="auto"/>
        <w:ind w:firstLine="482" w:firstLineChars="200"/>
        <w:rPr>
          <w:rFonts w:ascii="宋体" w:hAnsi="宋体" w:cs="宋体"/>
          <w:b/>
          <w:bCs/>
          <w:sz w:val="24"/>
        </w:rPr>
      </w:pPr>
      <w:r>
        <w:rPr>
          <w:rFonts w:hint="eastAsia" w:ascii="宋体" w:hAnsi="宋体" w:cs="宋体"/>
          <w:b/>
          <w:bCs/>
          <w:sz w:val="24"/>
        </w:rPr>
        <w:t>29</w:t>
      </w:r>
      <w:r>
        <w:rPr>
          <w:rFonts w:hint="eastAsia" w:ascii="宋体" w:hAnsi="宋体" w:cs="宋体"/>
          <w:b/>
          <w:sz w:val="24"/>
        </w:rPr>
        <w:t>.</w:t>
      </w:r>
      <w:r>
        <w:rPr>
          <w:rFonts w:hint="eastAsia" w:ascii="宋体" w:hAnsi="宋体" w:cs="宋体"/>
          <w:b/>
          <w:bCs/>
          <w:sz w:val="24"/>
        </w:rPr>
        <w:t>二次采购</w:t>
      </w:r>
    </w:p>
    <w:p w14:paraId="4EF5A79F">
      <w:pPr>
        <w:spacing w:line="360" w:lineRule="auto"/>
        <w:ind w:firstLine="480" w:firstLineChars="200"/>
        <w:rPr>
          <w:rFonts w:ascii="宋体" w:hAnsi="宋体" w:cs="宋体"/>
          <w:sz w:val="24"/>
        </w:rPr>
      </w:pPr>
      <w:r>
        <w:rPr>
          <w:rFonts w:hint="eastAsia" w:ascii="宋体" w:hAnsi="宋体" w:cs="宋体"/>
          <w:sz w:val="24"/>
        </w:rPr>
        <w:t>项目废标后，周口市公共资源交易中心政府采购中心可能发布二次公告（投标邀请），进行二次采购。</w:t>
      </w:r>
    </w:p>
    <w:p w14:paraId="08A1AD9F">
      <w:pPr>
        <w:spacing w:line="360" w:lineRule="auto"/>
        <w:ind w:firstLine="480" w:firstLineChars="200"/>
        <w:rPr>
          <w:rFonts w:ascii="宋体" w:hAnsi="宋体" w:cs="宋体"/>
          <w:sz w:val="24"/>
        </w:rPr>
      </w:pPr>
      <w:r>
        <w:rPr>
          <w:rFonts w:hint="eastAsia" w:ascii="宋体" w:hAnsi="宋体" w:cs="宋体"/>
          <w:sz w:val="24"/>
        </w:rPr>
        <w:t>前款所述“二次”，系指项目废标后的重新公告及采购，并不仅限于项目的第二次公告及采购。</w:t>
      </w:r>
    </w:p>
    <w:p w14:paraId="62BBC300">
      <w:pPr>
        <w:pStyle w:val="5"/>
        <w:spacing w:line="360" w:lineRule="auto"/>
        <w:ind w:firstLine="2715" w:firstLineChars="966"/>
        <w:jc w:val="both"/>
        <w:rPr>
          <w:rFonts w:hAnsi="宋体" w:cs="宋体"/>
          <w:sz w:val="28"/>
        </w:rPr>
      </w:pPr>
      <w:bookmarkStart w:id="108" w:name="_Toc527725927"/>
      <w:bookmarkStart w:id="109" w:name="_Toc40975447"/>
      <w:bookmarkStart w:id="110" w:name="_Toc516969091"/>
      <w:r>
        <w:rPr>
          <w:rFonts w:hint="eastAsia" w:hAnsi="宋体" w:cs="宋体"/>
          <w:sz w:val="28"/>
        </w:rPr>
        <w:t>六．定标与签订合同</w:t>
      </w:r>
      <w:bookmarkEnd w:id="108"/>
      <w:bookmarkEnd w:id="109"/>
      <w:bookmarkEnd w:id="110"/>
    </w:p>
    <w:p w14:paraId="47F7D991">
      <w:pPr>
        <w:spacing w:line="360" w:lineRule="auto"/>
        <w:ind w:firstLine="549"/>
        <w:rPr>
          <w:rFonts w:ascii="宋体" w:hAnsi="宋体" w:cs="宋体"/>
          <w:b/>
          <w:sz w:val="24"/>
        </w:rPr>
      </w:pPr>
      <w:r>
        <w:rPr>
          <w:rFonts w:hint="eastAsia" w:ascii="宋体" w:hAnsi="宋体" w:cs="宋体"/>
          <w:b/>
          <w:sz w:val="24"/>
        </w:rPr>
        <w:t>30.定标</w:t>
      </w:r>
    </w:p>
    <w:p w14:paraId="54DD83AA">
      <w:pPr>
        <w:spacing w:line="360" w:lineRule="auto"/>
        <w:ind w:firstLine="549"/>
        <w:rPr>
          <w:rFonts w:ascii="宋体" w:hAnsi="宋体" w:cs="宋体"/>
          <w:sz w:val="24"/>
        </w:rPr>
      </w:pPr>
      <w:r>
        <w:rPr>
          <w:rFonts w:hint="eastAsia" w:ascii="宋体" w:hAnsi="宋体" w:cs="宋体"/>
          <w:sz w:val="24"/>
        </w:rPr>
        <w:t>30.1 投标符合性审查后，评委会应当按招标文件规定的综合评分办法提出独立评审意见，推荐中标候选人。</w:t>
      </w:r>
    </w:p>
    <w:p w14:paraId="19E2ECFB">
      <w:pPr>
        <w:pStyle w:val="26"/>
        <w:ind w:right="-21" w:firstLine="540"/>
        <w:rPr>
          <w:rFonts w:ascii="宋体" w:hAnsi="宋体" w:eastAsia="宋体" w:cs="宋体"/>
          <w:kern w:val="2"/>
          <w:szCs w:val="20"/>
        </w:rPr>
      </w:pPr>
      <w:r>
        <w:rPr>
          <w:rFonts w:hint="eastAsia" w:ascii="宋体" w:hAnsi="宋体" w:eastAsia="宋体" w:cs="宋体"/>
          <w:kern w:val="2"/>
          <w:szCs w:val="20"/>
        </w:rPr>
        <w:t>30.2采购人应当自收到评审报告之日起5个工作日内在评审报告推荐的中标或者成交候选人中按顺序确定中标或者成交供应商。</w:t>
      </w:r>
    </w:p>
    <w:p w14:paraId="1EFFAF94">
      <w:pPr>
        <w:spacing w:line="360" w:lineRule="auto"/>
        <w:ind w:firstLine="549"/>
        <w:rPr>
          <w:rFonts w:ascii="宋体" w:hAnsi="宋体" w:cs="宋体"/>
          <w:sz w:val="24"/>
        </w:rPr>
      </w:pPr>
      <w:r>
        <w:rPr>
          <w:rFonts w:hint="eastAsia" w:ascii="宋体" w:hAnsi="宋体" w:cs="宋体"/>
          <w:sz w:val="24"/>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14:paraId="6A310EC6">
      <w:pPr>
        <w:spacing w:line="360" w:lineRule="auto"/>
        <w:ind w:firstLine="549"/>
        <w:rPr>
          <w:rFonts w:ascii="宋体" w:hAnsi="宋体" w:cs="宋体"/>
          <w:sz w:val="24"/>
        </w:rPr>
      </w:pPr>
      <w:r>
        <w:rPr>
          <w:rFonts w:hint="eastAsia" w:ascii="宋体" w:hAnsi="宋体" w:cs="宋体"/>
          <w:sz w:val="24"/>
        </w:rPr>
        <w:t>排名第一的中标候选人放弃中标、因不可抗力不能履行合同、不按照合同约定提交履约保证金，或者被查实存在影响中标结果的违法行为等情形，不符合中标条件的，采购人可以按照评标委员会提出的中标候选人名单排序依次确定其他中标候选人为中标人，也可以重新招标。</w:t>
      </w:r>
    </w:p>
    <w:p w14:paraId="3E3D5AFA">
      <w:pPr>
        <w:spacing w:line="360" w:lineRule="auto"/>
        <w:ind w:firstLine="549"/>
        <w:rPr>
          <w:rFonts w:ascii="宋体" w:hAnsi="宋体" w:cs="宋体"/>
          <w:sz w:val="24"/>
        </w:rPr>
      </w:pPr>
      <w:r>
        <w:rPr>
          <w:rFonts w:hint="eastAsia" w:ascii="宋体" w:hAnsi="宋体" w:cs="宋体"/>
          <w:sz w:val="24"/>
        </w:rPr>
        <w:t>30.4原则上把合同授予实质上响应招标文件要求的排名最前的中标候选人或通过上条资格审查的中标候选人。</w:t>
      </w:r>
    </w:p>
    <w:p w14:paraId="2534E172">
      <w:pPr>
        <w:spacing w:line="360" w:lineRule="auto"/>
        <w:ind w:firstLine="549"/>
        <w:rPr>
          <w:rFonts w:ascii="宋体" w:hAnsi="宋体" w:cs="宋体"/>
          <w:sz w:val="24"/>
        </w:rPr>
      </w:pPr>
      <w:r>
        <w:rPr>
          <w:rFonts w:hint="eastAsia" w:ascii="宋体" w:hAnsi="宋体" w:cs="宋体"/>
          <w:sz w:val="24"/>
        </w:rPr>
        <w:t>30.5 最低报价并不是中标的保证。</w:t>
      </w:r>
    </w:p>
    <w:p w14:paraId="06FA8411">
      <w:pPr>
        <w:spacing w:line="360" w:lineRule="auto"/>
        <w:ind w:firstLine="549"/>
        <w:rPr>
          <w:rFonts w:ascii="宋体" w:hAnsi="宋体" w:cs="宋体"/>
          <w:sz w:val="24"/>
        </w:rPr>
      </w:pPr>
      <w:r>
        <w:rPr>
          <w:rFonts w:hint="eastAsia" w:ascii="宋体" w:hAnsi="宋体" w:cs="宋体"/>
          <w:sz w:val="24"/>
        </w:rPr>
        <w:t>30.6凡发现中标候选人有下列行为之一的，其中标无效，并移交政府采购监督管理部门依法处理：</w:t>
      </w:r>
    </w:p>
    <w:p w14:paraId="2E5DB094">
      <w:pPr>
        <w:spacing w:line="360" w:lineRule="auto"/>
        <w:ind w:left="549"/>
        <w:rPr>
          <w:rFonts w:ascii="宋体" w:hAnsi="宋体" w:cs="宋体"/>
          <w:sz w:val="24"/>
        </w:rPr>
      </w:pPr>
      <w:r>
        <w:rPr>
          <w:rFonts w:hint="eastAsia" w:ascii="宋体" w:hAnsi="宋体" w:cs="宋体"/>
          <w:sz w:val="24"/>
        </w:rPr>
        <w:t>30.6.1 以他人名义投标、或提供虚假材料弄虚作假谋取中标的；</w:t>
      </w:r>
    </w:p>
    <w:p w14:paraId="0F2E46F3">
      <w:pPr>
        <w:spacing w:line="360" w:lineRule="auto"/>
        <w:ind w:left="549"/>
        <w:rPr>
          <w:rFonts w:ascii="宋体" w:hAnsi="宋体" w:cs="宋体"/>
          <w:sz w:val="24"/>
        </w:rPr>
      </w:pPr>
      <w:r>
        <w:rPr>
          <w:rFonts w:hint="eastAsia" w:ascii="宋体" w:hAnsi="宋体" w:cs="宋体"/>
          <w:sz w:val="24"/>
        </w:rPr>
        <w:t>30.6.1.1以他人名义投标，是指使用通过受让或者租借等方式获取的资格、资质证书投标。</w:t>
      </w:r>
    </w:p>
    <w:p w14:paraId="3D764F7B">
      <w:pPr>
        <w:spacing w:line="360" w:lineRule="auto"/>
        <w:ind w:left="549"/>
        <w:rPr>
          <w:rFonts w:ascii="宋体" w:hAnsi="宋体" w:cs="宋体"/>
          <w:sz w:val="24"/>
        </w:rPr>
      </w:pPr>
      <w:r>
        <w:rPr>
          <w:rFonts w:hint="eastAsia" w:ascii="宋体" w:hAnsi="宋体" w:cs="宋体"/>
          <w:sz w:val="24"/>
        </w:rPr>
        <w:t>30.6.1.2有投标人有下列情形之一的，属于弄虚作假的行为：</w:t>
      </w:r>
    </w:p>
    <w:p w14:paraId="39E654F9">
      <w:pPr>
        <w:spacing w:line="360" w:lineRule="auto"/>
        <w:ind w:left="549"/>
        <w:rPr>
          <w:rFonts w:ascii="宋体" w:hAnsi="宋体" w:cs="宋体"/>
          <w:sz w:val="24"/>
        </w:rPr>
      </w:pPr>
      <w:r>
        <w:rPr>
          <w:rFonts w:hint="eastAsia" w:ascii="宋体" w:hAnsi="宋体" w:cs="宋体"/>
          <w:sz w:val="24"/>
        </w:rPr>
        <w:t>30.6.1.2.1使用伪造、变造的许可证件；</w:t>
      </w:r>
    </w:p>
    <w:p w14:paraId="6E08F14A">
      <w:pPr>
        <w:spacing w:line="360" w:lineRule="auto"/>
        <w:ind w:left="549"/>
        <w:rPr>
          <w:rFonts w:ascii="宋体" w:hAnsi="宋体" w:cs="宋体"/>
          <w:sz w:val="24"/>
        </w:rPr>
      </w:pPr>
      <w:r>
        <w:rPr>
          <w:rFonts w:hint="eastAsia" w:ascii="宋体" w:hAnsi="宋体" w:cs="宋体"/>
          <w:sz w:val="24"/>
        </w:rPr>
        <w:t>30.6.1.2.2提供虚假的财务状况或者业绩；</w:t>
      </w:r>
    </w:p>
    <w:p w14:paraId="104DC443">
      <w:pPr>
        <w:spacing w:line="360" w:lineRule="auto"/>
        <w:ind w:left="549"/>
        <w:rPr>
          <w:rFonts w:ascii="宋体" w:hAnsi="宋体" w:cs="宋体"/>
          <w:sz w:val="24"/>
        </w:rPr>
      </w:pPr>
      <w:r>
        <w:rPr>
          <w:rFonts w:hint="eastAsia" w:ascii="宋体" w:hAnsi="宋体" w:cs="宋体"/>
          <w:sz w:val="24"/>
        </w:rPr>
        <w:t>30.6.1.2.3提供虚假的项目负责人或者主要技术人员简历、劳动关系证明；</w:t>
      </w:r>
    </w:p>
    <w:p w14:paraId="0427B791">
      <w:pPr>
        <w:spacing w:line="360" w:lineRule="auto"/>
        <w:ind w:left="549"/>
        <w:rPr>
          <w:rFonts w:ascii="宋体" w:hAnsi="宋体" w:cs="宋体"/>
          <w:sz w:val="24"/>
        </w:rPr>
      </w:pPr>
      <w:r>
        <w:rPr>
          <w:rFonts w:hint="eastAsia" w:ascii="宋体" w:hAnsi="宋体" w:cs="宋体"/>
          <w:sz w:val="24"/>
        </w:rPr>
        <w:t>30.6.1.2.4提供虚假的信用状况；</w:t>
      </w:r>
    </w:p>
    <w:p w14:paraId="1E1D2F5A">
      <w:pPr>
        <w:spacing w:line="360" w:lineRule="auto"/>
        <w:ind w:left="549"/>
        <w:rPr>
          <w:rFonts w:ascii="宋体" w:hAnsi="宋体" w:cs="宋体"/>
          <w:sz w:val="24"/>
        </w:rPr>
      </w:pPr>
      <w:r>
        <w:rPr>
          <w:rFonts w:hint="eastAsia" w:ascii="宋体" w:hAnsi="宋体" w:cs="宋体"/>
          <w:sz w:val="24"/>
        </w:rPr>
        <w:t>30.6.1.2.5其他弄虚作假的行为。</w:t>
      </w:r>
    </w:p>
    <w:p w14:paraId="57C4839D">
      <w:pPr>
        <w:spacing w:line="360" w:lineRule="auto"/>
        <w:ind w:left="549"/>
        <w:rPr>
          <w:rFonts w:ascii="宋体" w:hAnsi="宋体" w:cs="宋体"/>
          <w:sz w:val="24"/>
        </w:rPr>
      </w:pPr>
      <w:r>
        <w:rPr>
          <w:rFonts w:hint="eastAsia" w:ascii="宋体" w:hAnsi="宋体" w:cs="宋体"/>
          <w:sz w:val="24"/>
        </w:rPr>
        <w:t>30.6.2与采购人、其他供应商或者采购代理机构名称工作人员恶意串通的；</w:t>
      </w:r>
    </w:p>
    <w:p w14:paraId="050C9022">
      <w:pPr>
        <w:spacing w:line="360" w:lineRule="auto"/>
        <w:ind w:left="549"/>
        <w:rPr>
          <w:rFonts w:ascii="宋体" w:hAnsi="宋体" w:cs="宋体"/>
          <w:sz w:val="24"/>
        </w:rPr>
      </w:pPr>
      <w:r>
        <w:rPr>
          <w:rFonts w:hint="eastAsia" w:ascii="宋体" w:hAnsi="宋体" w:cs="宋体"/>
          <w:sz w:val="24"/>
        </w:rPr>
        <w:t>30.6.3向采购人、评审专家、采购代理机构工作人员行贿或者提供其他不正当利益的；</w:t>
      </w:r>
    </w:p>
    <w:p w14:paraId="7B7CC520">
      <w:pPr>
        <w:spacing w:line="360" w:lineRule="auto"/>
        <w:ind w:firstLine="549"/>
        <w:rPr>
          <w:rFonts w:ascii="宋体" w:hAnsi="宋体" w:cs="宋体"/>
          <w:sz w:val="24"/>
        </w:rPr>
      </w:pPr>
      <w:r>
        <w:rPr>
          <w:rFonts w:hint="eastAsia" w:ascii="宋体" w:hAnsi="宋体" w:cs="宋体"/>
          <w:sz w:val="24"/>
        </w:rPr>
        <w:t>30.6.4有法律、法规规定的其他损害采购人利益和社会公共利益情形的；</w:t>
      </w:r>
    </w:p>
    <w:p w14:paraId="65313DA5">
      <w:pPr>
        <w:spacing w:line="360" w:lineRule="auto"/>
        <w:ind w:firstLine="549"/>
        <w:rPr>
          <w:rFonts w:ascii="宋体" w:hAnsi="宋体" w:cs="宋体"/>
          <w:sz w:val="24"/>
        </w:rPr>
      </w:pPr>
      <w:r>
        <w:rPr>
          <w:rFonts w:hint="eastAsia" w:ascii="宋体" w:hAnsi="宋体" w:cs="宋体"/>
          <w:sz w:val="24"/>
        </w:rPr>
        <w:t>30.6.5其他违反招投标法律、法规和规章强制性规定的行为。</w:t>
      </w:r>
    </w:p>
    <w:p w14:paraId="3619B6A4">
      <w:pPr>
        <w:spacing w:line="360" w:lineRule="auto"/>
        <w:ind w:firstLine="549"/>
        <w:rPr>
          <w:rFonts w:ascii="宋体" w:hAnsi="宋体" w:cs="宋体"/>
          <w:sz w:val="24"/>
        </w:rPr>
      </w:pPr>
      <w:r>
        <w:rPr>
          <w:rFonts w:hint="eastAsia" w:ascii="宋体" w:hAnsi="宋体" w:cs="宋体"/>
          <w:sz w:val="24"/>
        </w:rPr>
        <w:t>30.7周口市公共资源交易中心政府采购中心将在政府采购相关网站上发布评审结果公告。</w:t>
      </w:r>
    </w:p>
    <w:p w14:paraId="3835B91E">
      <w:pPr>
        <w:spacing w:line="360" w:lineRule="auto"/>
        <w:ind w:firstLine="549"/>
        <w:rPr>
          <w:rFonts w:ascii="宋体" w:hAnsi="宋体" w:cs="宋体"/>
          <w:b/>
          <w:sz w:val="24"/>
        </w:rPr>
      </w:pPr>
      <w:r>
        <w:rPr>
          <w:rFonts w:hint="eastAsia" w:ascii="宋体" w:hAnsi="宋体" w:cs="宋体"/>
          <w:b/>
          <w:sz w:val="24"/>
        </w:rPr>
        <w:t>31.中标通知书</w:t>
      </w:r>
    </w:p>
    <w:p w14:paraId="45223218">
      <w:pPr>
        <w:spacing w:line="360" w:lineRule="auto"/>
        <w:ind w:firstLine="549"/>
        <w:rPr>
          <w:rFonts w:ascii="宋体" w:hAnsi="宋体" w:cs="宋体"/>
          <w:sz w:val="24"/>
        </w:rPr>
      </w:pPr>
      <w:r>
        <w:rPr>
          <w:rFonts w:hint="eastAsia" w:ascii="宋体" w:hAnsi="宋体" w:cs="宋体"/>
          <w:sz w:val="24"/>
        </w:rPr>
        <w:t>31.1在发出中标公告后请采购人、中标人登录周口市公共资源</w:t>
      </w:r>
      <w:r>
        <w:rPr>
          <w:rFonts w:hint="eastAsia" w:ascii="宋体" w:hAnsi="宋体" w:cs="宋体"/>
          <w:sz w:val="24"/>
          <w:szCs w:val="24"/>
        </w:rPr>
        <w:t>交易</w:t>
      </w:r>
      <w:r>
        <w:rPr>
          <w:rFonts w:hint="eastAsia" w:ascii="宋体" w:hAnsi="宋体" w:cs="宋体"/>
          <w:sz w:val="24"/>
        </w:rPr>
        <w:t>中心网</w:t>
      </w:r>
      <w:r>
        <w:rPr>
          <w:rFonts w:hint="eastAsia" w:ascii="宋体" w:hAnsi="宋体" w:cs="宋体"/>
          <w:sz w:val="24"/>
          <w:szCs w:val="24"/>
        </w:rPr>
        <w:t>（http://jyzx.zhoukou.gov.cn）自行下载</w:t>
      </w:r>
      <w:r>
        <w:rPr>
          <w:rFonts w:hint="eastAsia" w:ascii="宋体" w:hAnsi="宋体" w:cs="宋体"/>
          <w:sz w:val="24"/>
        </w:rPr>
        <w:t>中标通知书。</w:t>
      </w:r>
    </w:p>
    <w:p w14:paraId="2B627E59">
      <w:pPr>
        <w:spacing w:line="360" w:lineRule="auto"/>
        <w:ind w:firstLine="549"/>
        <w:rPr>
          <w:rFonts w:ascii="宋体" w:hAnsi="宋体" w:cs="宋体"/>
          <w:sz w:val="24"/>
        </w:rPr>
      </w:pPr>
      <w:r>
        <w:rPr>
          <w:rFonts w:hint="eastAsia" w:ascii="宋体" w:hAnsi="宋体" w:cs="宋体"/>
          <w:sz w:val="24"/>
        </w:rPr>
        <w:t>31.2周口市公共资源交易中心政府采购中心对未中标的投标人不做未中标原因的解释。</w:t>
      </w:r>
    </w:p>
    <w:p w14:paraId="34BD7D36">
      <w:pPr>
        <w:spacing w:line="360" w:lineRule="auto"/>
        <w:ind w:firstLine="549"/>
        <w:rPr>
          <w:rFonts w:ascii="宋体" w:hAnsi="宋体" w:cs="宋体"/>
          <w:sz w:val="24"/>
        </w:rPr>
      </w:pPr>
      <w:r>
        <w:rPr>
          <w:rFonts w:hint="eastAsia" w:ascii="宋体" w:hAnsi="宋体" w:cs="宋体"/>
          <w:sz w:val="24"/>
        </w:rPr>
        <w:t>31.3评审结果确定后，中标人请及时到周口市公共资源交易中心政府采购中心领取中标通知书。</w:t>
      </w:r>
    </w:p>
    <w:p w14:paraId="2172CAD9">
      <w:pPr>
        <w:spacing w:line="360" w:lineRule="auto"/>
        <w:ind w:firstLine="549"/>
        <w:rPr>
          <w:rFonts w:ascii="宋体" w:hAnsi="宋体" w:cs="宋体"/>
          <w:sz w:val="24"/>
          <w:szCs w:val="22"/>
        </w:rPr>
      </w:pPr>
      <w:r>
        <w:rPr>
          <w:rFonts w:hint="eastAsia" w:ascii="宋体" w:hAnsi="宋体" w:cs="宋体"/>
          <w:sz w:val="24"/>
          <w:szCs w:val="22"/>
        </w:rPr>
        <w:t>32.中标服务费</w:t>
      </w:r>
    </w:p>
    <w:p w14:paraId="51477A37">
      <w:pPr>
        <w:spacing w:line="360" w:lineRule="auto"/>
        <w:rPr>
          <w:rFonts w:ascii="宋体" w:hAnsi="宋体" w:cs="宋体"/>
          <w:bCs/>
          <w:sz w:val="24"/>
        </w:rPr>
      </w:pPr>
      <w:r>
        <w:rPr>
          <w:rFonts w:hint="eastAsia" w:ascii="宋体" w:hAnsi="宋体" w:cs="宋体"/>
          <w:b/>
          <w:sz w:val="24"/>
        </w:rPr>
        <w:t xml:space="preserve">    </w:t>
      </w:r>
      <w:r>
        <w:rPr>
          <w:rFonts w:hint="eastAsia" w:ascii="宋体" w:hAnsi="宋体" w:cs="宋体"/>
          <w:bCs/>
          <w:sz w:val="24"/>
        </w:rPr>
        <w:t>本项目免收中标服务费</w:t>
      </w:r>
    </w:p>
    <w:p w14:paraId="6422B18A">
      <w:pPr>
        <w:spacing w:line="360" w:lineRule="auto"/>
        <w:ind w:firstLine="549"/>
        <w:rPr>
          <w:rFonts w:ascii="宋体" w:hAnsi="宋体" w:cs="宋体"/>
          <w:b/>
          <w:sz w:val="24"/>
        </w:rPr>
      </w:pPr>
      <w:r>
        <w:rPr>
          <w:rFonts w:hint="eastAsia" w:ascii="宋体" w:hAnsi="宋体" w:cs="宋体"/>
          <w:b/>
          <w:sz w:val="24"/>
        </w:rPr>
        <w:t>33.履约保证金</w:t>
      </w:r>
    </w:p>
    <w:p w14:paraId="08DB0327">
      <w:pPr>
        <w:spacing w:line="360" w:lineRule="auto"/>
        <w:ind w:firstLine="549"/>
        <w:rPr>
          <w:rFonts w:ascii="宋体" w:hAnsi="宋体" w:cs="宋体"/>
          <w:sz w:val="24"/>
        </w:rPr>
      </w:pPr>
      <w:r>
        <w:rPr>
          <w:rFonts w:hint="eastAsia" w:ascii="宋体" w:hAnsi="宋体" w:cs="宋体"/>
          <w:sz w:val="24"/>
        </w:rPr>
        <w:t>无</w:t>
      </w:r>
    </w:p>
    <w:p w14:paraId="3ACBCA37">
      <w:pPr>
        <w:spacing w:line="360" w:lineRule="auto"/>
        <w:ind w:firstLine="549"/>
        <w:rPr>
          <w:rFonts w:ascii="宋体" w:hAnsi="宋体" w:cs="宋体"/>
          <w:b/>
          <w:sz w:val="24"/>
        </w:rPr>
      </w:pPr>
      <w:r>
        <w:rPr>
          <w:rFonts w:hint="eastAsia" w:ascii="宋体" w:hAnsi="宋体" w:cs="宋体"/>
          <w:b/>
          <w:sz w:val="24"/>
        </w:rPr>
        <w:t>34.签订合同</w:t>
      </w:r>
    </w:p>
    <w:p w14:paraId="1CF52C7A">
      <w:pPr>
        <w:pStyle w:val="46"/>
        <w:spacing w:line="360" w:lineRule="auto"/>
        <w:ind w:firstLine="480" w:firstLineChars="200"/>
        <w:rPr>
          <w:rFonts w:ascii="宋体" w:hAnsi="宋体" w:cs="宋体"/>
          <w:sz w:val="24"/>
        </w:rPr>
      </w:pPr>
      <w:r>
        <w:rPr>
          <w:rFonts w:hint="eastAsia" w:ascii="宋体" w:hAnsi="宋体" w:cs="宋体"/>
          <w:sz w:val="24"/>
        </w:rPr>
        <w:t>34.1中标人应在中标通知书发出之日起七日历日内（具体时间、地点见中标通知书）与采购人签订合同。招标文件、中标人的投标文件及澄清文件等，均作为合同的附件。</w:t>
      </w:r>
    </w:p>
    <w:p w14:paraId="7A7E100C">
      <w:pPr>
        <w:spacing w:line="360" w:lineRule="auto"/>
        <w:ind w:firstLine="549"/>
        <w:rPr>
          <w:rFonts w:ascii="宋体" w:hAnsi="宋体" w:cs="宋体"/>
          <w:sz w:val="24"/>
        </w:rPr>
      </w:pPr>
      <w:r>
        <w:rPr>
          <w:rFonts w:hint="eastAsia" w:ascii="宋体" w:hAnsi="宋体" w:cs="宋体"/>
          <w:sz w:val="24"/>
        </w:rPr>
        <w:t>34.2 采购双方必须严格按照招标文件、投标文件及有关承诺签订采购合同，不得擅自变更。招标人和中标人不得再行订立背离合同实质性内容的其他协议。对任何因双方擅自变更合同引起的问题周口市公共资源交易中心政府采购中心概不负责，合同风险由双方自行承担。</w:t>
      </w:r>
    </w:p>
    <w:p w14:paraId="0F79E9B2">
      <w:pPr>
        <w:spacing w:line="360" w:lineRule="auto"/>
        <w:ind w:firstLine="523" w:firstLineChars="218"/>
        <w:rPr>
          <w:rFonts w:ascii="宋体" w:hAnsi="宋体" w:cs="宋体"/>
          <w:sz w:val="24"/>
        </w:rPr>
      </w:pPr>
      <w:r>
        <w:rPr>
          <w:rFonts w:hint="eastAsia" w:ascii="宋体" w:hAnsi="宋体" w:cs="宋体"/>
          <w:sz w:val="24"/>
        </w:rPr>
        <w:t>34.3采购人保留以书面形式要求合同的卖方对其所投货物的装运方式、交货地点及服务细则等作适当调整的权利。</w:t>
      </w:r>
    </w:p>
    <w:p w14:paraId="0A27AE21">
      <w:pPr>
        <w:spacing w:line="360" w:lineRule="auto"/>
        <w:ind w:firstLine="549"/>
        <w:rPr>
          <w:rFonts w:ascii="宋体" w:hAnsi="宋体" w:cs="宋体"/>
          <w:sz w:val="24"/>
        </w:rPr>
      </w:pPr>
      <w:r>
        <w:rPr>
          <w:rFonts w:hint="eastAsia" w:ascii="宋体" w:hAnsi="宋体" w:cs="宋体"/>
          <w:b/>
          <w:sz w:val="24"/>
        </w:rPr>
        <w:t>35.验收</w:t>
      </w:r>
    </w:p>
    <w:p w14:paraId="5B76D830">
      <w:pPr>
        <w:spacing w:line="360" w:lineRule="auto"/>
        <w:ind w:firstLine="549"/>
        <w:rPr>
          <w:rFonts w:ascii="宋体" w:hAnsi="宋体" w:cs="宋体"/>
          <w:sz w:val="24"/>
        </w:rPr>
      </w:pPr>
      <w:r>
        <w:rPr>
          <w:rFonts w:hint="eastAsia" w:ascii="宋体" w:hAnsi="宋体" w:cs="宋体"/>
          <w:sz w:val="24"/>
        </w:rPr>
        <w:t>由采购人自行组织对供应商的履约验收。</w:t>
      </w:r>
    </w:p>
    <w:p w14:paraId="05CAA05F">
      <w:pPr>
        <w:spacing w:line="360" w:lineRule="auto"/>
        <w:ind w:firstLine="549"/>
        <w:rPr>
          <w:rFonts w:ascii="宋体" w:hAnsi="宋体" w:cs="宋体"/>
          <w:b/>
          <w:bCs/>
          <w:sz w:val="24"/>
        </w:rPr>
      </w:pPr>
      <w:r>
        <w:rPr>
          <w:rFonts w:hint="eastAsia" w:ascii="宋体" w:hAnsi="宋体" w:cs="宋体"/>
          <w:b/>
          <w:bCs/>
          <w:sz w:val="24"/>
        </w:rPr>
        <w:t>36</w:t>
      </w:r>
      <w:r>
        <w:rPr>
          <w:rFonts w:hint="eastAsia" w:ascii="宋体" w:hAnsi="宋体" w:cs="宋体"/>
          <w:b/>
          <w:sz w:val="24"/>
        </w:rPr>
        <w:t>.</w:t>
      </w:r>
      <w:r>
        <w:rPr>
          <w:rFonts w:hint="eastAsia" w:ascii="宋体" w:hAnsi="宋体" w:cs="宋体"/>
          <w:b/>
          <w:bCs/>
          <w:sz w:val="24"/>
        </w:rPr>
        <w:t>质疑</w:t>
      </w:r>
    </w:p>
    <w:p w14:paraId="44888E09">
      <w:pPr>
        <w:spacing w:line="360" w:lineRule="auto"/>
        <w:ind w:firstLine="549"/>
        <w:rPr>
          <w:rFonts w:ascii="宋体" w:hAnsi="宋体" w:cs="宋体"/>
          <w:bCs/>
          <w:sz w:val="24"/>
        </w:rPr>
      </w:pPr>
      <w:r>
        <w:rPr>
          <w:rFonts w:hint="eastAsia" w:ascii="宋体" w:hAnsi="宋体" w:cs="宋体"/>
          <w:bCs/>
          <w:sz w:val="24"/>
        </w:rPr>
        <w:t>36.1投标人认为采购过程、中标结果使自己的合法权益受到损害的，可以在知道或应当知道自己的权益受到损害之日起7个工作日内，由投标人授权代表（或法人代表）按照相关规定，向采购人提出质疑，逾期不予受理。</w:t>
      </w:r>
    </w:p>
    <w:p w14:paraId="12E8BA3C">
      <w:pPr>
        <w:spacing w:line="360" w:lineRule="auto"/>
        <w:ind w:firstLine="549"/>
        <w:rPr>
          <w:rFonts w:ascii="宋体" w:hAnsi="宋体" w:cs="宋体"/>
          <w:bCs/>
          <w:sz w:val="24"/>
        </w:rPr>
      </w:pPr>
      <w:r>
        <w:rPr>
          <w:rFonts w:hint="eastAsia" w:ascii="宋体" w:hAnsi="宋体" w:cs="宋体"/>
          <w:bCs/>
          <w:sz w:val="24"/>
        </w:rPr>
        <w:t>36.2质疑书内容应包括质疑的详细理由和依据，并提供有关证明资料。</w:t>
      </w:r>
    </w:p>
    <w:p w14:paraId="2091B4F3">
      <w:pPr>
        <w:spacing w:line="360" w:lineRule="auto"/>
        <w:ind w:firstLine="549"/>
        <w:rPr>
          <w:rFonts w:ascii="宋体" w:hAnsi="宋体" w:cs="宋体"/>
          <w:bCs/>
          <w:sz w:val="24"/>
        </w:rPr>
      </w:pPr>
      <w:r>
        <w:rPr>
          <w:rFonts w:hint="eastAsia" w:ascii="宋体" w:hAnsi="宋体" w:cs="宋体"/>
          <w:bCs/>
          <w:sz w:val="24"/>
        </w:rPr>
        <w:t>36.3 有以下情形之一的，视为无效质疑：</w:t>
      </w:r>
    </w:p>
    <w:p w14:paraId="72A1C2FB">
      <w:pPr>
        <w:spacing w:line="360" w:lineRule="auto"/>
        <w:ind w:firstLine="549"/>
        <w:rPr>
          <w:rFonts w:ascii="宋体" w:hAnsi="宋体" w:cs="宋体"/>
          <w:bCs/>
          <w:sz w:val="24"/>
        </w:rPr>
      </w:pPr>
      <w:r>
        <w:rPr>
          <w:rFonts w:hint="eastAsia" w:ascii="宋体" w:hAnsi="宋体" w:cs="宋体"/>
          <w:bCs/>
          <w:sz w:val="24"/>
        </w:rPr>
        <w:t>36.3.1 未按规定时间或规定手续提交质疑的；</w:t>
      </w:r>
    </w:p>
    <w:p w14:paraId="76880CB7">
      <w:pPr>
        <w:spacing w:line="360" w:lineRule="auto"/>
        <w:ind w:firstLine="549"/>
        <w:rPr>
          <w:rFonts w:ascii="宋体" w:hAnsi="宋体" w:cs="宋体"/>
          <w:bCs/>
          <w:sz w:val="24"/>
        </w:rPr>
      </w:pPr>
      <w:r>
        <w:rPr>
          <w:rFonts w:hint="eastAsia" w:ascii="宋体" w:hAnsi="宋体" w:cs="宋体"/>
          <w:bCs/>
          <w:sz w:val="24"/>
        </w:rPr>
        <w:t>36.3.2 质疑内容含糊不清、没有提供详细理由和依据，无法进行核查的；</w:t>
      </w:r>
    </w:p>
    <w:p w14:paraId="7927B646">
      <w:pPr>
        <w:spacing w:line="360" w:lineRule="auto"/>
        <w:ind w:firstLine="549"/>
        <w:rPr>
          <w:rFonts w:ascii="宋体" w:hAnsi="宋体" w:cs="宋体"/>
          <w:bCs/>
          <w:sz w:val="24"/>
        </w:rPr>
      </w:pPr>
      <w:r>
        <w:rPr>
          <w:rFonts w:hint="eastAsia" w:ascii="宋体" w:hAnsi="宋体" w:cs="宋体"/>
          <w:bCs/>
          <w:sz w:val="24"/>
        </w:rPr>
        <w:t>36.3.3 其他不符合质疑程序和有关规定的。</w:t>
      </w:r>
    </w:p>
    <w:p w14:paraId="20C5F2D5">
      <w:pPr>
        <w:spacing w:line="360" w:lineRule="auto"/>
        <w:ind w:firstLine="549"/>
        <w:rPr>
          <w:rFonts w:ascii="宋体" w:hAnsi="宋体" w:cs="宋体"/>
          <w:bCs/>
          <w:sz w:val="24"/>
        </w:rPr>
      </w:pPr>
      <w:r>
        <w:rPr>
          <w:rFonts w:hint="eastAsia" w:ascii="宋体" w:hAnsi="宋体" w:cs="宋体"/>
          <w:bCs/>
          <w:sz w:val="24"/>
        </w:rPr>
        <w:t>被判定无效质疑的，采购人将书面回复投标单位其质疑无效的理由，并记录无效质疑一次。</w:t>
      </w:r>
    </w:p>
    <w:p w14:paraId="25E4B1A9">
      <w:pPr>
        <w:spacing w:line="360" w:lineRule="auto"/>
        <w:ind w:firstLine="549"/>
        <w:rPr>
          <w:rFonts w:ascii="宋体" w:hAnsi="宋体" w:cs="宋体"/>
          <w:bCs/>
          <w:sz w:val="24"/>
        </w:rPr>
      </w:pPr>
      <w:r>
        <w:rPr>
          <w:rFonts w:hint="eastAsia" w:ascii="宋体" w:hAnsi="宋体" w:cs="宋体"/>
          <w:bCs/>
          <w:sz w:val="24"/>
        </w:rPr>
        <w:t>36.4</w:t>
      </w:r>
      <w:r>
        <w:rPr>
          <w:rFonts w:hint="eastAsia" w:ascii="宋体" w:hAnsi="宋体" w:cs="宋体"/>
          <w:sz w:val="24"/>
        </w:rPr>
        <w:t>采购人</w:t>
      </w:r>
      <w:r>
        <w:rPr>
          <w:rFonts w:hint="eastAsia" w:ascii="宋体" w:hAnsi="宋体" w:cs="宋体"/>
          <w:bCs/>
          <w:sz w:val="24"/>
        </w:rPr>
        <w:t>将在受到书面质疑后7个工作日内审查质疑事项，作出答复或相关处理决定，并以书面形式通知质疑人，但答复的内容不涉及商业秘密。</w:t>
      </w:r>
    </w:p>
    <w:p w14:paraId="7D43D272">
      <w:pPr>
        <w:spacing w:line="360" w:lineRule="auto"/>
        <w:ind w:firstLine="549"/>
        <w:rPr>
          <w:rFonts w:ascii="宋体" w:hAnsi="宋体" w:cs="宋体"/>
          <w:bCs/>
          <w:sz w:val="24"/>
        </w:rPr>
      </w:pPr>
      <w:r>
        <w:rPr>
          <w:rFonts w:hint="eastAsia" w:ascii="宋体" w:hAnsi="宋体" w:cs="宋体"/>
          <w:sz w:val="24"/>
        </w:rPr>
        <w:t>36.5</w:t>
      </w:r>
      <w:r>
        <w:rPr>
          <w:rFonts w:hint="eastAsia" w:ascii="宋体" w:hAnsi="宋体" w:cs="宋体"/>
          <w:bCs/>
          <w:sz w:val="24"/>
        </w:rPr>
        <w:t>投诉人有下列情形之一的，属于虚假、恶意投诉，</w:t>
      </w:r>
      <w:r>
        <w:rPr>
          <w:rFonts w:hint="eastAsia" w:ascii="宋体" w:hAnsi="宋体" w:cs="宋体"/>
          <w:sz w:val="24"/>
        </w:rPr>
        <w:t>政府采购监督管理部门</w:t>
      </w:r>
      <w:r>
        <w:rPr>
          <w:rFonts w:hint="eastAsia" w:ascii="宋体" w:hAnsi="宋体" w:cs="宋体"/>
          <w:bCs/>
          <w:sz w:val="24"/>
        </w:rPr>
        <w:t>将驳回投诉，将其列入不良行为记录名单，并依法予以处罚：</w:t>
      </w:r>
    </w:p>
    <w:p w14:paraId="21FECC09">
      <w:pPr>
        <w:spacing w:line="360" w:lineRule="auto"/>
        <w:ind w:firstLine="523" w:firstLineChars="218"/>
        <w:rPr>
          <w:rFonts w:ascii="宋体" w:hAnsi="宋体" w:cs="宋体"/>
          <w:bCs/>
          <w:sz w:val="24"/>
        </w:rPr>
      </w:pPr>
      <w:r>
        <w:rPr>
          <w:rFonts w:hint="eastAsia" w:ascii="宋体" w:hAnsi="宋体" w:cs="宋体"/>
          <w:bCs/>
          <w:sz w:val="24"/>
        </w:rPr>
        <w:t>36.5.1一年内三次以上投诉均查无实据的；</w:t>
      </w:r>
    </w:p>
    <w:p w14:paraId="3C98D3BE">
      <w:pPr>
        <w:spacing w:line="360" w:lineRule="auto"/>
        <w:ind w:firstLine="523" w:firstLineChars="218"/>
        <w:rPr>
          <w:rFonts w:ascii="宋体" w:hAnsi="宋体" w:cs="宋体"/>
          <w:bCs/>
          <w:sz w:val="24"/>
        </w:rPr>
      </w:pPr>
      <w:r>
        <w:rPr>
          <w:rFonts w:hint="eastAsia" w:ascii="宋体" w:hAnsi="宋体" w:cs="宋体"/>
          <w:bCs/>
          <w:sz w:val="24"/>
        </w:rPr>
        <w:t>36.5.2捏造事实、提供虚假投诉材料或提供以非法手段取得的证明材料质疑的；</w:t>
      </w:r>
    </w:p>
    <w:p w14:paraId="469D209D">
      <w:pPr>
        <w:spacing w:line="360" w:lineRule="auto"/>
        <w:ind w:firstLine="523" w:firstLineChars="218"/>
        <w:rPr>
          <w:rFonts w:ascii="宋体" w:hAnsi="宋体" w:cs="宋体"/>
          <w:bCs/>
          <w:sz w:val="24"/>
        </w:rPr>
      </w:pPr>
      <w:r>
        <w:rPr>
          <w:rFonts w:hint="eastAsia" w:ascii="宋体" w:hAnsi="宋体" w:cs="宋体"/>
          <w:sz w:val="24"/>
        </w:rPr>
        <w:t>36.5.3其他经认定属于虚假、恶意投诉的行为</w:t>
      </w:r>
      <w:r>
        <w:rPr>
          <w:rFonts w:hint="eastAsia" w:ascii="宋体" w:hAnsi="宋体" w:cs="宋体"/>
          <w:bCs/>
          <w:sz w:val="24"/>
        </w:rPr>
        <w:t>。</w:t>
      </w:r>
    </w:p>
    <w:p w14:paraId="1775B22B">
      <w:pPr>
        <w:spacing w:line="360" w:lineRule="auto"/>
        <w:ind w:firstLine="549"/>
        <w:rPr>
          <w:rFonts w:ascii="宋体" w:hAnsi="宋体" w:cs="宋体"/>
          <w:b/>
          <w:sz w:val="24"/>
        </w:rPr>
      </w:pPr>
      <w:r>
        <w:rPr>
          <w:rFonts w:hint="eastAsia" w:ascii="宋体" w:hAnsi="宋体" w:cs="宋体"/>
          <w:b/>
          <w:sz w:val="24"/>
        </w:rPr>
        <w:t>37.未尽事宜</w:t>
      </w:r>
    </w:p>
    <w:p w14:paraId="3A92A1E1">
      <w:pPr>
        <w:spacing w:line="360" w:lineRule="auto"/>
        <w:ind w:firstLine="549"/>
        <w:rPr>
          <w:rFonts w:ascii="宋体" w:hAnsi="宋体" w:cs="宋体"/>
          <w:sz w:val="24"/>
        </w:rPr>
      </w:pPr>
      <w:r>
        <w:rPr>
          <w:rFonts w:hint="eastAsia" w:ascii="宋体" w:hAnsi="宋体" w:cs="宋体"/>
          <w:sz w:val="24"/>
        </w:rPr>
        <w:t>37.1按《中华人民共和国政府采购法》及其他有关法律法规的规定执行。</w:t>
      </w:r>
    </w:p>
    <w:p w14:paraId="48B164CD">
      <w:pPr>
        <w:spacing w:line="360" w:lineRule="auto"/>
        <w:ind w:firstLine="549"/>
        <w:rPr>
          <w:rFonts w:ascii="宋体" w:hAnsi="宋体" w:cs="宋体"/>
          <w:bCs/>
          <w:sz w:val="24"/>
        </w:rPr>
      </w:pPr>
      <w:r>
        <w:rPr>
          <w:rFonts w:hint="eastAsia" w:ascii="宋体" w:hAnsi="宋体" w:cs="宋体"/>
          <w:b/>
          <w:sz w:val="24"/>
        </w:rPr>
        <w:t>38.解释权</w:t>
      </w:r>
    </w:p>
    <w:p w14:paraId="564F22AF">
      <w:pPr>
        <w:spacing w:line="360" w:lineRule="auto"/>
        <w:ind w:firstLine="549"/>
        <w:rPr>
          <w:rFonts w:ascii="宋体" w:hAnsi="宋体" w:cs="宋体"/>
          <w:bCs/>
          <w:sz w:val="24"/>
        </w:rPr>
      </w:pPr>
      <w:r>
        <w:rPr>
          <w:rFonts w:hint="eastAsia" w:ascii="宋体" w:hAnsi="宋体" w:cs="宋体"/>
          <w:bCs/>
          <w:sz w:val="24"/>
        </w:rPr>
        <w:t>38.1本招标文件的解释权属于采购人。</w:t>
      </w:r>
    </w:p>
    <w:p w14:paraId="6A99F7B5">
      <w:pPr>
        <w:spacing w:line="360" w:lineRule="auto"/>
        <w:rPr>
          <w:rFonts w:ascii="宋体" w:hAnsi="宋体" w:cs="宋体"/>
          <w:bCs/>
          <w:sz w:val="24"/>
        </w:rPr>
      </w:pPr>
    </w:p>
    <w:p w14:paraId="11288839">
      <w:pPr>
        <w:pStyle w:val="4"/>
        <w:spacing w:before="0" w:after="0" w:line="500" w:lineRule="exact"/>
        <w:ind w:firstLine="0"/>
        <w:rPr>
          <w:rFonts w:ascii="方正小标宋简体" w:hAnsi="黑体" w:eastAsia="方正小标宋简体" w:cs="黑体"/>
          <w:b w:val="0"/>
          <w:sz w:val="28"/>
          <w:szCs w:val="28"/>
        </w:rPr>
      </w:pPr>
      <w:bookmarkStart w:id="111" w:name="_Toc220232391"/>
      <w:bookmarkStart w:id="112" w:name="_Toc26087_WPSOffice_Level1"/>
      <w:r>
        <w:rPr>
          <w:rFonts w:ascii="宋体" w:hAnsi="宋体" w:eastAsia="宋体" w:cs="宋体"/>
        </w:rPr>
        <w:br w:type="page"/>
      </w:r>
      <w:bookmarkStart w:id="113" w:name="_Toc40975448"/>
      <w:r>
        <w:rPr>
          <w:rFonts w:hint="eastAsia" w:ascii="宋体" w:hAnsi="宋体" w:eastAsia="宋体" w:cs="宋体"/>
        </w:rPr>
        <w:t>第六章</w:t>
      </w:r>
      <w:bookmarkEnd w:id="111"/>
      <w:bookmarkStart w:id="114" w:name="_Toc220232392"/>
      <w:r>
        <w:rPr>
          <w:rFonts w:hint="eastAsia" w:ascii="宋体" w:hAnsi="宋体" w:eastAsia="宋体" w:cs="宋体"/>
        </w:rPr>
        <w:t xml:space="preserve"> </w:t>
      </w:r>
      <w:bookmarkEnd w:id="112"/>
      <w:bookmarkEnd w:id="113"/>
      <w:bookmarkEnd w:id="114"/>
      <w:r>
        <w:rPr>
          <w:rFonts w:hint="eastAsia" w:ascii="方正小标宋简体" w:hAnsi="黑体" w:eastAsia="方正小标宋简体" w:cs="黑体"/>
          <w:b w:val="0"/>
          <w:w w:val="92"/>
          <w:sz w:val="28"/>
          <w:szCs w:val="28"/>
        </w:rPr>
        <w:t>周口市</w:t>
      </w:r>
      <w:r>
        <w:rPr>
          <w:rFonts w:hint="eastAsia" w:ascii="方正小标宋简体" w:hAnsi="黑体" w:eastAsia="方正小标宋简体" w:cs="黑体"/>
          <w:b w:val="0"/>
          <w:sz w:val="28"/>
          <w:szCs w:val="28"/>
        </w:rPr>
        <w:t>政府采购合同（货物类）标准文本</w:t>
      </w:r>
    </w:p>
    <w:p w14:paraId="4A4DD0B5">
      <w:pPr>
        <w:rPr>
          <w:rFonts w:ascii="黑体" w:hAnsi="黑体" w:eastAsia="黑体" w:cs="黑体"/>
          <w:sz w:val="28"/>
          <w:szCs w:val="28"/>
        </w:rPr>
      </w:pPr>
    </w:p>
    <w:p w14:paraId="496ABCD4">
      <w:pPr>
        <w:pStyle w:val="51"/>
        <w:spacing w:beforeLines="0" w:afterLines="0"/>
        <w:ind w:left="0"/>
        <w:rPr>
          <w:rFonts w:ascii="黑体" w:hAnsi="黑体" w:eastAsia="黑体" w:cs="黑体"/>
          <w:sz w:val="32"/>
          <w:szCs w:val="32"/>
        </w:rPr>
      </w:pPr>
    </w:p>
    <w:p w14:paraId="78AE857D">
      <w:pPr>
        <w:pStyle w:val="51"/>
        <w:spacing w:beforeLines="0" w:afterLines="0"/>
        <w:ind w:left="0"/>
        <w:rPr>
          <w:rFonts w:ascii="黑体" w:hAnsi="黑体" w:eastAsia="黑体" w:cs="黑体"/>
          <w:sz w:val="32"/>
          <w:szCs w:val="32"/>
        </w:rPr>
      </w:pPr>
    </w:p>
    <w:p w14:paraId="5E3DEE79">
      <w:pPr>
        <w:pStyle w:val="51"/>
        <w:spacing w:beforeLines="0" w:afterLines="0"/>
        <w:ind w:left="0"/>
        <w:rPr>
          <w:rFonts w:ascii="黑体" w:hAnsi="黑体" w:eastAsia="黑体" w:cs="黑体"/>
          <w:sz w:val="30"/>
          <w:szCs w:val="30"/>
        </w:rPr>
      </w:pPr>
    </w:p>
    <w:p w14:paraId="521E8C4E">
      <w:pPr>
        <w:pStyle w:val="51"/>
        <w:spacing w:beforeLines="0" w:afterLines="0"/>
        <w:ind w:left="0"/>
        <w:rPr>
          <w:rFonts w:ascii="黑体" w:hAnsi="黑体" w:eastAsia="黑体" w:cs="黑体"/>
          <w:sz w:val="30"/>
          <w:szCs w:val="30"/>
        </w:rPr>
      </w:pPr>
    </w:p>
    <w:p w14:paraId="043BCE26">
      <w:pPr>
        <w:pStyle w:val="51"/>
        <w:spacing w:beforeLines="0" w:afterLines="0"/>
        <w:ind w:left="0"/>
        <w:rPr>
          <w:rFonts w:ascii="黑体" w:hAnsi="黑体" w:eastAsia="黑体" w:cs="黑体"/>
          <w:sz w:val="30"/>
          <w:szCs w:val="30"/>
        </w:rPr>
      </w:pPr>
    </w:p>
    <w:p w14:paraId="1A18F519">
      <w:pPr>
        <w:pStyle w:val="51"/>
        <w:spacing w:beforeLines="0" w:afterLines="0"/>
        <w:ind w:left="0"/>
        <w:rPr>
          <w:rFonts w:ascii="黑体" w:hAnsi="黑体" w:eastAsia="黑体" w:cs="黑体"/>
          <w:sz w:val="30"/>
          <w:szCs w:val="30"/>
        </w:rPr>
      </w:pPr>
    </w:p>
    <w:p w14:paraId="3913AA99">
      <w:pPr>
        <w:pStyle w:val="51"/>
        <w:spacing w:beforeLines="0" w:afterLines="0"/>
        <w:ind w:left="0"/>
        <w:rPr>
          <w:rFonts w:ascii="黑体" w:hAnsi="黑体" w:eastAsia="黑体" w:cs="黑体"/>
          <w:sz w:val="30"/>
          <w:szCs w:val="30"/>
        </w:rPr>
      </w:pPr>
    </w:p>
    <w:p w14:paraId="3C4899CD">
      <w:pPr>
        <w:pStyle w:val="51"/>
        <w:spacing w:beforeLines="0" w:afterLines="0"/>
        <w:ind w:left="0"/>
        <w:rPr>
          <w:rFonts w:ascii="黑体" w:hAnsi="黑体" w:eastAsia="黑体" w:cs="黑体"/>
          <w:sz w:val="30"/>
          <w:szCs w:val="30"/>
        </w:rPr>
      </w:pPr>
    </w:p>
    <w:p w14:paraId="3E7705E3">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政府采购项目名称：</w:t>
      </w:r>
    </w:p>
    <w:p w14:paraId="7B84466A">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政府采购项目编号：</w:t>
      </w:r>
    </w:p>
    <w:p w14:paraId="158814D0">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采      购    人：</w:t>
      </w:r>
    </w:p>
    <w:p w14:paraId="5AFFE064">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供      应    商：</w:t>
      </w:r>
    </w:p>
    <w:p w14:paraId="3F636059">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合  同  签 订 地：</w:t>
      </w:r>
    </w:p>
    <w:p w14:paraId="2FF1A05C">
      <w:pPr>
        <w:pStyle w:val="51"/>
        <w:spacing w:beforeLines="0" w:afterLines="0"/>
        <w:ind w:left="0"/>
        <w:rPr>
          <w:rFonts w:ascii="黑体" w:hAnsi="黑体" w:eastAsia="黑体" w:cs="黑体"/>
          <w:sz w:val="30"/>
          <w:szCs w:val="30"/>
        </w:rPr>
      </w:pPr>
      <w:r>
        <w:rPr>
          <w:rFonts w:hint="eastAsia" w:ascii="黑体" w:hAnsi="黑体" w:eastAsia="黑体" w:cs="黑体"/>
          <w:sz w:val="30"/>
          <w:szCs w:val="30"/>
        </w:rPr>
        <w:t>合 同 签订 时 间：</w:t>
      </w:r>
    </w:p>
    <w:p w14:paraId="4A856A3D">
      <w:pPr>
        <w:pStyle w:val="51"/>
        <w:spacing w:beforeLines="0" w:afterLines="0"/>
        <w:ind w:left="0"/>
        <w:rPr>
          <w:rFonts w:ascii="黑体" w:hAnsi="黑体" w:eastAsia="黑体" w:cs="黑体"/>
          <w:sz w:val="30"/>
          <w:szCs w:val="30"/>
        </w:rPr>
      </w:pPr>
    </w:p>
    <w:p w14:paraId="5FA94026">
      <w:pPr>
        <w:pStyle w:val="51"/>
        <w:spacing w:beforeLines="0" w:afterLines="0"/>
        <w:ind w:left="0"/>
        <w:rPr>
          <w:rFonts w:ascii="黑体" w:hAnsi="黑体" w:eastAsia="黑体" w:cs="黑体"/>
          <w:sz w:val="30"/>
          <w:szCs w:val="30"/>
        </w:rPr>
      </w:pPr>
    </w:p>
    <w:p w14:paraId="4B37C0D9">
      <w:pPr>
        <w:pStyle w:val="51"/>
        <w:spacing w:beforeLines="0" w:afterLines="0"/>
        <w:ind w:left="0"/>
        <w:rPr>
          <w:rFonts w:ascii="黑体" w:hAnsi="黑体" w:eastAsia="黑体" w:cs="黑体"/>
          <w:sz w:val="30"/>
          <w:szCs w:val="30"/>
        </w:rPr>
      </w:pPr>
    </w:p>
    <w:p w14:paraId="1AE58DB8">
      <w:pPr>
        <w:pStyle w:val="51"/>
        <w:spacing w:beforeLines="0" w:afterLines="0"/>
        <w:ind w:left="0"/>
        <w:rPr>
          <w:rFonts w:ascii="黑体" w:hAnsi="黑体" w:eastAsia="黑体" w:cs="黑体"/>
          <w:sz w:val="30"/>
          <w:szCs w:val="30"/>
        </w:rPr>
      </w:pPr>
    </w:p>
    <w:p w14:paraId="38147581">
      <w:pPr>
        <w:pStyle w:val="51"/>
        <w:spacing w:beforeLines="0" w:afterLines="0"/>
        <w:ind w:left="0"/>
        <w:rPr>
          <w:rFonts w:ascii="黑体" w:hAnsi="黑体" w:eastAsia="黑体" w:cs="黑体"/>
          <w:sz w:val="30"/>
          <w:szCs w:val="30"/>
        </w:rPr>
      </w:pPr>
    </w:p>
    <w:p w14:paraId="6376D011">
      <w:pPr>
        <w:pStyle w:val="51"/>
        <w:spacing w:beforeLines="0" w:afterLines="0"/>
        <w:ind w:left="0"/>
        <w:jc w:val="center"/>
        <w:rPr>
          <w:rFonts w:ascii="方正小标宋简体" w:eastAsia="方正小标宋简体"/>
          <w:sz w:val="32"/>
          <w:szCs w:val="32"/>
        </w:rPr>
      </w:pPr>
    </w:p>
    <w:p w14:paraId="1C97BEE5">
      <w:pPr>
        <w:pStyle w:val="51"/>
        <w:spacing w:beforeLines="0" w:afterLines="0" w:line="46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14:paraId="3BD68C1C">
      <w:pPr>
        <w:pStyle w:val="51"/>
        <w:spacing w:beforeLines="0" w:afterLines="0" w:line="460" w:lineRule="exact"/>
        <w:ind w:left="0" w:firstLine="420" w:firstLineChars="200"/>
        <w:rPr>
          <w:szCs w:val="21"/>
        </w:rPr>
      </w:pPr>
    </w:p>
    <w:p w14:paraId="0555FFCA">
      <w:pPr>
        <w:pStyle w:val="51"/>
        <w:spacing w:beforeLines="0" w:afterLines="0" w:line="460" w:lineRule="exact"/>
        <w:ind w:left="0" w:firstLine="420" w:firstLineChars="200"/>
        <w:rPr>
          <w:szCs w:val="21"/>
        </w:rPr>
      </w:pPr>
      <w:r>
        <w:rPr>
          <w:rFonts w:hint="eastAsia"/>
          <w:szCs w:val="21"/>
        </w:rPr>
        <w:t>一、采购人在签订合同时应提供的资料：</w:t>
      </w:r>
    </w:p>
    <w:p w14:paraId="389DB732">
      <w:pPr>
        <w:pStyle w:val="51"/>
        <w:spacing w:beforeLines="0" w:afterLines="0" w:line="460" w:lineRule="exact"/>
        <w:ind w:left="0" w:firstLine="420" w:firstLineChars="200"/>
        <w:rPr>
          <w:szCs w:val="21"/>
        </w:rPr>
      </w:pPr>
      <w:r>
        <w:rPr>
          <w:rFonts w:hint="eastAsia"/>
          <w:szCs w:val="21"/>
        </w:rPr>
        <w:t>1、该政府采购项目的招标采购文件（以网上发布内容为准）；</w:t>
      </w:r>
    </w:p>
    <w:p w14:paraId="5028568A">
      <w:pPr>
        <w:pStyle w:val="51"/>
        <w:spacing w:beforeLines="0" w:afterLines="0" w:line="460" w:lineRule="exact"/>
        <w:ind w:left="0" w:firstLine="420" w:firstLineChars="200"/>
        <w:rPr>
          <w:szCs w:val="21"/>
        </w:rPr>
      </w:pPr>
      <w:r>
        <w:rPr>
          <w:rFonts w:hint="eastAsia"/>
          <w:szCs w:val="21"/>
        </w:rPr>
        <w:t>2、该政府采购项目招标文件的澄清和修改内容（公告内容）；</w:t>
      </w:r>
    </w:p>
    <w:p w14:paraId="489B9B56">
      <w:pPr>
        <w:pStyle w:val="51"/>
        <w:spacing w:beforeLines="0" w:afterLines="0" w:line="460" w:lineRule="exact"/>
        <w:ind w:left="0" w:firstLine="420" w:firstLineChars="200"/>
        <w:rPr>
          <w:szCs w:val="21"/>
        </w:rPr>
      </w:pPr>
      <w:r>
        <w:rPr>
          <w:rFonts w:hint="eastAsia"/>
          <w:szCs w:val="21"/>
        </w:rPr>
        <w:t>3、该政府采购项目评审报告；</w:t>
      </w:r>
    </w:p>
    <w:p w14:paraId="63DE1330">
      <w:pPr>
        <w:pStyle w:val="51"/>
        <w:spacing w:beforeLines="0" w:afterLines="0" w:line="460" w:lineRule="exact"/>
        <w:ind w:left="0" w:firstLine="420" w:firstLineChars="200"/>
        <w:rPr>
          <w:szCs w:val="21"/>
        </w:rPr>
      </w:pPr>
      <w:r>
        <w:rPr>
          <w:rFonts w:hint="eastAsia"/>
          <w:szCs w:val="21"/>
        </w:rPr>
        <w:t>4、采购单位法人授权委托书（法人到场并签字的除外）；</w:t>
      </w:r>
    </w:p>
    <w:p w14:paraId="3DA2C3CE">
      <w:pPr>
        <w:pStyle w:val="51"/>
        <w:spacing w:beforeLines="0" w:afterLines="0" w:line="460" w:lineRule="exact"/>
        <w:ind w:left="0" w:firstLine="420" w:firstLineChars="200"/>
        <w:rPr>
          <w:szCs w:val="21"/>
        </w:rPr>
      </w:pPr>
      <w:r>
        <w:rPr>
          <w:rFonts w:hint="eastAsia"/>
          <w:szCs w:val="21"/>
        </w:rPr>
        <w:t>5、采购单位被授权人身份证件（法人到场并签字的除外）；</w:t>
      </w:r>
    </w:p>
    <w:p w14:paraId="54F31136">
      <w:pPr>
        <w:pStyle w:val="51"/>
        <w:spacing w:beforeLines="0" w:afterLines="0" w:line="460" w:lineRule="exact"/>
        <w:ind w:left="0" w:firstLine="420" w:firstLineChars="200"/>
        <w:rPr>
          <w:szCs w:val="21"/>
        </w:rPr>
      </w:pPr>
      <w:r>
        <w:rPr>
          <w:rFonts w:hint="eastAsia"/>
          <w:szCs w:val="21"/>
        </w:rPr>
        <w:t>6、采购人和中标供应商约定的其它内容（不得超出招标采购文件实质性内容）。</w:t>
      </w:r>
    </w:p>
    <w:p w14:paraId="075B67A6">
      <w:pPr>
        <w:pStyle w:val="51"/>
        <w:spacing w:beforeLines="0" w:afterLines="0" w:line="460" w:lineRule="exact"/>
        <w:ind w:left="0" w:firstLine="420" w:firstLineChars="200"/>
        <w:rPr>
          <w:szCs w:val="21"/>
        </w:rPr>
      </w:pPr>
      <w:r>
        <w:rPr>
          <w:rFonts w:hint="eastAsia"/>
          <w:szCs w:val="21"/>
        </w:rPr>
        <w:t>二、供应商在签订合同时应提供的资料：</w:t>
      </w:r>
    </w:p>
    <w:p w14:paraId="7B1294EE">
      <w:pPr>
        <w:pStyle w:val="51"/>
        <w:spacing w:beforeLines="0" w:afterLines="0" w:line="460" w:lineRule="exact"/>
        <w:ind w:left="0" w:firstLine="420" w:firstLineChars="200"/>
        <w:rPr>
          <w:szCs w:val="21"/>
        </w:rPr>
      </w:pPr>
      <w:r>
        <w:rPr>
          <w:rFonts w:hint="eastAsia"/>
          <w:szCs w:val="21"/>
        </w:rPr>
        <w:t>1、该政府采购项目的投标文件（纸质或DPF格式的电子投标文件）；</w:t>
      </w:r>
    </w:p>
    <w:p w14:paraId="3F0863E8">
      <w:pPr>
        <w:pStyle w:val="51"/>
        <w:spacing w:beforeLines="0" w:afterLines="0" w:line="460" w:lineRule="exact"/>
        <w:ind w:left="0" w:firstLine="420" w:firstLineChars="200"/>
        <w:rPr>
          <w:szCs w:val="21"/>
        </w:rPr>
      </w:pPr>
      <w:r>
        <w:rPr>
          <w:rFonts w:hint="eastAsia"/>
          <w:szCs w:val="21"/>
        </w:rPr>
        <w:t>2、针对该项目评审时评审委员会提出的质询答复（纸质并签章）；</w:t>
      </w:r>
    </w:p>
    <w:p w14:paraId="0F542412">
      <w:pPr>
        <w:pStyle w:val="51"/>
        <w:spacing w:beforeLines="0" w:afterLines="0" w:line="460" w:lineRule="exact"/>
        <w:ind w:left="0" w:firstLine="420" w:firstLineChars="200"/>
        <w:rPr>
          <w:szCs w:val="21"/>
        </w:rPr>
      </w:pPr>
      <w:r>
        <w:rPr>
          <w:rFonts w:hint="eastAsia"/>
          <w:szCs w:val="21"/>
        </w:rPr>
        <w:t>3、该政府采购项目中标通知书；</w:t>
      </w:r>
    </w:p>
    <w:p w14:paraId="23511DE4">
      <w:pPr>
        <w:pStyle w:val="51"/>
        <w:spacing w:beforeLines="0" w:afterLines="0" w:line="460" w:lineRule="exact"/>
        <w:ind w:left="0" w:firstLine="420" w:firstLineChars="200"/>
        <w:rPr>
          <w:szCs w:val="21"/>
        </w:rPr>
      </w:pPr>
      <w:r>
        <w:rPr>
          <w:rFonts w:hint="eastAsia"/>
          <w:szCs w:val="21"/>
        </w:rPr>
        <w:t>4、供应商法人授权委托书（法人到场并签字的除外）；</w:t>
      </w:r>
    </w:p>
    <w:p w14:paraId="630F57B4">
      <w:pPr>
        <w:pStyle w:val="51"/>
        <w:spacing w:beforeLines="0" w:afterLines="0" w:line="460" w:lineRule="exact"/>
        <w:ind w:left="0" w:firstLine="420" w:firstLineChars="200"/>
        <w:rPr>
          <w:szCs w:val="21"/>
        </w:rPr>
      </w:pPr>
      <w:r>
        <w:rPr>
          <w:rFonts w:hint="eastAsia"/>
          <w:szCs w:val="21"/>
        </w:rPr>
        <w:t>5、供应商被授权人身份证件（法人到场并签字的除外）；</w:t>
      </w:r>
    </w:p>
    <w:p w14:paraId="410EE738">
      <w:pPr>
        <w:pStyle w:val="51"/>
        <w:spacing w:beforeLines="0" w:afterLines="0" w:line="460" w:lineRule="exact"/>
        <w:ind w:left="0" w:firstLine="420" w:firstLineChars="200"/>
        <w:rPr>
          <w:szCs w:val="21"/>
        </w:rPr>
      </w:pPr>
      <w:r>
        <w:rPr>
          <w:rFonts w:hint="eastAsia"/>
          <w:szCs w:val="21"/>
        </w:rPr>
        <w:t>6、供应商和采购人约定的其它内容（不得超出招标采购文件实质性内容）。</w:t>
      </w:r>
    </w:p>
    <w:p w14:paraId="69CE76BC">
      <w:pPr>
        <w:pStyle w:val="51"/>
        <w:spacing w:beforeLines="0" w:afterLines="0" w:line="460" w:lineRule="exact"/>
        <w:ind w:left="0" w:firstLine="420" w:firstLineChars="200"/>
        <w:rPr>
          <w:sz w:val="30"/>
          <w:szCs w:val="30"/>
        </w:rPr>
      </w:pPr>
      <w:r>
        <w:rPr>
          <w:rFonts w:hint="eastAsia"/>
          <w:szCs w:val="21"/>
        </w:rPr>
        <w:t>三、本合同签订后二个工作日内有采购人在“周口市政府采购网”上进行合同公示。</w:t>
      </w:r>
    </w:p>
    <w:p w14:paraId="38C48F98">
      <w:pPr>
        <w:pStyle w:val="51"/>
        <w:spacing w:beforeLines="0" w:afterLines="0" w:line="460" w:lineRule="exact"/>
        <w:ind w:left="0" w:firstLine="640" w:firstLineChars="200"/>
        <w:jc w:val="center"/>
        <w:rPr>
          <w:rFonts w:ascii="方正小标宋简体" w:eastAsia="方正小标宋简体"/>
          <w:bCs/>
          <w:sz w:val="32"/>
          <w:szCs w:val="32"/>
        </w:rPr>
      </w:pPr>
    </w:p>
    <w:p w14:paraId="0E114E26">
      <w:pPr>
        <w:pStyle w:val="51"/>
        <w:spacing w:beforeLines="0" w:afterLines="0" w:line="460" w:lineRule="exact"/>
        <w:ind w:left="0" w:firstLine="640" w:firstLineChars="200"/>
        <w:jc w:val="center"/>
        <w:rPr>
          <w:rFonts w:ascii="方正小标宋简体" w:eastAsia="方正小标宋简体"/>
          <w:sz w:val="32"/>
          <w:szCs w:val="32"/>
        </w:rPr>
      </w:pPr>
      <w:r>
        <w:rPr>
          <w:rFonts w:hint="eastAsia" w:ascii="方正小标宋简体" w:eastAsia="方正小标宋简体"/>
          <w:bCs/>
          <w:sz w:val="32"/>
          <w:szCs w:val="32"/>
        </w:rPr>
        <w:t>供应商履约验收指引</w:t>
      </w:r>
    </w:p>
    <w:p w14:paraId="7DB5503E">
      <w:pPr>
        <w:pStyle w:val="51"/>
        <w:numPr>
          <w:ilvl w:val="0"/>
          <w:numId w:val="6"/>
        </w:numPr>
        <w:spacing w:beforeLines="0" w:afterLines="0" w:line="460" w:lineRule="exact"/>
        <w:ind w:left="0" w:firstLine="420" w:firstLineChars="200"/>
        <w:rPr>
          <w:szCs w:val="27"/>
        </w:rPr>
      </w:pPr>
      <w:r>
        <w:rPr>
          <w:rFonts w:hint="eastAsia" w:ascii="宋体"/>
          <w:szCs w:val="21"/>
        </w:rPr>
        <w:t>供应商不得擅自变更合同标的物内容；</w:t>
      </w:r>
    </w:p>
    <w:p w14:paraId="6E307C27">
      <w:pPr>
        <w:pStyle w:val="51"/>
        <w:spacing w:beforeLines="0" w:afterLines="0" w:line="460" w:lineRule="exact"/>
        <w:ind w:left="0" w:firstLine="420" w:firstLineChars="200"/>
        <w:rPr>
          <w:rFonts w:ascii="宋体"/>
          <w:szCs w:val="21"/>
        </w:rPr>
      </w:pPr>
      <w:r>
        <w:rPr>
          <w:rFonts w:hint="eastAsia" w:ascii="宋体"/>
          <w:szCs w:val="21"/>
        </w:rPr>
        <w:t>2、不得以次充好、高投低配，确因在合同执行中不可抗力因素造成的，应提供相关依据；</w:t>
      </w:r>
    </w:p>
    <w:p w14:paraId="142EF9B7">
      <w:pPr>
        <w:pStyle w:val="51"/>
        <w:spacing w:beforeLines="0" w:afterLines="0" w:line="460" w:lineRule="exact"/>
        <w:ind w:left="0" w:firstLine="420" w:firstLineChars="200"/>
        <w:rPr>
          <w:rFonts w:ascii="宋体"/>
          <w:szCs w:val="21"/>
        </w:rPr>
      </w:pPr>
      <w:r>
        <w:rPr>
          <w:rFonts w:hint="eastAsia" w:ascii="宋体"/>
          <w:szCs w:val="21"/>
        </w:rPr>
        <w:t>3、对因客观上采购人采购需求发生变化造成的，应提供采、供双方的纸质备忘录材料；</w:t>
      </w:r>
    </w:p>
    <w:p w14:paraId="050C1CA7">
      <w:pPr>
        <w:pStyle w:val="51"/>
        <w:spacing w:beforeLines="0" w:afterLines="0" w:line="460" w:lineRule="exact"/>
        <w:ind w:left="0" w:firstLine="420" w:firstLineChars="200"/>
        <w:rPr>
          <w:szCs w:val="21"/>
        </w:rPr>
      </w:pPr>
      <w:r>
        <w:rPr>
          <w:rFonts w:hint="eastAsia"/>
          <w:szCs w:val="21"/>
        </w:rPr>
        <w:t>4、在满足验收条件5个工作日内通知采购人组织验收；</w:t>
      </w:r>
    </w:p>
    <w:p w14:paraId="0259DB30">
      <w:pPr>
        <w:pStyle w:val="51"/>
        <w:spacing w:beforeLines="0" w:afterLines="0" w:line="460" w:lineRule="exact"/>
        <w:ind w:left="0" w:firstLine="420" w:firstLineChars="200"/>
        <w:rPr>
          <w:rFonts w:ascii="宋体"/>
          <w:szCs w:val="21"/>
        </w:rPr>
      </w:pPr>
      <w:r>
        <w:rPr>
          <w:rFonts w:hint="eastAsia"/>
          <w:szCs w:val="21"/>
        </w:rPr>
        <w:t>5、</w:t>
      </w:r>
      <w:r>
        <w:rPr>
          <w:rFonts w:hint="eastAsia" w:ascii="宋体"/>
          <w:szCs w:val="21"/>
        </w:rPr>
        <w:t>供应商应提供需验收物品的清单、参数、使用手册、人员培训情况等资料；</w:t>
      </w:r>
    </w:p>
    <w:p w14:paraId="6DEE848F">
      <w:pPr>
        <w:pStyle w:val="51"/>
        <w:spacing w:beforeLines="0" w:afterLines="0" w:line="460" w:lineRule="exact"/>
        <w:ind w:left="0" w:firstLine="420" w:firstLineChars="200"/>
        <w:rPr>
          <w:rFonts w:ascii="宋体"/>
          <w:szCs w:val="21"/>
        </w:rPr>
      </w:pPr>
      <w:r>
        <w:rPr>
          <w:rFonts w:hint="eastAsia" w:ascii="宋体"/>
          <w:szCs w:val="21"/>
        </w:rPr>
        <w:t>6、采、供双方约定的验收机构及相关人员组成情况。</w:t>
      </w:r>
    </w:p>
    <w:p w14:paraId="087529E0">
      <w:pPr>
        <w:pStyle w:val="51"/>
        <w:spacing w:beforeLines="0" w:afterLines="0" w:line="460" w:lineRule="exact"/>
        <w:ind w:left="0" w:firstLine="420" w:firstLineChars="200"/>
        <w:rPr>
          <w:szCs w:val="27"/>
        </w:rPr>
      </w:pPr>
      <w:r>
        <w:rPr>
          <w:rFonts w:hint="eastAsia" w:ascii="宋体"/>
          <w:szCs w:val="21"/>
        </w:rPr>
        <w:t>7、督促采购人在项目验收结束并达到相关要求后一个工作日内，在</w:t>
      </w:r>
      <w:r>
        <w:rPr>
          <w:rFonts w:hint="eastAsia"/>
          <w:szCs w:val="21"/>
        </w:rPr>
        <w:t>“周口市政府采购网”上进行“履约验收”公示。</w:t>
      </w:r>
    </w:p>
    <w:p w14:paraId="470438FC">
      <w:pPr>
        <w:rPr>
          <w:rFonts w:ascii="方正小标宋简体" w:hAnsi="宋体" w:eastAsia="方正小标宋简体"/>
        </w:rPr>
      </w:pPr>
      <w:r>
        <w:rPr>
          <w:rFonts w:hint="eastAsia" w:ascii="方正小标宋简体" w:hAnsi="宋体" w:eastAsia="方正小标宋简体"/>
        </w:rPr>
        <w:br w:type="page"/>
      </w:r>
    </w:p>
    <w:p w14:paraId="53C28011">
      <w:pPr>
        <w:pStyle w:val="4"/>
        <w:spacing w:before="0" w:after="0" w:line="520" w:lineRule="exact"/>
        <w:ind w:firstLine="0"/>
        <w:rPr>
          <w:rFonts w:ascii="方正小标宋简体" w:hAnsi="宋体" w:eastAsia="方正小标宋简体"/>
          <w:b w:val="0"/>
          <w:szCs w:val="36"/>
        </w:rPr>
      </w:pPr>
      <w:r>
        <w:rPr>
          <w:rFonts w:hint="eastAsia" w:ascii="方正小标宋简体" w:hAnsi="宋体" w:eastAsia="方正小标宋简体"/>
          <w:b w:val="0"/>
        </w:rPr>
        <w:t>采购合同内容</w:t>
      </w:r>
    </w:p>
    <w:p w14:paraId="7710A144">
      <w:pPr>
        <w:spacing w:line="520" w:lineRule="exact"/>
        <w:ind w:firstLine="420" w:firstLineChars="200"/>
        <w:rPr>
          <w:szCs w:val="27"/>
        </w:rPr>
      </w:pPr>
    </w:p>
    <w:p w14:paraId="37F473FE">
      <w:pPr>
        <w:spacing w:line="360" w:lineRule="auto"/>
        <w:ind w:firstLine="420" w:firstLineChars="200"/>
        <w:rPr>
          <w:szCs w:val="27"/>
          <w:u w:val="single"/>
        </w:rPr>
      </w:pPr>
      <w:r>
        <w:rPr>
          <w:rFonts w:hint="eastAsia"/>
          <w:szCs w:val="27"/>
        </w:rPr>
        <w:t>采购人</w:t>
      </w:r>
      <w:r>
        <w:rPr>
          <w:szCs w:val="27"/>
        </w:rPr>
        <w:t>（甲方）：</w:t>
      </w:r>
      <w:r>
        <w:rPr>
          <w:rFonts w:hint="eastAsia"/>
          <w:szCs w:val="27"/>
        </w:rPr>
        <w:t xml:space="preserve"> </w:t>
      </w:r>
    </w:p>
    <w:p w14:paraId="3A1FDC9E">
      <w:pPr>
        <w:spacing w:line="360" w:lineRule="auto"/>
        <w:ind w:firstLine="420" w:firstLineChars="200"/>
        <w:rPr>
          <w:szCs w:val="27"/>
        </w:rPr>
      </w:pPr>
      <w:r>
        <w:rPr>
          <w:rFonts w:hint="eastAsia"/>
          <w:szCs w:val="27"/>
        </w:rPr>
        <w:t>供应商</w:t>
      </w:r>
      <w:r>
        <w:rPr>
          <w:szCs w:val="27"/>
        </w:rPr>
        <w:t>（乙方）</w:t>
      </w:r>
      <w:r>
        <w:rPr>
          <w:rFonts w:hint="eastAsia"/>
          <w:szCs w:val="27"/>
        </w:rPr>
        <w:t>：</w:t>
      </w:r>
    </w:p>
    <w:p w14:paraId="4286D658">
      <w:pPr>
        <w:spacing w:line="360" w:lineRule="auto"/>
        <w:ind w:firstLine="420" w:firstLineChars="200"/>
        <w:rPr>
          <w:szCs w:val="27"/>
          <w:u w:val="single"/>
        </w:rPr>
      </w:pPr>
      <w:r>
        <w:rPr>
          <w:rFonts w:hint="eastAsia"/>
          <w:szCs w:val="27"/>
        </w:rPr>
        <w:t>签订地点：</w:t>
      </w:r>
    </w:p>
    <w:p w14:paraId="72EA58D3">
      <w:pPr>
        <w:spacing w:line="360" w:lineRule="auto"/>
        <w:ind w:firstLine="420" w:firstLineChars="200"/>
        <w:rPr>
          <w:szCs w:val="27"/>
          <w:u w:val="single"/>
        </w:rPr>
      </w:pPr>
      <w:r>
        <w:rPr>
          <w:rFonts w:hint="eastAsia"/>
          <w:szCs w:val="27"/>
        </w:rPr>
        <w:t>项目名称：</w:t>
      </w:r>
    </w:p>
    <w:p w14:paraId="0235B021">
      <w:pPr>
        <w:spacing w:line="360" w:lineRule="auto"/>
        <w:ind w:firstLine="420" w:firstLineChars="200"/>
        <w:rPr>
          <w:szCs w:val="27"/>
          <w:u w:val="single"/>
        </w:rPr>
      </w:pPr>
      <w:r>
        <w:rPr>
          <w:rFonts w:hint="eastAsia"/>
          <w:szCs w:val="27"/>
        </w:rPr>
        <w:t>项目编号：</w:t>
      </w:r>
    </w:p>
    <w:p w14:paraId="78B243A6">
      <w:pPr>
        <w:spacing w:line="360" w:lineRule="auto"/>
        <w:ind w:firstLine="420" w:firstLineChars="200"/>
      </w:pPr>
      <w:r>
        <w:rPr>
          <w:rFonts w:hint="eastAsia"/>
          <w:szCs w:val="27"/>
        </w:rPr>
        <w:t>财政委托号：</w:t>
      </w:r>
      <w:r>
        <w:rPr>
          <w:rFonts w:hint="eastAsia"/>
          <w:szCs w:val="27"/>
          <w:u w:val="single"/>
        </w:rPr>
        <w:t xml:space="preserve">      </w:t>
      </w:r>
      <w:r>
        <w:rPr>
          <w:rFonts w:hint="eastAsia"/>
          <w:szCs w:val="27"/>
        </w:rPr>
        <w:t>(财政资金项目必须填写)</w:t>
      </w:r>
    </w:p>
    <w:p w14:paraId="032A9ACF">
      <w:pPr>
        <w:spacing w:line="360" w:lineRule="auto"/>
        <w:ind w:firstLine="420" w:firstLineChars="200"/>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w:t>
      </w:r>
      <w:r>
        <w:rPr>
          <w:szCs w:val="27"/>
        </w:rPr>
        <w:t>根据《中华人民共和</w:t>
      </w:r>
      <w:r>
        <w:rPr>
          <w:rFonts w:hint="eastAsia"/>
          <w:szCs w:val="27"/>
        </w:rPr>
        <w:t>国采购法</w:t>
      </w:r>
      <w:r>
        <w:rPr>
          <w:szCs w:val="27"/>
        </w:rPr>
        <w:t>法》</w:t>
      </w:r>
      <w:r>
        <w:rPr>
          <w:rFonts w:hint="eastAsia"/>
          <w:szCs w:val="27"/>
        </w:rPr>
        <w:t>、</w:t>
      </w:r>
      <w:r>
        <w:rPr>
          <w:szCs w:val="27"/>
        </w:rPr>
        <w:t>《中华人民共和国合同法》之规定，经甲乙双方充分协商，特订立</w:t>
      </w:r>
      <w:r>
        <w:rPr>
          <w:rFonts w:hint="eastAsia"/>
          <w:szCs w:val="27"/>
        </w:rPr>
        <w:t>本</w:t>
      </w:r>
      <w:r>
        <w:rPr>
          <w:szCs w:val="27"/>
        </w:rPr>
        <w:t>合同，以便共同遵守。</w:t>
      </w:r>
    </w:p>
    <w:p w14:paraId="517BD49F">
      <w:pPr>
        <w:spacing w:line="360" w:lineRule="auto"/>
        <w:ind w:firstLine="422" w:firstLineChars="200"/>
        <w:rPr>
          <w:u w:val="single"/>
        </w:rPr>
      </w:pPr>
      <w:r>
        <w:rPr>
          <w:b/>
          <w:bCs/>
          <w:szCs w:val="27"/>
        </w:rPr>
        <w:t>第一条</w:t>
      </w:r>
      <w:r>
        <w:rPr>
          <w:szCs w:val="27"/>
        </w:rPr>
        <w:t> </w:t>
      </w:r>
      <w:r>
        <w:rPr>
          <w:rFonts w:hint="eastAsia"/>
          <w:szCs w:val="27"/>
        </w:rPr>
        <w:t xml:space="preserve">  </w:t>
      </w:r>
      <w:r>
        <w:rPr>
          <w:szCs w:val="27"/>
        </w:rPr>
        <w:t>产品的名称、品种、规格</w:t>
      </w:r>
      <w:r>
        <w:rPr>
          <w:rFonts w:hint="eastAsia"/>
          <w:szCs w:val="27"/>
        </w:rPr>
        <w:t>、数量和价格：（若产品过多则见附表，如有附表则必须加盖印章）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2C84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7CEA099">
            <w:pPr>
              <w:spacing w:line="360" w:lineRule="auto"/>
              <w:ind w:firstLine="420" w:firstLineChars="200"/>
            </w:pPr>
            <w:r>
              <w:rPr>
                <w:rFonts w:hint="eastAsia"/>
              </w:rPr>
              <w:t>产品名称</w:t>
            </w:r>
          </w:p>
        </w:tc>
        <w:tc>
          <w:tcPr>
            <w:tcW w:w="1623" w:type="dxa"/>
          </w:tcPr>
          <w:p w14:paraId="58E7FBAB">
            <w:pPr>
              <w:spacing w:line="360" w:lineRule="auto"/>
              <w:ind w:firstLine="420" w:firstLineChars="200"/>
            </w:pPr>
            <w:r>
              <w:rPr>
                <w:rFonts w:hint="eastAsia"/>
              </w:rPr>
              <w:t>规格型号</w:t>
            </w:r>
          </w:p>
        </w:tc>
        <w:tc>
          <w:tcPr>
            <w:tcW w:w="902" w:type="dxa"/>
          </w:tcPr>
          <w:p w14:paraId="6599C8D3">
            <w:pPr>
              <w:spacing w:line="360" w:lineRule="auto"/>
              <w:ind w:firstLine="420" w:firstLineChars="200"/>
            </w:pPr>
            <w:r>
              <w:rPr>
                <w:rFonts w:hint="eastAsia"/>
              </w:rPr>
              <w:t>单位</w:t>
            </w:r>
          </w:p>
        </w:tc>
        <w:tc>
          <w:tcPr>
            <w:tcW w:w="902" w:type="dxa"/>
          </w:tcPr>
          <w:p w14:paraId="5614718B">
            <w:pPr>
              <w:spacing w:line="360" w:lineRule="auto"/>
              <w:ind w:firstLine="420" w:firstLineChars="200"/>
            </w:pPr>
            <w:r>
              <w:rPr>
                <w:rFonts w:hint="eastAsia"/>
              </w:rPr>
              <w:t>数量</w:t>
            </w:r>
          </w:p>
        </w:tc>
        <w:tc>
          <w:tcPr>
            <w:tcW w:w="1071" w:type="dxa"/>
          </w:tcPr>
          <w:p w14:paraId="37409147">
            <w:pPr>
              <w:spacing w:line="360" w:lineRule="auto"/>
              <w:ind w:firstLine="420" w:firstLineChars="200"/>
            </w:pPr>
            <w:r>
              <w:rPr>
                <w:rFonts w:hint="eastAsia"/>
              </w:rPr>
              <w:t>单价</w:t>
            </w:r>
          </w:p>
        </w:tc>
        <w:tc>
          <w:tcPr>
            <w:tcW w:w="1250" w:type="dxa"/>
          </w:tcPr>
          <w:p w14:paraId="0232D503">
            <w:pPr>
              <w:spacing w:line="360" w:lineRule="auto"/>
              <w:ind w:firstLine="420" w:firstLineChars="200"/>
            </w:pPr>
            <w:r>
              <w:rPr>
                <w:rFonts w:hint="eastAsia"/>
              </w:rPr>
              <w:t>小计</w:t>
            </w:r>
          </w:p>
        </w:tc>
        <w:tc>
          <w:tcPr>
            <w:tcW w:w="1106" w:type="dxa"/>
          </w:tcPr>
          <w:p w14:paraId="0A11E117">
            <w:pPr>
              <w:spacing w:line="360" w:lineRule="auto"/>
              <w:ind w:firstLine="420" w:firstLineChars="200"/>
            </w:pPr>
            <w:r>
              <w:rPr>
                <w:rFonts w:hint="eastAsia"/>
              </w:rPr>
              <w:t>备注</w:t>
            </w:r>
          </w:p>
        </w:tc>
      </w:tr>
      <w:tr w14:paraId="581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AB0E758">
            <w:pPr>
              <w:spacing w:line="360" w:lineRule="auto"/>
              <w:ind w:firstLine="420" w:firstLineChars="200"/>
            </w:pPr>
          </w:p>
        </w:tc>
        <w:tc>
          <w:tcPr>
            <w:tcW w:w="1623" w:type="dxa"/>
          </w:tcPr>
          <w:p w14:paraId="552D8DFE">
            <w:pPr>
              <w:spacing w:line="360" w:lineRule="auto"/>
              <w:ind w:firstLine="420" w:firstLineChars="200"/>
            </w:pPr>
          </w:p>
        </w:tc>
        <w:tc>
          <w:tcPr>
            <w:tcW w:w="902" w:type="dxa"/>
          </w:tcPr>
          <w:p w14:paraId="49CD9B52">
            <w:pPr>
              <w:spacing w:line="360" w:lineRule="auto"/>
              <w:ind w:firstLine="420" w:firstLineChars="200"/>
            </w:pPr>
          </w:p>
        </w:tc>
        <w:tc>
          <w:tcPr>
            <w:tcW w:w="902" w:type="dxa"/>
          </w:tcPr>
          <w:p w14:paraId="373EC75B">
            <w:pPr>
              <w:spacing w:line="360" w:lineRule="auto"/>
              <w:ind w:firstLine="420" w:firstLineChars="200"/>
            </w:pPr>
          </w:p>
        </w:tc>
        <w:tc>
          <w:tcPr>
            <w:tcW w:w="1071" w:type="dxa"/>
          </w:tcPr>
          <w:p w14:paraId="48566237">
            <w:pPr>
              <w:spacing w:line="360" w:lineRule="auto"/>
              <w:ind w:firstLine="420" w:firstLineChars="200"/>
            </w:pPr>
          </w:p>
        </w:tc>
        <w:tc>
          <w:tcPr>
            <w:tcW w:w="1250" w:type="dxa"/>
          </w:tcPr>
          <w:p w14:paraId="36FCCC7C">
            <w:pPr>
              <w:spacing w:line="360" w:lineRule="auto"/>
              <w:ind w:firstLine="420" w:firstLineChars="200"/>
            </w:pPr>
          </w:p>
        </w:tc>
        <w:tc>
          <w:tcPr>
            <w:tcW w:w="1106" w:type="dxa"/>
          </w:tcPr>
          <w:p w14:paraId="1CAF7F93">
            <w:pPr>
              <w:spacing w:line="360" w:lineRule="auto"/>
              <w:ind w:firstLine="420" w:firstLineChars="200"/>
            </w:pPr>
          </w:p>
        </w:tc>
      </w:tr>
      <w:tr w14:paraId="08EE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9F967F3">
            <w:pPr>
              <w:spacing w:line="360" w:lineRule="auto"/>
              <w:ind w:firstLine="420" w:firstLineChars="200"/>
            </w:pPr>
          </w:p>
        </w:tc>
        <w:tc>
          <w:tcPr>
            <w:tcW w:w="1623" w:type="dxa"/>
          </w:tcPr>
          <w:p w14:paraId="65FB169B">
            <w:pPr>
              <w:spacing w:line="360" w:lineRule="auto"/>
              <w:ind w:firstLine="420" w:firstLineChars="200"/>
            </w:pPr>
          </w:p>
        </w:tc>
        <w:tc>
          <w:tcPr>
            <w:tcW w:w="902" w:type="dxa"/>
          </w:tcPr>
          <w:p w14:paraId="283CF297">
            <w:pPr>
              <w:spacing w:line="360" w:lineRule="auto"/>
              <w:ind w:firstLine="420" w:firstLineChars="200"/>
            </w:pPr>
          </w:p>
        </w:tc>
        <w:tc>
          <w:tcPr>
            <w:tcW w:w="902" w:type="dxa"/>
          </w:tcPr>
          <w:p w14:paraId="6D4934F6">
            <w:pPr>
              <w:spacing w:line="360" w:lineRule="auto"/>
              <w:ind w:firstLine="420" w:firstLineChars="200"/>
            </w:pPr>
          </w:p>
        </w:tc>
        <w:tc>
          <w:tcPr>
            <w:tcW w:w="1071" w:type="dxa"/>
          </w:tcPr>
          <w:p w14:paraId="278102ED">
            <w:pPr>
              <w:spacing w:line="360" w:lineRule="auto"/>
              <w:ind w:firstLine="420" w:firstLineChars="200"/>
            </w:pPr>
          </w:p>
        </w:tc>
        <w:tc>
          <w:tcPr>
            <w:tcW w:w="1250" w:type="dxa"/>
          </w:tcPr>
          <w:p w14:paraId="3911691F">
            <w:pPr>
              <w:spacing w:line="360" w:lineRule="auto"/>
              <w:ind w:firstLine="420" w:firstLineChars="200"/>
            </w:pPr>
          </w:p>
        </w:tc>
        <w:tc>
          <w:tcPr>
            <w:tcW w:w="1106" w:type="dxa"/>
          </w:tcPr>
          <w:p w14:paraId="118E566E">
            <w:pPr>
              <w:spacing w:line="360" w:lineRule="auto"/>
              <w:ind w:firstLine="420" w:firstLineChars="200"/>
            </w:pPr>
          </w:p>
        </w:tc>
      </w:tr>
      <w:tr w14:paraId="7C0E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BE52411">
            <w:pPr>
              <w:spacing w:line="360" w:lineRule="auto"/>
              <w:ind w:firstLine="420" w:firstLineChars="200"/>
            </w:pPr>
          </w:p>
        </w:tc>
        <w:tc>
          <w:tcPr>
            <w:tcW w:w="1623" w:type="dxa"/>
          </w:tcPr>
          <w:p w14:paraId="56B2DF5A">
            <w:pPr>
              <w:spacing w:line="360" w:lineRule="auto"/>
              <w:ind w:firstLine="420" w:firstLineChars="200"/>
            </w:pPr>
          </w:p>
        </w:tc>
        <w:tc>
          <w:tcPr>
            <w:tcW w:w="902" w:type="dxa"/>
          </w:tcPr>
          <w:p w14:paraId="6FB0A7F1">
            <w:pPr>
              <w:spacing w:line="360" w:lineRule="auto"/>
              <w:ind w:firstLine="420" w:firstLineChars="200"/>
            </w:pPr>
          </w:p>
        </w:tc>
        <w:tc>
          <w:tcPr>
            <w:tcW w:w="902" w:type="dxa"/>
          </w:tcPr>
          <w:p w14:paraId="3DC68832">
            <w:pPr>
              <w:spacing w:line="360" w:lineRule="auto"/>
              <w:ind w:firstLine="420" w:firstLineChars="200"/>
            </w:pPr>
          </w:p>
        </w:tc>
        <w:tc>
          <w:tcPr>
            <w:tcW w:w="1071" w:type="dxa"/>
          </w:tcPr>
          <w:p w14:paraId="1A4985D8">
            <w:pPr>
              <w:spacing w:line="360" w:lineRule="auto"/>
              <w:ind w:firstLine="420" w:firstLineChars="200"/>
            </w:pPr>
          </w:p>
        </w:tc>
        <w:tc>
          <w:tcPr>
            <w:tcW w:w="1250" w:type="dxa"/>
          </w:tcPr>
          <w:p w14:paraId="32B85211">
            <w:pPr>
              <w:spacing w:line="360" w:lineRule="auto"/>
              <w:ind w:firstLine="420" w:firstLineChars="200"/>
            </w:pPr>
          </w:p>
        </w:tc>
        <w:tc>
          <w:tcPr>
            <w:tcW w:w="1106" w:type="dxa"/>
          </w:tcPr>
          <w:p w14:paraId="186D0053">
            <w:pPr>
              <w:spacing w:line="360" w:lineRule="auto"/>
              <w:ind w:firstLine="420" w:firstLineChars="200"/>
            </w:pPr>
          </w:p>
        </w:tc>
      </w:tr>
      <w:tr w14:paraId="5E0E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223A6314">
            <w:pPr>
              <w:spacing w:line="360" w:lineRule="auto"/>
              <w:ind w:firstLine="420" w:firstLineChars="200"/>
            </w:pPr>
            <w:r>
              <w:rPr>
                <w:rFonts w:hint="eastAsia"/>
              </w:rPr>
              <w:t>合同总价款（大小写）：</w:t>
            </w:r>
          </w:p>
          <w:p w14:paraId="747391E2">
            <w:pPr>
              <w:spacing w:line="360" w:lineRule="auto"/>
              <w:ind w:firstLine="420" w:firstLineChars="200"/>
            </w:pPr>
            <w:r>
              <w:rPr>
                <w:rFonts w:hint="eastAsia"/>
                <w:szCs w:val="28"/>
              </w:rPr>
              <w:t>备注：上述产品报价含产品生产、运输&lt;送达至甲方指定地点并下货&gt;、安装、调试、检验及售后服务、税金、劳保基金、人员培训等费用。</w:t>
            </w:r>
          </w:p>
        </w:tc>
      </w:tr>
    </w:tbl>
    <w:p w14:paraId="7F3B9218">
      <w:pPr>
        <w:spacing w:line="360" w:lineRule="auto"/>
        <w:ind w:firstLine="422" w:firstLineChars="200"/>
      </w:pPr>
      <w:r>
        <w:rPr>
          <w:rFonts w:hint="eastAsia"/>
          <w:b/>
          <w:bCs/>
          <w:szCs w:val="27"/>
        </w:rPr>
        <w:t xml:space="preserve">第二条  </w:t>
      </w:r>
      <w:r>
        <w:rPr>
          <w:szCs w:val="27"/>
        </w:rPr>
        <w:t>产品的技术标准（包括质量要求），按下列第（ ）项执行：</w:t>
      </w:r>
    </w:p>
    <w:p w14:paraId="09F35EFA">
      <w:pPr>
        <w:spacing w:line="360" w:lineRule="auto"/>
        <w:ind w:firstLine="420" w:firstLineChars="200"/>
        <w:rPr>
          <w:szCs w:val="27"/>
        </w:rPr>
      </w:pPr>
      <w:r>
        <w:rPr>
          <w:rFonts w:hint="eastAsia"/>
          <w:szCs w:val="27"/>
        </w:rPr>
        <w:t>①</w:t>
      </w:r>
      <w:r>
        <w:rPr>
          <w:szCs w:val="27"/>
        </w:rPr>
        <w:t>按国家标准执行；</w:t>
      </w:r>
      <w:r>
        <w:rPr>
          <w:rFonts w:hint="eastAsia"/>
          <w:szCs w:val="27"/>
        </w:rPr>
        <w:t>②</w:t>
      </w:r>
      <w:r>
        <w:rPr>
          <w:szCs w:val="27"/>
        </w:rPr>
        <w:t>按部颁标准执行；</w:t>
      </w:r>
      <w:r>
        <w:rPr>
          <w:rFonts w:hint="eastAsia"/>
          <w:szCs w:val="27"/>
        </w:rPr>
        <w:t>③若无以上标准，则应不低于同行业质量标准；④</w:t>
      </w:r>
      <w:r>
        <w:rPr>
          <w:szCs w:val="27"/>
        </w:rPr>
        <w:t>有特殊要求的，按甲乙双方在合同中商定的技术条件、样品或补充的技术要求执行</w:t>
      </w:r>
      <w:r>
        <w:rPr>
          <w:rFonts w:hint="eastAsia"/>
          <w:szCs w:val="27"/>
        </w:rPr>
        <w:t>；</w:t>
      </w:r>
    </w:p>
    <w:p w14:paraId="47D1EADD">
      <w:pPr>
        <w:spacing w:line="360" w:lineRule="auto"/>
        <w:ind w:firstLine="420"/>
        <w:rPr>
          <w:rFonts w:eastAsia="Times New Roman"/>
        </w:rPr>
      </w:pPr>
      <w:r>
        <w:rPr>
          <w:rFonts w:ascii="宋体" w:hAnsi="宋体" w:cs="宋体"/>
        </w:rPr>
        <w:t>乙方提供和交付的货物技术标准应与招标采购文件规定的技术标准相一致。若技术标准中无相应规定，所投货物应符合相应的国际标准或原产地国家有关部门最新颁布的相应的正式标准。</w:t>
      </w:r>
    </w:p>
    <w:p w14:paraId="0A80FD8F">
      <w:pPr>
        <w:spacing w:line="360" w:lineRule="auto"/>
        <w:ind w:firstLine="420" w:firstLineChars="200"/>
        <w:rPr>
          <w:szCs w:val="27"/>
        </w:rPr>
      </w:pPr>
      <w:r>
        <w:rPr>
          <w:rFonts w:hint="eastAsia"/>
          <w:szCs w:val="27"/>
        </w:rPr>
        <w:t>进口产品的质量标准为                                             。</w:t>
      </w:r>
    </w:p>
    <w:p w14:paraId="2428E41B">
      <w:pPr>
        <w:spacing w:line="360" w:lineRule="auto"/>
        <w:ind w:firstLine="420" w:firstLineChars="200"/>
        <w:rPr>
          <w:szCs w:val="27"/>
        </w:rPr>
      </w:pPr>
      <w:r>
        <w:rPr>
          <w:rFonts w:hint="eastAsia"/>
          <w:szCs w:val="27"/>
        </w:rPr>
        <w:t>乙方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47E1EA2A">
      <w:pPr>
        <w:pStyle w:val="17"/>
        <w:spacing w:line="360" w:lineRule="auto"/>
        <w:ind w:left="0" w:firstLine="482" w:firstLineChars="200"/>
        <w:rPr>
          <w:rFonts w:ascii="宋体" w:hAnsi="宋体" w:eastAsia="宋体"/>
          <w:sz w:val="24"/>
        </w:rPr>
      </w:pPr>
      <w:r>
        <w:rPr>
          <w:rFonts w:hint="eastAsia" w:ascii="宋体" w:hAnsi="宋体" w:eastAsia="宋体"/>
          <w:b/>
          <w:bCs/>
          <w:sz w:val="24"/>
        </w:rPr>
        <w:t>第</w:t>
      </w:r>
      <w:r>
        <w:rPr>
          <w:rFonts w:ascii="宋体" w:hAnsi="宋体" w:eastAsia="宋体"/>
          <w:b/>
          <w:bCs/>
          <w:sz w:val="24"/>
        </w:rPr>
        <w:t>三</w:t>
      </w:r>
      <w:r>
        <w:rPr>
          <w:rFonts w:hint="eastAsia" w:ascii="宋体" w:hAnsi="宋体" w:eastAsia="宋体"/>
          <w:b/>
          <w:bCs/>
          <w:sz w:val="24"/>
        </w:rPr>
        <w:t>条</w:t>
      </w:r>
      <w:r>
        <w:rPr>
          <w:rFonts w:ascii="Times New Roman" w:hAnsi="Times New Roman" w:eastAsia="宋体"/>
          <w:sz w:val="21"/>
          <w:szCs w:val="27"/>
        </w:rPr>
        <w:t>产品的包装标准和包装物的供应与回收       </w:t>
      </w:r>
      <w:r>
        <w:rPr>
          <w:rFonts w:hint="eastAsia" w:ascii="Times New Roman" w:hAnsi="Times New Roman" w:eastAsia="宋体"/>
          <w:sz w:val="21"/>
          <w:szCs w:val="27"/>
        </w:rPr>
        <w:t xml:space="preserve">          。</w:t>
      </w:r>
    </w:p>
    <w:p w14:paraId="05C77C96">
      <w:pPr>
        <w:spacing w:line="360" w:lineRule="auto"/>
        <w:ind w:firstLine="420" w:firstLineChars="200"/>
        <w:rPr>
          <w:szCs w:val="27"/>
        </w:rPr>
      </w:pPr>
      <w:r>
        <w:rPr>
          <w:szCs w:val="27"/>
        </w:rPr>
        <w:t>（国家或</w:t>
      </w:r>
      <w:r>
        <w:rPr>
          <w:rFonts w:hint="eastAsia"/>
          <w:szCs w:val="27"/>
        </w:rPr>
        <w:t>行业</w:t>
      </w:r>
      <w:r>
        <w:rPr>
          <w:szCs w:val="27"/>
        </w:rPr>
        <w:t>主管部门有技术规定的，按技术规定执行；国家与</w:t>
      </w:r>
      <w:r>
        <w:rPr>
          <w:rFonts w:hint="eastAsia"/>
          <w:szCs w:val="27"/>
        </w:rPr>
        <w:t>行业</w:t>
      </w:r>
      <w:r>
        <w:rPr>
          <w:szCs w:val="27"/>
        </w:rPr>
        <w:t>主管部门无技术规定的，由甲乙双方商定。）</w:t>
      </w:r>
    </w:p>
    <w:p w14:paraId="7F5DB41F">
      <w:pPr>
        <w:spacing w:line="360" w:lineRule="auto"/>
        <w:ind w:firstLine="422" w:firstLineChars="200"/>
        <w:rPr>
          <w:szCs w:val="27"/>
        </w:rPr>
      </w:pPr>
      <w:r>
        <w:rPr>
          <w:rFonts w:hint="eastAsia"/>
          <w:b/>
          <w:bCs/>
          <w:szCs w:val="27"/>
        </w:rPr>
        <w:t xml:space="preserve">第四条  </w:t>
      </w:r>
      <w:r>
        <w:rPr>
          <w:szCs w:val="27"/>
        </w:rPr>
        <w:t>产品的交货方法、到货地点</w:t>
      </w:r>
      <w:r>
        <w:rPr>
          <w:rFonts w:hint="eastAsia"/>
          <w:szCs w:val="27"/>
        </w:rPr>
        <w:t>和交货期限</w:t>
      </w:r>
    </w:p>
    <w:p w14:paraId="5EF15577">
      <w:pPr>
        <w:spacing w:line="360" w:lineRule="auto"/>
        <w:ind w:firstLine="420" w:firstLineChars="200"/>
      </w:pPr>
      <w:r>
        <w:rPr>
          <w:rFonts w:hint="eastAsia"/>
          <w:szCs w:val="27"/>
        </w:rPr>
        <w:t>1.</w:t>
      </w:r>
      <w:r>
        <w:rPr>
          <w:szCs w:val="27"/>
        </w:rPr>
        <w:t>交货方法，按下列第（ ）项执行：</w:t>
      </w:r>
    </w:p>
    <w:p w14:paraId="02EFDDC9">
      <w:pPr>
        <w:spacing w:line="360" w:lineRule="auto"/>
        <w:ind w:firstLine="420" w:firstLineChars="200"/>
      </w:pPr>
      <w:r>
        <w:rPr>
          <w:rFonts w:hint="eastAsia"/>
          <w:szCs w:val="27"/>
        </w:rPr>
        <w:t>①</w:t>
      </w:r>
      <w:r>
        <w:rPr>
          <w:szCs w:val="27"/>
        </w:rPr>
        <w:t>乙方送货</w:t>
      </w:r>
      <w:r>
        <w:rPr>
          <w:rFonts w:hint="eastAsia"/>
          <w:szCs w:val="27"/>
        </w:rPr>
        <w:t>上门；②</w:t>
      </w:r>
      <w:r>
        <w:rPr>
          <w:szCs w:val="27"/>
        </w:rPr>
        <w:t>乙方代运；</w:t>
      </w:r>
      <w:r>
        <w:rPr>
          <w:rFonts w:hint="eastAsia"/>
          <w:szCs w:val="27"/>
        </w:rPr>
        <w:t>③</w:t>
      </w:r>
      <w:r>
        <w:rPr>
          <w:szCs w:val="27"/>
        </w:rPr>
        <w:t>甲方自提自运。</w:t>
      </w:r>
    </w:p>
    <w:p w14:paraId="184D7A8C">
      <w:pPr>
        <w:spacing w:line="360" w:lineRule="auto"/>
        <w:ind w:firstLine="420" w:firstLineChars="200"/>
        <w:rPr>
          <w:szCs w:val="27"/>
        </w:rPr>
      </w:pPr>
      <w:r>
        <w:rPr>
          <w:rFonts w:hint="eastAsia"/>
          <w:szCs w:val="27"/>
        </w:rPr>
        <w:t>2.</w:t>
      </w:r>
      <w:r>
        <w:rPr>
          <w:szCs w:val="27"/>
        </w:rPr>
        <w:t>到货地点</w:t>
      </w:r>
      <w:r>
        <w:rPr>
          <w:rFonts w:hint="eastAsia"/>
          <w:szCs w:val="27"/>
        </w:rPr>
        <w:t>：</w:t>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rPr>
        <w:softHyphen/>
      </w:r>
      <w:r>
        <w:rPr>
          <w:szCs w:val="27"/>
          <w:u w:val="single"/>
        </w:rPr>
        <w:t xml:space="preserve">                 (</w:t>
      </w:r>
      <w:r>
        <w:rPr>
          <w:rFonts w:hint="eastAsia"/>
          <w:szCs w:val="27"/>
        </w:rPr>
        <w:t>甲方指定的任何地点，安装并调试.)</w:t>
      </w:r>
    </w:p>
    <w:p w14:paraId="2328FBBF">
      <w:pPr>
        <w:spacing w:line="360" w:lineRule="auto"/>
        <w:ind w:firstLine="420" w:firstLineChars="200"/>
        <w:rPr>
          <w:szCs w:val="27"/>
        </w:rPr>
      </w:pPr>
      <w:r>
        <w:rPr>
          <w:rFonts w:hint="eastAsia"/>
          <w:szCs w:val="27"/>
        </w:rPr>
        <w:t>3.</w:t>
      </w:r>
      <w:r>
        <w:rPr>
          <w:szCs w:val="27"/>
        </w:rPr>
        <w:t>产品</w:t>
      </w:r>
      <w:r>
        <w:rPr>
          <w:rFonts w:hint="eastAsia"/>
          <w:szCs w:val="27"/>
        </w:rPr>
        <w:t>的交货期限</w:t>
      </w:r>
      <w:r>
        <w:rPr>
          <w:szCs w:val="27"/>
          <w:u w:val="single"/>
        </w:rPr>
        <w:t>                         </w:t>
      </w:r>
      <w:r>
        <w:rPr>
          <w:szCs w:val="27"/>
        </w:rPr>
        <w:t>。</w:t>
      </w:r>
    </w:p>
    <w:p w14:paraId="020E9B86">
      <w:pPr>
        <w:spacing w:line="360" w:lineRule="auto"/>
        <w:ind w:firstLine="422" w:firstLineChars="200"/>
        <w:rPr>
          <w:szCs w:val="27"/>
        </w:rPr>
      </w:pPr>
      <w:r>
        <w:rPr>
          <w:rFonts w:hint="eastAsia"/>
          <w:b/>
          <w:bCs/>
          <w:szCs w:val="27"/>
        </w:rPr>
        <w:t>第五条</w:t>
      </w:r>
      <w:r>
        <w:rPr>
          <w:rFonts w:hint="eastAsia"/>
          <w:szCs w:val="27"/>
        </w:rPr>
        <w:t xml:space="preserve">  合同总价款</w:t>
      </w:r>
    </w:p>
    <w:p w14:paraId="0D82C306">
      <w:pPr>
        <w:spacing w:line="360" w:lineRule="auto"/>
        <w:ind w:firstLine="420" w:firstLineChars="200"/>
        <w:rPr>
          <w:szCs w:val="27"/>
          <w:u w:val="single"/>
        </w:rPr>
      </w:pPr>
      <w:r>
        <w:rPr>
          <w:rFonts w:hint="eastAsia"/>
          <w:szCs w:val="27"/>
        </w:rPr>
        <w:t>合同总价款（大小写）：</w:t>
      </w:r>
      <w:r>
        <w:rPr>
          <w:rFonts w:hint="eastAsia"/>
          <w:szCs w:val="27"/>
          <w:u w:val="single"/>
        </w:rPr>
        <w:t xml:space="preserve">                        </w:t>
      </w:r>
    </w:p>
    <w:p w14:paraId="5722474E">
      <w:pPr>
        <w:numPr>
          <w:ilvl w:val="0"/>
          <w:numId w:val="7"/>
        </w:numPr>
        <w:spacing w:line="360" w:lineRule="auto"/>
        <w:ind w:left="0" w:firstLine="420" w:firstLineChars="200"/>
      </w:pPr>
      <w:r>
        <w:rPr>
          <w:rFonts w:hint="eastAsia"/>
        </w:rPr>
        <w:t xml:space="preserve">付款条件                  </w:t>
      </w:r>
    </w:p>
    <w:p w14:paraId="5C76F2F5">
      <w:pPr>
        <w:spacing w:line="360" w:lineRule="auto"/>
        <w:ind w:firstLine="420" w:firstLineChars="200"/>
      </w:pPr>
      <w:r>
        <w:rPr>
          <w:rFonts w:hint="eastAsia"/>
        </w:rPr>
        <w:t>本合同以人民币付款。</w:t>
      </w:r>
    </w:p>
    <w:p w14:paraId="33288955">
      <w:pPr>
        <w:spacing w:line="360" w:lineRule="auto"/>
        <w:ind w:firstLine="420" w:firstLineChars="200"/>
      </w:pPr>
      <w:r>
        <w:rPr>
          <w:rFonts w:hint="eastAsia"/>
        </w:rPr>
        <w:t>该项目是否实行预付款：</w:t>
      </w:r>
    </w:p>
    <w:p w14:paraId="689C1BA0">
      <w:pPr>
        <w:spacing w:line="360" w:lineRule="auto"/>
        <w:ind w:firstLine="420" w:firstLineChars="200"/>
      </w:pPr>
      <w:r>
        <w:rPr>
          <w:rFonts w:hint="eastAsia"/>
        </w:rPr>
        <w:t>实行预付款的条件和比例：</w:t>
      </w:r>
    </w:p>
    <w:p w14:paraId="7742017E">
      <w:pPr>
        <w:spacing w:line="360" w:lineRule="auto"/>
        <w:ind w:firstLine="420" w:firstLineChars="200"/>
      </w:pPr>
      <w:r>
        <w:rPr>
          <w:rFonts w:hint="eastAsia"/>
        </w:rPr>
        <w:t xml:space="preserve">合同款项结算方式和支付比例：   </w:t>
      </w:r>
    </w:p>
    <w:p w14:paraId="30F4DF6D">
      <w:pPr>
        <w:spacing w:line="360" w:lineRule="auto"/>
        <w:ind w:firstLine="420" w:firstLineChars="200"/>
        <w:rPr>
          <w:b/>
          <w:bCs/>
          <w:szCs w:val="27"/>
        </w:rPr>
      </w:pPr>
      <w:r>
        <w:rPr>
          <w:rFonts w:hint="eastAsia"/>
        </w:rPr>
        <w:t>(具体付款方式</w:t>
      </w:r>
      <w:r>
        <w:rPr>
          <w:rFonts w:hint="eastAsia"/>
          <w:u w:val="single"/>
        </w:rPr>
        <w:t>按投标人须知前附表以及采、购双方的具体约定</w:t>
      </w:r>
    </w:p>
    <w:p w14:paraId="3DF638AD">
      <w:pPr>
        <w:numPr>
          <w:ilvl w:val="0"/>
          <w:numId w:val="7"/>
        </w:numPr>
        <w:spacing w:line="360" w:lineRule="auto"/>
        <w:ind w:left="0" w:firstLine="420" w:firstLineChars="200"/>
        <w:rPr>
          <w:szCs w:val="27"/>
        </w:rPr>
      </w:pPr>
      <w:r>
        <w:rPr>
          <w:szCs w:val="27"/>
        </w:rPr>
        <w:t>验收方法</w:t>
      </w:r>
    </w:p>
    <w:p w14:paraId="59358F84">
      <w:pPr>
        <w:spacing w:line="360" w:lineRule="auto"/>
        <w:ind w:firstLine="420" w:firstLineChars="200"/>
      </w:pPr>
      <w:r>
        <w:rPr>
          <w:rFonts w:hint="eastAsia"/>
        </w:rPr>
        <w:t>1.乙方安装调试后，在      天内通知甲方组织验收，采购代理机构保留受托参与本项目验收的权利。验收不合格的，乙方应负责重新提供达到本合同约定的质量要求的产品。</w:t>
      </w:r>
    </w:p>
    <w:p w14:paraId="05E94FB5">
      <w:pPr>
        <w:spacing w:line="360" w:lineRule="auto"/>
        <w:ind w:firstLine="420" w:firstLineChars="200"/>
      </w:pPr>
      <w:r>
        <w:rPr>
          <w:rFonts w:hint="eastAsia"/>
        </w:rPr>
        <w:t>2.甲、乙双方应严格履行合同有关条款，如果验收过程中发现乙方在没有征得采购人同意的情况下擅自变更合同标的物，将拒绝通过验收，由此引起的一切后果及损失由乙方承担。</w:t>
      </w:r>
    </w:p>
    <w:p w14:paraId="3E91C07F">
      <w:pPr>
        <w:spacing w:line="360" w:lineRule="auto"/>
        <w:ind w:firstLine="420" w:firstLineChars="200"/>
      </w:pPr>
      <w:r>
        <w:rPr>
          <w:rFonts w:hint="eastAsia"/>
        </w:rPr>
        <w:t>3.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0F6C00B">
      <w:pPr>
        <w:spacing w:line="360" w:lineRule="auto"/>
        <w:ind w:firstLine="420" w:firstLineChars="200"/>
      </w:pPr>
      <w:r>
        <w:rPr>
          <w:rFonts w:hint="eastAsia"/>
        </w:rPr>
        <w:t>4、甲方视情况可以邀请参加本项目的其他投标人或者第三方机构参与验收，参与验收的投标人或者第三方机构的意见作为验收书的参考资料一并存档。</w:t>
      </w:r>
    </w:p>
    <w:p w14:paraId="1A384C80">
      <w:pPr>
        <w:spacing w:line="360" w:lineRule="auto"/>
        <w:ind w:firstLine="420" w:firstLineChars="200"/>
      </w:pPr>
      <w:r>
        <w:rPr>
          <w:rFonts w:hint="eastAsia"/>
        </w:rPr>
        <w:t xml:space="preserve">   涉及安全、消防、环保等其他需要由质检或行业主管部门进行验收的项目，必须邀请相关部门或相关专家参与验收。</w:t>
      </w:r>
    </w:p>
    <w:p w14:paraId="0F45AED8">
      <w:pPr>
        <w:spacing w:line="360" w:lineRule="auto"/>
        <w:ind w:firstLine="420" w:firstLineChars="200"/>
        <w:rPr>
          <w:rFonts w:ascii="宋体"/>
          <w:b/>
          <w:bCs/>
          <w:sz w:val="24"/>
          <w:u w:val="single"/>
        </w:rPr>
      </w:pPr>
      <w:r>
        <w:rPr>
          <w:rFonts w:hint="eastAsia"/>
        </w:rPr>
        <w:t>检测、验收费用承担方式：</w:t>
      </w:r>
    </w:p>
    <w:p w14:paraId="241546C9">
      <w:pPr>
        <w:spacing w:line="360" w:lineRule="auto"/>
        <w:ind w:firstLine="422" w:firstLineChars="200"/>
      </w:pPr>
      <w:r>
        <w:rPr>
          <w:b/>
          <w:bCs/>
          <w:szCs w:val="27"/>
        </w:rPr>
        <w:t>第八条 </w:t>
      </w:r>
      <w:r>
        <w:rPr>
          <w:szCs w:val="27"/>
        </w:rPr>
        <w:t xml:space="preserve"> 对产品提出异议的时间和办法</w:t>
      </w:r>
    </w:p>
    <w:p w14:paraId="509E02C9">
      <w:pPr>
        <w:spacing w:line="360" w:lineRule="auto"/>
        <w:ind w:firstLine="420" w:firstLineChars="200"/>
      </w:pPr>
      <w:r>
        <w:rPr>
          <w:rFonts w:hint="eastAsia"/>
          <w:szCs w:val="27"/>
        </w:rPr>
        <w:t>1.</w:t>
      </w:r>
      <w:r>
        <w:rPr>
          <w:szCs w:val="27"/>
        </w:rPr>
        <w:t>甲方在验收中，如果发现产品不</w:t>
      </w:r>
      <w:r>
        <w:rPr>
          <w:rFonts w:hint="eastAsia"/>
          <w:szCs w:val="27"/>
        </w:rPr>
        <w:t>符合合同约定的</w:t>
      </w:r>
      <w:r>
        <w:rPr>
          <w:szCs w:val="27"/>
        </w:rPr>
        <w:t>，应一面妥为保管，一面在</w:t>
      </w:r>
      <w:r>
        <w:rPr>
          <w:szCs w:val="27"/>
          <w:u w:val="single"/>
        </w:rPr>
        <w:t xml:space="preserve">         </w:t>
      </w:r>
      <w:r>
        <w:rPr>
          <w:rFonts w:hint="eastAsia"/>
          <w:szCs w:val="27"/>
        </w:rPr>
        <w:t>工作日</w:t>
      </w:r>
      <w:r>
        <w:rPr>
          <w:szCs w:val="27"/>
        </w:rPr>
        <w:t>内向乙方</w:t>
      </w:r>
      <w:r>
        <w:rPr>
          <w:rFonts w:hint="eastAsia"/>
          <w:szCs w:val="27"/>
        </w:rPr>
        <w:t>书面</w:t>
      </w:r>
      <w:r>
        <w:rPr>
          <w:szCs w:val="27"/>
        </w:rPr>
        <w:t>提出异议</w:t>
      </w:r>
      <w:r>
        <w:rPr>
          <w:rFonts w:hint="eastAsia"/>
          <w:szCs w:val="27"/>
        </w:rPr>
        <w:t>，并抄送采购代理机构，具体说明产品</w:t>
      </w:r>
      <w:r>
        <w:rPr>
          <w:szCs w:val="27"/>
        </w:rPr>
        <w:t>不符合规定的</w:t>
      </w:r>
      <w:r>
        <w:rPr>
          <w:rFonts w:hint="eastAsia"/>
          <w:szCs w:val="27"/>
        </w:rPr>
        <w:t>内容并附相关验收材料，同时</w:t>
      </w:r>
      <w:r>
        <w:rPr>
          <w:szCs w:val="27"/>
        </w:rPr>
        <w:t>提出不符合规定产品的处理意见。</w:t>
      </w:r>
    </w:p>
    <w:p w14:paraId="0699DBB9">
      <w:pPr>
        <w:spacing w:line="360" w:lineRule="auto"/>
        <w:ind w:firstLine="420" w:firstLineChars="200"/>
      </w:pPr>
      <w:r>
        <w:rPr>
          <w:rFonts w:hint="eastAsia"/>
          <w:szCs w:val="27"/>
        </w:rPr>
        <w:t>2.</w:t>
      </w:r>
      <w:r>
        <w:rPr>
          <w:szCs w:val="27"/>
        </w:rPr>
        <w:t>甲方因使用、保管、保养不善等造成产品质量下降的，不得提出异议。</w:t>
      </w:r>
    </w:p>
    <w:p w14:paraId="6F3F0FCB">
      <w:pPr>
        <w:spacing w:line="360" w:lineRule="auto"/>
        <w:ind w:firstLine="420" w:firstLineChars="200"/>
      </w:pPr>
      <w:r>
        <w:rPr>
          <w:rFonts w:hint="eastAsia"/>
          <w:szCs w:val="27"/>
        </w:rPr>
        <w:t>3.</w:t>
      </w:r>
      <w:r>
        <w:rPr>
          <w:szCs w:val="27"/>
        </w:rPr>
        <w:t>乙方在接到</w:t>
      </w:r>
      <w:r>
        <w:rPr>
          <w:rFonts w:hint="eastAsia"/>
          <w:szCs w:val="27"/>
        </w:rPr>
        <w:t>甲</w:t>
      </w:r>
      <w:r>
        <w:rPr>
          <w:szCs w:val="27"/>
        </w:rPr>
        <w:t>方异议后，应在</w:t>
      </w:r>
      <w:r>
        <w:rPr>
          <w:rFonts w:hint="eastAsia"/>
          <w:szCs w:val="27"/>
        </w:rPr>
        <w:t xml:space="preserve"> </w:t>
      </w:r>
      <w:r>
        <w:rPr>
          <w:szCs w:val="27"/>
          <w:u w:val="single"/>
        </w:rPr>
        <w:t xml:space="preserve">       </w:t>
      </w:r>
      <w:r>
        <w:rPr>
          <w:rFonts w:hint="eastAsia"/>
          <w:szCs w:val="27"/>
        </w:rPr>
        <w:t xml:space="preserve"> 工作日</w:t>
      </w:r>
      <w:r>
        <w:rPr>
          <w:szCs w:val="27"/>
        </w:rPr>
        <w:t>内负责处理，否则，即视为默认甲方提出的异议和处理意见。</w:t>
      </w:r>
    </w:p>
    <w:p w14:paraId="62A3BD32">
      <w:pPr>
        <w:spacing w:line="360" w:lineRule="auto"/>
        <w:ind w:firstLine="422" w:firstLineChars="200"/>
        <w:rPr>
          <w:szCs w:val="27"/>
        </w:rPr>
      </w:pPr>
      <w:r>
        <w:rPr>
          <w:rFonts w:hint="eastAsia"/>
          <w:b/>
          <w:bCs/>
          <w:szCs w:val="27"/>
        </w:rPr>
        <w:t>第九条</w:t>
      </w:r>
      <w:r>
        <w:rPr>
          <w:rFonts w:hint="eastAsia"/>
          <w:szCs w:val="27"/>
        </w:rPr>
        <w:t xml:space="preserve">  乙方应提供完善周到的技术支持和售后服务，否则甲方视情节轻重从乙方的质量保证金中扣除部分或全部补偿甲方。</w:t>
      </w:r>
    </w:p>
    <w:p w14:paraId="0B8D6B8D">
      <w:pPr>
        <w:spacing w:line="360" w:lineRule="auto"/>
        <w:ind w:firstLine="420" w:firstLineChars="200"/>
        <w:rPr>
          <w:szCs w:val="27"/>
        </w:rPr>
      </w:pPr>
      <w:r>
        <w:rPr>
          <w:rFonts w:hint="eastAsia"/>
          <w:szCs w:val="27"/>
        </w:rPr>
        <w:t>1.保修</w:t>
      </w:r>
    </w:p>
    <w:p w14:paraId="75F69DE5">
      <w:pPr>
        <w:spacing w:line="360" w:lineRule="auto"/>
        <w:ind w:firstLine="420" w:firstLineChars="200"/>
        <w:rPr>
          <w:szCs w:val="27"/>
        </w:rPr>
      </w:pPr>
      <w:r>
        <w:rPr>
          <w:rFonts w:hint="eastAsia"/>
          <w:szCs w:val="27"/>
        </w:rPr>
        <w:t>乙方对其所提供的货物免费保修</w:t>
      </w:r>
      <w:r>
        <w:rPr>
          <w:rFonts w:hint="eastAsia"/>
          <w:szCs w:val="27"/>
          <w:u w:val="single"/>
        </w:rPr>
        <w:t xml:space="preserve">      </w:t>
      </w:r>
      <w:r>
        <w:rPr>
          <w:rFonts w:hint="eastAsia"/>
          <w:szCs w:val="27"/>
        </w:rPr>
        <w:t>年，保修期从</w:t>
      </w:r>
      <w:r>
        <w:rPr>
          <w:rFonts w:hint="eastAsia"/>
          <w:szCs w:val="27"/>
          <w:u w:val="single"/>
        </w:rPr>
        <w:t xml:space="preserve">             </w:t>
      </w:r>
      <w:r>
        <w:rPr>
          <w:rFonts w:hint="eastAsia"/>
          <w:szCs w:val="27"/>
        </w:rPr>
        <w:t>开始。乙方应在接到报修通知后</w:t>
      </w:r>
      <w:r>
        <w:rPr>
          <w:rFonts w:hint="eastAsia"/>
          <w:szCs w:val="27"/>
          <w:u w:val="single"/>
        </w:rPr>
        <w:t xml:space="preserve">      </w:t>
      </w:r>
      <w:r>
        <w:rPr>
          <w:rFonts w:hint="eastAsia"/>
          <w:szCs w:val="27"/>
        </w:rPr>
        <w:t>天内上门维修，负责更换有瑕疵的货物、部件或提供相应的质量保证期内的服务。由此造成的损失，甲方保留索赔的权利。</w:t>
      </w:r>
    </w:p>
    <w:p w14:paraId="13F1CEB8">
      <w:pPr>
        <w:spacing w:line="360" w:lineRule="auto"/>
        <w:ind w:firstLine="420" w:firstLineChars="200"/>
        <w:rPr>
          <w:szCs w:val="27"/>
        </w:rPr>
      </w:pPr>
      <w:r>
        <w:rPr>
          <w:rFonts w:hint="eastAsia"/>
          <w:szCs w:val="27"/>
        </w:rPr>
        <w:t>如果乙方在收到报修通知后</w:t>
      </w:r>
      <w:r>
        <w:rPr>
          <w:rFonts w:hint="eastAsia"/>
          <w:szCs w:val="27"/>
          <w:u w:val="single"/>
        </w:rPr>
        <w:t xml:space="preserve">      </w:t>
      </w:r>
      <w:r>
        <w:rPr>
          <w:rFonts w:hint="eastAsia"/>
          <w:szCs w:val="27"/>
        </w:rPr>
        <w:t>天内没有弥补缺陷，甲方可采取必要的补救措施，但费用和风险由乙方承担。</w:t>
      </w:r>
    </w:p>
    <w:p w14:paraId="4770BF01">
      <w:pPr>
        <w:spacing w:line="360" w:lineRule="auto"/>
        <w:ind w:firstLine="420" w:firstLineChars="200"/>
        <w:rPr>
          <w:szCs w:val="27"/>
        </w:rPr>
      </w:pPr>
      <w:r>
        <w:rPr>
          <w:rFonts w:hint="eastAsia"/>
          <w:szCs w:val="27"/>
        </w:rPr>
        <w:t>2.维修</w:t>
      </w:r>
    </w:p>
    <w:p w14:paraId="5B3881DD">
      <w:pPr>
        <w:spacing w:line="360" w:lineRule="auto"/>
        <w:ind w:firstLine="420" w:firstLineChars="200"/>
        <w:rPr>
          <w:szCs w:val="27"/>
        </w:rPr>
      </w:pPr>
      <w:r>
        <w:rPr>
          <w:rFonts w:hint="eastAsia"/>
          <w:szCs w:val="27"/>
        </w:rPr>
        <w:t>保修期届满后，乙方应对其提供的货物负有维修义务，但所涉及的费用由甲方承担。</w:t>
      </w:r>
    </w:p>
    <w:p w14:paraId="09A0F0BD">
      <w:pPr>
        <w:spacing w:line="360" w:lineRule="auto"/>
        <w:ind w:firstLine="422" w:firstLineChars="200"/>
      </w:pPr>
      <w:r>
        <w:rPr>
          <w:b/>
          <w:bCs/>
          <w:szCs w:val="27"/>
        </w:rPr>
        <w:t>第</w:t>
      </w:r>
      <w:r>
        <w:rPr>
          <w:rFonts w:hint="eastAsia"/>
          <w:b/>
          <w:bCs/>
          <w:szCs w:val="27"/>
        </w:rPr>
        <w:t>十</w:t>
      </w:r>
      <w:r>
        <w:rPr>
          <w:b/>
          <w:bCs/>
          <w:szCs w:val="27"/>
        </w:rPr>
        <w:t>条</w:t>
      </w:r>
      <w:r>
        <w:rPr>
          <w:szCs w:val="27"/>
        </w:rPr>
        <w:t>  乙方的违约责任</w:t>
      </w:r>
    </w:p>
    <w:p w14:paraId="6F36B4F9">
      <w:pPr>
        <w:spacing w:line="360" w:lineRule="auto"/>
        <w:ind w:firstLine="420" w:firstLineChars="200"/>
      </w:pPr>
      <w:r>
        <w:rPr>
          <w:szCs w:val="27"/>
        </w:rPr>
        <w:t>1.乙方不能交货的，应向甲方偿付不能交货部分货款的</w:t>
      </w:r>
      <w:r>
        <w:rPr>
          <w:szCs w:val="27"/>
          <w:u w:val="single"/>
        </w:rPr>
        <w:t>      %</w:t>
      </w:r>
      <w:r>
        <w:rPr>
          <w:szCs w:val="27"/>
        </w:rPr>
        <w:t>（通用产品的幅度为</w:t>
      </w:r>
      <w:r>
        <w:rPr>
          <w:rFonts w:hint="eastAsia"/>
          <w:szCs w:val="27"/>
        </w:rPr>
        <w:t>1%－5%</w:t>
      </w:r>
      <w:r>
        <w:rPr>
          <w:szCs w:val="27"/>
        </w:rPr>
        <w:t>，专用产品的幅度为</w:t>
      </w:r>
      <w:r>
        <w:rPr>
          <w:rFonts w:hint="eastAsia"/>
          <w:szCs w:val="27"/>
        </w:rPr>
        <w:t>10%－30%</w:t>
      </w:r>
      <w:r>
        <w:rPr>
          <w:szCs w:val="27"/>
        </w:rPr>
        <w:t>）的违约金。</w:t>
      </w:r>
    </w:p>
    <w:p w14:paraId="2541FC04">
      <w:pPr>
        <w:spacing w:line="360" w:lineRule="auto"/>
        <w:ind w:firstLine="420" w:firstLineChars="200"/>
        <w:rPr>
          <w:szCs w:val="27"/>
        </w:rPr>
      </w:pPr>
      <w:r>
        <w:rPr>
          <w:rFonts w:hint="eastAsia"/>
          <w:szCs w:val="27"/>
        </w:rPr>
        <w:t>2.</w:t>
      </w:r>
      <w:r>
        <w:rPr>
          <w:szCs w:val="27"/>
        </w:rPr>
        <w:t>乙方所交产品不符合合同规定的，如果甲方同意利用，应当按质论价；如果甲方不能利用的，应根据产品的具体情况，由乙方负责包换或包修，并承担修理、调换或退货而支付的实际费用,</w:t>
      </w:r>
      <w:r>
        <w:rPr>
          <w:rFonts w:hint="eastAsia"/>
        </w:rPr>
        <w:t>同时，乙方应按规定，对更换件相应延长质量保证期，并赔偿甲方相应的损失。</w:t>
      </w:r>
      <w:r>
        <w:rPr>
          <w:szCs w:val="27"/>
        </w:rPr>
        <w:t>乙方不能修理或者不能调换的，按不能交货处理。</w:t>
      </w:r>
    </w:p>
    <w:p w14:paraId="33DA9FAF">
      <w:pPr>
        <w:spacing w:line="360" w:lineRule="auto"/>
        <w:ind w:firstLine="420" w:firstLineChars="200"/>
      </w:pPr>
      <w:r>
        <w:rPr>
          <w:rFonts w:hint="eastAsia"/>
          <w:szCs w:val="27"/>
        </w:rPr>
        <w:t>3.</w:t>
      </w:r>
      <w:r>
        <w:rPr>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rPr>
        <w:t>每件货物包装箱内应附一份详细装箱单和质量证书。为进口件的，应出具报关手续和原产地、原产工厂证明、报关手续和商检证明等。</w:t>
      </w:r>
    </w:p>
    <w:p w14:paraId="7E58223B">
      <w:pPr>
        <w:spacing w:line="360" w:lineRule="auto"/>
        <w:ind w:firstLine="420" w:firstLineChars="200"/>
      </w:pPr>
      <w:r>
        <w:rPr>
          <w:rFonts w:hint="eastAsia"/>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投标人须对上述做出书面承诺，否则视为不响应招标文件实质性内容。</w:t>
      </w:r>
    </w:p>
    <w:p w14:paraId="44925B16">
      <w:pPr>
        <w:spacing w:line="360" w:lineRule="auto"/>
        <w:ind w:firstLine="420" w:firstLineChars="200"/>
        <w:rPr>
          <w:szCs w:val="27"/>
        </w:rPr>
      </w:pPr>
      <w:r>
        <w:rPr>
          <w:rFonts w:hint="eastAsia"/>
          <w:szCs w:val="27"/>
        </w:rPr>
        <w:t>5.</w:t>
      </w:r>
      <w:r>
        <w:rPr>
          <w:szCs w:val="27"/>
        </w:rPr>
        <w:t>乙方提前交货的产品、多交的产品和不符合合同规定的产品，甲方在代保管期内实际支付的保管、保养等费用以及非因甲方保管不善而发生的损失，应当由乙方承担。</w:t>
      </w:r>
    </w:p>
    <w:p w14:paraId="725E4A07">
      <w:pPr>
        <w:spacing w:line="360" w:lineRule="auto"/>
        <w:ind w:firstLine="420" w:firstLineChars="200"/>
        <w:rPr>
          <w:szCs w:val="27"/>
        </w:rPr>
      </w:pPr>
      <w:r>
        <w:rPr>
          <w:rFonts w:hint="eastAsia"/>
          <w:szCs w:val="27"/>
        </w:rPr>
        <w:t>6.乙方应对其所提供的货物承担所有权担保责任，并应保证甲方在中华人民共和国内使用该货物时不侵犯第三人的知识产权。否则乙方应承担由此引起的一切法律责任及费用。</w:t>
      </w:r>
    </w:p>
    <w:p w14:paraId="0AD15576">
      <w:pPr>
        <w:spacing w:line="360" w:lineRule="auto"/>
        <w:ind w:firstLine="420" w:firstLineChars="200"/>
      </w:pPr>
      <w:r>
        <w:rPr>
          <w:rFonts w:hint="eastAsia"/>
          <w:szCs w:val="27"/>
        </w:rPr>
        <w:t>7.任何一方未经对方同意而单方面终止合同的，应向对方赔偿相当于本合同总价款</w:t>
      </w:r>
      <w:r>
        <w:rPr>
          <w:rFonts w:hint="eastAsia"/>
          <w:szCs w:val="27"/>
          <w:u w:val="single"/>
        </w:rPr>
        <w:t xml:space="preserve">      %</w:t>
      </w:r>
      <w:r>
        <w:rPr>
          <w:rFonts w:hint="eastAsia"/>
          <w:szCs w:val="27"/>
        </w:rPr>
        <w:t>违约金。</w:t>
      </w:r>
    </w:p>
    <w:p w14:paraId="7C81B8BE">
      <w:pPr>
        <w:spacing w:line="360" w:lineRule="auto"/>
        <w:ind w:firstLine="422" w:firstLineChars="200"/>
      </w:pPr>
      <w:r>
        <w:rPr>
          <w:b/>
          <w:bCs/>
          <w:szCs w:val="27"/>
        </w:rPr>
        <w:t>第十</w:t>
      </w:r>
      <w:r>
        <w:rPr>
          <w:rFonts w:hint="eastAsia"/>
          <w:b/>
          <w:bCs/>
          <w:szCs w:val="27"/>
        </w:rPr>
        <w:t>一</w:t>
      </w:r>
      <w:r>
        <w:rPr>
          <w:b/>
          <w:bCs/>
          <w:szCs w:val="27"/>
        </w:rPr>
        <w:t>条</w:t>
      </w:r>
      <w:r>
        <w:rPr>
          <w:szCs w:val="27"/>
        </w:rPr>
        <w:t>  甲方的违约责任</w:t>
      </w:r>
    </w:p>
    <w:p w14:paraId="11E7FCBB">
      <w:pPr>
        <w:spacing w:line="360" w:lineRule="auto"/>
        <w:ind w:firstLine="420" w:firstLineChars="200"/>
      </w:pPr>
      <w:r>
        <w:rPr>
          <w:rFonts w:hint="eastAsia"/>
          <w:szCs w:val="27"/>
        </w:rPr>
        <w:t>1.</w:t>
      </w:r>
      <w:r>
        <w:rPr>
          <w:szCs w:val="27"/>
        </w:rPr>
        <w:t>甲方中途退货，应向乙方偿付退货部分货款</w:t>
      </w:r>
      <w:r>
        <w:rPr>
          <w:rFonts w:hint="eastAsia"/>
          <w:szCs w:val="27"/>
          <w:u w:val="single"/>
        </w:rPr>
        <w:t xml:space="preserve">             </w:t>
      </w:r>
      <w:r>
        <w:rPr>
          <w:rFonts w:hint="eastAsia"/>
          <w:szCs w:val="27"/>
        </w:rPr>
        <w:t>%</w:t>
      </w:r>
      <w:r>
        <w:rPr>
          <w:szCs w:val="27"/>
        </w:rPr>
        <w:t>（通用产品的幅度为1%</w:t>
      </w:r>
      <w:r>
        <w:rPr>
          <w:rFonts w:hint="eastAsia"/>
          <w:szCs w:val="27"/>
        </w:rPr>
        <w:t>~5%</w:t>
      </w:r>
      <w:r>
        <w:rPr>
          <w:szCs w:val="27"/>
        </w:rPr>
        <w:t>专用产品的幅度为</w:t>
      </w:r>
      <w:r>
        <w:rPr>
          <w:rFonts w:hint="eastAsia"/>
          <w:szCs w:val="27"/>
        </w:rPr>
        <w:t>15%-30%</w:t>
      </w:r>
      <w:r>
        <w:rPr>
          <w:szCs w:val="27"/>
        </w:rPr>
        <w:t>）的违约金。</w:t>
      </w:r>
    </w:p>
    <w:p w14:paraId="7F2D79AD">
      <w:pPr>
        <w:spacing w:line="360" w:lineRule="auto"/>
        <w:ind w:firstLine="420" w:firstLineChars="200"/>
        <w:rPr>
          <w:szCs w:val="27"/>
        </w:rPr>
      </w:pPr>
      <w:r>
        <w:rPr>
          <w:rFonts w:hint="eastAsia"/>
          <w:szCs w:val="27"/>
        </w:rPr>
        <w:t>2.</w:t>
      </w:r>
      <w:r>
        <w:rPr>
          <w:szCs w:val="27"/>
        </w:rPr>
        <w:t>甲方违反合同规定拒绝接货的，应当承担由此造成的损失。</w:t>
      </w:r>
    </w:p>
    <w:p w14:paraId="5ECDC279">
      <w:pPr>
        <w:spacing w:line="360" w:lineRule="auto"/>
        <w:ind w:firstLine="420" w:firstLineChars="200"/>
        <w:rPr>
          <w:szCs w:val="27"/>
          <w:u w:val="single"/>
        </w:rPr>
      </w:pPr>
      <w:r>
        <w:rPr>
          <w:rFonts w:hint="eastAsia"/>
          <w:szCs w:val="27"/>
        </w:rPr>
        <w:t>3.</w:t>
      </w:r>
      <w:r>
        <w:rPr>
          <w:szCs w:val="27"/>
        </w:rPr>
        <w:t xml:space="preserve"> 甲方未按照合同约定支付货款，应向乙方</w:t>
      </w:r>
      <w:r>
        <w:rPr>
          <w:rFonts w:hint="eastAsia"/>
          <w:szCs w:val="27"/>
        </w:rPr>
        <w:t>违约金</w:t>
      </w:r>
      <w:r>
        <w:rPr>
          <w:rFonts w:hint="eastAsia"/>
          <w:szCs w:val="27"/>
          <w:u w:val="single"/>
        </w:rPr>
        <w:t xml:space="preserve">   </w:t>
      </w:r>
      <w:r>
        <w:rPr>
          <w:rFonts w:hint="eastAsia"/>
          <w:szCs w:val="27"/>
        </w:rPr>
        <w:t>元。</w:t>
      </w:r>
    </w:p>
    <w:p w14:paraId="6A88012A">
      <w:pPr>
        <w:spacing w:line="360" w:lineRule="auto"/>
        <w:ind w:firstLine="422" w:firstLineChars="200"/>
        <w:rPr>
          <w:b/>
        </w:rPr>
      </w:pPr>
      <w:r>
        <w:rPr>
          <w:b/>
          <w:bCs/>
          <w:szCs w:val="27"/>
        </w:rPr>
        <w:t>第十</w:t>
      </w:r>
      <w:r>
        <w:rPr>
          <w:rFonts w:hint="eastAsia"/>
          <w:b/>
          <w:bCs/>
          <w:szCs w:val="27"/>
        </w:rPr>
        <w:t>二</w:t>
      </w:r>
      <w:r>
        <w:rPr>
          <w:b/>
          <w:bCs/>
          <w:szCs w:val="27"/>
        </w:rPr>
        <w:t>条 </w:t>
      </w:r>
      <w:r>
        <w:rPr>
          <w:szCs w:val="27"/>
        </w:rPr>
        <w:t xml:space="preserve"> 不可抗力</w:t>
      </w:r>
    </w:p>
    <w:p w14:paraId="162BF16D">
      <w:pPr>
        <w:spacing w:line="360" w:lineRule="auto"/>
        <w:ind w:firstLine="420" w:firstLineChars="200"/>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41F02D1">
      <w:pPr>
        <w:spacing w:line="360" w:lineRule="auto"/>
        <w:ind w:firstLine="420" w:firstLineChars="200"/>
        <w:rPr>
          <w:szCs w:val="27"/>
        </w:rPr>
      </w:pPr>
      <w:r>
        <w:rPr>
          <w:rFonts w:hint="eastAsia"/>
        </w:rPr>
        <w:t>2</w:t>
      </w:r>
      <w:r>
        <w:rPr>
          <w:rFonts w:hint="eastAsia"/>
          <w:szCs w:val="27"/>
        </w:rPr>
        <w:t>.</w:t>
      </w:r>
      <w:r>
        <w:rPr>
          <w:szCs w:val="27"/>
        </w:rPr>
        <w:t>甲乙双方的任何一方由于不可抗力的原因不能履行合同时，应及时向对方通报不能履行或不能完全履行的理由，在取得有关</w:t>
      </w:r>
      <w:r>
        <w:rPr>
          <w:rFonts w:hint="eastAsia"/>
          <w:szCs w:val="27"/>
        </w:rPr>
        <w:t>部门</w:t>
      </w:r>
      <w:r>
        <w:rPr>
          <w:szCs w:val="27"/>
        </w:rPr>
        <w:t>证明以后，允许延期履行、部分履行或者不履行合同，并根据情况可部分或全部免予承担违约责任。</w:t>
      </w:r>
    </w:p>
    <w:p w14:paraId="0BF99BAB">
      <w:pPr>
        <w:spacing w:line="360" w:lineRule="auto"/>
        <w:ind w:firstLine="422" w:firstLineChars="200"/>
        <w:rPr>
          <w:b/>
          <w:bCs/>
          <w:szCs w:val="27"/>
        </w:rPr>
      </w:pPr>
      <w:r>
        <w:rPr>
          <w:b/>
          <w:bCs/>
          <w:szCs w:val="27"/>
        </w:rPr>
        <w:t>第十</w:t>
      </w:r>
      <w:r>
        <w:rPr>
          <w:rFonts w:hint="eastAsia"/>
          <w:b/>
          <w:bCs/>
          <w:szCs w:val="27"/>
        </w:rPr>
        <w:t>三</w:t>
      </w:r>
      <w:r>
        <w:rPr>
          <w:b/>
          <w:bCs/>
          <w:szCs w:val="27"/>
        </w:rPr>
        <w:t>条</w:t>
      </w:r>
      <w:r>
        <w:rPr>
          <w:rFonts w:hint="eastAsia"/>
          <w:b/>
          <w:bCs/>
          <w:szCs w:val="27"/>
        </w:rPr>
        <w:t xml:space="preserve">  </w:t>
      </w:r>
      <w:r>
        <w:rPr>
          <w:rFonts w:hint="eastAsia"/>
          <w:szCs w:val="27"/>
        </w:rPr>
        <w:t>履约（或质量）保证金</w:t>
      </w:r>
    </w:p>
    <w:p w14:paraId="482EB718">
      <w:pPr>
        <w:spacing w:line="360" w:lineRule="auto"/>
        <w:ind w:firstLine="420" w:firstLineChars="200"/>
      </w:pPr>
      <w:r>
        <w:rPr>
          <w:rFonts w:hint="eastAsia"/>
        </w:rPr>
        <w:t>1.本项目不收取履约保证金。确需收取履约保证金的，甲方不得要求乙方以现款的形式提供。乙方提供的履约保证金按规定格式以银行保函形式提供，与此有关的费用由卖方承担。</w:t>
      </w:r>
    </w:p>
    <w:p w14:paraId="76EECCCC">
      <w:pPr>
        <w:spacing w:line="360" w:lineRule="auto"/>
        <w:ind w:firstLine="422" w:firstLineChars="200"/>
        <w:rPr>
          <w:b/>
        </w:rPr>
      </w:pPr>
      <w:r>
        <w:rPr>
          <w:b/>
          <w:bCs/>
          <w:szCs w:val="27"/>
        </w:rPr>
        <w:t>第十</w:t>
      </w:r>
      <w:r>
        <w:rPr>
          <w:rFonts w:hint="eastAsia"/>
          <w:b/>
          <w:bCs/>
          <w:szCs w:val="27"/>
        </w:rPr>
        <w:t>四</w:t>
      </w:r>
      <w:r>
        <w:rPr>
          <w:b/>
          <w:bCs/>
          <w:szCs w:val="27"/>
        </w:rPr>
        <w:t>条</w:t>
      </w:r>
      <w:r>
        <w:rPr>
          <w:rFonts w:hint="eastAsia"/>
          <w:b/>
          <w:bCs/>
          <w:szCs w:val="27"/>
        </w:rPr>
        <w:t xml:space="preserve"> </w:t>
      </w:r>
      <w:r>
        <w:rPr>
          <w:rFonts w:hint="eastAsia"/>
          <w:bCs/>
        </w:rPr>
        <w:t>转让与分包</w:t>
      </w:r>
    </w:p>
    <w:p w14:paraId="32ED8FB0">
      <w:pPr>
        <w:spacing w:line="360" w:lineRule="auto"/>
        <w:ind w:firstLine="420" w:firstLineChars="200"/>
      </w:pPr>
      <w:r>
        <w:rPr>
          <w:rFonts w:hint="eastAsia"/>
        </w:rPr>
        <w:t>1</w:t>
      </w:r>
      <w:r>
        <w:rPr>
          <w:rFonts w:hint="eastAsia"/>
          <w:szCs w:val="27"/>
        </w:rPr>
        <w:t>.</w:t>
      </w:r>
      <w:r>
        <w:rPr>
          <w:rFonts w:hint="eastAsia"/>
        </w:rPr>
        <w:t>除甲方事先书面同意外，乙方不得部分转让或全部转让其应履行的合同义务。</w:t>
      </w:r>
    </w:p>
    <w:p w14:paraId="6EEBC3F7">
      <w:pPr>
        <w:spacing w:line="360" w:lineRule="auto"/>
        <w:ind w:firstLine="420" w:firstLineChars="200"/>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14:paraId="73608417">
      <w:pPr>
        <w:spacing w:line="360" w:lineRule="auto"/>
        <w:ind w:firstLine="422" w:firstLineChars="200"/>
        <w:rPr>
          <w:b/>
        </w:rPr>
      </w:pPr>
      <w:r>
        <w:rPr>
          <w:b/>
          <w:bCs/>
          <w:szCs w:val="27"/>
        </w:rPr>
        <w:t>第十</w:t>
      </w:r>
      <w:r>
        <w:rPr>
          <w:rFonts w:hint="eastAsia"/>
          <w:b/>
          <w:bCs/>
          <w:szCs w:val="27"/>
        </w:rPr>
        <w:t>五</w:t>
      </w:r>
      <w:r>
        <w:rPr>
          <w:b/>
          <w:bCs/>
          <w:szCs w:val="27"/>
        </w:rPr>
        <w:t>条</w:t>
      </w:r>
      <w:r>
        <w:rPr>
          <w:rFonts w:hint="eastAsia"/>
          <w:b/>
          <w:bCs/>
          <w:szCs w:val="27"/>
        </w:rPr>
        <w:t xml:space="preserve"> </w:t>
      </w:r>
      <w:r>
        <w:rPr>
          <w:rFonts w:hint="eastAsia"/>
          <w:bCs/>
        </w:rPr>
        <w:t>合同文件及资料的使用</w:t>
      </w:r>
    </w:p>
    <w:p w14:paraId="459F8AD6">
      <w:pPr>
        <w:spacing w:line="360" w:lineRule="auto"/>
        <w:ind w:firstLine="420" w:firstLineChars="200"/>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14:paraId="70F103BE">
      <w:pPr>
        <w:spacing w:line="360" w:lineRule="auto"/>
        <w:ind w:firstLine="420" w:firstLineChars="200"/>
      </w:pPr>
      <w:r>
        <w:rPr>
          <w:rFonts w:hint="eastAsia"/>
        </w:rPr>
        <w:t>2</w:t>
      </w:r>
      <w:r>
        <w:rPr>
          <w:rFonts w:hint="eastAsia"/>
          <w:szCs w:val="27"/>
        </w:rPr>
        <w:t>.</w:t>
      </w:r>
      <w:r>
        <w:rPr>
          <w:rFonts w:hint="eastAsia"/>
        </w:rPr>
        <w:t>除非执行合同需要，在事先未得到甲方同意的情况下，乙方不得使用前款所列的任何文件和资料。</w:t>
      </w:r>
    </w:p>
    <w:p w14:paraId="17099AFA">
      <w:pPr>
        <w:spacing w:line="360" w:lineRule="auto"/>
        <w:ind w:firstLine="422" w:firstLineChars="200"/>
        <w:rPr>
          <w:szCs w:val="27"/>
        </w:rPr>
      </w:pPr>
      <w:r>
        <w:rPr>
          <w:b/>
          <w:bCs/>
          <w:szCs w:val="27"/>
        </w:rPr>
        <w:t>第十</w:t>
      </w:r>
      <w:r>
        <w:rPr>
          <w:rFonts w:hint="eastAsia"/>
          <w:b/>
          <w:bCs/>
          <w:szCs w:val="27"/>
        </w:rPr>
        <w:t>六</w:t>
      </w:r>
      <w:r>
        <w:rPr>
          <w:b/>
          <w:bCs/>
          <w:szCs w:val="27"/>
        </w:rPr>
        <w:t>条 </w:t>
      </w:r>
      <w:r>
        <w:rPr>
          <w:rFonts w:hint="eastAsia"/>
          <w:szCs w:val="27"/>
        </w:rPr>
        <w:t>合同纠纷调处</w:t>
      </w:r>
    </w:p>
    <w:p w14:paraId="714B05D1">
      <w:pPr>
        <w:spacing w:line="360" w:lineRule="auto"/>
        <w:ind w:firstLine="420" w:firstLineChars="200"/>
      </w:pPr>
      <w:r>
        <w:rPr>
          <w:rFonts w:hint="eastAsia"/>
        </w:rPr>
        <w:t>1</w:t>
      </w:r>
      <w:r>
        <w:rPr>
          <w:rFonts w:hint="eastAsia"/>
          <w:szCs w:val="27"/>
        </w:rPr>
        <w:t>.</w:t>
      </w:r>
      <w:r>
        <w:rPr>
          <w:szCs w:val="27"/>
        </w:rPr>
        <w:t>按本合同规定应该偿付的违约金、赔偿金、保管保养费和各种经济损失，应当在明确责任后</w:t>
      </w:r>
      <w:r>
        <w:rPr>
          <w:rFonts w:hint="eastAsia"/>
          <w:szCs w:val="27"/>
        </w:rPr>
        <w:t>10</w:t>
      </w:r>
      <w:r>
        <w:rPr>
          <w:szCs w:val="27"/>
        </w:rPr>
        <w:t>天内，按银行规定的结算办法付清，否则按逾期付款处理。但任何一方不得自行扣发货物或扣付货款来充抵。</w:t>
      </w:r>
    </w:p>
    <w:p w14:paraId="2B3F8BDE">
      <w:pPr>
        <w:spacing w:line="360" w:lineRule="auto"/>
        <w:ind w:firstLine="420" w:firstLineChars="200"/>
        <w:rPr>
          <w:szCs w:val="27"/>
        </w:rPr>
      </w:pPr>
      <w:r>
        <w:rPr>
          <w:rFonts w:hint="eastAsia"/>
        </w:rPr>
        <w:t>2</w:t>
      </w:r>
      <w:r>
        <w:rPr>
          <w:rFonts w:hint="eastAsia"/>
          <w:szCs w:val="27"/>
        </w:rPr>
        <w:t>.</w:t>
      </w:r>
      <w:r>
        <w:rPr>
          <w:szCs w:val="27"/>
        </w:rPr>
        <w:t>本合同如发生纠纷，当事人双方应当及时协商解决，协商不成时，任何一方均可请</w:t>
      </w:r>
      <w:r>
        <w:rPr>
          <w:rFonts w:hint="eastAsia"/>
          <w:szCs w:val="27"/>
        </w:rPr>
        <w:t>本项目政府采购监督管理部门</w:t>
      </w:r>
      <w:r>
        <w:rPr>
          <w:szCs w:val="27"/>
        </w:rPr>
        <w:t>调解，调解不成，按以下第（</w:t>
      </w:r>
      <w:r>
        <w:rPr>
          <w:rFonts w:hint="eastAsia"/>
          <w:szCs w:val="27"/>
        </w:rPr>
        <w:t xml:space="preserve"> </w:t>
      </w:r>
      <w:r>
        <w:rPr>
          <w:szCs w:val="27"/>
        </w:rPr>
        <w:t>）项方式处理：</w:t>
      </w:r>
      <w:r>
        <w:rPr>
          <w:rFonts w:hint="eastAsia"/>
          <w:szCs w:val="27"/>
        </w:rPr>
        <w:t>①根据《中华人民共和国仲裁法》的规定向</w:t>
      </w:r>
      <w:r>
        <w:rPr>
          <w:rFonts w:hint="eastAsia"/>
          <w:b/>
          <w:bCs/>
          <w:szCs w:val="27"/>
          <w:u w:val="single"/>
        </w:rPr>
        <w:t>周口仲裁委员会</w:t>
      </w:r>
      <w:r>
        <w:rPr>
          <w:rFonts w:hint="eastAsia"/>
          <w:szCs w:val="27"/>
        </w:rPr>
        <w:t>申请仲裁。②</w:t>
      </w:r>
      <w:r>
        <w:rPr>
          <w:szCs w:val="27"/>
        </w:rPr>
        <w:t>向</w:t>
      </w:r>
      <w:r>
        <w:rPr>
          <w:rFonts w:hint="eastAsia"/>
        </w:rPr>
        <w:t>合同签订地有级别管辖权的</w:t>
      </w:r>
      <w:r>
        <w:rPr>
          <w:szCs w:val="27"/>
        </w:rPr>
        <w:t>人民法院起诉。</w:t>
      </w:r>
    </w:p>
    <w:p w14:paraId="67EC2164">
      <w:pPr>
        <w:pStyle w:val="51"/>
        <w:spacing w:beforeLines="0" w:afterLines="0"/>
        <w:ind w:left="0" w:firstLine="420" w:firstLineChars="200"/>
      </w:pPr>
      <w:r>
        <w:rPr>
          <w:rFonts w:hint="eastAsia"/>
          <w:szCs w:val="27"/>
        </w:rPr>
        <w:t>3、甲、乙双方均有权利向本项目具有监管职能的政府采购监督管理部门举报反映对方在合同履约中的违法违纪行为。</w:t>
      </w:r>
    </w:p>
    <w:p w14:paraId="6FF05762">
      <w:pPr>
        <w:spacing w:line="360" w:lineRule="auto"/>
        <w:ind w:firstLine="422" w:firstLineChars="200"/>
        <w:rPr>
          <w:szCs w:val="27"/>
        </w:rPr>
      </w:pPr>
      <w:r>
        <w:rPr>
          <w:rFonts w:hint="eastAsia"/>
          <w:b/>
          <w:bCs/>
          <w:szCs w:val="27"/>
        </w:rPr>
        <w:t xml:space="preserve">第十七条  </w:t>
      </w:r>
      <w:r>
        <w:rPr>
          <w:rFonts w:hint="eastAsia"/>
          <w:szCs w:val="27"/>
        </w:rPr>
        <w:t>下列关于周口市公共资源交易中心政府采购代理机构名称</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2B69D90B">
      <w:pPr>
        <w:spacing w:line="360" w:lineRule="auto"/>
        <w:ind w:firstLine="420" w:firstLineChars="200"/>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14:paraId="07818339">
      <w:pPr>
        <w:spacing w:line="360" w:lineRule="auto"/>
        <w:ind w:firstLine="420" w:firstLineChars="200"/>
        <w:rPr>
          <w:szCs w:val="27"/>
        </w:rPr>
      </w:pPr>
    </w:p>
    <w:p w14:paraId="50BD5E6D">
      <w:pPr>
        <w:spacing w:line="360" w:lineRule="auto"/>
        <w:ind w:firstLine="420" w:firstLineChars="200"/>
        <w:rPr>
          <w:szCs w:val="27"/>
        </w:rPr>
      </w:pPr>
    </w:p>
    <w:p w14:paraId="25DC34AD">
      <w:pPr>
        <w:spacing w:line="360" w:lineRule="auto"/>
        <w:ind w:firstLine="420" w:firstLineChars="200"/>
        <w:rPr>
          <w:szCs w:val="27"/>
        </w:rPr>
      </w:pPr>
      <w:r>
        <w:rPr>
          <w:rFonts w:hint="eastAsia"/>
          <w:szCs w:val="27"/>
        </w:rPr>
        <w:t>采购人</w:t>
      </w:r>
      <w:r>
        <w:rPr>
          <w:szCs w:val="27"/>
        </w:rPr>
        <w:t>（甲方）：</w:t>
      </w:r>
      <w:r>
        <w:rPr>
          <w:rFonts w:hint="eastAsia"/>
          <w:szCs w:val="27"/>
        </w:rPr>
        <w:t xml:space="preserve">    </w:t>
      </w:r>
      <w:r>
        <w:rPr>
          <w:szCs w:val="27"/>
        </w:rPr>
        <w:t>（公章）</w:t>
      </w:r>
      <w:r>
        <w:rPr>
          <w:rFonts w:hint="eastAsia"/>
          <w:szCs w:val="27"/>
        </w:rPr>
        <w:t xml:space="preserve">        </w:t>
      </w:r>
      <w:r>
        <w:rPr>
          <w:szCs w:val="27"/>
        </w:rPr>
        <w:t> </w:t>
      </w:r>
      <w:r>
        <w:rPr>
          <w:rFonts w:hint="eastAsia"/>
          <w:szCs w:val="27"/>
        </w:rPr>
        <w:t xml:space="preserve">  </w:t>
      </w:r>
      <w:r>
        <w:rPr>
          <w:szCs w:val="27"/>
        </w:rPr>
        <w:t>供货</w:t>
      </w:r>
      <w:r>
        <w:rPr>
          <w:rFonts w:hint="eastAsia"/>
          <w:szCs w:val="27"/>
        </w:rPr>
        <w:t>人</w:t>
      </w:r>
      <w:r>
        <w:rPr>
          <w:szCs w:val="27"/>
        </w:rPr>
        <w:t>（乙方）：</w:t>
      </w:r>
      <w:r>
        <w:rPr>
          <w:rFonts w:hint="eastAsia"/>
          <w:szCs w:val="27"/>
        </w:rPr>
        <w:t xml:space="preserve">     </w:t>
      </w:r>
      <w:r>
        <w:rPr>
          <w:szCs w:val="27"/>
        </w:rPr>
        <w:t>（公章）</w:t>
      </w:r>
      <w:r>
        <w:rPr>
          <w:rFonts w:hint="eastAsia"/>
          <w:szCs w:val="27"/>
        </w:rPr>
        <w:t xml:space="preserve">  </w:t>
      </w:r>
    </w:p>
    <w:p w14:paraId="1F939D29">
      <w:pPr>
        <w:spacing w:line="360" w:lineRule="auto"/>
        <w:ind w:firstLine="420" w:firstLineChars="200"/>
      </w:pPr>
      <w:r>
        <w:rPr>
          <w:rFonts w:hint="eastAsia"/>
          <w:szCs w:val="27"/>
        </w:rPr>
        <w:t xml:space="preserve">地址：                               </w:t>
      </w:r>
      <w:r>
        <w:rPr>
          <w:szCs w:val="27"/>
        </w:rPr>
        <w:t>地址：</w:t>
      </w:r>
    </w:p>
    <w:p w14:paraId="21744020">
      <w:pPr>
        <w:spacing w:line="360" w:lineRule="auto"/>
        <w:ind w:firstLine="420" w:firstLineChars="200"/>
        <w:rPr>
          <w:szCs w:val="27"/>
        </w:rPr>
      </w:pPr>
      <w:r>
        <w:rPr>
          <w:szCs w:val="27"/>
        </w:rPr>
        <w:t>法定代表人：</w:t>
      </w:r>
      <w:r>
        <w:rPr>
          <w:rFonts w:hint="eastAsia"/>
          <w:szCs w:val="27"/>
        </w:rPr>
        <w:t xml:space="preserve">                         </w:t>
      </w:r>
      <w:r>
        <w:rPr>
          <w:szCs w:val="27"/>
        </w:rPr>
        <w:t>法定代表人：</w:t>
      </w:r>
    </w:p>
    <w:p w14:paraId="5606FF85">
      <w:pPr>
        <w:spacing w:line="360" w:lineRule="auto"/>
        <w:ind w:firstLine="420" w:firstLineChars="200"/>
        <w:rPr>
          <w:u w:val="single"/>
        </w:rPr>
      </w:pPr>
      <w:r>
        <w:rPr>
          <w:rFonts w:hint="eastAsia"/>
          <w:szCs w:val="27"/>
        </w:rPr>
        <w:t>委托代理人：                         委托代理人：</w:t>
      </w:r>
    </w:p>
    <w:p w14:paraId="23A8DD37">
      <w:pPr>
        <w:spacing w:line="360" w:lineRule="auto"/>
        <w:ind w:firstLine="420" w:firstLineChars="200"/>
      </w:pPr>
      <w:r>
        <w:rPr>
          <w:rFonts w:hint="eastAsia"/>
        </w:rPr>
        <w:t>电话：                               电话：</w:t>
      </w:r>
    </w:p>
    <w:p w14:paraId="0F1EE515">
      <w:pPr>
        <w:spacing w:line="360" w:lineRule="auto"/>
        <w:ind w:firstLine="420" w:firstLineChars="200"/>
        <w:rPr>
          <w:szCs w:val="27"/>
        </w:rPr>
      </w:pPr>
      <w:r>
        <w:rPr>
          <w:szCs w:val="27"/>
        </w:rPr>
        <w:t>开户银行：</w:t>
      </w:r>
      <w:r>
        <w:rPr>
          <w:rFonts w:hint="eastAsia"/>
          <w:szCs w:val="27"/>
        </w:rPr>
        <w:t xml:space="preserve">                           </w:t>
      </w:r>
      <w:r>
        <w:rPr>
          <w:szCs w:val="27"/>
        </w:rPr>
        <w:t>开户银行：</w:t>
      </w:r>
    </w:p>
    <w:p w14:paraId="014AFA59">
      <w:pPr>
        <w:spacing w:line="360" w:lineRule="auto"/>
        <w:ind w:firstLine="420" w:firstLineChars="200"/>
      </w:pPr>
      <w:r>
        <w:rPr>
          <w:rFonts w:hint="eastAsia"/>
          <w:szCs w:val="27"/>
        </w:rPr>
        <w:t>账号</w:t>
      </w:r>
      <w:r>
        <w:rPr>
          <w:szCs w:val="27"/>
        </w:rPr>
        <w:t>：</w:t>
      </w:r>
      <w:r>
        <w:rPr>
          <w:rFonts w:hint="eastAsia"/>
          <w:szCs w:val="27"/>
        </w:rPr>
        <w:t xml:space="preserve">                               账号</w:t>
      </w:r>
      <w:r>
        <w:rPr>
          <w:szCs w:val="27"/>
        </w:rPr>
        <w:t>：</w:t>
      </w:r>
    </w:p>
    <w:p w14:paraId="5F986DFA">
      <w:pPr>
        <w:spacing w:line="640" w:lineRule="exact"/>
        <w:ind w:firstLine="1575" w:firstLineChars="750"/>
        <w:rPr>
          <w:szCs w:val="27"/>
          <w:u w:val="single"/>
        </w:rPr>
      </w:pPr>
    </w:p>
    <w:p w14:paraId="4A5AFD3F">
      <w:pPr>
        <w:pStyle w:val="20"/>
      </w:pPr>
      <w:r>
        <w:rPr>
          <w:szCs w:val="27"/>
          <w:u w:val="single"/>
        </w:rPr>
        <w:t>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r>
        <w:rPr>
          <w:szCs w:val="27"/>
          <w:u w:val="single"/>
        </w:rPr>
        <w:t xml:space="preserve">    </w:t>
      </w:r>
      <w:r>
        <w:rPr>
          <w:rFonts w:hint="eastAsia"/>
          <w:szCs w:val="27"/>
          <w:u w:val="single"/>
        </w:rPr>
        <w:t xml:space="preserve">    </w:t>
      </w:r>
      <w:r>
        <w:rPr>
          <w:szCs w:val="27"/>
        </w:rPr>
        <w:t>年</w:t>
      </w:r>
      <w:r>
        <w:rPr>
          <w:szCs w:val="27"/>
          <w:u w:val="single"/>
        </w:rPr>
        <w:t xml:space="preserve">    </w:t>
      </w:r>
      <w:r>
        <w:rPr>
          <w:szCs w:val="27"/>
        </w:rPr>
        <w:t>月</w:t>
      </w:r>
      <w:r>
        <w:rPr>
          <w:szCs w:val="27"/>
          <w:u w:val="single"/>
        </w:rPr>
        <w:t xml:space="preserve">  </w:t>
      </w:r>
      <w:r>
        <w:rPr>
          <w:szCs w:val="27"/>
        </w:rPr>
        <w:t>日</w:t>
      </w:r>
      <w:r>
        <w:rPr>
          <w:rFonts w:hint="eastAsia"/>
          <w:szCs w:val="27"/>
        </w:rPr>
        <w:t xml:space="preserve"> </w:t>
      </w:r>
    </w:p>
    <w:p w14:paraId="2589EC28">
      <w:pPr>
        <w:pStyle w:val="20"/>
      </w:pPr>
    </w:p>
    <w:p w14:paraId="2E1DA95C">
      <w:pPr>
        <w:pStyle w:val="20"/>
      </w:pPr>
    </w:p>
    <w:p w14:paraId="7BDB2912">
      <w:pPr>
        <w:pStyle w:val="20"/>
        <w:rPr>
          <w:color w:val="000000" w:themeColor="text1"/>
          <w14:textFill>
            <w14:solidFill>
              <w14:schemeClr w14:val="tx1"/>
            </w14:solidFill>
          </w14:textFill>
        </w:rPr>
      </w:pPr>
    </w:p>
    <w:p w14:paraId="1F0D4B3C">
      <w:pPr>
        <w:pStyle w:val="20"/>
        <w:rPr>
          <w:color w:val="000000" w:themeColor="text1"/>
          <w14:textFill>
            <w14:solidFill>
              <w14:schemeClr w14:val="tx1"/>
            </w14:solidFill>
          </w14:textFill>
        </w:rPr>
      </w:pPr>
    </w:p>
    <w:p w14:paraId="2FC9AA67">
      <w:pPr>
        <w:pStyle w:val="20"/>
        <w:rPr>
          <w:color w:val="000000" w:themeColor="text1"/>
          <w14:textFill>
            <w14:solidFill>
              <w14:schemeClr w14:val="tx1"/>
            </w14:solidFill>
          </w14:textFill>
        </w:rPr>
      </w:pPr>
    </w:p>
    <w:p w14:paraId="55E6F775">
      <w:pPr>
        <w:pStyle w:val="20"/>
        <w:rPr>
          <w:color w:val="000000" w:themeColor="text1"/>
          <w14:textFill>
            <w14:solidFill>
              <w14:schemeClr w14:val="tx1"/>
            </w14:solidFill>
          </w14:textFill>
        </w:rPr>
      </w:pPr>
    </w:p>
    <w:p w14:paraId="2CCFA405">
      <w:pPr>
        <w:pStyle w:val="20"/>
        <w:rPr>
          <w:color w:val="000000" w:themeColor="text1"/>
          <w14:textFill>
            <w14:solidFill>
              <w14:schemeClr w14:val="tx1"/>
            </w14:solidFill>
          </w14:textFill>
        </w:rPr>
      </w:pPr>
    </w:p>
    <w:p w14:paraId="44BC9878">
      <w:pPr>
        <w:pStyle w:val="20"/>
        <w:rPr>
          <w:color w:val="000000" w:themeColor="text1"/>
          <w14:textFill>
            <w14:solidFill>
              <w14:schemeClr w14:val="tx1"/>
            </w14:solidFill>
          </w14:textFill>
        </w:rPr>
      </w:pPr>
    </w:p>
    <w:p w14:paraId="792D861B">
      <w:pPr>
        <w:pStyle w:val="20"/>
        <w:rPr>
          <w:color w:val="000000" w:themeColor="text1"/>
          <w14:textFill>
            <w14:solidFill>
              <w14:schemeClr w14:val="tx1"/>
            </w14:solidFill>
          </w14:textFill>
        </w:rPr>
      </w:pPr>
    </w:p>
    <w:p w14:paraId="01641BD6">
      <w:pPr>
        <w:pStyle w:val="20"/>
        <w:rPr>
          <w:color w:val="000000" w:themeColor="text1"/>
          <w14:textFill>
            <w14:solidFill>
              <w14:schemeClr w14:val="tx1"/>
            </w14:solidFill>
          </w14:textFill>
        </w:rPr>
      </w:pPr>
    </w:p>
    <w:p w14:paraId="734EF390">
      <w:pPr>
        <w:pStyle w:val="20"/>
        <w:rPr>
          <w:color w:val="000000" w:themeColor="text1"/>
          <w14:textFill>
            <w14:solidFill>
              <w14:schemeClr w14:val="tx1"/>
            </w14:solidFill>
          </w14:textFill>
        </w:rPr>
      </w:pPr>
    </w:p>
    <w:p w14:paraId="2EBB492C">
      <w:pPr>
        <w:pStyle w:val="20"/>
        <w:rPr>
          <w:color w:val="000000" w:themeColor="text1"/>
          <w14:textFill>
            <w14:solidFill>
              <w14:schemeClr w14:val="tx1"/>
            </w14:solidFill>
          </w14:textFill>
        </w:rPr>
      </w:pPr>
    </w:p>
    <w:p w14:paraId="49D67D23">
      <w:pPr>
        <w:pStyle w:val="20"/>
        <w:rPr>
          <w:color w:val="000000" w:themeColor="text1"/>
          <w14:textFill>
            <w14:solidFill>
              <w14:schemeClr w14:val="tx1"/>
            </w14:solidFill>
          </w14:textFill>
        </w:rPr>
      </w:pPr>
    </w:p>
    <w:p w14:paraId="6A5CEC7C">
      <w:pPr>
        <w:pStyle w:val="20"/>
        <w:rPr>
          <w:color w:val="000000" w:themeColor="text1"/>
          <w14:textFill>
            <w14:solidFill>
              <w14:schemeClr w14:val="tx1"/>
            </w14:solidFill>
          </w14:textFill>
        </w:rPr>
      </w:pPr>
    </w:p>
    <w:p w14:paraId="576AFCC2">
      <w:pPr>
        <w:pStyle w:val="20"/>
        <w:rPr>
          <w:color w:val="000000" w:themeColor="text1"/>
          <w14:textFill>
            <w14:solidFill>
              <w14:schemeClr w14:val="tx1"/>
            </w14:solidFill>
          </w14:textFill>
        </w:rPr>
      </w:pPr>
    </w:p>
    <w:p w14:paraId="79827646">
      <w:pPr>
        <w:pStyle w:val="20"/>
        <w:rPr>
          <w:color w:val="000000" w:themeColor="text1"/>
          <w14:textFill>
            <w14:solidFill>
              <w14:schemeClr w14:val="tx1"/>
            </w14:solidFill>
          </w14:textFill>
        </w:rPr>
      </w:pPr>
    </w:p>
    <w:p w14:paraId="30C7DFDC">
      <w:pPr>
        <w:pStyle w:val="20"/>
        <w:rPr>
          <w:color w:val="000000" w:themeColor="text1"/>
          <w14:textFill>
            <w14:solidFill>
              <w14:schemeClr w14:val="tx1"/>
            </w14:solidFill>
          </w14:textFill>
        </w:rPr>
      </w:pPr>
    </w:p>
    <w:p w14:paraId="2E6B3ED3">
      <w:pPr>
        <w:numPr>
          <w:ilvl w:val="0"/>
          <w:numId w:val="8"/>
        </w:numPr>
        <w:spacing w:line="900" w:lineRule="exact"/>
        <w:rPr>
          <w:rFonts w:ascii="宋体" w:hAnsi="宋体" w:cs="宋体"/>
          <w:b/>
          <w:bCs/>
          <w:color w:val="000000" w:themeColor="text1"/>
          <w:sz w:val="32"/>
          <w:szCs w:val="32"/>
          <w14:textFill>
            <w14:solidFill>
              <w14:schemeClr w14:val="tx1"/>
            </w14:solidFill>
          </w14:textFill>
        </w:rPr>
      </w:pPr>
      <w:bookmarkStart w:id="115" w:name="_Toc17699_WPSOffice_Level1"/>
      <w:r>
        <w:rPr>
          <w:rFonts w:hint="eastAsia" w:ascii="宋体" w:hAnsi="宋体" w:cs="宋体"/>
          <w:b/>
          <w:bCs/>
          <w:color w:val="000000" w:themeColor="text1"/>
          <w:sz w:val="32"/>
          <w:szCs w:val="32"/>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投标文件格式</w:t>
      </w:r>
      <w:bookmarkEnd w:id="115"/>
    </w:p>
    <w:p w14:paraId="60E15ADB">
      <w:pPr>
        <w:spacing w:line="90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****项目</w:t>
      </w:r>
    </w:p>
    <w:p w14:paraId="153FE2C1">
      <w:pPr>
        <w:pStyle w:val="20"/>
        <w:rPr>
          <w:color w:val="000000" w:themeColor="text1"/>
          <w14:textFill>
            <w14:solidFill>
              <w14:schemeClr w14:val="tx1"/>
            </w14:solidFill>
          </w14:textFill>
        </w:rPr>
      </w:pPr>
    </w:p>
    <w:p w14:paraId="04E4CEF8">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w:t>
      </w:r>
    </w:p>
    <w:p w14:paraId="3ABF27E1">
      <w:pPr>
        <w:spacing w:line="900" w:lineRule="exact"/>
        <w:jc w:val="center"/>
        <w:rPr>
          <w:rFonts w:ascii="宋体" w:hAnsi="宋体" w:cs="宋体"/>
          <w:b/>
          <w:color w:val="000000" w:themeColor="text1"/>
          <w:sz w:val="72"/>
          <w14:textFill>
            <w14:solidFill>
              <w14:schemeClr w14:val="tx1"/>
            </w14:solidFill>
          </w14:textFill>
        </w:rPr>
      </w:pPr>
    </w:p>
    <w:p w14:paraId="40D2C671">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标</w:t>
      </w:r>
    </w:p>
    <w:p w14:paraId="39AAB4BA">
      <w:pPr>
        <w:spacing w:line="900" w:lineRule="exact"/>
        <w:jc w:val="center"/>
        <w:rPr>
          <w:rFonts w:ascii="宋体" w:hAnsi="宋体" w:cs="宋体"/>
          <w:b/>
          <w:color w:val="000000" w:themeColor="text1"/>
          <w:sz w:val="72"/>
          <w14:textFill>
            <w14:solidFill>
              <w14:schemeClr w14:val="tx1"/>
            </w14:solidFill>
          </w14:textFill>
        </w:rPr>
      </w:pPr>
    </w:p>
    <w:p w14:paraId="63D4E2F4">
      <w:pPr>
        <w:spacing w:line="900" w:lineRule="exact"/>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文</w:t>
      </w:r>
    </w:p>
    <w:p w14:paraId="3AD22D79">
      <w:pPr>
        <w:spacing w:line="900" w:lineRule="exact"/>
        <w:jc w:val="center"/>
        <w:rPr>
          <w:rFonts w:ascii="宋体" w:hAnsi="宋体" w:cs="宋体"/>
          <w:b/>
          <w:color w:val="000000" w:themeColor="text1"/>
          <w:sz w:val="72"/>
          <w14:textFill>
            <w14:solidFill>
              <w14:schemeClr w14:val="tx1"/>
            </w14:solidFill>
          </w14:textFill>
        </w:rPr>
      </w:pPr>
    </w:p>
    <w:p w14:paraId="396EE63B">
      <w:pPr>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件</w:t>
      </w:r>
    </w:p>
    <w:p w14:paraId="56DA4ABE">
      <w:pPr>
        <w:spacing w:afterLines="50" w:line="500" w:lineRule="exact"/>
        <w:rPr>
          <w:rFonts w:ascii="宋体" w:hAnsi="宋体" w:cs="宋体"/>
          <w:b/>
          <w:color w:val="000000" w:themeColor="text1"/>
          <w:sz w:val="32"/>
          <w:u w:val="single"/>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投标人：</w:t>
      </w:r>
      <w:r>
        <w:rPr>
          <w:rFonts w:hint="eastAsia" w:ascii="宋体" w:hAnsi="宋体" w:cs="宋体"/>
          <w:b/>
          <w:color w:val="000000" w:themeColor="text1"/>
          <w:sz w:val="32"/>
          <w:u w:val="single"/>
          <w14:textFill>
            <w14:solidFill>
              <w14:schemeClr w14:val="tx1"/>
            </w14:solidFill>
          </w14:textFill>
        </w:rPr>
        <w:t xml:space="preserve">               </w:t>
      </w:r>
    </w:p>
    <w:p w14:paraId="773932A6">
      <w:pPr>
        <w:spacing w:afterLines="50" w:line="500" w:lineRule="exact"/>
        <w:jc w:val="center"/>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u w:val="single"/>
          <w14:textFill>
            <w14:solidFill>
              <w14:schemeClr w14:val="tx1"/>
            </w14:solidFill>
          </w14:textFill>
        </w:rPr>
        <w:t xml:space="preserve"> </w:t>
      </w:r>
      <w:bookmarkStart w:id="116" w:name="_Toc5567_WPSOffice_Level2"/>
      <w:r>
        <w:rPr>
          <w:rFonts w:hint="eastAsia" w:ascii="宋体" w:hAnsi="宋体" w:cs="宋体"/>
          <w:b/>
          <w:color w:val="000000" w:themeColor="text1"/>
          <w:sz w:val="32"/>
          <w14:textFill>
            <w14:solidFill>
              <w14:schemeClr w14:val="tx1"/>
            </w14:solidFill>
          </w14:textFill>
        </w:rPr>
        <w:t>年</w:t>
      </w:r>
      <w:r>
        <w:rPr>
          <w:rFonts w:hint="eastAsia" w:ascii="宋体" w:hAnsi="宋体" w:cs="宋体"/>
          <w:b/>
          <w:color w:val="000000" w:themeColor="text1"/>
          <w:sz w:val="32"/>
          <w:u w:val="single"/>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月</w:t>
      </w:r>
      <w:r>
        <w:rPr>
          <w:rFonts w:hint="eastAsia" w:ascii="宋体" w:hAnsi="宋体" w:cs="宋体"/>
          <w:b/>
          <w:color w:val="000000" w:themeColor="text1"/>
          <w:sz w:val="32"/>
          <w:u w:val="single"/>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日</w:t>
      </w:r>
      <w:bookmarkEnd w:id="116"/>
    </w:p>
    <w:p w14:paraId="1611F331">
      <w:pPr>
        <w:rPr>
          <w:rFonts w:ascii="宋体" w:hAnsi="宋体" w:cs="宋体"/>
          <w:color w:val="000000" w:themeColor="text1"/>
          <w14:textFill>
            <w14:solidFill>
              <w14:schemeClr w14:val="tx1"/>
            </w14:solidFill>
          </w14:textFill>
        </w:rPr>
      </w:pPr>
      <w:bookmarkStart w:id="117" w:name="_Hlt519045470"/>
      <w:bookmarkEnd w:id="117"/>
      <w:bookmarkStart w:id="118" w:name="_Hlt50174708"/>
      <w:bookmarkEnd w:id="118"/>
      <w:bookmarkStart w:id="119" w:name="_Hlt533408877"/>
      <w:bookmarkEnd w:id="119"/>
      <w:bookmarkStart w:id="120" w:name="_Hlt50174972"/>
      <w:bookmarkEnd w:id="120"/>
      <w:bookmarkStart w:id="121" w:name="_Hlt50174722"/>
      <w:bookmarkEnd w:id="121"/>
      <w:bookmarkStart w:id="122" w:name="_Hlt519068595"/>
      <w:bookmarkEnd w:id="122"/>
    </w:p>
    <w:p w14:paraId="4C253645">
      <w:pPr>
        <w:pStyle w:val="43"/>
        <w:ind w:firstLine="0" w:firstLineChars="0"/>
      </w:pPr>
    </w:p>
    <w:p w14:paraId="3E713993">
      <w:pPr>
        <w:rPr>
          <w:rFonts w:ascii="宋体" w:hAnsi="宋体" w:cs="宋体"/>
          <w:color w:val="000000" w:themeColor="text1"/>
          <w14:textFill>
            <w14:solidFill>
              <w14:schemeClr w14:val="tx1"/>
            </w14:solidFill>
          </w14:textFill>
        </w:rPr>
      </w:pPr>
      <w:bookmarkStart w:id="123" w:name="_Toc20284_WPSOffice_Level2"/>
      <w:r>
        <w:rPr>
          <w:rFonts w:hint="eastAsia" w:ascii="宋体" w:hAnsi="宋体" w:cs="宋体"/>
          <w:color w:val="000000" w:themeColor="text1"/>
          <w14:textFill>
            <w14:solidFill>
              <w14:schemeClr w14:val="tx1"/>
            </w14:solidFill>
          </w14:textFill>
        </w:rPr>
        <w:br w:type="page"/>
      </w:r>
    </w:p>
    <w:p w14:paraId="308D3B1D">
      <w:pPr>
        <w:pStyle w:val="25"/>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投标文件资料清单</w:t>
      </w:r>
      <w:bookmarkEnd w:id="123"/>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460"/>
        <w:gridCol w:w="1854"/>
      </w:tblGrid>
      <w:tr w14:paraId="4B5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C24AD41">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5460" w:type="dxa"/>
            <w:vAlign w:val="center"/>
          </w:tcPr>
          <w:p w14:paraId="1080A462">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资料名称</w:t>
            </w:r>
          </w:p>
        </w:tc>
        <w:tc>
          <w:tcPr>
            <w:tcW w:w="1854" w:type="dxa"/>
            <w:vAlign w:val="center"/>
          </w:tcPr>
          <w:p w14:paraId="41CA02EC">
            <w:pPr>
              <w:spacing w:line="4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页码范围</w:t>
            </w:r>
          </w:p>
        </w:tc>
      </w:tr>
      <w:tr w14:paraId="43E7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A34BEB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5460" w:type="dxa"/>
            <w:vAlign w:val="center"/>
          </w:tcPr>
          <w:p w14:paraId="65F210EA">
            <w:pPr>
              <w:rPr>
                <w:rFonts w:ascii="宋体" w:hAnsi="宋体" w:cs="宋体"/>
                <w:color w:val="000000" w:themeColor="text1"/>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开标一览表</w:t>
            </w:r>
          </w:p>
        </w:tc>
        <w:tc>
          <w:tcPr>
            <w:tcW w:w="1854" w:type="dxa"/>
            <w:vAlign w:val="center"/>
          </w:tcPr>
          <w:p w14:paraId="52988778">
            <w:pPr>
              <w:spacing w:line="360" w:lineRule="auto"/>
              <w:jc w:val="center"/>
              <w:rPr>
                <w:rFonts w:ascii="宋体" w:hAnsi="宋体" w:cs="宋体"/>
                <w:b/>
                <w:color w:val="000000" w:themeColor="text1"/>
                <w:sz w:val="24"/>
                <w14:textFill>
                  <w14:solidFill>
                    <w14:schemeClr w14:val="tx1"/>
                  </w14:solidFill>
                </w14:textFill>
              </w:rPr>
            </w:pPr>
          </w:p>
        </w:tc>
      </w:tr>
      <w:tr w14:paraId="0D32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849702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5460" w:type="dxa"/>
            <w:vAlign w:val="center"/>
          </w:tcPr>
          <w:p w14:paraId="3630CA1D">
            <w:pP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投标人情况综合简介</w:t>
            </w:r>
          </w:p>
        </w:tc>
        <w:tc>
          <w:tcPr>
            <w:tcW w:w="1854" w:type="dxa"/>
            <w:vAlign w:val="center"/>
          </w:tcPr>
          <w:p w14:paraId="015E05B2">
            <w:pPr>
              <w:spacing w:line="360" w:lineRule="auto"/>
              <w:jc w:val="center"/>
              <w:rPr>
                <w:rFonts w:ascii="宋体" w:hAnsi="宋体" w:cs="宋体"/>
                <w:b/>
                <w:color w:val="000000" w:themeColor="text1"/>
                <w:sz w:val="24"/>
                <w14:textFill>
                  <w14:solidFill>
                    <w14:schemeClr w14:val="tx1"/>
                  </w14:solidFill>
                </w14:textFill>
              </w:rPr>
            </w:pPr>
          </w:p>
        </w:tc>
      </w:tr>
      <w:tr w14:paraId="72AE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5F82ABC">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w:t>
            </w:r>
          </w:p>
        </w:tc>
        <w:tc>
          <w:tcPr>
            <w:tcW w:w="5460" w:type="dxa"/>
            <w:vAlign w:val="center"/>
          </w:tcPr>
          <w:p w14:paraId="4484E1B4">
            <w:pP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投标函</w:t>
            </w:r>
          </w:p>
        </w:tc>
        <w:tc>
          <w:tcPr>
            <w:tcW w:w="1854" w:type="dxa"/>
            <w:vAlign w:val="center"/>
          </w:tcPr>
          <w:p w14:paraId="2DD34152">
            <w:pPr>
              <w:spacing w:line="360" w:lineRule="auto"/>
              <w:jc w:val="center"/>
              <w:rPr>
                <w:rFonts w:ascii="宋体" w:hAnsi="宋体" w:cs="宋体"/>
                <w:b/>
                <w:color w:val="000000" w:themeColor="text1"/>
                <w:sz w:val="24"/>
                <w14:textFill>
                  <w14:solidFill>
                    <w14:schemeClr w14:val="tx1"/>
                  </w14:solidFill>
                </w14:textFill>
              </w:rPr>
            </w:pPr>
          </w:p>
        </w:tc>
      </w:tr>
      <w:tr w14:paraId="5AAD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741D94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p>
        </w:tc>
        <w:tc>
          <w:tcPr>
            <w:tcW w:w="5460" w:type="dxa"/>
            <w:vAlign w:val="center"/>
          </w:tcPr>
          <w:p w14:paraId="56C12CF9">
            <w:pPr>
              <w:pStyle w:val="52"/>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投标分项报价表</w:t>
            </w:r>
          </w:p>
        </w:tc>
        <w:tc>
          <w:tcPr>
            <w:tcW w:w="1854" w:type="dxa"/>
            <w:vAlign w:val="center"/>
          </w:tcPr>
          <w:p w14:paraId="54B0D8F7">
            <w:pPr>
              <w:spacing w:line="360" w:lineRule="auto"/>
              <w:jc w:val="center"/>
              <w:rPr>
                <w:rFonts w:ascii="宋体" w:hAnsi="宋体" w:cs="宋体"/>
                <w:b/>
                <w:color w:val="000000" w:themeColor="text1"/>
                <w:sz w:val="24"/>
                <w14:textFill>
                  <w14:solidFill>
                    <w14:schemeClr w14:val="tx1"/>
                  </w14:solidFill>
                </w14:textFill>
              </w:rPr>
            </w:pPr>
          </w:p>
        </w:tc>
      </w:tr>
      <w:tr w14:paraId="3E3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1EF3F1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p>
        </w:tc>
        <w:tc>
          <w:tcPr>
            <w:tcW w:w="5460" w:type="dxa"/>
            <w:vAlign w:val="center"/>
          </w:tcPr>
          <w:p w14:paraId="22CBF547">
            <w:pP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投标响应表</w:t>
            </w:r>
          </w:p>
        </w:tc>
        <w:tc>
          <w:tcPr>
            <w:tcW w:w="1854" w:type="dxa"/>
            <w:vAlign w:val="center"/>
          </w:tcPr>
          <w:p w14:paraId="13D4221A">
            <w:pPr>
              <w:spacing w:line="360" w:lineRule="auto"/>
              <w:jc w:val="center"/>
              <w:rPr>
                <w:rFonts w:ascii="宋体" w:hAnsi="宋体" w:cs="宋体"/>
                <w:b/>
                <w:color w:val="000000" w:themeColor="text1"/>
                <w:sz w:val="24"/>
                <w14:textFill>
                  <w14:solidFill>
                    <w14:schemeClr w14:val="tx1"/>
                  </w14:solidFill>
                </w14:textFill>
              </w:rPr>
            </w:pPr>
          </w:p>
        </w:tc>
      </w:tr>
      <w:tr w14:paraId="195D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5A27A47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p>
        </w:tc>
        <w:tc>
          <w:tcPr>
            <w:tcW w:w="5460" w:type="dxa"/>
            <w:vAlign w:val="center"/>
          </w:tcPr>
          <w:p w14:paraId="481F633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产品质量承诺</w:t>
            </w:r>
          </w:p>
        </w:tc>
        <w:tc>
          <w:tcPr>
            <w:tcW w:w="1854" w:type="dxa"/>
            <w:vAlign w:val="center"/>
          </w:tcPr>
          <w:p w14:paraId="7A1DF4B8">
            <w:pPr>
              <w:spacing w:line="360" w:lineRule="auto"/>
              <w:rPr>
                <w:rFonts w:ascii="宋体" w:hAnsi="宋体" w:cs="宋体"/>
                <w:b/>
                <w:color w:val="000000" w:themeColor="text1"/>
                <w:sz w:val="24"/>
                <w14:textFill>
                  <w14:solidFill>
                    <w14:schemeClr w14:val="tx1"/>
                  </w14:solidFill>
                </w14:textFill>
              </w:rPr>
            </w:pPr>
          </w:p>
        </w:tc>
      </w:tr>
      <w:tr w14:paraId="4D2D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CCD247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p>
        </w:tc>
        <w:tc>
          <w:tcPr>
            <w:tcW w:w="5460" w:type="dxa"/>
            <w:vAlign w:val="center"/>
          </w:tcPr>
          <w:p w14:paraId="7BAC750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所供货物组部件、备品、备件清单</w:t>
            </w:r>
          </w:p>
        </w:tc>
        <w:tc>
          <w:tcPr>
            <w:tcW w:w="1854" w:type="dxa"/>
            <w:vAlign w:val="center"/>
          </w:tcPr>
          <w:p w14:paraId="26D838F4">
            <w:pPr>
              <w:spacing w:line="360" w:lineRule="auto"/>
              <w:rPr>
                <w:rFonts w:ascii="宋体" w:hAnsi="宋体" w:cs="宋体"/>
                <w:b/>
                <w:color w:val="000000" w:themeColor="text1"/>
                <w:sz w:val="24"/>
                <w14:textFill>
                  <w14:solidFill>
                    <w14:schemeClr w14:val="tx1"/>
                  </w14:solidFill>
                </w14:textFill>
              </w:rPr>
            </w:pPr>
          </w:p>
        </w:tc>
      </w:tr>
      <w:tr w14:paraId="18CE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380E610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p>
        </w:tc>
        <w:tc>
          <w:tcPr>
            <w:tcW w:w="5460" w:type="dxa"/>
            <w:vAlign w:val="center"/>
          </w:tcPr>
          <w:p w14:paraId="0910115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有关证明文件</w:t>
            </w:r>
          </w:p>
        </w:tc>
        <w:tc>
          <w:tcPr>
            <w:tcW w:w="1854" w:type="dxa"/>
            <w:vAlign w:val="center"/>
          </w:tcPr>
          <w:p w14:paraId="7F923DE5">
            <w:pPr>
              <w:spacing w:line="360" w:lineRule="auto"/>
              <w:rPr>
                <w:rFonts w:ascii="宋体" w:hAnsi="宋体" w:cs="宋体"/>
                <w:b/>
                <w:color w:val="000000" w:themeColor="text1"/>
                <w:sz w:val="24"/>
                <w14:textFill>
                  <w14:solidFill>
                    <w14:schemeClr w14:val="tx1"/>
                  </w14:solidFill>
                </w14:textFill>
              </w:rPr>
            </w:pPr>
          </w:p>
        </w:tc>
      </w:tr>
      <w:tr w14:paraId="5220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0" w:type="dxa"/>
            <w:vAlign w:val="center"/>
          </w:tcPr>
          <w:p w14:paraId="47FCB01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w:t>
            </w:r>
          </w:p>
        </w:tc>
        <w:tc>
          <w:tcPr>
            <w:tcW w:w="5460" w:type="dxa"/>
            <w:vAlign w:val="center"/>
          </w:tcPr>
          <w:p w14:paraId="6947355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w:t>
            </w:r>
          </w:p>
        </w:tc>
        <w:tc>
          <w:tcPr>
            <w:tcW w:w="1854" w:type="dxa"/>
            <w:vAlign w:val="center"/>
          </w:tcPr>
          <w:p w14:paraId="64F217B8">
            <w:pPr>
              <w:spacing w:line="360" w:lineRule="auto"/>
              <w:rPr>
                <w:rFonts w:ascii="宋体" w:hAnsi="宋体" w:cs="宋体"/>
                <w:b/>
                <w:color w:val="000000" w:themeColor="text1"/>
                <w:sz w:val="24"/>
                <w14:textFill>
                  <w14:solidFill>
                    <w14:schemeClr w14:val="tx1"/>
                  </w14:solidFill>
                </w14:textFill>
              </w:rPr>
            </w:pPr>
          </w:p>
        </w:tc>
      </w:tr>
      <w:tr w14:paraId="344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76CEE4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w:t>
            </w:r>
          </w:p>
        </w:tc>
        <w:tc>
          <w:tcPr>
            <w:tcW w:w="5460" w:type="dxa"/>
            <w:vAlign w:val="center"/>
          </w:tcPr>
          <w:p w14:paraId="306BE02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售后服务</w:t>
            </w:r>
          </w:p>
        </w:tc>
        <w:tc>
          <w:tcPr>
            <w:tcW w:w="1854" w:type="dxa"/>
            <w:vAlign w:val="center"/>
          </w:tcPr>
          <w:p w14:paraId="52C0046E">
            <w:pPr>
              <w:spacing w:line="360" w:lineRule="auto"/>
              <w:rPr>
                <w:rFonts w:ascii="宋体" w:hAnsi="宋体" w:cs="宋体"/>
                <w:b/>
                <w:color w:val="000000" w:themeColor="text1"/>
                <w:sz w:val="24"/>
                <w14:textFill>
                  <w14:solidFill>
                    <w14:schemeClr w14:val="tx1"/>
                  </w14:solidFill>
                </w14:textFill>
              </w:rPr>
            </w:pPr>
          </w:p>
        </w:tc>
      </w:tr>
      <w:tr w14:paraId="109C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0C81389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w:t>
            </w:r>
          </w:p>
        </w:tc>
        <w:tc>
          <w:tcPr>
            <w:tcW w:w="5460" w:type="dxa"/>
            <w:vAlign w:val="center"/>
          </w:tcPr>
          <w:p w14:paraId="2E24531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所投货物的技术资料等</w:t>
            </w:r>
          </w:p>
        </w:tc>
        <w:tc>
          <w:tcPr>
            <w:tcW w:w="1854" w:type="dxa"/>
            <w:vAlign w:val="center"/>
          </w:tcPr>
          <w:p w14:paraId="3E556B71">
            <w:pPr>
              <w:spacing w:line="360" w:lineRule="auto"/>
              <w:rPr>
                <w:rFonts w:ascii="宋体" w:hAnsi="宋体" w:cs="宋体"/>
                <w:b/>
                <w:color w:val="000000" w:themeColor="text1"/>
                <w:sz w:val="24"/>
                <w14:textFill>
                  <w14:solidFill>
                    <w14:schemeClr w14:val="tx1"/>
                  </w14:solidFill>
                </w14:textFill>
              </w:rPr>
            </w:pPr>
          </w:p>
        </w:tc>
      </w:tr>
      <w:tr w14:paraId="248C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77C53A4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w:t>
            </w:r>
          </w:p>
        </w:tc>
        <w:tc>
          <w:tcPr>
            <w:tcW w:w="5460" w:type="dxa"/>
            <w:vAlign w:val="center"/>
          </w:tcPr>
          <w:p w14:paraId="3B95E31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其他投标人认为需要提供得材料等</w:t>
            </w:r>
          </w:p>
        </w:tc>
        <w:tc>
          <w:tcPr>
            <w:tcW w:w="1854" w:type="dxa"/>
            <w:vAlign w:val="center"/>
          </w:tcPr>
          <w:p w14:paraId="1DBCFC97">
            <w:pPr>
              <w:spacing w:line="360" w:lineRule="auto"/>
              <w:rPr>
                <w:rFonts w:ascii="宋体" w:hAnsi="宋体" w:cs="宋体"/>
                <w:b/>
                <w:color w:val="000000" w:themeColor="text1"/>
                <w:sz w:val="24"/>
                <w14:textFill>
                  <w14:solidFill>
                    <w14:schemeClr w14:val="tx1"/>
                  </w14:solidFill>
                </w14:textFill>
              </w:rPr>
            </w:pPr>
          </w:p>
        </w:tc>
      </w:tr>
      <w:tr w14:paraId="7F16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88D1D6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w:t>
            </w:r>
          </w:p>
        </w:tc>
        <w:tc>
          <w:tcPr>
            <w:tcW w:w="5460" w:type="dxa"/>
            <w:vAlign w:val="center"/>
          </w:tcPr>
          <w:p w14:paraId="72FAE7C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政府采购供应商诚信承诺书</w:t>
            </w:r>
          </w:p>
          <w:p w14:paraId="2C95DD96">
            <w:pPr>
              <w:rPr>
                <w:rFonts w:ascii="宋体" w:hAnsi="宋体" w:cs="宋体"/>
                <w:color w:val="000000" w:themeColor="text1"/>
                <w:sz w:val="24"/>
                <w14:textFill>
                  <w14:solidFill>
                    <w14:schemeClr w14:val="tx1"/>
                  </w14:solidFill>
                </w14:textFill>
              </w:rPr>
            </w:pPr>
          </w:p>
        </w:tc>
        <w:tc>
          <w:tcPr>
            <w:tcW w:w="1854" w:type="dxa"/>
            <w:vAlign w:val="center"/>
          </w:tcPr>
          <w:p w14:paraId="367BF5DB">
            <w:pPr>
              <w:spacing w:line="360" w:lineRule="auto"/>
              <w:rPr>
                <w:rFonts w:ascii="宋体" w:hAnsi="宋体" w:cs="宋体"/>
                <w:b/>
                <w:color w:val="000000" w:themeColor="text1"/>
                <w:sz w:val="24"/>
                <w14:textFill>
                  <w14:solidFill>
                    <w14:schemeClr w14:val="tx1"/>
                  </w14:solidFill>
                </w14:textFill>
              </w:rPr>
            </w:pPr>
          </w:p>
        </w:tc>
      </w:tr>
      <w:tr w14:paraId="0876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04D5A6E0">
            <w:pPr>
              <w:jc w:val="center"/>
              <w:rPr>
                <w:rFonts w:ascii="宋体" w:hAnsi="宋体" w:cs="宋体"/>
                <w:color w:val="000000" w:themeColor="text1"/>
                <w:sz w:val="24"/>
                <w14:textFill>
                  <w14:solidFill>
                    <w14:schemeClr w14:val="tx1"/>
                  </w14:solidFill>
                </w14:textFill>
              </w:rPr>
            </w:pPr>
          </w:p>
        </w:tc>
        <w:tc>
          <w:tcPr>
            <w:tcW w:w="5460" w:type="dxa"/>
            <w:vAlign w:val="center"/>
          </w:tcPr>
          <w:p w14:paraId="050F75B8">
            <w:pPr>
              <w:rPr>
                <w:rFonts w:ascii="宋体" w:hAnsi="宋体" w:cs="宋体"/>
                <w:color w:val="000000" w:themeColor="text1"/>
                <w:sz w:val="24"/>
                <w14:textFill>
                  <w14:solidFill>
                    <w14:schemeClr w14:val="tx1"/>
                  </w14:solidFill>
                </w14:textFill>
              </w:rPr>
            </w:pPr>
          </w:p>
        </w:tc>
        <w:tc>
          <w:tcPr>
            <w:tcW w:w="1854" w:type="dxa"/>
            <w:vAlign w:val="center"/>
          </w:tcPr>
          <w:p w14:paraId="6A3710A1">
            <w:pPr>
              <w:spacing w:line="360" w:lineRule="auto"/>
              <w:rPr>
                <w:rFonts w:ascii="宋体" w:hAnsi="宋体" w:cs="宋体"/>
                <w:b/>
                <w:color w:val="000000" w:themeColor="text1"/>
                <w:sz w:val="24"/>
                <w14:textFill>
                  <w14:solidFill>
                    <w14:schemeClr w14:val="tx1"/>
                  </w14:solidFill>
                </w14:textFill>
              </w:rPr>
            </w:pPr>
          </w:p>
        </w:tc>
      </w:tr>
      <w:tr w14:paraId="1230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364" w:type="dxa"/>
            <w:gridSpan w:val="3"/>
            <w:vAlign w:val="center"/>
          </w:tcPr>
          <w:p w14:paraId="7B378CB5">
            <w:pPr>
              <w:spacing w:line="500" w:lineRule="exact"/>
              <w:rPr>
                <w:rFonts w:ascii="宋体" w:hAnsi="宋体" w:cs="宋体"/>
                <w:b/>
                <w:color w:val="000000" w:themeColor="text1"/>
                <w:sz w:val="28"/>
                <w14:textFill>
                  <w14:solidFill>
                    <w14:schemeClr w14:val="tx1"/>
                  </w14:solidFill>
                </w14:textFill>
              </w:rPr>
            </w:pPr>
            <w:r>
              <w:rPr>
                <w:rFonts w:hint="eastAsia" w:ascii="宋体" w:hAnsi="宋体" w:cs="宋体"/>
                <w:b/>
                <w:color w:val="000000" w:themeColor="text1"/>
                <w:sz w:val="28"/>
                <w14:textFill>
                  <w14:solidFill>
                    <w14:schemeClr w14:val="tx1"/>
                  </w14:solidFill>
                </w14:textFill>
              </w:rPr>
              <w:t>备注：投标文件资料清单是投标人制作投标文件的参考格式，并非必须格式，请各位投标人根据所投项目需要自行增减，是否依据了本格式或自行增减了多少格式并不是废标的条款。</w:t>
            </w:r>
          </w:p>
        </w:tc>
      </w:tr>
    </w:tbl>
    <w:p w14:paraId="7F1F51F3"/>
    <w:p w14:paraId="3426E811">
      <w:pPr>
        <w:spacing w:line="500" w:lineRule="exact"/>
        <w:rPr>
          <w:rFonts w:ascii="宋体" w:hAnsi="宋体" w:cs="宋体"/>
          <w:color w:val="000000" w:themeColor="text1"/>
          <w:sz w:val="28"/>
          <w14:textFill>
            <w14:solidFill>
              <w14:schemeClr w14:val="tx1"/>
            </w14:solidFill>
          </w14:textFill>
        </w:rPr>
      </w:pPr>
    </w:p>
    <w:p w14:paraId="75AE3612">
      <w:pPr>
        <w:pStyle w:val="20"/>
        <w:rPr>
          <w:color w:val="000000" w:themeColor="text1"/>
          <w14:textFill>
            <w14:solidFill>
              <w14:schemeClr w14:val="tx1"/>
            </w14:solidFill>
          </w14:textFill>
        </w:rPr>
      </w:pPr>
    </w:p>
    <w:p w14:paraId="347C6932">
      <w:pPr>
        <w:pStyle w:val="20"/>
        <w:rPr>
          <w:color w:val="000000" w:themeColor="text1"/>
          <w14:textFill>
            <w14:solidFill>
              <w14:schemeClr w14:val="tx1"/>
            </w14:solidFill>
          </w14:textFill>
        </w:rPr>
      </w:pPr>
    </w:p>
    <w:p w14:paraId="19AD03CC">
      <w:pPr>
        <w:pStyle w:val="20"/>
        <w:rPr>
          <w:color w:val="000000" w:themeColor="text1"/>
          <w14:textFill>
            <w14:solidFill>
              <w14:schemeClr w14:val="tx1"/>
            </w14:solidFill>
          </w14:textFill>
        </w:rPr>
      </w:pPr>
    </w:p>
    <w:p w14:paraId="07AA2D0D">
      <w:pPr>
        <w:pStyle w:val="20"/>
        <w:rPr>
          <w:color w:val="000000" w:themeColor="text1"/>
          <w14:textFill>
            <w14:solidFill>
              <w14:schemeClr w14:val="tx1"/>
            </w14:solidFill>
          </w14:textFill>
        </w:rPr>
      </w:pPr>
    </w:p>
    <w:p w14:paraId="10682C41">
      <w:pPr>
        <w:pStyle w:val="20"/>
        <w:rPr>
          <w:color w:val="000000" w:themeColor="text1"/>
          <w14:textFill>
            <w14:solidFill>
              <w14:schemeClr w14:val="tx1"/>
            </w14:solidFill>
          </w14:textFill>
        </w:rPr>
      </w:pPr>
    </w:p>
    <w:p w14:paraId="50770796">
      <w:pPr>
        <w:rPr>
          <w:rFonts w:hAnsi="宋体" w:cs="宋体"/>
          <w:color w:val="000000" w:themeColor="text1"/>
          <w:sz w:val="28"/>
          <w14:textFill>
            <w14:solidFill>
              <w14:schemeClr w14:val="tx1"/>
            </w14:solidFill>
          </w14:textFill>
        </w:rPr>
      </w:pPr>
      <w:bookmarkStart w:id="124" w:name="_Toc2396_WPSOffice_Level2"/>
      <w:bookmarkStart w:id="125" w:name="_Toc40975449"/>
      <w:bookmarkStart w:id="126" w:name="_Toc197934561"/>
      <w:r>
        <w:rPr>
          <w:rFonts w:hint="eastAsia" w:hAnsi="宋体" w:cs="宋体"/>
          <w:color w:val="000000" w:themeColor="text1"/>
          <w:sz w:val="28"/>
          <w14:textFill>
            <w14:solidFill>
              <w14:schemeClr w14:val="tx1"/>
            </w14:solidFill>
          </w14:textFill>
        </w:rPr>
        <w:br w:type="page"/>
      </w:r>
    </w:p>
    <w:p w14:paraId="3A856A79">
      <w:pPr>
        <w:pStyle w:val="5"/>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一．开标一览表</w:t>
      </w:r>
      <w:bookmarkEnd w:id="124"/>
      <w:bookmarkEnd w:id="125"/>
      <w:bookmarkEnd w:id="126"/>
    </w:p>
    <w:tbl>
      <w:tblPr>
        <w:tblStyle w:val="28"/>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309"/>
      </w:tblGrid>
      <w:tr w14:paraId="4D01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56" w:type="dxa"/>
            <w:tcBorders>
              <w:top w:val="single" w:color="auto" w:sz="4" w:space="0"/>
              <w:bottom w:val="single" w:color="auto" w:sz="4" w:space="0"/>
              <w:right w:val="single" w:color="auto" w:sz="4" w:space="0"/>
            </w:tcBorders>
            <w:vAlign w:val="center"/>
          </w:tcPr>
          <w:p w14:paraId="002B99D0">
            <w:pPr>
              <w:widowControl/>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p>
        </w:tc>
        <w:tc>
          <w:tcPr>
            <w:tcW w:w="6309" w:type="dxa"/>
            <w:tcBorders>
              <w:top w:val="single" w:color="auto" w:sz="4" w:space="0"/>
              <w:bottom w:val="single" w:color="auto" w:sz="4" w:space="0"/>
              <w:right w:val="single" w:color="auto" w:sz="4" w:space="0"/>
            </w:tcBorders>
            <w:vAlign w:val="center"/>
          </w:tcPr>
          <w:p w14:paraId="0DA41CB9">
            <w:pPr>
              <w:spacing w:line="360" w:lineRule="exact"/>
              <w:jc w:val="center"/>
              <w:rPr>
                <w:rFonts w:ascii="宋体" w:hAnsi="宋体" w:cs="宋体"/>
                <w:bCs/>
                <w:color w:val="000000" w:themeColor="text1"/>
                <w:sz w:val="24"/>
                <w:u w:val="single"/>
                <w14:textFill>
                  <w14:solidFill>
                    <w14:schemeClr w14:val="tx1"/>
                  </w14:solidFill>
                </w14:textFill>
              </w:rPr>
            </w:pPr>
          </w:p>
        </w:tc>
      </w:tr>
      <w:tr w14:paraId="14A0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56" w:type="dxa"/>
            <w:tcBorders>
              <w:top w:val="single" w:color="auto" w:sz="4" w:space="0"/>
              <w:bottom w:val="single" w:color="auto" w:sz="4" w:space="0"/>
              <w:right w:val="single" w:color="auto" w:sz="4" w:space="0"/>
            </w:tcBorders>
            <w:vAlign w:val="center"/>
          </w:tcPr>
          <w:p w14:paraId="24D11747">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投标范围</w:t>
            </w:r>
          </w:p>
        </w:tc>
        <w:tc>
          <w:tcPr>
            <w:tcW w:w="6309" w:type="dxa"/>
            <w:tcBorders>
              <w:top w:val="single" w:color="auto" w:sz="4" w:space="0"/>
              <w:bottom w:val="single" w:color="auto" w:sz="4" w:space="0"/>
              <w:right w:val="single" w:color="auto" w:sz="4" w:space="0"/>
            </w:tcBorders>
            <w:vAlign w:val="center"/>
          </w:tcPr>
          <w:p w14:paraId="2F6E146F">
            <w:pPr>
              <w:widowControl/>
              <w:spacing w:line="360" w:lineRule="exact"/>
              <w:rPr>
                <w:rFonts w:ascii="宋体" w:hAnsi="宋体" w:cs="宋体"/>
                <w:bCs/>
                <w:color w:val="000000" w:themeColor="text1"/>
                <w:sz w:val="24"/>
                <w:u w:val="single"/>
                <w14:textFill>
                  <w14:solidFill>
                    <w14:schemeClr w14:val="tx1"/>
                  </w14:solidFill>
                </w14:textFill>
              </w:rPr>
            </w:pPr>
          </w:p>
        </w:tc>
      </w:tr>
      <w:tr w14:paraId="3FED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14:paraId="4468870F">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投标人全称</w:t>
            </w:r>
          </w:p>
        </w:tc>
        <w:tc>
          <w:tcPr>
            <w:tcW w:w="6309" w:type="dxa"/>
            <w:tcBorders>
              <w:top w:val="nil"/>
            </w:tcBorders>
            <w:vAlign w:val="center"/>
          </w:tcPr>
          <w:p w14:paraId="79678B7D">
            <w:pPr>
              <w:spacing w:line="360" w:lineRule="auto"/>
              <w:rPr>
                <w:rFonts w:ascii="宋体" w:hAnsi="宋体" w:cs="宋体"/>
                <w:color w:val="000000" w:themeColor="text1"/>
                <w:sz w:val="24"/>
                <w14:textFill>
                  <w14:solidFill>
                    <w14:schemeClr w14:val="tx1"/>
                  </w14:solidFill>
                </w14:textFill>
              </w:rPr>
            </w:pPr>
          </w:p>
        </w:tc>
      </w:tr>
      <w:tr w14:paraId="723F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14:paraId="62F2AD34">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最终投标报价</w:t>
            </w:r>
          </w:p>
          <w:p w14:paraId="18B93189">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（人民币）</w:t>
            </w:r>
          </w:p>
          <w:p w14:paraId="6DC72283">
            <w:pPr>
              <w:spacing w:line="360" w:lineRule="exact"/>
              <w:rPr>
                <w:color w:val="000000" w:themeColor="text1"/>
                <w14:textFill>
                  <w14:solidFill>
                    <w14:schemeClr w14:val="tx1"/>
                  </w14:solidFill>
                </w14:textFill>
              </w:rPr>
            </w:pPr>
          </w:p>
        </w:tc>
        <w:tc>
          <w:tcPr>
            <w:tcW w:w="6309" w:type="dxa"/>
            <w:tcBorders>
              <w:top w:val="nil"/>
            </w:tcBorders>
            <w:vAlign w:val="center"/>
          </w:tcPr>
          <w:p w14:paraId="11662BA7">
            <w:pPr>
              <w:spacing w:line="3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        元</w:t>
            </w:r>
            <w:r>
              <w:rPr>
                <w:rFonts w:hint="eastAsia" w:ascii="宋体" w:hAnsi="宋体" w:cs="宋体"/>
                <w:b/>
                <w:color w:val="FF0000"/>
                <w:sz w:val="24"/>
              </w:rPr>
              <w:t>；</w:t>
            </w:r>
            <w:r>
              <w:rPr>
                <w:rFonts w:hint="eastAsia" w:ascii="宋体" w:hAnsi="宋体" w:cs="宋体"/>
                <w:b/>
                <w:color w:val="000000" w:themeColor="text1"/>
                <w:sz w:val="24"/>
                <w14:textFill>
                  <w14:solidFill>
                    <w14:schemeClr w14:val="tx1"/>
                  </w14:solidFill>
                </w14:textFill>
              </w:rPr>
              <w:t xml:space="preserve">大写：         </w:t>
            </w:r>
          </w:p>
          <w:p w14:paraId="75B350CA">
            <w:pPr>
              <w:pStyle w:val="26"/>
              <w:ind w:right="-21" w:firstLine="540"/>
              <w:rPr>
                <w:color w:val="000000" w:themeColor="text1"/>
                <w14:textFill>
                  <w14:solidFill>
                    <w14:schemeClr w14:val="tx1"/>
                  </w14:solidFill>
                </w14:textFill>
              </w:rPr>
            </w:pPr>
          </w:p>
        </w:tc>
      </w:tr>
      <w:tr w14:paraId="3579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056" w:type="dxa"/>
            <w:tcBorders>
              <w:top w:val="nil"/>
            </w:tcBorders>
            <w:vAlign w:val="center"/>
          </w:tcPr>
          <w:p w14:paraId="45B8B10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c>
          <w:tcPr>
            <w:tcW w:w="6309" w:type="dxa"/>
            <w:tcBorders>
              <w:top w:val="nil"/>
            </w:tcBorders>
            <w:vAlign w:val="center"/>
          </w:tcPr>
          <w:p w14:paraId="6B0A1112">
            <w:pPr>
              <w:spacing w:line="360" w:lineRule="auto"/>
              <w:jc w:val="left"/>
              <w:rPr>
                <w:rFonts w:ascii="宋体" w:hAnsi="宋体" w:cs="宋体"/>
                <w:color w:val="000000" w:themeColor="text1"/>
                <w:sz w:val="24"/>
                <w:szCs w:val="28"/>
                <w14:textFill>
                  <w14:solidFill>
                    <w14:schemeClr w14:val="tx1"/>
                  </w14:solidFill>
                </w14:textFill>
              </w:rPr>
            </w:pPr>
          </w:p>
        </w:tc>
      </w:tr>
    </w:tbl>
    <w:p w14:paraId="1CAE8C84">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14:paraId="316F0F4D">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43349016">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p w14:paraId="7E296A91">
      <w:pPr>
        <w:spacing w:line="380" w:lineRule="exact"/>
        <w:jc w:val="center"/>
        <w:rPr>
          <w:rFonts w:ascii="宋体" w:hAnsi="宋体" w:cs="宋体"/>
          <w:color w:val="000000" w:themeColor="text1"/>
          <w:sz w:val="24"/>
          <w14:textFill>
            <w14:solidFill>
              <w14:schemeClr w14:val="tx1"/>
            </w14:solidFill>
          </w14:textFill>
        </w:rPr>
      </w:pPr>
    </w:p>
    <w:p w14:paraId="5C15183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109F250">
      <w:pPr>
        <w:spacing w:before="100" w:beforeAutospacing="1" w:after="100" w:afterAutospacing="1"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50120266">
      <w:pPr>
        <w:spacing w:line="500" w:lineRule="exact"/>
        <w:jc w:val="center"/>
        <w:rPr>
          <w:rFonts w:ascii="宋体" w:hAnsi="宋体" w:cs="宋体"/>
          <w:b/>
          <w:bCs/>
          <w:color w:val="000000" w:themeColor="text1"/>
          <w:sz w:val="30"/>
          <w14:textFill>
            <w14:solidFill>
              <w14:schemeClr w14:val="tx1"/>
            </w14:solidFill>
          </w14:textFill>
        </w:rPr>
      </w:pPr>
    </w:p>
    <w:p w14:paraId="102D1B4D">
      <w:pPr>
        <w:spacing w:line="500" w:lineRule="exact"/>
        <w:jc w:val="center"/>
        <w:rPr>
          <w:rFonts w:ascii="宋体" w:hAnsi="宋体" w:cs="宋体"/>
          <w:b/>
          <w:bCs/>
          <w:color w:val="000000" w:themeColor="text1"/>
          <w:sz w:val="30"/>
          <w14:textFill>
            <w14:solidFill>
              <w14:schemeClr w14:val="tx1"/>
            </w14:solidFill>
          </w14:textFill>
        </w:rPr>
      </w:pPr>
    </w:p>
    <w:p w14:paraId="2D33DFBD">
      <w:pPr>
        <w:spacing w:line="500" w:lineRule="exact"/>
        <w:jc w:val="center"/>
        <w:rPr>
          <w:rFonts w:ascii="宋体" w:hAnsi="宋体" w:cs="宋体"/>
          <w:b/>
          <w:bCs/>
          <w:color w:val="000000" w:themeColor="text1"/>
          <w:sz w:val="30"/>
          <w14:textFill>
            <w14:solidFill>
              <w14:schemeClr w14:val="tx1"/>
            </w14:solidFill>
          </w14:textFill>
        </w:rPr>
      </w:pPr>
    </w:p>
    <w:p w14:paraId="2F4AE856">
      <w:pPr>
        <w:pStyle w:val="5"/>
        <w:rPr>
          <w:rFonts w:hAnsi="宋体" w:cs="宋体"/>
          <w:color w:val="000000" w:themeColor="text1"/>
          <w:sz w:val="28"/>
          <w14:textFill>
            <w14:solidFill>
              <w14:schemeClr w14:val="tx1"/>
            </w14:solidFill>
          </w14:textFill>
        </w:rPr>
      </w:pPr>
      <w:bookmarkStart w:id="127" w:name="_Hlt519045798"/>
      <w:bookmarkEnd w:id="127"/>
      <w:bookmarkStart w:id="128" w:name="_Hlt533409360"/>
      <w:bookmarkEnd w:id="128"/>
      <w:bookmarkStart w:id="129" w:name="_Hlt509716873"/>
      <w:bookmarkEnd w:id="129"/>
      <w:bookmarkStart w:id="130" w:name="_Hlt533408916"/>
      <w:bookmarkEnd w:id="130"/>
      <w:bookmarkStart w:id="131" w:name="_Hlt533408409"/>
      <w:bookmarkEnd w:id="131"/>
      <w:bookmarkStart w:id="132" w:name="_Toc11175_WPSOffice_Level2"/>
      <w:bookmarkStart w:id="133" w:name="_Toc516969097"/>
      <w:bookmarkStart w:id="134" w:name="_Toc40975450"/>
      <w:bookmarkStart w:id="135" w:name="_Toc197934563"/>
      <w:r>
        <w:rPr>
          <w:rFonts w:hint="eastAsia" w:hAnsi="宋体" w:cs="宋体"/>
          <w:color w:val="000000" w:themeColor="text1"/>
          <w:sz w:val="28"/>
          <w14:textFill>
            <w14:solidFill>
              <w14:schemeClr w14:val="tx1"/>
            </w14:solidFill>
          </w14:textFill>
        </w:rPr>
        <w:t>二．投标人综合情况简介</w:t>
      </w:r>
      <w:bookmarkEnd w:id="132"/>
      <w:bookmarkEnd w:id="133"/>
      <w:bookmarkEnd w:id="134"/>
    </w:p>
    <w:p w14:paraId="6ECD171D">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14:paraId="6E62B6AE">
      <w:pPr>
        <w:spacing w:line="500" w:lineRule="exact"/>
        <w:jc w:val="center"/>
        <w:rPr>
          <w:rFonts w:ascii="宋体" w:hAnsi="宋体" w:cs="宋体"/>
          <w:color w:val="000000" w:themeColor="text1"/>
          <w:sz w:val="28"/>
          <w14:textFill>
            <w14:solidFill>
              <w14:schemeClr w14:val="tx1"/>
            </w14:solidFill>
          </w14:textFill>
        </w:rPr>
      </w:pPr>
    </w:p>
    <w:p w14:paraId="40E6EE76">
      <w:pPr>
        <w:spacing w:line="500" w:lineRule="exact"/>
        <w:jc w:val="center"/>
        <w:rPr>
          <w:rFonts w:ascii="宋体" w:hAnsi="宋体" w:cs="宋体"/>
          <w:color w:val="000000" w:themeColor="text1"/>
          <w:sz w:val="28"/>
          <w14:textFill>
            <w14:solidFill>
              <w14:schemeClr w14:val="tx1"/>
            </w14:solidFill>
          </w14:textFill>
        </w:rPr>
      </w:pPr>
    </w:p>
    <w:p w14:paraId="00A61BEB">
      <w:pPr>
        <w:spacing w:line="500" w:lineRule="exact"/>
        <w:jc w:val="center"/>
        <w:rPr>
          <w:rFonts w:ascii="宋体" w:hAnsi="宋体" w:cs="宋体"/>
          <w:color w:val="000000" w:themeColor="text1"/>
          <w:sz w:val="28"/>
          <w14:textFill>
            <w14:solidFill>
              <w14:schemeClr w14:val="tx1"/>
            </w14:solidFill>
          </w14:textFill>
        </w:rPr>
      </w:pPr>
    </w:p>
    <w:p w14:paraId="3DC65BFE">
      <w:pPr>
        <w:spacing w:line="500" w:lineRule="exact"/>
        <w:jc w:val="center"/>
        <w:rPr>
          <w:rFonts w:ascii="宋体" w:hAnsi="宋体" w:cs="宋体"/>
          <w:color w:val="000000" w:themeColor="text1"/>
          <w:sz w:val="28"/>
          <w14:textFill>
            <w14:solidFill>
              <w14:schemeClr w14:val="tx1"/>
            </w14:solidFill>
          </w14:textFill>
        </w:rPr>
      </w:pPr>
    </w:p>
    <w:p w14:paraId="1CAAF050">
      <w:pPr>
        <w:spacing w:line="500" w:lineRule="exact"/>
        <w:jc w:val="center"/>
        <w:rPr>
          <w:rFonts w:ascii="宋体" w:hAnsi="宋体" w:cs="宋体"/>
          <w:color w:val="000000" w:themeColor="text1"/>
          <w:sz w:val="28"/>
          <w14:textFill>
            <w14:solidFill>
              <w14:schemeClr w14:val="tx1"/>
            </w14:solidFill>
          </w14:textFill>
        </w:rPr>
      </w:pPr>
    </w:p>
    <w:p w14:paraId="4AA8CF41">
      <w:pPr>
        <w:pStyle w:val="20"/>
        <w:rPr>
          <w:color w:val="000000" w:themeColor="text1"/>
          <w14:textFill>
            <w14:solidFill>
              <w14:schemeClr w14:val="tx1"/>
            </w14:solidFill>
          </w14:textFill>
        </w:rPr>
      </w:pPr>
    </w:p>
    <w:p w14:paraId="0F553EBE">
      <w:pPr>
        <w:pStyle w:val="20"/>
        <w:rPr>
          <w:color w:val="000000" w:themeColor="text1"/>
          <w14:textFill>
            <w14:solidFill>
              <w14:schemeClr w14:val="tx1"/>
            </w14:solidFill>
          </w14:textFill>
        </w:rPr>
      </w:pPr>
    </w:p>
    <w:p w14:paraId="69B14DD7">
      <w:pPr>
        <w:spacing w:line="500" w:lineRule="exact"/>
        <w:jc w:val="center"/>
        <w:rPr>
          <w:rFonts w:ascii="宋体" w:hAnsi="宋体" w:cs="宋体"/>
          <w:color w:val="000000" w:themeColor="text1"/>
          <w:sz w:val="28"/>
          <w14:textFill>
            <w14:solidFill>
              <w14:schemeClr w14:val="tx1"/>
            </w14:solidFill>
          </w14:textFill>
        </w:rPr>
      </w:pPr>
    </w:p>
    <w:p w14:paraId="1A00D87F">
      <w:pPr>
        <w:spacing w:line="500" w:lineRule="exact"/>
        <w:jc w:val="center"/>
        <w:rPr>
          <w:rFonts w:ascii="宋体" w:hAnsi="宋体" w:cs="宋体"/>
          <w:color w:val="000000" w:themeColor="text1"/>
          <w:sz w:val="28"/>
          <w14:textFill>
            <w14:solidFill>
              <w14:schemeClr w14:val="tx1"/>
            </w14:solidFill>
          </w14:textFill>
        </w:rPr>
      </w:pPr>
    </w:p>
    <w:p w14:paraId="544D5FB0">
      <w:pPr>
        <w:spacing w:line="500" w:lineRule="exact"/>
        <w:jc w:val="center"/>
        <w:rPr>
          <w:rFonts w:ascii="宋体" w:hAnsi="宋体" w:cs="宋体"/>
          <w:color w:val="000000" w:themeColor="text1"/>
          <w:sz w:val="28"/>
          <w14:textFill>
            <w14:solidFill>
              <w14:schemeClr w14:val="tx1"/>
            </w14:solidFill>
          </w14:textFill>
        </w:rPr>
      </w:pPr>
    </w:p>
    <w:p w14:paraId="136AF1F7">
      <w:pPr>
        <w:spacing w:line="500" w:lineRule="exact"/>
        <w:jc w:val="center"/>
        <w:rPr>
          <w:rFonts w:ascii="宋体" w:hAnsi="宋体" w:cs="宋体"/>
          <w:color w:val="000000" w:themeColor="text1"/>
          <w:sz w:val="28"/>
          <w14:textFill>
            <w14:solidFill>
              <w14:schemeClr w14:val="tx1"/>
            </w14:solidFill>
          </w14:textFill>
        </w:rPr>
      </w:pPr>
    </w:p>
    <w:p w14:paraId="57EDC031">
      <w:pPr>
        <w:spacing w:line="500" w:lineRule="exact"/>
        <w:jc w:val="center"/>
        <w:rPr>
          <w:rFonts w:ascii="宋体" w:hAnsi="宋体" w:cs="宋体"/>
          <w:color w:val="000000" w:themeColor="text1"/>
          <w:sz w:val="28"/>
          <w14:textFill>
            <w14:solidFill>
              <w14:schemeClr w14:val="tx1"/>
            </w14:solidFill>
          </w14:textFill>
        </w:rPr>
      </w:pPr>
    </w:p>
    <w:p w14:paraId="4B830F5C">
      <w:pPr>
        <w:pStyle w:val="20"/>
        <w:rPr>
          <w:color w:val="000000" w:themeColor="text1"/>
          <w14:textFill>
            <w14:solidFill>
              <w14:schemeClr w14:val="tx1"/>
            </w14:solidFill>
          </w14:textFill>
        </w:rPr>
      </w:pPr>
    </w:p>
    <w:p w14:paraId="07BBA3F2">
      <w:pPr>
        <w:pStyle w:val="20"/>
        <w:rPr>
          <w:color w:val="000000" w:themeColor="text1"/>
          <w14:textFill>
            <w14:solidFill>
              <w14:schemeClr w14:val="tx1"/>
            </w14:solidFill>
          </w14:textFill>
        </w:rPr>
      </w:pPr>
    </w:p>
    <w:p w14:paraId="568E9F71">
      <w:pPr>
        <w:pStyle w:val="20"/>
        <w:rPr>
          <w:color w:val="000000" w:themeColor="text1"/>
          <w14:textFill>
            <w14:solidFill>
              <w14:schemeClr w14:val="tx1"/>
            </w14:solidFill>
          </w14:textFill>
        </w:rPr>
      </w:pPr>
    </w:p>
    <w:p w14:paraId="275AF994">
      <w:pPr>
        <w:pStyle w:val="20"/>
        <w:rPr>
          <w:color w:val="000000" w:themeColor="text1"/>
          <w14:textFill>
            <w14:solidFill>
              <w14:schemeClr w14:val="tx1"/>
            </w14:solidFill>
          </w14:textFill>
        </w:rPr>
      </w:pPr>
    </w:p>
    <w:p w14:paraId="31A780C8">
      <w:pPr>
        <w:spacing w:line="500" w:lineRule="exact"/>
        <w:jc w:val="center"/>
        <w:rPr>
          <w:rFonts w:ascii="宋体" w:hAnsi="宋体" w:cs="宋体"/>
          <w:color w:val="000000" w:themeColor="text1"/>
          <w:sz w:val="28"/>
          <w14:textFill>
            <w14:solidFill>
              <w14:schemeClr w14:val="tx1"/>
            </w14:solidFill>
          </w14:textFill>
        </w:rPr>
      </w:pPr>
    </w:p>
    <w:p w14:paraId="12E0A154">
      <w:pPr>
        <w:spacing w:line="500" w:lineRule="exact"/>
        <w:jc w:val="center"/>
        <w:rPr>
          <w:rFonts w:ascii="宋体" w:hAnsi="宋体" w:cs="宋体"/>
          <w:color w:val="000000" w:themeColor="text1"/>
          <w:sz w:val="28"/>
          <w14:textFill>
            <w14:solidFill>
              <w14:schemeClr w14:val="tx1"/>
            </w14:solidFill>
          </w14:textFill>
        </w:rPr>
      </w:pPr>
    </w:p>
    <w:p w14:paraId="542EC5AC">
      <w:pPr>
        <w:spacing w:line="500" w:lineRule="exact"/>
        <w:jc w:val="center"/>
        <w:rPr>
          <w:rFonts w:ascii="宋体" w:hAnsi="宋体" w:cs="宋体"/>
          <w:color w:val="000000" w:themeColor="text1"/>
          <w:sz w:val="28"/>
          <w14:textFill>
            <w14:solidFill>
              <w14:schemeClr w14:val="tx1"/>
            </w14:solidFill>
          </w14:textFill>
        </w:rPr>
      </w:pPr>
    </w:p>
    <w:p w14:paraId="58C76D0B">
      <w:pPr>
        <w:spacing w:line="500" w:lineRule="exact"/>
        <w:jc w:val="center"/>
        <w:rPr>
          <w:rFonts w:ascii="宋体" w:hAnsi="宋体" w:cs="宋体"/>
          <w:color w:val="000000" w:themeColor="text1"/>
          <w:sz w:val="28"/>
          <w14:textFill>
            <w14:solidFill>
              <w14:schemeClr w14:val="tx1"/>
            </w14:solidFill>
          </w14:textFill>
        </w:rPr>
      </w:pPr>
    </w:p>
    <w:p w14:paraId="53EAAB12">
      <w:pPr>
        <w:pStyle w:val="20"/>
        <w:rPr>
          <w:color w:val="000000" w:themeColor="text1"/>
          <w14:textFill>
            <w14:solidFill>
              <w14:schemeClr w14:val="tx1"/>
            </w14:solidFill>
          </w14:textFill>
        </w:rPr>
      </w:pPr>
    </w:p>
    <w:p w14:paraId="1BB1175E">
      <w:pPr>
        <w:pStyle w:val="20"/>
        <w:rPr>
          <w:color w:val="000000" w:themeColor="text1"/>
          <w14:textFill>
            <w14:solidFill>
              <w14:schemeClr w14:val="tx1"/>
            </w14:solidFill>
          </w14:textFill>
        </w:rPr>
      </w:pPr>
    </w:p>
    <w:p w14:paraId="363166AA">
      <w:pPr>
        <w:pStyle w:val="20"/>
        <w:rPr>
          <w:color w:val="000000" w:themeColor="text1"/>
          <w14:textFill>
            <w14:solidFill>
              <w14:schemeClr w14:val="tx1"/>
            </w14:solidFill>
          </w14:textFill>
        </w:rPr>
      </w:pPr>
    </w:p>
    <w:p w14:paraId="1C57946F">
      <w:pPr>
        <w:pStyle w:val="20"/>
        <w:rPr>
          <w:color w:val="000000" w:themeColor="text1"/>
          <w14:textFill>
            <w14:solidFill>
              <w14:schemeClr w14:val="tx1"/>
            </w14:solidFill>
          </w14:textFill>
        </w:rPr>
      </w:pPr>
    </w:p>
    <w:p w14:paraId="786F8257">
      <w:pPr>
        <w:pStyle w:val="20"/>
        <w:rPr>
          <w:color w:val="000000" w:themeColor="text1"/>
          <w14:textFill>
            <w14:solidFill>
              <w14:schemeClr w14:val="tx1"/>
            </w14:solidFill>
          </w14:textFill>
        </w:rPr>
      </w:pPr>
    </w:p>
    <w:p w14:paraId="7E612ABC">
      <w:pPr>
        <w:spacing w:line="500" w:lineRule="exact"/>
        <w:jc w:val="center"/>
        <w:rPr>
          <w:rFonts w:ascii="宋体" w:hAnsi="宋体" w:cs="宋体"/>
          <w:color w:val="000000" w:themeColor="text1"/>
          <w:sz w:val="28"/>
          <w14:textFill>
            <w14:solidFill>
              <w14:schemeClr w14:val="tx1"/>
            </w14:solidFill>
          </w14:textFill>
        </w:rPr>
      </w:pPr>
    </w:p>
    <w:p w14:paraId="48F55260">
      <w:pPr>
        <w:spacing w:line="500" w:lineRule="exact"/>
        <w:jc w:val="center"/>
        <w:rPr>
          <w:rFonts w:ascii="宋体" w:hAnsi="宋体" w:cs="宋体"/>
          <w:color w:val="000000" w:themeColor="text1"/>
          <w:sz w:val="28"/>
          <w14:textFill>
            <w14:solidFill>
              <w14:schemeClr w14:val="tx1"/>
            </w14:solidFill>
          </w14:textFill>
        </w:rPr>
      </w:pPr>
    </w:p>
    <w:p w14:paraId="41EB1769">
      <w:pPr>
        <w:spacing w:line="500" w:lineRule="exact"/>
        <w:jc w:val="center"/>
        <w:rPr>
          <w:rFonts w:ascii="宋体" w:hAnsi="宋体" w:cs="宋体"/>
          <w:color w:val="000000" w:themeColor="text1"/>
          <w:sz w:val="28"/>
          <w14:textFill>
            <w14:solidFill>
              <w14:schemeClr w14:val="tx1"/>
            </w14:solidFill>
          </w14:textFill>
        </w:rPr>
      </w:pPr>
    </w:p>
    <w:p w14:paraId="3DFEC2E8">
      <w:pPr>
        <w:rPr>
          <w:rFonts w:hAnsi="宋体" w:cs="宋体"/>
          <w:color w:val="000000" w:themeColor="text1"/>
          <w:sz w:val="28"/>
          <w14:textFill>
            <w14:solidFill>
              <w14:schemeClr w14:val="tx1"/>
            </w14:solidFill>
          </w14:textFill>
        </w:rPr>
      </w:pPr>
      <w:bookmarkStart w:id="136" w:name="_Hlt509739007"/>
      <w:bookmarkEnd w:id="136"/>
      <w:bookmarkStart w:id="137" w:name="_Toc1391_WPSOffice_Level2"/>
      <w:bookmarkStart w:id="138" w:name="_Toc516969098"/>
      <w:bookmarkStart w:id="139" w:name="_Toc40975451"/>
      <w:r>
        <w:rPr>
          <w:rFonts w:hint="eastAsia" w:hAnsi="宋体" w:cs="宋体"/>
          <w:color w:val="000000" w:themeColor="text1"/>
          <w:sz w:val="28"/>
          <w14:textFill>
            <w14:solidFill>
              <w14:schemeClr w14:val="tx1"/>
            </w14:solidFill>
          </w14:textFill>
        </w:rPr>
        <w:br w:type="page"/>
      </w:r>
    </w:p>
    <w:p w14:paraId="654A900B">
      <w:pPr>
        <w:pStyle w:val="5"/>
        <w:spacing w:after="240"/>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三．投标函</w:t>
      </w:r>
      <w:bookmarkEnd w:id="137"/>
      <w:bookmarkEnd w:id="138"/>
      <w:bookmarkEnd w:id="139"/>
    </w:p>
    <w:p w14:paraId="7F9716E7">
      <w:pPr>
        <w:pStyle w:val="16"/>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b w:val="0"/>
          <w:color w:val="000000" w:themeColor="text1"/>
          <w:sz w:val="24"/>
          <w14:textFill>
            <w14:solidFill>
              <w14:schemeClr w14:val="tx1"/>
            </w14:solidFill>
          </w14:textFill>
        </w:rPr>
        <w:t>（采购人和采购代理机构）</w:t>
      </w:r>
    </w:p>
    <w:p w14:paraId="22C976F7">
      <w:pPr>
        <w:spacing w:line="360" w:lineRule="auto"/>
        <w:ind w:left="239" w:leftChars="114" w:firstLine="386" w:firstLineChars="161"/>
        <w:rPr>
          <w:rFonts w:ascii="宋体" w:hAnsi="宋体" w:cs="宋体"/>
          <w:b/>
          <w:b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宋体"/>
          <w:color w:val="000000" w:themeColor="text1"/>
          <w:sz w:val="24"/>
          <w14:textFill>
            <w14:solidFill>
              <w14:schemeClr w14:val="tx1"/>
            </w14:solidFill>
          </w14:textFill>
        </w:rPr>
        <w:t>”项目招标邀请书或招标公告，正式授权下述签字人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（姓名）代表投标人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（投标人全称），提交规定形式的投标文件。</w:t>
      </w:r>
    </w:p>
    <w:p w14:paraId="1794C35A">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据此函，我方兹宣布同意如下：</w:t>
      </w:r>
    </w:p>
    <w:p w14:paraId="2A5BC4D4">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（1）如我公司中标，愿意按招标文件规定提供交付货物（包括安装调试等工作）的总报价为人民币</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元，供货期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2CC68E3">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（2）我方根据招标文件的规定，严格履行合同的责任和义务,并保证于买方要求的日期内完成供货、安装及服务，并通过买方验收。</w:t>
      </w:r>
    </w:p>
    <w:p w14:paraId="6AC135B9">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（3）我方承诺报价低于同类货物和服务的市场平均价格。</w:t>
      </w:r>
    </w:p>
    <w:p w14:paraId="02F52722">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2CBADA4C">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14:paraId="18C313A8">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14:paraId="6FF03335">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（7）我方完全理解贵方不一定接受最低报价的投标。</w:t>
      </w:r>
    </w:p>
    <w:p w14:paraId="4C5698AB">
      <w:pPr>
        <w:spacing w:line="360" w:lineRule="auto"/>
        <w:ind w:firstLine="63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（8）我方同意招标文件规定的付款方式。</w:t>
      </w:r>
    </w:p>
    <w:p w14:paraId="5D11FF80">
      <w:pPr>
        <w:spacing w:line="360" w:lineRule="auto"/>
        <w:ind w:firstLine="63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（9）与本投标有关的通讯地址：</w:t>
      </w:r>
      <w:r>
        <w:rPr>
          <w:rFonts w:hint="eastAsia" w:ascii="宋体" w:hAnsi="宋体" w:cs="宋体"/>
          <w:color w:val="000000" w:themeColor="text1"/>
          <w:sz w:val="24"/>
          <w:u w:val="single"/>
          <w14:textFill>
            <w14:solidFill>
              <w14:schemeClr w14:val="tx1"/>
            </w14:solidFill>
          </w14:textFill>
        </w:rPr>
        <w:t xml:space="preserve">                                  </w:t>
      </w:r>
    </w:p>
    <w:p w14:paraId="1F738B6E">
      <w:pPr>
        <w:pStyle w:val="43"/>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（10）本项目项目责任人：   电话：</w:t>
      </w:r>
    </w:p>
    <w:p w14:paraId="61C8FBA9">
      <w:pPr>
        <w:spacing w:line="380" w:lineRule="exact"/>
        <w:ind w:firstLine="3600" w:firstLineChars="1500"/>
        <w:rPr>
          <w:rFonts w:ascii="宋体" w:hAnsi="宋体" w:cs="宋体"/>
          <w:color w:val="000000" w:themeColor="text1"/>
          <w:sz w:val="24"/>
          <w14:textFill>
            <w14:solidFill>
              <w14:schemeClr w14:val="tx1"/>
            </w14:solidFill>
          </w14:textFill>
        </w:rPr>
      </w:pPr>
    </w:p>
    <w:p w14:paraId="106A733F">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szCs w:val="28"/>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0150D535">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1B4327C9">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p w14:paraId="010DB6AE">
      <w:pPr>
        <w:spacing w:line="380" w:lineRule="exact"/>
        <w:jc w:val="center"/>
        <w:rPr>
          <w:rFonts w:ascii="宋体" w:hAnsi="宋体" w:cs="宋体"/>
          <w:color w:val="000000" w:themeColor="text1"/>
          <w:sz w:val="24"/>
          <w14:textFill>
            <w14:solidFill>
              <w14:schemeClr w14:val="tx1"/>
            </w14:solidFill>
          </w14:textFill>
        </w:rPr>
      </w:pPr>
    </w:p>
    <w:p w14:paraId="73BD641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bookmarkEnd w:id="135"/>
    <w:p w14:paraId="1268F45E">
      <w:pPr>
        <w:pStyle w:val="5"/>
        <w:rPr>
          <w:rFonts w:hAnsi="宋体" w:cs="宋体"/>
          <w:color w:val="000000" w:themeColor="text1"/>
          <w:sz w:val="28"/>
          <w:szCs w:val="36"/>
          <w14:textFill>
            <w14:solidFill>
              <w14:schemeClr w14:val="tx1"/>
            </w14:solidFill>
          </w14:textFill>
        </w:rPr>
      </w:pPr>
      <w:bookmarkStart w:id="140" w:name="_Toc24077_WPSOffice_Level2"/>
      <w:bookmarkStart w:id="141" w:name="_Toc40975452"/>
      <w:bookmarkStart w:id="142" w:name="_Toc220232409"/>
      <w:r>
        <w:rPr>
          <w:rFonts w:hint="eastAsia" w:hAnsi="宋体" w:cs="宋体"/>
          <w:color w:val="000000" w:themeColor="text1"/>
          <w:sz w:val="28"/>
          <w14:textFill>
            <w14:solidFill>
              <w14:schemeClr w14:val="tx1"/>
            </w14:solidFill>
          </w14:textFill>
        </w:rPr>
        <w:t>四．投标分项报价表</w:t>
      </w:r>
      <w:bookmarkEnd w:id="140"/>
      <w:bookmarkEnd w:id="141"/>
      <w:bookmarkEnd w:id="142"/>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922"/>
      </w:tblGrid>
      <w:tr w14:paraId="451B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83DF230">
            <w:pPr>
              <w:pStyle w:val="53"/>
              <w:widowControl w:val="0"/>
              <w:spacing w:before="0" w:beforeAutospacing="0" w:after="0" w:afterAutospacing="0"/>
              <w:rPr>
                <w:rFonts w:cs="宋体"/>
                <w:bCs w:val="0"/>
                <w:color w:val="000000" w:themeColor="text1"/>
                <w:kern w:val="2"/>
                <w:sz w:val="24"/>
                <w:szCs w:val="20"/>
                <w14:textFill>
                  <w14:solidFill>
                    <w14:schemeClr w14:val="tx1"/>
                  </w14:solidFill>
                </w14:textFill>
              </w:rPr>
            </w:pPr>
            <w:bookmarkStart w:id="143" w:name="_Toc197934552"/>
            <w:bookmarkStart w:id="144" w:name="_Toc27270_WPSOffice_Level2"/>
            <w:r>
              <w:rPr>
                <w:rFonts w:hint="eastAsia" w:cs="宋体"/>
                <w:bCs w:val="0"/>
                <w:color w:val="000000" w:themeColor="text1"/>
                <w:kern w:val="2"/>
                <w:sz w:val="24"/>
                <w:szCs w:val="20"/>
                <w14:textFill>
                  <w14:solidFill>
                    <w14:schemeClr w14:val="tx1"/>
                  </w14:solidFill>
                </w14:textFill>
              </w:rPr>
              <w:t>序号</w:t>
            </w:r>
          </w:p>
        </w:tc>
        <w:tc>
          <w:tcPr>
            <w:tcW w:w="2205" w:type="dxa"/>
            <w:vAlign w:val="center"/>
          </w:tcPr>
          <w:p w14:paraId="395D6A91">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品名品牌、规格型号、原产地及生产厂家</w:t>
            </w:r>
          </w:p>
        </w:tc>
        <w:tc>
          <w:tcPr>
            <w:tcW w:w="957" w:type="dxa"/>
            <w:vAlign w:val="center"/>
          </w:tcPr>
          <w:p w14:paraId="367A4719">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w:t>
            </w:r>
          </w:p>
        </w:tc>
        <w:tc>
          <w:tcPr>
            <w:tcW w:w="840" w:type="dxa"/>
            <w:vAlign w:val="center"/>
          </w:tcPr>
          <w:p w14:paraId="532F8EA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260" w:type="dxa"/>
            <w:vAlign w:val="center"/>
          </w:tcPr>
          <w:p w14:paraId="0C0ACBF3">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1340" w:type="dxa"/>
            <w:vAlign w:val="center"/>
          </w:tcPr>
          <w:p w14:paraId="0BA21A7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小计</w:t>
            </w:r>
          </w:p>
        </w:tc>
        <w:tc>
          <w:tcPr>
            <w:tcW w:w="922" w:type="dxa"/>
            <w:vAlign w:val="center"/>
          </w:tcPr>
          <w:p w14:paraId="2CDE1FF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3442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8129C60">
            <w:pPr>
              <w:jc w:val="center"/>
              <w:rPr>
                <w:rFonts w:ascii="宋体" w:hAnsi="宋体" w:cs="宋体"/>
                <w:color w:val="000000" w:themeColor="text1"/>
                <w:sz w:val="24"/>
                <w14:textFill>
                  <w14:solidFill>
                    <w14:schemeClr w14:val="tx1"/>
                  </w14:solidFill>
                </w14:textFill>
              </w:rPr>
            </w:pPr>
          </w:p>
        </w:tc>
        <w:tc>
          <w:tcPr>
            <w:tcW w:w="2205" w:type="dxa"/>
          </w:tcPr>
          <w:p w14:paraId="7021816E">
            <w:pPr>
              <w:rPr>
                <w:rFonts w:ascii="宋体" w:hAnsi="宋体" w:cs="宋体"/>
                <w:color w:val="000000" w:themeColor="text1"/>
                <w:sz w:val="24"/>
                <w14:textFill>
                  <w14:solidFill>
                    <w14:schemeClr w14:val="tx1"/>
                  </w14:solidFill>
                </w14:textFill>
              </w:rPr>
            </w:pPr>
          </w:p>
        </w:tc>
        <w:tc>
          <w:tcPr>
            <w:tcW w:w="957" w:type="dxa"/>
          </w:tcPr>
          <w:p w14:paraId="4D25C45F">
            <w:pPr>
              <w:rPr>
                <w:rFonts w:ascii="宋体" w:hAnsi="宋体" w:cs="宋体"/>
                <w:color w:val="000000" w:themeColor="text1"/>
                <w:sz w:val="24"/>
                <w14:textFill>
                  <w14:solidFill>
                    <w14:schemeClr w14:val="tx1"/>
                  </w14:solidFill>
                </w14:textFill>
              </w:rPr>
            </w:pPr>
          </w:p>
        </w:tc>
        <w:tc>
          <w:tcPr>
            <w:tcW w:w="840" w:type="dxa"/>
          </w:tcPr>
          <w:p w14:paraId="7E3B71F6">
            <w:pPr>
              <w:rPr>
                <w:rFonts w:ascii="宋体" w:hAnsi="宋体" w:cs="宋体"/>
                <w:color w:val="000000" w:themeColor="text1"/>
                <w:sz w:val="24"/>
                <w14:textFill>
                  <w14:solidFill>
                    <w14:schemeClr w14:val="tx1"/>
                  </w14:solidFill>
                </w14:textFill>
              </w:rPr>
            </w:pPr>
          </w:p>
        </w:tc>
        <w:tc>
          <w:tcPr>
            <w:tcW w:w="1260" w:type="dxa"/>
          </w:tcPr>
          <w:p w14:paraId="7824D282">
            <w:pPr>
              <w:rPr>
                <w:rFonts w:ascii="宋体" w:hAnsi="宋体" w:cs="宋体"/>
                <w:color w:val="000000" w:themeColor="text1"/>
                <w:sz w:val="24"/>
                <w14:textFill>
                  <w14:solidFill>
                    <w14:schemeClr w14:val="tx1"/>
                  </w14:solidFill>
                </w14:textFill>
              </w:rPr>
            </w:pPr>
          </w:p>
        </w:tc>
        <w:tc>
          <w:tcPr>
            <w:tcW w:w="1340" w:type="dxa"/>
          </w:tcPr>
          <w:p w14:paraId="4E56B712">
            <w:pPr>
              <w:rPr>
                <w:rFonts w:ascii="宋体" w:hAnsi="宋体" w:cs="宋体"/>
                <w:color w:val="000000" w:themeColor="text1"/>
                <w:sz w:val="24"/>
                <w14:textFill>
                  <w14:solidFill>
                    <w14:schemeClr w14:val="tx1"/>
                  </w14:solidFill>
                </w14:textFill>
              </w:rPr>
            </w:pPr>
          </w:p>
        </w:tc>
        <w:tc>
          <w:tcPr>
            <w:tcW w:w="922" w:type="dxa"/>
          </w:tcPr>
          <w:p w14:paraId="348025C6">
            <w:pPr>
              <w:rPr>
                <w:rFonts w:ascii="宋体" w:hAnsi="宋体" w:cs="宋体"/>
                <w:color w:val="000000" w:themeColor="text1"/>
                <w:sz w:val="24"/>
                <w14:textFill>
                  <w14:solidFill>
                    <w14:schemeClr w14:val="tx1"/>
                  </w14:solidFill>
                </w14:textFill>
              </w:rPr>
            </w:pPr>
          </w:p>
        </w:tc>
      </w:tr>
      <w:tr w14:paraId="4DD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639148C">
            <w:pPr>
              <w:jc w:val="center"/>
              <w:rPr>
                <w:rFonts w:ascii="宋体" w:hAnsi="宋体" w:cs="宋体"/>
                <w:color w:val="000000" w:themeColor="text1"/>
                <w:sz w:val="24"/>
                <w14:textFill>
                  <w14:solidFill>
                    <w14:schemeClr w14:val="tx1"/>
                  </w14:solidFill>
                </w14:textFill>
              </w:rPr>
            </w:pPr>
          </w:p>
        </w:tc>
        <w:tc>
          <w:tcPr>
            <w:tcW w:w="2205" w:type="dxa"/>
          </w:tcPr>
          <w:p w14:paraId="3576442C">
            <w:pPr>
              <w:rPr>
                <w:rFonts w:ascii="宋体" w:hAnsi="宋体" w:cs="宋体"/>
                <w:color w:val="000000" w:themeColor="text1"/>
                <w:sz w:val="24"/>
                <w14:textFill>
                  <w14:solidFill>
                    <w14:schemeClr w14:val="tx1"/>
                  </w14:solidFill>
                </w14:textFill>
              </w:rPr>
            </w:pPr>
          </w:p>
        </w:tc>
        <w:tc>
          <w:tcPr>
            <w:tcW w:w="957" w:type="dxa"/>
          </w:tcPr>
          <w:p w14:paraId="36BE211E">
            <w:pPr>
              <w:rPr>
                <w:rFonts w:ascii="宋体" w:hAnsi="宋体" w:cs="宋体"/>
                <w:color w:val="000000" w:themeColor="text1"/>
                <w:sz w:val="24"/>
                <w14:textFill>
                  <w14:solidFill>
                    <w14:schemeClr w14:val="tx1"/>
                  </w14:solidFill>
                </w14:textFill>
              </w:rPr>
            </w:pPr>
          </w:p>
        </w:tc>
        <w:tc>
          <w:tcPr>
            <w:tcW w:w="840" w:type="dxa"/>
          </w:tcPr>
          <w:p w14:paraId="3CC687E2">
            <w:pPr>
              <w:rPr>
                <w:rFonts w:ascii="宋体" w:hAnsi="宋体" w:cs="宋体"/>
                <w:color w:val="000000" w:themeColor="text1"/>
                <w:sz w:val="24"/>
                <w14:textFill>
                  <w14:solidFill>
                    <w14:schemeClr w14:val="tx1"/>
                  </w14:solidFill>
                </w14:textFill>
              </w:rPr>
            </w:pPr>
          </w:p>
        </w:tc>
        <w:tc>
          <w:tcPr>
            <w:tcW w:w="1260" w:type="dxa"/>
          </w:tcPr>
          <w:p w14:paraId="293D5485">
            <w:pPr>
              <w:rPr>
                <w:rFonts w:ascii="宋体" w:hAnsi="宋体" w:cs="宋体"/>
                <w:color w:val="000000" w:themeColor="text1"/>
                <w:sz w:val="24"/>
                <w14:textFill>
                  <w14:solidFill>
                    <w14:schemeClr w14:val="tx1"/>
                  </w14:solidFill>
                </w14:textFill>
              </w:rPr>
            </w:pPr>
          </w:p>
        </w:tc>
        <w:tc>
          <w:tcPr>
            <w:tcW w:w="1340" w:type="dxa"/>
          </w:tcPr>
          <w:p w14:paraId="47F51151">
            <w:pPr>
              <w:rPr>
                <w:rFonts w:ascii="宋体" w:hAnsi="宋体" w:cs="宋体"/>
                <w:color w:val="000000" w:themeColor="text1"/>
                <w:sz w:val="24"/>
                <w14:textFill>
                  <w14:solidFill>
                    <w14:schemeClr w14:val="tx1"/>
                  </w14:solidFill>
                </w14:textFill>
              </w:rPr>
            </w:pPr>
          </w:p>
        </w:tc>
        <w:tc>
          <w:tcPr>
            <w:tcW w:w="922" w:type="dxa"/>
          </w:tcPr>
          <w:p w14:paraId="7A57A4B4">
            <w:pPr>
              <w:rPr>
                <w:rFonts w:ascii="宋体" w:hAnsi="宋体" w:cs="宋体"/>
                <w:color w:val="000000" w:themeColor="text1"/>
                <w:sz w:val="24"/>
                <w14:textFill>
                  <w14:solidFill>
                    <w14:schemeClr w14:val="tx1"/>
                  </w14:solidFill>
                </w14:textFill>
              </w:rPr>
            </w:pPr>
          </w:p>
        </w:tc>
      </w:tr>
      <w:tr w14:paraId="29A9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1270445">
            <w:pPr>
              <w:jc w:val="center"/>
              <w:rPr>
                <w:rFonts w:ascii="宋体" w:hAnsi="宋体" w:cs="宋体"/>
                <w:color w:val="000000" w:themeColor="text1"/>
                <w:sz w:val="24"/>
                <w14:textFill>
                  <w14:solidFill>
                    <w14:schemeClr w14:val="tx1"/>
                  </w14:solidFill>
                </w14:textFill>
              </w:rPr>
            </w:pPr>
          </w:p>
        </w:tc>
        <w:tc>
          <w:tcPr>
            <w:tcW w:w="2205" w:type="dxa"/>
          </w:tcPr>
          <w:p w14:paraId="6E669EF7">
            <w:pPr>
              <w:rPr>
                <w:rFonts w:ascii="宋体" w:hAnsi="宋体" w:cs="宋体"/>
                <w:color w:val="000000" w:themeColor="text1"/>
                <w:sz w:val="24"/>
                <w14:textFill>
                  <w14:solidFill>
                    <w14:schemeClr w14:val="tx1"/>
                  </w14:solidFill>
                </w14:textFill>
              </w:rPr>
            </w:pPr>
          </w:p>
        </w:tc>
        <w:tc>
          <w:tcPr>
            <w:tcW w:w="957" w:type="dxa"/>
          </w:tcPr>
          <w:p w14:paraId="01B8099A">
            <w:pPr>
              <w:rPr>
                <w:rFonts w:ascii="宋体" w:hAnsi="宋体" w:cs="宋体"/>
                <w:color w:val="000000" w:themeColor="text1"/>
                <w:sz w:val="24"/>
                <w14:textFill>
                  <w14:solidFill>
                    <w14:schemeClr w14:val="tx1"/>
                  </w14:solidFill>
                </w14:textFill>
              </w:rPr>
            </w:pPr>
          </w:p>
        </w:tc>
        <w:tc>
          <w:tcPr>
            <w:tcW w:w="840" w:type="dxa"/>
          </w:tcPr>
          <w:p w14:paraId="021430DC">
            <w:pPr>
              <w:rPr>
                <w:rFonts w:ascii="宋体" w:hAnsi="宋体" w:cs="宋体"/>
                <w:color w:val="000000" w:themeColor="text1"/>
                <w:sz w:val="24"/>
                <w14:textFill>
                  <w14:solidFill>
                    <w14:schemeClr w14:val="tx1"/>
                  </w14:solidFill>
                </w14:textFill>
              </w:rPr>
            </w:pPr>
          </w:p>
        </w:tc>
        <w:tc>
          <w:tcPr>
            <w:tcW w:w="1260" w:type="dxa"/>
          </w:tcPr>
          <w:p w14:paraId="5822A40B">
            <w:pPr>
              <w:rPr>
                <w:rFonts w:ascii="宋体" w:hAnsi="宋体" w:cs="宋体"/>
                <w:color w:val="000000" w:themeColor="text1"/>
                <w:sz w:val="24"/>
                <w14:textFill>
                  <w14:solidFill>
                    <w14:schemeClr w14:val="tx1"/>
                  </w14:solidFill>
                </w14:textFill>
              </w:rPr>
            </w:pPr>
          </w:p>
        </w:tc>
        <w:tc>
          <w:tcPr>
            <w:tcW w:w="1340" w:type="dxa"/>
          </w:tcPr>
          <w:p w14:paraId="3D877782">
            <w:pPr>
              <w:rPr>
                <w:rFonts w:ascii="宋体" w:hAnsi="宋体" w:cs="宋体"/>
                <w:color w:val="000000" w:themeColor="text1"/>
                <w:sz w:val="24"/>
                <w14:textFill>
                  <w14:solidFill>
                    <w14:schemeClr w14:val="tx1"/>
                  </w14:solidFill>
                </w14:textFill>
              </w:rPr>
            </w:pPr>
          </w:p>
        </w:tc>
        <w:tc>
          <w:tcPr>
            <w:tcW w:w="922" w:type="dxa"/>
          </w:tcPr>
          <w:p w14:paraId="1B1CCC98">
            <w:pPr>
              <w:rPr>
                <w:rFonts w:ascii="宋体" w:hAnsi="宋体" w:cs="宋体"/>
                <w:color w:val="000000" w:themeColor="text1"/>
                <w:sz w:val="24"/>
                <w14:textFill>
                  <w14:solidFill>
                    <w14:schemeClr w14:val="tx1"/>
                  </w14:solidFill>
                </w14:textFill>
              </w:rPr>
            </w:pPr>
          </w:p>
        </w:tc>
      </w:tr>
      <w:tr w14:paraId="6533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9E1CD38">
            <w:pPr>
              <w:jc w:val="center"/>
              <w:rPr>
                <w:rFonts w:ascii="宋体" w:hAnsi="宋体" w:cs="宋体"/>
                <w:color w:val="000000" w:themeColor="text1"/>
                <w:sz w:val="24"/>
                <w14:textFill>
                  <w14:solidFill>
                    <w14:schemeClr w14:val="tx1"/>
                  </w14:solidFill>
                </w14:textFill>
              </w:rPr>
            </w:pPr>
          </w:p>
        </w:tc>
        <w:tc>
          <w:tcPr>
            <w:tcW w:w="2205" w:type="dxa"/>
          </w:tcPr>
          <w:p w14:paraId="504B50C9">
            <w:pPr>
              <w:rPr>
                <w:rFonts w:ascii="宋体" w:hAnsi="宋体" w:cs="宋体"/>
                <w:color w:val="000000" w:themeColor="text1"/>
                <w:sz w:val="24"/>
                <w14:textFill>
                  <w14:solidFill>
                    <w14:schemeClr w14:val="tx1"/>
                  </w14:solidFill>
                </w14:textFill>
              </w:rPr>
            </w:pPr>
          </w:p>
        </w:tc>
        <w:tc>
          <w:tcPr>
            <w:tcW w:w="957" w:type="dxa"/>
          </w:tcPr>
          <w:p w14:paraId="77D67257">
            <w:pPr>
              <w:rPr>
                <w:rFonts w:ascii="宋体" w:hAnsi="宋体" w:cs="宋体"/>
                <w:color w:val="000000" w:themeColor="text1"/>
                <w:sz w:val="24"/>
                <w14:textFill>
                  <w14:solidFill>
                    <w14:schemeClr w14:val="tx1"/>
                  </w14:solidFill>
                </w14:textFill>
              </w:rPr>
            </w:pPr>
          </w:p>
        </w:tc>
        <w:tc>
          <w:tcPr>
            <w:tcW w:w="840" w:type="dxa"/>
          </w:tcPr>
          <w:p w14:paraId="773DBB8A">
            <w:pPr>
              <w:rPr>
                <w:rFonts w:ascii="宋体" w:hAnsi="宋体" w:cs="宋体"/>
                <w:color w:val="000000" w:themeColor="text1"/>
                <w:sz w:val="24"/>
                <w14:textFill>
                  <w14:solidFill>
                    <w14:schemeClr w14:val="tx1"/>
                  </w14:solidFill>
                </w14:textFill>
              </w:rPr>
            </w:pPr>
          </w:p>
        </w:tc>
        <w:tc>
          <w:tcPr>
            <w:tcW w:w="1260" w:type="dxa"/>
          </w:tcPr>
          <w:p w14:paraId="18CFD610">
            <w:pPr>
              <w:rPr>
                <w:rFonts w:ascii="宋体" w:hAnsi="宋体" w:cs="宋体"/>
                <w:color w:val="000000" w:themeColor="text1"/>
                <w:sz w:val="24"/>
                <w14:textFill>
                  <w14:solidFill>
                    <w14:schemeClr w14:val="tx1"/>
                  </w14:solidFill>
                </w14:textFill>
              </w:rPr>
            </w:pPr>
          </w:p>
        </w:tc>
        <w:tc>
          <w:tcPr>
            <w:tcW w:w="1340" w:type="dxa"/>
          </w:tcPr>
          <w:p w14:paraId="65347E08">
            <w:pPr>
              <w:rPr>
                <w:rFonts w:ascii="宋体" w:hAnsi="宋体" w:cs="宋体"/>
                <w:color w:val="000000" w:themeColor="text1"/>
                <w:sz w:val="24"/>
                <w14:textFill>
                  <w14:solidFill>
                    <w14:schemeClr w14:val="tx1"/>
                  </w14:solidFill>
                </w14:textFill>
              </w:rPr>
            </w:pPr>
          </w:p>
        </w:tc>
        <w:tc>
          <w:tcPr>
            <w:tcW w:w="922" w:type="dxa"/>
          </w:tcPr>
          <w:p w14:paraId="37A692A6">
            <w:pPr>
              <w:rPr>
                <w:rFonts w:ascii="宋体" w:hAnsi="宋体" w:cs="宋体"/>
                <w:color w:val="000000" w:themeColor="text1"/>
                <w:sz w:val="24"/>
                <w14:textFill>
                  <w14:solidFill>
                    <w14:schemeClr w14:val="tx1"/>
                  </w14:solidFill>
                </w14:textFill>
              </w:rPr>
            </w:pPr>
          </w:p>
        </w:tc>
      </w:tr>
      <w:tr w14:paraId="44B9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25A3614">
            <w:pPr>
              <w:jc w:val="center"/>
              <w:rPr>
                <w:rFonts w:ascii="宋体" w:hAnsi="宋体" w:cs="宋体"/>
                <w:color w:val="000000" w:themeColor="text1"/>
                <w:sz w:val="24"/>
                <w14:textFill>
                  <w14:solidFill>
                    <w14:schemeClr w14:val="tx1"/>
                  </w14:solidFill>
                </w14:textFill>
              </w:rPr>
            </w:pPr>
          </w:p>
        </w:tc>
        <w:tc>
          <w:tcPr>
            <w:tcW w:w="2205" w:type="dxa"/>
          </w:tcPr>
          <w:p w14:paraId="23A6611B">
            <w:pPr>
              <w:rPr>
                <w:rFonts w:ascii="宋体" w:hAnsi="宋体" w:cs="宋体"/>
                <w:color w:val="000000" w:themeColor="text1"/>
                <w:sz w:val="24"/>
                <w14:textFill>
                  <w14:solidFill>
                    <w14:schemeClr w14:val="tx1"/>
                  </w14:solidFill>
                </w14:textFill>
              </w:rPr>
            </w:pPr>
          </w:p>
        </w:tc>
        <w:tc>
          <w:tcPr>
            <w:tcW w:w="957" w:type="dxa"/>
          </w:tcPr>
          <w:p w14:paraId="73ED0ED8">
            <w:pPr>
              <w:rPr>
                <w:rFonts w:ascii="宋体" w:hAnsi="宋体" w:cs="宋体"/>
                <w:color w:val="000000" w:themeColor="text1"/>
                <w:sz w:val="24"/>
                <w14:textFill>
                  <w14:solidFill>
                    <w14:schemeClr w14:val="tx1"/>
                  </w14:solidFill>
                </w14:textFill>
              </w:rPr>
            </w:pPr>
          </w:p>
        </w:tc>
        <w:tc>
          <w:tcPr>
            <w:tcW w:w="840" w:type="dxa"/>
          </w:tcPr>
          <w:p w14:paraId="3F8A068F">
            <w:pPr>
              <w:rPr>
                <w:rFonts w:ascii="宋体" w:hAnsi="宋体" w:cs="宋体"/>
                <w:color w:val="000000" w:themeColor="text1"/>
                <w:sz w:val="24"/>
                <w14:textFill>
                  <w14:solidFill>
                    <w14:schemeClr w14:val="tx1"/>
                  </w14:solidFill>
                </w14:textFill>
              </w:rPr>
            </w:pPr>
          </w:p>
        </w:tc>
        <w:tc>
          <w:tcPr>
            <w:tcW w:w="1260" w:type="dxa"/>
          </w:tcPr>
          <w:p w14:paraId="7C830729">
            <w:pPr>
              <w:rPr>
                <w:rFonts w:ascii="宋体" w:hAnsi="宋体" w:cs="宋体"/>
                <w:color w:val="000000" w:themeColor="text1"/>
                <w:sz w:val="24"/>
                <w14:textFill>
                  <w14:solidFill>
                    <w14:schemeClr w14:val="tx1"/>
                  </w14:solidFill>
                </w14:textFill>
              </w:rPr>
            </w:pPr>
          </w:p>
        </w:tc>
        <w:tc>
          <w:tcPr>
            <w:tcW w:w="1340" w:type="dxa"/>
          </w:tcPr>
          <w:p w14:paraId="37F27C60">
            <w:pPr>
              <w:rPr>
                <w:rFonts w:ascii="宋体" w:hAnsi="宋体" w:cs="宋体"/>
                <w:color w:val="000000" w:themeColor="text1"/>
                <w:sz w:val="24"/>
                <w14:textFill>
                  <w14:solidFill>
                    <w14:schemeClr w14:val="tx1"/>
                  </w14:solidFill>
                </w14:textFill>
              </w:rPr>
            </w:pPr>
          </w:p>
        </w:tc>
        <w:tc>
          <w:tcPr>
            <w:tcW w:w="922" w:type="dxa"/>
          </w:tcPr>
          <w:p w14:paraId="748BB592">
            <w:pPr>
              <w:rPr>
                <w:rFonts w:ascii="宋体" w:hAnsi="宋体" w:cs="宋体"/>
                <w:color w:val="000000" w:themeColor="text1"/>
                <w:sz w:val="24"/>
                <w14:textFill>
                  <w14:solidFill>
                    <w14:schemeClr w14:val="tx1"/>
                  </w14:solidFill>
                </w14:textFill>
              </w:rPr>
            </w:pPr>
          </w:p>
        </w:tc>
      </w:tr>
      <w:tr w14:paraId="52DF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CB2F8AF">
            <w:pPr>
              <w:jc w:val="center"/>
              <w:rPr>
                <w:rFonts w:ascii="宋体" w:hAnsi="宋体" w:cs="宋体"/>
                <w:color w:val="000000" w:themeColor="text1"/>
                <w:sz w:val="24"/>
                <w14:textFill>
                  <w14:solidFill>
                    <w14:schemeClr w14:val="tx1"/>
                  </w14:solidFill>
                </w14:textFill>
              </w:rPr>
            </w:pPr>
          </w:p>
        </w:tc>
        <w:tc>
          <w:tcPr>
            <w:tcW w:w="2205" w:type="dxa"/>
          </w:tcPr>
          <w:p w14:paraId="0FDBCFD9">
            <w:pPr>
              <w:rPr>
                <w:rFonts w:ascii="宋体" w:hAnsi="宋体" w:cs="宋体"/>
                <w:color w:val="000000" w:themeColor="text1"/>
                <w:sz w:val="24"/>
                <w14:textFill>
                  <w14:solidFill>
                    <w14:schemeClr w14:val="tx1"/>
                  </w14:solidFill>
                </w14:textFill>
              </w:rPr>
            </w:pPr>
          </w:p>
        </w:tc>
        <w:tc>
          <w:tcPr>
            <w:tcW w:w="957" w:type="dxa"/>
          </w:tcPr>
          <w:p w14:paraId="29DF8946">
            <w:pPr>
              <w:rPr>
                <w:rFonts w:ascii="宋体" w:hAnsi="宋体" w:cs="宋体"/>
                <w:color w:val="000000" w:themeColor="text1"/>
                <w:sz w:val="24"/>
                <w14:textFill>
                  <w14:solidFill>
                    <w14:schemeClr w14:val="tx1"/>
                  </w14:solidFill>
                </w14:textFill>
              </w:rPr>
            </w:pPr>
          </w:p>
        </w:tc>
        <w:tc>
          <w:tcPr>
            <w:tcW w:w="840" w:type="dxa"/>
          </w:tcPr>
          <w:p w14:paraId="16F8D077">
            <w:pPr>
              <w:rPr>
                <w:rFonts w:ascii="宋体" w:hAnsi="宋体" w:cs="宋体"/>
                <w:color w:val="000000" w:themeColor="text1"/>
                <w:sz w:val="24"/>
                <w14:textFill>
                  <w14:solidFill>
                    <w14:schemeClr w14:val="tx1"/>
                  </w14:solidFill>
                </w14:textFill>
              </w:rPr>
            </w:pPr>
          </w:p>
        </w:tc>
        <w:tc>
          <w:tcPr>
            <w:tcW w:w="1260" w:type="dxa"/>
          </w:tcPr>
          <w:p w14:paraId="19E02B7F">
            <w:pPr>
              <w:rPr>
                <w:rFonts w:ascii="宋体" w:hAnsi="宋体" w:cs="宋体"/>
                <w:color w:val="000000" w:themeColor="text1"/>
                <w:sz w:val="24"/>
                <w14:textFill>
                  <w14:solidFill>
                    <w14:schemeClr w14:val="tx1"/>
                  </w14:solidFill>
                </w14:textFill>
              </w:rPr>
            </w:pPr>
          </w:p>
        </w:tc>
        <w:tc>
          <w:tcPr>
            <w:tcW w:w="1340" w:type="dxa"/>
          </w:tcPr>
          <w:p w14:paraId="47923AE9">
            <w:pPr>
              <w:rPr>
                <w:rFonts w:ascii="宋体" w:hAnsi="宋体" w:cs="宋体"/>
                <w:color w:val="000000" w:themeColor="text1"/>
                <w:sz w:val="24"/>
                <w14:textFill>
                  <w14:solidFill>
                    <w14:schemeClr w14:val="tx1"/>
                  </w14:solidFill>
                </w14:textFill>
              </w:rPr>
            </w:pPr>
          </w:p>
        </w:tc>
        <w:tc>
          <w:tcPr>
            <w:tcW w:w="922" w:type="dxa"/>
          </w:tcPr>
          <w:p w14:paraId="24536626">
            <w:pPr>
              <w:rPr>
                <w:rFonts w:ascii="宋体" w:hAnsi="宋体" w:cs="宋体"/>
                <w:color w:val="000000" w:themeColor="text1"/>
                <w:sz w:val="24"/>
                <w14:textFill>
                  <w14:solidFill>
                    <w14:schemeClr w14:val="tx1"/>
                  </w14:solidFill>
                </w14:textFill>
              </w:rPr>
            </w:pPr>
          </w:p>
        </w:tc>
      </w:tr>
      <w:tr w14:paraId="1C22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123834F">
            <w:pPr>
              <w:jc w:val="center"/>
              <w:rPr>
                <w:rFonts w:ascii="宋体" w:hAnsi="宋体" w:cs="宋体"/>
                <w:color w:val="000000" w:themeColor="text1"/>
                <w:sz w:val="24"/>
                <w14:textFill>
                  <w14:solidFill>
                    <w14:schemeClr w14:val="tx1"/>
                  </w14:solidFill>
                </w14:textFill>
              </w:rPr>
            </w:pPr>
          </w:p>
        </w:tc>
        <w:tc>
          <w:tcPr>
            <w:tcW w:w="2205" w:type="dxa"/>
          </w:tcPr>
          <w:p w14:paraId="15C2AE3A">
            <w:pPr>
              <w:rPr>
                <w:rFonts w:ascii="宋体" w:hAnsi="宋体" w:cs="宋体"/>
                <w:color w:val="000000" w:themeColor="text1"/>
                <w:sz w:val="24"/>
                <w14:textFill>
                  <w14:solidFill>
                    <w14:schemeClr w14:val="tx1"/>
                  </w14:solidFill>
                </w14:textFill>
              </w:rPr>
            </w:pPr>
          </w:p>
        </w:tc>
        <w:tc>
          <w:tcPr>
            <w:tcW w:w="957" w:type="dxa"/>
          </w:tcPr>
          <w:p w14:paraId="1806D8FF">
            <w:pPr>
              <w:rPr>
                <w:rFonts w:ascii="宋体" w:hAnsi="宋体" w:cs="宋体"/>
                <w:color w:val="000000" w:themeColor="text1"/>
                <w:sz w:val="24"/>
                <w14:textFill>
                  <w14:solidFill>
                    <w14:schemeClr w14:val="tx1"/>
                  </w14:solidFill>
                </w14:textFill>
              </w:rPr>
            </w:pPr>
          </w:p>
        </w:tc>
        <w:tc>
          <w:tcPr>
            <w:tcW w:w="840" w:type="dxa"/>
          </w:tcPr>
          <w:p w14:paraId="4DCFAA9B">
            <w:pPr>
              <w:rPr>
                <w:rFonts w:ascii="宋体" w:hAnsi="宋体" w:cs="宋体"/>
                <w:color w:val="000000" w:themeColor="text1"/>
                <w:sz w:val="24"/>
                <w14:textFill>
                  <w14:solidFill>
                    <w14:schemeClr w14:val="tx1"/>
                  </w14:solidFill>
                </w14:textFill>
              </w:rPr>
            </w:pPr>
          </w:p>
        </w:tc>
        <w:tc>
          <w:tcPr>
            <w:tcW w:w="1260" w:type="dxa"/>
          </w:tcPr>
          <w:p w14:paraId="719BE91C">
            <w:pPr>
              <w:rPr>
                <w:rFonts w:ascii="宋体" w:hAnsi="宋体" w:cs="宋体"/>
                <w:color w:val="000000" w:themeColor="text1"/>
                <w:sz w:val="24"/>
                <w14:textFill>
                  <w14:solidFill>
                    <w14:schemeClr w14:val="tx1"/>
                  </w14:solidFill>
                </w14:textFill>
              </w:rPr>
            </w:pPr>
          </w:p>
        </w:tc>
        <w:tc>
          <w:tcPr>
            <w:tcW w:w="1340" w:type="dxa"/>
          </w:tcPr>
          <w:p w14:paraId="233C05E0">
            <w:pPr>
              <w:rPr>
                <w:rFonts w:ascii="宋体" w:hAnsi="宋体" w:cs="宋体"/>
                <w:color w:val="000000" w:themeColor="text1"/>
                <w:sz w:val="24"/>
                <w14:textFill>
                  <w14:solidFill>
                    <w14:schemeClr w14:val="tx1"/>
                  </w14:solidFill>
                </w14:textFill>
              </w:rPr>
            </w:pPr>
          </w:p>
        </w:tc>
        <w:tc>
          <w:tcPr>
            <w:tcW w:w="922" w:type="dxa"/>
          </w:tcPr>
          <w:p w14:paraId="2BEA9990">
            <w:pPr>
              <w:rPr>
                <w:rFonts w:ascii="宋体" w:hAnsi="宋体" w:cs="宋体"/>
                <w:color w:val="000000" w:themeColor="text1"/>
                <w:sz w:val="24"/>
                <w14:textFill>
                  <w14:solidFill>
                    <w14:schemeClr w14:val="tx1"/>
                  </w14:solidFill>
                </w14:textFill>
              </w:rPr>
            </w:pPr>
          </w:p>
        </w:tc>
      </w:tr>
      <w:tr w14:paraId="114B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987BB6B">
            <w:pPr>
              <w:jc w:val="center"/>
              <w:rPr>
                <w:rFonts w:ascii="宋体" w:hAnsi="宋体" w:cs="宋体"/>
                <w:color w:val="000000" w:themeColor="text1"/>
                <w:sz w:val="24"/>
                <w14:textFill>
                  <w14:solidFill>
                    <w14:schemeClr w14:val="tx1"/>
                  </w14:solidFill>
                </w14:textFill>
              </w:rPr>
            </w:pPr>
          </w:p>
        </w:tc>
        <w:tc>
          <w:tcPr>
            <w:tcW w:w="2205" w:type="dxa"/>
          </w:tcPr>
          <w:p w14:paraId="7572A92B">
            <w:pPr>
              <w:rPr>
                <w:rFonts w:ascii="宋体" w:hAnsi="宋体" w:cs="宋体"/>
                <w:color w:val="000000" w:themeColor="text1"/>
                <w:sz w:val="24"/>
                <w14:textFill>
                  <w14:solidFill>
                    <w14:schemeClr w14:val="tx1"/>
                  </w14:solidFill>
                </w14:textFill>
              </w:rPr>
            </w:pPr>
          </w:p>
        </w:tc>
        <w:tc>
          <w:tcPr>
            <w:tcW w:w="957" w:type="dxa"/>
          </w:tcPr>
          <w:p w14:paraId="1920262E">
            <w:pPr>
              <w:rPr>
                <w:rFonts w:ascii="宋体" w:hAnsi="宋体" w:cs="宋体"/>
                <w:color w:val="000000" w:themeColor="text1"/>
                <w:sz w:val="24"/>
                <w14:textFill>
                  <w14:solidFill>
                    <w14:schemeClr w14:val="tx1"/>
                  </w14:solidFill>
                </w14:textFill>
              </w:rPr>
            </w:pPr>
          </w:p>
        </w:tc>
        <w:tc>
          <w:tcPr>
            <w:tcW w:w="840" w:type="dxa"/>
          </w:tcPr>
          <w:p w14:paraId="25B88A60">
            <w:pPr>
              <w:rPr>
                <w:rFonts w:ascii="宋体" w:hAnsi="宋体" w:cs="宋体"/>
                <w:color w:val="000000" w:themeColor="text1"/>
                <w:sz w:val="24"/>
                <w14:textFill>
                  <w14:solidFill>
                    <w14:schemeClr w14:val="tx1"/>
                  </w14:solidFill>
                </w14:textFill>
              </w:rPr>
            </w:pPr>
          </w:p>
        </w:tc>
        <w:tc>
          <w:tcPr>
            <w:tcW w:w="1260" w:type="dxa"/>
          </w:tcPr>
          <w:p w14:paraId="5D232AB8">
            <w:pPr>
              <w:rPr>
                <w:rFonts w:ascii="宋体" w:hAnsi="宋体" w:cs="宋体"/>
                <w:color w:val="000000" w:themeColor="text1"/>
                <w:sz w:val="24"/>
                <w14:textFill>
                  <w14:solidFill>
                    <w14:schemeClr w14:val="tx1"/>
                  </w14:solidFill>
                </w14:textFill>
              </w:rPr>
            </w:pPr>
          </w:p>
        </w:tc>
        <w:tc>
          <w:tcPr>
            <w:tcW w:w="1340" w:type="dxa"/>
          </w:tcPr>
          <w:p w14:paraId="3A499BDB">
            <w:pPr>
              <w:rPr>
                <w:rFonts w:ascii="宋体" w:hAnsi="宋体" w:cs="宋体"/>
                <w:color w:val="000000" w:themeColor="text1"/>
                <w:sz w:val="24"/>
                <w14:textFill>
                  <w14:solidFill>
                    <w14:schemeClr w14:val="tx1"/>
                  </w14:solidFill>
                </w14:textFill>
              </w:rPr>
            </w:pPr>
          </w:p>
        </w:tc>
        <w:tc>
          <w:tcPr>
            <w:tcW w:w="922" w:type="dxa"/>
          </w:tcPr>
          <w:p w14:paraId="0EB45D0C">
            <w:pPr>
              <w:rPr>
                <w:rFonts w:ascii="宋体" w:hAnsi="宋体" w:cs="宋体"/>
                <w:color w:val="000000" w:themeColor="text1"/>
                <w:sz w:val="24"/>
                <w14:textFill>
                  <w14:solidFill>
                    <w14:schemeClr w14:val="tx1"/>
                  </w14:solidFill>
                </w14:textFill>
              </w:rPr>
            </w:pPr>
          </w:p>
        </w:tc>
      </w:tr>
      <w:tr w14:paraId="5AC8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535CCBB">
            <w:pPr>
              <w:jc w:val="center"/>
              <w:rPr>
                <w:rFonts w:ascii="宋体" w:hAnsi="宋体" w:cs="宋体"/>
                <w:color w:val="000000" w:themeColor="text1"/>
                <w:sz w:val="24"/>
                <w14:textFill>
                  <w14:solidFill>
                    <w14:schemeClr w14:val="tx1"/>
                  </w14:solidFill>
                </w14:textFill>
              </w:rPr>
            </w:pPr>
          </w:p>
        </w:tc>
        <w:tc>
          <w:tcPr>
            <w:tcW w:w="2205" w:type="dxa"/>
          </w:tcPr>
          <w:p w14:paraId="176121F3">
            <w:pPr>
              <w:rPr>
                <w:rFonts w:ascii="宋体" w:hAnsi="宋体" w:cs="宋体"/>
                <w:color w:val="000000" w:themeColor="text1"/>
                <w:sz w:val="24"/>
                <w14:textFill>
                  <w14:solidFill>
                    <w14:schemeClr w14:val="tx1"/>
                  </w14:solidFill>
                </w14:textFill>
              </w:rPr>
            </w:pPr>
          </w:p>
        </w:tc>
        <w:tc>
          <w:tcPr>
            <w:tcW w:w="957" w:type="dxa"/>
          </w:tcPr>
          <w:p w14:paraId="4B6C679C">
            <w:pPr>
              <w:rPr>
                <w:rFonts w:ascii="宋体" w:hAnsi="宋体" w:cs="宋体"/>
                <w:color w:val="000000" w:themeColor="text1"/>
                <w:sz w:val="24"/>
                <w14:textFill>
                  <w14:solidFill>
                    <w14:schemeClr w14:val="tx1"/>
                  </w14:solidFill>
                </w14:textFill>
              </w:rPr>
            </w:pPr>
          </w:p>
        </w:tc>
        <w:tc>
          <w:tcPr>
            <w:tcW w:w="840" w:type="dxa"/>
          </w:tcPr>
          <w:p w14:paraId="0234E8B7">
            <w:pPr>
              <w:rPr>
                <w:rFonts w:ascii="宋体" w:hAnsi="宋体" w:cs="宋体"/>
                <w:color w:val="000000" w:themeColor="text1"/>
                <w:sz w:val="24"/>
                <w14:textFill>
                  <w14:solidFill>
                    <w14:schemeClr w14:val="tx1"/>
                  </w14:solidFill>
                </w14:textFill>
              </w:rPr>
            </w:pPr>
          </w:p>
        </w:tc>
        <w:tc>
          <w:tcPr>
            <w:tcW w:w="1260" w:type="dxa"/>
          </w:tcPr>
          <w:p w14:paraId="09C2957F">
            <w:pPr>
              <w:rPr>
                <w:rFonts w:ascii="宋体" w:hAnsi="宋体" w:cs="宋体"/>
                <w:color w:val="000000" w:themeColor="text1"/>
                <w:sz w:val="24"/>
                <w14:textFill>
                  <w14:solidFill>
                    <w14:schemeClr w14:val="tx1"/>
                  </w14:solidFill>
                </w14:textFill>
              </w:rPr>
            </w:pPr>
          </w:p>
        </w:tc>
        <w:tc>
          <w:tcPr>
            <w:tcW w:w="1340" w:type="dxa"/>
          </w:tcPr>
          <w:p w14:paraId="2E057A72">
            <w:pPr>
              <w:rPr>
                <w:rFonts w:ascii="宋体" w:hAnsi="宋体" w:cs="宋体"/>
                <w:color w:val="000000" w:themeColor="text1"/>
                <w:sz w:val="24"/>
                <w14:textFill>
                  <w14:solidFill>
                    <w14:schemeClr w14:val="tx1"/>
                  </w14:solidFill>
                </w14:textFill>
              </w:rPr>
            </w:pPr>
          </w:p>
        </w:tc>
        <w:tc>
          <w:tcPr>
            <w:tcW w:w="922" w:type="dxa"/>
          </w:tcPr>
          <w:p w14:paraId="5A688306">
            <w:pPr>
              <w:rPr>
                <w:rFonts w:ascii="宋体" w:hAnsi="宋体" w:cs="宋体"/>
                <w:color w:val="000000" w:themeColor="text1"/>
                <w:sz w:val="24"/>
                <w14:textFill>
                  <w14:solidFill>
                    <w14:schemeClr w14:val="tx1"/>
                  </w14:solidFill>
                </w14:textFill>
              </w:rPr>
            </w:pPr>
          </w:p>
        </w:tc>
      </w:tr>
      <w:tr w14:paraId="0E98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FBE024D">
            <w:pPr>
              <w:jc w:val="center"/>
              <w:rPr>
                <w:rFonts w:ascii="宋体" w:hAnsi="宋体" w:cs="宋体"/>
                <w:color w:val="000000" w:themeColor="text1"/>
                <w:sz w:val="24"/>
                <w14:textFill>
                  <w14:solidFill>
                    <w14:schemeClr w14:val="tx1"/>
                  </w14:solidFill>
                </w14:textFill>
              </w:rPr>
            </w:pPr>
          </w:p>
        </w:tc>
        <w:tc>
          <w:tcPr>
            <w:tcW w:w="2205" w:type="dxa"/>
          </w:tcPr>
          <w:p w14:paraId="42B47312">
            <w:pPr>
              <w:rPr>
                <w:rFonts w:ascii="宋体" w:hAnsi="宋体" w:cs="宋体"/>
                <w:color w:val="000000" w:themeColor="text1"/>
                <w:sz w:val="24"/>
                <w14:textFill>
                  <w14:solidFill>
                    <w14:schemeClr w14:val="tx1"/>
                  </w14:solidFill>
                </w14:textFill>
              </w:rPr>
            </w:pPr>
          </w:p>
        </w:tc>
        <w:tc>
          <w:tcPr>
            <w:tcW w:w="957" w:type="dxa"/>
          </w:tcPr>
          <w:p w14:paraId="6E8A8682">
            <w:pPr>
              <w:rPr>
                <w:rFonts w:ascii="宋体" w:hAnsi="宋体" w:cs="宋体"/>
                <w:color w:val="000000" w:themeColor="text1"/>
                <w:sz w:val="24"/>
                <w14:textFill>
                  <w14:solidFill>
                    <w14:schemeClr w14:val="tx1"/>
                  </w14:solidFill>
                </w14:textFill>
              </w:rPr>
            </w:pPr>
          </w:p>
        </w:tc>
        <w:tc>
          <w:tcPr>
            <w:tcW w:w="840" w:type="dxa"/>
          </w:tcPr>
          <w:p w14:paraId="2A6FFA1C">
            <w:pPr>
              <w:rPr>
                <w:rFonts w:ascii="宋体" w:hAnsi="宋体" w:cs="宋体"/>
                <w:color w:val="000000" w:themeColor="text1"/>
                <w:sz w:val="24"/>
                <w14:textFill>
                  <w14:solidFill>
                    <w14:schemeClr w14:val="tx1"/>
                  </w14:solidFill>
                </w14:textFill>
              </w:rPr>
            </w:pPr>
          </w:p>
        </w:tc>
        <w:tc>
          <w:tcPr>
            <w:tcW w:w="1260" w:type="dxa"/>
          </w:tcPr>
          <w:p w14:paraId="05B6379B">
            <w:pPr>
              <w:rPr>
                <w:rFonts w:ascii="宋体" w:hAnsi="宋体" w:cs="宋体"/>
                <w:color w:val="000000" w:themeColor="text1"/>
                <w:sz w:val="24"/>
                <w14:textFill>
                  <w14:solidFill>
                    <w14:schemeClr w14:val="tx1"/>
                  </w14:solidFill>
                </w14:textFill>
              </w:rPr>
            </w:pPr>
          </w:p>
        </w:tc>
        <w:tc>
          <w:tcPr>
            <w:tcW w:w="1340" w:type="dxa"/>
          </w:tcPr>
          <w:p w14:paraId="04A0122D">
            <w:pPr>
              <w:rPr>
                <w:rFonts w:ascii="宋体" w:hAnsi="宋体" w:cs="宋体"/>
                <w:color w:val="000000" w:themeColor="text1"/>
                <w:sz w:val="24"/>
                <w14:textFill>
                  <w14:solidFill>
                    <w14:schemeClr w14:val="tx1"/>
                  </w14:solidFill>
                </w14:textFill>
              </w:rPr>
            </w:pPr>
          </w:p>
        </w:tc>
        <w:tc>
          <w:tcPr>
            <w:tcW w:w="922" w:type="dxa"/>
          </w:tcPr>
          <w:p w14:paraId="0C250435">
            <w:pPr>
              <w:rPr>
                <w:rFonts w:ascii="宋体" w:hAnsi="宋体" w:cs="宋体"/>
                <w:color w:val="000000" w:themeColor="text1"/>
                <w:sz w:val="24"/>
                <w14:textFill>
                  <w14:solidFill>
                    <w14:schemeClr w14:val="tx1"/>
                  </w14:solidFill>
                </w14:textFill>
              </w:rPr>
            </w:pPr>
          </w:p>
        </w:tc>
      </w:tr>
      <w:tr w14:paraId="0D29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C50E61C">
            <w:pPr>
              <w:jc w:val="center"/>
              <w:rPr>
                <w:rFonts w:ascii="宋体" w:hAnsi="宋体" w:cs="宋体"/>
                <w:color w:val="000000" w:themeColor="text1"/>
                <w:sz w:val="24"/>
                <w14:textFill>
                  <w14:solidFill>
                    <w14:schemeClr w14:val="tx1"/>
                  </w14:solidFill>
                </w14:textFill>
              </w:rPr>
            </w:pPr>
          </w:p>
        </w:tc>
        <w:tc>
          <w:tcPr>
            <w:tcW w:w="2205" w:type="dxa"/>
          </w:tcPr>
          <w:p w14:paraId="0D051C67">
            <w:pPr>
              <w:rPr>
                <w:rFonts w:ascii="宋体" w:hAnsi="宋体" w:cs="宋体"/>
                <w:color w:val="000000" w:themeColor="text1"/>
                <w:sz w:val="24"/>
                <w14:textFill>
                  <w14:solidFill>
                    <w14:schemeClr w14:val="tx1"/>
                  </w14:solidFill>
                </w14:textFill>
              </w:rPr>
            </w:pPr>
          </w:p>
        </w:tc>
        <w:tc>
          <w:tcPr>
            <w:tcW w:w="957" w:type="dxa"/>
          </w:tcPr>
          <w:p w14:paraId="318D0AFA">
            <w:pPr>
              <w:rPr>
                <w:rFonts w:ascii="宋体" w:hAnsi="宋体" w:cs="宋体"/>
                <w:color w:val="000000" w:themeColor="text1"/>
                <w:sz w:val="24"/>
                <w14:textFill>
                  <w14:solidFill>
                    <w14:schemeClr w14:val="tx1"/>
                  </w14:solidFill>
                </w14:textFill>
              </w:rPr>
            </w:pPr>
          </w:p>
        </w:tc>
        <w:tc>
          <w:tcPr>
            <w:tcW w:w="840" w:type="dxa"/>
          </w:tcPr>
          <w:p w14:paraId="41B7E054">
            <w:pPr>
              <w:rPr>
                <w:rFonts w:ascii="宋体" w:hAnsi="宋体" w:cs="宋体"/>
                <w:color w:val="000000" w:themeColor="text1"/>
                <w:sz w:val="24"/>
                <w14:textFill>
                  <w14:solidFill>
                    <w14:schemeClr w14:val="tx1"/>
                  </w14:solidFill>
                </w14:textFill>
              </w:rPr>
            </w:pPr>
          </w:p>
        </w:tc>
        <w:tc>
          <w:tcPr>
            <w:tcW w:w="1260" w:type="dxa"/>
          </w:tcPr>
          <w:p w14:paraId="4D7C5350">
            <w:pPr>
              <w:rPr>
                <w:rFonts w:ascii="宋体" w:hAnsi="宋体" w:cs="宋体"/>
                <w:color w:val="000000" w:themeColor="text1"/>
                <w:sz w:val="24"/>
                <w14:textFill>
                  <w14:solidFill>
                    <w14:schemeClr w14:val="tx1"/>
                  </w14:solidFill>
                </w14:textFill>
              </w:rPr>
            </w:pPr>
          </w:p>
        </w:tc>
        <w:tc>
          <w:tcPr>
            <w:tcW w:w="1340" w:type="dxa"/>
          </w:tcPr>
          <w:p w14:paraId="1F10146A">
            <w:pPr>
              <w:rPr>
                <w:rFonts w:ascii="宋体" w:hAnsi="宋体" w:cs="宋体"/>
                <w:color w:val="000000" w:themeColor="text1"/>
                <w:sz w:val="24"/>
                <w14:textFill>
                  <w14:solidFill>
                    <w14:schemeClr w14:val="tx1"/>
                  </w14:solidFill>
                </w14:textFill>
              </w:rPr>
            </w:pPr>
          </w:p>
        </w:tc>
        <w:tc>
          <w:tcPr>
            <w:tcW w:w="922" w:type="dxa"/>
          </w:tcPr>
          <w:p w14:paraId="2C215A3F">
            <w:pPr>
              <w:rPr>
                <w:rFonts w:ascii="宋体" w:hAnsi="宋体" w:cs="宋体"/>
                <w:color w:val="000000" w:themeColor="text1"/>
                <w:sz w:val="24"/>
                <w14:textFill>
                  <w14:solidFill>
                    <w14:schemeClr w14:val="tx1"/>
                  </w14:solidFill>
                </w14:textFill>
              </w:rPr>
            </w:pPr>
          </w:p>
        </w:tc>
      </w:tr>
      <w:tr w14:paraId="3753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8949860">
            <w:pPr>
              <w:jc w:val="center"/>
              <w:rPr>
                <w:rFonts w:ascii="宋体" w:hAnsi="宋体" w:cs="宋体"/>
                <w:color w:val="000000" w:themeColor="text1"/>
                <w:sz w:val="24"/>
                <w14:textFill>
                  <w14:solidFill>
                    <w14:schemeClr w14:val="tx1"/>
                  </w14:solidFill>
                </w14:textFill>
              </w:rPr>
            </w:pPr>
          </w:p>
        </w:tc>
        <w:tc>
          <w:tcPr>
            <w:tcW w:w="2205" w:type="dxa"/>
          </w:tcPr>
          <w:p w14:paraId="71171643">
            <w:pPr>
              <w:rPr>
                <w:rFonts w:ascii="宋体" w:hAnsi="宋体" w:cs="宋体"/>
                <w:color w:val="000000" w:themeColor="text1"/>
                <w:sz w:val="24"/>
                <w14:textFill>
                  <w14:solidFill>
                    <w14:schemeClr w14:val="tx1"/>
                  </w14:solidFill>
                </w14:textFill>
              </w:rPr>
            </w:pPr>
          </w:p>
        </w:tc>
        <w:tc>
          <w:tcPr>
            <w:tcW w:w="957" w:type="dxa"/>
          </w:tcPr>
          <w:p w14:paraId="436BDE1E">
            <w:pPr>
              <w:rPr>
                <w:rFonts w:ascii="宋体" w:hAnsi="宋体" w:cs="宋体"/>
                <w:color w:val="000000" w:themeColor="text1"/>
                <w:sz w:val="24"/>
                <w14:textFill>
                  <w14:solidFill>
                    <w14:schemeClr w14:val="tx1"/>
                  </w14:solidFill>
                </w14:textFill>
              </w:rPr>
            </w:pPr>
          </w:p>
        </w:tc>
        <w:tc>
          <w:tcPr>
            <w:tcW w:w="840" w:type="dxa"/>
          </w:tcPr>
          <w:p w14:paraId="1565025E">
            <w:pPr>
              <w:rPr>
                <w:rFonts w:ascii="宋体" w:hAnsi="宋体" w:cs="宋体"/>
                <w:color w:val="000000" w:themeColor="text1"/>
                <w:sz w:val="24"/>
                <w14:textFill>
                  <w14:solidFill>
                    <w14:schemeClr w14:val="tx1"/>
                  </w14:solidFill>
                </w14:textFill>
              </w:rPr>
            </w:pPr>
          </w:p>
        </w:tc>
        <w:tc>
          <w:tcPr>
            <w:tcW w:w="1260" w:type="dxa"/>
          </w:tcPr>
          <w:p w14:paraId="0E65E79D">
            <w:pPr>
              <w:rPr>
                <w:rFonts w:ascii="宋体" w:hAnsi="宋体" w:cs="宋体"/>
                <w:color w:val="000000" w:themeColor="text1"/>
                <w:sz w:val="24"/>
                <w14:textFill>
                  <w14:solidFill>
                    <w14:schemeClr w14:val="tx1"/>
                  </w14:solidFill>
                </w14:textFill>
              </w:rPr>
            </w:pPr>
          </w:p>
        </w:tc>
        <w:tc>
          <w:tcPr>
            <w:tcW w:w="1340" w:type="dxa"/>
          </w:tcPr>
          <w:p w14:paraId="6075D7E2">
            <w:pPr>
              <w:rPr>
                <w:rFonts w:ascii="宋体" w:hAnsi="宋体" w:cs="宋体"/>
                <w:color w:val="000000" w:themeColor="text1"/>
                <w:sz w:val="24"/>
                <w14:textFill>
                  <w14:solidFill>
                    <w14:schemeClr w14:val="tx1"/>
                  </w14:solidFill>
                </w14:textFill>
              </w:rPr>
            </w:pPr>
          </w:p>
        </w:tc>
        <w:tc>
          <w:tcPr>
            <w:tcW w:w="922" w:type="dxa"/>
          </w:tcPr>
          <w:p w14:paraId="0AD60DE6">
            <w:pPr>
              <w:rPr>
                <w:rFonts w:ascii="宋体" w:hAnsi="宋体" w:cs="宋体"/>
                <w:color w:val="000000" w:themeColor="text1"/>
                <w:sz w:val="24"/>
                <w14:textFill>
                  <w14:solidFill>
                    <w14:schemeClr w14:val="tx1"/>
                  </w14:solidFill>
                </w14:textFill>
              </w:rPr>
            </w:pPr>
          </w:p>
        </w:tc>
      </w:tr>
      <w:tr w14:paraId="32FA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86E7D81">
            <w:pPr>
              <w:jc w:val="center"/>
              <w:rPr>
                <w:rFonts w:ascii="宋体" w:hAnsi="宋体" w:cs="宋体"/>
                <w:color w:val="000000" w:themeColor="text1"/>
                <w:sz w:val="24"/>
                <w14:textFill>
                  <w14:solidFill>
                    <w14:schemeClr w14:val="tx1"/>
                  </w14:solidFill>
                </w14:textFill>
              </w:rPr>
            </w:pPr>
          </w:p>
        </w:tc>
        <w:tc>
          <w:tcPr>
            <w:tcW w:w="2205" w:type="dxa"/>
          </w:tcPr>
          <w:p w14:paraId="07B564A3">
            <w:pPr>
              <w:rPr>
                <w:rFonts w:ascii="宋体" w:hAnsi="宋体" w:cs="宋体"/>
                <w:color w:val="000000" w:themeColor="text1"/>
                <w:sz w:val="24"/>
                <w14:textFill>
                  <w14:solidFill>
                    <w14:schemeClr w14:val="tx1"/>
                  </w14:solidFill>
                </w14:textFill>
              </w:rPr>
            </w:pPr>
          </w:p>
        </w:tc>
        <w:tc>
          <w:tcPr>
            <w:tcW w:w="957" w:type="dxa"/>
          </w:tcPr>
          <w:p w14:paraId="1F798583">
            <w:pPr>
              <w:rPr>
                <w:rFonts w:ascii="宋体" w:hAnsi="宋体" w:cs="宋体"/>
                <w:color w:val="000000" w:themeColor="text1"/>
                <w:sz w:val="24"/>
                <w14:textFill>
                  <w14:solidFill>
                    <w14:schemeClr w14:val="tx1"/>
                  </w14:solidFill>
                </w14:textFill>
              </w:rPr>
            </w:pPr>
          </w:p>
        </w:tc>
        <w:tc>
          <w:tcPr>
            <w:tcW w:w="840" w:type="dxa"/>
          </w:tcPr>
          <w:p w14:paraId="70CDED98">
            <w:pPr>
              <w:rPr>
                <w:rFonts w:ascii="宋体" w:hAnsi="宋体" w:cs="宋体"/>
                <w:color w:val="000000" w:themeColor="text1"/>
                <w:sz w:val="24"/>
                <w14:textFill>
                  <w14:solidFill>
                    <w14:schemeClr w14:val="tx1"/>
                  </w14:solidFill>
                </w14:textFill>
              </w:rPr>
            </w:pPr>
          </w:p>
        </w:tc>
        <w:tc>
          <w:tcPr>
            <w:tcW w:w="1260" w:type="dxa"/>
          </w:tcPr>
          <w:p w14:paraId="42694B10">
            <w:pPr>
              <w:rPr>
                <w:rFonts w:ascii="宋体" w:hAnsi="宋体" w:cs="宋体"/>
                <w:color w:val="000000" w:themeColor="text1"/>
                <w:sz w:val="24"/>
                <w14:textFill>
                  <w14:solidFill>
                    <w14:schemeClr w14:val="tx1"/>
                  </w14:solidFill>
                </w14:textFill>
              </w:rPr>
            </w:pPr>
          </w:p>
        </w:tc>
        <w:tc>
          <w:tcPr>
            <w:tcW w:w="1340" w:type="dxa"/>
          </w:tcPr>
          <w:p w14:paraId="6FCD89DD">
            <w:pPr>
              <w:rPr>
                <w:rFonts w:ascii="宋体" w:hAnsi="宋体" w:cs="宋体"/>
                <w:color w:val="000000" w:themeColor="text1"/>
                <w:sz w:val="24"/>
                <w14:textFill>
                  <w14:solidFill>
                    <w14:schemeClr w14:val="tx1"/>
                  </w14:solidFill>
                </w14:textFill>
              </w:rPr>
            </w:pPr>
          </w:p>
        </w:tc>
        <w:tc>
          <w:tcPr>
            <w:tcW w:w="922" w:type="dxa"/>
          </w:tcPr>
          <w:p w14:paraId="503624E1">
            <w:pPr>
              <w:rPr>
                <w:rFonts w:ascii="宋体" w:hAnsi="宋体" w:cs="宋体"/>
                <w:color w:val="000000" w:themeColor="text1"/>
                <w:sz w:val="24"/>
                <w14:textFill>
                  <w14:solidFill>
                    <w14:schemeClr w14:val="tx1"/>
                  </w14:solidFill>
                </w14:textFill>
              </w:rPr>
            </w:pPr>
          </w:p>
        </w:tc>
      </w:tr>
      <w:tr w14:paraId="5415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0E6F07F">
            <w:pPr>
              <w:jc w:val="center"/>
              <w:rPr>
                <w:rFonts w:ascii="宋体" w:hAnsi="宋体" w:cs="宋体"/>
                <w:color w:val="000000" w:themeColor="text1"/>
                <w:sz w:val="24"/>
                <w14:textFill>
                  <w14:solidFill>
                    <w14:schemeClr w14:val="tx1"/>
                  </w14:solidFill>
                </w14:textFill>
              </w:rPr>
            </w:pPr>
          </w:p>
        </w:tc>
        <w:tc>
          <w:tcPr>
            <w:tcW w:w="2205" w:type="dxa"/>
            <w:vAlign w:val="center"/>
          </w:tcPr>
          <w:p w14:paraId="5235D150">
            <w:pPr>
              <w:pStyle w:val="52"/>
              <w:rPr>
                <w:rFonts w:ascii="宋体" w:hAnsi="宋体" w:cs="宋体"/>
                <w:color w:val="000000" w:themeColor="text1"/>
                <w14:textFill>
                  <w14:solidFill>
                    <w14:schemeClr w14:val="tx1"/>
                  </w14:solidFill>
                </w14:textFill>
              </w:rPr>
            </w:pPr>
          </w:p>
        </w:tc>
        <w:tc>
          <w:tcPr>
            <w:tcW w:w="957" w:type="dxa"/>
          </w:tcPr>
          <w:p w14:paraId="09BA0234">
            <w:pPr>
              <w:rPr>
                <w:rFonts w:ascii="宋体" w:hAnsi="宋体" w:cs="宋体"/>
                <w:color w:val="000000" w:themeColor="text1"/>
                <w:sz w:val="24"/>
                <w14:textFill>
                  <w14:solidFill>
                    <w14:schemeClr w14:val="tx1"/>
                  </w14:solidFill>
                </w14:textFill>
              </w:rPr>
            </w:pPr>
          </w:p>
        </w:tc>
        <w:tc>
          <w:tcPr>
            <w:tcW w:w="840" w:type="dxa"/>
          </w:tcPr>
          <w:p w14:paraId="428E8F6D">
            <w:pPr>
              <w:rPr>
                <w:rFonts w:ascii="宋体" w:hAnsi="宋体" w:cs="宋体"/>
                <w:color w:val="000000" w:themeColor="text1"/>
                <w:sz w:val="24"/>
                <w14:textFill>
                  <w14:solidFill>
                    <w14:schemeClr w14:val="tx1"/>
                  </w14:solidFill>
                </w14:textFill>
              </w:rPr>
            </w:pPr>
          </w:p>
        </w:tc>
        <w:tc>
          <w:tcPr>
            <w:tcW w:w="1260" w:type="dxa"/>
          </w:tcPr>
          <w:p w14:paraId="353B3A84">
            <w:pPr>
              <w:rPr>
                <w:rFonts w:ascii="宋体" w:hAnsi="宋体" w:cs="宋体"/>
                <w:color w:val="000000" w:themeColor="text1"/>
                <w:sz w:val="24"/>
                <w14:textFill>
                  <w14:solidFill>
                    <w14:schemeClr w14:val="tx1"/>
                  </w14:solidFill>
                </w14:textFill>
              </w:rPr>
            </w:pPr>
          </w:p>
        </w:tc>
        <w:tc>
          <w:tcPr>
            <w:tcW w:w="1340" w:type="dxa"/>
          </w:tcPr>
          <w:p w14:paraId="7A6862EC">
            <w:pPr>
              <w:rPr>
                <w:rFonts w:ascii="宋体" w:hAnsi="宋体" w:cs="宋体"/>
                <w:color w:val="000000" w:themeColor="text1"/>
                <w:sz w:val="24"/>
                <w14:textFill>
                  <w14:solidFill>
                    <w14:schemeClr w14:val="tx1"/>
                  </w14:solidFill>
                </w14:textFill>
              </w:rPr>
            </w:pPr>
          </w:p>
        </w:tc>
        <w:tc>
          <w:tcPr>
            <w:tcW w:w="922" w:type="dxa"/>
          </w:tcPr>
          <w:p w14:paraId="75BEFF94">
            <w:pPr>
              <w:rPr>
                <w:rFonts w:ascii="宋体" w:hAnsi="宋体" w:cs="宋体"/>
                <w:color w:val="000000" w:themeColor="text1"/>
                <w:sz w:val="24"/>
                <w14:textFill>
                  <w14:solidFill>
                    <w14:schemeClr w14:val="tx1"/>
                  </w14:solidFill>
                </w14:textFill>
              </w:rPr>
            </w:pPr>
          </w:p>
        </w:tc>
      </w:tr>
      <w:tr w14:paraId="4E96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BCE0C6">
            <w:pPr>
              <w:jc w:val="center"/>
              <w:rPr>
                <w:rFonts w:ascii="宋体" w:hAnsi="宋体" w:cs="宋体"/>
                <w:color w:val="000000" w:themeColor="text1"/>
                <w:sz w:val="24"/>
                <w14:textFill>
                  <w14:solidFill>
                    <w14:schemeClr w14:val="tx1"/>
                  </w14:solidFill>
                </w14:textFill>
              </w:rPr>
            </w:pPr>
          </w:p>
        </w:tc>
        <w:tc>
          <w:tcPr>
            <w:tcW w:w="2205" w:type="dxa"/>
            <w:vAlign w:val="center"/>
          </w:tcPr>
          <w:p w14:paraId="0122707C">
            <w:pPr>
              <w:pStyle w:val="52"/>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tc>
        <w:tc>
          <w:tcPr>
            <w:tcW w:w="957" w:type="dxa"/>
          </w:tcPr>
          <w:p w14:paraId="2F8D40F7">
            <w:pPr>
              <w:rPr>
                <w:rFonts w:ascii="宋体" w:hAnsi="宋体" w:cs="宋体"/>
                <w:color w:val="000000" w:themeColor="text1"/>
                <w:sz w:val="24"/>
                <w14:textFill>
                  <w14:solidFill>
                    <w14:schemeClr w14:val="tx1"/>
                  </w14:solidFill>
                </w14:textFill>
              </w:rPr>
            </w:pPr>
          </w:p>
        </w:tc>
        <w:tc>
          <w:tcPr>
            <w:tcW w:w="840" w:type="dxa"/>
          </w:tcPr>
          <w:p w14:paraId="73D03D0D">
            <w:pPr>
              <w:rPr>
                <w:rFonts w:ascii="宋体" w:hAnsi="宋体" w:cs="宋体"/>
                <w:color w:val="000000" w:themeColor="text1"/>
                <w:sz w:val="24"/>
                <w14:textFill>
                  <w14:solidFill>
                    <w14:schemeClr w14:val="tx1"/>
                  </w14:solidFill>
                </w14:textFill>
              </w:rPr>
            </w:pPr>
          </w:p>
        </w:tc>
        <w:tc>
          <w:tcPr>
            <w:tcW w:w="1260" w:type="dxa"/>
          </w:tcPr>
          <w:p w14:paraId="2EFFBCED">
            <w:pPr>
              <w:rPr>
                <w:rFonts w:ascii="宋体" w:hAnsi="宋体" w:cs="宋体"/>
                <w:color w:val="000000" w:themeColor="text1"/>
                <w:sz w:val="24"/>
                <w14:textFill>
                  <w14:solidFill>
                    <w14:schemeClr w14:val="tx1"/>
                  </w14:solidFill>
                </w14:textFill>
              </w:rPr>
            </w:pPr>
          </w:p>
        </w:tc>
        <w:tc>
          <w:tcPr>
            <w:tcW w:w="1340" w:type="dxa"/>
          </w:tcPr>
          <w:p w14:paraId="0E5FAAA7">
            <w:pPr>
              <w:rPr>
                <w:rFonts w:ascii="宋体" w:hAnsi="宋体" w:cs="宋体"/>
                <w:color w:val="000000" w:themeColor="text1"/>
                <w:sz w:val="24"/>
                <w14:textFill>
                  <w14:solidFill>
                    <w14:schemeClr w14:val="tx1"/>
                  </w14:solidFill>
                </w14:textFill>
              </w:rPr>
            </w:pPr>
          </w:p>
        </w:tc>
        <w:tc>
          <w:tcPr>
            <w:tcW w:w="922" w:type="dxa"/>
          </w:tcPr>
          <w:p w14:paraId="15C73A96">
            <w:pPr>
              <w:rPr>
                <w:rFonts w:ascii="宋体" w:hAnsi="宋体" w:cs="宋体"/>
                <w:color w:val="000000" w:themeColor="text1"/>
                <w:sz w:val="24"/>
                <w14:textFill>
                  <w14:solidFill>
                    <w14:schemeClr w14:val="tx1"/>
                  </w14:solidFill>
                </w14:textFill>
              </w:rPr>
            </w:pPr>
          </w:p>
        </w:tc>
        <w:bookmarkStart w:id="145" w:name="_Hlt514495724"/>
        <w:bookmarkStart w:id="146" w:name="_Hlt533408944"/>
      </w:tr>
      <w:bookmarkEnd w:id="145"/>
      <w:bookmarkEnd w:id="146"/>
    </w:tbl>
    <w:p w14:paraId="5B5B1DA1">
      <w:pPr>
        <w:pStyle w:val="16"/>
        <w:spacing w:line="360" w:lineRule="auto"/>
        <w:rPr>
          <w:rFonts w:ascii="宋体" w:hAnsi="宋体" w:cs="宋体"/>
          <w:color w:val="000000" w:themeColor="text1"/>
          <w:sz w:val="24"/>
          <w14:textFill>
            <w14:solidFill>
              <w14:schemeClr w14:val="tx1"/>
            </w14:solidFill>
          </w14:textFill>
        </w:rPr>
      </w:pPr>
    </w:p>
    <w:p w14:paraId="40149850">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14:paraId="7AAED9BB">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79AB29CE">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p w14:paraId="35D40889">
      <w:pPr>
        <w:spacing w:line="380" w:lineRule="exact"/>
        <w:jc w:val="center"/>
        <w:rPr>
          <w:rFonts w:ascii="宋体" w:hAnsi="宋体" w:cs="宋体"/>
          <w:color w:val="000000" w:themeColor="text1"/>
          <w:sz w:val="24"/>
          <w14:textFill>
            <w14:solidFill>
              <w14:schemeClr w14:val="tx1"/>
            </w14:solidFill>
          </w14:textFill>
        </w:rPr>
      </w:pPr>
    </w:p>
    <w:p w14:paraId="29F3588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693EA755">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备注：</w:t>
      </w:r>
    </w:p>
    <w:p w14:paraId="3825352E">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报价为所投货物的单价组成。包括货物出厂价格、运费、税金及其它。</w:t>
      </w:r>
    </w:p>
    <w:p w14:paraId="3C4EA57A">
      <w:pPr>
        <w:pStyle w:val="20"/>
        <w:rPr>
          <w:color w:val="000000" w:themeColor="text1"/>
          <w14:textFill>
            <w14:solidFill>
              <w14:schemeClr w14:val="tx1"/>
            </w14:solidFill>
          </w14:textFill>
        </w:rPr>
      </w:pPr>
    </w:p>
    <w:p w14:paraId="2018C75C">
      <w:pPr>
        <w:pStyle w:val="16"/>
        <w:spacing w:line="360" w:lineRule="auto"/>
        <w:rPr>
          <w:rFonts w:ascii="宋体" w:hAnsi="宋体" w:cs="宋体"/>
          <w:color w:val="000000" w:themeColor="text1"/>
          <w:sz w:val="24"/>
          <w14:textFill>
            <w14:solidFill>
              <w14:schemeClr w14:val="tx1"/>
            </w14:solidFill>
          </w14:textFill>
        </w:rPr>
      </w:pPr>
    </w:p>
    <w:p w14:paraId="47FCDB23">
      <w:pPr>
        <w:spacing w:line="380" w:lineRule="exact"/>
        <w:ind w:firstLine="3600" w:firstLineChars="1500"/>
        <w:rPr>
          <w:rFonts w:ascii="宋体" w:hAnsi="宋体" w:cs="宋体"/>
          <w:color w:val="000000" w:themeColor="text1"/>
          <w:sz w:val="24"/>
          <w14:textFill>
            <w14:solidFill>
              <w14:schemeClr w14:val="tx1"/>
            </w14:solidFill>
          </w14:textFill>
        </w:rPr>
      </w:pPr>
    </w:p>
    <w:p w14:paraId="316916EB">
      <w:pPr>
        <w:spacing w:line="380" w:lineRule="exact"/>
        <w:ind w:firstLine="3600" w:firstLineChars="1500"/>
        <w:rPr>
          <w:rFonts w:ascii="宋体" w:hAnsi="宋体" w:cs="宋体"/>
          <w:color w:val="000000" w:themeColor="text1"/>
          <w:sz w:val="24"/>
          <w14:textFill>
            <w14:solidFill>
              <w14:schemeClr w14:val="tx1"/>
            </w14:solidFill>
          </w14:textFill>
        </w:rPr>
      </w:pPr>
    </w:p>
    <w:p w14:paraId="0CF8C8F2">
      <w:pPr>
        <w:spacing w:line="380" w:lineRule="exact"/>
        <w:ind w:firstLine="3600" w:firstLineChars="1500"/>
        <w:rPr>
          <w:rFonts w:ascii="宋体" w:hAnsi="宋体" w:cs="宋体"/>
          <w:color w:val="000000" w:themeColor="text1"/>
          <w:sz w:val="24"/>
          <w14:textFill>
            <w14:solidFill>
              <w14:schemeClr w14:val="tx1"/>
            </w14:solidFill>
          </w14:textFill>
        </w:rPr>
      </w:pPr>
    </w:p>
    <w:p w14:paraId="6129A186">
      <w:pPr>
        <w:spacing w:line="380" w:lineRule="exact"/>
        <w:ind w:firstLine="3600" w:firstLineChars="1500"/>
        <w:rPr>
          <w:rFonts w:ascii="宋体" w:hAnsi="宋体" w:cs="宋体"/>
          <w:color w:val="000000" w:themeColor="text1"/>
          <w:sz w:val="24"/>
          <w14:textFill>
            <w14:solidFill>
              <w14:schemeClr w14:val="tx1"/>
            </w14:solidFill>
          </w14:textFill>
        </w:rPr>
      </w:pPr>
    </w:p>
    <w:p w14:paraId="35A3BF99">
      <w:pPr>
        <w:pStyle w:val="20"/>
        <w:rPr>
          <w:color w:val="000000" w:themeColor="text1"/>
          <w14:textFill>
            <w14:solidFill>
              <w14:schemeClr w14:val="tx1"/>
            </w14:solidFill>
          </w14:textFill>
        </w:rPr>
      </w:pPr>
    </w:p>
    <w:p w14:paraId="087E4E23">
      <w:pPr>
        <w:pStyle w:val="5"/>
        <w:rPr>
          <w:rFonts w:hAnsi="宋体" w:cs="宋体"/>
          <w:color w:val="000000" w:themeColor="text1"/>
          <w:sz w:val="28"/>
          <w14:textFill>
            <w14:solidFill>
              <w14:schemeClr w14:val="tx1"/>
            </w14:solidFill>
          </w14:textFill>
        </w:rPr>
      </w:pPr>
      <w:bookmarkStart w:id="147" w:name="_Toc40975453"/>
      <w:r>
        <w:rPr>
          <w:rFonts w:hint="eastAsia" w:hAnsi="宋体" w:cs="宋体"/>
          <w:color w:val="000000" w:themeColor="text1"/>
          <w:sz w:val="28"/>
          <w14:textFill>
            <w14:solidFill>
              <w14:schemeClr w14:val="tx1"/>
            </w14:solidFill>
          </w14:textFill>
        </w:rPr>
        <w:t>五．投标响应表</w:t>
      </w:r>
      <w:bookmarkEnd w:id="143"/>
      <w:bookmarkEnd w:id="144"/>
      <w:bookmarkEnd w:id="147"/>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224"/>
      </w:tblGrid>
      <w:tr w14:paraId="7715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2634E0DA">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按招标文件规定填写</w:t>
            </w:r>
          </w:p>
        </w:tc>
        <w:tc>
          <w:tcPr>
            <w:tcW w:w="3534" w:type="dxa"/>
            <w:gridSpan w:val="2"/>
            <w:vAlign w:val="center"/>
          </w:tcPr>
          <w:p w14:paraId="37985235">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按投标人所投内容填写</w:t>
            </w:r>
          </w:p>
        </w:tc>
      </w:tr>
      <w:tr w14:paraId="2890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364" w:type="dxa"/>
            <w:gridSpan w:val="5"/>
            <w:vAlign w:val="center"/>
          </w:tcPr>
          <w:p w14:paraId="6A96C30A">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第一部分：技术部分响应</w:t>
            </w:r>
          </w:p>
        </w:tc>
      </w:tr>
      <w:tr w14:paraId="3839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5DBAB069">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470" w:type="dxa"/>
            <w:vAlign w:val="center"/>
          </w:tcPr>
          <w:p w14:paraId="020031B5">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品名</w:t>
            </w:r>
          </w:p>
        </w:tc>
        <w:tc>
          <w:tcPr>
            <w:tcW w:w="2520" w:type="dxa"/>
            <w:vAlign w:val="center"/>
          </w:tcPr>
          <w:p w14:paraId="2BA700C7">
            <w:pPr>
              <w:pStyle w:val="15"/>
              <w:jc w:val="center"/>
              <w:rPr>
                <w:rFonts w:hAnsi="宋体" w:cs="宋体"/>
                <w:b/>
                <w:color w:val="FF0000"/>
                <w:sz w:val="24"/>
                <w:szCs w:val="24"/>
              </w:rPr>
            </w:pPr>
            <w:r>
              <w:rPr>
                <w:rFonts w:hint="eastAsia" w:hAnsi="宋体" w:cs="宋体"/>
                <w:b/>
                <w:color w:val="000000" w:themeColor="text1"/>
                <w:sz w:val="24"/>
                <w14:textFill>
                  <w14:solidFill>
                    <w14:schemeClr w14:val="tx1"/>
                  </w14:solidFill>
                </w14:textFill>
              </w:rPr>
              <w:t>技术规格及配置</w:t>
            </w:r>
          </w:p>
        </w:tc>
        <w:tc>
          <w:tcPr>
            <w:tcW w:w="2310" w:type="dxa"/>
            <w:vAlign w:val="center"/>
          </w:tcPr>
          <w:p w14:paraId="1FB3A88A">
            <w:pPr>
              <w:pStyle w:val="15"/>
              <w:rPr>
                <w:rFonts w:hAnsi="宋体" w:cs="宋体"/>
                <w:b/>
                <w:color w:val="FF0000"/>
                <w:sz w:val="24"/>
                <w:szCs w:val="24"/>
              </w:rPr>
            </w:pPr>
            <w:r>
              <w:rPr>
                <w:rFonts w:hint="eastAsia" w:hAnsi="宋体" w:cs="宋体"/>
                <w:b/>
                <w:color w:val="000000" w:themeColor="text1"/>
                <w:sz w:val="24"/>
                <w14:textFill>
                  <w14:solidFill>
                    <w14:schemeClr w14:val="tx1"/>
                  </w14:solidFill>
                </w14:textFill>
              </w:rPr>
              <w:t>生产厂家、品牌、规格参数等</w:t>
            </w:r>
          </w:p>
        </w:tc>
        <w:tc>
          <w:tcPr>
            <w:tcW w:w="1224" w:type="dxa"/>
            <w:vAlign w:val="center"/>
          </w:tcPr>
          <w:p w14:paraId="4270A719">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偏离说明</w:t>
            </w:r>
          </w:p>
        </w:tc>
      </w:tr>
      <w:tr w14:paraId="1389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422D99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70" w:type="dxa"/>
          </w:tcPr>
          <w:p w14:paraId="5725128E">
            <w:pPr>
              <w:rPr>
                <w:rFonts w:ascii="宋体" w:hAnsi="宋体" w:cs="宋体"/>
                <w:color w:val="000000" w:themeColor="text1"/>
                <w:sz w:val="24"/>
                <w14:textFill>
                  <w14:solidFill>
                    <w14:schemeClr w14:val="tx1"/>
                  </w14:solidFill>
                </w14:textFill>
              </w:rPr>
            </w:pPr>
          </w:p>
        </w:tc>
        <w:tc>
          <w:tcPr>
            <w:tcW w:w="2520" w:type="dxa"/>
          </w:tcPr>
          <w:p w14:paraId="1D4D3CD9">
            <w:pPr>
              <w:rPr>
                <w:rFonts w:ascii="宋体" w:hAnsi="宋体" w:cs="宋体"/>
                <w:color w:val="000000" w:themeColor="text1"/>
                <w:sz w:val="24"/>
                <w14:textFill>
                  <w14:solidFill>
                    <w14:schemeClr w14:val="tx1"/>
                  </w14:solidFill>
                </w14:textFill>
              </w:rPr>
            </w:pPr>
          </w:p>
        </w:tc>
        <w:tc>
          <w:tcPr>
            <w:tcW w:w="2310" w:type="dxa"/>
          </w:tcPr>
          <w:p w14:paraId="36225DED">
            <w:pPr>
              <w:rPr>
                <w:rFonts w:ascii="宋体" w:hAnsi="宋体" w:cs="宋体"/>
                <w:color w:val="000000" w:themeColor="text1"/>
                <w:sz w:val="24"/>
                <w14:textFill>
                  <w14:solidFill>
                    <w14:schemeClr w14:val="tx1"/>
                  </w14:solidFill>
                </w14:textFill>
              </w:rPr>
            </w:pPr>
          </w:p>
        </w:tc>
        <w:tc>
          <w:tcPr>
            <w:tcW w:w="1224" w:type="dxa"/>
          </w:tcPr>
          <w:p w14:paraId="3C0A1CC8">
            <w:pPr>
              <w:rPr>
                <w:rFonts w:ascii="宋体" w:hAnsi="宋体" w:cs="宋体"/>
                <w:color w:val="000000" w:themeColor="text1"/>
                <w:sz w:val="24"/>
                <w14:textFill>
                  <w14:solidFill>
                    <w14:schemeClr w14:val="tx1"/>
                  </w14:solidFill>
                </w14:textFill>
              </w:rPr>
            </w:pPr>
          </w:p>
        </w:tc>
      </w:tr>
      <w:tr w14:paraId="4890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F6C4EE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70" w:type="dxa"/>
          </w:tcPr>
          <w:p w14:paraId="73DE7E3C">
            <w:pPr>
              <w:rPr>
                <w:rFonts w:ascii="宋体" w:hAnsi="宋体" w:cs="宋体"/>
                <w:color w:val="000000" w:themeColor="text1"/>
                <w:sz w:val="24"/>
                <w14:textFill>
                  <w14:solidFill>
                    <w14:schemeClr w14:val="tx1"/>
                  </w14:solidFill>
                </w14:textFill>
              </w:rPr>
            </w:pPr>
          </w:p>
        </w:tc>
        <w:tc>
          <w:tcPr>
            <w:tcW w:w="2520" w:type="dxa"/>
          </w:tcPr>
          <w:p w14:paraId="716C37A4">
            <w:pPr>
              <w:rPr>
                <w:rFonts w:ascii="宋体" w:hAnsi="宋体" w:cs="宋体"/>
                <w:color w:val="000000" w:themeColor="text1"/>
                <w:sz w:val="24"/>
                <w14:textFill>
                  <w14:solidFill>
                    <w14:schemeClr w14:val="tx1"/>
                  </w14:solidFill>
                </w14:textFill>
              </w:rPr>
            </w:pPr>
          </w:p>
        </w:tc>
        <w:tc>
          <w:tcPr>
            <w:tcW w:w="2310" w:type="dxa"/>
          </w:tcPr>
          <w:p w14:paraId="226C11A4">
            <w:pPr>
              <w:rPr>
                <w:rFonts w:ascii="宋体" w:hAnsi="宋体" w:cs="宋体"/>
                <w:color w:val="000000" w:themeColor="text1"/>
                <w:sz w:val="24"/>
                <w14:textFill>
                  <w14:solidFill>
                    <w14:schemeClr w14:val="tx1"/>
                  </w14:solidFill>
                </w14:textFill>
              </w:rPr>
            </w:pPr>
          </w:p>
        </w:tc>
        <w:tc>
          <w:tcPr>
            <w:tcW w:w="1224" w:type="dxa"/>
          </w:tcPr>
          <w:p w14:paraId="7F0E8A66">
            <w:pPr>
              <w:rPr>
                <w:rFonts w:ascii="宋体" w:hAnsi="宋体" w:cs="宋体"/>
                <w:color w:val="000000" w:themeColor="text1"/>
                <w:sz w:val="24"/>
                <w14:textFill>
                  <w14:solidFill>
                    <w14:schemeClr w14:val="tx1"/>
                  </w14:solidFill>
                </w14:textFill>
              </w:rPr>
            </w:pPr>
          </w:p>
        </w:tc>
      </w:tr>
      <w:tr w14:paraId="2B0C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9C9DBC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470" w:type="dxa"/>
          </w:tcPr>
          <w:p w14:paraId="38CE1AA5">
            <w:pPr>
              <w:rPr>
                <w:rFonts w:ascii="宋体" w:hAnsi="宋体" w:cs="宋体"/>
                <w:color w:val="000000" w:themeColor="text1"/>
                <w:sz w:val="24"/>
                <w14:textFill>
                  <w14:solidFill>
                    <w14:schemeClr w14:val="tx1"/>
                  </w14:solidFill>
                </w14:textFill>
              </w:rPr>
            </w:pPr>
          </w:p>
        </w:tc>
        <w:tc>
          <w:tcPr>
            <w:tcW w:w="2520" w:type="dxa"/>
          </w:tcPr>
          <w:p w14:paraId="4236CD7F">
            <w:pPr>
              <w:rPr>
                <w:rFonts w:ascii="宋体" w:hAnsi="宋体" w:cs="宋体"/>
                <w:color w:val="000000" w:themeColor="text1"/>
                <w:sz w:val="24"/>
                <w14:textFill>
                  <w14:solidFill>
                    <w14:schemeClr w14:val="tx1"/>
                  </w14:solidFill>
                </w14:textFill>
              </w:rPr>
            </w:pPr>
          </w:p>
        </w:tc>
        <w:tc>
          <w:tcPr>
            <w:tcW w:w="2310" w:type="dxa"/>
          </w:tcPr>
          <w:p w14:paraId="5ADF2EF2">
            <w:pPr>
              <w:pStyle w:val="52"/>
              <w:rPr>
                <w:rFonts w:ascii="宋体" w:hAnsi="宋体" w:cs="宋体"/>
                <w:color w:val="000000" w:themeColor="text1"/>
                <w14:textFill>
                  <w14:solidFill>
                    <w14:schemeClr w14:val="tx1"/>
                  </w14:solidFill>
                </w14:textFill>
              </w:rPr>
            </w:pPr>
          </w:p>
        </w:tc>
        <w:tc>
          <w:tcPr>
            <w:tcW w:w="1224" w:type="dxa"/>
          </w:tcPr>
          <w:p w14:paraId="42C9403C">
            <w:pPr>
              <w:rPr>
                <w:rFonts w:ascii="宋体" w:hAnsi="宋体" w:cs="宋体"/>
                <w:color w:val="000000" w:themeColor="text1"/>
                <w:sz w:val="24"/>
                <w14:textFill>
                  <w14:solidFill>
                    <w14:schemeClr w14:val="tx1"/>
                  </w14:solidFill>
                </w14:textFill>
              </w:rPr>
            </w:pPr>
          </w:p>
        </w:tc>
      </w:tr>
      <w:tr w14:paraId="2A8B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E48632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470" w:type="dxa"/>
          </w:tcPr>
          <w:p w14:paraId="21F778AC">
            <w:pPr>
              <w:rPr>
                <w:rFonts w:ascii="宋体" w:hAnsi="宋体" w:cs="宋体"/>
                <w:color w:val="000000" w:themeColor="text1"/>
                <w:sz w:val="24"/>
                <w14:textFill>
                  <w14:solidFill>
                    <w14:schemeClr w14:val="tx1"/>
                  </w14:solidFill>
                </w14:textFill>
              </w:rPr>
            </w:pPr>
          </w:p>
        </w:tc>
        <w:tc>
          <w:tcPr>
            <w:tcW w:w="2520" w:type="dxa"/>
          </w:tcPr>
          <w:p w14:paraId="64B5DBC9">
            <w:pPr>
              <w:rPr>
                <w:rFonts w:ascii="宋体" w:hAnsi="宋体" w:cs="宋体"/>
                <w:color w:val="000000" w:themeColor="text1"/>
                <w:sz w:val="24"/>
                <w14:textFill>
                  <w14:solidFill>
                    <w14:schemeClr w14:val="tx1"/>
                  </w14:solidFill>
                </w14:textFill>
              </w:rPr>
            </w:pPr>
          </w:p>
        </w:tc>
        <w:tc>
          <w:tcPr>
            <w:tcW w:w="2310" w:type="dxa"/>
          </w:tcPr>
          <w:p w14:paraId="133226BB">
            <w:pPr>
              <w:rPr>
                <w:rFonts w:ascii="宋体" w:hAnsi="宋体" w:cs="宋体"/>
                <w:color w:val="000000" w:themeColor="text1"/>
                <w:sz w:val="24"/>
                <w14:textFill>
                  <w14:solidFill>
                    <w14:schemeClr w14:val="tx1"/>
                  </w14:solidFill>
                </w14:textFill>
              </w:rPr>
            </w:pPr>
          </w:p>
        </w:tc>
        <w:tc>
          <w:tcPr>
            <w:tcW w:w="1224" w:type="dxa"/>
          </w:tcPr>
          <w:p w14:paraId="2CE81024">
            <w:pPr>
              <w:rPr>
                <w:rFonts w:ascii="宋体" w:hAnsi="宋体" w:cs="宋体"/>
                <w:color w:val="000000" w:themeColor="text1"/>
                <w:sz w:val="24"/>
                <w14:textFill>
                  <w14:solidFill>
                    <w14:schemeClr w14:val="tx1"/>
                  </w14:solidFill>
                </w14:textFill>
              </w:rPr>
            </w:pPr>
          </w:p>
        </w:tc>
      </w:tr>
      <w:tr w14:paraId="3A9A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364" w:type="dxa"/>
            <w:gridSpan w:val="5"/>
            <w:vAlign w:val="center"/>
          </w:tcPr>
          <w:p w14:paraId="08AFD473">
            <w:pPr>
              <w:pStyle w:val="15"/>
              <w:jc w:val="center"/>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第二部分：资信及报价部分响应</w:t>
            </w:r>
          </w:p>
        </w:tc>
      </w:tr>
      <w:tr w14:paraId="584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298C6BD">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470" w:type="dxa"/>
            <w:vAlign w:val="center"/>
          </w:tcPr>
          <w:p w14:paraId="25AF1E94">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内容</w:t>
            </w:r>
          </w:p>
        </w:tc>
        <w:tc>
          <w:tcPr>
            <w:tcW w:w="2520" w:type="dxa"/>
            <w:vAlign w:val="center"/>
          </w:tcPr>
          <w:p w14:paraId="3A59254D">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招标要求</w:t>
            </w:r>
          </w:p>
        </w:tc>
        <w:tc>
          <w:tcPr>
            <w:tcW w:w="2310" w:type="dxa"/>
            <w:vAlign w:val="center"/>
          </w:tcPr>
          <w:p w14:paraId="2534ABA6">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投标承诺</w:t>
            </w:r>
          </w:p>
        </w:tc>
        <w:tc>
          <w:tcPr>
            <w:tcW w:w="1224" w:type="dxa"/>
            <w:vAlign w:val="center"/>
          </w:tcPr>
          <w:p w14:paraId="2F5E4271">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偏离说明</w:t>
            </w:r>
          </w:p>
        </w:tc>
      </w:tr>
      <w:tr w14:paraId="7ADE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45CEAF5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470" w:type="dxa"/>
            <w:vAlign w:val="center"/>
          </w:tcPr>
          <w:p w14:paraId="0C75B7E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供货期</w:t>
            </w:r>
          </w:p>
        </w:tc>
        <w:tc>
          <w:tcPr>
            <w:tcW w:w="2520" w:type="dxa"/>
          </w:tcPr>
          <w:p w14:paraId="58670FB6">
            <w:pPr>
              <w:rPr>
                <w:rFonts w:ascii="宋体" w:hAnsi="宋体" w:cs="宋体"/>
                <w:color w:val="000000" w:themeColor="text1"/>
                <w:sz w:val="24"/>
                <w14:textFill>
                  <w14:solidFill>
                    <w14:schemeClr w14:val="tx1"/>
                  </w14:solidFill>
                </w14:textFill>
              </w:rPr>
            </w:pPr>
          </w:p>
        </w:tc>
        <w:tc>
          <w:tcPr>
            <w:tcW w:w="2310" w:type="dxa"/>
          </w:tcPr>
          <w:p w14:paraId="38F34A7E">
            <w:pPr>
              <w:rPr>
                <w:rFonts w:ascii="宋体" w:hAnsi="宋体" w:cs="宋体"/>
                <w:color w:val="000000" w:themeColor="text1"/>
                <w:sz w:val="24"/>
                <w14:textFill>
                  <w14:solidFill>
                    <w14:schemeClr w14:val="tx1"/>
                  </w14:solidFill>
                </w14:textFill>
              </w:rPr>
            </w:pPr>
          </w:p>
        </w:tc>
        <w:tc>
          <w:tcPr>
            <w:tcW w:w="1224" w:type="dxa"/>
          </w:tcPr>
          <w:p w14:paraId="382BB813">
            <w:pPr>
              <w:rPr>
                <w:rFonts w:ascii="宋体" w:hAnsi="宋体" w:cs="宋体"/>
                <w:color w:val="000000" w:themeColor="text1"/>
                <w:sz w:val="24"/>
                <w14:textFill>
                  <w14:solidFill>
                    <w14:schemeClr w14:val="tx1"/>
                  </w14:solidFill>
                </w14:textFill>
              </w:rPr>
            </w:pPr>
          </w:p>
        </w:tc>
      </w:tr>
      <w:tr w14:paraId="5C9B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D6778D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470" w:type="dxa"/>
            <w:vAlign w:val="center"/>
          </w:tcPr>
          <w:p w14:paraId="553D2AE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免费质保期</w:t>
            </w:r>
          </w:p>
        </w:tc>
        <w:tc>
          <w:tcPr>
            <w:tcW w:w="2520" w:type="dxa"/>
          </w:tcPr>
          <w:p w14:paraId="5295F127">
            <w:pPr>
              <w:rPr>
                <w:rFonts w:ascii="宋体" w:hAnsi="宋体" w:cs="宋体"/>
                <w:color w:val="000000" w:themeColor="text1"/>
                <w:sz w:val="24"/>
                <w14:textFill>
                  <w14:solidFill>
                    <w14:schemeClr w14:val="tx1"/>
                  </w14:solidFill>
                </w14:textFill>
              </w:rPr>
            </w:pPr>
          </w:p>
        </w:tc>
        <w:tc>
          <w:tcPr>
            <w:tcW w:w="2310" w:type="dxa"/>
          </w:tcPr>
          <w:p w14:paraId="335219F9">
            <w:pPr>
              <w:rPr>
                <w:rFonts w:ascii="宋体" w:hAnsi="宋体" w:cs="宋体"/>
                <w:color w:val="000000" w:themeColor="text1"/>
                <w:sz w:val="24"/>
                <w14:textFill>
                  <w14:solidFill>
                    <w14:schemeClr w14:val="tx1"/>
                  </w14:solidFill>
                </w14:textFill>
              </w:rPr>
            </w:pPr>
          </w:p>
        </w:tc>
        <w:tc>
          <w:tcPr>
            <w:tcW w:w="1224" w:type="dxa"/>
          </w:tcPr>
          <w:p w14:paraId="2B18F2CF">
            <w:pPr>
              <w:rPr>
                <w:rFonts w:ascii="宋体" w:hAnsi="宋体" w:cs="宋体"/>
                <w:color w:val="000000" w:themeColor="text1"/>
                <w:sz w:val="24"/>
                <w14:textFill>
                  <w14:solidFill>
                    <w14:schemeClr w14:val="tx1"/>
                  </w14:solidFill>
                </w14:textFill>
              </w:rPr>
            </w:pPr>
          </w:p>
        </w:tc>
      </w:tr>
      <w:tr w14:paraId="5D34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5E2325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470" w:type="dxa"/>
            <w:vAlign w:val="center"/>
          </w:tcPr>
          <w:p w14:paraId="2521501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付款响应</w:t>
            </w:r>
          </w:p>
        </w:tc>
        <w:tc>
          <w:tcPr>
            <w:tcW w:w="2520" w:type="dxa"/>
          </w:tcPr>
          <w:p w14:paraId="25F4F386">
            <w:pPr>
              <w:rPr>
                <w:rFonts w:ascii="宋体" w:hAnsi="宋体" w:cs="宋体"/>
                <w:color w:val="000000" w:themeColor="text1"/>
                <w:sz w:val="24"/>
                <w14:textFill>
                  <w14:solidFill>
                    <w14:schemeClr w14:val="tx1"/>
                  </w14:solidFill>
                </w14:textFill>
              </w:rPr>
            </w:pPr>
          </w:p>
        </w:tc>
        <w:tc>
          <w:tcPr>
            <w:tcW w:w="2310" w:type="dxa"/>
          </w:tcPr>
          <w:p w14:paraId="702A8133">
            <w:pPr>
              <w:rPr>
                <w:rFonts w:ascii="宋体" w:hAnsi="宋体" w:cs="宋体"/>
                <w:color w:val="000000" w:themeColor="text1"/>
                <w:sz w:val="24"/>
                <w14:textFill>
                  <w14:solidFill>
                    <w14:schemeClr w14:val="tx1"/>
                  </w14:solidFill>
                </w14:textFill>
              </w:rPr>
            </w:pPr>
          </w:p>
        </w:tc>
        <w:tc>
          <w:tcPr>
            <w:tcW w:w="1224" w:type="dxa"/>
          </w:tcPr>
          <w:p w14:paraId="41D31E3F">
            <w:pPr>
              <w:rPr>
                <w:rFonts w:ascii="宋体" w:hAnsi="宋体" w:cs="宋体"/>
                <w:color w:val="000000" w:themeColor="text1"/>
                <w:sz w:val="24"/>
                <w14:textFill>
                  <w14:solidFill>
                    <w14:schemeClr w14:val="tx1"/>
                  </w14:solidFill>
                </w14:textFill>
              </w:rPr>
            </w:pPr>
          </w:p>
        </w:tc>
      </w:tr>
      <w:tr w14:paraId="22C1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143CA7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470" w:type="dxa"/>
            <w:vAlign w:val="center"/>
          </w:tcPr>
          <w:p w14:paraId="23F6E22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520" w:type="dxa"/>
          </w:tcPr>
          <w:p w14:paraId="5A3CC2A0">
            <w:pPr>
              <w:rPr>
                <w:rFonts w:ascii="宋体" w:hAnsi="宋体" w:cs="宋体"/>
                <w:color w:val="000000" w:themeColor="text1"/>
                <w:sz w:val="24"/>
                <w14:textFill>
                  <w14:solidFill>
                    <w14:schemeClr w14:val="tx1"/>
                  </w14:solidFill>
                </w14:textFill>
              </w:rPr>
            </w:pPr>
          </w:p>
        </w:tc>
        <w:tc>
          <w:tcPr>
            <w:tcW w:w="2310" w:type="dxa"/>
          </w:tcPr>
          <w:p w14:paraId="331B08CD">
            <w:pPr>
              <w:rPr>
                <w:rFonts w:ascii="宋体" w:hAnsi="宋体" w:cs="宋体"/>
                <w:color w:val="000000" w:themeColor="text1"/>
                <w:sz w:val="24"/>
                <w14:textFill>
                  <w14:solidFill>
                    <w14:schemeClr w14:val="tx1"/>
                  </w14:solidFill>
                </w14:textFill>
              </w:rPr>
            </w:pPr>
          </w:p>
        </w:tc>
        <w:tc>
          <w:tcPr>
            <w:tcW w:w="1224" w:type="dxa"/>
          </w:tcPr>
          <w:p w14:paraId="411B68BB">
            <w:pPr>
              <w:rPr>
                <w:rFonts w:ascii="宋体" w:hAnsi="宋体" w:cs="宋体"/>
                <w:color w:val="000000" w:themeColor="text1"/>
                <w:sz w:val="24"/>
                <w14:textFill>
                  <w14:solidFill>
                    <w14:schemeClr w14:val="tx1"/>
                  </w14:solidFill>
                </w14:textFill>
              </w:rPr>
            </w:pPr>
          </w:p>
        </w:tc>
      </w:tr>
      <w:tr w14:paraId="7654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1AFD83D">
            <w:pPr>
              <w:jc w:val="center"/>
              <w:rPr>
                <w:rFonts w:ascii="宋体" w:hAnsi="宋体" w:cs="宋体"/>
                <w:color w:val="000000" w:themeColor="text1"/>
                <w:sz w:val="24"/>
                <w14:textFill>
                  <w14:solidFill>
                    <w14:schemeClr w14:val="tx1"/>
                  </w14:solidFill>
                </w14:textFill>
              </w:rPr>
            </w:pPr>
          </w:p>
        </w:tc>
        <w:tc>
          <w:tcPr>
            <w:tcW w:w="1470" w:type="dxa"/>
            <w:vAlign w:val="center"/>
          </w:tcPr>
          <w:p w14:paraId="07ACF699">
            <w:pPr>
              <w:jc w:val="center"/>
              <w:rPr>
                <w:rFonts w:ascii="宋体" w:hAnsi="宋体" w:cs="宋体"/>
                <w:color w:val="000000" w:themeColor="text1"/>
                <w:sz w:val="24"/>
                <w14:textFill>
                  <w14:solidFill>
                    <w14:schemeClr w14:val="tx1"/>
                  </w14:solidFill>
                </w14:textFill>
              </w:rPr>
            </w:pPr>
          </w:p>
        </w:tc>
        <w:tc>
          <w:tcPr>
            <w:tcW w:w="2520" w:type="dxa"/>
          </w:tcPr>
          <w:p w14:paraId="582B0A8B">
            <w:pPr>
              <w:rPr>
                <w:rFonts w:ascii="宋体" w:hAnsi="宋体" w:cs="宋体"/>
                <w:color w:val="000000" w:themeColor="text1"/>
                <w:sz w:val="24"/>
                <w14:textFill>
                  <w14:solidFill>
                    <w14:schemeClr w14:val="tx1"/>
                  </w14:solidFill>
                </w14:textFill>
              </w:rPr>
            </w:pPr>
          </w:p>
        </w:tc>
        <w:tc>
          <w:tcPr>
            <w:tcW w:w="2310" w:type="dxa"/>
          </w:tcPr>
          <w:p w14:paraId="61B01930">
            <w:pPr>
              <w:rPr>
                <w:rFonts w:ascii="宋体" w:hAnsi="宋体" w:cs="宋体"/>
                <w:color w:val="000000" w:themeColor="text1"/>
                <w:sz w:val="24"/>
                <w14:textFill>
                  <w14:solidFill>
                    <w14:schemeClr w14:val="tx1"/>
                  </w14:solidFill>
                </w14:textFill>
              </w:rPr>
            </w:pPr>
          </w:p>
        </w:tc>
        <w:tc>
          <w:tcPr>
            <w:tcW w:w="1224" w:type="dxa"/>
          </w:tcPr>
          <w:p w14:paraId="4BD3FC04">
            <w:pPr>
              <w:rPr>
                <w:rFonts w:ascii="宋体" w:hAnsi="宋体" w:cs="宋体"/>
                <w:color w:val="000000" w:themeColor="text1"/>
                <w:sz w:val="24"/>
                <w14:textFill>
                  <w14:solidFill>
                    <w14:schemeClr w14:val="tx1"/>
                  </w14:solidFill>
                </w14:textFill>
              </w:rPr>
            </w:pPr>
          </w:p>
        </w:tc>
      </w:tr>
    </w:tbl>
    <w:p w14:paraId="370A8BD7">
      <w:pPr>
        <w:spacing w:line="38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14:paraId="59CEBF70">
      <w:pPr>
        <w:spacing w:line="380" w:lineRule="exact"/>
        <w:ind w:right="640" w:firstLine="1560" w:firstLineChars="650"/>
        <w:jc w:val="left"/>
        <w:rPr>
          <w:rFonts w:ascii="宋体" w:hAnsi="宋体" w:cs="宋体"/>
          <w:color w:val="000000" w:themeColor="text1"/>
          <w:sz w:val="24"/>
          <w14:textFill>
            <w14:solidFill>
              <w14:schemeClr w14:val="tx1"/>
            </w14:solidFill>
          </w14:textFill>
        </w:rPr>
      </w:pPr>
    </w:p>
    <w:p w14:paraId="028CD7D4">
      <w:pPr>
        <w:spacing w:line="380" w:lineRule="exact"/>
        <w:ind w:right="64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p w14:paraId="03BE3FCC">
      <w:pPr>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48A75048">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备注：</w:t>
      </w:r>
    </w:p>
    <w:p w14:paraId="3FBAB99F">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1、投标人必须逐项对应描述投标货物主要参数、配置及服务要求，如不进行描述，仅在响应栏填“响应”或未填写的，将可能导致投标无效；</w:t>
      </w:r>
    </w:p>
    <w:p w14:paraId="1BFBFE05">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2、投标人所投产品如与招标文件要求的规格及配置不一致，则须在上表偏离说明中详细注明。</w:t>
      </w:r>
    </w:p>
    <w:p w14:paraId="609853F8">
      <w:pPr>
        <w:adjustRightInd w:val="0"/>
        <w:snapToGrid w:val="0"/>
        <w:spacing w:line="360" w:lineRule="auto"/>
        <w:rPr>
          <w:rFonts w:ascii="宋体" w:hAnsi="宋体" w:cs="宋体"/>
          <w:b/>
          <w:bCs/>
          <w:color w:val="000000" w:themeColor="text1"/>
          <w:sz w:val="24"/>
          <w:szCs w:val="28"/>
          <w14:textFill>
            <w14:solidFill>
              <w14:schemeClr w14:val="tx1"/>
            </w14:solidFill>
          </w14:textFill>
        </w:rPr>
      </w:pPr>
      <w:r>
        <w:rPr>
          <w:rFonts w:hint="eastAsia" w:ascii="宋体" w:hAnsi="宋体" w:cs="宋体"/>
          <w:b/>
          <w:bCs/>
          <w:color w:val="000000" w:themeColor="text1"/>
          <w:sz w:val="24"/>
          <w:szCs w:val="28"/>
          <w14:textFill>
            <w14:solidFill>
              <w14:schemeClr w14:val="tx1"/>
            </w14:solidFill>
          </w14:textFill>
        </w:rPr>
        <w:t>3、响应部分可后附详细说明及技术资料，并应注明投标文件中对应的页码范围。</w:t>
      </w:r>
    </w:p>
    <w:p w14:paraId="04C327B6">
      <w:pPr>
        <w:pStyle w:val="20"/>
        <w:rPr>
          <w:color w:val="000000" w:themeColor="text1"/>
          <w14:textFill>
            <w14:solidFill>
              <w14:schemeClr w14:val="tx1"/>
            </w14:solidFill>
          </w14:textFill>
        </w:rPr>
      </w:pPr>
    </w:p>
    <w:p w14:paraId="469AC8E7">
      <w:pPr>
        <w:pStyle w:val="20"/>
        <w:rPr>
          <w:color w:val="000000" w:themeColor="text1"/>
          <w14:textFill>
            <w14:solidFill>
              <w14:schemeClr w14:val="tx1"/>
            </w14:solidFill>
          </w14:textFill>
        </w:rPr>
      </w:pPr>
    </w:p>
    <w:p w14:paraId="6861A128">
      <w:pPr>
        <w:pStyle w:val="20"/>
        <w:rPr>
          <w:color w:val="000000" w:themeColor="text1"/>
          <w14:textFill>
            <w14:solidFill>
              <w14:schemeClr w14:val="tx1"/>
            </w14:solidFill>
          </w14:textFill>
        </w:rPr>
      </w:pPr>
    </w:p>
    <w:p w14:paraId="1FE5D4B8">
      <w:pPr>
        <w:pStyle w:val="20"/>
        <w:rPr>
          <w:color w:val="000000" w:themeColor="text1"/>
          <w14:textFill>
            <w14:solidFill>
              <w14:schemeClr w14:val="tx1"/>
            </w14:solidFill>
          </w14:textFill>
        </w:rPr>
      </w:pPr>
    </w:p>
    <w:p w14:paraId="5930B06F">
      <w:pPr>
        <w:pStyle w:val="20"/>
        <w:rPr>
          <w:color w:val="000000" w:themeColor="text1"/>
          <w14:textFill>
            <w14:solidFill>
              <w14:schemeClr w14:val="tx1"/>
            </w14:solidFill>
          </w14:textFill>
        </w:rPr>
      </w:pPr>
    </w:p>
    <w:p w14:paraId="04E91823">
      <w:pPr>
        <w:pStyle w:val="20"/>
        <w:rPr>
          <w:color w:val="000000" w:themeColor="text1"/>
          <w14:textFill>
            <w14:solidFill>
              <w14:schemeClr w14:val="tx1"/>
            </w14:solidFill>
          </w14:textFill>
        </w:rPr>
      </w:pPr>
    </w:p>
    <w:p w14:paraId="199F9957">
      <w:pPr>
        <w:rPr>
          <w:rFonts w:hAnsi="宋体" w:cs="宋体"/>
          <w:color w:val="FF0000"/>
          <w:sz w:val="28"/>
        </w:rPr>
      </w:pPr>
      <w:bookmarkStart w:id="148" w:name="_Hlt509738950"/>
      <w:bookmarkEnd w:id="148"/>
      <w:bookmarkStart w:id="149" w:name="_Toc220232400"/>
      <w:bookmarkStart w:id="150" w:name="_Toc2238_WPSOffice_Level2"/>
      <w:bookmarkStart w:id="151" w:name="_Toc40975454"/>
      <w:r>
        <w:rPr>
          <w:rFonts w:hint="eastAsia" w:hAnsi="宋体" w:cs="宋体"/>
          <w:color w:val="FF0000"/>
          <w:sz w:val="28"/>
        </w:rPr>
        <w:br w:type="page"/>
      </w:r>
    </w:p>
    <w:bookmarkEnd w:id="149"/>
    <w:bookmarkEnd w:id="150"/>
    <w:bookmarkEnd w:id="151"/>
    <w:p w14:paraId="0769D7D7">
      <w:pPr>
        <w:pStyle w:val="5"/>
        <w:rPr>
          <w:rFonts w:hAnsi="宋体" w:cs="宋体"/>
          <w:color w:val="000000" w:themeColor="text1"/>
          <w:sz w:val="28"/>
          <w:szCs w:val="36"/>
          <w14:textFill>
            <w14:solidFill>
              <w14:schemeClr w14:val="tx1"/>
            </w14:solidFill>
          </w14:textFill>
        </w:rPr>
      </w:pPr>
      <w:r>
        <w:rPr>
          <w:rFonts w:hint="eastAsia" w:hAnsi="宋体" w:cs="宋体"/>
          <w:color w:val="000000" w:themeColor="text1"/>
          <w:sz w:val="28"/>
          <w14:textFill>
            <w14:solidFill>
              <w14:schemeClr w14:val="tx1"/>
            </w14:solidFill>
          </w14:textFill>
        </w:rPr>
        <w:t>六．产品质量承诺</w:t>
      </w:r>
    </w:p>
    <w:p w14:paraId="48B1D2DA">
      <w:pPr>
        <w:spacing w:beforeLines="20" w:afterLines="20" w:line="360" w:lineRule="auto"/>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14:paraId="1F3CA2F0">
      <w:pPr>
        <w:spacing w:beforeLines="20" w:afterLines="20" w:line="360" w:lineRule="auto"/>
        <w:rPr>
          <w:rFonts w:ascii="宋体" w:hAnsi="宋体" w:cs="宋体"/>
          <w:color w:val="000000" w:themeColor="text1"/>
          <w:sz w:val="28"/>
          <w14:textFill>
            <w14:solidFill>
              <w14:schemeClr w14:val="tx1"/>
            </w14:solidFill>
          </w14:textFill>
        </w:rPr>
      </w:pPr>
    </w:p>
    <w:p w14:paraId="6015CE5B">
      <w:pPr>
        <w:spacing w:beforeLines="20" w:afterLines="20" w:line="360" w:lineRule="auto"/>
        <w:rPr>
          <w:rFonts w:ascii="宋体" w:hAnsi="宋体" w:cs="宋体"/>
          <w:color w:val="000000" w:themeColor="text1"/>
          <w:sz w:val="28"/>
          <w14:textFill>
            <w14:solidFill>
              <w14:schemeClr w14:val="tx1"/>
            </w14:solidFill>
          </w14:textFill>
        </w:rPr>
      </w:pPr>
    </w:p>
    <w:p w14:paraId="24693461">
      <w:pPr>
        <w:pStyle w:val="20"/>
        <w:rPr>
          <w:color w:val="000000" w:themeColor="text1"/>
          <w14:textFill>
            <w14:solidFill>
              <w14:schemeClr w14:val="tx1"/>
            </w14:solidFill>
          </w14:textFill>
        </w:rPr>
      </w:pPr>
    </w:p>
    <w:p w14:paraId="597D10A2">
      <w:pPr>
        <w:pStyle w:val="20"/>
        <w:rPr>
          <w:color w:val="000000" w:themeColor="text1"/>
          <w14:textFill>
            <w14:solidFill>
              <w14:schemeClr w14:val="tx1"/>
            </w14:solidFill>
          </w14:textFill>
        </w:rPr>
      </w:pPr>
    </w:p>
    <w:p w14:paraId="3D0E4E3B">
      <w:pPr>
        <w:pStyle w:val="20"/>
        <w:rPr>
          <w:color w:val="000000" w:themeColor="text1"/>
          <w14:textFill>
            <w14:solidFill>
              <w14:schemeClr w14:val="tx1"/>
            </w14:solidFill>
          </w14:textFill>
        </w:rPr>
      </w:pPr>
    </w:p>
    <w:p w14:paraId="5A8D05EF">
      <w:pPr>
        <w:pStyle w:val="20"/>
        <w:rPr>
          <w:color w:val="000000" w:themeColor="text1"/>
          <w14:textFill>
            <w14:solidFill>
              <w14:schemeClr w14:val="tx1"/>
            </w14:solidFill>
          </w14:textFill>
        </w:rPr>
      </w:pPr>
    </w:p>
    <w:p w14:paraId="470527ED">
      <w:pPr>
        <w:pStyle w:val="20"/>
        <w:rPr>
          <w:color w:val="000000" w:themeColor="text1"/>
          <w14:textFill>
            <w14:solidFill>
              <w14:schemeClr w14:val="tx1"/>
            </w14:solidFill>
          </w14:textFill>
        </w:rPr>
      </w:pPr>
    </w:p>
    <w:p w14:paraId="24DE0958">
      <w:pPr>
        <w:pStyle w:val="20"/>
        <w:rPr>
          <w:color w:val="000000" w:themeColor="text1"/>
          <w14:textFill>
            <w14:solidFill>
              <w14:schemeClr w14:val="tx1"/>
            </w14:solidFill>
          </w14:textFill>
        </w:rPr>
      </w:pPr>
    </w:p>
    <w:p w14:paraId="35852A6F">
      <w:pPr>
        <w:pStyle w:val="20"/>
        <w:rPr>
          <w:color w:val="000000" w:themeColor="text1"/>
          <w14:textFill>
            <w14:solidFill>
              <w14:schemeClr w14:val="tx1"/>
            </w14:solidFill>
          </w14:textFill>
        </w:rPr>
      </w:pPr>
    </w:p>
    <w:p w14:paraId="28DFFE64">
      <w:pPr>
        <w:pStyle w:val="20"/>
        <w:rPr>
          <w:color w:val="000000" w:themeColor="text1"/>
          <w14:textFill>
            <w14:solidFill>
              <w14:schemeClr w14:val="tx1"/>
            </w14:solidFill>
          </w14:textFill>
        </w:rPr>
      </w:pPr>
    </w:p>
    <w:p w14:paraId="1C794D2D">
      <w:pPr>
        <w:pStyle w:val="20"/>
        <w:rPr>
          <w:color w:val="000000" w:themeColor="text1"/>
          <w14:textFill>
            <w14:solidFill>
              <w14:schemeClr w14:val="tx1"/>
            </w14:solidFill>
          </w14:textFill>
        </w:rPr>
      </w:pPr>
    </w:p>
    <w:p w14:paraId="18DFFEFA">
      <w:pPr>
        <w:pStyle w:val="20"/>
        <w:rPr>
          <w:color w:val="000000" w:themeColor="text1"/>
          <w14:textFill>
            <w14:solidFill>
              <w14:schemeClr w14:val="tx1"/>
            </w14:solidFill>
          </w14:textFill>
        </w:rPr>
      </w:pPr>
    </w:p>
    <w:p w14:paraId="0D0FFE4B">
      <w:pPr>
        <w:pStyle w:val="20"/>
        <w:rPr>
          <w:color w:val="000000" w:themeColor="text1"/>
          <w14:textFill>
            <w14:solidFill>
              <w14:schemeClr w14:val="tx1"/>
            </w14:solidFill>
          </w14:textFill>
        </w:rPr>
      </w:pPr>
    </w:p>
    <w:p w14:paraId="678E80C6">
      <w:pPr>
        <w:pStyle w:val="20"/>
        <w:rPr>
          <w:color w:val="000000" w:themeColor="text1"/>
          <w14:textFill>
            <w14:solidFill>
              <w14:schemeClr w14:val="tx1"/>
            </w14:solidFill>
          </w14:textFill>
        </w:rPr>
      </w:pPr>
    </w:p>
    <w:p w14:paraId="1C76E360">
      <w:pPr>
        <w:pStyle w:val="20"/>
        <w:rPr>
          <w:color w:val="000000" w:themeColor="text1"/>
          <w14:textFill>
            <w14:solidFill>
              <w14:schemeClr w14:val="tx1"/>
            </w14:solidFill>
          </w14:textFill>
        </w:rPr>
      </w:pPr>
    </w:p>
    <w:p w14:paraId="026AF485">
      <w:pPr>
        <w:pStyle w:val="20"/>
        <w:rPr>
          <w:color w:val="000000" w:themeColor="text1"/>
          <w14:textFill>
            <w14:solidFill>
              <w14:schemeClr w14:val="tx1"/>
            </w14:solidFill>
          </w14:textFill>
        </w:rPr>
      </w:pPr>
    </w:p>
    <w:p w14:paraId="68085ADF">
      <w:pPr>
        <w:pStyle w:val="20"/>
        <w:rPr>
          <w:color w:val="000000" w:themeColor="text1"/>
          <w14:textFill>
            <w14:solidFill>
              <w14:schemeClr w14:val="tx1"/>
            </w14:solidFill>
          </w14:textFill>
        </w:rPr>
      </w:pPr>
    </w:p>
    <w:p w14:paraId="7704A593">
      <w:pPr>
        <w:pStyle w:val="20"/>
        <w:rPr>
          <w:color w:val="000000" w:themeColor="text1"/>
          <w14:textFill>
            <w14:solidFill>
              <w14:schemeClr w14:val="tx1"/>
            </w14:solidFill>
          </w14:textFill>
        </w:rPr>
      </w:pPr>
    </w:p>
    <w:p w14:paraId="7E8697CF">
      <w:pPr>
        <w:pStyle w:val="20"/>
        <w:rPr>
          <w:color w:val="000000" w:themeColor="text1"/>
          <w14:textFill>
            <w14:solidFill>
              <w14:schemeClr w14:val="tx1"/>
            </w14:solidFill>
          </w14:textFill>
        </w:rPr>
      </w:pPr>
    </w:p>
    <w:p w14:paraId="531F19C4">
      <w:pPr>
        <w:pStyle w:val="20"/>
        <w:rPr>
          <w:color w:val="000000" w:themeColor="text1"/>
          <w14:textFill>
            <w14:solidFill>
              <w14:schemeClr w14:val="tx1"/>
            </w14:solidFill>
          </w14:textFill>
        </w:rPr>
      </w:pPr>
    </w:p>
    <w:p w14:paraId="00906ACB">
      <w:pPr>
        <w:pStyle w:val="20"/>
        <w:rPr>
          <w:color w:val="000000" w:themeColor="text1"/>
          <w14:textFill>
            <w14:solidFill>
              <w14:schemeClr w14:val="tx1"/>
            </w14:solidFill>
          </w14:textFill>
        </w:rPr>
      </w:pPr>
    </w:p>
    <w:p w14:paraId="0236ECFA">
      <w:pPr>
        <w:pStyle w:val="20"/>
        <w:rPr>
          <w:color w:val="000000" w:themeColor="text1"/>
          <w14:textFill>
            <w14:solidFill>
              <w14:schemeClr w14:val="tx1"/>
            </w14:solidFill>
          </w14:textFill>
        </w:rPr>
      </w:pPr>
    </w:p>
    <w:p w14:paraId="2F7E670F">
      <w:pPr>
        <w:pStyle w:val="20"/>
        <w:rPr>
          <w:color w:val="000000" w:themeColor="text1"/>
          <w14:textFill>
            <w14:solidFill>
              <w14:schemeClr w14:val="tx1"/>
            </w14:solidFill>
          </w14:textFill>
        </w:rPr>
      </w:pPr>
    </w:p>
    <w:p w14:paraId="21FC0EEB">
      <w:pPr>
        <w:pStyle w:val="20"/>
        <w:rPr>
          <w:color w:val="000000" w:themeColor="text1"/>
          <w14:textFill>
            <w14:solidFill>
              <w14:schemeClr w14:val="tx1"/>
            </w14:solidFill>
          </w14:textFill>
        </w:rPr>
      </w:pPr>
    </w:p>
    <w:p w14:paraId="4ED9F89D">
      <w:pPr>
        <w:pStyle w:val="20"/>
        <w:rPr>
          <w:color w:val="000000" w:themeColor="text1"/>
          <w14:textFill>
            <w14:solidFill>
              <w14:schemeClr w14:val="tx1"/>
            </w14:solidFill>
          </w14:textFill>
        </w:rPr>
      </w:pPr>
    </w:p>
    <w:p w14:paraId="6E654E9C">
      <w:pPr>
        <w:pStyle w:val="20"/>
        <w:rPr>
          <w:color w:val="000000" w:themeColor="text1"/>
          <w14:textFill>
            <w14:solidFill>
              <w14:schemeClr w14:val="tx1"/>
            </w14:solidFill>
          </w14:textFill>
        </w:rPr>
      </w:pPr>
    </w:p>
    <w:p w14:paraId="3181845E">
      <w:pPr>
        <w:pStyle w:val="20"/>
        <w:rPr>
          <w:color w:val="000000" w:themeColor="text1"/>
          <w14:textFill>
            <w14:solidFill>
              <w14:schemeClr w14:val="tx1"/>
            </w14:solidFill>
          </w14:textFill>
        </w:rPr>
      </w:pPr>
    </w:p>
    <w:p w14:paraId="1594F5B9">
      <w:pPr>
        <w:pStyle w:val="20"/>
        <w:rPr>
          <w:color w:val="000000" w:themeColor="text1"/>
          <w14:textFill>
            <w14:solidFill>
              <w14:schemeClr w14:val="tx1"/>
            </w14:solidFill>
          </w14:textFill>
        </w:rPr>
      </w:pPr>
    </w:p>
    <w:p w14:paraId="0097F6A7">
      <w:pPr>
        <w:pStyle w:val="20"/>
        <w:rPr>
          <w:color w:val="000000" w:themeColor="text1"/>
          <w14:textFill>
            <w14:solidFill>
              <w14:schemeClr w14:val="tx1"/>
            </w14:solidFill>
          </w14:textFill>
        </w:rPr>
      </w:pPr>
    </w:p>
    <w:p w14:paraId="3353E872">
      <w:pPr>
        <w:pStyle w:val="20"/>
        <w:rPr>
          <w:color w:val="000000" w:themeColor="text1"/>
          <w14:textFill>
            <w14:solidFill>
              <w14:schemeClr w14:val="tx1"/>
            </w14:solidFill>
          </w14:textFill>
        </w:rPr>
      </w:pPr>
    </w:p>
    <w:p w14:paraId="00D51CA2">
      <w:pPr>
        <w:pStyle w:val="20"/>
        <w:rPr>
          <w:color w:val="000000" w:themeColor="text1"/>
          <w14:textFill>
            <w14:solidFill>
              <w14:schemeClr w14:val="tx1"/>
            </w14:solidFill>
          </w14:textFill>
        </w:rPr>
      </w:pPr>
    </w:p>
    <w:p w14:paraId="342F33F8">
      <w:pPr>
        <w:pStyle w:val="20"/>
        <w:rPr>
          <w:color w:val="000000" w:themeColor="text1"/>
          <w14:textFill>
            <w14:solidFill>
              <w14:schemeClr w14:val="tx1"/>
            </w14:solidFill>
          </w14:textFill>
        </w:rPr>
      </w:pPr>
    </w:p>
    <w:p w14:paraId="205691CC">
      <w:pPr>
        <w:pStyle w:val="20"/>
        <w:rPr>
          <w:color w:val="000000" w:themeColor="text1"/>
          <w14:textFill>
            <w14:solidFill>
              <w14:schemeClr w14:val="tx1"/>
            </w14:solidFill>
          </w14:textFill>
        </w:rPr>
      </w:pPr>
    </w:p>
    <w:p w14:paraId="0086E29A">
      <w:pPr>
        <w:pStyle w:val="20"/>
        <w:rPr>
          <w:color w:val="000000" w:themeColor="text1"/>
          <w14:textFill>
            <w14:solidFill>
              <w14:schemeClr w14:val="tx1"/>
            </w14:solidFill>
          </w14:textFill>
        </w:rPr>
      </w:pPr>
    </w:p>
    <w:p w14:paraId="61CA64F1">
      <w:pPr>
        <w:pStyle w:val="20"/>
        <w:rPr>
          <w:color w:val="000000" w:themeColor="text1"/>
          <w14:textFill>
            <w14:solidFill>
              <w14:schemeClr w14:val="tx1"/>
            </w14:solidFill>
          </w14:textFill>
        </w:rPr>
      </w:pPr>
    </w:p>
    <w:p w14:paraId="5CB6B8BF">
      <w:pPr>
        <w:pStyle w:val="20"/>
        <w:rPr>
          <w:color w:val="000000" w:themeColor="text1"/>
          <w14:textFill>
            <w14:solidFill>
              <w14:schemeClr w14:val="tx1"/>
            </w14:solidFill>
          </w14:textFill>
        </w:rPr>
      </w:pPr>
    </w:p>
    <w:p w14:paraId="2EA32016">
      <w:pPr>
        <w:pStyle w:val="20"/>
        <w:rPr>
          <w:color w:val="000000" w:themeColor="text1"/>
          <w14:textFill>
            <w14:solidFill>
              <w14:schemeClr w14:val="tx1"/>
            </w14:solidFill>
          </w14:textFill>
        </w:rPr>
      </w:pPr>
    </w:p>
    <w:p w14:paraId="65CED31D">
      <w:pPr>
        <w:pStyle w:val="20"/>
        <w:rPr>
          <w:color w:val="000000" w:themeColor="text1"/>
          <w14:textFill>
            <w14:solidFill>
              <w14:schemeClr w14:val="tx1"/>
            </w14:solidFill>
          </w14:textFill>
        </w:rPr>
      </w:pPr>
    </w:p>
    <w:p w14:paraId="422BD5F5">
      <w:pPr>
        <w:pStyle w:val="20"/>
        <w:rPr>
          <w:color w:val="000000" w:themeColor="text1"/>
          <w14:textFill>
            <w14:solidFill>
              <w14:schemeClr w14:val="tx1"/>
            </w14:solidFill>
          </w14:textFill>
        </w:rPr>
      </w:pPr>
    </w:p>
    <w:p w14:paraId="0F783826">
      <w:pPr>
        <w:pStyle w:val="20"/>
        <w:rPr>
          <w:color w:val="000000" w:themeColor="text1"/>
          <w14:textFill>
            <w14:solidFill>
              <w14:schemeClr w14:val="tx1"/>
            </w14:solidFill>
          </w14:textFill>
        </w:rPr>
      </w:pPr>
    </w:p>
    <w:p w14:paraId="1188FCE6">
      <w:pPr>
        <w:pStyle w:val="20"/>
        <w:rPr>
          <w:color w:val="000000" w:themeColor="text1"/>
          <w14:textFill>
            <w14:solidFill>
              <w14:schemeClr w14:val="tx1"/>
            </w14:solidFill>
          </w14:textFill>
        </w:rPr>
      </w:pPr>
    </w:p>
    <w:p w14:paraId="46A2592E">
      <w:pPr>
        <w:pStyle w:val="20"/>
        <w:rPr>
          <w:color w:val="000000" w:themeColor="text1"/>
          <w14:textFill>
            <w14:solidFill>
              <w14:schemeClr w14:val="tx1"/>
            </w14:solidFill>
          </w14:textFill>
        </w:rPr>
      </w:pPr>
    </w:p>
    <w:p w14:paraId="35F49D91">
      <w:pPr>
        <w:pStyle w:val="20"/>
        <w:rPr>
          <w:color w:val="000000" w:themeColor="text1"/>
          <w14:textFill>
            <w14:solidFill>
              <w14:schemeClr w14:val="tx1"/>
            </w14:solidFill>
          </w14:textFill>
        </w:rPr>
      </w:pPr>
    </w:p>
    <w:p w14:paraId="60AEF878">
      <w:pPr>
        <w:pStyle w:val="20"/>
        <w:rPr>
          <w:color w:val="000000" w:themeColor="text1"/>
          <w14:textFill>
            <w14:solidFill>
              <w14:schemeClr w14:val="tx1"/>
            </w14:solidFill>
          </w14:textFill>
        </w:rPr>
      </w:pPr>
    </w:p>
    <w:p w14:paraId="7F6F019E">
      <w:pPr>
        <w:pStyle w:val="20"/>
        <w:rPr>
          <w:color w:val="000000" w:themeColor="text1"/>
          <w14:textFill>
            <w14:solidFill>
              <w14:schemeClr w14:val="tx1"/>
            </w14:solidFill>
          </w14:textFill>
        </w:rPr>
      </w:pPr>
    </w:p>
    <w:p w14:paraId="1E2BE94E">
      <w:pPr>
        <w:pStyle w:val="20"/>
        <w:rPr>
          <w:color w:val="000000" w:themeColor="text1"/>
          <w14:textFill>
            <w14:solidFill>
              <w14:schemeClr w14:val="tx1"/>
            </w14:solidFill>
          </w14:textFill>
        </w:rPr>
      </w:pPr>
    </w:p>
    <w:p w14:paraId="3F6EA0EA">
      <w:pPr>
        <w:pStyle w:val="20"/>
        <w:rPr>
          <w:color w:val="000000" w:themeColor="text1"/>
          <w14:textFill>
            <w14:solidFill>
              <w14:schemeClr w14:val="tx1"/>
            </w14:solidFill>
          </w14:textFill>
        </w:rPr>
      </w:pPr>
    </w:p>
    <w:p w14:paraId="13796E54">
      <w:pPr>
        <w:pStyle w:val="20"/>
        <w:rPr>
          <w:color w:val="000000" w:themeColor="text1"/>
          <w14:textFill>
            <w14:solidFill>
              <w14:schemeClr w14:val="tx1"/>
            </w14:solidFill>
          </w14:textFill>
        </w:rPr>
      </w:pPr>
    </w:p>
    <w:p w14:paraId="582FEA39">
      <w:pPr>
        <w:pStyle w:val="20"/>
        <w:rPr>
          <w:color w:val="000000" w:themeColor="text1"/>
          <w14:textFill>
            <w14:solidFill>
              <w14:schemeClr w14:val="tx1"/>
            </w14:solidFill>
          </w14:textFill>
        </w:rPr>
      </w:pPr>
    </w:p>
    <w:p w14:paraId="283FC8A5">
      <w:pPr>
        <w:pStyle w:val="20"/>
        <w:rPr>
          <w:color w:val="000000" w:themeColor="text1"/>
          <w14:textFill>
            <w14:solidFill>
              <w14:schemeClr w14:val="tx1"/>
            </w14:solidFill>
          </w14:textFill>
        </w:rPr>
      </w:pPr>
    </w:p>
    <w:p w14:paraId="65BD4986">
      <w:pPr>
        <w:pStyle w:val="20"/>
        <w:rPr>
          <w:color w:val="000000" w:themeColor="text1"/>
          <w14:textFill>
            <w14:solidFill>
              <w14:schemeClr w14:val="tx1"/>
            </w14:solidFill>
          </w14:textFill>
        </w:rPr>
      </w:pPr>
    </w:p>
    <w:p w14:paraId="45E77591">
      <w:pPr>
        <w:pStyle w:val="20"/>
        <w:rPr>
          <w:color w:val="000000" w:themeColor="text1"/>
          <w14:textFill>
            <w14:solidFill>
              <w14:schemeClr w14:val="tx1"/>
            </w14:solidFill>
          </w14:textFill>
        </w:rPr>
      </w:pPr>
    </w:p>
    <w:p w14:paraId="6E298CD3">
      <w:pPr>
        <w:pStyle w:val="20"/>
        <w:rPr>
          <w:color w:val="000000" w:themeColor="text1"/>
          <w14:textFill>
            <w14:solidFill>
              <w14:schemeClr w14:val="tx1"/>
            </w14:solidFill>
          </w14:textFill>
        </w:rPr>
      </w:pPr>
    </w:p>
    <w:p w14:paraId="77EE24AF">
      <w:pPr>
        <w:pStyle w:val="5"/>
        <w:rPr>
          <w:rFonts w:hAnsi="宋体" w:cs="宋体"/>
          <w:color w:val="000000" w:themeColor="text1"/>
          <w:sz w:val="28"/>
          <w:szCs w:val="36"/>
          <w14:textFill>
            <w14:solidFill>
              <w14:schemeClr w14:val="tx1"/>
            </w14:solidFill>
          </w14:textFill>
        </w:rPr>
      </w:pPr>
      <w:bookmarkStart w:id="152" w:name="_Toc31042_WPSOffice_Level2"/>
      <w:bookmarkStart w:id="153" w:name="_Toc516969104"/>
      <w:bookmarkStart w:id="154" w:name="_Toc40975455"/>
      <w:bookmarkStart w:id="155" w:name="_Toc220232401"/>
      <w:bookmarkStart w:id="156" w:name="_Hlt510342906"/>
      <w:r>
        <w:rPr>
          <w:rFonts w:hint="eastAsia" w:hAnsi="宋体" w:cs="宋体"/>
          <w:color w:val="000000" w:themeColor="text1"/>
          <w:sz w:val="28"/>
          <w14:textFill>
            <w14:solidFill>
              <w14:schemeClr w14:val="tx1"/>
            </w14:solidFill>
          </w14:textFill>
        </w:rPr>
        <w:t>七．所</w:t>
      </w:r>
      <w:bookmarkStart w:id="157" w:name="_Hlt510342883"/>
      <w:bookmarkEnd w:id="157"/>
      <w:r>
        <w:rPr>
          <w:rFonts w:hint="eastAsia" w:hAnsi="宋体" w:cs="宋体"/>
          <w:color w:val="000000" w:themeColor="text1"/>
          <w:sz w:val="28"/>
          <w14:textFill>
            <w14:solidFill>
              <w14:schemeClr w14:val="tx1"/>
            </w14:solidFill>
          </w14:textFill>
        </w:rPr>
        <w:t>供货物组部件、备品、备件清单</w:t>
      </w:r>
      <w:bookmarkEnd w:id="152"/>
      <w:bookmarkEnd w:id="153"/>
      <w:bookmarkEnd w:id="154"/>
      <w:bookmarkEnd w:id="155"/>
      <w:r>
        <w:rPr>
          <w:rFonts w:hint="eastAsia" w:hAnsi="宋体" w:cs="宋体"/>
          <w:color w:val="000000" w:themeColor="text1"/>
          <w:sz w:val="28"/>
          <w14:textFill>
            <w14:solidFill>
              <w14:schemeClr w14:val="tx1"/>
            </w14:solidFill>
          </w14:textFill>
        </w:rPr>
        <w:t>（可不填写）</w:t>
      </w:r>
    </w:p>
    <w:bookmarkEnd w:id="156"/>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86"/>
        <w:gridCol w:w="1730"/>
        <w:gridCol w:w="1037"/>
        <w:gridCol w:w="1286"/>
        <w:gridCol w:w="1236"/>
        <w:gridCol w:w="1098"/>
      </w:tblGrid>
      <w:tr w14:paraId="7941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trPr>
        <w:tc>
          <w:tcPr>
            <w:tcW w:w="791" w:type="dxa"/>
            <w:vAlign w:val="center"/>
          </w:tcPr>
          <w:p w14:paraId="36143327">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序号</w:t>
            </w:r>
          </w:p>
        </w:tc>
        <w:tc>
          <w:tcPr>
            <w:tcW w:w="1186" w:type="dxa"/>
            <w:vAlign w:val="center"/>
          </w:tcPr>
          <w:p w14:paraId="6DCD8230">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名称</w:t>
            </w:r>
          </w:p>
        </w:tc>
        <w:tc>
          <w:tcPr>
            <w:tcW w:w="1730" w:type="dxa"/>
            <w:vAlign w:val="center"/>
          </w:tcPr>
          <w:p w14:paraId="7DF770F0">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规格型号</w:t>
            </w:r>
          </w:p>
        </w:tc>
        <w:tc>
          <w:tcPr>
            <w:tcW w:w="1037" w:type="dxa"/>
            <w:vAlign w:val="center"/>
          </w:tcPr>
          <w:p w14:paraId="2DBF1F84">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数量</w:t>
            </w:r>
          </w:p>
        </w:tc>
        <w:tc>
          <w:tcPr>
            <w:tcW w:w="1286" w:type="dxa"/>
            <w:vAlign w:val="center"/>
          </w:tcPr>
          <w:p w14:paraId="55A01CCA">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单价</w:t>
            </w:r>
          </w:p>
        </w:tc>
        <w:tc>
          <w:tcPr>
            <w:tcW w:w="1236" w:type="dxa"/>
            <w:vAlign w:val="center"/>
          </w:tcPr>
          <w:p w14:paraId="529870BA">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小计</w:t>
            </w:r>
          </w:p>
        </w:tc>
        <w:tc>
          <w:tcPr>
            <w:tcW w:w="1098" w:type="dxa"/>
            <w:vAlign w:val="center"/>
          </w:tcPr>
          <w:p w14:paraId="575FFABA">
            <w:pPr>
              <w:pStyle w:val="15"/>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备注</w:t>
            </w:r>
          </w:p>
        </w:tc>
      </w:tr>
      <w:tr w14:paraId="140E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0B0D900D">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1186" w:type="dxa"/>
          </w:tcPr>
          <w:p w14:paraId="05AE5213">
            <w:pPr>
              <w:rPr>
                <w:rFonts w:ascii="宋体" w:hAnsi="宋体" w:cs="宋体"/>
                <w:color w:val="000000" w:themeColor="text1"/>
                <w:sz w:val="24"/>
                <w14:textFill>
                  <w14:solidFill>
                    <w14:schemeClr w14:val="tx1"/>
                  </w14:solidFill>
                </w14:textFill>
              </w:rPr>
            </w:pPr>
          </w:p>
        </w:tc>
        <w:tc>
          <w:tcPr>
            <w:tcW w:w="1730" w:type="dxa"/>
          </w:tcPr>
          <w:p w14:paraId="0D29FC52">
            <w:pPr>
              <w:rPr>
                <w:rFonts w:ascii="宋体" w:hAnsi="宋体" w:cs="宋体"/>
                <w:color w:val="000000" w:themeColor="text1"/>
                <w:sz w:val="24"/>
                <w14:textFill>
                  <w14:solidFill>
                    <w14:schemeClr w14:val="tx1"/>
                  </w14:solidFill>
                </w14:textFill>
              </w:rPr>
            </w:pPr>
          </w:p>
        </w:tc>
        <w:tc>
          <w:tcPr>
            <w:tcW w:w="1037" w:type="dxa"/>
          </w:tcPr>
          <w:p w14:paraId="6757DFFF">
            <w:pPr>
              <w:rPr>
                <w:rFonts w:ascii="宋体" w:hAnsi="宋体" w:cs="宋体"/>
                <w:color w:val="000000" w:themeColor="text1"/>
                <w:sz w:val="24"/>
                <w14:textFill>
                  <w14:solidFill>
                    <w14:schemeClr w14:val="tx1"/>
                  </w14:solidFill>
                </w14:textFill>
              </w:rPr>
            </w:pPr>
          </w:p>
        </w:tc>
        <w:tc>
          <w:tcPr>
            <w:tcW w:w="1286" w:type="dxa"/>
          </w:tcPr>
          <w:p w14:paraId="1BFB3107">
            <w:pPr>
              <w:pStyle w:val="15"/>
              <w:rPr>
                <w:rFonts w:hAnsi="宋体" w:cs="宋体"/>
                <w:color w:val="000000" w:themeColor="text1"/>
                <w:sz w:val="24"/>
                <w14:textFill>
                  <w14:solidFill>
                    <w14:schemeClr w14:val="tx1"/>
                  </w14:solidFill>
                </w14:textFill>
              </w:rPr>
            </w:pPr>
          </w:p>
        </w:tc>
        <w:tc>
          <w:tcPr>
            <w:tcW w:w="1236" w:type="dxa"/>
          </w:tcPr>
          <w:p w14:paraId="01E8780D">
            <w:pPr>
              <w:pStyle w:val="15"/>
              <w:rPr>
                <w:rFonts w:hAnsi="宋体" w:cs="宋体"/>
                <w:color w:val="000000" w:themeColor="text1"/>
                <w:sz w:val="24"/>
                <w14:textFill>
                  <w14:solidFill>
                    <w14:schemeClr w14:val="tx1"/>
                  </w14:solidFill>
                </w14:textFill>
              </w:rPr>
            </w:pPr>
          </w:p>
        </w:tc>
        <w:tc>
          <w:tcPr>
            <w:tcW w:w="1098" w:type="dxa"/>
          </w:tcPr>
          <w:p w14:paraId="0BA4FAD6">
            <w:pPr>
              <w:pStyle w:val="15"/>
              <w:rPr>
                <w:rFonts w:hAnsi="宋体" w:cs="宋体"/>
                <w:color w:val="000000" w:themeColor="text1"/>
                <w:sz w:val="24"/>
                <w14:textFill>
                  <w14:solidFill>
                    <w14:schemeClr w14:val="tx1"/>
                  </w14:solidFill>
                </w14:textFill>
              </w:rPr>
            </w:pPr>
          </w:p>
        </w:tc>
      </w:tr>
      <w:tr w14:paraId="16E0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6B9C48E0">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1186" w:type="dxa"/>
          </w:tcPr>
          <w:p w14:paraId="6AB06AC1">
            <w:pPr>
              <w:rPr>
                <w:rFonts w:ascii="宋体" w:hAnsi="宋体" w:cs="宋体"/>
                <w:color w:val="000000" w:themeColor="text1"/>
                <w:sz w:val="24"/>
                <w14:textFill>
                  <w14:solidFill>
                    <w14:schemeClr w14:val="tx1"/>
                  </w14:solidFill>
                </w14:textFill>
              </w:rPr>
            </w:pPr>
          </w:p>
        </w:tc>
        <w:tc>
          <w:tcPr>
            <w:tcW w:w="1730" w:type="dxa"/>
          </w:tcPr>
          <w:p w14:paraId="32922791">
            <w:pPr>
              <w:rPr>
                <w:rFonts w:ascii="宋体" w:hAnsi="宋体" w:cs="宋体"/>
                <w:color w:val="000000" w:themeColor="text1"/>
                <w:sz w:val="24"/>
                <w14:textFill>
                  <w14:solidFill>
                    <w14:schemeClr w14:val="tx1"/>
                  </w14:solidFill>
                </w14:textFill>
              </w:rPr>
            </w:pPr>
          </w:p>
        </w:tc>
        <w:tc>
          <w:tcPr>
            <w:tcW w:w="1037" w:type="dxa"/>
          </w:tcPr>
          <w:p w14:paraId="04A81975">
            <w:pPr>
              <w:rPr>
                <w:rFonts w:ascii="宋体" w:hAnsi="宋体" w:cs="宋体"/>
                <w:color w:val="000000" w:themeColor="text1"/>
                <w:sz w:val="24"/>
                <w14:textFill>
                  <w14:solidFill>
                    <w14:schemeClr w14:val="tx1"/>
                  </w14:solidFill>
                </w14:textFill>
              </w:rPr>
            </w:pPr>
          </w:p>
        </w:tc>
        <w:tc>
          <w:tcPr>
            <w:tcW w:w="1286" w:type="dxa"/>
          </w:tcPr>
          <w:p w14:paraId="467113DD">
            <w:pPr>
              <w:pStyle w:val="15"/>
              <w:rPr>
                <w:rFonts w:hAnsi="宋体" w:cs="宋体"/>
                <w:color w:val="000000" w:themeColor="text1"/>
                <w:sz w:val="24"/>
                <w14:textFill>
                  <w14:solidFill>
                    <w14:schemeClr w14:val="tx1"/>
                  </w14:solidFill>
                </w14:textFill>
              </w:rPr>
            </w:pPr>
          </w:p>
        </w:tc>
        <w:tc>
          <w:tcPr>
            <w:tcW w:w="1236" w:type="dxa"/>
          </w:tcPr>
          <w:p w14:paraId="59B90E06">
            <w:pPr>
              <w:pStyle w:val="15"/>
              <w:rPr>
                <w:rFonts w:hAnsi="宋体" w:cs="宋体"/>
                <w:color w:val="000000" w:themeColor="text1"/>
                <w:sz w:val="24"/>
                <w14:textFill>
                  <w14:solidFill>
                    <w14:schemeClr w14:val="tx1"/>
                  </w14:solidFill>
                </w14:textFill>
              </w:rPr>
            </w:pPr>
          </w:p>
        </w:tc>
        <w:tc>
          <w:tcPr>
            <w:tcW w:w="1098" w:type="dxa"/>
          </w:tcPr>
          <w:p w14:paraId="406A8EE9">
            <w:pPr>
              <w:pStyle w:val="15"/>
              <w:rPr>
                <w:rFonts w:hAnsi="宋体" w:cs="宋体"/>
                <w:color w:val="000000" w:themeColor="text1"/>
                <w:sz w:val="24"/>
                <w14:textFill>
                  <w14:solidFill>
                    <w14:schemeClr w14:val="tx1"/>
                  </w14:solidFill>
                </w14:textFill>
              </w:rPr>
            </w:pPr>
          </w:p>
        </w:tc>
      </w:tr>
      <w:tr w14:paraId="594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36A49055">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1186" w:type="dxa"/>
          </w:tcPr>
          <w:p w14:paraId="3AFBBDFB">
            <w:pPr>
              <w:rPr>
                <w:rFonts w:ascii="宋体" w:hAnsi="宋体" w:cs="宋体"/>
                <w:color w:val="000000" w:themeColor="text1"/>
                <w:sz w:val="24"/>
                <w14:textFill>
                  <w14:solidFill>
                    <w14:schemeClr w14:val="tx1"/>
                  </w14:solidFill>
                </w14:textFill>
              </w:rPr>
            </w:pPr>
          </w:p>
        </w:tc>
        <w:tc>
          <w:tcPr>
            <w:tcW w:w="1730" w:type="dxa"/>
          </w:tcPr>
          <w:p w14:paraId="062AB770">
            <w:pPr>
              <w:rPr>
                <w:rFonts w:ascii="宋体" w:hAnsi="宋体" w:cs="宋体"/>
                <w:color w:val="000000" w:themeColor="text1"/>
                <w:sz w:val="24"/>
                <w14:textFill>
                  <w14:solidFill>
                    <w14:schemeClr w14:val="tx1"/>
                  </w14:solidFill>
                </w14:textFill>
              </w:rPr>
            </w:pPr>
          </w:p>
        </w:tc>
        <w:tc>
          <w:tcPr>
            <w:tcW w:w="1037" w:type="dxa"/>
          </w:tcPr>
          <w:p w14:paraId="638B2C31">
            <w:pPr>
              <w:rPr>
                <w:rFonts w:ascii="宋体" w:hAnsi="宋体" w:cs="宋体"/>
                <w:color w:val="000000" w:themeColor="text1"/>
                <w:sz w:val="24"/>
                <w14:textFill>
                  <w14:solidFill>
                    <w14:schemeClr w14:val="tx1"/>
                  </w14:solidFill>
                </w14:textFill>
              </w:rPr>
            </w:pPr>
          </w:p>
        </w:tc>
        <w:tc>
          <w:tcPr>
            <w:tcW w:w="1286" w:type="dxa"/>
          </w:tcPr>
          <w:p w14:paraId="50653FAE">
            <w:pPr>
              <w:pStyle w:val="15"/>
              <w:rPr>
                <w:rFonts w:hAnsi="宋体" w:cs="宋体"/>
                <w:color w:val="000000" w:themeColor="text1"/>
                <w:sz w:val="24"/>
                <w14:textFill>
                  <w14:solidFill>
                    <w14:schemeClr w14:val="tx1"/>
                  </w14:solidFill>
                </w14:textFill>
              </w:rPr>
            </w:pPr>
          </w:p>
        </w:tc>
        <w:tc>
          <w:tcPr>
            <w:tcW w:w="1236" w:type="dxa"/>
          </w:tcPr>
          <w:p w14:paraId="29A04A15">
            <w:pPr>
              <w:pStyle w:val="15"/>
              <w:rPr>
                <w:rFonts w:hAnsi="宋体" w:cs="宋体"/>
                <w:color w:val="000000" w:themeColor="text1"/>
                <w:sz w:val="24"/>
                <w14:textFill>
                  <w14:solidFill>
                    <w14:schemeClr w14:val="tx1"/>
                  </w14:solidFill>
                </w14:textFill>
              </w:rPr>
            </w:pPr>
          </w:p>
        </w:tc>
        <w:tc>
          <w:tcPr>
            <w:tcW w:w="1098" w:type="dxa"/>
          </w:tcPr>
          <w:p w14:paraId="61BAE80B">
            <w:pPr>
              <w:pStyle w:val="15"/>
              <w:rPr>
                <w:rFonts w:hAnsi="宋体" w:cs="宋体"/>
                <w:color w:val="000000" w:themeColor="text1"/>
                <w:sz w:val="24"/>
                <w14:textFill>
                  <w14:solidFill>
                    <w14:schemeClr w14:val="tx1"/>
                  </w14:solidFill>
                </w14:textFill>
              </w:rPr>
            </w:pPr>
          </w:p>
        </w:tc>
      </w:tr>
      <w:tr w14:paraId="6B97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1FDDBE9A">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1186" w:type="dxa"/>
            <w:tcBorders>
              <w:right w:val="single" w:color="auto" w:sz="4" w:space="0"/>
            </w:tcBorders>
          </w:tcPr>
          <w:p w14:paraId="42514A5F">
            <w:pPr>
              <w:rPr>
                <w:rFonts w:ascii="宋体" w:hAnsi="宋体" w:cs="宋体"/>
                <w:color w:val="000000" w:themeColor="text1"/>
                <w:sz w:val="24"/>
                <w14:textFill>
                  <w14:solidFill>
                    <w14:schemeClr w14:val="tx1"/>
                  </w14:solidFill>
                </w14:textFill>
              </w:rPr>
            </w:pPr>
          </w:p>
        </w:tc>
        <w:tc>
          <w:tcPr>
            <w:tcW w:w="1730" w:type="dxa"/>
            <w:tcBorders>
              <w:right w:val="single" w:color="auto" w:sz="4" w:space="0"/>
            </w:tcBorders>
          </w:tcPr>
          <w:p w14:paraId="0AB09362">
            <w:pPr>
              <w:rPr>
                <w:rFonts w:ascii="宋体" w:hAnsi="宋体" w:cs="宋体"/>
                <w:color w:val="000000" w:themeColor="text1"/>
                <w:sz w:val="24"/>
                <w14:textFill>
                  <w14:solidFill>
                    <w14:schemeClr w14:val="tx1"/>
                  </w14:solidFill>
                </w14:textFill>
              </w:rPr>
            </w:pPr>
          </w:p>
        </w:tc>
        <w:tc>
          <w:tcPr>
            <w:tcW w:w="1037" w:type="dxa"/>
            <w:tcBorders>
              <w:left w:val="single" w:color="auto" w:sz="4" w:space="0"/>
            </w:tcBorders>
          </w:tcPr>
          <w:p w14:paraId="6776221C">
            <w:pPr>
              <w:rPr>
                <w:rFonts w:ascii="宋体" w:hAnsi="宋体" w:cs="宋体"/>
                <w:color w:val="000000" w:themeColor="text1"/>
                <w:sz w:val="24"/>
                <w14:textFill>
                  <w14:solidFill>
                    <w14:schemeClr w14:val="tx1"/>
                  </w14:solidFill>
                </w14:textFill>
              </w:rPr>
            </w:pPr>
          </w:p>
        </w:tc>
        <w:tc>
          <w:tcPr>
            <w:tcW w:w="1286" w:type="dxa"/>
            <w:tcBorders>
              <w:left w:val="single" w:color="auto" w:sz="4" w:space="0"/>
            </w:tcBorders>
          </w:tcPr>
          <w:p w14:paraId="062104F0">
            <w:pPr>
              <w:pStyle w:val="15"/>
              <w:rPr>
                <w:rFonts w:hAnsi="宋体" w:cs="宋体"/>
                <w:color w:val="000000" w:themeColor="text1"/>
                <w:sz w:val="24"/>
                <w14:textFill>
                  <w14:solidFill>
                    <w14:schemeClr w14:val="tx1"/>
                  </w14:solidFill>
                </w14:textFill>
              </w:rPr>
            </w:pPr>
          </w:p>
        </w:tc>
        <w:tc>
          <w:tcPr>
            <w:tcW w:w="1236" w:type="dxa"/>
            <w:tcBorders>
              <w:left w:val="nil"/>
            </w:tcBorders>
          </w:tcPr>
          <w:p w14:paraId="1AF63D4D">
            <w:pPr>
              <w:pStyle w:val="15"/>
              <w:rPr>
                <w:rFonts w:hAnsi="宋体" w:cs="宋体"/>
                <w:color w:val="000000" w:themeColor="text1"/>
                <w:sz w:val="24"/>
                <w14:textFill>
                  <w14:solidFill>
                    <w14:schemeClr w14:val="tx1"/>
                  </w14:solidFill>
                </w14:textFill>
              </w:rPr>
            </w:pPr>
          </w:p>
        </w:tc>
        <w:tc>
          <w:tcPr>
            <w:tcW w:w="1098" w:type="dxa"/>
          </w:tcPr>
          <w:p w14:paraId="1159B74B">
            <w:pPr>
              <w:pStyle w:val="15"/>
              <w:rPr>
                <w:rFonts w:hAnsi="宋体" w:cs="宋体"/>
                <w:color w:val="000000" w:themeColor="text1"/>
                <w:sz w:val="24"/>
                <w14:textFill>
                  <w14:solidFill>
                    <w14:schemeClr w14:val="tx1"/>
                  </w14:solidFill>
                </w14:textFill>
              </w:rPr>
            </w:pPr>
          </w:p>
        </w:tc>
      </w:tr>
      <w:tr w14:paraId="603E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7D1608BB">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1186" w:type="dxa"/>
          </w:tcPr>
          <w:p w14:paraId="4F4DCA72">
            <w:pPr>
              <w:rPr>
                <w:rFonts w:ascii="宋体" w:hAnsi="宋体" w:cs="宋体"/>
                <w:color w:val="000000" w:themeColor="text1"/>
                <w:sz w:val="24"/>
                <w14:textFill>
                  <w14:solidFill>
                    <w14:schemeClr w14:val="tx1"/>
                  </w14:solidFill>
                </w14:textFill>
              </w:rPr>
            </w:pPr>
          </w:p>
        </w:tc>
        <w:tc>
          <w:tcPr>
            <w:tcW w:w="1730" w:type="dxa"/>
          </w:tcPr>
          <w:p w14:paraId="753E4BD9">
            <w:pPr>
              <w:rPr>
                <w:rFonts w:ascii="宋体" w:hAnsi="宋体" w:cs="宋体"/>
                <w:color w:val="000000" w:themeColor="text1"/>
                <w:sz w:val="24"/>
                <w14:textFill>
                  <w14:solidFill>
                    <w14:schemeClr w14:val="tx1"/>
                  </w14:solidFill>
                </w14:textFill>
              </w:rPr>
            </w:pPr>
          </w:p>
        </w:tc>
        <w:tc>
          <w:tcPr>
            <w:tcW w:w="1037" w:type="dxa"/>
          </w:tcPr>
          <w:p w14:paraId="6496EF91">
            <w:pPr>
              <w:rPr>
                <w:rFonts w:ascii="宋体" w:hAnsi="宋体" w:cs="宋体"/>
                <w:color w:val="000000" w:themeColor="text1"/>
                <w:sz w:val="24"/>
                <w14:textFill>
                  <w14:solidFill>
                    <w14:schemeClr w14:val="tx1"/>
                  </w14:solidFill>
                </w14:textFill>
              </w:rPr>
            </w:pPr>
          </w:p>
        </w:tc>
        <w:tc>
          <w:tcPr>
            <w:tcW w:w="1286" w:type="dxa"/>
          </w:tcPr>
          <w:p w14:paraId="0657DA79">
            <w:pPr>
              <w:pStyle w:val="15"/>
              <w:rPr>
                <w:rFonts w:hAnsi="宋体" w:cs="宋体"/>
                <w:color w:val="000000" w:themeColor="text1"/>
                <w:sz w:val="24"/>
                <w14:textFill>
                  <w14:solidFill>
                    <w14:schemeClr w14:val="tx1"/>
                  </w14:solidFill>
                </w14:textFill>
              </w:rPr>
            </w:pPr>
          </w:p>
        </w:tc>
        <w:tc>
          <w:tcPr>
            <w:tcW w:w="1236" w:type="dxa"/>
          </w:tcPr>
          <w:p w14:paraId="29AD7D2C">
            <w:pPr>
              <w:pStyle w:val="15"/>
              <w:rPr>
                <w:rFonts w:hAnsi="宋体" w:cs="宋体"/>
                <w:color w:val="000000" w:themeColor="text1"/>
                <w:sz w:val="24"/>
                <w14:textFill>
                  <w14:solidFill>
                    <w14:schemeClr w14:val="tx1"/>
                  </w14:solidFill>
                </w14:textFill>
              </w:rPr>
            </w:pPr>
          </w:p>
        </w:tc>
        <w:tc>
          <w:tcPr>
            <w:tcW w:w="1098" w:type="dxa"/>
          </w:tcPr>
          <w:p w14:paraId="16631533">
            <w:pPr>
              <w:pStyle w:val="15"/>
              <w:rPr>
                <w:rFonts w:hAnsi="宋体" w:cs="宋体"/>
                <w:color w:val="000000" w:themeColor="text1"/>
                <w:sz w:val="24"/>
                <w14:textFill>
                  <w14:solidFill>
                    <w14:schemeClr w14:val="tx1"/>
                  </w14:solidFill>
                </w14:textFill>
              </w:rPr>
            </w:pPr>
          </w:p>
        </w:tc>
      </w:tr>
      <w:tr w14:paraId="59D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133BE4E3">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1186" w:type="dxa"/>
          </w:tcPr>
          <w:p w14:paraId="07E58544">
            <w:pPr>
              <w:rPr>
                <w:rFonts w:ascii="宋体" w:hAnsi="宋体" w:cs="宋体"/>
                <w:color w:val="000000" w:themeColor="text1"/>
                <w:sz w:val="24"/>
                <w14:textFill>
                  <w14:solidFill>
                    <w14:schemeClr w14:val="tx1"/>
                  </w14:solidFill>
                </w14:textFill>
              </w:rPr>
            </w:pPr>
          </w:p>
        </w:tc>
        <w:tc>
          <w:tcPr>
            <w:tcW w:w="1730" w:type="dxa"/>
          </w:tcPr>
          <w:p w14:paraId="131EB269">
            <w:pPr>
              <w:rPr>
                <w:rFonts w:ascii="宋体" w:hAnsi="宋体" w:cs="宋体"/>
                <w:color w:val="000000" w:themeColor="text1"/>
                <w:sz w:val="24"/>
                <w14:textFill>
                  <w14:solidFill>
                    <w14:schemeClr w14:val="tx1"/>
                  </w14:solidFill>
                </w14:textFill>
              </w:rPr>
            </w:pPr>
          </w:p>
        </w:tc>
        <w:tc>
          <w:tcPr>
            <w:tcW w:w="1037" w:type="dxa"/>
          </w:tcPr>
          <w:p w14:paraId="187306B0">
            <w:pPr>
              <w:rPr>
                <w:rFonts w:ascii="宋体" w:hAnsi="宋体" w:cs="宋体"/>
                <w:color w:val="000000" w:themeColor="text1"/>
                <w:sz w:val="24"/>
                <w14:textFill>
                  <w14:solidFill>
                    <w14:schemeClr w14:val="tx1"/>
                  </w14:solidFill>
                </w14:textFill>
              </w:rPr>
            </w:pPr>
          </w:p>
        </w:tc>
        <w:tc>
          <w:tcPr>
            <w:tcW w:w="1286" w:type="dxa"/>
          </w:tcPr>
          <w:p w14:paraId="19F84882">
            <w:pPr>
              <w:pStyle w:val="15"/>
              <w:rPr>
                <w:rFonts w:hAnsi="宋体" w:cs="宋体"/>
                <w:color w:val="000000" w:themeColor="text1"/>
                <w:sz w:val="24"/>
                <w14:textFill>
                  <w14:solidFill>
                    <w14:schemeClr w14:val="tx1"/>
                  </w14:solidFill>
                </w14:textFill>
              </w:rPr>
            </w:pPr>
          </w:p>
        </w:tc>
        <w:tc>
          <w:tcPr>
            <w:tcW w:w="1236" w:type="dxa"/>
          </w:tcPr>
          <w:p w14:paraId="7F005A8A">
            <w:pPr>
              <w:pStyle w:val="15"/>
              <w:rPr>
                <w:rFonts w:hAnsi="宋体" w:cs="宋体"/>
                <w:color w:val="000000" w:themeColor="text1"/>
                <w:sz w:val="24"/>
                <w14:textFill>
                  <w14:solidFill>
                    <w14:schemeClr w14:val="tx1"/>
                  </w14:solidFill>
                </w14:textFill>
              </w:rPr>
            </w:pPr>
          </w:p>
        </w:tc>
        <w:tc>
          <w:tcPr>
            <w:tcW w:w="1098" w:type="dxa"/>
          </w:tcPr>
          <w:p w14:paraId="44FE124F">
            <w:pPr>
              <w:pStyle w:val="15"/>
              <w:rPr>
                <w:rFonts w:hAnsi="宋体" w:cs="宋体"/>
                <w:color w:val="000000" w:themeColor="text1"/>
                <w:sz w:val="24"/>
                <w14:textFill>
                  <w14:solidFill>
                    <w14:schemeClr w14:val="tx1"/>
                  </w14:solidFill>
                </w14:textFill>
              </w:rPr>
            </w:pPr>
          </w:p>
        </w:tc>
      </w:tr>
      <w:tr w14:paraId="025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6C502C44">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1186" w:type="dxa"/>
          </w:tcPr>
          <w:p w14:paraId="6F9930EE">
            <w:pPr>
              <w:rPr>
                <w:rFonts w:ascii="宋体" w:hAnsi="宋体" w:cs="宋体"/>
                <w:color w:val="000000" w:themeColor="text1"/>
                <w:sz w:val="24"/>
                <w14:textFill>
                  <w14:solidFill>
                    <w14:schemeClr w14:val="tx1"/>
                  </w14:solidFill>
                </w14:textFill>
              </w:rPr>
            </w:pPr>
          </w:p>
        </w:tc>
        <w:tc>
          <w:tcPr>
            <w:tcW w:w="1730" w:type="dxa"/>
          </w:tcPr>
          <w:p w14:paraId="1D147B7E">
            <w:pPr>
              <w:rPr>
                <w:rFonts w:ascii="宋体" w:hAnsi="宋体" w:cs="宋体"/>
                <w:color w:val="000000" w:themeColor="text1"/>
                <w:sz w:val="24"/>
                <w14:textFill>
                  <w14:solidFill>
                    <w14:schemeClr w14:val="tx1"/>
                  </w14:solidFill>
                </w14:textFill>
              </w:rPr>
            </w:pPr>
          </w:p>
        </w:tc>
        <w:tc>
          <w:tcPr>
            <w:tcW w:w="1037" w:type="dxa"/>
          </w:tcPr>
          <w:p w14:paraId="1EE915BD">
            <w:pPr>
              <w:rPr>
                <w:rFonts w:ascii="宋体" w:hAnsi="宋体" w:cs="宋体"/>
                <w:color w:val="000000" w:themeColor="text1"/>
                <w:sz w:val="24"/>
                <w14:textFill>
                  <w14:solidFill>
                    <w14:schemeClr w14:val="tx1"/>
                  </w14:solidFill>
                </w14:textFill>
              </w:rPr>
            </w:pPr>
          </w:p>
        </w:tc>
        <w:tc>
          <w:tcPr>
            <w:tcW w:w="1286" w:type="dxa"/>
          </w:tcPr>
          <w:p w14:paraId="4D383EF2">
            <w:pPr>
              <w:pStyle w:val="15"/>
              <w:rPr>
                <w:rFonts w:hAnsi="宋体" w:cs="宋体"/>
                <w:color w:val="000000" w:themeColor="text1"/>
                <w:sz w:val="24"/>
                <w14:textFill>
                  <w14:solidFill>
                    <w14:schemeClr w14:val="tx1"/>
                  </w14:solidFill>
                </w14:textFill>
              </w:rPr>
            </w:pPr>
          </w:p>
        </w:tc>
        <w:tc>
          <w:tcPr>
            <w:tcW w:w="1236" w:type="dxa"/>
          </w:tcPr>
          <w:p w14:paraId="2BB3C719">
            <w:pPr>
              <w:pStyle w:val="15"/>
              <w:rPr>
                <w:rFonts w:hAnsi="宋体" w:cs="宋体"/>
                <w:color w:val="000000" w:themeColor="text1"/>
                <w:sz w:val="24"/>
                <w14:textFill>
                  <w14:solidFill>
                    <w14:schemeClr w14:val="tx1"/>
                  </w14:solidFill>
                </w14:textFill>
              </w:rPr>
            </w:pPr>
          </w:p>
        </w:tc>
        <w:tc>
          <w:tcPr>
            <w:tcW w:w="1098" w:type="dxa"/>
          </w:tcPr>
          <w:p w14:paraId="5CFADDF7">
            <w:pPr>
              <w:pStyle w:val="15"/>
              <w:rPr>
                <w:rFonts w:hAnsi="宋体" w:cs="宋体"/>
                <w:color w:val="000000" w:themeColor="text1"/>
                <w:sz w:val="24"/>
                <w14:textFill>
                  <w14:solidFill>
                    <w14:schemeClr w14:val="tx1"/>
                  </w14:solidFill>
                </w14:textFill>
              </w:rPr>
            </w:pPr>
          </w:p>
        </w:tc>
      </w:tr>
      <w:tr w14:paraId="2EC7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4B23F7F4">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1186" w:type="dxa"/>
          </w:tcPr>
          <w:p w14:paraId="31190F54">
            <w:pPr>
              <w:rPr>
                <w:rFonts w:ascii="宋体" w:hAnsi="宋体" w:cs="宋体"/>
                <w:color w:val="000000" w:themeColor="text1"/>
                <w:sz w:val="24"/>
                <w14:textFill>
                  <w14:solidFill>
                    <w14:schemeClr w14:val="tx1"/>
                  </w14:solidFill>
                </w14:textFill>
              </w:rPr>
            </w:pPr>
          </w:p>
        </w:tc>
        <w:tc>
          <w:tcPr>
            <w:tcW w:w="1730" w:type="dxa"/>
          </w:tcPr>
          <w:p w14:paraId="467FA914">
            <w:pPr>
              <w:rPr>
                <w:rFonts w:ascii="宋体" w:hAnsi="宋体" w:cs="宋体"/>
                <w:color w:val="000000" w:themeColor="text1"/>
                <w:sz w:val="24"/>
                <w14:textFill>
                  <w14:solidFill>
                    <w14:schemeClr w14:val="tx1"/>
                  </w14:solidFill>
                </w14:textFill>
              </w:rPr>
            </w:pPr>
          </w:p>
        </w:tc>
        <w:tc>
          <w:tcPr>
            <w:tcW w:w="1037" w:type="dxa"/>
          </w:tcPr>
          <w:p w14:paraId="30F30BB6">
            <w:pPr>
              <w:rPr>
                <w:rFonts w:ascii="宋体" w:hAnsi="宋体" w:cs="宋体"/>
                <w:color w:val="000000" w:themeColor="text1"/>
                <w:sz w:val="24"/>
                <w14:textFill>
                  <w14:solidFill>
                    <w14:schemeClr w14:val="tx1"/>
                  </w14:solidFill>
                </w14:textFill>
              </w:rPr>
            </w:pPr>
          </w:p>
        </w:tc>
        <w:tc>
          <w:tcPr>
            <w:tcW w:w="1286" w:type="dxa"/>
          </w:tcPr>
          <w:p w14:paraId="276FDCAC">
            <w:pPr>
              <w:pStyle w:val="15"/>
              <w:rPr>
                <w:rFonts w:hAnsi="宋体" w:cs="宋体"/>
                <w:color w:val="000000" w:themeColor="text1"/>
                <w:sz w:val="24"/>
                <w14:textFill>
                  <w14:solidFill>
                    <w14:schemeClr w14:val="tx1"/>
                  </w14:solidFill>
                </w14:textFill>
              </w:rPr>
            </w:pPr>
          </w:p>
        </w:tc>
        <w:tc>
          <w:tcPr>
            <w:tcW w:w="1236" w:type="dxa"/>
          </w:tcPr>
          <w:p w14:paraId="167051EF">
            <w:pPr>
              <w:pStyle w:val="15"/>
              <w:rPr>
                <w:rFonts w:hAnsi="宋体" w:cs="宋体"/>
                <w:color w:val="000000" w:themeColor="text1"/>
                <w:sz w:val="24"/>
                <w14:textFill>
                  <w14:solidFill>
                    <w14:schemeClr w14:val="tx1"/>
                  </w14:solidFill>
                </w14:textFill>
              </w:rPr>
            </w:pPr>
          </w:p>
        </w:tc>
        <w:tc>
          <w:tcPr>
            <w:tcW w:w="1098" w:type="dxa"/>
          </w:tcPr>
          <w:p w14:paraId="68B9F060">
            <w:pPr>
              <w:pStyle w:val="15"/>
              <w:rPr>
                <w:rFonts w:hAnsi="宋体" w:cs="宋体"/>
                <w:color w:val="000000" w:themeColor="text1"/>
                <w:sz w:val="24"/>
                <w14:textFill>
                  <w14:solidFill>
                    <w14:schemeClr w14:val="tx1"/>
                  </w14:solidFill>
                </w14:textFill>
              </w:rPr>
            </w:pPr>
          </w:p>
        </w:tc>
      </w:tr>
      <w:tr w14:paraId="5E8D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791" w:type="dxa"/>
            <w:vAlign w:val="center"/>
          </w:tcPr>
          <w:p w14:paraId="1F056691">
            <w:pPr>
              <w:pStyle w:val="15"/>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1186" w:type="dxa"/>
          </w:tcPr>
          <w:p w14:paraId="04243DC4">
            <w:pPr>
              <w:rPr>
                <w:rFonts w:ascii="宋体" w:hAnsi="宋体" w:cs="宋体"/>
                <w:color w:val="000000" w:themeColor="text1"/>
                <w:sz w:val="24"/>
                <w14:textFill>
                  <w14:solidFill>
                    <w14:schemeClr w14:val="tx1"/>
                  </w14:solidFill>
                </w14:textFill>
              </w:rPr>
            </w:pPr>
          </w:p>
        </w:tc>
        <w:tc>
          <w:tcPr>
            <w:tcW w:w="1730" w:type="dxa"/>
          </w:tcPr>
          <w:p w14:paraId="4B479A02">
            <w:pPr>
              <w:rPr>
                <w:rFonts w:ascii="宋体" w:hAnsi="宋体" w:cs="宋体"/>
                <w:color w:val="000000" w:themeColor="text1"/>
                <w:sz w:val="24"/>
                <w14:textFill>
                  <w14:solidFill>
                    <w14:schemeClr w14:val="tx1"/>
                  </w14:solidFill>
                </w14:textFill>
              </w:rPr>
            </w:pPr>
          </w:p>
        </w:tc>
        <w:tc>
          <w:tcPr>
            <w:tcW w:w="1037" w:type="dxa"/>
          </w:tcPr>
          <w:p w14:paraId="5E91ABAE">
            <w:pPr>
              <w:rPr>
                <w:rFonts w:ascii="宋体" w:hAnsi="宋体" w:cs="宋体"/>
                <w:color w:val="000000" w:themeColor="text1"/>
                <w:sz w:val="24"/>
                <w14:textFill>
                  <w14:solidFill>
                    <w14:schemeClr w14:val="tx1"/>
                  </w14:solidFill>
                </w14:textFill>
              </w:rPr>
            </w:pPr>
          </w:p>
        </w:tc>
        <w:tc>
          <w:tcPr>
            <w:tcW w:w="1286" w:type="dxa"/>
          </w:tcPr>
          <w:p w14:paraId="659E8DE0">
            <w:pPr>
              <w:pStyle w:val="15"/>
              <w:rPr>
                <w:rFonts w:hAnsi="宋体" w:cs="宋体"/>
                <w:color w:val="000000" w:themeColor="text1"/>
                <w:sz w:val="24"/>
                <w14:textFill>
                  <w14:solidFill>
                    <w14:schemeClr w14:val="tx1"/>
                  </w14:solidFill>
                </w14:textFill>
              </w:rPr>
            </w:pPr>
          </w:p>
        </w:tc>
        <w:tc>
          <w:tcPr>
            <w:tcW w:w="1236" w:type="dxa"/>
          </w:tcPr>
          <w:p w14:paraId="717E8309">
            <w:pPr>
              <w:pStyle w:val="15"/>
              <w:rPr>
                <w:rFonts w:hAnsi="宋体" w:cs="宋体"/>
                <w:color w:val="000000" w:themeColor="text1"/>
                <w:sz w:val="24"/>
                <w14:textFill>
                  <w14:solidFill>
                    <w14:schemeClr w14:val="tx1"/>
                  </w14:solidFill>
                </w14:textFill>
              </w:rPr>
            </w:pPr>
          </w:p>
        </w:tc>
        <w:tc>
          <w:tcPr>
            <w:tcW w:w="1098" w:type="dxa"/>
          </w:tcPr>
          <w:p w14:paraId="7CF301B6">
            <w:pPr>
              <w:pStyle w:val="15"/>
              <w:rPr>
                <w:rFonts w:hAnsi="宋体" w:cs="宋体"/>
                <w:color w:val="000000" w:themeColor="text1"/>
                <w:sz w:val="24"/>
                <w14:textFill>
                  <w14:solidFill>
                    <w14:schemeClr w14:val="tx1"/>
                  </w14:solidFill>
                </w14:textFill>
              </w:rPr>
            </w:pPr>
          </w:p>
        </w:tc>
      </w:tr>
      <w:tr w14:paraId="0BCC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030" w:type="dxa"/>
            <w:gridSpan w:val="5"/>
            <w:vAlign w:val="center"/>
          </w:tcPr>
          <w:p w14:paraId="5BD46B9F">
            <w:pPr>
              <w:pStyle w:val="15"/>
              <w:jc w:val="center"/>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合计</w:t>
            </w:r>
          </w:p>
        </w:tc>
        <w:tc>
          <w:tcPr>
            <w:tcW w:w="1236" w:type="dxa"/>
            <w:vAlign w:val="center"/>
          </w:tcPr>
          <w:p w14:paraId="2F27C07B">
            <w:pPr>
              <w:pStyle w:val="15"/>
              <w:jc w:val="center"/>
              <w:rPr>
                <w:rFonts w:hAnsi="宋体" w:cs="宋体"/>
                <w:color w:val="000000" w:themeColor="text1"/>
                <w:sz w:val="24"/>
                <w14:textFill>
                  <w14:solidFill>
                    <w14:schemeClr w14:val="tx1"/>
                  </w14:solidFill>
                </w14:textFill>
              </w:rPr>
            </w:pPr>
          </w:p>
        </w:tc>
        <w:tc>
          <w:tcPr>
            <w:tcW w:w="1098" w:type="dxa"/>
            <w:vAlign w:val="center"/>
          </w:tcPr>
          <w:p w14:paraId="5123EDF9">
            <w:pPr>
              <w:pStyle w:val="15"/>
              <w:jc w:val="center"/>
              <w:rPr>
                <w:rFonts w:hAnsi="宋体" w:cs="宋体"/>
                <w:color w:val="000000" w:themeColor="text1"/>
                <w:sz w:val="24"/>
                <w14:textFill>
                  <w14:solidFill>
                    <w14:schemeClr w14:val="tx1"/>
                  </w14:solidFill>
                </w14:textFill>
              </w:rPr>
            </w:pPr>
          </w:p>
        </w:tc>
      </w:tr>
    </w:tbl>
    <w:p w14:paraId="39BE5508">
      <w:pPr>
        <w:pStyle w:val="16"/>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投标人电子公签章：</w:t>
      </w:r>
    </w:p>
    <w:p w14:paraId="6C228865">
      <w:pPr>
        <w:spacing w:beforeLines="20" w:afterLines="20"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szCs w:val="27"/>
          <w14:textFill>
            <w14:solidFill>
              <w14:schemeClr w14:val="tx1"/>
            </w14:solidFill>
          </w14:textFill>
        </w:rPr>
        <w:t>备注：备品备件系指免费质保期满后一定期限的易损件、耗材等。</w:t>
      </w:r>
    </w:p>
    <w:p w14:paraId="67FE7487">
      <w:pPr>
        <w:spacing w:beforeLines="20" w:afterLines="20" w:line="360" w:lineRule="auto"/>
        <w:rPr>
          <w:rFonts w:ascii="宋体" w:hAnsi="宋体" w:cs="宋体"/>
          <w:color w:val="000000" w:themeColor="text1"/>
          <w:sz w:val="28"/>
          <w14:textFill>
            <w14:solidFill>
              <w14:schemeClr w14:val="tx1"/>
            </w14:solidFill>
          </w14:textFill>
        </w:rPr>
      </w:pPr>
    </w:p>
    <w:p w14:paraId="5DB9B5B7">
      <w:pPr>
        <w:spacing w:beforeLines="20" w:afterLines="20" w:line="360" w:lineRule="auto"/>
        <w:rPr>
          <w:rFonts w:ascii="宋体" w:hAnsi="宋体" w:cs="宋体"/>
          <w:color w:val="000000" w:themeColor="text1"/>
          <w:sz w:val="28"/>
          <w14:textFill>
            <w14:solidFill>
              <w14:schemeClr w14:val="tx1"/>
            </w14:solidFill>
          </w14:textFill>
        </w:rPr>
      </w:pPr>
    </w:p>
    <w:p w14:paraId="0E0F51C0">
      <w:pPr>
        <w:pStyle w:val="20"/>
        <w:rPr>
          <w:color w:val="000000" w:themeColor="text1"/>
          <w14:textFill>
            <w14:solidFill>
              <w14:schemeClr w14:val="tx1"/>
            </w14:solidFill>
          </w14:textFill>
        </w:rPr>
      </w:pPr>
    </w:p>
    <w:p w14:paraId="27A4AE4B">
      <w:pPr>
        <w:pStyle w:val="20"/>
        <w:rPr>
          <w:color w:val="000000" w:themeColor="text1"/>
          <w14:textFill>
            <w14:solidFill>
              <w14:schemeClr w14:val="tx1"/>
            </w14:solidFill>
          </w14:textFill>
        </w:rPr>
      </w:pPr>
    </w:p>
    <w:p w14:paraId="74C4C65F">
      <w:pPr>
        <w:pStyle w:val="20"/>
        <w:rPr>
          <w:color w:val="000000" w:themeColor="text1"/>
          <w14:textFill>
            <w14:solidFill>
              <w14:schemeClr w14:val="tx1"/>
            </w14:solidFill>
          </w14:textFill>
        </w:rPr>
      </w:pPr>
    </w:p>
    <w:p w14:paraId="77667B56">
      <w:pPr>
        <w:pStyle w:val="20"/>
        <w:rPr>
          <w:color w:val="000000" w:themeColor="text1"/>
          <w14:textFill>
            <w14:solidFill>
              <w14:schemeClr w14:val="tx1"/>
            </w14:solidFill>
          </w14:textFill>
        </w:rPr>
      </w:pPr>
    </w:p>
    <w:p w14:paraId="0F83A331">
      <w:pPr>
        <w:pStyle w:val="20"/>
        <w:rPr>
          <w:color w:val="000000" w:themeColor="text1"/>
          <w14:textFill>
            <w14:solidFill>
              <w14:schemeClr w14:val="tx1"/>
            </w14:solidFill>
          </w14:textFill>
        </w:rPr>
      </w:pPr>
    </w:p>
    <w:p w14:paraId="070F6AC4">
      <w:pPr>
        <w:pStyle w:val="20"/>
        <w:rPr>
          <w:color w:val="000000" w:themeColor="text1"/>
          <w14:textFill>
            <w14:solidFill>
              <w14:schemeClr w14:val="tx1"/>
            </w14:solidFill>
          </w14:textFill>
        </w:rPr>
      </w:pPr>
    </w:p>
    <w:p w14:paraId="42D54BC9">
      <w:pPr>
        <w:pStyle w:val="20"/>
        <w:rPr>
          <w:color w:val="000000" w:themeColor="text1"/>
          <w14:textFill>
            <w14:solidFill>
              <w14:schemeClr w14:val="tx1"/>
            </w14:solidFill>
          </w14:textFill>
        </w:rPr>
      </w:pPr>
    </w:p>
    <w:p w14:paraId="30DC2536">
      <w:pPr>
        <w:pStyle w:val="20"/>
        <w:rPr>
          <w:color w:val="000000" w:themeColor="text1"/>
          <w14:textFill>
            <w14:solidFill>
              <w14:schemeClr w14:val="tx1"/>
            </w14:solidFill>
          </w14:textFill>
        </w:rPr>
      </w:pPr>
    </w:p>
    <w:p w14:paraId="46B3E88C">
      <w:pPr>
        <w:pStyle w:val="20"/>
        <w:rPr>
          <w:color w:val="000000" w:themeColor="text1"/>
          <w14:textFill>
            <w14:solidFill>
              <w14:schemeClr w14:val="tx1"/>
            </w14:solidFill>
          </w14:textFill>
        </w:rPr>
      </w:pPr>
    </w:p>
    <w:p w14:paraId="5D6B2C9E">
      <w:pPr>
        <w:pStyle w:val="20"/>
        <w:rPr>
          <w:color w:val="000000" w:themeColor="text1"/>
          <w14:textFill>
            <w14:solidFill>
              <w14:schemeClr w14:val="tx1"/>
            </w14:solidFill>
          </w14:textFill>
        </w:rPr>
      </w:pPr>
    </w:p>
    <w:p w14:paraId="5412B8D5">
      <w:pPr>
        <w:pStyle w:val="20"/>
        <w:rPr>
          <w:color w:val="000000" w:themeColor="text1"/>
          <w14:textFill>
            <w14:solidFill>
              <w14:schemeClr w14:val="tx1"/>
            </w14:solidFill>
          </w14:textFill>
        </w:rPr>
      </w:pPr>
    </w:p>
    <w:p w14:paraId="6FAB323A">
      <w:pPr>
        <w:pStyle w:val="20"/>
        <w:rPr>
          <w:color w:val="000000" w:themeColor="text1"/>
          <w14:textFill>
            <w14:solidFill>
              <w14:schemeClr w14:val="tx1"/>
            </w14:solidFill>
          </w14:textFill>
        </w:rPr>
      </w:pPr>
    </w:p>
    <w:p w14:paraId="600DC7A8">
      <w:pPr>
        <w:pStyle w:val="20"/>
        <w:rPr>
          <w:color w:val="000000" w:themeColor="text1"/>
          <w14:textFill>
            <w14:solidFill>
              <w14:schemeClr w14:val="tx1"/>
            </w14:solidFill>
          </w14:textFill>
        </w:rPr>
      </w:pPr>
    </w:p>
    <w:p w14:paraId="548EB5D3">
      <w:pPr>
        <w:pStyle w:val="20"/>
        <w:rPr>
          <w:color w:val="000000" w:themeColor="text1"/>
          <w14:textFill>
            <w14:solidFill>
              <w14:schemeClr w14:val="tx1"/>
            </w14:solidFill>
          </w14:textFill>
        </w:rPr>
      </w:pPr>
    </w:p>
    <w:p w14:paraId="1CB5510F">
      <w:pPr>
        <w:pStyle w:val="20"/>
        <w:rPr>
          <w:color w:val="000000" w:themeColor="text1"/>
          <w14:textFill>
            <w14:solidFill>
              <w14:schemeClr w14:val="tx1"/>
            </w14:solidFill>
          </w14:textFill>
        </w:rPr>
      </w:pPr>
    </w:p>
    <w:p w14:paraId="406CA73C">
      <w:pPr>
        <w:pStyle w:val="5"/>
        <w:rPr>
          <w:rFonts w:hAnsi="宋体" w:cs="宋体"/>
          <w:color w:val="000000" w:themeColor="text1"/>
          <w:sz w:val="28"/>
          <w:szCs w:val="36"/>
          <w14:textFill>
            <w14:solidFill>
              <w14:schemeClr w14:val="tx1"/>
            </w14:solidFill>
          </w14:textFill>
        </w:rPr>
      </w:pPr>
      <w:bookmarkStart w:id="158" w:name="_Toc5312_WPSOffice_Level2"/>
      <w:bookmarkStart w:id="159" w:name="_Toc40975456"/>
      <w:bookmarkStart w:id="160" w:name="_Toc220232402"/>
      <w:bookmarkStart w:id="161" w:name="_Toc516969105"/>
      <w:r>
        <w:rPr>
          <w:rFonts w:hint="eastAsia" w:hAnsi="宋体" w:cs="宋体"/>
          <w:color w:val="000000" w:themeColor="text1"/>
          <w:sz w:val="28"/>
          <w14:textFill>
            <w14:solidFill>
              <w14:schemeClr w14:val="tx1"/>
            </w14:solidFill>
          </w14:textFill>
        </w:rPr>
        <w:t>八．有关证明文件</w:t>
      </w:r>
      <w:bookmarkEnd w:id="158"/>
      <w:bookmarkEnd w:id="159"/>
      <w:bookmarkEnd w:id="160"/>
      <w:bookmarkEnd w:id="161"/>
    </w:p>
    <w:p w14:paraId="5560BB67">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提供符合投标邀请（招标公告）、货物需求一览表及评标办法规定的相关证明文件。</w:t>
      </w:r>
    </w:p>
    <w:p w14:paraId="2245FF55">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505E9471">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30DE8920">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2B555C9F">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63B2DF81">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7E7D9908">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506B9BD0">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553416FF">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5B472823">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33CC8EED">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72469BD3">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70D6477B">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45484DA2">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0D29F13C">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35B234FD">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25AA7F66">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66C7C59E">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79E52A14">
      <w:pPr>
        <w:pStyle w:val="20"/>
        <w:rPr>
          <w:color w:val="000000" w:themeColor="text1"/>
          <w14:textFill>
            <w14:solidFill>
              <w14:schemeClr w14:val="tx1"/>
            </w14:solidFill>
          </w14:textFill>
        </w:rPr>
      </w:pPr>
    </w:p>
    <w:p w14:paraId="3842A897">
      <w:pPr>
        <w:pStyle w:val="20"/>
        <w:rPr>
          <w:color w:val="000000" w:themeColor="text1"/>
          <w14:textFill>
            <w14:solidFill>
              <w14:schemeClr w14:val="tx1"/>
            </w14:solidFill>
          </w14:textFill>
        </w:rPr>
      </w:pPr>
    </w:p>
    <w:p w14:paraId="1B43CF3D">
      <w:pPr>
        <w:pStyle w:val="20"/>
        <w:rPr>
          <w:color w:val="000000" w:themeColor="text1"/>
          <w14:textFill>
            <w14:solidFill>
              <w14:schemeClr w14:val="tx1"/>
            </w14:solidFill>
          </w14:textFill>
        </w:rPr>
      </w:pPr>
    </w:p>
    <w:p w14:paraId="1A234208">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3526B1B1">
      <w:pPr>
        <w:pStyle w:val="20"/>
        <w:rPr>
          <w:color w:val="000000" w:themeColor="text1"/>
          <w14:textFill>
            <w14:solidFill>
              <w14:schemeClr w14:val="tx1"/>
            </w14:solidFill>
          </w14:textFill>
        </w:rPr>
      </w:pPr>
    </w:p>
    <w:p w14:paraId="439A21B5">
      <w:pPr>
        <w:pStyle w:val="20"/>
        <w:rPr>
          <w:color w:val="000000" w:themeColor="text1"/>
          <w14:textFill>
            <w14:solidFill>
              <w14:schemeClr w14:val="tx1"/>
            </w14:solidFill>
          </w14:textFill>
        </w:rPr>
      </w:pPr>
    </w:p>
    <w:p w14:paraId="1E442401">
      <w:pPr>
        <w:pStyle w:val="20"/>
        <w:rPr>
          <w:color w:val="000000" w:themeColor="text1"/>
          <w14:textFill>
            <w14:solidFill>
              <w14:schemeClr w14:val="tx1"/>
            </w14:solidFill>
          </w14:textFill>
        </w:rPr>
      </w:pPr>
    </w:p>
    <w:p w14:paraId="0D4D7EE9">
      <w:pPr>
        <w:pStyle w:val="20"/>
        <w:rPr>
          <w:color w:val="000000" w:themeColor="text1"/>
          <w14:textFill>
            <w14:solidFill>
              <w14:schemeClr w14:val="tx1"/>
            </w14:solidFill>
          </w14:textFill>
        </w:rPr>
      </w:pPr>
    </w:p>
    <w:p w14:paraId="33233E93">
      <w:pPr>
        <w:pStyle w:val="20"/>
        <w:rPr>
          <w:color w:val="000000" w:themeColor="text1"/>
          <w14:textFill>
            <w14:solidFill>
              <w14:schemeClr w14:val="tx1"/>
            </w14:solidFill>
          </w14:textFill>
        </w:rPr>
      </w:pPr>
    </w:p>
    <w:p w14:paraId="58E51615">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1FAC600E">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02302080">
      <w:pPr>
        <w:tabs>
          <w:tab w:val="left" w:pos="4620"/>
        </w:tabs>
        <w:spacing w:line="360" w:lineRule="auto"/>
        <w:ind w:firstLine="480" w:firstLineChars="200"/>
        <w:rPr>
          <w:rFonts w:ascii="宋体" w:hAnsi="宋体" w:cs="宋体"/>
          <w:color w:val="000000" w:themeColor="text1"/>
          <w:sz w:val="24"/>
          <w14:textFill>
            <w14:solidFill>
              <w14:schemeClr w14:val="tx1"/>
            </w14:solidFill>
          </w14:textFill>
        </w:rPr>
      </w:pPr>
    </w:p>
    <w:p w14:paraId="5D0D01DB">
      <w:pPr>
        <w:pStyle w:val="5"/>
        <w:rPr>
          <w:color w:val="000000" w:themeColor="text1"/>
          <w:sz w:val="28"/>
          <w:szCs w:val="28"/>
          <w14:textFill>
            <w14:solidFill>
              <w14:schemeClr w14:val="tx1"/>
            </w14:solidFill>
          </w14:textFill>
        </w:rPr>
      </w:pPr>
      <w:bookmarkStart w:id="162" w:name="_Toc40975457"/>
      <w:bookmarkStart w:id="163" w:name="_Toc13715_WPSOffice_Level2"/>
      <w:r>
        <w:rPr>
          <w:rFonts w:hint="eastAsia" w:hAnsi="宋体" w:cs="宋体"/>
          <w:color w:val="000000" w:themeColor="text1"/>
          <w:sz w:val="28"/>
          <w:szCs w:val="28"/>
          <w14:textFill>
            <w14:solidFill>
              <w14:schemeClr w14:val="tx1"/>
            </w14:solidFill>
          </w14:textFill>
        </w:rPr>
        <w:t>九．</w:t>
      </w:r>
      <w:bookmarkEnd w:id="162"/>
      <w:bookmarkEnd w:id="163"/>
      <w:bookmarkStart w:id="164" w:name="_Toc220232403"/>
      <w:r>
        <w:rPr>
          <w:rFonts w:hint="eastAsia"/>
          <w:color w:val="000000" w:themeColor="text1"/>
          <w:sz w:val="28"/>
          <w:szCs w:val="28"/>
          <w14:textFill>
            <w14:solidFill>
              <w14:schemeClr w14:val="tx1"/>
            </w14:solidFill>
          </w14:textFill>
        </w:rPr>
        <w:t>中小企业声明函（货物）</w:t>
      </w:r>
    </w:p>
    <w:p w14:paraId="3EAFDAFC">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szCs w:val="24"/>
          <w:u w:val="single"/>
          <w14:textFill>
            <w14:solidFill>
              <w14:schemeClr w14:val="tx1"/>
            </w14:solidFill>
          </w14:textFill>
        </w:rPr>
        <w:t>（单位名称）</w:t>
      </w:r>
      <w:r>
        <w:rPr>
          <w:rFonts w:hint="eastAsia" w:ascii="宋体" w:hAnsi="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采购活动，提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供的货物全部由符合政策要求的中小企业制造。相关企业（含联合体中的中小企业、签订分包意向协议的中小企业）的具体情况如下：</w:t>
      </w:r>
    </w:p>
    <w:p w14:paraId="5D6BCA77">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 xml:space="preserve">； </w:t>
      </w:r>
    </w:p>
    <w:p w14:paraId="45AE584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u w:val="single"/>
          <w14:textFill>
            <w14:solidFill>
              <w14:schemeClr w14:val="tx1"/>
            </w14:solidFill>
          </w14:textFill>
        </w:rPr>
        <w:t>（标的名称）</w:t>
      </w:r>
      <w:r>
        <w:rPr>
          <w:rFonts w:hint="eastAsia" w:ascii="宋体" w:hAnsi="宋体" w:cs="宋体"/>
          <w:color w:val="000000" w:themeColor="text1"/>
          <w:sz w:val="24"/>
          <w:szCs w:val="24"/>
          <w14:textFill>
            <w14:solidFill>
              <w14:schemeClr w14:val="tx1"/>
            </w14:solidFill>
          </w14:textFill>
        </w:rPr>
        <w:t>，属于</w:t>
      </w:r>
      <w:r>
        <w:rPr>
          <w:rFonts w:hint="eastAsia" w:ascii="宋体" w:hAnsi="宋体" w:cs="宋体"/>
          <w:color w:val="000000" w:themeColor="text1"/>
          <w:sz w:val="24"/>
          <w:szCs w:val="24"/>
          <w:u w:val="single"/>
          <w14:textFill>
            <w14:solidFill>
              <w14:schemeClr w14:val="tx1"/>
            </w14:solidFill>
          </w14:textFill>
        </w:rPr>
        <w:t>（采购文件中明确的所属行业）</w:t>
      </w:r>
      <w:r>
        <w:rPr>
          <w:rFonts w:hint="eastAsia" w:ascii="宋体" w:hAnsi="宋体" w:cs="宋体"/>
          <w:color w:val="000000" w:themeColor="text1"/>
          <w:sz w:val="24"/>
          <w:szCs w:val="24"/>
          <w14:textFill>
            <w14:solidFill>
              <w14:schemeClr w14:val="tx1"/>
            </w14:solidFill>
          </w14:textFill>
        </w:rPr>
        <w:t>行业；制造商为</w:t>
      </w:r>
      <w:r>
        <w:rPr>
          <w:rFonts w:hint="eastAsia" w:ascii="宋体" w:hAnsi="宋体" w:cs="宋体"/>
          <w:color w:val="000000" w:themeColor="text1"/>
          <w:sz w:val="24"/>
          <w:szCs w:val="24"/>
          <w:u w:val="single"/>
          <w14:textFill>
            <w14:solidFill>
              <w14:schemeClr w14:val="tx1"/>
            </w14:solidFill>
          </w14:textFill>
        </w:rPr>
        <w:t>（企业名称）</w:t>
      </w:r>
      <w:r>
        <w:rPr>
          <w:rFonts w:hint="eastAsia" w:ascii="宋体" w:hAnsi="宋体" w:cs="宋体"/>
          <w:color w:val="000000" w:themeColor="text1"/>
          <w:sz w:val="24"/>
          <w:szCs w:val="24"/>
          <w14:textFill>
            <w14:solidFill>
              <w14:schemeClr w14:val="tx1"/>
            </w14:solidFill>
          </w14:textFill>
        </w:rPr>
        <w:t>，从业人员</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人，营业收入为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万元，资产总额为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万元，属于</w:t>
      </w:r>
      <w:r>
        <w:rPr>
          <w:rFonts w:hint="eastAsia" w:ascii="宋体" w:hAnsi="宋体" w:cs="宋体"/>
          <w:color w:val="000000" w:themeColor="text1"/>
          <w:sz w:val="24"/>
          <w:szCs w:val="24"/>
          <w:u w:val="single"/>
          <w14:textFill>
            <w14:solidFill>
              <w14:schemeClr w14:val="tx1"/>
            </w14:solidFill>
          </w14:textFill>
        </w:rPr>
        <w:t>（中型企业、小型企业、微型企业）；</w:t>
      </w:r>
      <w:r>
        <w:rPr>
          <w:rFonts w:hint="eastAsia" w:ascii="宋体" w:hAnsi="宋体" w:cs="宋体"/>
          <w:color w:val="000000" w:themeColor="text1"/>
          <w:sz w:val="24"/>
          <w:szCs w:val="24"/>
          <w14:textFill>
            <w14:solidFill>
              <w14:schemeClr w14:val="tx1"/>
            </w14:solidFill>
          </w14:textFill>
        </w:rPr>
        <w:t xml:space="preserve"> </w:t>
      </w:r>
    </w:p>
    <w:p w14:paraId="73207849">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14:paraId="72AB4035">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34F96993">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本企业对上述声明内容的真实性负责。如有虚假，将依法承担相应责任。</w:t>
      </w:r>
    </w:p>
    <w:p w14:paraId="76411B38">
      <w:pPr>
        <w:spacing w:line="360" w:lineRule="auto"/>
        <w:ind w:firstLine="5040" w:firstLineChars="2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企业名称（盖章）： </w:t>
      </w:r>
    </w:p>
    <w:p w14:paraId="2CA65FEA">
      <w:pPr>
        <w:spacing w:line="360" w:lineRule="auto"/>
        <w:ind w:firstLine="5760" w:firstLineChars="24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日 期： </w:t>
      </w:r>
    </w:p>
    <w:p w14:paraId="0324FF7F">
      <w:pPr>
        <w:spacing w:line="360" w:lineRule="auto"/>
        <w:rPr>
          <w:color w:val="000000" w:themeColor="text1"/>
          <w:sz w:val="24"/>
          <w:szCs w:val="24"/>
          <w14:textFill>
            <w14:solidFill>
              <w14:schemeClr w14:val="tx1"/>
            </w14:solidFill>
          </w14:textFill>
        </w:rPr>
      </w:pPr>
    </w:p>
    <w:p w14:paraId="2B0BAB24">
      <w:pPr>
        <w:spacing w:line="360" w:lineRule="auto"/>
        <w:rPr>
          <w:color w:val="000000" w:themeColor="text1"/>
          <w14:textFill>
            <w14:solidFill>
              <w14:schemeClr w14:val="tx1"/>
            </w14:solidFill>
          </w14:textFill>
        </w:rPr>
      </w:pPr>
    </w:p>
    <w:p w14:paraId="45A51FF4">
      <w:pPr>
        <w:spacing w:line="360" w:lineRule="auto"/>
        <w:rPr>
          <w:color w:val="000000" w:themeColor="text1"/>
          <w14:textFill>
            <w14:solidFill>
              <w14:schemeClr w14:val="tx1"/>
            </w14:solidFill>
          </w14:textFill>
        </w:rPr>
      </w:pPr>
    </w:p>
    <w:p w14:paraId="40687276">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注：1.从业人员、营业收入、资产总额填报上一年度数据，无上一年度数据的新成立企业可不填报。</w:t>
      </w:r>
    </w:p>
    <w:p w14:paraId="67292ABB">
      <w:pPr>
        <w:numPr>
          <w:ilvl w:val="0"/>
          <w:numId w:val="9"/>
        </w:numPr>
        <w:spacing w:line="360" w:lineRule="auto"/>
        <w:ind w:left="630" w:leftChars="200" w:hanging="210" w:hangingChars="10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本项目如是只面向中小企业采购的应当必须提供。</w:t>
      </w:r>
    </w:p>
    <w:p w14:paraId="28A476E6">
      <w:pPr>
        <w:spacing w:line="360" w:lineRule="auto"/>
        <w:ind w:firstLine="420" w:firstLineChars="200"/>
        <w:rPr>
          <w:color w:val="000000" w:themeColor="text1"/>
          <w14:textFill>
            <w14:solidFill>
              <w14:schemeClr w14:val="tx1"/>
            </w14:solidFill>
          </w14:textFill>
        </w:rPr>
      </w:pPr>
    </w:p>
    <w:p w14:paraId="08661608">
      <w:pPr>
        <w:spacing w:line="360" w:lineRule="auto"/>
        <w:rPr>
          <w:rFonts w:ascii="宋体" w:hAnsi="宋体" w:cs="宋体"/>
          <w:color w:val="000000" w:themeColor="text1"/>
          <w:sz w:val="28"/>
          <w:szCs w:val="28"/>
          <w14:textFill>
            <w14:solidFill>
              <w14:schemeClr w14:val="tx1"/>
            </w14:solidFill>
          </w14:textFill>
        </w:rPr>
      </w:pPr>
    </w:p>
    <w:p w14:paraId="5B7864AE">
      <w:pPr>
        <w:spacing w:line="360" w:lineRule="auto"/>
        <w:rPr>
          <w:rFonts w:ascii="宋体" w:hAnsi="宋体" w:cs="宋体"/>
          <w:color w:val="000000" w:themeColor="text1"/>
          <w:sz w:val="28"/>
          <w:szCs w:val="28"/>
          <w14:textFill>
            <w14:solidFill>
              <w14:schemeClr w14:val="tx1"/>
            </w14:solidFill>
          </w14:textFill>
        </w:rPr>
      </w:pPr>
    </w:p>
    <w:p w14:paraId="070923BB">
      <w:pPr>
        <w:rPr>
          <w:rFonts w:ascii="宋体" w:hAnsi="宋体" w:cs="宋体"/>
          <w:color w:val="000000" w:themeColor="text1"/>
          <w:sz w:val="28"/>
          <w:szCs w:val="28"/>
          <w14:textFill>
            <w14:solidFill>
              <w14:schemeClr w14:val="tx1"/>
            </w14:solidFill>
          </w14:textFill>
        </w:rPr>
      </w:pPr>
    </w:p>
    <w:p w14:paraId="0567B743">
      <w:pPr>
        <w:rPr>
          <w:rFonts w:ascii="宋体" w:hAnsi="宋体" w:cs="宋体"/>
          <w:color w:val="000000" w:themeColor="text1"/>
          <w:sz w:val="28"/>
          <w:szCs w:val="28"/>
          <w14:textFill>
            <w14:solidFill>
              <w14:schemeClr w14:val="tx1"/>
            </w14:solidFill>
          </w14:textFill>
        </w:rPr>
      </w:pPr>
    </w:p>
    <w:p w14:paraId="3556CE3E">
      <w:pPr>
        <w:rPr>
          <w:rFonts w:ascii="宋体" w:hAnsi="宋体" w:cs="宋体"/>
          <w:color w:val="000000" w:themeColor="text1"/>
          <w:sz w:val="28"/>
          <w:szCs w:val="28"/>
          <w14:textFill>
            <w14:solidFill>
              <w14:schemeClr w14:val="tx1"/>
            </w14:solidFill>
          </w14:textFill>
        </w:rPr>
      </w:pPr>
    </w:p>
    <w:p w14:paraId="55F3199E">
      <w:pPr>
        <w:rPr>
          <w:rFonts w:ascii="宋体" w:hAnsi="宋体" w:cs="宋体"/>
          <w:color w:val="000000" w:themeColor="text1"/>
          <w14:textFill>
            <w14:solidFill>
              <w14:schemeClr w14:val="tx1"/>
            </w14:solidFill>
          </w14:textFill>
        </w:rPr>
      </w:pPr>
    </w:p>
    <w:bookmarkEnd w:id="164"/>
    <w:p w14:paraId="4C027ADD">
      <w:pPr>
        <w:pStyle w:val="5"/>
        <w:rPr>
          <w:rFonts w:hAnsi="宋体" w:cs="宋体"/>
          <w:color w:val="000000" w:themeColor="text1"/>
          <w:sz w:val="36"/>
          <w:szCs w:val="36"/>
          <w14:textFill>
            <w14:solidFill>
              <w14:schemeClr w14:val="tx1"/>
            </w14:solidFill>
          </w14:textFill>
        </w:rPr>
      </w:pPr>
      <w:bookmarkStart w:id="165" w:name="_Hlt526418111"/>
      <w:bookmarkEnd w:id="165"/>
      <w:bookmarkStart w:id="166" w:name="_Hlt526418103"/>
      <w:bookmarkEnd w:id="166"/>
      <w:bookmarkStart w:id="167" w:name="_Toc220232405"/>
      <w:bookmarkStart w:id="168" w:name="_Toc2532_WPSOffice_Level2"/>
      <w:bookmarkStart w:id="169" w:name="_Toc516969110"/>
      <w:r>
        <w:rPr>
          <w:rFonts w:hAnsi="宋体" w:cs="宋体"/>
          <w:color w:val="000000" w:themeColor="text1"/>
          <w:sz w:val="28"/>
          <w14:textFill>
            <w14:solidFill>
              <w14:schemeClr w14:val="tx1"/>
            </w14:solidFill>
          </w14:textFill>
        </w:rPr>
        <w:br w:type="page"/>
      </w:r>
      <w:bookmarkEnd w:id="167"/>
      <w:bookmarkEnd w:id="168"/>
      <w:bookmarkEnd w:id="169"/>
      <w:bookmarkStart w:id="170" w:name="_Toc40975458"/>
      <w:r>
        <w:rPr>
          <w:rFonts w:hint="eastAsia" w:hAnsi="宋体" w:cs="宋体"/>
          <w:color w:val="000000" w:themeColor="text1"/>
          <w:sz w:val="28"/>
          <w14:textFill>
            <w14:solidFill>
              <w14:schemeClr w14:val="tx1"/>
            </w14:solidFill>
          </w14:textFill>
        </w:rPr>
        <w:t>十．售后服务</w:t>
      </w:r>
      <w:bookmarkEnd w:id="170"/>
    </w:p>
    <w:p w14:paraId="0B3EBA56">
      <w:pPr>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w:t>
      </w:r>
    </w:p>
    <w:p w14:paraId="4EB73090">
      <w:pPr>
        <w:spacing w:line="500" w:lineRule="exact"/>
        <w:jc w:val="center"/>
        <w:rPr>
          <w:rFonts w:ascii="宋体" w:hAnsi="宋体" w:cs="宋体"/>
          <w:b/>
          <w:bCs/>
          <w:color w:val="000000" w:themeColor="text1"/>
          <w:sz w:val="30"/>
          <w14:textFill>
            <w14:solidFill>
              <w14:schemeClr w14:val="tx1"/>
            </w14:solidFill>
          </w14:textFill>
        </w:rPr>
      </w:pPr>
      <w:bookmarkStart w:id="171" w:name="_Hlt526418107"/>
      <w:bookmarkEnd w:id="171"/>
    </w:p>
    <w:p w14:paraId="411B0B7A">
      <w:pPr>
        <w:pStyle w:val="5"/>
        <w:rPr>
          <w:rFonts w:hAnsi="宋体" w:cs="宋体"/>
          <w:color w:val="000000" w:themeColor="text1"/>
          <w:sz w:val="44"/>
          <w14:textFill>
            <w14:solidFill>
              <w14:schemeClr w14:val="tx1"/>
            </w14:solidFill>
          </w14:textFill>
        </w:rPr>
      </w:pPr>
      <w:bookmarkStart w:id="172" w:name="_Toc30338_WPSOffice_Level2"/>
      <w:bookmarkStart w:id="173" w:name="_Hlt509738384"/>
      <w:bookmarkStart w:id="174" w:name="_Toc197934560"/>
      <w:bookmarkStart w:id="175" w:name="_Toc359404312"/>
      <w:bookmarkStart w:id="176" w:name="_Toc40975459"/>
      <w:bookmarkStart w:id="177" w:name="_Toc516969111"/>
      <w:r>
        <w:rPr>
          <w:rFonts w:hint="eastAsia" w:hAnsi="宋体" w:cs="宋体"/>
          <w:color w:val="000000" w:themeColor="text1"/>
          <w:sz w:val="28"/>
          <w14:textFill>
            <w14:solidFill>
              <w14:schemeClr w14:val="tx1"/>
            </w14:solidFill>
          </w14:textFill>
        </w:rPr>
        <w:t>十一、所投货物的技术资料等</w:t>
      </w:r>
      <w:bookmarkEnd w:id="172"/>
      <w:bookmarkEnd w:id="173"/>
      <w:bookmarkEnd w:id="174"/>
      <w:bookmarkEnd w:id="175"/>
      <w:bookmarkEnd w:id="176"/>
      <w:bookmarkEnd w:id="177"/>
      <w:bookmarkStart w:id="178" w:name="_Hlt509650291"/>
      <w:bookmarkEnd w:id="178"/>
    </w:p>
    <w:p w14:paraId="511D7B5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（投标人可自行制作格式，附产品技术彩页）</w:t>
      </w:r>
    </w:p>
    <w:p w14:paraId="43131A07">
      <w:pPr>
        <w:jc w:val="center"/>
        <w:rPr>
          <w:rFonts w:ascii="宋体" w:hAnsi="宋体" w:cs="宋体"/>
          <w:color w:val="000000" w:themeColor="text1"/>
          <w:sz w:val="24"/>
          <w14:textFill>
            <w14:solidFill>
              <w14:schemeClr w14:val="tx1"/>
            </w14:solidFill>
          </w14:textFill>
        </w:rPr>
      </w:pPr>
    </w:p>
    <w:p w14:paraId="2B04EE83">
      <w:pPr>
        <w:jc w:val="center"/>
        <w:rPr>
          <w:rFonts w:ascii="宋体" w:hAnsi="宋体" w:cs="宋体"/>
          <w:color w:val="000000" w:themeColor="text1"/>
          <w:sz w:val="24"/>
          <w14:textFill>
            <w14:solidFill>
              <w14:schemeClr w14:val="tx1"/>
            </w14:solidFill>
          </w14:textFill>
        </w:rPr>
      </w:pPr>
    </w:p>
    <w:p w14:paraId="3282DB23">
      <w:pPr>
        <w:jc w:val="center"/>
        <w:rPr>
          <w:rFonts w:ascii="宋体" w:hAnsi="宋体" w:cs="宋体"/>
          <w:color w:val="000000" w:themeColor="text1"/>
          <w:sz w:val="24"/>
          <w14:textFill>
            <w14:solidFill>
              <w14:schemeClr w14:val="tx1"/>
            </w14:solidFill>
          </w14:textFill>
        </w:rPr>
      </w:pPr>
    </w:p>
    <w:p w14:paraId="6F1674FD">
      <w:pPr>
        <w:pStyle w:val="5"/>
        <w:rPr>
          <w:rFonts w:hAnsi="宋体" w:cs="宋体"/>
          <w:color w:val="000000" w:themeColor="text1"/>
          <w:sz w:val="28"/>
          <w14:textFill>
            <w14:solidFill>
              <w14:schemeClr w14:val="tx1"/>
            </w14:solidFill>
          </w14:textFill>
        </w:rPr>
      </w:pPr>
      <w:r>
        <w:rPr>
          <w:rFonts w:hint="eastAsia" w:hAnsi="宋体" w:cs="宋体"/>
          <w:color w:val="000000" w:themeColor="text1"/>
          <w:sz w:val="28"/>
          <w14:textFill>
            <w14:solidFill>
              <w14:schemeClr w14:val="tx1"/>
            </w14:solidFill>
          </w14:textFill>
        </w:rPr>
        <w:t>十二、其他投标人认为需要提供得材料等</w:t>
      </w:r>
    </w:p>
    <w:p w14:paraId="4B66A25C">
      <w:pPr>
        <w:rPr>
          <w:rFonts w:hAnsi="宋体" w:cs="宋体"/>
          <w:color w:val="000000" w:themeColor="text1"/>
          <w:sz w:val="28"/>
          <w14:textFill>
            <w14:solidFill>
              <w14:schemeClr w14:val="tx1"/>
            </w14:solidFill>
          </w14:textFill>
        </w:rPr>
      </w:pPr>
    </w:p>
    <w:p w14:paraId="00D57004">
      <w:pPr>
        <w:pStyle w:val="5"/>
        <w:rPr>
          <w:rFonts w:hAnsi="宋体" w:cs="宋体"/>
          <w:color w:val="000000" w:themeColor="text1"/>
          <w:sz w:val="28"/>
          <w14:textFill>
            <w14:solidFill>
              <w14:schemeClr w14:val="tx1"/>
            </w14:solidFill>
          </w14:textFill>
        </w:rPr>
      </w:pPr>
    </w:p>
    <w:p w14:paraId="2DD4ECE2">
      <w:pPr>
        <w:jc w:val="center"/>
        <w:rPr>
          <w:rFonts w:ascii="宋体" w:hAnsi="宋体" w:cs="宋体"/>
          <w:color w:val="000000" w:themeColor="text1"/>
          <w:sz w:val="24"/>
          <w14:textFill>
            <w14:solidFill>
              <w14:schemeClr w14:val="tx1"/>
            </w14:solidFill>
          </w14:textFill>
        </w:rPr>
      </w:pPr>
    </w:p>
    <w:p w14:paraId="578EEB84">
      <w:pPr>
        <w:jc w:val="center"/>
        <w:rPr>
          <w:rFonts w:ascii="宋体" w:hAnsi="宋体" w:cs="宋体"/>
          <w:color w:val="000000" w:themeColor="text1"/>
          <w:sz w:val="24"/>
          <w14:textFill>
            <w14:solidFill>
              <w14:schemeClr w14:val="tx1"/>
            </w14:solidFill>
          </w14:textFill>
        </w:rPr>
      </w:pPr>
    </w:p>
    <w:p w14:paraId="6E2CB808">
      <w:pPr>
        <w:jc w:val="center"/>
        <w:rPr>
          <w:rFonts w:ascii="宋体" w:hAnsi="宋体" w:cs="宋体"/>
          <w:color w:val="000000" w:themeColor="text1"/>
          <w:sz w:val="24"/>
          <w14:textFill>
            <w14:solidFill>
              <w14:schemeClr w14:val="tx1"/>
            </w14:solidFill>
          </w14:textFill>
        </w:rPr>
      </w:pPr>
    </w:p>
    <w:p w14:paraId="6F08B2A2">
      <w:pPr>
        <w:jc w:val="center"/>
        <w:rPr>
          <w:rFonts w:ascii="宋体" w:hAnsi="宋体" w:cs="宋体"/>
          <w:color w:val="000000" w:themeColor="text1"/>
          <w:sz w:val="24"/>
          <w14:textFill>
            <w14:solidFill>
              <w14:schemeClr w14:val="tx1"/>
            </w14:solidFill>
          </w14:textFill>
        </w:rPr>
      </w:pPr>
    </w:p>
    <w:p w14:paraId="286ECC4C">
      <w:pPr>
        <w:jc w:val="center"/>
        <w:rPr>
          <w:rFonts w:ascii="宋体" w:hAnsi="宋体" w:cs="宋体"/>
          <w:color w:val="000000" w:themeColor="text1"/>
          <w:sz w:val="24"/>
          <w14:textFill>
            <w14:solidFill>
              <w14:schemeClr w14:val="tx1"/>
            </w14:solidFill>
          </w14:textFill>
        </w:rPr>
      </w:pPr>
    </w:p>
    <w:p w14:paraId="1262C432">
      <w:pPr>
        <w:jc w:val="center"/>
        <w:rPr>
          <w:rFonts w:ascii="宋体" w:hAnsi="宋体" w:cs="宋体"/>
          <w:color w:val="000000" w:themeColor="text1"/>
          <w:sz w:val="24"/>
          <w14:textFill>
            <w14:solidFill>
              <w14:schemeClr w14:val="tx1"/>
            </w14:solidFill>
          </w14:textFill>
        </w:rPr>
      </w:pPr>
    </w:p>
    <w:p w14:paraId="35222865">
      <w:pPr>
        <w:jc w:val="center"/>
        <w:rPr>
          <w:rFonts w:ascii="宋体" w:hAnsi="宋体" w:cs="宋体"/>
          <w:color w:val="000000" w:themeColor="text1"/>
          <w:sz w:val="24"/>
          <w14:textFill>
            <w14:solidFill>
              <w14:schemeClr w14:val="tx1"/>
            </w14:solidFill>
          </w14:textFill>
        </w:rPr>
      </w:pPr>
    </w:p>
    <w:p w14:paraId="72166445">
      <w:pPr>
        <w:jc w:val="center"/>
        <w:rPr>
          <w:rFonts w:ascii="宋体" w:hAnsi="宋体" w:cs="宋体"/>
          <w:color w:val="000000" w:themeColor="text1"/>
          <w:sz w:val="24"/>
          <w14:textFill>
            <w14:solidFill>
              <w14:schemeClr w14:val="tx1"/>
            </w14:solidFill>
          </w14:textFill>
        </w:rPr>
      </w:pPr>
    </w:p>
    <w:p w14:paraId="21E25A46">
      <w:pPr>
        <w:jc w:val="center"/>
        <w:rPr>
          <w:rFonts w:ascii="宋体" w:hAnsi="宋体" w:cs="宋体"/>
          <w:color w:val="000000" w:themeColor="text1"/>
          <w:sz w:val="24"/>
          <w14:textFill>
            <w14:solidFill>
              <w14:schemeClr w14:val="tx1"/>
            </w14:solidFill>
          </w14:textFill>
        </w:rPr>
      </w:pPr>
    </w:p>
    <w:p w14:paraId="09A4811D">
      <w:pPr>
        <w:jc w:val="center"/>
        <w:rPr>
          <w:rFonts w:ascii="宋体" w:hAnsi="宋体" w:cs="宋体"/>
          <w:color w:val="000000" w:themeColor="text1"/>
          <w:sz w:val="24"/>
          <w14:textFill>
            <w14:solidFill>
              <w14:schemeClr w14:val="tx1"/>
            </w14:solidFill>
          </w14:textFill>
        </w:rPr>
      </w:pPr>
    </w:p>
    <w:p w14:paraId="6E3BFAEC">
      <w:pPr>
        <w:jc w:val="center"/>
        <w:rPr>
          <w:rFonts w:ascii="宋体" w:hAnsi="宋体" w:cs="宋体"/>
          <w:color w:val="000000" w:themeColor="text1"/>
          <w:sz w:val="24"/>
          <w14:textFill>
            <w14:solidFill>
              <w14:schemeClr w14:val="tx1"/>
            </w14:solidFill>
          </w14:textFill>
        </w:rPr>
      </w:pPr>
    </w:p>
    <w:p w14:paraId="14D11B0B">
      <w:pPr>
        <w:jc w:val="center"/>
        <w:rPr>
          <w:rFonts w:ascii="宋体" w:hAnsi="宋体" w:cs="宋体"/>
          <w:color w:val="000000" w:themeColor="text1"/>
          <w:sz w:val="24"/>
          <w14:textFill>
            <w14:solidFill>
              <w14:schemeClr w14:val="tx1"/>
            </w14:solidFill>
          </w14:textFill>
        </w:rPr>
      </w:pPr>
    </w:p>
    <w:p w14:paraId="790A73EF">
      <w:pPr>
        <w:pStyle w:val="20"/>
        <w:rPr>
          <w:color w:val="000000" w:themeColor="text1"/>
          <w14:textFill>
            <w14:solidFill>
              <w14:schemeClr w14:val="tx1"/>
            </w14:solidFill>
          </w14:textFill>
        </w:rPr>
      </w:pPr>
    </w:p>
    <w:p w14:paraId="6FA83725">
      <w:pPr>
        <w:pStyle w:val="20"/>
        <w:rPr>
          <w:color w:val="000000" w:themeColor="text1"/>
          <w14:textFill>
            <w14:solidFill>
              <w14:schemeClr w14:val="tx1"/>
            </w14:solidFill>
          </w14:textFill>
        </w:rPr>
      </w:pPr>
    </w:p>
    <w:p w14:paraId="0997EF7B">
      <w:pPr>
        <w:pStyle w:val="20"/>
        <w:rPr>
          <w:color w:val="000000" w:themeColor="text1"/>
          <w14:textFill>
            <w14:solidFill>
              <w14:schemeClr w14:val="tx1"/>
            </w14:solidFill>
          </w14:textFill>
        </w:rPr>
      </w:pPr>
    </w:p>
    <w:p w14:paraId="77F89556">
      <w:pPr>
        <w:pStyle w:val="20"/>
        <w:rPr>
          <w:color w:val="000000" w:themeColor="text1"/>
          <w14:textFill>
            <w14:solidFill>
              <w14:schemeClr w14:val="tx1"/>
            </w14:solidFill>
          </w14:textFill>
        </w:rPr>
      </w:pPr>
    </w:p>
    <w:p w14:paraId="63E55C1C">
      <w:pPr>
        <w:pStyle w:val="20"/>
        <w:rPr>
          <w:color w:val="000000" w:themeColor="text1"/>
          <w14:textFill>
            <w14:solidFill>
              <w14:schemeClr w14:val="tx1"/>
            </w14:solidFill>
          </w14:textFill>
        </w:rPr>
      </w:pPr>
    </w:p>
    <w:p w14:paraId="45B899AF">
      <w:pPr>
        <w:pStyle w:val="20"/>
        <w:rPr>
          <w:color w:val="000000" w:themeColor="text1"/>
          <w14:textFill>
            <w14:solidFill>
              <w14:schemeClr w14:val="tx1"/>
            </w14:solidFill>
          </w14:textFill>
        </w:rPr>
      </w:pPr>
    </w:p>
    <w:p w14:paraId="3D37CCF7">
      <w:pPr>
        <w:pStyle w:val="20"/>
        <w:rPr>
          <w:color w:val="000000" w:themeColor="text1"/>
          <w14:textFill>
            <w14:solidFill>
              <w14:schemeClr w14:val="tx1"/>
            </w14:solidFill>
          </w14:textFill>
        </w:rPr>
      </w:pPr>
    </w:p>
    <w:p w14:paraId="02832EAE">
      <w:pPr>
        <w:jc w:val="center"/>
        <w:rPr>
          <w:rFonts w:ascii="宋体" w:hAnsi="宋体" w:cs="宋体"/>
          <w:color w:val="000000" w:themeColor="text1"/>
          <w:sz w:val="24"/>
          <w14:textFill>
            <w14:solidFill>
              <w14:schemeClr w14:val="tx1"/>
            </w14:solidFill>
          </w14:textFill>
        </w:rPr>
      </w:pPr>
    </w:p>
    <w:p w14:paraId="573A6816">
      <w:pPr>
        <w:jc w:val="center"/>
        <w:rPr>
          <w:rFonts w:ascii="宋体" w:hAnsi="宋体" w:cs="宋体"/>
          <w:color w:val="000000" w:themeColor="text1"/>
          <w:sz w:val="24"/>
          <w14:textFill>
            <w14:solidFill>
              <w14:schemeClr w14:val="tx1"/>
            </w14:solidFill>
          </w14:textFill>
        </w:rPr>
      </w:pPr>
    </w:p>
    <w:p w14:paraId="36FB2866">
      <w:pPr>
        <w:jc w:val="center"/>
        <w:rPr>
          <w:rFonts w:ascii="宋体" w:hAnsi="宋体" w:cs="宋体"/>
          <w:color w:val="000000" w:themeColor="text1"/>
          <w:sz w:val="24"/>
          <w14:textFill>
            <w14:solidFill>
              <w14:schemeClr w14:val="tx1"/>
            </w14:solidFill>
          </w14:textFill>
        </w:rPr>
      </w:pPr>
    </w:p>
    <w:p w14:paraId="6C8355CC">
      <w:pPr>
        <w:jc w:val="center"/>
        <w:rPr>
          <w:rFonts w:ascii="宋体" w:hAnsi="宋体" w:cs="宋体"/>
          <w:color w:val="000000" w:themeColor="text1"/>
          <w:sz w:val="24"/>
          <w14:textFill>
            <w14:solidFill>
              <w14:schemeClr w14:val="tx1"/>
            </w14:solidFill>
          </w14:textFill>
        </w:rPr>
      </w:pPr>
    </w:p>
    <w:p w14:paraId="4F5DF5B0">
      <w:pPr>
        <w:jc w:val="center"/>
        <w:rPr>
          <w:rFonts w:ascii="宋体" w:hAnsi="宋体" w:cs="宋体"/>
          <w:color w:val="000000" w:themeColor="text1"/>
          <w:sz w:val="24"/>
          <w14:textFill>
            <w14:solidFill>
              <w14:schemeClr w14:val="tx1"/>
            </w14:solidFill>
          </w14:textFill>
        </w:rPr>
      </w:pPr>
    </w:p>
    <w:p w14:paraId="6754B503">
      <w:pPr>
        <w:pStyle w:val="20"/>
        <w:rPr>
          <w:color w:val="000000" w:themeColor="text1"/>
          <w14:textFill>
            <w14:solidFill>
              <w14:schemeClr w14:val="tx1"/>
            </w14:solidFill>
          </w14:textFill>
        </w:rPr>
      </w:pPr>
    </w:p>
    <w:p w14:paraId="680F2F8C">
      <w:pPr>
        <w:pStyle w:val="43"/>
        <w:ind w:firstLine="321"/>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周口市政府采购合同融资政策告知函</w:t>
      </w:r>
    </w:p>
    <w:p w14:paraId="61A67DB5">
      <w:pPr>
        <w:pStyle w:val="43"/>
        <w:ind w:firstLine="240"/>
        <w:rPr>
          <w:rFonts w:ascii="宋体" w:hAnsi="宋体"/>
          <w:color w:val="000000" w:themeColor="text1"/>
          <w:sz w:val="24"/>
          <w:szCs w:val="24"/>
          <w14:textFill>
            <w14:solidFill>
              <w14:schemeClr w14:val="tx1"/>
            </w14:solidFill>
          </w14:textFill>
        </w:rPr>
      </w:pPr>
    </w:p>
    <w:p w14:paraId="4AC98975">
      <w:pPr>
        <w:pStyle w:val="43"/>
        <w:ind w:firstLine="240"/>
        <w:rPr>
          <w:rFonts w:ascii="宋体" w:hAnsi="宋体"/>
          <w:color w:val="000000" w:themeColor="text1"/>
          <w:sz w:val="24"/>
          <w:szCs w:val="24"/>
          <w14:textFill>
            <w14:solidFill>
              <w14:schemeClr w14:val="tx1"/>
            </w14:solidFill>
          </w14:textFill>
        </w:rPr>
      </w:pPr>
    </w:p>
    <w:p w14:paraId="664C5EE5">
      <w:pPr>
        <w:pStyle w:val="43"/>
        <w:ind w:firstLine="240"/>
        <w:rPr>
          <w:rFonts w:ascii="宋体" w:hAnsi="宋体"/>
          <w:color w:val="000000" w:themeColor="text1"/>
          <w:sz w:val="24"/>
          <w:szCs w:val="24"/>
          <w14:textFill>
            <w14:solidFill>
              <w14:schemeClr w14:val="tx1"/>
            </w14:solidFill>
          </w14:textFill>
        </w:rPr>
      </w:pPr>
    </w:p>
    <w:p w14:paraId="78E840A9">
      <w:pPr>
        <w:pStyle w:val="43"/>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各供应商：</w:t>
      </w:r>
    </w:p>
    <w:p w14:paraId="2DBBECED">
      <w:pPr>
        <w:pStyle w:val="43"/>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欢迎贵公司参与周口市政府采购活动！</w:t>
      </w:r>
    </w:p>
    <w:p w14:paraId="5B2097D5">
      <w:pPr>
        <w:pStyle w:val="43"/>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3AC75FD">
      <w:pPr>
        <w:pStyle w:val="43"/>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贷款渠道和提供贷款的金融机构，可在河南省政府采购网“河南省政府采购合同融资平台”查询联系。</w:t>
      </w:r>
    </w:p>
    <w:p w14:paraId="05F94472">
      <w:pPr>
        <w:pStyle w:val="24"/>
        <w:spacing w:before="0" w:beforeAutospacing="0" w:after="0" w:afterAutospacing="0" w:line="330" w:lineRule="atLeast"/>
        <w:rPr>
          <w:rFonts w:cs="仿宋_GB2312"/>
          <w:b/>
          <w:bCs/>
          <w:color w:val="000000" w:themeColor="text1"/>
          <w:sz w:val="21"/>
          <w:szCs w:val="21"/>
          <w14:textFill>
            <w14:solidFill>
              <w14:schemeClr w14:val="tx1"/>
            </w14:solidFill>
          </w14:textFill>
        </w:rPr>
      </w:pPr>
    </w:p>
    <w:p w14:paraId="44E10537">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5E1330EF">
      <w:pPr>
        <w:spacing w:line="38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十三、政府采购供应商诚信承诺书</w:t>
      </w:r>
    </w:p>
    <w:p w14:paraId="548154E1">
      <w:pPr>
        <w:spacing w:line="380" w:lineRule="exact"/>
        <w:jc w:val="center"/>
        <w:rPr>
          <w:rFonts w:ascii="宋体" w:hAnsi="宋体" w:cs="宋体"/>
          <w:b/>
          <w:color w:val="000000" w:themeColor="text1"/>
          <w:sz w:val="24"/>
          <w14:textFill>
            <w14:solidFill>
              <w14:schemeClr w14:val="tx1"/>
            </w14:solidFill>
          </w14:textFill>
        </w:rPr>
      </w:pPr>
    </w:p>
    <w:p w14:paraId="6A2CCCA0">
      <w:pPr>
        <w:spacing w:line="3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4D115D3">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（一）提供虚假材料谋取中标;</w:t>
      </w:r>
    </w:p>
    <w:p w14:paraId="68D6E6AC">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（二）采取不正当手段诋毁、排挤其他供应商;</w:t>
      </w:r>
    </w:p>
    <w:p w14:paraId="455B54B1">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（三）与招标采购单位、其他投标人恶意串通;</w:t>
      </w:r>
    </w:p>
    <w:p w14:paraId="290FDF75">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（四）向招标采购单位或提供其他不正当利益;</w:t>
      </w:r>
    </w:p>
    <w:p w14:paraId="4D9BF839">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（五）在招标过程中与招标采购单位进行协商谈判、不按照招标文件和投标文件订立合同，或者与采购人另立背离合同实质性内容协议;</w:t>
      </w:r>
    </w:p>
    <w:p w14:paraId="084BB070">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（六）开标后擅自撤销投标，影响招标继续进行的或领取招标文件纳投标保证金后不投标导致废标;</w:t>
      </w:r>
    </w:p>
    <w:p w14:paraId="430DC68B">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（七）中标后无正当理由，在规定时间内不与采购单位签订合同;</w:t>
      </w:r>
    </w:p>
    <w:p w14:paraId="62B45149">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（八）将中标项目转让给他人或非法分包他人;</w:t>
      </w:r>
    </w:p>
    <w:p w14:paraId="0D6556FA">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（九）无正当理由，拒绝履行合同义务;</w:t>
      </w:r>
    </w:p>
    <w:p w14:paraId="0CFE7FE1">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（十）无正当理由放弃中标（成交）项目;</w:t>
      </w:r>
    </w:p>
    <w:p w14:paraId="1ECA5C60">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（十ー）擅自或与与采购人串通或接受采购人要求，在履约合同中通过减少货物数量，更换品牌、降低配置、技术要求、质量和服务标准等，却仍按原合同进行虚假验收或终止政府采购合同;</w:t>
      </w:r>
    </w:p>
    <w:p w14:paraId="769B74C6">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（十二）与采购人串通，对尚未履约完毕的采购项目出具虚假验收报告；</w:t>
      </w:r>
    </w:p>
    <w:p w14:paraId="3554D08E">
      <w:pPr>
        <w:spacing w:line="380" w:lineRule="exact"/>
        <w:ind w:firstLine="403" w:firstLineChars="16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（十三）无不可抗力因素，拒绝提供售后服务、售后服务态度恶劣、故意提高维修配件价格（高于市场平均价）；</w:t>
      </w:r>
    </w:p>
    <w:p w14:paraId="08B54D34">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（十四）开标后对招标文件的相关内容再进行质疑；</w:t>
      </w:r>
    </w:p>
    <w:p w14:paraId="12C8E128">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（十五）恶意投诉的行为：投诉经查无实据的、捏造事实或者提供虚假设诉材料；</w:t>
      </w:r>
    </w:p>
    <w:p w14:paraId="404B85FE">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（十六）拒绝有关部门监督检查或者提供虚假情况；</w:t>
      </w:r>
    </w:p>
    <w:p w14:paraId="2ED4CC12">
      <w:pPr>
        <w:spacing w:line="38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（十七）政府采购监管部门认定的其他政府采购活动中的不诚信行为。</w:t>
      </w:r>
    </w:p>
    <w:p w14:paraId="26D19F6C">
      <w:pPr>
        <w:spacing w:line="380" w:lineRule="exact"/>
        <w:rPr>
          <w:rFonts w:ascii="宋体" w:hAnsi="宋体" w:cs="宋体"/>
          <w:color w:val="000000" w:themeColor="text1"/>
          <w:sz w:val="24"/>
          <w14:textFill>
            <w14:solidFill>
              <w14:schemeClr w14:val="tx1"/>
            </w14:solidFill>
          </w14:textFill>
        </w:rPr>
      </w:pPr>
    </w:p>
    <w:p w14:paraId="06018D9E">
      <w:pPr>
        <w:spacing w:line="380" w:lineRule="exact"/>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供应商名称：（电子公章）</w:t>
      </w:r>
    </w:p>
    <w:p w14:paraId="5AE6687E">
      <w:pPr>
        <w:spacing w:line="380" w:lineRule="exact"/>
        <w:ind w:right="640" w:firstLine="1560" w:firstLineChars="650"/>
        <w:rPr>
          <w:rFonts w:ascii="宋体" w:hAnsi="宋体" w:cs="宋体"/>
          <w:color w:val="000000" w:themeColor="text1"/>
          <w:sz w:val="24"/>
          <w14:textFill>
            <w14:solidFill>
              <w14:schemeClr w14:val="tx1"/>
            </w14:solidFill>
          </w14:textFill>
        </w:rPr>
      </w:pPr>
    </w:p>
    <w:p w14:paraId="68FC329D">
      <w:pPr>
        <w:spacing w:line="380" w:lineRule="exact"/>
        <w:ind w:right="640"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法定代表人或授权委托人：        </w:t>
      </w:r>
      <w:r>
        <w:rPr>
          <w:rFonts w:hint="eastAsia" w:ascii="宋体" w:hAnsi="宋体" w:cs="宋体"/>
          <w:sz w:val="24"/>
        </w:rPr>
        <w:t>（签章）</w:t>
      </w:r>
    </w:p>
    <w:p w14:paraId="315359E1">
      <w:pPr>
        <w:spacing w:line="380" w:lineRule="exact"/>
        <w:jc w:val="center"/>
        <w:rPr>
          <w:rFonts w:ascii="宋体" w:hAnsi="宋体" w:cs="宋体"/>
          <w:color w:val="000000" w:themeColor="text1"/>
          <w:sz w:val="24"/>
          <w14:textFill>
            <w14:solidFill>
              <w14:schemeClr w14:val="tx1"/>
            </w14:solidFill>
          </w14:textFill>
        </w:rPr>
      </w:pPr>
    </w:p>
    <w:p w14:paraId="4CBDB20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4B9F3F70">
      <w:pPr>
        <w:rPr>
          <w:b/>
          <w:color w:val="000000" w:themeColor="text1"/>
          <w:sz w:val="32"/>
          <w:szCs w:val="32"/>
          <w14:textFill>
            <w14:solidFill>
              <w14:schemeClr w14:val="tx1"/>
            </w14:solidFill>
          </w14:textFill>
        </w:rPr>
      </w:pPr>
    </w:p>
    <w:sectPr>
      <w:pgSz w:w="11906" w:h="16838"/>
      <w:pgMar w:top="1389" w:right="1440" w:bottom="1440" w:left="138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80F61B-4194-4445-9D2B-8B4FA8890EF4}"/>
  </w:font>
  <w:font w:name="黑体">
    <w:panose1 w:val="02010609060101010101"/>
    <w:charset w:val="86"/>
    <w:family w:val="auto"/>
    <w:pitch w:val="default"/>
    <w:sig w:usb0="800002BF" w:usb1="38CF7CFA" w:usb2="00000016" w:usb3="00000000" w:csb0="00040001" w:csb1="00000000"/>
    <w:embedRegular r:id="rId2" w:fontKey="{1F69906D-315F-430E-93B9-60C9228057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D52C1AD-3A8F-4122-9B46-621029510806}"/>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4D91">
    <w:pPr>
      <w:pStyle w:val="18"/>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462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4625" cy="210820"/>
                      </a:xfrm>
                      <a:prstGeom prst="rect">
                        <a:avLst/>
                      </a:prstGeom>
                      <a:noFill/>
                      <a:ln>
                        <a:noFill/>
                      </a:ln>
                      <a:effectLst/>
                    </wps:spPr>
                    <wps:txbx>
                      <w:txbxContent>
                        <w:p w14:paraId="34DA1BDB">
                          <w:pPr>
                            <w:pStyle w:val="18"/>
                            <w:rPr>
                              <w:rStyle w:val="31"/>
                            </w:rPr>
                          </w:pPr>
                          <w:r>
                            <w:fldChar w:fldCharType="begin"/>
                          </w:r>
                          <w:r>
                            <w:rPr>
                              <w:rStyle w:val="31"/>
                            </w:rPr>
                            <w:instrText xml:space="preserve">PAGE   \* MERGEFORMAT</w:instrText>
                          </w:r>
                          <w:r>
                            <w:fldChar w:fldCharType="separate"/>
                          </w:r>
                          <w:r>
                            <w:rPr>
                              <w:rStyle w:val="31"/>
                              <w:lang w:val="zh-CN"/>
                            </w:rP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6.6pt;width:13.75pt;mso-position-horizontal:center;mso-position-horizontal-relative:margin;z-index:251659264;mso-width-relative:page;mso-height-relative:page;" filled="f" stroked="f" coordsize="21600,21600" o:gfxdata="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XX2lvUAAAAAwEAAA8AAAAAAAAAAQAgAAAAIgAAAGRycy9kb3ducmV2LnhtbFBLAQIU&#10;ABQAAAAIAIdO4kCGGtyGvgEAAH8DAAAOAAAAAAAAAAEAIAAAACMBAABkcnMvZTJvRG9jLnhtbFBL&#10;BQYAAAAABgAGAFkBAABTBQAAAAA=&#10;">
              <v:fill on="f" focussize="0,0"/>
              <v:stroke on="f"/>
              <v:imagedata o:title=""/>
              <o:lock v:ext="edit" aspectratio="f"/>
              <v:textbox inset="0mm,0mm,0mm,0mm">
                <w:txbxContent>
                  <w:p w14:paraId="34DA1BDB">
                    <w:pPr>
                      <w:pStyle w:val="18"/>
                      <w:rPr>
                        <w:rStyle w:val="31"/>
                      </w:rPr>
                    </w:pPr>
                    <w:r>
                      <w:fldChar w:fldCharType="begin"/>
                    </w:r>
                    <w:r>
                      <w:rPr>
                        <w:rStyle w:val="31"/>
                      </w:rPr>
                      <w:instrText xml:space="preserve">PAGE   \* MERGEFORMAT</w:instrText>
                    </w:r>
                    <w:r>
                      <w:fldChar w:fldCharType="separate"/>
                    </w:r>
                    <w:r>
                      <w:rPr>
                        <w:rStyle w:val="31"/>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1E09">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A6AA"/>
    <w:multiLevelType w:val="singleLevel"/>
    <w:tmpl w:val="A1BAA6AA"/>
    <w:lvl w:ilvl="0" w:tentative="0">
      <w:start w:val="2"/>
      <w:numFmt w:val="decimal"/>
      <w:lvlText w:val="%1."/>
      <w:lvlJc w:val="left"/>
      <w:pPr>
        <w:tabs>
          <w:tab w:val="left" w:pos="312"/>
        </w:tabs>
      </w:pPr>
    </w:lvl>
  </w:abstractNum>
  <w:abstractNum w:abstractNumId="1">
    <w:nsid w:val="E118E860"/>
    <w:multiLevelType w:val="singleLevel"/>
    <w:tmpl w:val="E118E860"/>
    <w:lvl w:ilvl="0" w:tentative="0">
      <w:start w:val="7"/>
      <w:numFmt w:val="chineseCounting"/>
      <w:suff w:val="space"/>
      <w:lvlText w:val="第%1章"/>
      <w:lvlJc w:val="left"/>
      <w:rPr>
        <w:rFonts w:hint="eastAsia"/>
      </w:rPr>
    </w:lvl>
  </w:abstractNum>
  <w:abstractNum w:abstractNumId="2">
    <w:nsid w:val="FEB6B8F4"/>
    <w:multiLevelType w:val="singleLevel"/>
    <w:tmpl w:val="FEB6B8F4"/>
    <w:lvl w:ilvl="0" w:tentative="0">
      <w:start w:val="1"/>
      <w:numFmt w:val="decimal"/>
      <w:lvlText w:val="%1."/>
      <w:lvlJc w:val="left"/>
      <w:pPr>
        <w:tabs>
          <w:tab w:val="left" w:pos="312"/>
        </w:tabs>
      </w:pPr>
    </w:lvl>
  </w:abstractNum>
  <w:abstractNum w:abstractNumId="3">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0EBEF6"/>
    <w:multiLevelType w:val="singleLevel"/>
    <w:tmpl w:val="070EBEF6"/>
    <w:lvl w:ilvl="0" w:tentative="0">
      <w:start w:val="3"/>
      <w:numFmt w:val="decimal"/>
      <w:lvlText w:val="%1."/>
      <w:lvlJc w:val="left"/>
      <w:pPr>
        <w:tabs>
          <w:tab w:val="left" w:pos="312"/>
        </w:tabs>
      </w:pPr>
    </w:lvl>
  </w:abstractNum>
  <w:abstractNum w:abstractNumId="5">
    <w:nsid w:val="2BB283A6"/>
    <w:multiLevelType w:val="singleLevel"/>
    <w:tmpl w:val="2BB283A6"/>
    <w:lvl w:ilvl="0" w:tentative="0">
      <w:start w:val="1"/>
      <w:numFmt w:val="decimal"/>
      <w:lvlText w:val="%1."/>
      <w:lvlJc w:val="left"/>
      <w:pPr>
        <w:tabs>
          <w:tab w:val="left" w:pos="312"/>
        </w:tabs>
      </w:pPr>
    </w:lvl>
  </w:abstractNum>
  <w:abstractNum w:abstractNumId="6">
    <w:nsid w:val="39DC661E"/>
    <w:multiLevelType w:val="singleLevel"/>
    <w:tmpl w:val="39DC661E"/>
    <w:lvl w:ilvl="0" w:tentative="0">
      <w:start w:val="1"/>
      <w:numFmt w:val="decimal"/>
      <w:lvlText w:val="(%1)"/>
      <w:lvlJc w:val="left"/>
      <w:pPr>
        <w:ind w:left="425" w:hanging="425"/>
      </w:pPr>
      <w:rPr>
        <w:rFonts w:hint="default"/>
      </w:rPr>
    </w:lvl>
  </w:abstractNum>
  <w:abstractNum w:abstractNumId="7">
    <w:nsid w:val="6058BAAF"/>
    <w:multiLevelType w:val="singleLevel"/>
    <w:tmpl w:val="6058BAAF"/>
    <w:lvl w:ilvl="0" w:tentative="0">
      <w:start w:val="1"/>
      <w:numFmt w:val="decimal"/>
      <w:suff w:val="nothing"/>
      <w:lvlText w:val="%1、"/>
      <w:lvlJc w:val="left"/>
    </w:lvl>
  </w:abstractNum>
  <w:abstractNum w:abstractNumId="8">
    <w:nsid w:val="6249A123"/>
    <w:multiLevelType w:val="singleLevel"/>
    <w:tmpl w:val="6249A123"/>
    <w:lvl w:ilvl="0" w:tentative="0">
      <w:start w:val="3"/>
      <w:numFmt w:val="decimal"/>
      <w:suff w:val="nothing"/>
      <w:lvlText w:val="（%1）"/>
      <w:lvlJc w:val="left"/>
    </w:lvl>
  </w:abstractNum>
  <w:num w:numId="1">
    <w:abstractNumId w:val="4"/>
  </w:num>
  <w:num w:numId="2">
    <w:abstractNumId w:val="6"/>
  </w:num>
  <w:num w:numId="3">
    <w:abstractNumId w:val="8"/>
  </w:num>
  <w:num w:numId="4">
    <w:abstractNumId w:val="2"/>
  </w:num>
  <w:num w:numId="5">
    <w:abstractNumId w:val="5"/>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OWM2NGIyODQ5NjlkZTExYzA2NzE1YTNlYTVkY2MifQ=="/>
  </w:docVars>
  <w:rsids>
    <w:rsidRoot w:val="3AEF4B05"/>
    <w:rsid w:val="00357064"/>
    <w:rsid w:val="00526096"/>
    <w:rsid w:val="005F5EB8"/>
    <w:rsid w:val="007C3A94"/>
    <w:rsid w:val="008A720D"/>
    <w:rsid w:val="008C2EEA"/>
    <w:rsid w:val="009F4C8A"/>
    <w:rsid w:val="00BF6EAB"/>
    <w:rsid w:val="00C550E3"/>
    <w:rsid w:val="00CE0C2E"/>
    <w:rsid w:val="00CF2E0A"/>
    <w:rsid w:val="00D509E0"/>
    <w:rsid w:val="00E4790F"/>
    <w:rsid w:val="00EC407F"/>
    <w:rsid w:val="00FC206D"/>
    <w:rsid w:val="013435B5"/>
    <w:rsid w:val="016C033C"/>
    <w:rsid w:val="016F45ED"/>
    <w:rsid w:val="025175E3"/>
    <w:rsid w:val="03014BA1"/>
    <w:rsid w:val="037A3AFD"/>
    <w:rsid w:val="03B22EB7"/>
    <w:rsid w:val="04293179"/>
    <w:rsid w:val="0457232B"/>
    <w:rsid w:val="046800D1"/>
    <w:rsid w:val="048C308C"/>
    <w:rsid w:val="048E7480"/>
    <w:rsid w:val="051558E2"/>
    <w:rsid w:val="05551D4C"/>
    <w:rsid w:val="05F31C91"/>
    <w:rsid w:val="07856705"/>
    <w:rsid w:val="07A82607"/>
    <w:rsid w:val="07BB7464"/>
    <w:rsid w:val="080A1514"/>
    <w:rsid w:val="08631D98"/>
    <w:rsid w:val="08FE3850"/>
    <w:rsid w:val="0B5F56D3"/>
    <w:rsid w:val="0BBF4826"/>
    <w:rsid w:val="0BE342E4"/>
    <w:rsid w:val="0C0915B8"/>
    <w:rsid w:val="0C7C4DBA"/>
    <w:rsid w:val="0CA57A5D"/>
    <w:rsid w:val="0CD05D01"/>
    <w:rsid w:val="0CED738A"/>
    <w:rsid w:val="0D2766C4"/>
    <w:rsid w:val="0DA151AB"/>
    <w:rsid w:val="0DB31D06"/>
    <w:rsid w:val="0DCB704F"/>
    <w:rsid w:val="0E933C61"/>
    <w:rsid w:val="0EAE0E4B"/>
    <w:rsid w:val="0EBE409D"/>
    <w:rsid w:val="0ED63EFE"/>
    <w:rsid w:val="0F843DFB"/>
    <w:rsid w:val="0F8B4CE8"/>
    <w:rsid w:val="10725009"/>
    <w:rsid w:val="1090632E"/>
    <w:rsid w:val="10E548CC"/>
    <w:rsid w:val="12377FEB"/>
    <w:rsid w:val="12437AFC"/>
    <w:rsid w:val="124A70DD"/>
    <w:rsid w:val="12A14823"/>
    <w:rsid w:val="12B5349E"/>
    <w:rsid w:val="12F76475"/>
    <w:rsid w:val="13213120"/>
    <w:rsid w:val="13315BA7"/>
    <w:rsid w:val="1384118D"/>
    <w:rsid w:val="146D2C0E"/>
    <w:rsid w:val="14D94748"/>
    <w:rsid w:val="14EF7AC7"/>
    <w:rsid w:val="158F1E4E"/>
    <w:rsid w:val="15935E14"/>
    <w:rsid w:val="15FC6940"/>
    <w:rsid w:val="166362E5"/>
    <w:rsid w:val="17B9616B"/>
    <w:rsid w:val="17C9257A"/>
    <w:rsid w:val="18934C0E"/>
    <w:rsid w:val="18E216F1"/>
    <w:rsid w:val="19F32613"/>
    <w:rsid w:val="1A226249"/>
    <w:rsid w:val="1A8F5615"/>
    <w:rsid w:val="1B0B4F2F"/>
    <w:rsid w:val="1B486183"/>
    <w:rsid w:val="1B760AE4"/>
    <w:rsid w:val="1C19367C"/>
    <w:rsid w:val="1C9D605B"/>
    <w:rsid w:val="1CA94A00"/>
    <w:rsid w:val="1EC27FFB"/>
    <w:rsid w:val="1EC410C3"/>
    <w:rsid w:val="1FA26223"/>
    <w:rsid w:val="1FC85AE5"/>
    <w:rsid w:val="1FE860F8"/>
    <w:rsid w:val="20B61DE1"/>
    <w:rsid w:val="20D34741"/>
    <w:rsid w:val="20F07577"/>
    <w:rsid w:val="21262DE6"/>
    <w:rsid w:val="214E3DC8"/>
    <w:rsid w:val="21C66054"/>
    <w:rsid w:val="21E02A17"/>
    <w:rsid w:val="222039B6"/>
    <w:rsid w:val="22C75BE0"/>
    <w:rsid w:val="22EE7610"/>
    <w:rsid w:val="239416CC"/>
    <w:rsid w:val="23A307E0"/>
    <w:rsid w:val="24215DEE"/>
    <w:rsid w:val="242E2AF3"/>
    <w:rsid w:val="248024EA"/>
    <w:rsid w:val="24E376E6"/>
    <w:rsid w:val="25A65182"/>
    <w:rsid w:val="25F136F5"/>
    <w:rsid w:val="26386BE4"/>
    <w:rsid w:val="264015EC"/>
    <w:rsid w:val="279749F2"/>
    <w:rsid w:val="27FF406E"/>
    <w:rsid w:val="295757E3"/>
    <w:rsid w:val="295959FF"/>
    <w:rsid w:val="29CB00FF"/>
    <w:rsid w:val="29D67050"/>
    <w:rsid w:val="2A5A558B"/>
    <w:rsid w:val="2A6A1FA4"/>
    <w:rsid w:val="2BAE2033"/>
    <w:rsid w:val="2C0156C7"/>
    <w:rsid w:val="2C21758E"/>
    <w:rsid w:val="2C820DC9"/>
    <w:rsid w:val="2CC80D37"/>
    <w:rsid w:val="2D0839C4"/>
    <w:rsid w:val="2DC45B3D"/>
    <w:rsid w:val="2DDC7133"/>
    <w:rsid w:val="2DF81343"/>
    <w:rsid w:val="2F4E39DF"/>
    <w:rsid w:val="2F5928D5"/>
    <w:rsid w:val="2F926239"/>
    <w:rsid w:val="2F9C21A2"/>
    <w:rsid w:val="300C5C28"/>
    <w:rsid w:val="300F506A"/>
    <w:rsid w:val="30214FD2"/>
    <w:rsid w:val="305A4537"/>
    <w:rsid w:val="30872E52"/>
    <w:rsid w:val="30F0044A"/>
    <w:rsid w:val="31385CA0"/>
    <w:rsid w:val="3310254A"/>
    <w:rsid w:val="334B5369"/>
    <w:rsid w:val="3381627F"/>
    <w:rsid w:val="33B65F28"/>
    <w:rsid w:val="341006AF"/>
    <w:rsid w:val="34140EA1"/>
    <w:rsid w:val="34E34862"/>
    <w:rsid w:val="351B6E18"/>
    <w:rsid w:val="353545BA"/>
    <w:rsid w:val="35C21016"/>
    <w:rsid w:val="37893954"/>
    <w:rsid w:val="38C75B10"/>
    <w:rsid w:val="3905525C"/>
    <w:rsid w:val="39271051"/>
    <w:rsid w:val="39375B41"/>
    <w:rsid w:val="39DF446A"/>
    <w:rsid w:val="3A286675"/>
    <w:rsid w:val="3AEF4B05"/>
    <w:rsid w:val="3B343BD6"/>
    <w:rsid w:val="3CE35E84"/>
    <w:rsid w:val="3CE82ECA"/>
    <w:rsid w:val="3D1D0DC6"/>
    <w:rsid w:val="3D4E0F7F"/>
    <w:rsid w:val="3D714C6E"/>
    <w:rsid w:val="3D932E36"/>
    <w:rsid w:val="3D9A2B54"/>
    <w:rsid w:val="3DA54918"/>
    <w:rsid w:val="3DB37E93"/>
    <w:rsid w:val="3DDC1282"/>
    <w:rsid w:val="3DFF19BF"/>
    <w:rsid w:val="3E5C71F0"/>
    <w:rsid w:val="3EFF6AAA"/>
    <w:rsid w:val="404D383F"/>
    <w:rsid w:val="40754A75"/>
    <w:rsid w:val="40BC6905"/>
    <w:rsid w:val="40EB5625"/>
    <w:rsid w:val="41250249"/>
    <w:rsid w:val="41501FD0"/>
    <w:rsid w:val="41A05B22"/>
    <w:rsid w:val="42CD3559"/>
    <w:rsid w:val="42DC0376"/>
    <w:rsid w:val="438453CE"/>
    <w:rsid w:val="442944F4"/>
    <w:rsid w:val="443C3B44"/>
    <w:rsid w:val="455455A1"/>
    <w:rsid w:val="455530C7"/>
    <w:rsid w:val="462A00B0"/>
    <w:rsid w:val="46360E76"/>
    <w:rsid w:val="46503FBA"/>
    <w:rsid w:val="465C65CE"/>
    <w:rsid w:val="479C6D8B"/>
    <w:rsid w:val="47C92D3C"/>
    <w:rsid w:val="484A67E7"/>
    <w:rsid w:val="48F36F76"/>
    <w:rsid w:val="48F50123"/>
    <w:rsid w:val="499F5FF1"/>
    <w:rsid w:val="4A1E1CDA"/>
    <w:rsid w:val="4B6D42C0"/>
    <w:rsid w:val="4B7F4E5D"/>
    <w:rsid w:val="4B8B0F02"/>
    <w:rsid w:val="4BA77F75"/>
    <w:rsid w:val="4BD761B9"/>
    <w:rsid w:val="4BEA4569"/>
    <w:rsid w:val="4BFE6BD8"/>
    <w:rsid w:val="4C7D53DD"/>
    <w:rsid w:val="4C916D27"/>
    <w:rsid w:val="4C9444D5"/>
    <w:rsid w:val="4D3A5B51"/>
    <w:rsid w:val="4F271630"/>
    <w:rsid w:val="4F572FB5"/>
    <w:rsid w:val="4F7B0EA8"/>
    <w:rsid w:val="4F8E53FD"/>
    <w:rsid w:val="4FB86719"/>
    <w:rsid w:val="4FF27066"/>
    <w:rsid w:val="51D71203"/>
    <w:rsid w:val="521A4710"/>
    <w:rsid w:val="52801F5C"/>
    <w:rsid w:val="52B17B73"/>
    <w:rsid w:val="52B63410"/>
    <w:rsid w:val="543F566E"/>
    <w:rsid w:val="547A48F8"/>
    <w:rsid w:val="548D514B"/>
    <w:rsid w:val="54ED2139"/>
    <w:rsid w:val="551628BB"/>
    <w:rsid w:val="553D7E00"/>
    <w:rsid w:val="56130B60"/>
    <w:rsid w:val="57633422"/>
    <w:rsid w:val="57FA3666"/>
    <w:rsid w:val="580D499E"/>
    <w:rsid w:val="58862772"/>
    <w:rsid w:val="58D42829"/>
    <w:rsid w:val="58F509F1"/>
    <w:rsid w:val="59103135"/>
    <w:rsid w:val="59462FFB"/>
    <w:rsid w:val="59800070"/>
    <w:rsid w:val="5A6776CD"/>
    <w:rsid w:val="5AAE70AA"/>
    <w:rsid w:val="5AEE394A"/>
    <w:rsid w:val="5B311D2E"/>
    <w:rsid w:val="5B9D37EC"/>
    <w:rsid w:val="5C78796F"/>
    <w:rsid w:val="5C797243"/>
    <w:rsid w:val="5C8A1451"/>
    <w:rsid w:val="5CA2740B"/>
    <w:rsid w:val="5DAD189A"/>
    <w:rsid w:val="5DE80B25"/>
    <w:rsid w:val="5E203E1A"/>
    <w:rsid w:val="5E317DD6"/>
    <w:rsid w:val="5E4C2E61"/>
    <w:rsid w:val="5EC724E8"/>
    <w:rsid w:val="5EF62DCD"/>
    <w:rsid w:val="5FB92779"/>
    <w:rsid w:val="600D5327"/>
    <w:rsid w:val="61D513C0"/>
    <w:rsid w:val="6299419B"/>
    <w:rsid w:val="634A6066"/>
    <w:rsid w:val="63C66CAD"/>
    <w:rsid w:val="63CD67F3"/>
    <w:rsid w:val="63E36016"/>
    <w:rsid w:val="64540CC2"/>
    <w:rsid w:val="64DF6596"/>
    <w:rsid w:val="656C284C"/>
    <w:rsid w:val="66B0201E"/>
    <w:rsid w:val="66D460EA"/>
    <w:rsid w:val="68C64435"/>
    <w:rsid w:val="694B64F8"/>
    <w:rsid w:val="6A90057A"/>
    <w:rsid w:val="6AF27578"/>
    <w:rsid w:val="6B680BAF"/>
    <w:rsid w:val="6C0815ED"/>
    <w:rsid w:val="6C0B711B"/>
    <w:rsid w:val="6C8758C5"/>
    <w:rsid w:val="6DC9627D"/>
    <w:rsid w:val="6E107469"/>
    <w:rsid w:val="6E695756"/>
    <w:rsid w:val="6EB5235D"/>
    <w:rsid w:val="6EF5507B"/>
    <w:rsid w:val="6EF72976"/>
    <w:rsid w:val="6F454EFF"/>
    <w:rsid w:val="700A66D9"/>
    <w:rsid w:val="70AD4450"/>
    <w:rsid w:val="71221EFC"/>
    <w:rsid w:val="718F6E95"/>
    <w:rsid w:val="71BD6FFF"/>
    <w:rsid w:val="72A5093A"/>
    <w:rsid w:val="72D87345"/>
    <w:rsid w:val="73337CF4"/>
    <w:rsid w:val="733419E4"/>
    <w:rsid w:val="73D43285"/>
    <w:rsid w:val="73D94061"/>
    <w:rsid w:val="73FF4D49"/>
    <w:rsid w:val="74F05498"/>
    <w:rsid w:val="75096F5F"/>
    <w:rsid w:val="75243D99"/>
    <w:rsid w:val="75671ED7"/>
    <w:rsid w:val="75B710B1"/>
    <w:rsid w:val="76A71125"/>
    <w:rsid w:val="76D66828"/>
    <w:rsid w:val="771D3195"/>
    <w:rsid w:val="77880253"/>
    <w:rsid w:val="784B5AE0"/>
    <w:rsid w:val="7914578F"/>
    <w:rsid w:val="792F0F5E"/>
    <w:rsid w:val="796706F8"/>
    <w:rsid w:val="7A0D5743"/>
    <w:rsid w:val="7AEE5A74"/>
    <w:rsid w:val="7B593E18"/>
    <w:rsid w:val="7BE44282"/>
    <w:rsid w:val="7C0A3603"/>
    <w:rsid w:val="7CB974BC"/>
    <w:rsid w:val="7CFB1883"/>
    <w:rsid w:val="7D256900"/>
    <w:rsid w:val="7DF06F0E"/>
    <w:rsid w:val="7E9B6AC9"/>
    <w:rsid w:val="7EDE76AE"/>
    <w:rsid w:val="7EF401A0"/>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30"/>
      <w:szCs w:val="44"/>
    </w:rPr>
  </w:style>
  <w:style w:type="paragraph" w:styleId="4">
    <w:name w:val="heading 2"/>
    <w:basedOn w:val="1"/>
    <w:next w:val="1"/>
    <w:qFormat/>
    <w:uiPriority w:val="9"/>
    <w:pPr>
      <w:keepNext/>
      <w:keepLines/>
      <w:spacing w:before="260" w:after="260" w:line="416" w:lineRule="auto"/>
      <w:ind w:firstLine="628"/>
      <w:jc w:val="center"/>
      <w:outlineLvl w:val="1"/>
    </w:pPr>
    <w:rPr>
      <w:rFonts w:ascii="Arial" w:eastAsia="黑体"/>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64"/>
    <w:qFormat/>
    <w:uiPriority w:val="0"/>
    <w:pPr>
      <w:keepNext/>
      <w:keepLines/>
      <w:spacing w:before="280" w:after="29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widowControl/>
      <w:shd w:val="pct20" w:color="000000" w:fill="auto"/>
      <w:ind w:left="1080" w:hanging="1080"/>
    </w:pPr>
    <w:rPr>
      <w:rFonts w:ascii="Cambria" w:hAnsi="Cambria" w:eastAsia="Cambria"/>
      <w:sz w:val="24"/>
    </w:rPr>
  </w:style>
  <w:style w:type="paragraph" w:styleId="8">
    <w:name w:val="caption"/>
    <w:basedOn w:val="1"/>
    <w:next w:val="1"/>
    <w:qFormat/>
    <w:uiPriority w:val="0"/>
    <w:rPr>
      <w:rFonts w:ascii="Cambria" w:hAnsi="Cambria" w:eastAsia="黑体"/>
      <w:sz w:val="20"/>
    </w:rPr>
  </w:style>
  <w:style w:type="paragraph" w:styleId="9">
    <w:name w:val="annotation text"/>
    <w:basedOn w:val="1"/>
    <w:qFormat/>
    <w:uiPriority w:val="0"/>
    <w:pPr>
      <w:jc w:val="left"/>
    </w:pPr>
  </w:style>
  <w:style w:type="paragraph" w:styleId="10">
    <w:name w:val="Body Text 3"/>
    <w:basedOn w:val="1"/>
    <w:qFormat/>
    <w:uiPriority w:val="0"/>
    <w:rPr>
      <w:rFonts w:ascii="黑体" w:hAnsi="Arial" w:eastAsia="黑体"/>
      <w:b/>
      <w:sz w:val="28"/>
    </w:rPr>
  </w:style>
  <w:style w:type="paragraph" w:styleId="11">
    <w:name w:val="Body Text"/>
    <w:basedOn w:val="1"/>
    <w:next w:val="12"/>
    <w:qFormat/>
    <w:uiPriority w:val="0"/>
    <w:rPr>
      <w:rFonts w:ascii="宋体" w:hAnsi="Arial"/>
      <w:sz w:val="28"/>
    </w:rPr>
  </w:style>
  <w:style w:type="paragraph" w:customStyle="1" w:styleId="12">
    <w:name w:val="Body Text First Indent1"/>
    <w:basedOn w:val="11"/>
    <w:qFormat/>
    <w:uiPriority w:val="0"/>
    <w:pPr>
      <w:spacing w:line="360" w:lineRule="auto"/>
      <w:ind w:firstLine="420" w:firstLineChars="100"/>
    </w:pPr>
  </w:style>
  <w:style w:type="paragraph" w:styleId="13">
    <w:name w:val="Body Text Indent"/>
    <w:basedOn w:val="1"/>
    <w:next w:val="14"/>
    <w:qFormat/>
    <w:uiPriority w:val="0"/>
    <w:pPr>
      <w:ind w:firstLine="645"/>
    </w:pPr>
    <w:rPr>
      <w:rFonts w:ascii="楷体_GB2312" w:eastAsia="楷体_GB2312"/>
      <w:sz w:val="32"/>
    </w:rPr>
  </w:style>
  <w:style w:type="paragraph" w:styleId="14">
    <w:name w:val="envelope return"/>
    <w:basedOn w:val="1"/>
    <w:qFormat/>
    <w:uiPriority w:val="99"/>
    <w:pPr>
      <w:snapToGrid w:val="0"/>
    </w:pPr>
    <w:rPr>
      <w:rFonts w:ascii="Arial" w:hAnsi="Arial"/>
    </w:rPr>
  </w:style>
  <w:style w:type="paragraph" w:styleId="15">
    <w:name w:val="Plain Text"/>
    <w:basedOn w:val="1"/>
    <w:qFormat/>
    <w:uiPriority w:val="0"/>
    <w:rPr>
      <w:rFonts w:ascii="宋体" w:hAnsi="Courier New"/>
    </w:rPr>
  </w:style>
  <w:style w:type="paragraph" w:styleId="16">
    <w:name w:val="Date"/>
    <w:basedOn w:val="1"/>
    <w:next w:val="1"/>
    <w:qFormat/>
    <w:uiPriority w:val="0"/>
    <w:rPr>
      <w:b/>
      <w:sz w:val="28"/>
    </w:rPr>
  </w:style>
  <w:style w:type="paragraph" w:styleId="17">
    <w:name w:val="Body Text Indent 2"/>
    <w:basedOn w:val="1"/>
    <w:qFormat/>
    <w:uiPriority w:val="0"/>
    <w:pPr>
      <w:ind w:left="630" w:firstLine="645"/>
    </w:pPr>
    <w:rPr>
      <w:rFonts w:ascii="Arial" w:hAnsi="Arial" w:eastAsia="仿宋_GB2312"/>
      <w:sz w:val="32"/>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footnote text"/>
    <w:basedOn w:val="1"/>
    <w:qFormat/>
    <w:uiPriority w:val="99"/>
    <w:pPr>
      <w:snapToGrid w:val="0"/>
      <w:jc w:val="left"/>
    </w:pPr>
    <w:rPr>
      <w:sz w:val="18"/>
      <w:szCs w:val="18"/>
    </w:rPr>
  </w:style>
  <w:style w:type="paragraph" w:styleId="21">
    <w:name w:val="table of figures"/>
    <w:basedOn w:val="1"/>
    <w:next w:val="1"/>
    <w:qFormat/>
    <w:uiPriority w:val="0"/>
    <w:pPr>
      <w:spacing w:line="360" w:lineRule="auto"/>
      <w:ind w:left="840" w:leftChars="200" w:hanging="420" w:hangingChars="200"/>
    </w:pPr>
    <w:rPr>
      <w:rFonts w:ascii="Arial" w:hAnsi="Arial" w:cs="宋体"/>
      <w:sz w:val="24"/>
    </w:rPr>
  </w:style>
  <w:style w:type="paragraph" w:styleId="22">
    <w:name w:val="toc 2"/>
    <w:basedOn w:val="1"/>
    <w:next w:val="1"/>
    <w:qFormat/>
    <w:uiPriority w:val="39"/>
    <w:pPr>
      <w:ind w:left="210"/>
      <w:jc w:val="left"/>
    </w:pPr>
    <w:rPr>
      <w:smallCaps/>
      <w:sz w:val="28"/>
      <w:szCs w:val="24"/>
    </w:rPr>
  </w:style>
  <w:style w:type="paragraph" w:styleId="23">
    <w:name w:val="Body Text 2"/>
    <w:basedOn w:val="1"/>
    <w:next w:val="11"/>
    <w:qFormat/>
    <w:uiPriority w:val="0"/>
    <w:pPr>
      <w:spacing w:after="120" w:line="480" w:lineRule="auto"/>
    </w:pPr>
  </w:style>
  <w:style w:type="paragraph" w:styleId="2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5">
    <w:name w:val="index 1"/>
    <w:basedOn w:val="1"/>
    <w:next w:val="1"/>
    <w:qFormat/>
    <w:uiPriority w:val="0"/>
    <w:pPr>
      <w:jc w:val="center"/>
    </w:pPr>
    <w:rPr>
      <w:rFonts w:ascii="仿宋_GB2312" w:eastAsia="仿宋_GB2312"/>
      <w:b/>
      <w:bCs/>
      <w:sz w:val="28"/>
    </w:rPr>
  </w:style>
  <w:style w:type="paragraph" w:styleId="26">
    <w:name w:val="Body Text First Indent"/>
    <w:basedOn w:val="11"/>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27">
    <w:name w:val="Body Text First Indent 2"/>
    <w:basedOn w:val="13"/>
    <w:next w:val="1"/>
    <w:qFormat/>
    <w:uiPriority w:val="0"/>
    <w:pPr>
      <w:spacing w:after="120"/>
      <w:ind w:left="420" w:firstLine="210"/>
    </w:pPr>
    <w:rPr>
      <w:rFonts w:ascii="Times New Roma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800080"/>
      <w:u w:val="none"/>
    </w:rPr>
  </w:style>
  <w:style w:type="character" w:styleId="33">
    <w:name w:val="Emphasis"/>
    <w:basedOn w:val="30"/>
    <w:qFormat/>
    <w:uiPriority w:val="0"/>
    <w:rPr>
      <w:i/>
    </w:rPr>
  </w:style>
  <w:style w:type="character" w:styleId="34">
    <w:name w:val="HTML Definition"/>
    <w:basedOn w:val="30"/>
    <w:qFormat/>
    <w:uiPriority w:val="0"/>
  </w:style>
  <w:style w:type="character" w:styleId="35">
    <w:name w:val="HTML Typewriter"/>
    <w:basedOn w:val="30"/>
    <w:qFormat/>
    <w:uiPriority w:val="0"/>
    <w:rPr>
      <w:rFonts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basedOn w:val="30"/>
    <w:qFormat/>
    <w:uiPriority w:val="0"/>
    <w:rPr>
      <w:color w:val="0000FF"/>
      <w:u w:val="none"/>
    </w:rPr>
  </w:style>
  <w:style w:type="character" w:styleId="39">
    <w:name w:val="HTML Code"/>
    <w:basedOn w:val="30"/>
    <w:qFormat/>
    <w:uiPriority w:val="0"/>
    <w:rPr>
      <w:rFonts w:hint="default" w:ascii="monospace" w:hAnsi="monospace" w:eastAsia="monospace" w:cs="monospace"/>
      <w:sz w:val="20"/>
    </w:rPr>
  </w:style>
  <w:style w:type="character" w:styleId="40">
    <w:name w:val="HTML Cite"/>
    <w:basedOn w:val="30"/>
    <w:qFormat/>
    <w:uiPriority w:val="0"/>
  </w:style>
  <w:style w:type="character" w:styleId="41">
    <w:name w:val="HTML Keyboard"/>
    <w:basedOn w:val="30"/>
    <w:qFormat/>
    <w:uiPriority w:val="0"/>
    <w:rPr>
      <w:rFonts w:hint="default" w:ascii="monospace" w:hAnsi="monospace" w:eastAsia="monospace" w:cs="monospace"/>
      <w:sz w:val="20"/>
    </w:rPr>
  </w:style>
  <w:style w:type="character" w:styleId="42">
    <w:name w:val="HTML Sample"/>
    <w:basedOn w:val="30"/>
    <w:qFormat/>
    <w:uiPriority w:val="0"/>
    <w:rPr>
      <w:rFonts w:hint="default" w:ascii="monospace" w:hAnsi="monospace" w:eastAsia="monospace" w:cs="monospace"/>
    </w:rPr>
  </w:style>
  <w:style w:type="paragraph" w:customStyle="1" w:styleId="43">
    <w:name w:val="BodyText1I"/>
    <w:basedOn w:val="44"/>
    <w:qFormat/>
    <w:uiPriority w:val="99"/>
    <w:pPr>
      <w:ind w:firstLine="420" w:firstLineChars="100"/>
    </w:pPr>
  </w:style>
  <w:style w:type="paragraph" w:customStyle="1" w:styleId="44">
    <w:name w:val="BodyText"/>
    <w:basedOn w:val="1"/>
    <w:qFormat/>
    <w:uiPriority w:val="99"/>
    <w:pPr>
      <w:spacing w:after="120"/>
    </w:pPr>
  </w:style>
  <w:style w:type="paragraph" w:customStyle="1" w:styleId="4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无间隔1"/>
    <w:next w:val="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font41"/>
    <w:basedOn w:val="30"/>
    <w:qFormat/>
    <w:uiPriority w:val="0"/>
    <w:rPr>
      <w:rFonts w:ascii="微软雅黑" w:hAnsi="微软雅黑" w:eastAsia="微软雅黑" w:cs="微软雅黑"/>
      <w:b/>
      <w:color w:val="FFFFFF"/>
      <w:sz w:val="20"/>
      <w:szCs w:val="20"/>
      <w:u w:val="none"/>
    </w:rPr>
  </w:style>
  <w:style w:type="character" w:customStyle="1" w:styleId="48">
    <w:name w:val="font31"/>
    <w:basedOn w:val="30"/>
    <w:qFormat/>
    <w:uiPriority w:val="0"/>
    <w:rPr>
      <w:rFonts w:hint="eastAsia" w:ascii="宋体" w:hAnsi="宋体" w:eastAsia="宋体" w:cs="宋体"/>
      <w:color w:val="000000"/>
      <w:sz w:val="40"/>
      <w:szCs w:val="40"/>
      <w:u w:val="none"/>
    </w:rPr>
  </w:style>
  <w:style w:type="paragraph" w:customStyle="1" w:styleId="49">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正文1"/>
    <w:basedOn w:val="1"/>
    <w:qFormat/>
    <w:uiPriority w:val="0"/>
    <w:pPr>
      <w:widowControl/>
      <w:topLinePunct/>
      <w:spacing w:beforeLines="50" w:afterLines="50" w:line="300" w:lineRule="auto"/>
      <w:ind w:left="420"/>
    </w:pPr>
    <w:rPr>
      <w:szCs w:val="24"/>
    </w:rPr>
  </w:style>
  <w:style w:type="paragraph" w:customStyle="1" w:styleId="52">
    <w:name w:val="Char Char Char Char Char Char Char1 Char"/>
    <w:basedOn w:val="1"/>
    <w:qFormat/>
    <w:uiPriority w:val="0"/>
    <w:rPr>
      <w:rFonts w:ascii="Tahoma" w:hAnsi="Tahoma"/>
      <w:sz w:val="24"/>
    </w:rPr>
  </w:style>
  <w:style w:type="paragraph" w:customStyle="1" w:styleId="5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54">
    <w:name w:val="NormalCharacter"/>
    <w:semiHidden/>
    <w:qFormat/>
    <w:uiPriority w:val="0"/>
    <w:rPr>
      <w:kern w:val="2"/>
      <w:sz w:val="21"/>
      <w:lang w:val="en-US" w:eastAsia="zh-CN" w:bidi="ar-SA"/>
    </w:rPr>
  </w:style>
  <w:style w:type="paragraph" w:customStyle="1" w:styleId="55">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56">
    <w:name w:val="List Paragraph"/>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57">
    <w:name w:val="样式 正文Alt+ctrl+Z + 首行缩进:  2 字符3"/>
    <w:basedOn w:val="58"/>
    <w:qFormat/>
    <w:uiPriority w:val="0"/>
    <w:pPr>
      <w:snapToGrid w:val="0"/>
      <w:spacing w:afterLines="0"/>
      <w:ind w:firstLine="0" w:firstLineChars="0"/>
      <w:jc w:val="center"/>
    </w:pPr>
    <w:rPr>
      <w:rFonts w:ascii="宋体" w:hAnsi="宋体"/>
    </w:rPr>
  </w:style>
  <w:style w:type="paragraph" w:customStyle="1" w:styleId="58">
    <w:name w:val="正文Alt+ctrl+Z"/>
    <w:basedOn w:val="1"/>
    <w:qFormat/>
    <w:uiPriority w:val="0"/>
    <w:pPr>
      <w:spacing w:afterLines="50" w:line="360" w:lineRule="auto"/>
      <w:ind w:firstLine="200" w:firstLineChars="200"/>
    </w:pPr>
    <w:rPr>
      <w:sz w:val="24"/>
    </w:rPr>
  </w:style>
  <w:style w:type="character" w:customStyle="1" w:styleId="59">
    <w:name w:val="font01"/>
    <w:basedOn w:val="30"/>
    <w:qFormat/>
    <w:uiPriority w:val="0"/>
    <w:rPr>
      <w:rFonts w:hint="eastAsia" w:ascii="宋体" w:hAnsi="宋体" w:eastAsia="宋体" w:cs="宋体"/>
      <w:color w:val="000000"/>
      <w:sz w:val="22"/>
      <w:szCs w:val="22"/>
      <w:u w:val="none"/>
    </w:rPr>
  </w:style>
  <w:style w:type="character" w:customStyle="1" w:styleId="60">
    <w:name w:val="font51"/>
    <w:basedOn w:val="30"/>
    <w:qFormat/>
    <w:uiPriority w:val="0"/>
    <w:rPr>
      <w:rFonts w:hint="default" w:ascii="Times New Roman" w:hAnsi="Times New Roman" w:cs="Times New Roman"/>
      <w:color w:val="000000"/>
      <w:sz w:val="22"/>
      <w:szCs w:val="22"/>
      <w:u w:val="none"/>
    </w:rPr>
  </w:style>
  <w:style w:type="character" w:customStyle="1" w:styleId="61">
    <w:name w:val="nth-child(2)"/>
    <w:basedOn w:val="30"/>
    <w:qFormat/>
    <w:uiPriority w:val="0"/>
  </w:style>
  <w:style w:type="character" w:customStyle="1" w:styleId="62">
    <w:name w:val="nth-child(2)1"/>
    <w:basedOn w:val="30"/>
    <w:qFormat/>
    <w:uiPriority w:val="0"/>
  </w:style>
  <w:style w:type="character" w:customStyle="1" w:styleId="63">
    <w:name w:val="nth-child(3)"/>
    <w:basedOn w:val="30"/>
    <w:qFormat/>
    <w:uiPriority w:val="0"/>
  </w:style>
  <w:style w:type="character" w:customStyle="1" w:styleId="64">
    <w:name w:val="标题 5 Char"/>
    <w:link w:val="7"/>
    <w:qFormat/>
    <w:uiPriority w:val="0"/>
    <w:rPr>
      <w:b/>
      <w:sz w:val="28"/>
    </w:rPr>
  </w:style>
  <w:style w:type="paragraph" w:styleId="6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Table Paragraph"/>
    <w:basedOn w:val="1"/>
    <w:qFormat/>
    <w:uiPriority w:val="1"/>
  </w:style>
  <w:style w:type="character" w:customStyle="1" w:styleId="67">
    <w:name w:val="font131"/>
    <w:basedOn w:val="30"/>
    <w:qFormat/>
    <w:uiPriority w:val="0"/>
    <w:rPr>
      <w:rFonts w:hint="eastAsia" w:ascii="宋体" w:hAnsi="宋体" w:eastAsia="宋体" w:cs="宋体"/>
      <w:color w:val="000000"/>
      <w:sz w:val="20"/>
      <w:szCs w:val="20"/>
      <w:u w:val="none"/>
    </w:rPr>
  </w:style>
  <w:style w:type="character" w:customStyle="1" w:styleId="68">
    <w:name w:val="font171"/>
    <w:basedOn w:val="30"/>
    <w:qFormat/>
    <w:uiPriority w:val="0"/>
    <w:rPr>
      <w:rFonts w:hint="default" w:ascii="Times New Roman" w:hAnsi="Times New Roman" w:cs="Times New Roman"/>
      <w:color w:val="000000"/>
      <w:sz w:val="20"/>
      <w:szCs w:val="20"/>
      <w:u w:val="none"/>
    </w:rPr>
  </w:style>
  <w:style w:type="character" w:customStyle="1" w:styleId="69">
    <w:name w:val="font161"/>
    <w:basedOn w:val="30"/>
    <w:qFormat/>
    <w:uiPriority w:val="0"/>
    <w:rPr>
      <w:b/>
      <w:sz w:val="32"/>
    </w:rPr>
  </w:style>
  <w:style w:type="character" w:customStyle="1" w:styleId="70">
    <w:name w:val="font141"/>
    <w:basedOn w:val="30"/>
    <w:qFormat/>
    <w:uiPriority w:val="0"/>
    <w:rPr>
      <w:rFonts w:ascii="仿宋" w:hAnsi="仿宋" w:eastAsia="仿宋" w:cs="仿宋"/>
      <w:b/>
      <w:bCs/>
      <w:color w:val="000000"/>
      <w:sz w:val="21"/>
      <w:szCs w:val="21"/>
      <w:u w:val="none"/>
    </w:rPr>
  </w:style>
  <w:style w:type="character" w:customStyle="1" w:styleId="71">
    <w:name w:val="font151"/>
    <w:basedOn w:val="30"/>
    <w:qFormat/>
    <w:uiPriority w:val="0"/>
    <w:rPr>
      <w:rFonts w:hint="eastAsia" w:ascii="仿宋" w:hAnsi="仿宋" w:eastAsia="仿宋" w:cs="仿宋"/>
      <w:b/>
      <w:bCs/>
      <w:color w:val="424242"/>
      <w:sz w:val="21"/>
      <w:szCs w:val="21"/>
      <w:u w:val="none"/>
    </w:rPr>
  </w:style>
  <w:style w:type="character" w:customStyle="1" w:styleId="72">
    <w:name w:val="font191"/>
    <w:basedOn w:val="30"/>
    <w:qFormat/>
    <w:uiPriority w:val="0"/>
    <w:rPr>
      <w:rFonts w:hint="eastAsia" w:ascii="仿宋" w:hAnsi="仿宋" w:eastAsia="仿宋" w:cs="仿宋"/>
      <w:b/>
      <w:bCs/>
      <w:color w:val="000000"/>
      <w:sz w:val="21"/>
      <w:szCs w:val="21"/>
      <w:u w:val="none"/>
    </w:rPr>
  </w:style>
  <w:style w:type="paragraph" w:customStyle="1" w:styleId="73">
    <w:name w:val="正文缩进1"/>
    <w:basedOn w:val="1"/>
    <w:qFormat/>
    <w:uiPriority w:val="0"/>
    <w:pPr>
      <w:ind w:firstLine="420"/>
    </w:pPr>
  </w:style>
  <w:style w:type="paragraph" w:customStyle="1" w:styleId="74">
    <w:name w:val="Header or footer|1"/>
    <w:basedOn w:val="1"/>
    <w:qFormat/>
    <w:uiPriority w:val="0"/>
    <w:rPr>
      <w:rFonts w:asciiTheme="minorHAnsi" w:hAnsiTheme="minorHAnsi" w:eastAsiaTheme="minorEastAsia" w:cstheme="minorBidi"/>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4A34F-4A52-4F86-B1CF-FE590245AD74}">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19864</Words>
  <Characters>21648</Characters>
  <Lines>323</Lines>
  <Paragraphs>91</Paragraphs>
  <TotalTime>3</TotalTime>
  <ScaleCrop>false</ScaleCrop>
  <LinksUpToDate>false</LinksUpToDate>
  <CharactersWithSpaces>21934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2024-05-11T07:31:00Z</dcterms:created>
  <dc:creator>阳光微凉</dc:creator>
  <cp:lastModifiedBy>user</cp:lastModifiedBy>
  <cp:lastPrinted>2025-03-11T02:11:00Z</cp:lastPrinted>
  <dcterms:modified xsi:type="dcterms:W3CDTF">2025-08-13T07:03:07Z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7630E2724BB448B28F59B9FF3E8A6467_13</vt:lpwstr>
  </property>
  <property fmtid="{D5CDD505-2E9C-101B-9397-08002B2CF9AE}" pid="4" name="KSOTemplateDocerSaveRecord">
    <vt:lpwstr>eyJoZGlkIjoiNTQ3MGY4OWEwYWQ5MGRhOTEyZDdjODBiNTM4ZTJjNzciLCJ1c2VySWQiOiIxMDg5MjYwMDExIn0=</vt:lpwstr>
  </property>
</Properties>
</file>