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5F81F">
      <w:pPr>
        <w:tabs>
          <w:tab w:val="left" w:pos="420"/>
        </w:tabs>
        <w:spacing w:line="1700" w:lineRule="exact"/>
        <w:jc w:val="center"/>
        <w:rPr>
          <w:rFonts w:ascii="宋体" w:hAnsi="宋体"/>
          <w:b/>
          <w:color w:val="000000" w:themeColor="text1"/>
          <w:spacing w:val="36"/>
          <w:sz w:val="52"/>
          <w:szCs w:val="52"/>
          <w14:textFill>
            <w14:solidFill>
              <w14:schemeClr w14:val="tx1"/>
            </w14:solidFill>
          </w14:textFill>
        </w:rPr>
      </w:pPr>
      <w:r>
        <w:rPr>
          <w:rFonts w:hint="eastAsia" w:ascii="宋体" w:hAnsi="宋体"/>
          <w:b/>
          <w:bCs/>
          <w:color w:val="000000" w:themeColor="text1"/>
          <w:spacing w:val="36"/>
          <w:sz w:val="52"/>
          <w:szCs w:val="52"/>
          <w14:textFill>
            <w14:solidFill>
              <w14:schemeClr w14:val="tx1"/>
            </w14:solidFill>
          </w14:textFill>
        </w:rPr>
        <w:t>周口市公共资源交易中心</w:t>
      </w:r>
    </w:p>
    <w:p w14:paraId="273FA85F">
      <w:pPr>
        <w:tabs>
          <w:tab w:val="left" w:pos="315"/>
          <w:tab w:val="left" w:pos="8820"/>
        </w:tabs>
        <w:spacing w:line="480" w:lineRule="auto"/>
        <w:ind w:right="267" w:rightChars="127"/>
        <w:jc w:val="center"/>
        <w:rPr>
          <w:rFonts w:ascii="宋体" w:hAnsi="宋体"/>
          <w:b/>
          <w:bCs/>
          <w:color w:val="000000" w:themeColor="text1"/>
          <w:sz w:val="48"/>
          <w14:textFill>
            <w14:solidFill>
              <w14:schemeClr w14:val="tx1"/>
            </w14:solidFill>
          </w14:textFill>
        </w:rPr>
      </w:pPr>
    </w:p>
    <w:p w14:paraId="7180044A">
      <w:pPr>
        <w:tabs>
          <w:tab w:val="left" w:pos="315"/>
          <w:tab w:val="left" w:pos="8820"/>
        </w:tabs>
        <w:spacing w:line="480" w:lineRule="auto"/>
        <w:ind w:right="267" w:rightChars="127"/>
        <w:jc w:val="center"/>
        <w:rPr>
          <w:rFonts w:ascii="宋体" w:hAnsi="宋体"/>
          <w:b/>
          <w:bCs/>
          <w:color w:val="000000" w:themeColor="text1"/>
          <w:sz w:val="48"/>
          <w14:textFill>
            <w14:solidFill>
              <w14:schemeClr w14:val="tx1"/>
            </w14:solidFill>
          </w14:textFill>
        </w:rPr>
      </w:pPr>
    </w:p>
    <w:p w14:paraId="57318D55">
      <w:pPr>
        <w:tabs>
          <w:tab w:val="left" w:pos="315"/>
          <w:tab w:val="left" w:pos="8820"/>
        </w:tabs>
        <w:spacing w:line="480" w:lineRule="auto"/>
        <w:ind w:right="267" w:rightChars="127"/>
        <w:jc w:val="center"/>
        <w:rPr>
          <w:rFonts w:ascii="宋体" w:hAnsi="宋体"/>
          <w:b/>
          <w:bCs/>
          <w:color w:val="000000" w:themeColor="text1"/>
          <w:sz w:val="48"/>
          <w14:textFill>
            <w14:solidFill>
              <w14:schemeClr w14:val="tx1"/>
            </w14:solidFill>
          </w14:textFill>
        </w:rPr>
      </w:pPr>
    </w:p>
    <w:p w14:paraId="2307D8DC">
      <w:pPr>
        <w:tabs>
          <w:tab w:val="left" w:pos="315"/>
          <w:tab w:val="left" w:pos="8820"/>
        </w:tabs>
        <w:spacing w:line="480" w:lineRule="auto"/>
        <w:ind w:right="267" w:rightChars="127"/>
        <w:jc w:val="center"/>
        <w:rPr>
          <w:rFonts w:ascii="宋体" w:hAnsi="宋体"/>
          <w:b/>
          <w:bCs/>
          <w:color w:val="000000" w:themeColor="text1"/>
          <w:sz w:val="48"/>
          <w14:textFill>
            <w14:solidFill>
              <w14:schemeClr w14:val="tx1"/>
            </w14:solidFill>
          </w14:textFill>
        </w:rPr>
      </w:pPr>
    </w:p>
    <w:p w14:paraId="7F1747BC">
      <w:pPr>
        <w:tabs>
          <w:tab w:val="left" w:pos="315"/>
          <w:tab w:val="left" w:pos="8820"/>
        </w:tabs>
        <w:spacing w:line="480" w:lineRule="auto"/>
        <w:ind w:right="267" w:rightChars="127"/>
        <w:jc w:val="center"/>
        <w:rPr>
          <w:rFonts w:ascii="宋体" w:hAnsi="宋体"/>
          <w:b/>
          <w:bCs/>
          <w:color w:val="000000" w:themeColor="text1"/>
          <w:sz w:val="48"/>
          <w14:textFill>
            <w14:solidFill>
              <w14:schemeClr w14:val="tx1"/>
            </w14:solidFill>
          </w14:textFill>
        </w:rPr>
      </w:pPr>
    </w:p>
    <w:p w14:paraId="06023974">
      <w:pPr>
        <w:tabs>
          <w:tab w:val="left" w:pos="315"/>
          <w:tab w:val="left" w:pos="8820"/>
        </w:tabs>
        <w:spacing w:line="480" w:lineRule="auto"/>
        <w:ind w:right="267" w:rightChars="127"/>
        <w:jc w:val="center"/>
        <w:rPr>
          <w:rFonts w:ascii="宋体" w:hAnsi="宋体"/>
          <w:b/>
          <w:bCs/>
          <w:color w:val="000000" w:themeColor="text1"/>
          <w:sz w:val="84"/>
          <w:szCs w:val="84"/>
          <w14:textFill>
            <w14:solidFill>
              <w14:schemeClr w14:val="tx1"/>
            </w14:solidFill>
          </w14:textFill>
        </w:rPr>
      </w:pPr>
      <w:r>
        <w:rPr>
          <w:rFonts w:hint="eastAsia" w:ascii="宋体" w:hAnsi="宋体"/>
          <w:b/>
          <w:bCs/>
          <w:color w:val="000000" w:themeColor="text1"/>
          <w:sz w:val="84"/>
          <w:szCs w:val="84"/>
          <w14:textFill>
            <w14:solidFill>
              <w14:schemeClr w14:val="tx1"/>
            </w14:solidFill>
          </w14:textFill>
        </w:rPr>
        <w:t>竞争性磋商文件</w:t>
      </w:r>
    </w:p>
    <w:p w14:paraId="3A4902E5">
      <w:pPr>
        <w:tabs>
          <w:tab w:val="left" w:pos="315"/>
          <w:tab w:val="left" w:pos="8820"/>
        </w:tabs>
        <w:ind w:right="267" w:rightChars="127"/>
        <w:rPr>
          <w:rFonts w:ascii="宋体" w:hAnsi="宋体"/>
          <w:color w:val="000000" w:themeColor="text1"/>
          <w:sz w:val="44"/>
          <w14:textFill>
            <w14:solidFill>
              <w14:schemeClr w14:val="tx1"/>
            </w14:solidFill>
          </w14:textFill>
        </w:rPr>
      </w:pPr>
    </w:p>
    <w:p w14:paraId="3B73A629">
      <w:pPr>
        <w:pStyle w:val="30"/>
        <w:ind w:firstLine="440"/>
        <w:rPr>
          <w:rFonts w:ascii="宋体" w:hAnsi="宋体"/>
          <w:color w:val="000000" w:themeColor="text1"/>
          <w:sz w:val="44"/>
          <w14:textFill>
            <w14:solidFill>
              <w14:schemeClr w14:val="tx1"/>
            </w14:solidFill>
          </w14:textFill>
        </w:rPr>
      </w:pPr>
    </w:p>
    <w:p w14:paraId="7172E27A">
      <w:pPr>
        <w:pStyle w:val="30"/>
        <w:ind w:firstLine="440"/>
        <w:rPr>
          <w:rFonts w:ascii="宋体" w:hAnsi="宋体"/>
          <w:color w:val="000000" w:themeColor="text1"/>
          <w:sz w:val="44"/>
          <w14:textFill>
            <w14:solidFill>
              <w14:schemeClr w14:val="tx1"/>
            </w14:solidFill>
          </w14:textFill>
        </w:rPr>
      </w:pPr>
    </w:p>
    <w:p w14:paraId="3C984AFE">
      <w:pPr>
        <w:rPr>
          <w:rFonts w:ascii="宋体" w:hAnsi="宋体"/>
          <w:color w:val="000000" w:themeColor="text1"/>
          <w14:textFill>
            <w14:solidFill>
              <w14:schemeClr w14:val="tx1"/>
            </w14:solidFill>
          </w14:textFill>
        </w:rPr>
      </w:pPr>
    </w:p>
    <w:p w14:paraId="5E34AED3">
      <w:pPr>
        <w:rPr>
          <w:rFonts w:ascii="宋体" w:hAnsi="宋体"/>
          <w:color w:val="000000" w:themeColor="text1"/>
          <w14:textFill>
            <w14:solidFill>
              <w14:schemeClr w14:val="tx1"/>
            </w14:solidFill>
          </w14:textFill>
        </w:rPr>
      </w:pPr>
    </w:p>
    <w:p w14:paraId="0A880894">
      <w:pPr>
        <w:tabs>
          <w:tab w:val="left" w:pos="315"/>
          <w:tab w:val="left" w:pos="8820"/>
        </w:tabs>
        <w:spacing w:line="500" w:lineRule="exact"/>
        <w:ind w:right="267" w:rightChars="127"/>
        <w:jc w:val="center"/>
        <w:rPr>
          <w:rFonts w:ascii="宋体" w:hAnsi="宋体"/>
          <w:color w:val="000000" w:themeColor="text1"/>
          <w:sz w:val="32"/>
          <w14:textFill>
            <w14:solidFill>
              <w14:schemeClr w14:val="tx1"/>
            </w14:solidFill>
          </w14:textFill>
        </w:rPr>
      </w:pPr>
    </w:p>
    <w:p w14:paraId="1BFAA333">
      <w:pPr>
        <w:tabs>
          <w:tab w:val="left" w:pos="315"/>
          <w:tab w:val="left" w:pos="8820"/>
        </w:tabs>
        <w:spacing w:line="500" w:lineRule="exact"/>
        <w:ind w:right="267" w:rightChars="127"/>
        <w:jc w:val="center"/>
        <w:rPr>
          <w:rFonts w:ascii="宋体" w:hAnsi="宋体"/>
          <w:b/>
          <w:bCs/>
          <w:color w:val="000000" w:themeColor="text1"/>
          <w:sz w:val="52"/>
          <w14:textFill>
            <w14:solidFill>
              <w14:schemeClr w14:val="tx1"/>
            </w14:solidFill>
          </w14:textFill>
        </w:rPr>
      </w:pPr>
    </w:p>
    <w:p w14:paraId="62E746F0">
      <w:pPr>
        <w:tabs>
          <w:tab w:val="left" w:pos="315"/>
          <w:tab w:val="left" w:pos="8820"/>
        </w:tabs>
        <w:spacing w:line="720" w:lineRule="auto"/>
        <w:ind w:left="1807" w:leftChars="172" w:right="267" w:rightChars="127" w:hanging="1446" w:hangingChars="400"/>
        <w:jc w:val="left"/>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项目名称: 项城市自然资源和规划局“十五五”国土空间生态修复规划编制项目</w:t>
      </w:r>
    </w:p>
    <w:p w14:paraId="24C4EB1E">
      <w:pPr>
        <w:pStyle w:val="30"/>
        <w:spacing w:line="720" w:lineRule="auto"/>
        <w:ind w:firstLine="361"/>
        <w:rPr>
          <w:rFonts w:ascii="宋体" w:hAnsi="宋体"/>
          <w:color w:val="000000" w:themeColor="text1"/>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项目编号:</w:t>
      </w:r>
      <w:r>
        <w:rPr>
          <w:rFonts w:hint="eastAsia"/>
          <w:color w:val="000000" w:themeColor="text1"/>
          <w:sz w:val="36"/>
          <w:szCs w:val="36"/>
          <w14:textFill>
            <w14:solidFill>
              <w14:schemeClr w14:val="tx1"/>
            </w14:solidFill>
          </w14:textFill>
        </w:rPr>
        <w:t xml:space="preserve"> 项财磋商采购-2025-62</w:t>
      </w:r>
    </w:p>
    <w:p w14:paraId="2313F5B1">
      <w:pPr>
        <w:pStyle w:val="7"/>
        <w:spacing w:line="720" w:lineRule="auto"/>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2025年9月</w:t>
      </w:r>
      <w:r>
        <w:rPr>
          <w:rFonts w:hint="eastAsia" w:ascii="宋体" w:hAnsi="宋体"/>
          <w:b/>
          <w:bCs/>
          <w:color w:val="000000" w:themeColor="text1"/>
          <w:sz w:val="36"/>
          <w:szCs w:val="36"/>
          <w:lang w:val="en-US" w:eastAsia="zh-CN"/>
          <w14:textFill>
            <w14:solidFill>
              <w14:schemeClr w14:val="tx1"/>
            </w14:solidFill>
          </w14:textFill>
        </w:rPr>
        <w:t>28</w:t>
      </w:r>
      <w:r>
        <w:rPr>
          <w:rFonts w:hint="eastAsia" w:ascii="宋体" w:hAnsi="宋体"/>
          <w:b/>
          <w:bCs/>
          <w:color w:val="000000" w:themeColor="text1"/>
          <w:sz w:val="36"/>
          <w:szCs w:val="36"/>
          <w14:textFill>
            <w14:solidFill>
              <w14:schemeClr w14:val="tx1"/>
            </w14:solidFill>
          </w14:textFill>
        </w:rPr>
        <w:t xml:space="preserve">日 </w:t>
      </w:r>
    </w:p>
    <w:sdt>
      <w:sdt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id w:val="1894857289"/>
        <w:docPartObj>
          <w:docPartGallery w:val="Table of Contents"/>
          <w:docPartUnique/>
        </w:docPartObj>
      </w:sdtPr>
      <w:sdtEndPr>
        <w:rPr>
          <w:rFonts w:ascii="Times New Roman" w:hAnsi="Times New Roman" w:eastAsia="宋体" w:cs="Times New Roman"/>
          <w:b w:val="0"/>
          <w:bCs w:val="0"/>
          <w:color w:val="000000" w:themeColor="text1"/>
          <w:kern w:val="2"/>
          <w:sz w:val="21"/>
          <w:szCs w:val="24"/>
          <w:lang w:val="zh-CN"/>
          <w14:textFill>
            <w14:solidFill>
              <w14:schemeClr w14:val="tx1"/>
            </w14:solidFill>
          </w14:textFill>
        </w:rPr>
      </w:sdtEndPr>
      <w:sdtContent>
        <w:p w14:paraId="6EAE4FF6">
          <w:pPr>
            <w:pStyle w:val="55"/>
            <w:jc w:val="center"/>
            <w:rPr>
              <w:color w:val="000000" w:themeColor="text1"/>
              <w:sz w:val="44"/>
              <w:szCs w:val="44"/>
              <w14:textFill>
                <w14:solidFill>
                  <w14:schemeClr w14:val="tx1"/>
                </w14:solidFill>
              </w14:textFill>
            </w:rPr>
          </w:pPr>
          <w:r>
            <w:rPr>
              <w:color w:val="000000" w:themeColor="text1"/>
              <w:sz w:val="44"/>
              <w:szCs w:val="44"/>
              <w:lang w:val="zh-CN"/>
              <w14:textFill>
                <w14:solidFill>
                  <w14:schemeClr w14:val="tx1"/>
                </w14:solidFill>
              </w14:textFill>
            </w:rPr>
            <w:t>目</w:t>
          </w:r>
          <w:r>
            <w:rPr>
              <w:rFonts w:hint="eastAsia"/>
              <w:color w:val="000000" w:themeColor="text1"/>
              <w:sz w:val="44"/>
              <w:szCs w:val="44"/>
              <w:lang w:val="zh-CN"/>
              <w14:textFill>
                <w14:solidFill>
                  <w14:schemeClr w14:val="tx1"/>
                </w14:solidFill>
              </w14:textFill>
            </w:rPr>
            <w:t xml:space="preserve">  </w:t>
          </w:r>
          <w:r>
            <w:rPr>
              <w:color w:val="000000" w:themeColor="text1"/>
              <w:sz w:val="44"/>
              <w:szCs w:val="44"/>
              <w:lang w:val="zh-CN"/>
              <w14:textFill>
                <w14:solidFill>
                  <w14:schemeClr w14:val="tx1"/>
                </w14:solidFill>
              </w14:textFill>
            </w:rPr>
            <w:t>录</w:t>
          </w:r>
        </w:p>
        <w:p w14:paraId="78EACC8D">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"_Toc195875463" </w:instrText>
          </w:r>
          <w:r>
            <w:fldChar w:fldCharType="separate"/>
          </w:r>
          <w:r>
            <w:rPr>
              <w:rStyle w:val="28"/>
              <w:rFonts w:hint="eastAsia" w:ascii="宋体" w:hAnsi="宋体"/>
              <w:color w:val="000000" w:themeColor="text1"/>
              <w:sz w:val="28"/>
              <w:szCs w:val="28"/>
              <w14:textFill>
                <w14:solidFill>
                  <w14:schemeClr w14:val="tx1"/>
                </w14:solidFill>
              </w14:textFill>
            </w:rPr>
            <w:t>第一章</w:t>
          </w:r>
          <w:r>
            <w:rPr>
              <w:rStyle w:val="28"/>
              <w:rFonts w:ascii="宋体" w:hAnsi="宋体"/>
              <w:color w:val="000000" w:themeColor="text1"/>
              <w:sz w:val="28"/>
              <w:szCs w:val="28"/>
              <w14:textFill>
                <w14:solidFill>
                  <w14:schemeClr w14:val="tx1"/>
                </w14:solidFill>
              </w14:textFill>
            </w:rPr>
            <w:t xml:space="preserve">    </w:t>
          </w:r>
          <w:r>
            <w:rPr>
              <w:rStyle w:val="28"/>
              <w:rFonts w:hint="eastAsia" w:ascii="宋体" w:hAnsi="宋体"/>
              <w:color w:val="000000" w:themeColor="text1"/>
              <w:sz w:val="28"/>
              <w:szCs w:val="28"/>
              <w14:textFill>
                <w14:solidFill>
                  <w14:schemeClr w14:val="tx1"/>
                </w14:solidFill>
              </w14:textFill>
            </w:rPr>
            <w:t>竞争性磋商邀请函</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62B63E53">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"_Toc195875464" </w:instrText>
          </w:r>
          <w:r>
            <w:fldChar w:fldCharType="separate"/>
          </w:r>
          <w:r>
            <w:rPr>
              <w:rStyle w:val="28"/>
              <w:rFonts w:hint="eastAsia"/>
              <w:color w:val="000000" w:themeColor="text1"/>
              <w:sz w:val="28"/>
              <w:szCs w:val="28"/>
              <w14:textFill>
                <w14:solidFill>
                  <w14:schemeClr w14:val="tx1"/>
                </w14:solidFill>
              </w14:textFill>
            </w:rPr>
            <w:t>第二章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供应商须知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0481CECC">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"_Toc195875465" </w:instrText>
          </w:r>
          <w:r>
            <w:fldChar w:fldCharType="separate"/>
          </w:r>
          <w:r>
            <w:rPr>
              <w:rStyle w:val="28"/>
              <w:rFonts w:hint="eastAsia"/>
              <w:color w:val="000000" w:themeColor="text1"/>
              <w:sz w:val="28"/>
              <w:szCs w:val="28"/>
              <w14:textFill>
                <w14:solidFill>
                  <w14:schemeClr w14:val="tx1"/>
                </w14:solidFill>
              </w14:textFill>
            </w:rPr>
            <w:t>一、总则</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02E71705">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"_Toc195875466" </w:instrText>
          </w:r>
          <w:r>
            <w:fldChar w:fldCharType="separate"/>
          </w:r>
          <w:r>
            <w:rPr>
              <w:rStyle w:val="28"/>
              <w:rFonts w:hint="eastAsia"/>
              <w:color w:val="000000" w:themeColor="text1"/>
              <w:sz w:val="28"/>
              <w:szCs w:val="28"/>
              <w14:textFill>
                <w14:solidFill>
                  <w14:schemeClr w14:val="tx1"/>
                </w14:solidFill>
              </w14:textFill>
            </w:rPr>
            <w:t>二、竞争性磋商文件</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_Toc195875466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766AC30D">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"_Toc195875467" </w:instrText>
          </w:r>
          <w:r>
            <w:fldChar w:fldCharType="separate"/>
          </w:r>
          <w:r>
            <w:rPr>
              <w:rStyle w:val="28"/>
              <w:rFonts w:hint="eastAsia"/>
              <w:color w:val="000000" w:themeColor="text1"/>
              <w:sz w:val="28"/>
              <w:szCs w:val="28"/>
              <w14:textFill>
                <w14:solidFill>
                  <w14:schemeClr w14:val="tx1"/>
                </w14:solidFill>
              </w14:textFill>
            </w:rPr>
            <w:t>三、响应性文件的编制</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78C9B851">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"_Toc195875468" </w:instrText>
          </w:r>
          <w:r>
            <w:fldChar w:fldCharType="separate"/>
          </w:r>
          <w:r>
            <w:rPr>
              <w:rStyle w:val="28"/>
              <w:rFonts w:hint="eastAsia"/>
              <w:color w:val="000000" w:themeColor="text1"/>
              <w:sz w:val="28"/>
              <w:szCs w:val="28"/>
              <w14:textFill>
                <w14:solidFill>
                  <w14:schemeClr w14:val="tx1"/>
                </w14:solidFill>
              </w14:textFill>
            </w:rPr>
            <w:t>四、响应性文件的递交</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6DB0F016">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"_Toc195875469" </w:instrText>
          </w:r>
          <w:r>
            <w:fldChar w:fldCharType="separate"/>
          </w:r>
          <w:r>
            <w:rPr>
              <w:rStyle w:val="28"/>
              <w:rFonts w:hint="eastAsia"/>
              <w:color w:val="000000" w:themeColor="text1"/>
              <w:sz w:val="28"/>
              <w:szCs w:val="28"/>
              <w14:textFill>
                <w14:solidFill>
                  <w14:schemeClr w14:val="tx1"/>
                </w14:solidFill>
              </w14:textFill>
            </w:rPr>
            <w:t>五、竞争性磋商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_Toc195875469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37F77527">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"_Toc195875470" </w:instrText>
          </w:r>
          <w:r>
            <w:fldChar w:fldCharType="separate"/>
          </w:r>
          <w:r>
            <w:rPr>
              <w:rStyle w:val="28"/>
              <w:rFonts w:hint="eastAsia"/>
              <w:color w:val="000000" w:themeColor="text1"/>
              <w:sz w:val="28"/>
              <w:szCs w:val="28"/>
              <w14:textFill>
                <w14:solidFill>
                  <w14:schemeClr w14:val="tx1"/>
                </w14:solidFill>
              </w14:textFill>
            </w:rPr>
            <w:t>六、评定标准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2B562812">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"_Toc195875471" </w:instrText>
          </w:r>
          <w:r>
            <w:fldChar w:fldCharType="separate"/>
          </w:r>
          <w:r>
            <w:rPr>
              <w:rStyle w:val="28"/>
              <w:rFonts w:hint="eastAsia"/>
              <w:color w:val="000000" w:themeColor="text1"/>
              <w:sz w:val="28"/>
              <w:szCs w:val="28"/>
              <w14:textFill>
                <w14:solidFill>
                  <w14:schemeClr w14:val="tx1"/>
                </w14:solidFill>
              </w14:textFill>
            </w:rPr>
            <w:t>七、成交通知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234BF848">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"_Toc195875472" </w:instrText>
          </w:r>
          <w:r>
            <w:fldChar w:fldCharType="separate"/>
          </w:r>
          <w:r>
            <w:rPr>
              <w:rStyle w:val="28"/>
              <w:rFonts w:hint="eastAsia"/>
              <w:color w:val="000000" w:themeColor="text1"/>
              <w:sz w:val="28"/>
              <w:szCs w:val="28"/>
              <w14:textFill>
                <w14:solidFill>
                  <w14:schemeClr w14:val="tx1"/>
                </w14:solidFill>
              </w14:textFill>
            </w:rPr>
            <w:t>八、合同授予</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3480AF69">
          <w:pPr>
            <w:pStyle w:val="20"/>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"_Toc195875473" </w:instrText>
          </w:r>
          <w:r>
            <w:fldChar w:fldCharType="separate"/>
          </w:r>
          <w:r>
            <w:rPr>
              <w:rStyle w:val="28"/>
              <w:rFonts w:hint="eastAsia"/>
              <w:color w:val="000000" w:themeColor="text1"/>
              <w:sz w:val="28"/>
              <w:szCs w:val="28"/>
              <w14:textFill>
                <w14:solidFill>
                  <w14:schemeClr w14:val="tx1"/>
                </w14:solidFill>
              </w14:textFill>
            </w:rPr>
            <w:t>九、质疑处理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47D60D09">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"_Toc195875474" </w:instrText>
          </w:r>
          <w:r>
            <w:fldChar w:fldCharType="separate"/>
          </w:r>
          <w:r>
            <w:rPr>
              <w:rStyle w:val="28"/>
              <w:rFonts w:hint="eastAsia"/>
              <w:color w:val="000000" w:themeColor="text1"/>
              <w:sz w:val="28"/>
              <w:szCs w:val="28"/>
              <w14:textFill>
                <w14:solidFill>
                  <w14:schemeClr w14:val="tx1"/>
                </w14:solidFill>
              </w14:textFill>
            </w:rPr>
            <w:t>第三章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采购项目内容及要求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79BEED74">
          <w:pPr>
            <w:pStyle w:val="17"/>
            <w:tabs>
              <w:tab w:val="right" w:leader="dot" w:pos="9737"/>
            </w:tabs>
            <w:rPr>
              <w:rFonts w:asciiTheme="minorHAnsi" w:hAnsiTheme="minorHAnsi" w:eastAsiaTheme="minorEastAsia" w:cstheme="minorBidi"/>
              <w:color w:val="000000" w:themeColor="text1"/>
              <w:sz w:val="28"/>
              <w:szCs w:val="28"/>
              <w14:textFill>
                <w14:solidFill>
                  <w14:schemeClr w14:val="tx1"/>
                </w14:solidFill>
              </w14:textFill>
            </w:rPr>
          </w:pPr>
          <w:r>
            <w:fldChar w:fldCharType="begin"/>
          </w:r>
          <w:r>
            <w:instrText xml:space="preserve"> HYPERLINK \l "_Toc195875475" </w:instrText>
          </w:r>
          <w:r>
            <w:fldChar w:fldCharType="separate"/>
          </w:r>
          <w:r>
            <w:rPr>
              <w:rStyle w:val="28"/>
              <w:rFonts w:hint="eastAsia"/>
              <w:color w:val="000000" w:themeColor="text1"/>
              <w:sz w:val="28"/>
              <w:szCs w:val="28"/>
              <w14:textFill>
                <w14:solidFill>
                  <w14:schemeClr w14:val="tx1"/>
                </w14:solidFill>
              </w14:textFill>
            </w:rPr>
            <w:t>第四章</w:t>
          </w:r>
          <w:r>
            <w:rPr>
              <w:rStyle w:val="28"/>
              <w:color w:val="000000" w:themeColor="text1"/>
              <w:sz w:val="28"/>
              <w:szCs w:val="28"/>
              <w14:textFill>
                <w14:solidFill>
                  <w14:schemeClr w14:val="tx1"/>
                </w14:solidFill>
              </w14:textFill>
            </w:rPr>
            <w:t xml:space="preserve">  </w:t>
          </w:r>
          <w:r>
            <w:rPr>
              <w:rStyle w:val="28"/>
              <w:rFonts w:hint="eastAsia"/>
              <w:color w:val="000000" w:themeColor="text1"/>
              <w:sz w:val="28"/>
              <w:szCs w:val="28"/>
              <w14:textFill>
                <w14:solidFill>
                  <w14:schemeClr w14:val="tx1"/>
                </w14:solidFill>
              </w14:textFill>
            </w:rPr>
            <w:t>响应性文件内容及格式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_Toc195875475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428FFE42">
          <w:pPr>
            <w:pStyle w:val="17"/>
            <w:tabs>
              <w:tab w:val="right" w:leader="dot" w:pos="9737"/>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"_Toc195875489" </w:instrText>
          </w:r>
          <w:r>
            <w:fldChar w:fldCharType="separate"/>
          </w:r>
          <w:r>
            <w:rPr>
              <w:rStyle w:val="28"/>
              <w:rFonts w:hint="eastAsia"/>
              <w:color w:val="000000" w:themeColor="text1"/>
              <w:sz w:val="28"/>
              <w:szCs w:val="28"/>
              <w14:textFill>
                <w14:solidFill>
                  <w14:schemeClr w14:val="tx1"/>
                </w14:solidFill>
              </w14:textFill>
            </w:rPr>
            <w:t>第五章</w:t>
          </w:r>
          <w:r>
            <w:rPr>
              <w:rStyle w:val="28"/>
              <w:color w:val="000000" w:themeColor="text1"/>
              <w:sz w:val="28"/>
              <w:szCs w:val="28"/>
              <w14:textFill>
                <w14:solidFill>
                  <w14:schemeClr w14:val="tx1"/>
                </w14:solidFill>
              </w14:textFill>
            </w:rPr>
            <w:t xml:space="preserve">  </w:t>
          </w:r>
          <w:r>
            <w:rPr>
              <w:rStyle w:val="28"/>
              <w:rFonts w:hint="eastAsia"/>
              <w:color w:val="000000" w:themeColor="text1"/>
              <w:w w:val="92"/>
              <w:sz w:val="28"/>
              <w:szCs w:val="28"/>
              <w14:textFill>
                <w14:solidFill>
                  <w14:schemeClr w14:val="tx1"/>
                </w14:solidFill>
              </w14:textFill>
            </w:rPr>
            <w:t>周口市</w:t>
          </w:r>
          <w:r>
            <w:rPr>
              <w:rStyle w:val="28"/>
              <w:rFonts w:hint="eastAsia"/>
              <w:color w:val="000000" w:themeColor="text1"/>
              <w:sz w:val="28"/>
              <w:szCs w:val="28"/>
              <w14:textFill>
                <w14:solidFill>
                  <w14:schemeClr w14:val="tx1"/>
                </w14:solidFill>
              </w14:textFill>
            </w:rPr>
            <w:t>政府采购合同（服务类）标准文本</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_Toc195875489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303E74FF">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14:paraId="633B0736">
      <w:pPr>
        <w:spacing w:line="800" w:lineRule="exact"/>
        <w:ind w:firstLine="2249" w:firstLineChars="700"/>
        <w:rPr>
          <w:rFonts w:ascii="宋体" w:hAnsi="宋体" w:cs="宋体"/>
          <w:b/>
          <w:color w:val="000000" w:themeColor="text1"/>
          <w:sz w:val="32"/>
          <w:szCs w:val="32"/>
          <w14:textFill>
            <w14:solidFill>
              <w14:schemeClr w14:val="tx1"/>
            </w14:solidFill>
          </w14:textFill>
        </w:rPr>
      </w:pPr>
    </w:p>
    <w:p w14:paraId="7A48DCA7">
      <w:pPr>
        <w:spacing w:line="800" w:lineRule="exact"/>
        <w:ind w:firstLine="2249" w:firstLineChars="700"/>
        <w:rPr>
          <w:rFonts w:ascii="宋体" w:hAnsi="宋体" w:cs="宋体"/>
          <w:b/>
          <w:color w:val="000000" w:themeColor="text1"/>
          <w:sz w:val="32"/>
          <w:szCs w:val="32"/>
          <w14:textFill>
            <w14:solidFill>
              <w14:schemeClr w14:val="tx1"/>
            </w14:solidFill>
          </w14:textFill>
        </w:rPr>
      </w:pPr>
    </w:p>
    <w:p w14:paraId="7367A66E">
      <w:pPr>
        <w:spacing w:line="800" w:lineRule="exact"/>
        <w:ind w:firstLine="2249" w:firstLineChars="700"/>
        <w:rPr>
          <w:rFonts w:ascii="宋体" w:hAnsi="宋体" w:cs="宋体"/>
          <w:b/>
          <w:color w:val="000000" w:themeColor="text1"/>
          <w:sz w:val="32"/>
          <w:szCs w:val="32"/>
          <w14:textFill>
            <w14:solidFill>
              <w14:schemeClr w14:val="tx1"/>
            </w14:solidFill>
          </w14:textFill>
        </w:rPr>
      </w:pPr>
    </w:p>
    <w:p w14:paraId="1BF84DD5">
      <w:pPr>
        <w:pStyle w:val="22"/>
        <w:rPr>
          <w:rFonts w:ascii="宋体" w:hAnsi="宋体"/>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br w:type="page"/>
      </w:r>
      <w:bookmarkStart w:id="0" w:name="_Toc195875463"/>
      <w:r>
        <w:rPr>
          <w:rFonts w:hint="eastAsia" w:ascii="宋体" w:hAnsi="宋体"/>
          <w:color w:val="000000" w:themeColor="text1"/>
          <w:sz w:val="30"/>
          <w:szCs w:val="30"/>
          <w14:textFill>
            <w14:solidFill>
              <w14:schemeClr w14:val="tx1"/>
            </w14:solidFill>
          </w14:textFill>
        </w:rPr>
        <w:t>第一章    竞争性磋商邀请函</w:t>
      </w:r>
      <w:bookmarkEnd w:id="0"/>
    </w:p>
    <w:p w14:paraId="14F20924">
      <w:pPr>
        <w:spacing w:line="500" w:lineRule="exact"/>
        <w:ind w:firstLine="960" w:firstLineChars="400"/>
        <w:jc w:val="left"/>
        <w:rPr>
          <w:rFonts w:ascii="宋体" w:hAnsi="宋体" w:cs="宋体"/>
          <w:color w:val="000000" w:themeColor="text1"/>
          <w:sz w:val="24"/>
          <w14:textFill>
            <w14:solidFill>
              <w14:schemeClr w14:val="tx1"/>
            </w14:solidFill>
          </w14:textFill>
        </w:rPr>
      </w:pPr>
      <w:bookmarkStart w:id="1" w:name="_Toc35393798"/>
      <w:bookmarkStart w:id="2" w:name="_Toc35393629"/>
      <w:bookmarkStart w:id="3" w:name="_Toc28359089"/>
      <w:bookmarkStart w:id="4" w:name="_Toc28359012"/>
      <w:r>
        <w:rPr>
          <w:rFonts w:hint="eastAsia" w:ascii="宋体" w:hAnsi="宋体" w:cs="宋体"/>
          <w:color w:val="000000" w:themeColor="text1"/>
          <w:sz w:val="24"/>
          <w14:textFill>
            <w14:solidFill>
              <w14:schemeClr w14:val="tx1"/>
            </w14:solidFill>
          </w14:textFill>
        </w:rPr>
        <w:t>项城市自然资源和规划局“十五五”国土空间生态修复规划编制项目的潜在投标人应在周口市公共资源交易中心网（</w:t>
      </w:r>
      <w:r>
        <w:fldChar w:fldCharType="begin"/>
      </w:r>
      <w:r>
        <w:instrText xml:space="preserve"> HYPERLINK </w:instrText>
      </w:r>
      <w:r>
        <w:fldChar w:fldCharType="separate"/>
      </w:r>
      <w:r>
        <w:rPr>
          <w:rStyle w:val="28"/>
          <w:rFonts w:hint="eastAsia" w:ascii="宋体" w:hAnsi="宋体" w:cs="宋体"/>
          <w:color w:val="000000" w:themeColor="text1"/>
          <w:sz w:val="24"/>
          <w14:textFill>
            <w14:solidFill>
              <w14:schemeClr w14:val="tx1"/>
            </w14:solidFill>
          </w14:textFill>
        </w:rPr>
        <w:t>http://jyzx.zhoukou.gov.cn）获取招标文件，并于2025</w:t>
      </w:r>
      <w:r>
        <w:rPr>
          <w:rStyle w:val="28"/>
          <w:rFonts w:hint="eastAsia" w:ascii="宋体" w:hAnsi="宋体" w:cs="宋体"/>
          <w:bCs/>
          <w:color w:val="000000" w:themeColor="text1"/>
          <w:sz w:val="24"/>
          <w14:textFill>
            <w14:solidFill>
              <w14:schemeClr w14:val="tx1"/>
            </w14:solidFill>
          </w14:textFill>
        </w:rPr>
        <w:t xml:space="preserve">年  </w:t>
      </w:r>
      <w:r>
        <w:rPr>
          <w:rStyle w:val="28"/>
          <w:rFonts w:hint="eastAsia" w:ascii="宋体" w:hAnsi="宋体" w:cs="宋体"/>
          <w:bCs/>
          <w:color w:val="000000" w:themeColor="text1"/>
          <w:sz w:val="24"/>
          <w:lang w:val="en-US" w:eastAsia="zh-CN"/>
          <w14:textFill>
            <w14:solidFill>
              <w14:schemeClr w14:val="tx1"/>
            </w14:solidFill>
          </w14:textFill>
        </w:rPr>
        <w:t>10</w:t>
      </w:r>
      <w:r>
        <w:rPr>
          <w:rStyle w:val="28"/>
          <w:rFonts w:hint="eastAsia" w:ascii="宋体" w:hAnsi="宋体" w:cs="宋体"/>
          <w:bCs/>
          <w:color w:val="000000" w:themeColor="text1"/>
          <w:sz w:val="24"/>
          <w14:textFill>
            <w14:solidFill>
              <w14:schemeClr w14:val="tx1"/>
            </w14:solidFill>
          </w14:textFill>
        </w:rPr>
        <w:t>月</w:t>
      </w:r>
      <w:r>
        <w:rPr>
          <w:rStyle w:val="28"/>
          <w:rFonts w:hint="eastAsia" w:ascii="宋体" w:hAnsi="宋体" w:cs="宋体"/>
          <w:bCs/>
          <w:color w:val="000000" w:themeColor="text1"/>
          <w:sz w:val="24"/>
          <w14:textFill>
            <w14:solidFill>
              <w14:schemeClr w14:val="tx1"/>
            </w14:solidFill>
          </w14:textFill>
        </w:rPr>
        <w:fldChar w:fldCharType="end"/>
      </w:r>
      <w:r>
        <w:rPr>
          <w:rStyle w:val="28"/>
          <w:rFonts w:hint="eastAsia" w:ascii="宋体" w:hAnsi="宋体" w:cs="宋体"/>
          <w:bCs/>
          <w:color w:val="000000" w:themeColor="text1"/>
          <w:sz w:val="24"/>
          <w:lang w:val="en-US" w:eastAsia="zh-CN"/>
          <w14:textFill>
            <w14:solidFill>
              <w14:schemeClr w14:val="tx1"/>
            </w14:solidFill>
          </w14:textFill>
        </w:rPr>
        <w:t>14</w:t>
      </w:r>
      <w:r>
        <w:rPr>
          <w:rFonts w:hint="eastAsia" w:ascii="宋体" w:hAnsi="宋体" w:cs="宋体"/>
          <w:bCs/>
          <w:color w:val="000000" w:themeColor="text1"/>
          <w:sz w:val="24"/>
          <w:u w:val="single"/>
          <w14:textFill>
            <w14:solidFill>
              <w14:schemeClr w14:val="tx1"/>
            </w14:solidFill>
          </w14:textFill>
        </w:rPr>
        <w:t>日10点00分</w:t>
      </w:r>
      <w:r>
        <w:rPr>
          <w:rFonts w:hint="eastAsia" w:ascii="宋体" w:hAnsi="宋体" w:cs="宋体"/>
          <w:bCs/>
          <w:color w:val="000000" w:themeColor="text1"/>
          <w:sz w:val="24"/>
          <w14:textFill>
            <w14:solidFill>
              <w14:schemeClr w14:val="tx1"/>
            </w14:solidFill>
          </w14:textFill>
        </w:rPr>
        <w:t>（北京时间）</w:t>
      </w:r>
      <w:r>
        <w:rPr>
          <w:rFonts w:hint="eastAsia" w:ascii="宋体" w:hAnsi="宋体" w:cs="宋体"/>
          <w:color w:val="000000" w:themeColor="text1"/>
          <w:sz w:val="24"/>
          <w14:textFill>
            <w14:solidFill>
              <w14:schemeClr w14:val="tx1"/>
            </w14:solidFill>
          </w14:textFill>
        </w:rPr>
        <w:t>前递交投标文件。</w:t>
      </w:r>
    </w:p>
    <w:bookmarkEnd w:id="1"/>
    <w:bookmarkEnd w:id="2"/>
    <w:bookmarkEnd w:id="3"/>
    <w:bookmarkEnd w:id="4"/>
    <w:p w14:paraId="7E2FB16E">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一、项目基本情况</w:t>
      </w:r>
    </w:p>
    <w:p w14:paraId="1423F469">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项目编号：项财磋商采购-2025-62</w:t>
      </w:r>
    </w:p>
    <w:p w14:paraId="7A191A46">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项目名称：项城市自然资源和规划局“十五五”国土空间生态修复规划编制项目</w:t>
      </w:r>
    </w:p>
    <w:p w14:paraId="6A64E2F2">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采购方式：竞争性磋商</w:t>
      </w:r>
    </w:p>
    <w:p w14:paraId="2FD89BF5">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预算金额：50万元</w:t>
      </w:r>
    </w:p>
    <w:p w14:paraId="01C70FC0">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最高限价：50万元</w:t>
      </w:r>
    </w:p>
    <w:p w14:paraId="116D9809">
      <w:pPr>
        <w:pStyle w:val="21"/>
        <w:snapToGrid w:val="0"/>
        <w:spacing w:before="0" w:beforeAutospacing="0" w:after="0" w:afterAutospacing="0" w:line="500" w:lineRule="exact"/>
        <w:ind w:firstLine="48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包划分：1个包</w:t>
      </w:r>
    </w:p>
    <w:tbl>
      <w:tblPr>
        <w:tblStyle w:val="25"/>
        <w:tblW w:w="4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380"/>
        <w:gridCol w:w="2410"/>
      </w:tblGrid>
      <w:tr w14:paraId="63B7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5" w:type="pct"/>
            <w:vAlign w:val="center"/>
          </w:tcPr>
          <w:p w14:paraId="7A5E32A9">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包号</w:t>
            </w:r>
          </w:p>
        </w:tc>
        <w:tc>
          <w:tcPr>
            <w:tcW w:w="3320" w:type="pct"/>
            <w:vAlign w:val="center"/>
          </w:tcPr>
          <w:p w14:paraId="5673990B">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包名称</w:t>
            </w:r>
          </w:p>
        </w:tc>
        <w:tc>
          <w:tcPr>
            <w:tcW w:w="1254" w:type="pct"/>
            <w:vAlign w:val="center"/>
          </w:tcPr>
          <w:p w14:paraId="4AC89F94">
            <w:pPr>
              <w:pStyle w:val="21"/>
              <w:shd w:val="clear" w:color="auto" w:fill="FFFFFF"/>
              <w:adjustRightInd w:val="0"/>
              <w:snapToGrid w:val="0"/>
              <w:spacing w:before="0" w:beforeAutospacing="0" w:after="0" w:afterAutospacing="0" w:line="500" w:lineRule="exact"/>
              <w:jc w:val="center"/>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包最高限价（万元）</w:t>
            </w:r>
          </w:p>
        </w:tc>
      </w:tr>
      <w:tr w14:paraId="0DFD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25" w:type="pct"/>
            <w:vAlign w:val="center"/>
          </w:tcPr>
          <w:p w14:paraId="24FC5B6F">
            <w:pPr>
              <w:adjustRightInd w:val="0"/>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320" w:type="pct"/>
            <w:vAlign w:val="center"/>
          </w:tcPr>
          <w:p w14:paraId="01C987A9">
            <w:pPr>
              <w:adjustRightInd w:val="0"/>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项城市自然资源和规划局“十五五”国土空间生态修复规划编制项目</w:t>
            </w:r>
          </w:p>
        </w:tc>
        <w:tc>
          <w:tcPr>
            <w:tcW w:w="1254" w:type="pct"/>
            <w:vAlign w:val="center"/>
          </w:tcPr>
          <w:p w14:paraId="141BC332">
            <w:pPr>
              <w:adjustRightInd w:val="0"/>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w:t>
            </w:r>
          </w:p>
        </w:tc>
      </w:tr>
    </w:tbl>
    <w:p w14:paraId="2EC2DE7E">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采购需求：（包括但不限于标的的名称、数量、简要技术需求或服务要求等）</w:t>
      </w:r>
    </w:p>
    <w:p w14:paraId="42EC5566">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“十五五”国土空间生态修复规划编制。（详见采购文件）</w:t>
      </w:r>
    </w:p>
    <w:p w14:paraId="0F10D10D">
      <w:pPr>
        <w:autoSpaceDE w:val="0"/>
        <w:autoSpaceDN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合同履行期限：</w:t>
      </w:r>
      <w:r>
        <w:rPr>
          <w:rFonts w:hint="eastAsia" w:ascii="宋体" w:hAnsi="宋体"/>
          <w:color w:val="000000" w:themeColor="text1"/>
          <w:sz w:val="24"/>
          <w14:textFill>
            <w14:solidFill>
              <w14:schemeClr w14:val="tx1"/>
            </w14:solidFill>
          </w14:textFill>
        </w:rPr>
        <w:t>合同签订后90日历天</w:t>
      </w:r>
    </w:p>
    <w:p w14:paraId="3055B14B">
      <w:pPr>
        <w:spacing w:line="500" w:lineRule="exact"/>
        <w:ind w:firstLine="480" w:firstLineChars="200"/>
        <w:jc w:val="left"/>
        <w:rPr>
          <w:rFonts w:ascii="宋体" w:hAnsi="宋体" w:cs="宋体"/>
          <w:color w:val="000000" w:themeColor="text1"/>
          <w:sz w:val="24"/>
          <w14:textFill>
            <w14:solidFill>
              <w14:schemeClr w14:val="tx1"/>
            </w14:solidFill>
          </w14:textFill>
        </w:rPr>
      </w:pPr>
      <w:bookmarkStart w:id="5" w:name="_Toc35393799"/>
      <w:bookmarkStart w:id="6" w:name="_Toc28359090"/>
      <w:bookmarkStart w:id="7" w:name="_Toc28359013"/>
      <w:bookmarkStart w:id="8" w:name="_Toc35393630"/>
      <w:r>
        <w:rPr>
          <w:rFonts w:hint="eastAsia" w:ascii="宋体" w:hAnsi="宋体" w:cs="宋体"/>
          <w:color w:val="000000" w:themeColor="text1"/>
          <w:sz w:val="24"/>
          <w14:textFill>
            <w14:solidFill>
              <w14:schemeClr w14:val="tx1"/>
            </w14:solidFill>
          </w14:textFill>
        </w:rPr>
        <w:t>是否接受进口产品：否</w:t>
      </w:r>
    </w:p>
    <w:p w14:paraId="06A23A1A">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本项目是否接受联合体投标：否</w:t>
      </w:r>
    </w:p>
    <w:p w14:paraId="5AD44B3C">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本项目是否为只面向中小企业采购：否</w:t>
      </w:r>
    </w:p>
    <w:p w14:paraId="7A795D8D">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二、申请人的资格要求：</w:t>
      </w:r>
      <w:bookmarkEnd w:id="5"/>
      <w:bookmarkEnd w:id="6"/>
      <w:bookmarkEnd w:id="7"/>
      <w:bookmarkEnd w:id="8"/>
    </w:p>
    <w:p w14:paraId="3741EFF2">
      <w:pPr>
        <w:spacing w:line="500" w:lineRule="exact"/>
        <w:ind w:firstLine="480" w:firstLineChars="200"/>
        <w:rPr>
          <w:rFonts w:ascii="宋体" w:hAnsi="宋体"/>
          <w:color w:val="000000" w:themeColor="text1"/>
          <w:sz w:val="24"/>
          <w14:textFill>
            <w14:solidFill>
              <w14:schemeClr w14:val="tx1"/>
            </w14:solidFill>
          </w14:textFill>
        </w:rPr>
      </w:pPr>
      <w:bookmarkStart w:id="9" w:name="_Toc28359014"/>
      <w:bookmarkStart w:id="10" w:name="_Toc28359091"/>
      <w:bookmarkStart w:id="11" w:name="_Toc35393631"/>
      <w:bookmarkStart w:id="12" w:name="_Toc35393800"/>
      <w:r>
        <w:rPr>
          <w:rFonts w:hint="eastAsia" w:ascii="宋体" w:hAnsi="宋体"/>
          <w:color w:val="000000" w:themeColor="text1"/>
          <w:sz w:val="24"/>
          <w14:textFill>
            <w14:solidFill>
              <w14:schemeClr w14:val="tx1"/>
            </w14:solidFill>
          </w14:textFill>
        </w:rPr>
        <w:t>1.满足《中华人民共和国政府采购法》第二十二条规定；</w:t>
      </w:r>
    </w:p>
    <w:p w14:paraId="779EF6E5">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（1）具有独立承担民事责任的能力（企业营业执照等证明文件）；</w:t>
      </w:r>
    </w:p>
    <w:p w14:paraId="2872A32F">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14:paraId="50EAFC71">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（3）具有履行合同所必需的设备和专业技术能力；</w:t>
      </w:r>
    </w:p>
    <w:p w14:paraId="61E367FF">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（4）有依法缴纳税收和社会保障资金的良好记录（缴纳的税收凭据、社会保险凭据，依法免税或不需要缴纳社会保障资金的供应商应提供相应的证明文件）；</w:t>
      </w:r>
    </w:p>
    <w:p w14:paraId="6C197F85">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（5）参加政府采购活动前三年内，在经营活动中没有重大违法记录（提供没有重大违法记录的书面声明函，格式自拟）；</w:t>
      </w:r>
    </w:p>
    <w:p w14:paraId="293E0203">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2.落实政府采购政策需满足的资格要求：促进中小企业和监狱企业发展扶持政策、政府强制采购节能产品强制采购、节能产品及环境标志产品优先采购、促进残疾人就业政府采购政策。  </w:t>
      </w:r>
    </w:p>
    <w:p w14:paraId="4ADFE7C2">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项目的特定资格要求：（1）根据《关于在政府采购活动中查询及使用信用记录有关问题的通知》(财库[2016]125号)和豫财购【2016】15号的规定，对列入“信用中国”网站（www.creditchina.gov.cn）的“失信被执行人”、“重大税收违法失信主体”、 “政府采购严重违法失信行为记录名单”和“中国政府采购”网站(www.ccgp.gov.cn)的“政府采购严重违法失信行为记录名单”的供应商，将拒绝其参加政府采购活动；在标书中附加盖公章的网页查询扫描件，查询日期为公告发布之日起至投标截止之日止。</w:t>
      </w:r>
    </w:p>
    <w:p w14:paraId="13053B3A">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需具有行政主管部门颁发的城乡规划编制甲级资质，拟派项目负责人需要同时具有高级工程师和注册规划师证书（提供职称证书和注册证扫描件、本单位近三个月为其缴纳的社保证明、劳动合同，新成立公司或成立不满三个月的以公司成立起点为准）。</w:t>
      </w:r>
    </w:p>
    <w:p w14:paraId="0ACADFF0">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单位负责人为同一人或者存在直接控股、管理关系的不同供应商，不得同时参加同一招标项目的投标（提供“（http://www.gsxt.gov.cn/index.html）《国家企业信息公示系统》”中公示的公司信息、股东或投资人信息截图加盖公章；非企业性质的供应商无法在该公示系统查询的，则针对此项做出书面承诺，格式自拟并加盖公章）</w:t>
      </w:r>
    </w:p>
    <w:p w14:paraId="44699D53">
      <w:pPr>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三、获取采购文件</w:t>
      </w:r>
      <w:bookmarkEnd w:id="9"/>
      <w:bookmarkEnd w:id="10"/>
      <w:bookmarkEnd w:id="11"/>
      <w:bookmarkEnd w:id="12"/>
    </w:p>
    <w:p w14:paraId="2C282A1A">
      <w:pPr>
        <w:autoSpaceDE w:val="0"/>
        <w:autoSpaceDN w:val="0"/>
        <w:spacing w:line="500" w:lineRule="exact"/>
        <w:ind w:firstLine="5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2025年</w:t>
      </w:r>
      <w:r>
        <w:rPr>
          <w:rFonts w:hint="eastAsia" w:ascii="宋体" w:hAnsi="宋体" w:cs="宋体"/>
          <w:color w:val="000000" w:themeColor="text1"/>
          <w:sz w:val="24"/>
          <w:u w:val="single"/>
          <w:lang w:val="en-US" w:eastAsia="zh-CN"/>
          <w14:textFill>
            <w14:solidFill>
              <w14:schemeClr w14:val="tx1"/>
            </w14:solidFill>
          </w14:textFill>
        </w:rPr>
        <w:t>09</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28</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2025年</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11</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（北京时间，法定节假日除外）</w:t>
      </w:r>
    </w:p>
    <w:p w14:paraId="5990A849">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地点：周口市公共资源交易中心网（http://jyzx.zhoukou.gov.cn）</w:t>
      </w:r>
    </w:p>
    <w:p w14:paraId="0702D522">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14:paraId="7D706F60">
      <w:pPr>
        <w:autoSpaceDE w:val="0"/>
        <w:autoSpaceDN w:val="0"/>
        <w:spacing w:line="500" w:lineRule="exact"/>
        <w:ind w:firstLine="5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售价：0</w:t>
      </w:r>
    </w:p>
    <w:p w14:paraId="01565EF1">
      <w:pPr>
        <w:spacing w:line="500" w:lineRule="exact"/>
        <w:rPr>
          <w:color w:val="000000" w:themeColor="text1"/>
          <w:sz w:val="24"/>
          <w14:textFill>
            <w14:solidFill>
              <w14:schemeClr w14:val="tx1"/>
            </w14:solidFill>
          </w14:textFill>
        </w:rPr>
      </w:pPr>
      <w:bookmarkStart w:id="13" w:name="_Toc28359092"/>
      <w:bookmarkStart w:id="14" w:name="_Toc28359015"/>
      <w:bookmarkStart w:id="15" w:name="_Toc35393632"/>
      <w:bookmarkStart w:id="16" w:name="_Toc35393801"/>
      <w:r>
        <w:rPr>
          <w:rFonts w:hint="eastAsia"/>
          <w:color w:val="000000" w:themeColor="text1"/>
          <w:sz w:val="24"/>
          <w14:textFill>
            <w14:solidFill>
              <w14:schemeClr w14:val="tx1"/>
            </w14:solidFill>
          </w14:textFill>
        </w:rPr>
        <w:t>四、响应文件提交</w:t>
      </w:r>
      <w:bookmarkEnd w:id="13"/>
      <w:bookmarkEnd w:id="14"/>
      <w:bookmarkEnd w:id="15"/>
      <w:bookmarkEnd w:id="16"/>
    </w:p>
    <w:p w14:paraId="28293F3C">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截止时间：</w:t>
      </w:r>
      <w:r>
        <w:rPr>
          <w:rFonts w:hint="eastAsia" w:ascii="宋体" w:hAnsi="宋体" w:cs="宋体"/>
          <w:color w:val="000000" w:themeColor="text1"/>
          <w:sz w:val="24"/>
          <w:u w:val="single"/>
          <w14:textFill>
            <w14:solidFill>
              <w14:schemeClr w14:val="tx1"/>
            </w14:solidFill>
          </w14:textFill>
        </w:rPr>
        <w:t>2025</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10</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14</w:t>
      </w:r>
      <w:r>
        <w:rPr>
          <w:rFonts w:hint="eastAsia" w:ascii="宋体" w:hAnsi="宋体" w:cs="宋体"/>
          <w:bCs/>
          <w:color w:val="000000" w:themeColor="text1"/>
          <w:sz w:val="24"/>
          <w:u w:val="single"/>
          <w14:textFill>
            <w14:solidFill>
              <w14:schemeClr w14:val="tx1"/>
            </w14:solidFill>
          </w14:textFill>
        </w:rPr>
        <w:t>日10点00分</w:t>
      </w:r>
      <w:r>
        <w:rPr>
          <w:rFonts w:hint="eastAsia" w:ascii="宋体" w:hAnsi="宋体" w:cs="宋体"/>
          <w:bCs/>
          <w:color w:val="000000" w:themeColor="text1"/>
          <w:sz w:val="24"/>
          <w14:textFill>
            <w14:solidFill>
              <w14:schemeClr w14:val="tx1"/>
            </w14:solidFill>
          </w14:textFill>
        </w:rPr>
        <w:t>（北京时间）</w:t>
      </w:r>
    </w:p>
    <w:p w14:paraId="62E95ADE">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地点：加密电子响应文件须在投标截止时间前通过</w:t>
      </w:r>
      <w:r>
        <w:rPr>
          <w:rFonts w:hint="eastAsia" w:ascii="宋体" w:hAnsi="宋体" w:cs="宋体"/>
          <w:color w:val="000000" w:themeColor="text1"/>
          <w:spacing w:val="-6"/>
          <w:sz w:val="24"/>
          <w14:textFill>
            <w14:solidFill>
              <w14:schemeClr w14:val="tx1"/>
            </w14:solidFill>
          </w14:textFill>
        </w:rPr>
        <w:t>周口市公共资源交易中心网</w:t>
      </w:r>
      <w:r>
        <w:rPr>
          <w:rFonts w:hint="eastAsia" w:ascii="宋体" w:hAnsi="宋体" w:cs="宋体"/>
          <w:color w:val="000000" w:themeColor="text1"/>
          <w:sz w:val="24"/>
          <w14:textFill>
            <w14:solidFill>
              <w14:schemeClr w14:val="tx1"/>
            </w14:solidFill>
          </w14:textFill>
        </w:rPr>
        <w:t>（网址http://jyzx.zhoukou.gov.cn）。</w:t>
      </w:r>
    </w:p>
    <w:p w14:paraId="43942DE2">
      <w:pPr>
        <w:spacing w:line="500" w:lineRule="exact"/>
        <w:rPr>
          <w:color w:val="000000" w:themeColor="text1"/>
          <w:sz w:val="24"/>
          <w14:textFill>
            <w14:solidFill>
              <w14:schemeClr w14:val="tx1"/>
            </w14:solidFill>
          </w14:textFill>
        </w:rPr>
      </w:pPr>
      <w:bookmarkStart w:id="17" w:name="_Toc35393633"/>
      <w:bookmarkStart w:id="18" w:name="_Toc28359016"/>
      <w:bookmarkStart w:id="19" w:name="_Toc28359093"/>
      <w:bookmarkStart w:id="20" w:name="_Toc35393802"/>
      <w:r>
        <w:rPr>
          <w:rFonts w:hint="eastAsia"/>
          <w:color w:val="000000" w:themeColor="text1"/>
          <w:sz w:val="24"/>
          <w14:textFill>
            <w14:solidFill>
              <w14:schemeClr w14:val="tx1"/>
            </w14:solidFill>
          </w14:textFill>
        </w:rPr>
        <w:t>五、开启（竞争性磋商方式必须填写）</w:t>
      </w:r>
      <w:bookmarkEnd w:id="17"/>
      <w:bookmarkEnd w:id="18"/>
      <w:bookmarkEnd w:id="19"/>
      <w:bookmarkEnd w:id="20"/>
    </w:p>
    <w:p w14:paraId="1E357218">
      <w:pPr>
        <w:autoSpaceDE w:val="0"/>
        <w:autoSpaceDN w:val="0"/>
        <w:spacing w:line="50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2025</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10</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14</w:t>
      </w:r>
      <w:r>
        <w:rPr>
          <w:rFonts w:hint="eastAsia" w:ascii="宋体" w:hAnsi="宋体" w:cs="宋体"/>
          <w:bCs/>
          <w:color w:val="000000" w:themeColor="text1"/>
          <w:sz w:val="24"/>
          <w:u w:val="single"/>
          <w14:textFill>
            <w14:solidFill>
              <w14:schemeClr w14:val="tx1"/>
            </w14:solidFill>
          </w14:textFill>
        </w:rPr>
        <w:t>日10点00分</w:t>
      </w:r>
      <w:r>
        <w:rPr>
          <w:rFonts w:hint="eastAsia" w:ascii="宋体" w:hAnsi="宋体" w:cs="宋体"/>
          <w:bCs/>
          <w:color w:val="000000" w:themeColor="text1"/>
          <w:sz w:val="24"/>
          <w14:textFill>
            <w14:solidFill>
              <w14:schemeClr w14:val="tx1"/>
            </w14:solidFill>
          </w14:textFill>
        </w:rPr>
        <w:t>（北京时间）</w:t>
      </w:r>
    </w:p>
    <w:p w14:paraId="0D9CD3F1">
      <w:pPr>
        <w:autoSpaceDE w:val="0"/>
        <w:autoSpaceDN w:val="0"/>
        <w:spacing w:line="500" w:lineRule="exact"/>
        <w:ind w:firstLine="480" w:firstLineChars="200"/>
        <w:jc w:val="left"/>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地点：周口市公共资源交易中心开标室</w:t>
      </w:r>
    </w:p>
    <w:p w14:paraId="0162075B">
      <w:pPr>
        <w:spacing w:line="500" w:lineRule="exact"/>
        <w:rPr>
          <w:color w:val="000000" w:themeColor="text1"/>
          <w:sz w:val="24"/>
          <w14:textFill>
            <w14:solidFill>
              <w14:schemeClr w14:val="tx1"/>
            </w14:solidFill>
          </w14:textFill>
        </w:rPr>
      </w:pPr>
      <w:bookmarkStart w:id="21" w:name="_Toc28359017"/>
      <w:bookmarkStart w:id="22" w:name="_Toc35393634"/>
      <w:bookmarkStart w:id="23" w:name="_Toc28359094"/>
      <w:bookmarkStart w:id="24" w:name="_Toc35393803"/>
      <w:r>
        <w:rPr>
          <w:rFonts w:hint="eastAsia"/>
          <w:color w:val="000000" w:themeColor="text1"/>
          <w:sz w:val="24"/>
          <w14:textFill>
            <w14:solidFill>
              <w14:schemeClr w14:val="tx1"/>
            </w14:solidFill>
          </w14:textFill>
        </w:rPr>
        <w:t>六、公告期限</w:t>
      </w:r>
      <w:bookmarkEnd w:id="21"/>
      <w:bookmarkEnd w:id="22"/>
      <w:bookmarkEnd w:id="23"/>
      <w:bookmarkEnd w:id="24"/>
    </w:p>
    <w:p w14:paraId="6A72C448">
      <w:pPr>
        <w:autoSpaceDE w:val="0"/>
        <w:autoSpaceDN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自本公告发布之日起3个工作日。</w:t>
      </w:r>
    </w:p>
    <w:p w14:paraId="261DB0E1">
      <w:pPr>
        <w:spacing w:line="500" w:lineRule="exact"/>
        <w:rPr>
          <w:color w:val="000000" w:themeColor="text1"/>
          <w:sz w:val="24"/>
          <w14:textFill>
            <w14:solidFill>
              <w14:schemeClr w14:val="tx1"/>
            </w14:solidFill>
          </w14:textFill>
        </w:rPr>
      </w:pPr>
      <w:bookmarkStart w:id="25" w:name="_Toc35393635"/>
      <w:bookmarkStart w:id="26" w:name="_Toc35393804"/>
      <w:r>
        <w:rPr>
          <w:rFonts w:hint="eastAsia"/>
          <w:color w:val="000000" w:themeColor="text1"/>
          <w:sz w:val="24"/>
          <w14:textFill>
            <w14:solidFill>
              <w14:schemeClr w14:val="tx1"/>
            </w14:solidFill>
          </w14:textFill>
        </w:rPr>
        <w:t>七、其他补充事宜</w:t>
      </w:r>
      <w:bookmarkEnd w:id="25"/>
      <w:bookmarkEnd w:id="26"/>
    </w:p>
    <w:p w14:paraId="2A229EB6">
      <w:pPr>
        <w:spacing w:line="5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p w14:paraId="04336AC6">
      <w:pPr>
        <w:spacing w:line="500" w:lineRule="exact"/>
        <w:rPr>
          <w:color w:val="000000" w:themeColor="text1"/>
          <w:sz w:val="24"/>
          <w14:textFill>
            <w14:solidFill>
              <w14:schemeClr w14:val="tx1"/>
            </w14:solidFill>
          </w14:textFill>
        </w:rPr>
      </w:pPr>
      <w:bookmarkStart w:id="27" w:name="_Toc28359095"/>
      <w:bookmarkStart w:id="28" w:name="_Toc35393636"/>
      <w:bookmarkStart w:id="29" w:name="_Toc35393805"/>
      <w:bookmarkStart w:id="30" w:name="_Toc28359018"/>
      <w:r>
        <w:rPr>
          <w:rFonts w:hint="eastAsia"/>
          <w:color w:val="000000" w:themeColor="text1"/>
          <w:sz w:val="24"/>
          <w14:textFill>
            <w14:solidFill>
              <w14:schemeClr w14:val="tx1"/>
            </w14:solidFill>
          </w14:textFill>
        </w:rPr>
        <w:t>八、凡对本次采购提出询问，请按以下方式联系</w:t>
      </w:r>
      <w:bookmarkEnd w:id="27"/>
      <w:bookmarkEnd w:id="28"/>
      <w:bookmarkEnd w:id="29"/>
      <w:bookmarkEnd w:id="30"/>
    </w:p>
    <w:p w14:paraId="443CDDF3">
      <w:pPr>
        <w:spacing w:line="500" w:lineRule="exact"/>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1.采购人信息</w:t>
      </w:r>
    </w:p>
    <w:p w14:paraId="1796E0B6">
      <w:pPr>
        <w:spacing w:line="360" w:lineRule="auto"/>
        <w:ind w:firstLine="480"/>
        <w:jc w:val="left"/>
        <w:rPr>
          <w:rFonts w:ascii="宋体" w:hAnsi="宋体" w:cs="宋体"/>
          <w:color w:val="000000" w:themeColor="text1"/>
          <w:kern w:val="0"/>
          <w:sz w:val="24"/>
          <w:szCs w:val="22"/>
          <w14:textFill>
            <w14:solidFill>
              <w14:schemeClr w14:val="tx1"/>
            </w14:solidFill>
          </w14:textFill>
        </w:rPr>
      </w:pPr>
      <w:bookmarkStart w:id="31" w:name="_Toc28359009"/>
      <w:bookmarkStart w:id="32" w:name="_Toc28359086"/>
      <w:r>
        <w:rPr>
          <w:rFonts w:hint="eastAsia" w:ascii="宋体" w:hAnsi="宋体" w:cs="宋体"/>
          <w:color w:val="000000" w:themeColor="text1"/>
          <w:kern w:val="0"/>
          <w:sz w:val="24"/>
          <w:szCs w:val="22"/>
          <w14:textFill>
            <w14:solidFill>
              <w14:schemeClr w14:val="tx1"/>
            </w14:solidFill>
          </w14:textFill>
        </w:rPr>
        <w:t>名称：项城市自然资源和规划局</w:t>
      </w:r>
    </w:p>
    <w:p w14:paraId="12376117">
      <w:pPr>
        <w:spacing w:line="360" w:lineRule="auto"/>
        <w:ind w:firstLine="480"/>
        <w:jc w:val="left"/>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地址：项城市境内</w:t>
      </w:r>
    </w:p>
    <w:p w14:paraId="64587A48">
      <w:pPr>
        <w:adjustRightInd w:val="0"/>
        <w:snapToGrid w:val="0"/>
        <w:spacing w:line="500" w:lineRule="exact"/>
        <w:ind w:firstLine="480" w:firstLineChars="200"/>
        <w:jc w:val="left"/>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项目联系人：付艺伟      联系方式：</w:t>
      </w:r>
      <w:r>
        <w:rPr>
          <w:rFonts w:ascii="宋体" w:hAnsi="宋体" w:cs="宋体"/>
          <w:color w:val="000000" w:themeColor="text1"/>
          <w:kern w:val="0"/>
          <w:sz w:val="24"/>
          <w:szCs w:val="22"/>
          <w14:textFill>
            <w14:solidFill>
              <w14:schemeClr w14:val="tx1"/>
            </w14:solidFill>
          </w14:textFill>
        </w:rPr>
        <w:t>18739751789</w:t>
      </w:r>
    </w:p>
    <w:p w14:paraId="50988476">
      <w:pPr>
        <w:adjustRightInd w:val="0"/>
        <w:snapToGrid w:val="0"/>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2.采购代理机构信息</w:t>
      </w:r>
      <w:bookmarkEnd w:id="31"/>
      <w:bookmarkEnd w:id="32"/>
    </w:p>
    <w:p w14:paraId="197FFB65">
      <w:pPr>
        <w:adjustRightInd w:val="0"/>
        <w:snapToGrid w:val="0"/>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称：周口市公共资源交易中心政府采购中心</w:t>
      </w:r>
    </w:p>
    <w:p w14:paraId="0A99ADB4">
      <w:pPr>
        <w:adjustRightInd w:val="0"/>
        <w:snapToGrid w:val="0"/>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址：周口市光明路与政通路交叉口向北100米路东</w:t>
      </w:r>
    </w:p>
    <w:p w14:paraId="4EC1171A">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w:t>
      </w:r>
      <w:r>
        <w:rPr>
          <w:rFonts w:hint="eastAsia" w:ascii="宋体" w:hAnsi="宋体" w:cs="宋体"/>
          <w:color w:val="000000" w:themeColor="text1"/>
          <w:sz w:val="24"/>
          <w:lang w:val="en-US" w:eastAsia="zh-CN"/>
          <w14:textFill>
            <w14:solidFill>
              <w14:schemeClr w14:val="tx1"/>
            </w14:solidFill>
          </w14:textFill>
        </w:rPr>
        <w:t>郝冰</w:t>
      </w:r>
      <w:r>
        <w:rPr>
          <w:rFonts w:hint="eastAsia" w:ascii="宋体" w:hAnsi="宋体" w:cs="宋体"/>
          <w:color w:val="000000" w:themeColor="text1"/>
          <w:sz w:val="24"/>
          <w14:textFill>
            <w14:solidFill>
              <w14:schemeClr w14:val="tx1"/>
            </w14:solidFill>
          </w14:textFill>
        </w:rPr>
        <w:t xml:space="preserve">        联系方式：</w:t>
      </w:r>
      <w:bookmarkStart w:id="33" w:name="_Toc28359010"/>
      <w:bookmarkStart w:id="34" w:name="_Toc28359087"/>
      <w:r>
        <w:rPr>
          <w:rFonts w:ascii="宋体" w:hAnsi="宋体" w:cs="宋体"/>
          <w:color w:val="000000" w:themeColor="text1"/>
          <w:sz w:val="24"/>
          <w14:textFill>
            <w14:solidFill>
              <w14:schemeClr w14:val="tx1"/>
            </w14:solidFill>
          </w14:textFill>
        </w:rPr>
        <w:t>0394-8106517</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19913281817</w:t>
      </w:r>
      <w:r>
        <w:rPr>
          <w:rFonts w:hint="eastAsia" w:ascii="宋体" w:hAnsi="宋体" w:cs="宋体"/>
          <w:color w:val="000000" w:themeColor="text1"/>
          <w:sz w:val="24"/>
          <w14:textFill>
            <w14:solidFill>
              <w14:schemeClr w14:val="tx1"/>
            </w14:solidFill>
          </w14:textFill>
        </w:rPr>
        <w:t xml:space="preserve">  </w:t>
      </w:r>
    </w:p>
    <w:bookmarkEnd w:id="33"/>
    <w:bookmarkEnd w:id="34"/>
    <w:p w14:paraId="60A02DFD">
      <w:pPr>
        <w:spacing w:line="360" w:lineRule="auto"/>
        <w:ind w:firstLine="480"/>
        <w:jc w:val="left"/>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3.监督单位：项城市财政局</w:t>
      </w:r>
    </w:p>
    <w:p w14:paraId="7C11322D">
      <w:pPr>
        <w:spacing w:line="360" w:lineRule="auto"/>
        <w:ind w:firstLine="480"/>
        <w:jc w:val="left"/>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联系方式：0394-4315676</w:t>
      </w:r>
    </w:p>
    <w:p w14:paraId="4AC0E40A">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47682C5A">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027A6558">
      <w:pPr>
        <w:pStyle w:val="30"/>
        <w:adjustRightInd w:val="0"/>
        <w:snapToGrid w:val="0"/>
        <w:spacing w:after="0"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1A993542">
      <w:pPr>
        <w:pStyle w:val="8"/>
        <w:adjustRightInd w:val="0"/>
        <w:snapToGrid w:val="0"/>
        <w:spacing w:line="500" w:lineRule="exact"/>
        <w:ind w:firstLine="3240" w:firstLineChars="1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周口市公共资源交易中心政府采购中心</w:t>
      </w:r>
    </w:p>
    <w:p w14:paraId="2B312071">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09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bookmarkStart w:id="70" w:name="_GoBack"/>
      <w:bookmarkEnd w:id="70"/>
      <w:r>
        <w:rPr>
          <w:rFonts w:hint="eastAsia" w:ascii="宋体" w:hAnsi="宋体" w:cs="宋体"/>
          <w:color w:val="000000" w:themeColor="text1"/>
          <w:sz w:val="24"/>
          <w14:textFill>
            <w14:solidFill>
              <w14:schemeClr w14:val="tx1"/>
            </w14:solidFill>
          </w14:textFill>
        </w:rPr>
        <w:t>日</w:t>
      </w:r>
    </w:p>
    <w:p w14:paraId="28E340DA">
      <w:pPr>
        <w:spacing w:line="500" w:lineRule="exact"/>
        <w:jc w:val="center"/>
        <w:rPr>
          <w:rFonts w:ascii="宋体" w:hAnsi="宋体" w:cs="宋体"/>
          <w:color w:val="000000" w:themeColor="text1"/>
          <w:sz w:val="24"/>
          <w14:textFill>
            <w14:solidFill>
              <w14:schemeClr w14:val="tx1"/>
            </w14:solidFill>
          </w14:textFill>
        </w:rPr>
      </w:pPr>
    </w:p>
    <w:p w14:paraId="50B50CF4">
      <w:pPr>
        <w:jc w:val="center"/>
        <w:rPr>
          <w:rFonts w:ascii="宋体" w:hAnsi="宋体" w:cs="宋体"/>
          <w:color w:val="000000" w:themeColor="text1"/>
          <w:sz w:val="24"/>
          <w14:textFill>
            <w14:solidFill>
              <w14:schemeClr w14:val="tx1"/>
            </w14:solidFill>
          </w14:textFill>
        </w:rPr>
      </w:pPr>
    </w:p>
    <w:p w14:paraId="016D908E">
      <w:pPr>
        <w:jc w:val="center"/>
        <w:rPr>
          <w:rFonts w:ascii="宋体" w:hAnsi="宋体" w:cs="宋体"/>
          <w:color w:val="000000" w:themeColor="text1"/>
          <w:sz w:val="24"/>
          <w14:textFill>
            <w14:solidFill>
              <w14:schemeClr w14:val="tx1"/>
            </w14:solidFill>
          </w14:textFill>
        </w:rPr>
      </w:pPr>
    </w:p>
    <w:p w14:paraId="2C427461">
      <w:pPr>
        <w:jc w:val="center"/>
        <w:rPr>
          <w:rFonts w:ascii="宋体" w:hAnsi="宋体" w:cs="宋体"/>
          <w:color w:val="000000" w:themeColor="text1"/>
          <w:sz w:val="24"/>
          <w14:textFill>
            <w14:solidFill>
              <w14:schemeClr w14:val="tx1"/>
            </w14:solidFill>
          </w14:textFill>
        </w:rPr>
      </w:pPr>
    </w:p>
    <w:p w14:paraId="739D2972">
      <w:pPr>
        <w:jc w:val="center"/>
        <w:rPr>
          <w:rFonts w:ascii="宋体" w:hAnsi="宋体" w:cs="宋体"/>
          <w:color w:val="000000" w:themeColor="text1"/>
          <w:sz w:val="24"/>
          <w14:textFill>
            <w14:solidFill>
              <w14:schemeClr w14:val="tx1"/>
            </w14:solidFill>
          </w14:textFill>
        </w:rPr>
      </w:pPr>
    </w:p>
    <w:p w14:paraId="48DBE0CE">
      <w:pPr>
        <w:jc w:val="center"/>
        <w:rPr>
          <w:rFonts w:ascii="宋体" w:hAnsi="宋体" w:cs="宋体"/>
          <w:color w:val="000000" w:themeColor="text1"/>
          <w:sz w:val="24"/>
          <w14:textFill>
            <w14:solidFill>
              <w14:schemeClr w14:val="tx1"/>
            </w14:solidFill>
          </w14:textFill>
        </w:rPr>
      </w:pPr>
    </w:p>
    <w:p w14:paraId="655B3BA5">
      <w:pPr>
        <w:jc w:val="center"/>
        <w:rPr>
          <w:rFonts w:ascii="宋体" w:hAnsi="宋体" w:cs="宋体"/>
          <w:color w:val="000000" w:themeColor="text1"/>
          <w:sz w:val="24"/>
          <w14:textFill>
            <w14:solidFill>
              <w14:schemeClr w14:val="tx1"/>
            </w14:solidFill>
          </w14:textFill>
        </w:rPr>
      </w:pPr>
    </w:p>
    <w:p w14:paraId="35FF9492">
      <w:pPr>
        <w:pStyle w:val="22"/>
        <w:rPr>
          <w:color w:val="000000" w:themeColor="text1"/>
          <w14:textFill>
            <w14:solidFill>
              <w14:schemeClr w14:val="tx1"/>
            </w14:solidFill>
          </w14:textFill>
        </w:rPr>
      </w:pPr>
      <w:bookmarkStart w:id="35" w:name="_Toc195875464"/>
      <w:r>
        <w:rPr>
          <w:rFonts w:hint="eastAsia"/>
          <w:color w:val="000000" w:themeColor="text1"/>
          <w14:textFill>
            <w14:solidFill>
              <w14:schemeClr w14:val="tx1"/>
            </w14:solidFill>
          </w14:textFill>
        </w:rPr>
        <w:t>第二章    供应商须知</w:t>
      </w:r>
      <w:bookmarkEnd w:id="35"/>
    </w:p>
    <w:tbl>
      <w:tblPr>
        <w:tblStyle w:val="25"/>
        <w:tblW w:w="985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50"/>
        <w:gridCol w:w="6834"/>
      </w:tblGrid>
      <w:tr w14:paraId="7D95B7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59" w:type="dxa"/>
            <w:gridSpan w:val="3"/>
            <w:vAlign w:val="center"/>
          </w:tcPr>
          <w:p w14:paraId="07C318E3">
            <w:pPr>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 w:val="32"/>
                <w:szCs w:val="32"/>
                <w14:textFill>
                  <w14:solidFill>
                    <w14:schemeClr w14:val="tx1"/>
                  </w14:solidFill>
                </w14:textFill>
              </w:rPr>
              <w:t>供应商须知前附表</w:t>
            </w:r>
          </w:p>
        </w:tc>
      </w:tr>
      <w:tr w14:paraId="7A54F5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5" w:type="dxa"/>
            <w:vAlign w:val="center"/>
          </w:tcPr>
          <w:p w14:paraId="5A939164">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250" w:type="dxa"/>
            <w:vAlign w:val="center"/>
          </w:tcPr>
          <w:p w14:paraId="07532C4F">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条款</w:t>
            </w:r>
          </w:p>
        </w:tc>
        <w:tc>
          <w:tcPr>
            <w:tcW w:w="6834" w:type="dxa"/>
            <w:vAlign w:val="center"/>
          </w:tcPr>
          <w:p w14:paraId="10935BE4">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  容</w:t>
            </w:r>
          </w:p>
        </w:tc>
      </w:tr>
      <w:tr w14:paraId="3AE8FD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75" w:type="dxa"/>
            <w:vAlign w:val="center"/>
          </w:tcPr>
          <w:p w14:paraId="666C6AC4">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40F63AE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tc>
        <w:tc>
          <w:tcPr>
            <w:tcW w:w="6834" w:type="dxa"/>
            <w:vAlign w:val="center"/>
          </w:tcPr>
          <w:p w14:paraId="7724003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项目名称：项城市自然资源和规划局“十五五”国土空间生态修复规划编制项目</w:t>
            </w:r>
          </w:p>
          <w:p w14:paraId="10743E9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采购内容：“十五五”国土空间生态修复规划编制。</w:t>
            </w:r>
          </w:p>
          <w:p w14:paraId="06F1947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采购人：项城市自然资源和规划局</w:t>
            </w:r>
          </w:p>
          <w:p w14:paraId="143D7B8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采购代理机构：周口市公共资源交易中心政府采购中心</w:t>
            </w:r>
          </w:p>
        </w:tc>
      </w:tr>
      <w:tr w14:paraId="603AA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75" w:type="dxa"/>
            <w:vAlign w:val="center"/>
          </w:tcPr>
          <w:p w14:paraId="426A4CBF">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518B04FA">
            <w:pPr>
              <w:spacing w:before="156" w:beforeLines="50"/>
              <w:ind w:left="-4" w:leftChars="-4" w:hanging="4" w:hangingChars="2"/>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对供应商的资格要求</w:t>
            </w:r>
          </w:p>
        </w:tc>
        <w:tc>
          <w:tcPr>
            <w:tcW w:w="6834" w:type="dxa"/>
            <w:vAlign w:val="center"/>
          </w:tcPr>
          <w:p w14:paraId="75D8BC34">
            <w:pPr>
              <w:spacing w:before="156" w:beforeLines="50"/>
              <w:ind w:left="-4" w:leftChars="-4" w:hanging="4" w:hangingChars="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见竞争性磋商邀请函</w:t>
            </w:r>
          </w:p>
        </w:tc>
      </w:tr>
      <w:tr w14:paraId="66D19D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75" w:type="dxa"/>
            <w:vAlign w:val="center"/>
          </w:tcPr>
          <w:p w14:paraId="75EB17E4">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34EA7989">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报价费用</w:t>
            </w:r>
          </w:p>
        </w:tc>
        <w:tc>
          <w:tcPr>
            <w:tcW w:w="6834" w:type="dxa"/>
            <w:vAlign w:val="center"/>
          </w:tcPr>
          <w:p w14:paraId="55F819B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无论报价和磋商的过程和结果如何，供应商自行承担所有与参加报价及磋商有关活动的全部费用。</w:t>
            </w:r>
          </w:p>
        </w:tc>
      </w:tr>
      <w:tr w14:paraId="7F48DF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75" w:type="dxa"/>
            <w:vAlign w:val="center"/>
          </w:tcPr>
          <w:p w14:paraId="410EA09E">
            <w:pPr>
              <w:numPr>
                <w:ilvl w:val="0"/>
                <w:numId w:val="1"/>
              </w:numPr>
              <w:spacing w:before="156" w:beforeLines="50"/>
              <w:rPr>
                <w:rFonts w:ascii="宋体" w:hAnsi="宋体" w:cs="宋体"/>
                <w:color w:val="000000" w:themeColor="text1"/>
                <w:sz w:val="24"/>
                <w14:textFill>
                  <w14:solidFill>
                    <w14:schemeClr w14:val="tx1"/>
                  </w14:solidFill>
                </w14:textFill>
              </w:rPr>
            </w:pPr>
          </w:p>
        </w:tc>
        <w:tc>
          <w:tcPr>
            <w:tcW w:w="2250" w:type="dxa"/>
            <w:vAlign w:val="center"/>
          </w:tcPr>
          <w:p w14:paraId="19EE6380">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响应文件语言</w:t>
            </w:r>
          </w:p>
        </w:tc>
        <w:tc>
          <w:tcPr>
            <w:tcW w:w="6834" w:type="dxa"/>
            <w:vAlign w:val="center"/>
          </w:tcPr>
          <w:p w14:paraId="27285D43">
            <w:pPr>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中文</w:t>
            </w:r>
          </w:p>
        </w:tc>
      </w:tr>
      <w:tr w14:paraId="199FD6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75" w:type="dxa"/>
            <w:vAlign w:val="center"/>
          </w:tcPr>
          <w:p w14:paraId="3DEAB5D3">
            <w:pPr>
              <w:numPr>
                <w:ilvl w:val="0"/>
                <w:numId w:val="1"/>
              </w:numPr>
              <w:spacing w:before="156" w:beforeLines="50"/>
              <w:rPr>
                <w:rFonts w:ascii="宋体" w:hAnsi="宋体" w:cs="宋体"/>
                <w:color w:val="000000" w:themeColor="text1"/>
                <w:sz w:val="24"/>
                <w14:textFill>
                  <w14:solidFill>
                    <w14:schemeClr w14:val="tx1"/>
                  </w14:solidFill>
                </w14:textFill>
              </w:rPr>
            </w:pPr>
          </w:p>
        </w:tc>
        <w:tc>
          <w:tcPr>
            <w:tcW w:w="2250" w:type="dxa"/>
            <w:vAlign w:val="center"/>
          </w:tcPr>
          <w:p w14:paraId="0D085A7E">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报价货币</w:t>
            </w:r>
          </w:p>
        </w:tc>
        <w:tc>
          <w:tcPr>
            <w:tcW w:w="6834" w:type="dxa"/>
            <w:vAlign w:val="center"/>
          </w:tcPr>
          <w:p w14:paraId="2B5B97B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r>
      <w:tr w14:paraId="58B6AB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75" w:type="dxa"/>
            <w:vAlign w:val="center"/>
          </w:tcPr>
          <w:p w14:paraId="41D000EF">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41E60026">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报价范围及说明</w:t>
            </w:r>
          </w:p>
        </w:tc>
        <w:tc>
          <w:tcPr>
            <w:tcW w:w="6834" w:type="dxa"/>
            <w:vAlign w:val="center"/>
          </w:tcPr>
          <w:p w14:paraId="6B2D1A8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报价包括本项目所招标的服务、保险、税费、验收等（采购项目技术规格、参数及要求）。</w:t>
            </w:r>
          </w:p>
        </w:tc>
      </w:tr>
      <w:tr w14:paraId="61742E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75" w:type="dxa"/>
            <w:vAlign w:val="center"/>
          </w:tcPr>
          <w:p w14:paraId="5D8809CF">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431D6E63">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响应文件有效期</w:t>
            </w:r>
          </w:p>
        </w:tc>
        <w:tc>
          <w:tcPr>
            <w:tcW w:w="6834" w:type="dxa"/>
            <w:vAlign w:val="center"/>
          </w:tcPr>
          <w:p w14:paraId="26153D0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响应文件递交截止期后60日内有效</w:t>
            </w:r>
          </w:p>
        </w:tc>
      </w:tr>
      <w:tr w14:paraId="79857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75" w:type="dxa"/>
            <w:vAlign w:val="center"/>
          </w:tcPr>
          <w:p w14:paraId="3EEA002D">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437EBB6A">
            <w:pPr>
              <w:tabs>
                <w:tab w:val="left" w:pos="8640"/>
              </w:tabs>
              <w:spacing w:before="156" w:beforeLines="50"/>
              <w:ind w:left="-2" w:leftChars="-1"/>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响应文件的组成</w:t>
            </w:r>
          </w:p>
        </w:tc>
        <w:tc>
          <w:tcPr>
            <w:tcW w:w="6834" w:type="dxa"/>
            <w:vAlign w:val="center"/>
          </w:tcPr>
          <w:p w14:paraId="2B2B357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14:paraId="1F088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75" w:type="dxa"/>
            <w:vAlign w:val="center"/>
          </w:tcPr>
          <w:p w14:paraId="6BB4B6B6">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3BD958F6">
            <w:pPr>
              <w:tabs>
                <w:tab w:val="left" w:pos="8640"/>
              </w:tabs>
              <w:spacing w:before="156" w:beforeLines="50"/>
              <w:ind w:left="-2" w:leftChars="-1"/>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响应文件封面要求</w:t>
            </w:r>
          </w:p>
        </w:tc>
        <w:tc>
          <w:tcPr>
            <w:tcW w:w="6834" w:type="dxa"/>
            <w:vAlign w:val="center"/>
          </w:tcPr>
          <w:p w14:paraId="673925B7">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响应文件封面须包含项目名称、项目编号、供应商名称、地址、联系人及联系电话等内容。</w:t>
            </w:r>
          </w:p>
        </w:tc>
      </w:tr>
      <w:tr w14:paraId="32203E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14:paraId="278B8F26">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7A589017">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响应文件份数要求</w:t>
            </w:r>
          </w:p>
        </w:tc>
        <w:tc>
          <w:tcPr>
            <w:tcW w:w="6834" w:type="dxa"/>
            <w:vAlign w:val="center"/>
          </w:tcPr>
          <w:p w14:paraId="694B839F">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加密的电子投标文件须在投标截止时间前成功上传</w:t>
            </w:r>
          </w:p>
        </w:tc>
      </w:tr>
      <w:tr w14:paraId="3ED95F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14:paraId="239713F3">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5AD73478">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响应文件装订和密封要求</w:t>
            </w:r>
          </w:p>
        </w:tc>
        <w:tc>
          <w:tcPr>
            <w:tcW w:w="6834" w:type="dxa"/>
            <w:vAlign w:val="center"/>
          </w:tcPr>
          <w:p w14:paraId="347544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tc>
      </w:tr>
      <w:tr w14:paraId="6DF383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14:paraId="440EED6B">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1832726A">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竞争性磋商文件的澄清</w:t>
            </w:r>
          </w:p>
        </w:tc>
        <w:tc>
          <w:tcPr>
            <w:tcW w:w="6834" w:type="dxa"/>
            <w:vAlign w:val="center"/>
          </w:tcPr>
          <w:p w14:paraId="48AC60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tc>
      </w:tr>
      <w:tr w14:paraId="6937BC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75" w:type="dxa"/>
            <w:vAlign w:val="center"/>
          </w:tcPr>
          <w:p w14:paraId="6BCB3EF8">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34FE4572">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响应文件递交截止时间</w:t>
            </w:r>
          </w:p>
        </w:tc>
        <w:tc>
          <w:tcPr>
            <w:tcW w:w="6834" w:type="dxa"/>
            <w:vAlign w:val="center"/>
          </w:tcPr>
          <w:p w14:paraId="6E9900FF">
            <w:pPr>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（见磋商公告） </w:t>
            </w:r>
          </w:p>
        </w:tc>
      </w:tr>
      <w:tr w14:paraId="60F9D6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14:paraId="0BF39922">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0E84D808">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响应文件递交地点</w:t>
            </w:r>
          </w:p>
        </w:tc>
        <w:tc>
          <w:tcPr>
            <w:tcW w:w="6834" w:type="dxa"/>
            <w:vAlign w:val="center"/>
          </w:tcPr>
          <w:p w14:paraId="62529683">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周口市公共资源交易中心网</w:t>
            </w:r>
          </w:p>
          <w:p w14:paraId="30CD4649">
            <w:pP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网址：周口市公共资源电子交易服务平台会员系统（网址</w:t>
            </w:r>
            <w:r>
              <w:rPr>
                <w:rFonts w:hint="eastAsia" w:ascii="宋体" w:hAnsi="宋体"/>
                <w:color w:val="000000" w:themeColor="text1"/>
                <w14:textFill>
                  <w14:solidFill>
                    <w14:schemeClr w14:val="tx1"/>
                  </w14:solidFill>
                </w14:textFill>
              </w:rPr>
              <w:t>http://jyzx.zhoukou.gov.cn）</w:t>
            </w:r>
          </w:p>
          <w:p w14:paraId="7546BC85">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（本项目实行网上远程开标无须到现场提交响应文件）</w:t>
            </w:r>
          </w:p>
        </w:tc>
      </w:tr>
      <w:tr w14:paraId="14E5A4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75" w:type="dxa"/>
            <w:vAlign w:val="center"/>
          </w:tcPr>
          <w:p w14:paraId="0A967006">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2A3D68A0">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磋商时间</w:t>
            </w:r>
          </w:p>
        </w:tc>
        <w:tc>
          <w:tcPr>
            <w:tcW w:w="6834" w:type="dxa"/>
            <w:vAlign w:val="center"/>
          </w:tcPr>
          <w:p w14:paraId="559FC010">
            <w:pPr>
              <w:tabs>
                <w:tab w:val="left" w:pos="8640"/>
              </w:tabs>
              <w:ind w:left="-2" w:leftChars="-1"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见磋商公告</w:t>
            </w:r>
          </w:p>
        </w:tc>
      </w:tr>
      <w:tr w14:paraId="33CAFA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75" w:type="dxa"/>
            <w:vAlign w:val="center"/>
          </w:tcPr>
          <w:p w14:paraId="3C2DDE08">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3637FC69">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磋商程序和内容</w:t>
            </w:r>
          </w:p>
        </w:tc>
        <w:tc>
          <w:tcPr>
            <w:tcW w:w="6834" w:type="dxa"/>
            <w:vAlign w:val="center"/>
          </w:tcPr>
          <w:p w14:paraId="4C868A53">
            <w:pPr>
              <w:tabs>
                <w:tab w:val="left" w:pos="8640"/>
              </w:tabs>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详见磋商文件第二章</w:t>
            </w:r>
          </w:p>
        </w:tc>
      </w:tr>
      <w:tr w14:paraId="4BB25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75" w:type="dxa"/>
            <w:vAlign w:val="center"/>
          </w:tcPr>
          <w:p w14:paraId="2BEEAF10">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492098C0">
            <w:pPr>
              <w:spacing w:before="156" w:beforeLine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授予合同</w:t>
            </w:r>
          </w:p>
        </w:tc>
        <w:tc>
          <w:tcPr>
            <w:tcW w:w="6834" w:type="dxa"/>
            <w:vAlign w:val="center"/>
          </w:tcPr>
          <w:p w14:paraId="7198DCBE">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采购人根据磋商小组的推荐意见，确定成交供应商。采购代理机构向成交供应商发出成交通知书。</w:t>
            </w:r>
          </w:p>
        </w:tc>
      </w:tr>
      <w:tr w14:paraId="3E207F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75" w:type="dxa"/>
            <w:vAlign w:val="center"/>
          </w:tcPr>
          <w:p w14:paraId="7E55230A">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3579FB69">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签订合同</w:t>
            </w:r>
          </w:p>
        </w:tc>
        <w:tc>
          <w:tcPr>
            <w:tcW w:w="6834" w:type="dxa"/>
            <w:vAlign w:val="center"/>
          </w:tcPr>
          <w:p w14:paraId="0F13B1AD">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1）接到成交通知书30天内，成交供应商应与采购人签订采购合同。</w:t>
            </w:r>
          </w:p>
          <w:p w14:paraId="4CFD9150">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2）本磋商文件、响应文件及磋商、评审过程中有关澄清、承诺文件的内容，将作为签订合同的主要内容。</w:t>
            </w:r>
          </w:p>
        </w:tc>
      </w:tr>
      <w:tr w14:paraId="17415E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75" w:type="dxa"/>
            <w:vAlign w:val="center"/>
          </w:tcPr>
          <w:p w14:paraId="2F565464">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2684C909">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834" w:type="dxa"/>
            <w:vAlign w:val="center"/>
          </w:tcPr>
          <w:p w14:paraId="0084C2B3">
            <w:pPr>
              <w:tabs>
                <w:tab w:val="left" w:pos="8640"/>
              </w:tabs>
              <w:ind w:left="-2" w:left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本项目不需要交纳投标保证金</w:t>
            </w:r>
          </w:p>
        </w:tc>
      </w:tr>
      <w:tr w14:paraId="4A4133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75" w:type="dxa"/>
            <w:vAlign w:val="center"/>
          </w:tcPr>
          <w:p w14:paraId="6D1C8644">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0C6ABBC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服务期限</w:t>
            </w:r>
          </w:p>
        </w:tc>
        <w:tc>
          <w:tcPr>
            <w:tcW w:w="6834" w:type="dxa"/>
            <w:vAlign w:val="center"/>
          </w:tcPr>
          <w:p w14:paraId="5BB53C81">
            <w:pPr>
              <w:autoSpaceDE w:val="0"/>
              <w:autoSpaceDN w:val="0"/>
              <w:spacing w:line="360" w:lineRule="auto"/>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合同签订后90日历天</w:t>
            </w:r>
          </w:p>
        </w:tc>
      </w:tr>
      <w:tr w14:paraId="34CE9C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75" w:type="dxa"/>
            <w:vAlign w:val="center"/>
          </w:tcPr>
          <w:p w14:paraId="12DDB5EB">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52164CBF">
            <w:pPr>
              <w:spacing w:before="156" w:beforeLines="50"/>
              <w:ind w:firstLine="14" w:firstLine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6834" w:type="dxa"/>
            <w:vAlign w:val="center"/>
          </w:tcPr>
          <w:p w14:paraId="62CE3BAF">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合同签订完成后10日内支付预付款60%，规划成果经专家论证完善后支付剩余的40%，具体以最终合同签订为准。</w:t>
            </w:r>
          </w:p>
        </w:tc>
      </w:tr>
      <w:tr w14:paraId="140B2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75" w:type="dxa"/>
            <w:vAlign w:val="center"/>
          </w:tcPr>
          <w:p w14:paraId="21DDF248">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4C8F7127">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w:t>
            </w:r>
          </w:p>
        </w:tc>
        <w:tc>
          <w:tcPr>
            <w:tcW w:w="6834" w:type="dxa"/>
            <w:vAlign w:val="center"/>
          </w:tcPr>
          <w:p w14:paraId="2748D5BA">
            <w:pPr>
              <w:tabs>
                <w:tab w:val="left" w:pos="8640"/>
              </w:tabs>
              <w:jc w:val="left"/>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一次报价</w:t>
            </w:r>
          </w:p>
        </w:tc>
      </w:tr>
      <w:tr w14:paraId="332BA8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75" w:type="dxa"/>
            <w:vAlign w:val="center"/>
          </w:tcPr>
          <w:p w14:paraId="0641E2CF">
            <w:pPr>
              <w:numPr>
                <w:ilvl w:val="0"/>
                <w:numId w:val="1"/>
              </w:numPr>
              <w:spacing w:before="156" w:beforeLines="50"/>
              <w:jc w:val="center"/>
              <w:rPr>
                <w:rFonts w:ascii="宋体" w:hAnsi="宋体" w:cs="宋体"/>
                <w:color w:val="000000" w:themeColor="text1"/>
                <w:sz w:val="24"/>
                <w14:textFill>
                  <w14:solidFill>
                    <w14:schemeClr w14:val="tx1"/>
                  </w14:solidFill>
                </w14:textFill>
              </w:rPr>
            </w:pPr>
          </w:p>
        </w:tc>
        <w:tc>
          <w:tcPr>
            <w:tcW w:w="2250" w:type="dxa"/>
            <w:vAlign w:val="center"/>
          </w:tcPr>
          <w:p w14:paraId="3F512CAE">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所属行业类别</w:t>
            </w:r>
          </w:p>
        </w:tc>
        <w:tc>
          <w:tcPr>
            <w:tcW w:w="6834" w:type="dxa"/>
            <w:vAlign w:val="center"/>
          </w:tcPr>
          <w:p w14:paraId="42C53F98">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其他未列明行业</w:t>
            </w:r>
          </w:p>
        </w:tc>
      </w:tr>
    </w:tbl>
    <w:p w14:paraId="03BB9C9E">
      <w:pPr>
        <w:pStyle w:val="24"/>
        <w:ind w:firstLine="0" w:firstLineChars="0"/>
        <w:rPr>
          <w:rFonts w:ascii="宋体" w:hAnsi="宋体" w:eastAsia="宋体" w:cs="宋体"/>
          <w:b/>
          <w:color w:val="000000" w:themeColor="text1"/>
          <w:sz w:val="30"/>
          <w:szCs w:val="30"/>
          <w14:textFill>
            <w14:solidFill>
              <w14:schemeClr w14:val="tx1"/>
            </w14:solidFill>
          </w14:textFill>
        </w:rPr>
      </w:pPr>
    </w:p>
    <w:p w14:paraId="0494BD9F">
      <w:pPr>
        <w:spacing w:line="720" w:lineRule="auto"/>
        <w:jc w:val="center"/>
        <w:rPr>
          <w:rFonts w:ascii="宋体" w:hAnsi="宋体" w:cs="宋体"/>
          <w:b/>
          <w:color w:val="000000" w:themeColor="text1"/>
          <w:sz w:val="30"/>
          <w:szCs w:val="30"/>
          <w14:textFill>
            <w14:solidFill>
              <w14:schemeClr w14:val="tx1"/>
            </w14:solidFill>
          </w14:textFill>
        </w:rPr>
      </w:pPr>
    </w:p>
    <w:p w14:paraId="54FB7B67">
      <w:pPr>
        <w:spacing w:line="720" w:lineRule="auto"/>
        <w:jc w:val="center"/>
        <w:rPr>
          <w:rFonts w:ascii="宋体" w:hAnsi="宋体" w:cs="宋体"/>
          <w:b/>
          <w:color w:val="000000" w:themeColor="text1"/>
          <w:sz w:val="30"/>
          <w:szCs w:val="30"/>
          <w14:textFill>
            <w14:solidFill>
              <w14:schemeClr w14:val="tx1"/>
            </w14:solidFill>
          </w14:textFill>
        </w:rPr>
      </w:pPr>
    </w:p>
    <w:p w14:paraId="5CCBF177">
      <w:pPr>
        <w:spacing w:line="720" w:lineRule="auto"/>
        <w:jc w:val="center"/>
        <w:rPr>
          <w:rFonts w:ascii="宋体" w:hAnsi="宋体" w:cs="宋体"/>
          <w:b/>
          <w:color w:val="000000" w:themeColor="text1"/>
          <w:sz w:val="30"/>
          <w:szCs w:val="30"/>
          <w14:textFill>
            <w14:solidFill>
              <w14:schemeClr w14:val="tx1"/>
            </w14:solidFill>
          </w14:textFill>
        </w:rPr>
      </w:pPr>
    </w:p>
    <w:p w14:paraId="27FFBCEB">
      <w:pPr>
        <w:spacing w:line="720" w:lineRule="auto"/>
        <w:jc w:val="center"/>
        <w:rPr>
          <w:rFonts w:ascii="宋体" w:hAnsi="宋体" w:cs="宋体"/>
          <w:b/>
          <w:color w:val="000000" w:themeColor="text1"/>
          <w:sz w:val="30"/>
          <w:szCs w:val="30"/>
          <w14:textFill>
            <w14:solidFill>
              <w14:schemeClr w14:val="tx1"/>
            </w14:solidFill>
          </w14:textFill>
        </w:rPr>
      </w:pPr>
    </w:p>
    <w:p w14:paraId="1F5AEE18">
      <w:pPr>
        <w:pStyle w:val="18"/>
        <w:rPr>
          <w:color w:val="000000" w:themeColor="text1"/>
          <w:sz w:val="30"/>
          <w:szCs w:val="30"/>
          <w14:textFill>
            <w14:solidFill>
              <w14:schemeClr w14:val="tx1"/>
            </w14:solidFill>
          </w14:textFill>
        </w:rPr>
      </w:pPr>
      <w:bookmarkStart w:id="36" w:name="_Toc195875465"/>
      <w:r>
        <w:rPr>
          <w:rFonts w:hint="eastAsia"/>
          <w:color w:val="000000" w:themeColor="text1"/>
          <w:sz w:val="30"/>
          <w:szCs w:val="30"/>
          <w14:textFill>
            <w14:solidFill>
              <w14:schemeClr w14:val="tx1"/>
            </w14:solidFill>
          </w14:textFill>
        </w:rPr>
        <w:t>一、总则</w:t>
      </w:r>
      <w:bookmarkEnd w:id="36"/>
    </w:p>
    <w:p w14:paraId="0D418489">
      <w:pPr>
        <w:spacing w:line="5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1．适用范围</w:t>
      </w:r>
    </w:p>
    <w:p w14:paraId="56564999">
      <w:pPr>
        <w:spacing w:line="5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1.1本竞争性磋商文件仅适用于本次竞争性磋商邀请函中所述</w:t>
      </w:r>
      <w:r>
        <w:rPr>
          <w:rFonts w:hint="eastAsia" w:ascii="宋体" w:hAnsi="宋体" w:cs="宋体"/>
          <w:bCs/>
          <w:color w:val="000000" w:themeColor="text1"/>
          <w:sz w:val="24"/>
          <w14:textFill>
            <w14:solidFill>
              <w14:schemeClr w14:val="tx1"/>
            </w14:solidFill>
          </w14:textFill>
        </w:rPr>
        <w:t>项目。</w:t>
      </w:r>
    </w:p>
    <w:p w14:paraId="4D038D94">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2．定义</w:t>
      </w:r>
    </w:p>
    <w:p w14:paraId="58AECBD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2.1“采购代理机构”：</w:t>
      </w:r>
      <w:r>
        <w:rPr>
          <w:rFonts w:hint="eastAsia" w:ascii="宋体" w:hAnsi="宋体" w:cs="宋体"/>
          <w:b/>
          <w:bCs/>
          <w:color w:val="000000" w:themeColor="text1"/>
          <w:sz w:val="24"/>
          <w14:textFill>
            <w14:solidFill>
              <w14:schemeClr w14:val="tx1"/>
            </w14:solidFill>
          </w14:textFill>
        </w:rPr>
        <w:t>周口市公共资源交易中心政府采购中心</w:t>
      </w:r>
      <w:r>
        <w:rPr>
          <w:rFonts w:hint="eastAsia" w:ascii="宋体" w:hAnsi="宋体" w:cs="宋体"/>
          <w:color w:val="000000" w:themeColor="text1"/>
          <w:sz w:val="24"/>
          <w14:textFill>
            <w14:solidFill>
              <w14:schemeClr w14:val="tx1"/>
            </w14:solidFill>
          </w14:textFill>
        </w:rPr>
        <w:t>。</w:t>
      </w:r>
    </w:p>
    <w:p w14:paraId="6ABA77F0">
      <w:pPr>
        <w:tabs>
          <w:tab w:val="left" w:pos="0"/>
        </w:tabs>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2.2“采购人”：</w:t>
      </w:r>
      <w:r>
        <w:rPr>
          <w:rFonts w:hint="eastAsia" w:ascii="宋体" w:hAnsi="宋体" w:cs="宋体"/>
          <w:b/>
          <w:bCs/>
          <w:color w:val="000000" w:themeColor="text1"/>
          <w:sz w:val="24"/>
          <w14:textFill>
            <w14:solidFill>
              <w14:schemeClr w14:val="tx1"/>
            </w14:solidFill>
          </w14:textFill>
        </w:rPr>
        <w:t xml:space="preserve">  项城市自然资源和规划局</w:t>
      </w:r>
      <w:r>
        <w:rPr>
          <w:rFonts w:hint="eastAsia" w:ascii="宋体" w:hAnsi="宋体" w:cs="宋体"/>
          <w:color w:val="000000" w:themeColor="text1"/>
          <w:sz w:val="24"/>
          <w14:textFill>
            <w14:solidFill>
              <w14:schemeClr w14:val="tx1"/>
            </w14:solidFill>
          </w14:textFill>
        </w:rPr>
        <w:t>　</w:t>
      </w:r>
    </w:p>
    <w:p w14:paraId="05364C9B">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2.3“供应商”系指按竞争性磋商文件规定取得竞争性磋商文件并参加竞争性磋商活动的法人、其他组织或者自然人。</w:t>
      </w:r>
    </w:p>
    <w:p w14:paraId="5DB001D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2.4“供应商代表”：系指代表供应商参加本次竞争性磋商活动的供应商的法定代表人或其委托代理人。（本项目供应商代表须为本单位正式员工，提供劳动合同或社保缴纳证明。）</w:t>
      </w:r>
    </w:p>
    <w:p w14:paraId="333E30E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2.5“服务”：系指本项目所采购的服务及其他要求等。</w:t>
      </w:r>
    </w:p>
    <w:p w14:paraId="58D421E3">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14:paraId="2504E7FA">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2.7“重大违法记录”系指供应商因违法经营受到刑事处罚或者责令停产停业、吊销许可证或者执照、较大数额罚款等行政处罚。</w:t>
      </w:r>
    </w:p>
    <w:p w14:paraId="3D44E94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2.8“不具备良好的商业信誉”是指：</w:t>
      </w:r>
    </w:p>
    <w:p w14:paraId="7A9AB01E">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（1）有重大违法记录的（满三年的除外）；</w:t>
      </w:r>
    </w:p>
    <w:p w14:paraId="66818B0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（2）被各级财政部门列入政府采购严重违法失信行为信息记录的（期限已满的除外）；</w:t>
      </w:r>
    </w:p>
    <w:p w14:paraId="665F61F3">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（3）被各级政府采购监督管理部门禁止在一定期限内参加政府采购活动等处罚的（期限已满的除外）；</w:t>
      </w:r>
    </w:p>
    <w:p w14:paraId="4F4C3E3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（4）被各级法院列入失信名单的（已依法解除的除外）；</w:t>
      </w:r>
    </w:p>
    <w:p w14:paraId="3224D6A2">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（5）法律法规规定的其他情形。</w:t>
      </w:r>
    </w:p>
    <w:p w14:paraId="4F2646EF">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3.采购预算</w:t>
      </w:r>
    </w:p>
    <w:p w14:paraId="02A0930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3.1本次采购预算：见公告。</w:t>
      </w:r>
    </w:p>
    <w:p w14:paraId="0DB29DD6">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4.合格的供应商</w:t>
      </w:r>
    </w:p>
    <w:p w14:paraId="0CC2F4B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4.1.1符合供应商资格条件（详见第一部分供应商资格条件），合格的供应商须出具声明函，格式自拟。</w:t>
      </w:r>
    </w:p>
    <w:p w14:paraId="535E91E0">
      <w:pPr>
        <w:widowControl/>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4.1.2参加政府采购活动前三年内，在经营活动中没有重大违法记录的声明函；</w:t>
      </w:r>
    </w:p>
    <w:p w14:paraId="4038444A">
      <w:pPr>
        <w:widowControl/>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4.1.3 政府采购供应商诚信承诺书；</w:t>
      </w:r>
    </w:p>
    <w:p w14:paraId="2010DF5E">
      <w:pPr>
        <w:pStyle w:val="34"/>
        <w:spacing w:line="360" w:lineRule="auto"/>
        <w:ind w:firstLine="480" w:firstLineChars="200"/>
        <w:rPr>
          <w:rFonts w:hAnsi="宋体" w:eastAsia="宋体"/>
          <w:color w:val="000000" w:themeColor="text1"/>
          <w:sz w:val="24"/>
          <w14:textFill>
            <w14:solidFill>
              <w14:schemeClr w14:val="tx1"/>
            </w14:solidFill>
          </w14:textFill>
        </w:rPr>
      </w:pPr>
      <w:r>
        <w:rPr>
          <w:rFonts w:hint="eastAsia" w:hAnsi="宋体" w:eastAsia="宋体"/>
          <w:color w:val="000000" w:themeColor="text1"/>
          <w:sz w:val="24"/>
          <w14:textFill>
            <w14:solidFill>
              <w14:schemeClr w14:val="tx1"/>
            </w14:solidFill>
          </w14:textFill>
        </w:rPr>
        <w:t>4.</w:t>
      </w:r>
      <w:r>
        <w:rPr>
          <w:rFonts w:hint="eastAsia" w:hAnsi="宋体" w:eastAsia="宋体"/>
          <w:color w:val="000000" w:themeColor="text1"/>
          <w:sz w:val="24"/>
          <w:lang w:val="en-US"/>
          <w14:textFill>
            <w14:solidFill>
              <w14:schemeClr w14:val="tx1"/>
            </w14:solidFill>
          </w14:textFill>
        </w:rPr>
        <w:t>1.4 供应商</w:t>
      </w:r>
      <w:r>
        <w:rPr>
          <w:rFonts w:hint="eastAsia" w:hAnsi="宋体" w:eastAsia="宋体"/>
          <w:color w:val="000000" w:themeColor="text1"/>
          <w:sz w:val="24"/>
          <w14:textFill>
            <w14:solidFill>
              <w14:schemeClr w14:val="tx1"/>
            </w14:solidFill>
          </w14:textFill>
        </w:rPr>
        <w:t>自觉抵制政府采购领域商业贿赂行为承诺书；</w:t>
      </w:r>
    </w:p>
    <w:p w14:paraId="3A4D2627">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4.2 </w:t>
      </w:r>
      <w:r>
        <w:rPr>
          <w:rFonts w:hint="eastAsia" w:ascii="宋体" w:hAnsi="宋体" w:cs="宋体"/>
          <w:color w:val="000000" w:themeColor="text1"/>
          <w:kern w:val="0"/>
          <w:sz w:val="24"/>
          <w14:textFill>
            <w14:solidFill>
              <w14:schemeClr w14:val="tx1"/>
            </w14:solidFill>
          </w14:textFill>
        </w:rPr>
        <w:t>供应商需提供售后服务体系与承诺</w:t>
      </w:r>
      <w:r>
        <w:rPr>
          <w:rFonts w:hint="eastAsia" w:ascii="宋体" w:hAnsi="宋体" w:cs="宋体"/>
          <w:color w:val="000000" w:themeColor="text1"/>
          <w:kern w:val="0"/>
          <w:sz w:val="24"/>
          <w:lang w:val="zh-CN"/>
          <w14:textFill>
            <w14:solidFill>
              <w14:schemeClr w14:val="tx1"/>
            </w14:solidFill>
          </w14:textFill>
        </w:rPr>
        <w:t>。</w:t>
      </w:r>
    </w:p>
    <w:p w14:paraId="459038D9">
      <w:pPr>
        <w:pStyle w:val="34"/>
        <w:spacing w:line="360" w:lineRule="auto"/>
        <w:ind w:firstLine="480" w:firstLineChars="200"/>
        <w:rPr>
          <w:rFonts w:hAnsi="宋体" w:eastAsia="宋体"/>
          <w:color w:val="000000" w:themeColor="text1"/>
          <w:sz w:val="24"/>
          <w14:textFill>
            <w14:solidFill>
              <w14:schemeClr w14:val="tx1"/>
            </w14:solidFill>
          </w14:textFill>
        </w:rPr>
      </w:pPr>
      <w:r>
        <w:rPr>
          <w:rFonts w:hint="eastAsia" w:hAnsi="宋体" w:eastAsia="宋体"/>
          <w:color w:val="000000" w:themeColor="text1"/>
          <w:sz w:val="24"/>
          <w14:textFill>
            <w14:solidFill>
              <w14:schemeClr w14:val="tx1"/>
            </w14:solidFill>
          </w14:textFill>
        </w:rPr>
        <w:t>4.</w:t>
      </w:r>
      <w:r>
        <w:rPr>
          <w:rFonts w:hint="eastAsia" w:hAnsi="宋体" w:eastAsia="宋体"/>
          <w:color w:val="000000" w:themeColor="text1"/>
          <w:sz w:val="24"/>
          <w:lang w:val="en-US"/>
          <w14:textFill>
            <w14:solidFill>
              <w14:schemeClr w14:val="tx1"/>
            </w14:solidFill>
          </w14:textFill>
        </w:rPr>
        <w:t>3</w:t>
      </w:r>
      <w:r>
        <w:rPr>
          <w:rFonts w:hint="eastAsia" w:hAnsi="宋体" w:eastAsia="宋体"/>
          <w:color w:val="000000" w:themeColor="text1"/>
          <w:sz w:val="24"/>
          <w14:textFill>
            <w14:solidFill>
              <w14:schemeClr w14:val="tx1"/>
            </w14:solidFill>
          </w14:textFill>
        </w:rPr>
        <w:t>符合本竞争性磋商文件规定的供应商资格要求及项目要求的其它条件，并按照要求提供相关证明材料,供应商所提交的涉及投标资格审查、符合性审查的相关证明材料均须标注“与原件一致”字样。</w:t>
      </w:r>
    </w:p>
    <w:p w14:paraId="1A7158CF">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4.4供应商应承诺遵守国家法律、法规有关竞争性磋商的规定。</w:t>
      </w:r>
    </w:p>
    <w:p w14:paraId="5FE046BA">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4.5 凡通过磋商小组符合性审查的供应商均为合格供应商。未通过符合性审查的供应商将视为不响应本项目的竞争性磋商文件被否决。</w:t>
      </w:r>
    </w:p>
    <w:p w14:paraId="360376A8">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5.竞争性磋商文件的约束力 </w:t>
      </w:r>
    </w:p>
    <w:p w14:paraId="31C4CEA4">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5.l供应商一旦参加竞争性磋商，即被认为接受了本竞争性磋商文件中的所有条款和规定。</w:t>
      </w:r>
    </w:p>
    <w:p w14:paraId="0593F3C0">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2490161C">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5.3本磋商文件由采购人负责解释。</w:t>
      </w:r>
    </w:p>
    <w:p w14:paraId="4285E721">
      <w:pPr>
        <w:pStyle w:val="18"/>
        <w:rPr>
          <w:color w:val="000000" w:themeColor="text1"/>
          <w:sz w:val="30"/>
          <w:szCs w:val="30"/>
          <w14:textFill>
            <w14:solidFill>
              <w14:schemeClr w14:val="tx1"/>
            </w14:solidFill>
          </w14:textFill>
        </w:rPr>
      </w:pPr>
      <w:bookmarkStart w:id="37" w:name="_Toc195875466"/>
      <w:r>
        <w:rPr>
          <w:rFonts w:hint="eastAsia"/>
          <w:color w:val="000000" w:themeColor="text1"/>
          <w:sz w:val="30"/>
          <w:szCs w:val="30"/>
          <w14:textFill>
            <w14:solidFill>
              <w14:schemeClr w14:val="tx1"/>
            </w14:solidFill>
          </w14:textFill>
        </w:rPr>
        <w:t>二、竞争性磋商文件</w:t>
      </w:r>
      <w:bookmarkEnd w:id="37"/>
    </w:p>
    <w:p w14:paraId="7FC2DF8E">
      <w:pPr>
        <w:tabs>
          <w:tab w:val="left" w:pos="632"/>
          <w:tab w:val="left" w:pos="790"/>
        </w:tabs>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6．竞争性磋商文件的组成</w:t>
      </w:r>
    </w:p>
    <w:p w14:paraId="05E9B9A0">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6.1竞争性磋商</w:t>
      </w:r>
      <w:r>
        <w:rPr>
          <w:rFonts w:hint="eastAsia" w:ascii="宋体" w:hAnsi="宋体" w:cs="宋体"/>
          <w:color w:val="000000" w:themeColor="text1"/>
          <w:sz w:val="24"/>
          <w:lang w:val="zh-CN"/>
          <w14:textFill>
            <w14:solidFill>
              <w14:schemeClr w14:val="tx1"/>
            </w14:solidFill>
          </w14:textFill>
        </w:rPr>
        <w:t>文件是用以阐明的采购需求、采购程序和合同格式等的规范性文件。竞争性磋商文件主要由以下部分组成：</w:t>
      </w:r>
    </w:p>
    <w:p w14:paraId="6EE873D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（1）竞争性磋商邀请函；</w:t>
      </w:r>
    </w:p>
    <w:p w14:paraId="07ECDACE">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14:paraId="098EB1E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（3）采购需求；</w:t>
      </w:r>
    </w:p>
    <w:p w14:paraId="6EFE0C75">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（4）响应性文件内容及格式；</w:t>
      </w:r>
    </w:p>
    <w:p w14:paraId="076C26EF">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（5）合同主要条款。</w:t>
      </w:r>
    </w:p>
    <w:p w14:paraId="2A8D310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0C474EA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14:paraId="072871B2">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6.4供应商必须详阅竞争性磋商文件的所有条款、文件及表格格式等。供应商须承诺按竞争性磋商文件的要求和规范编制、提交响应性文件，否则将有可能导致响应性文件被拒绝接受或被视为无效。</w:t>
      </w:r>
    </w:p>
    <w:p w14:paraId="3711BAE3">
      <w:pPr>
        <w:widowControl/>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7.竞争性磋商文件的澄清与修改</w:t>
      </w:r>
    </w:p>
    <w:p w14:paraId="14152099">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1A54E80">
      <w:pPr>
        <w:autoSpaceDE w:val="0"/>
        <w:autoSpaceDN w:val="0"/>
        <w:adjustRightIn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7.2供应商应仔细阅读竞争性磋商文件的所有内容，如果有异议在规定的时间内提出，没有异议需做出“无异议”承诺书，承诺书作为响应文件的组织部分，否则为无效响应文件。</w:t>
      </w:r>
    </w:p>
    <w:p w14:paraId="298D8D2A">
      <w:pPr>
        <w:pStyle w:val="18"/>
        <w:rPr>
          <w:color w:val="000000" w:themeColor="text1"/>
          <w:sz w:val="30"/>
          <w:szCs w:val="30"/>
          <w14:textFill>
            <w14:solidFill>
              <w14:schemeClr w14:val="tx1"/>
            </w14:solidFill>
          </w14:textFill>
        </w:rPr>
      </w:pPr>
      <w:bookmarkStart w:id="38" w:name="_Toc195875467"/>
      <w:r>
        <w:rPr>
          <w:rFonts w:hint="eastAsia"/>
          <w:color w:val="000000" w:themeColor="text1"/>
          <w:sz w:val="30"/>
          <w:szCs w:val="30"/>
          <w14:textFill>
            <w14:solidFill>
              <w14:schemeClr w14:val="tx1"/>
            </w14:solidFill>
          </w14:textFill>
        </w:rPr>
        <w:t>三、响应性文件的编制</w:t>
      </w:r>
      <w:bookmarkEnd w:id="38"/>
    </w:p>
    <w:p w14:paraId="5FF47595">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8.要求</w:t>
      </w:r>
    </w:p>
    <w:p w14:paraId="2235750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w:t>
      </w:r>
      <w:r>
        <w:rPr>
          <w:rFonts w:hint="eastAsia" w:ascii="宋体" w:hAnsi="宋体"/>
          <w:color w:val="000000" w:themeColor="text1"/>
          <w:spacing w:val="-3"/>
          <w:sz w:val="24"/>
          <w14:textFill>
            <w14:solidFill>
              <w14:schemeClr w14:val="tx1"/>
            </w14:solidFill>
          </w14:textFill>
        </w:rPr>
        <w:t>并声明所提供的全部资料</w:t>
      </w:r>
      <w:r>
        <w:rPr>
          <w:rFonts w:hint="eastAsia" w:ascii="宋体" w:hAnsi="宋体" w:cs="宋体"/>
          <w:color w:val="000000" w:themeColor="text1"/>
          <w:sz w:val="24"/>
          <w14:textFill>
            <w14:solidFill>
              <w14:schemeClr w14:val="tx1"/>
            </w14:solidFill>
          </w14:textFill>
        </w:rPr>
        <w:t>的真实性、合规性，否则其响应性文件将作为无效处理。</w:t>
      </w:r>
    </w:p>
    <w:p w14:paraId="49656B7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8.2任何对竞争性磋商文件的忽略或误解不能作为响应性文件没有完全响应竞争性磋商文件的有效理由。</w:t>
      </w:r>
    </w:p>
    <w:p w14:paraId="557AFEC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供应商不得相互串通投标报价，不得妨碍其他供应商的公平竞争，不得损害采购人或其他供应商的合法权益，供应商不得以向采购人、评委会成员行贿或者采取其他不正当手段谋取中标。对上述作出保证并附响应文件中，否则视为不响应竞争性磋商文件要求。</w:t>
      </w:r>
    </w:p>
    <w:p w14:paraId="21E3362D">
      <w:pPr>
        <w:widowControl/>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9.响应性文件的语言及度量衡 </w:t>
      </w:r>
    </w:p>
    <w:p w14:paraId="1A892D5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9.1响应性文件以及供应商与采购代理机构之间的所有书面往来都应用简体中文书写。 </w:t>
      </w:r>
    </w:p>
    <w:p w14:paraId="0A51705B">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9.2供应商使用其他语言的，以中文翻译为准。 </w:t>
      </w:r>
    </w:p>
    <w:p w14:paraId="60EC97E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14:paraId="15E5FBD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9.4本竞争性磋商文件所表述的时间均为北京时间。</w:t>
      </w:r>
    </w:p>
    <w:p w14:paraId="12FFB574">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10.响应性文件的组成</w:t>
      </w:r>
    </w:p>
    <w:p w14:paraId="75C8218D">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10.1响应性文件由</w:t>
      </w:r>
      <w:r>
        <w:rPr>
          <w:rFonts w:hint="eastAsia" w:ascii="宋体" w:hAnsi="宋体" w:cs="宋体"/>
          <w:bCs/>
          <w:color w:val="000000" w:themeColor="text1"/>
          <w:sz w:val="24"/>
          <w:u w:val="single"/>
          <w14:textFill>
            <w14:solidFill>
              <w14:schemeClr w14:val="tx1"/>
            </w14:solidFill>
          </w14:textFill>
        </w:rPr>
        <w:t>资格性证明材料</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u w:val="single"/>
          <w14:textFill>
            <w14:solidFill>
              <w14:schemeClr w14:val="tx1"/>
            </w14:solidFill>
          </w14:textFill>
        </w:rPr>
        <w:t>符合性证明材料</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u w:val="single"/>
          <w14:textFill>
            <w14:solidFill>
              <w14:schemeClr w14:val="tx1"/>
            </w14:solidFill>
          </w14:textFill>
        </w:rPr>
        <w:t>其他材料</w:t>
      </w:r>
      <w:r>
        <w:rPr>
          <w:rFonts w:hint="eastAsia" w:ascii="宋体" w:hAnsi="宋体" w:cs="宋体"/>
          <w:color w:val="000000" w:themeColor="text1"/>
          <w:sz w:val="24"/>
          <w14:textFill>
            <w14:solidFill>
              <w14:schemeClr w14:val="tx1"/>
            </w14:solidFill>
          </w14:textFill>
        </w:rPr>
        <w:t>三部分组成。具体内容和格式见竞争性磋商文件</w:t>
      </w:r>
      <w:r>
        <w:rPr>
          <w:rFonts w:hint="eastAsia" w:ascii="宋体" w:hAnsi="宋体" w:cs="宋体"/>
          <w:bCs/>
          <w:color w:val="000000" w:themeColor="text1"/>
          <w:sz w:val="24"/>
          <w14:textFill>
            <w14:solidFill>
              <w14:schemeClr w14:val="tx1"/>
            </w14:solidFill>
          </w14:textFill>
        </w:rPr>
        <w:t>第四章</w:t>
      </w:r>
      <w:r>
        <w:rPr>
          <w:rFonts w:hint="eastAsia" w:ascii="宋体" w:hAnsi="宋体" w:cs="宋体"/>
          <w:color w:val="000000" w:themeColor="text1"/>
          <w:sz w:val="24"/>
          <w14:textFill>
            <w14:solidFill>
              <w14:schemeClr w14:val="tx1"/>
            </w14:solidFill>
          </w14:textFill>
        </w:rPr>
        <w:t>。</w:t>
      </w:r>
    </w:p>
    <w:p w14:paraId="3E5C967C">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11.响应性文件格式</w:t>
      </w:r>
    </w:p>
    <w:p w14:paraId="4B3329B0">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9A76EB8">
      <w:pPr>
        <w:widowControl/>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11.2竞争性磋商文件应编制详细目录、连续页码，除特殊规格的图纸或方案、图片资料等外，均应按A4规格制作；</w:t>
      </w:r>
    </w:p>
    <w:p w14:paraId="6833156C">
      <w:pPr>
        <w:widowControl/>
        <w:spacing w:line="560" w:lineRule="exact"/>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12.竞争性磋商报价</w:t>
      </w:r>
    </w:p>
    <w:p w14:paraId="1AB676C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12.1报价包括所投服务、保险、税费、检测、验收和交付后约定期限内免费维保等工作所发生的一切应有费用。</w:t>
      </w:r>
    </w:p>
    <w:p w14:paraId="36EEAD6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12.2供应商需保证自行承担参加本次采购活动有关的全部费用，采购组织人在任何情况下均无义务和责任承担上述费用。</w:t>
      </w:r>
    </w:p>
    <w:p w14:paraId="13192B0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12.3经过磋商后进行的报价为供应商的最终报价。</w:t>
      </w:r>
    </w:p>
    <w:p w14:paraId="778AC68E">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12.4采购人不接受有选择的报价。</w:t>
      </w:r>
    </w:p>
    <w:p w14:paraId="672D5882">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12.5最终报价不得超过采购预算。</w:t>
      </w:r>
    </w:p>
    <w:p w14:paraId="17A438C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12.6报价均须以人民币为计算单位。</w:t>
      </w:r>
    </w:p>
    <w:p w14:paraId="5699C5E8">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13．响应性文件有效期 </w:t>
      </w:r>
    </w:p>
    <w:p w14:paraId="6DAB0CC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13.l响应性文件有效期为自竞争性磋商开始之日起60天，有效期短于此规定的响应性文件将被视为无效。供应商须对此作出承诺，并保证在投标有效期内，不得撤销或修改投标响应文件。</w:t>
      </w:r>
    </w:p>
    <w:p w14:paraId="72AFD5BB">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14:paraId="538FC9FE">
      <w:pPr>
        <w:spacing w:line="5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14.响应性文件的签署、盖章</w:t>
      </w:r>
    </w:p>
    <w:p w14:paraId="11959EF6">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14.1</w:t>
      </w:r>
      <w:r>
        <w:rPr>
          <w:rFonts w:hint="eastAsia" w:ascii="宋体" w:hAnsi="宋体" w:cs="宋体"/>
          <w:color w:val="000000" w:themeColor="text1"/>
          <w:sz w:val="24"/>
          <w:lang w:val="zh-CN"/>
          <w14:textFill>
            <w14:solidFill>
              <w14:schemeClr w14:val="tx1"/>
            </w14:solidFill>
          </w14:textFill>
        </w:rPr>
        <w:t>响应性文件中凡是要求签署和加盖公章处均须由供应商的法定代表人或其委托代理人签字并加盖供应商公章。本竞争性磋商文件所表述（指定）的公章是指法人（供应商）行政公章，不包括专用章。</w:t>
      </w:r>
    </w:p>
    <w:p w14:paraId="5AA0925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14:paraId="42D53E5F">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14.3供应商提交的资料应证明其满足竞争性磋商文件要求，该文件可以是文字资料、图纸和数据等详细描述的资料。</w:t>
      </w:r>
    </w:p>
    <w:p w14:paraId="4521D490">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15.电子投标文件制作，见周口市公共资源交易中心网站下载中心版块《投标单位-电子投标文件视频制作手册》的相关规定。</w:t>
      </w:r>
    </w:p>
    <w:p w14:paraId="4AB2E014">
      <w:pPr>
        <w:pStyle w:val="18"/>
        <w:rPr>
          <w:color w:val="000000" w:themeColor="text1"/>
          <w:sz w:val="30"/>
          <w:szCs w:val="30"/>
          <w14:textFill>
            <w14:solidFill>
              <w14:schemeClr w14:val="tx1"/>
            </w14:solidFill>
          </w14:textFill>
        </w:rPr>
      </w:pPr>
      <w:bookmarkStart w:id="39" w:name="_Toc195875468"/>
      <w:r>
        <w:rPr>
          <w:rFonts w:hint="eastAsia"/>
          <w:color w:val="000000" w:themeColor="text1"/>
          <w:sz w:val="30"/>
          <w:szCs w:val="30"/>
          <w14:textFill>
            <w14:solidFill>
              <w14:schemeClr w14:val="tx1"/>
            </w14:solidFill>
          </w14:textFill>
        </w:rPr>
        <w:t>四、响应性文件的递交</w:t>
      </w:r>
      <w:bookmarkEnd w:id="39"/>
    </w:p>
    <w:p w14:paraId="2FD4475C">
      <w:pPr>
        <w:autoSpaceDE w:val="0"/>
        <w:autoSpaceDN w:val="0"/>
        <w:adjustRightIn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44B3DA37">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14:paraId="39CEA179">
      <w:pPr>
        <w:autoSpaceDE w:val="0"/>
        <w:autoSpaceDN w:val="0"/>
        <w:adjustRightInd w:val="0"/>
        <w:spacing w:line="50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供应商须使用单位CA证书进行电子响应文件远程解密，详见周口市公共资源电子交易中心网站（网址：http://jyzx.zhoukou.gov.cn）办事指南</w:t>
      </w:r>
      <w:r>
        <w:rPr>
          <w:rFonts w:hint="eastAsia" w:ascii="宋体" w:hAnsi="宋体" w:cs="宋体"/>
          <w:bCs/>
          <w:color w:val="000000" w:themeColor="text1"/>
          <w:sz w:val="24"/>
          <w14:textFill>
            <w14:solidFill>
              <w14:schemeClr w14:val="tx1"/>
            </w14:solidFill>
          </w14:textFill>
        </w:rPr>
        <w:t>《不见面开标远程在线解密会员端操作手册操作指南》</w:t>
      </w:r>
      <w:r>
        <w:rPr>
          <w:rFonts w:hint="eastAsia" w:ascii="宋体" w:hAnsi="宋体" w:cs="宋体"/>
          <w:color w:val="000000" w:themeColor="text1"/>
          <w:sz w:val="24"/>
          <w14:textFill>
            <w14:solidFill>
              <w14:schemeClr w14:val="tx1"/>
            </w14:solidFill>
          </w14:textFill>
        </w:rPr>
        <w:t>。</w:t>
      </w:r>
    </w:p>
    <w:p w14:paraId="192736DB">
      <w:pPr>
        <w:spacing w:line="5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16.响应性文件的递交</w:t>
      </w:r>
    </w:p>
    <w:p w14:paraId="0E4EABF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14:paraId="0404FE80">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14:paraId="6DF01692">
      <w:pPr>
        <w:pStyle w:val="35"/>
        <w:spacing w:line="5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17</w:t>
      </w:r>
      <w:r>
        <w:rPr>
          <w:rFonts w:hint="eastAsia" w:ascii="宋体" w:hAnsi="宋体"/>
          <w:b/>
          <w:color w:val="000000" w:themeColor="text1"/>
          <w:sz w:val="24"/>
          <w:szCs w:val="24"/>
          <w14:textFill>
            <w14:solidFill>
              <w14:schemeClr w14:val="tx1"/>
            </w14:solidFill>
          </w14:textFill>
        </w:rPr>
        <w:t>.响应性文件的修改和撤回</w:t>
      </w:r>
    </w:p>
    <w:p w14:paraId="7CEBAF2B">
      <w:pPr>
        <w:pStyle w:val="35"/>
        <w:spacing w:line="560" w:lineRule="exact"/>
        <w:ind w:left="279" w:leftChars="133" w:firstLine="240" w:firstLineChars="1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14:paraId="6BC3B560">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14:paraId="3A33AE47">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17.3供应商在响应性文件接收截止时间后不得修改、撤回响应性文件。供应商在响应性文件接收截止时间后修改响应性文件的，将被拒绝接受。</w:t>
      </w:r>
    </w:p>
    <w:p w14:paraId="4FFFF45B">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17.4供应商有下列情形之一的，采购人将拒绝接受其响应性文件：</w:t>
      </w:r>
    </w:p>
    <w:p w14:paraId="761A215C">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17.4.1在竞争性磋商文件规定的响应性文件接收截止时间之后递交响应性文件的；</w:t>
      </w:r>
    </w:p>
    <w:p w14:paraId="5075E192">
      <w:pPr>
        <w:pStyle w:val="35"/>
        <w:spacing w:line="5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17.4.2响应性文件未按竞争性磋商文件规定密封、签署、盖章的；</w:t>
      </w:r>
    </w:p>
    <w:p w14:paraId="251E7F34">
      <w:pPr>
        <w:pStyle w:val="35"/>
        <w:spacing w:line="560" w:lineRule="exact"/>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17.4.3一个供应商不止递交一套响应性文件的。</w:t>
      </w:r>
    </w:p>
    <w:p w14:paraId="62FC4874">
      <w:pPr>
        <w:pStyle w:val="18"/>
        <w:rPr>
          <w:color w:val="000000" w:themeColor="text1"/>
          <w:sz w:val="30"/>
          <w:szCs w:val="30"/>
          <w14:textFill>
            <w14:solidFill>
              <w14:schemeClr w14:val="tx1"/>
            </w14:solidFill>
          </w14:textFill>
        </w:rPr>
      </w:pPr>
      <w:bookmarkStart w:id="40" w:name="_Toc195875469"/>
      <w:r>
        <w:rPr>
          <w:rFonts w:hint="eastAsia"/>
          <w:color w:val="000000" w:themeColor="text1"/>
          <w:sz w:val="30"/>
          <w:szCs w:val="30"/>
          <w14:textFill>
            <w14:solidFill>
              <w14:schemeClr w14:val="tx1"/>
            </w14:solidFill>
          </w14:textFill>
        </w:rPr>
        <w:t>五、竞争性磋商</w:t>
      </w:r>
      <w:bookmarkEnd w:id="40"/>
    </w:p>
    <w:p w14:paraId="0351DE39">
      <w:pPr>
        <w:spacing w:line="560" w:lineRule="exact"/>
        <w:ind w:firstLine="482" w:firstLineChars="200"/>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18.组建</w:t>
      </w:r>
      <w:r>
        <w:rPr>
          <w:rFonts w:hint="eastAsia" w:ascii="宋体" w:hAnsi="宋体" w:cs="宋体"/>
          <w:b/>
          <w:color w:val="000000" w:themeColor="text1"/>
          <w:sz w:val="24"/>
          <w:lang w:val="zh-CN"/>
          <w14:textFill>
            <w14:solidFill>
              <w14:schemeClr w14:val="tx1"/>
            </w14:solidFill>
          </w14:textFill>
        </w:rPr>
        <w:t>竞争性磋商小组</w:t>
      </w:r>
    </w:p>
    <w:p w14:paraId="4EE2CFBE">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18.1采购人根据采购项目的特点依法组建竞争性磋商小组。</w:t>
      </w:r>
    </w:p>
    <w:p w14:paraId="2A0A40EB">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18.2竞争性磋商小组</w:t>
      </w:r>
      <w:r>
        <w:rPr>
          <w:rFonts w:hint="eastAsia" w:ascii="宋体" w:hAnsi="宋体" w:cs="宋体"/>
          <w:bCs/>
          <w:color w:val="000000" w:themeColor="text1"/>
          <w:kern w:val="0"/>
          <w:sz w:val="24"/>
          <w14:textFill>
            <w14:solidFill>
              <w14:schemeClr w14:val="tx1"/>
            </w14:solidFill>
          </w14:textFill>
        </w:rPr>
        <w:t>确认竞争性磋商文件，并</w:t>
      </w:r>
      <w:r>
        <w:rPr>
          <w:rFonts w:hint="eastAsia" w:ascii="宋体" w:hAnsi="宋体" w:cs="宋体"/>
          <w:color w:val="000000" w:themeColor="text1"/>
          <w:kern w:val="0"/>
          <w:sz w:val="24"/>
          <w14:textFill>
            <w14:solidFill>
              <w14:schemeClr w14:val="tx1"/>
            </w14:solidFill>
          </w14:textFill>
        </w:rPr>
        <w:t>负责具体评审事务，根据有关法律法规和竞争性磋商文件规定的评审程序，按照评审方法及评审标准独立履行竞争性磋商小组职责。</w:t>
      </w:r>
    </w:p>
    <w:p w14:paraId="2E67CCE4">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19.资格性和符合性审查</w:t>
      </w:r>
    </w:p>
    <w:p w14:paraId="76CAF780">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58F45B08">
      <w:pPr>
        <w:spacing w:line="5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19.1.1资格性审查的内容包括：竞争性磋商文件规定的供应商资格条件；</w:t>
      </w:r>
    </w:p>
    <w:p w14:paraId="18A31EC4">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2EDCB32">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19.2.1符合性审查的内容包括：</w:t>
      </w:r>
    </w:p>
    <w:p w14:paraId="7A53164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（1）响应性文件的有效性(签署情况等)；</w:t>
      </w:r>
    </w:p>
    <w:p w14:paraId="2CDE6963">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（2）响应性文件的完整性；</w:t>
      </w:r>
    </w:p>
    <w:p w14:paraId="473C333F">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（3）对竞争性磋商文件的响应程度（是否存在重大负偏离等）。 </w:t>
      </w:r>
    </w:p>
    <w:p w14:paraId="460BA48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以上资格性审查和符合性审查的内容只要有一条不满足，则响应性文件无效，将不进入竞争性磋商程序。</w:t>
      </w:r>
    </w:p>
    <w:p w14:paraId="03CF405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注意事项：资格性、符合性证明材料见竞争性磋商文件第四章规定。</w:t>
      </w:r>
    </w:p>
    <w:p w14:paraId="2A34B18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14:paraId="6CBEBC1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11AE2E8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14:paraId="5683BFB9">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19.6竞争性磋商小组审定响应性文件的响应性只根据响应性文件本身的内容而不寻求外部证据。</w:t>
      </w:r>
    </w:p>
    <w:p w14:paraId="1CAE448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19.7凡有下列情况之一的，其响应性文件也被视为未实质性响应竞争性磋商文件，按照无效处理（不再参加竞争性磋商）：</w:t>
      </w:r>
    </w:p>
    <w:p w14:paraId="202B569C">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19.7.1未按竞争性磋商文件规定要求</w:t>
      </w:r>
      <w:r>
        <w:rPr>
          <w:rFonts w:hint="eastAsia" w:ascii="宋体" w:hAnsi="宋体" w:cs="宋体"/>
          <w:color w:val="000000" w:themeColor="text1"/>
          <w:sz w:val="24"/>
          <w:lang w:val="zh-CN"/>
          <w14:textFill>
            <w14:solidFill>
              <w14:schemeClr w14:val="tx1"/>
            </w14:solidFill>
          </w14:textFill>
        </w:rPr>
        <w:t>签署、盖章的；</w:t>
      </w:r>
    </w:p>
    <w:p w14:paraId="2AFB27B9">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19.7.2资格证明文件不全的，或不符合竞争性磋商文件中规定的资格要求的；</w:t>
      </w:r>
    </w:p>
    <w:p w14:paraId="057755C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19.7.3供应商代表未能出具有效身份证明，或与身份不符的；</w:t>
      </w:r>
    </w:p>
    <w:p w14:paraId="26DE8B0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19.7.4不符合竞争性磋商文件规定的实质性要求的；</w:t>
      </w:r>
    </w:p>
    <w:p w14:paraId="122C5FFB">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19.7.5响应性文件内容不齐全或内容虚假的；</w:t>
      </w:r>
    </w:p>
    <w:p w14:paraId="5EDFCE43">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19.7.6响应性文件的实质性内容未使用中文表述；</w:t>
      </w:r>
    </w:p>
    <w:p w14:paraId="7AE67BB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19.7.7响应性文件的内容修改处未按规定签名或盖章的；</w:t>
      </w:r>
    </w:p>
    <w:p w14:paraId="53BE1B2C">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19.7.8违反法律、行政法规、竞争性磋商文件规定的其他情形的。</w:t>
      </w:r>
    </w:p>
    <w:p w14:paraId="222753F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19.7.9不同供应商的电子投标（响应）文件上传计算机的网卡 MAC 地址、CPU 序列号和硬盘序列号等硬件信息相同的;</w:t>
      </w:r>
    </w:p>
    <w:p w14:paraId="1582ABD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19.7.10不同供应商的投标（响应）文件由同一电子设备编制，打印、复印、加密或者上传的；</w:t>
      </w:r>
    </w:p>
    <w:p w14:paraId="3BA34B2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19.7.11不同供应商的投标（响应）文件由同一人送达或者分发，或者不同供应商联系人为同一人或不同联系人的联系电话一致的；</w:t>
      </w:r>
    </w:p>
    <w:p w14:paraId="3309599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19.7.12不同供应商的投标（响应）文件的内容存在两处以上细节错误一致；</w:t>
      </w:r>
    </w:p>
    <w:p w14:paraId="174BF4D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19.7.13不同供应商的法定代表人、委托代理人、项目经理、项目负责人等由同一个单位缴纳社会保险或者领取报酬的；</w:t>
      </w:r>
    </w:p>
    <w:p w14:paraId="3106E0E7">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不同供应商投标（响应）文件中法定代表人或者负责人签字出自同一人之手。</w:t>
      </w:r>
    </w:p>
    <w:p w14:paraId="36452AD3">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14:paraId="5F7C5BDE">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19.8.1不同供应商的响应性文件互相混装的；</w:t>
      </w:r>
    </w:p>
    <w:p w14:paraId="783B411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19.8.2不同供应商授权同一人作为供应商委托代理人的；</w:t>
      </w:r>
    </w:p>
    <w:p w14:paraId="3F85259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19.8.3不同供应商的响应性文件载明的项目管理成员为同一人的；</w:t>
      </w:r>
    </w:p>
    <w:p w14:paraId="4C60F3E4">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19.8.4有证据证明供应商与采购人、采购代理机构或者其他供应商串通的其他情形；</w:t>
      </w:r>
    </w:p>
    <w:p w14:paraId="65F9DEFA">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19.8.5竞争性磋商小组认定的其他串通情形。</w:t>
      </w:r>
    </w:p>
    <w:p w14:paraId="0CBB7791">
      <w:pPr>
        <w:pStyle w:val="33"/>
        <w:rPr>
          <w:rFonts w:ascii="宋体" w:hAnsi="宋体" w:cs="宋体"/>
          <w:color w:val="000000" w:themeColor="text1"/>
          <w:sz w:val="24"/>
          <w:szCs w:val="24"/>
          <w14:textFill>
            <w14:solidFill>
              <w14:schemeClr w14:val="tx1"/>
            </w14:solidFill>
          </w14:textFill>
        </w:rPr>
      </w:pPr>
    </w:p>
    <w:tbl>
      <w:tblPr>
        <w:tblStyle w:val="25"/>
        <w:tblW w:w="9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788"/>
        <w:gridCol w:w="3969"/>
        <w:gridCol w:w="850"/>
        <w:gridCol w:w="1954"/>
      </w:tblGrid>
      <w:tr w14:paraId="68AF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467" w:type="dxa"/>
            <w:gridSpan w:val="5"/>
            <w:vAlign w:val="center"/>
          </w:tcPr>
          <w:p w14:paraId="13D6CCFE">
            <w:pPr>
              <w:pStyle w:val="36"/>
              <w:pBdr>
                <w:bottom w:val="none" w:color="auto" w:sz="0" w:space="0"/>
              </w:pBdr>
              <w:tabs>
                <w:tab w:val="clear" w:pos="4153"/>
                <w:tab w:val="clear" w:pos="8306"/>
              </w:tabs>
              <w:snapToGrid w:val="0"/>
              <w:spacing w:line="360" w:lineRule="auto"/>
              <w:ind w:right="-10"/>
              <w:textAlignment w:val="auto"/>
              <w:rPr>
                <w:rFonts w:ascii="宋体" w:hAnsi="宋体" w:cs="宋体"/>
                <w:b/>
                <w:color w:val="000000" w:themeColor="text1"/>
                <w:kern w:val="2"/>
                <w:szCs w:val="24"/>
                <w14:textFill>
                  <w14:solidFill>
                    <w14:schemeClr w14:val="tx1"/>
                  </w14:solidFill>
                </w14:textFill>
              </w:rPr>
            </w:pPr>
            <w:r>
              <w:rPr>
                <w:rFonts w:hint="eastAsia" w:ascii="宋体" w:hAnsi="宋体" w:cs="宋体"/>
                <w:b/>
                <w:color w:val="000000" w:themeColor="text1"/>
                <w:kern w:val="2"/>
                <w:szCs w:val="24"/>
                <w14:textFill>
                  <w14:solidFill>
                    <w14:schemeClr w14:val="tx1"/>
                  </w14:solidFill>
                </w14:textFill>
              </w:rPr>
              <w:t>项目符合性审查表</w:t>
            </w:r>
          </w:p>
        </w:tc>
      </w:tr>
      <w:tr w14:paraId="6742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06" w:type="dxa"/>
            <w:tcBorders>
              <w:bottom w:val="single" w:color="auto" w:sz="4" w:space="0"/>
            </w:tcBorders>
            <w:vAlign w:val="center"/>
          </w:tcPr>
          <w:p w14:paraId="07A595D6">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788" w:type="dxa"/>
            <w:tcBorders>
              <w:bottom w:val="single" w:color="auto" w:sz="4" w:space="0"/>
            </w:tcBorders>
            <w:vAlign w:val="center"/>
          </w:tcPr>
          <w:p w14:paraId="09CE00A4">
            <w:pPr>
              <w:pStyle w:val="36"/>
              <w:pBdr>
                <w:bottom w:val="none" w:color="auto" w:sz="0" w:space="0"/>
              </w:pBdr>
              <w:tabs>
                <w:tab w:val="clear" w:pos="4153"/>
                <w:tab w:val="clear" w:pos="8306"/>
              </w:tabs>
              <w:snapToGrid w:val="0"/>
              <w:spacing w:line="360" w:lineRule="auto"/>
              <w:ind w:right="-10"/>
              <w:textAlignment w:val="auto"/>
              <w:rPr>
                <w:rFonts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指标名称</w:t>
            </w:r>
          </w:p>
        </w:tc>
        <w:tc>
          <w:tcPr>
            <w:tcW w:w="3969" w:type="dxa"/>
            <w:tcBorders>
              <w:bottom w:val="single" w:color="auto" w:sz="4" w:space="0"/>
            </w:tcBorders>
            <w:vAlign w:val="center"/>
          </w:tcPr>
          <w:p w14:paraId="74FDD99B">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指标要求</w:t>
            </w:r>
          </w:p>
        </w:tc>
        <w:tc>
          <w:tcPr>
            <w:tcW w:w="850" w:type="dxa"/>
            <w:tcBorders>
              <w:bottom w:val="single" w:color="auto" w:sz="4" w:space="0"/>
            </w:tcBorders>
            <w:vAlign w:val="center"/>
          </w:tcPr>
          <w:p w14:paraId="284C7133">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p w14:paraId="50E415A2">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w:t>
            </w:r>
          </w:p>
        </w:tc>
        <w:tc>
          <w:tcPr>
            <w:tcW w:w="1954" w:type="dxa"/>
            <w:tcBorders>
              <w:bottom w:val="single" w:color="auto" w:sz="4" w:space="0"/>
            </w:tcBorders>
            <w:vAlign w:val="center"/>
          </w:tcPr>
          <w:p w14:paraId="1EE0D219">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投标文件格式及</w:t>
            </w:r>
          </w:p>
          <w:p w14:paraId="51896E8D">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提交资料要求</w:t>
            </w:r>
          </w:p>
        </w:tc>
      </w:tr>
      <w:tr w14:paraId="027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14:paraId="726E4374">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788" w:type="dxa"/>
            <w:vAlign w:val="center"/>
          </w:tcPr>
          <w:p w14:paraId="24AA9EC4">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营业执照</w:t>
            </w:r>
          </w:p>
        </w:tc>
        <w:tc>
          <w:tcPr>
            <w:tcW w:w="3969" w:type="dxa"/>
            <w:vAlign w:val="center"/>
          </w:tcPr>
          <w:p w14:paraId="675932B3">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具有有效的营业执照</w:t>
            </w:r>
          </w:p>
        </w:tc>
        <w:tc>
          <w:tcPr>
            <w:tcW w:w="850" w:type="dxa"/>
            <w:vAlign w:val="center"/>
          </w:tcPr>
          <w:p w14:paraId="7D0380A2">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5E932FC7">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54F2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14:paraId="1E2BA25E">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788" w:type="dxa"/>
            <w:vAlign w:val="center"/>
          </w:tcPr>
          <w:p w14:paraId="23D51B36">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法定代表人及身份证</w:t>
            </w:r>
          </w:p>
        </w:tc>
        <w:tc>
          <w:tcPr>
            <w:tcW w:w="3969" w:type="dxa"/>
            <w:vAlign w:val="center"/>
          </w:tcPr>
          <w:p w14:paraId="59F816F0">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有效得法定代表人身份证</w:t>
            </w:r>
          </w:p>
        </w:tc>
        <w:tc>
          <w:tcPr>
            <w:tcW w:w="850" w:type="dxa"/>
            <w:vAlign w:val="center"/>
          </w:tcPr>
          <w:p w14:paraId="2AFE829C">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5D09A1FD">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31B6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14:paraId="4ECE0C50">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788" w:type="dxa"/>
            <w:vAlign w:val="center"/>
          </w:tcPr>
          <w:p w14:paraId="51BB3765">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资质要求</w:t>
            </w:r>
          </w:p>
        </w:tc>
        <w:tc>
          <w:tcPr>
            <w:tcW w:w="3969" w:type="dxa"/>
            <w:vAlign w:val="center"/>
          </w:tcPr>
          <w:p w14:paraId="164911D5">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需具有行政主管部门颁发的城乡规划编制甲级资质，拟派项目负责人需要同时具有高级工程师和注册规划师证书（提供职称证书和注册证扫描件、本单位2025年3月份以来连续三个月为其缴纳的社保证明、劳动合同，新成立公司或成立不满三个月的以公司成立起点为准）。</w:t>
            </w:r>
          </w:p>
        </w:tc>
        <w:tc>
          <w:tcPr>
            <w:tcW w:w="850" w:type="dxa"/>
            <w:vAlign w:val="center"/>
          </w:tcPr>
          <w:p w14:paraId="0C3DE0B0">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3CE17E47">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0C23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06" w:type="dxa"/>
            <w:vAlign w:val="center"/>
          </w:tcPr>
          <w:p w14:paraId="31EA1B87">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788" w:type="dxa"/>
            <w:vAlign w:val="center"/>
          </w:tcPr>
          <w:p w14:paraId="0D63A9A8">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纳税凭证和社保证明</w:t>
            </w:r>
          </w:p>
        </w:tc>
        <w:tc>
          <w:tcPr>
            <w:tcW w:w="3969" w:type="dxa"/>
            <w:vAlign w:val="center"/>
          </w:tcPr>
          <w:p w14:paraId="2F624A20">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提供2025年1月份以来任意1个月的缴纳凭证或证明材料，新成立企业从成立之日计算；</w:t>
            </w:r>
          </w:p>
        </w:tc>
        <w:tc>
          <w:tcPr>
            <w:tcW w:w="850" w:type="dxa"/>
            <w:vAlign w:val="center"/>
          </w:tcPr>
          <w:p w14:paraId="2C2F404B">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33F2B2C5">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6BC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906" w:type="dxa"/>
            <w:vAlign w:val="center"/>
          </w:tcPr>
          <w:p w14:paraId="6624CCC2">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788" w:type="dxa"/>
            <w:vAlign w:val="center"/>
          </w:tcPr>
          <w:p w14:paraId="796B01A6">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财务审计报告</w:t>
            </w:r>
          </w:p>
        </w:tc>
        <w:tc>
          <w:tcPr>
            <w:tcW w:w="3969" w:type="dxa"/>
            <w:vAlign w:val="center"/>
          </w:tcPr>
          <w:p w14:paraId="38B720D5">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提供2024年度的财务审计报告(注：公司成立年限不足的企业应提供其基本户开户银行出具的资信证明）</w:t>
            </w:r>
          </w:p>
        </w:tc>
        <w:tc>
          <w:tcPr>
            <w:tcW w:w="850" w:type="dxa"/>
            <w:vAlign w:val="center"/>
          </w:tcPr>
          <w:p w14:paraId="3CBD270F">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4AA27FBA">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3CB5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6" w:type="dxa"/>
            <w:vAlign w:val="center"/>
          </w:tcPr>
          <w:p w14:paraId="356EEF39">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788" w:type="dxa"/>
            <w:vAlign w:val="center"/>
          </w:tcPr>
          <w:p w14:paraId="0F38520D">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“信用中国”“中国政府采购网”查询</w:t>
            </w:r>
          </w:p>
        </w:tc>
        <w:tc>
          <w:tcPr>
            <w:tcW w:w="3969" w:type="dxa"/>
            <w:vAlign w:val="center"/>
          </w:tcPr>
          <w:p w14:paraId="470D1C5E">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14:paraId="48962815">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5AF781CD">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4CC8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06" w:type="dxa"/>
            <w:vAlign w:val="center"/>
          </w:tcPr>
          <w:p w14:paraId="5BCC397A">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788" w:type="dxa"/>
            <w:vAlign w:val="center"/>
          </w:tcPr>
          <w:p w14:paraId="5214F48B">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投标文件签字盖章格式</w:t>
            </w:r>
          </w:p>
        </w:tc>
        <w:tc>
          <w:tcPr>
            <w:tcW w:w="3969" w:type="dxa"/>
            <w:vAlign w:val="center"/>
          </w:tcPr>
          <w:p w14:paraId="39342B72">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14:paraId="4CF47B3F">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56FDB1BE">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07B2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06" w:type="dxa"/>
            <w:vAlign w:val="center"/>
          </w:tcPr>
          <w:p w14:paraId="5508680A">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788" w:type="dxa"/>
            <w:vAlign w:val="center"/>
          </w:tcPr>
          <w:p w14:paraId="69912081">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合格供应商的声明函和承诺书</w:t>
            </w:r>
          </w:p>
        </w:tc>
        <w:tc>
          <w:tcPr>
            <w:tcW w:w="3969" w:type="dxa"/>
            <w:vAlign w:val="center"/>
          </w:tcPr>
          <w:p w14:paraId="6AF78E7F">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14:paraId="0AF1AFF2">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282502A1">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4B85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06" w:type="dxa"/>
            <w:vAlign w:val="center"/>
          </w:tcPr>
          <w:p w14:paraId="2C2BA328">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788" w:type="dxa"/>
            <w:vAlign w:val="center"/>
          </w:tcPr>
          <w:p w14:paraId="30ACA36B">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服务期</w:t>
            </w:r>
          </w:p>
        </w:tc>
        <w:tc>
          <w:tcPr>
            <w:tcW w:w="3969" w:type="dxa"/>
            <w:vAlign w:val="center"/>
          </w:tcPr>
          <w:p w14:paraId="5A6EE956">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14:paraId="06F159EA">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78BCA618">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7852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06" w:type="dxa"/>
            <w:vAlign w:val="center"/>
          </w:tcPr>
          <w:p w14:paraId="5BE493A8">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788" w:type="dxa"/>
            <w:vAlign w:val="center"/>
          </w:tcPr>
          <w:p w14:paraId="357DEBEE">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投标有效期</w:t>
            </w:r>
          </w:p>
        </w:tc>
        <w:tc>
          <w:tcPr>
            <w:tcW w:w="3969" w:type="dxa"/>
            <w:vAlign w:val="center"/>
          </w:tcPr>
          <w:p w14:paraId="2335CCFF">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14:paraId="05F5E624">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66FEAECF">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0917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906" w:type="dxa"/>
            <w:vAlign w:val="center"/>
          </w:tcPr>
          <w:p w14:paraId="4790B9FF">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88" w:type="dxa"/>
            <w:vAlign w:val="center"/>
          </w:tcPr>
          <w:p w14:paraId="46CF9EA9">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服务技术要求</w:t>
            </w:r>
          </w:p>
        </w:tc>
        <w:tc>
          <w:tcPr>
            <w:tcW w:w="3969" w:type="dxa"/>
            <w:vAlign w:val="center"/>
          </w:tcPr>
          <w:p w14:paraId="3606DB4F">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14:paraId="7B275C1C">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4FD3C48B">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669F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06" w:type="dxa"/>
            <w:vAlign w:val="center"/>
          </w:tcPr>
          <w:p w14:paraId="3C49FC5E">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788" w:type="dxa"/>
            <w:vAlign w:val="center"/>
          </w:tcPr>
          <w:p w14:paraId="16AD15AD">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其他实质性要求</w:t>
            </w:r>
          </w:p>
        </w:tc>
        <w:tc>
          <w:tcPr>
            <w:tcW w:w="3969" w:type="dxa"/>
            <w:vAlign w:val="center"/>
          </w:tcPr>
          <w:p w14:paraId="5EA51075">
            <w:pPr>
              <w:spacing w:after="50"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w:t>
            </w:r>
          </w:p>
        </w:tc>
        <w:tc>
          <w:tcPr>
            <w:tcW w:w="850" w:type="dxa"/>
            <w:vAlign w:val="center"/>
          </w:tcPr>
          <w:p w14:paraId="6DFE816C">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1954" w:type="dxa"/>
            <w:vAlign w:val="center"/>
          </w:tcPr>
          <w:p w14:paraId="370B9E9A">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14:paraId="44B6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906" w:type="dxa"/>
            <w:vAlign w:val="center"/>
          </w:tcPr>
          <w:p w14:paraId="513ABDD1">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788" w:type="dxa"/>
            <w:vAlign w:val="center"/>
          </w:tcPr>
          <w:p w14:paraId="46B4E43A">
            <w:pPr>
              <w:spacing w:after="50" w:line="360" w:lineRule="auto"/>
              <w:ind w:right="-1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结论</w:t>
            </w:r>
          </w:p>
        </w:tc>
        <w:tc>
          <w:tcPr>
            <w:tcW w:w="6773" w:type="dxa"/>
            <w:gridSpan w:val="3"/>
            <w:vAlign w:val="center"/>
          </w:tcPr>
          <w:p w14:paraId="08269B2E">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是否通过审查</w:t>
            </w:r>
          </w:p>
        </w:tc>
      </w:tr>
    </w:tbl>
    <w:p w14:paraId="5E886FA5">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20.响应性文件的澄清</w:t>
      </w:r>
    </w:p>
    <w:p w14:paraId="191F8FEF">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07D030F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EEBADA7">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20.3供应商拒不进行澄清、说明、补正的，或者不能在竞争性磋商小组规定时间内作出书面澄清、说明、补正的，其响应性文件将被作为无效处理。</w:t>
      </w:r>
    </w:p>
    <w:p w14:paraId="03FDECC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20.4供应商的书面澄清材料作为响应性文件的补充。 </w:t>
      </w:r>
    </w:p>
    <w:p w14:paraId="4556BD13">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20.5竞争性磋商小组不得接受供应商主动提出的澄清和解释。 </w:t>
      </w:r>
    </w:p>
    <w:p w14:paraId="1D04BD0D">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20.6并非每个供应商都将被询问、澄清。</w:t>
      </w:r>
    </w:p>
    <w:p w14:paraId="7E80A6E3">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21.竞争性磋商</w:t>
      </w:r>
    </w:p>
    <w:p w14:paraId="26381D00">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21.1资格性审查和符合性审查合格的供应商，将进入本次竞争性磋商程序。</w:t>
      </w:r>
    </w:p>
    <w:p w14:paraId="4181281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21.2竞争性磋商将按照供应商的签到顺序进行。</w:t>
      </w:r>
    </w:p>
    <w:p w14:paraId="4FB57843">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21.3磋商内容包括：</w:t>
      </w:r>
    </w:p>
    <w:p w14:paraId="0835F692">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21.3.1按照竞争性磋商文件中商务部分的内容，对照供应商提交的响应文件逐一进行比较各项指标和要求。</w:t>
      </w:r>
    </w:p>
    <w:p w14:paraId="43FCD3B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21.3.2按照竞争性磋商文件中技术部分的内容，对照供应商提交的响应文件逐一进行比较各项指标和要求。</w:t>
      </w:r>
    </w:p>
    <w:p w14:paraId="1A47DF2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21.3.3按照竞争性磋商文件中合同条款部分的内容，对照供应商提交的响应文件逐一进行比较各项指标和要求。</w:t>
      </w:r>
    </w:p>
    <w:p w14:paraId="74BF3592">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21.3.4在磋商中，磋商的任何一方不得透露与磋商有关的其他供应商的技术资料及其他信息。</w:t>
      </w:r>
    </w:p>
    <w:p w14:paraId="401F206A">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21.4</w:t>
      </w:r>
      <w:r>
        <w:rPr>
          <w:rFonts w:hint="eastAsia" w:ascii="宋体" w:hAnsi="宋体" w:cs="宋体"/>
          <w:color w:val="000000" w:themeColor="text1"/>
          <w:sz w:val="24"/>
          <w:lang w:val="zh-CN"/>
          <w14:textFill>
            <w14:solidFill>
              <w14:schemeClr w14:val="tx1"/>
            </w14:solidFill>
          </w14:textFill>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7AC21D34">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21.4.1</w:t>
      </w:r>
      <w:r>
        <w:rPr>
          <w:rFonts w:hint="eastAsia" w:ascii="宋体" w:hAnsi="宋体" w:cs="宋体"/>
          <w:color w:val="000000" w:themeColor="text1"/>
          <w:sz w:val="24"/>
          <w:lang w:val="zh-CN"/>
          <w14:textFill>
            <w14:solidFill>
              <w14:schemeClr w14:val="tx1"/>
            </w14:solidFill>
          </w14:textFill>
        </w:rPr>
        <w:t>对竞争性磋商文件作出实质性变动是竞争性磋商文件的有效组成部分，竞争性磋商小组应当及时以书面形式同时通知所有参加竞争性磋商的供应商。</w:t>
      </w:r>
    </w:p>
    <w:p w14:paraId="3DD71FF7">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21.4.2供应商应当按照竞争性磋商文件的变动情况和竞争性磋商小组的要求重新提交响应性文件，并由其法定代表人或授权代表签字或者加盖公章。</w:t>
      </w:r>
    </w:p>
    <w:p w14:paraId="1F4B3363">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476A4E1B">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zh-CN"/>
          <w14:textFill>
            <w14:solidFill>
              <w14:schemeClr w14:val="tx1"/>
            </w14:solidFill>
          </w14:textFill>
        </w:rPr>
        <w:t>1.本次竞争性磋商的报价选择一次报价。</w:t>
      </w:r>
    </w:p>
    <w:p w14:paraId="1F7AE98E">
      <w:pPr>
        <w:pStyle w:val="18"/>
        <w:rPr>
          <w:color w:val="000000" w:themeColor="text1"/>
          <w:sz w:val="30"/>
          <w:szCs w:val="30"/>
          <w14:textFill>
            <w14:solidFill>
              <w14:schemeClr w14:val="tx1"/>
            </w14:solidFill>
          </w14:textFill>
        </w:rPr>
      </w:pPr>
      <w:bookmarkStart w:id="41" w:name="_Toc195875470"/>
      <w:r>
        <w:rPr>
          <w:rFonts w:hint="eastAsia"/>
          <w:color w:val="000000" w:themeColor="text1"/>
          <w:sz w:val="30"/>
          <w:szCs w:val="30"/>
          <w14:textFill>
            <w14:solidFill>
              <w14:schemeClr w14:val="tx1"/>
            </w14:solidFill>
          </w14:textFill>
        </w:rPr>
        <w:t>六、评定标准</w:t>
      </w:r>
      <w:bookmarkEnd w:id="41"/>
    </w:p>
    <w:p w14:paraId="44FC6B44">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22.竞争性磋商过程及保密原则</w:t>
      </w:r>
    </w:p>
    <w:p w14:paraId="43E74CCF">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14:paraId="50365108">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14:paraId="3579D5C3">
      <w:pPr>
        <w:pStyle w:val="13"/>
        <w:spacing w:after="0" w:line="560" w:lineRule="exact"/>
        <w:ind w:left="0" w:leftChars="0"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22.2对通过初步审查的响应文件，采用百分制综合评分法进行评价。</w:t>
      </w:r>
    </w:p>
    <w:p w14:paraId="6657952A">
      <w:pPr>
        <w:spacing w:line="360" w:lineRule="auto"/>
        <w:ind w:right="-92" w:rightChars="-44"/>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评标方法：</w:t>
      </w:r>
    </w:p>
    <w:tbl>
      <w:tblPr>
        <w:tblStyle w:val="25"/>
        <w:tblW w:w="93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2054"/>
        <w:gridCol w:w="5821"/>
      </w:tblGrid>
      <w:tr w14:paraId="48CE0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446" w:type="dxa"/>
            <w:tcBorders>
              <w:left w:val="single" w:color="auto" w:sz="4" w:space="0"/>
            </w:tcBorders>
            <w:vAlign w:val="center"/>
          </w:tcPr>
          <w:p w14:paraId="512A8238">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ascii="仿宋" w:eastAsia="仿宋" w:cs="宋体"/>
                <w:b/>
                <w:color w:val="000000" w:themeColor="text1"/>
                <w:sz w:val="30"/>
                <w:szCs w:val="30"/>
                <w14:textFill>
                  <w14:solidFill>
                    <w14:schemeClr w14:val="tx1"/>
                  </w14:solidFill>
                </w14:textFill>
              </w:rPr>
              <w:t>评分指标</w:t>
            </w:r>
          </w:p>
        </w:tc>
        <w:tc>
          <w:tcPr>
            <w:tcW w:w="2054" w:type="dxa"/>
            <w:tcBorders>
              <w:right w:val="single" w:color="auto" w:sz="4" w:space="0"/>
            </w:tcBorders>
            <w:vAlign w:val="center"/>
          </w:tcPr>
          <w:p w14:paraId="66D27BB4">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ascii="仿宋" w:eastAsia="仿宋" w:cs="宋体"/>
                <w:b/>
                <w:color w:val="000000" w:themeColor="text1"/>
                <w:sz w:val="30"/>
                <w:szCs w:val="30"/>
                <w14:textFill>
                  <w14:solidFill>
                    <w14:schemeClr w14:val="tx1"/>
                  </w14:solidFill>
                </w14:textFill>
              </w:rPr>
              <w:t>分值</w:t>
            </w:r>
          </w:p>
        </w:tc>
        <w:tc>
          <w:tcPr>
            <w:tcW w:w="5821" w:type="dxa"/>
            <w:tcBorders>
              <w:left w:val="single" w:color="auto" w:sz="4" w:space="0"/>
            </w:tcBorders>
            <w:vAlign w:val="center"/>
          </w:tcPr>
          <w:p w14:paraId="33E08EAB">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ascii="仿宋" w:eastAsia="仿宋" w:cs="宋体"/>
                <w:b/>
                <w:color w:val="000000" w:themeColor="text1"/>
                <w:sz w:val="30"/>
                <w:szCs w:val="30"/>
                <w14:textFill>
                  <w14:solidFill>
                    <w14:schemeClr w14:val="tx1"/>
                  </w14:solidFill>
                </w14:textFill>
              </w:rPr>
              <w:t>指标说明及评分标准</w:t>
            </w:r>
          </w:p>
        </w:tc>
      </w:tr>
      <w:tr w14:paraId="363A2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446" w:type="dxa"/>
            <w:tcBorders>
              <w:left w:val="single" w:color="auto" w:sz="4" w:space="0"/>
            </w:tcBorders>
            <w:vAlign w:val="center"/>
          </w:tcPr>
          <w:p w14:paraId="23EE060D">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投标报价评分标准10分</w:t>
            </w:r>
          </w:p>
        </w:tc>
        <w:tc>
          <w:tcPr>
            <w:tcW w:w="2054" w:type="dxa"/>
            <w:tcBorders>
              <w:right w:val="single" w:color="auto" w:sz="4" w:space="0"/>
            </w:tcBorders>
            <w:vAlign w:val="center"/>
          </w:tcPr>
          <w:p w14:paraId="7D6AE069">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投标报价（10分）</w:t>
            </w:r>
          </w:p>
        </w:tc>
        <w:tc>
          <w:tcPr>
            <w:tcW w:w="5821" w:type="dxa"/>
            <w:tcBorders>
              <w:left w:val="single" w:color="auto" w:sz="4" w:space="0"/>
            </w:tcBorders>
            <w:vAlign w:val="center"/>
          </w:tcPr>
          <w:p w14:paraId="0830051F">
            <w:pPr>
              <w:rPr>
                <w:rFonts w:ascii="宋体" w:cs="宋体"/>
                <w:bCs/>
                <w:color w:val="000000" w:themeColor="text1"/>
                <w:sz w:val="24"/>
                <w:szCs w:val="20"/>
                <w14:textFill>
                  <w14:solidFill>
                    <w14:schemeClr w14:val="tx1"/>
                  </w14:solidFill>
                </w14:textFill>
              </w:rPr>
            </w:pPr>
            <w:r>
              <w:rPr>
                <w:rFonts w:hint="eastAsia" w:ascii="宋体" w:cs="宋体"/>
                <w:bCs/>
                <w:color w:val="000000" w:themeColor="text1"/>
                <w:sz w:val="24"/>
                <w:szCs w:val="20"/>
                <w14:textFill>
                  <w14:solidFill>
                    <w14:schemeClr w14:val="tx1"/>
                  </w14:solidFill>
                </w14:textFill>
              </w:rPr>
              <w:t>满足磋商文件要求且最后报价最低的供应商的价格为磋商基准价，其价格分为满分。其他供应商的价格分统一按照下列公式计算：</w:t>
            </w:r>
          </w:p>
          <w:p w14:paraId="35413C2C">
            <w:pPr>
              <w:rPr>
                <w:rFonts w:ascii="宋体" w:cs="宋体"/>
                <w:bCs/>
                <w:color w:val="000000" w:themeColor="text1"/>
                <w:sz w:val="24"/>
                <w:szCs w:val="20"/>
                <w14:textFill>
                  <w14:solidFill>
                    <w14:schemeClr w14:val="tx1"/>
                  </w14:solidFill>
                </w14:textFill>
              </w:rPr>
            </w:pPr>
            <w:r>
              <w:rPr>
                <w:rFonts w:hint="eastAsia" w:ascii="宋体" w:cs="宋体"/>
                <w:bCs/>
                <w:color w:val="000000" w:themeColor="text1"/>
                <w:sz w:val="24"/>
                <w:szCs w:val="20"/>
                <w14:textFill>
                  <w14:solidFill>
                    <w14:schemeClr w14:val="tx1"/>
                  </w14:solidFill>
                </w14:textFill>
              </w:rPr>
              <w:t>磋商报价得分=（磋商基准价/最后磋商报价）×10</w:t>
            </w:r>
          </w:p>
          <w:p w14:paraId="22AE2985">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备注：价格分计算保留小数点后二位。</w:t>
            </w:r>
          </w:p>
          <w:p w14:paraId="0E7B9C60">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根据财政部、工信部关于印发《政府采购促进中小企业发展管理办法》（财库[2020]46 号)和《关于进一</w:t>
            </w:r>
          </w:p>
          <w:p w14:paraId="372AC62C">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步加大政府采购支持中小企业力度的通知》(财库[2022]19 号)文件规定：</w:t>
            </w:r>
          </w:p>
          <w:p w14:paraId="7F0161C5">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（1）对小微企业报价给予20%扣除，请按照《政府采购促进中小企业发展管理办法》要求提供中小企业声明函。</w:t>
            </w:r>
          </w:p>
          <w:p w14:paraId="7310AFF5">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（2）关于监狱企业：视同小微企业。须提供由省级以上监狱管理局、戒毒管理局（含新疆生产建设兵团）出具的属于监狱企业的证明文件，否则不考虑价格扣除。</w:t>
            </w:r>
          </w:p>
          <w:p w14:paraId="623B51B3">
            <w:pPr>
              <w:autoSpaceDE w:val="0"/>
              <w:autoSpaceDN w:val="0"/>
              <w:spacing w:line="312"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（3）关于残疾人福利性单位：视同小微企业。须提供完整的“残疾人福利性单位声明函”，否则在价格评审时不予考虑价格扣除。残疾人福利性单位属于小型、微型企业的，不重复享受政策。</w:t>
            </w:r>
          </w:p>
          <w:p w14:paraId="18BA1812">
            <w:pPr>
              <w:rPr>
                <w:rFonts w:ascii="宋体" w:cs="宋体"/>
                <w:bCs/>
                <w:color w:val="000000" w:themeColor="text1"/>
                <w:sz w:val="24"/>
                <w:szCs w:val="20"/>
                <w14:textFill>
                  <w14:solidFill>
                    <w14:schemeClr w14:val="tx1"/>
                  </w14:solidFill>
                </w14:textFill>
              </w:rPr>
            </w:pPr>
            <w:r>
              <w:rPr>
                <w:rFonts w:hint="eastAsia" w:ascii="宋体" w:cs="宋体"/>
                <w:color w:val="000000" w:themeColor="text1"/>
                <w:kern w:val="0"/>
                <w:sz w:val="24"/>
                <w14:textFill>
                  <w14:solidFill>
                    <w14:schemeClr w14:val="tx1"/>
                  </w14:solidFill>
                </w14:textFill>
              </w:rPr>
              <w:t>（4）没有提供有效证明材料的供应商将被视为不接受投标总价的扣除，用原投标总价参与评审。</w:t>
            </w:r>
          </w:p>
        </w:tc>
      </w:tr>
      <w:tr w14:paraId="42B79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46" w:type="dxa"/>
            <w:vMerge w:val="restart"/>
            <w:tcBorders>
              <w:left w:val="single" w:color="auto" w:sz="4" w:space="0"/>
            </w:tcBorders>
            <w:vAlign w:val="center"/>
          </w:tcPr>
          <w:p w14:paraId="7113D4CD">
            <w:pPr>
              <w:autoSpaceDE w:val="0"/>
              <w:autoSpaceDN w:val="0"/>
              <w:spacing w:line="360"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技术部分</w:t>
            </w:r>
          </w:p>
          <w:p w14:paraId="20D7A812">
            <w:pPr>
              <w:tabs>
                <w:tab w:val="left" w:pos="5130"/>
              </w:tabs>
              <w:autoSpaceDE w:val="0"/>
              <w:autoSpaceDN w:val="0"/>
              <w:adjustRightInd w:val="0"/>
              <w:snapToGrid w:val="0"/>
              <w:spacing w:line="360" w:lineRule="auto"/>
              <w:jc w:val="left"/>
              <w:rPr>
                <w:rFonts w:ascii="宋体" w:cs="宋体"/>
                <w:bCs/>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(60分）</w:t>
            </w:r>
          </w:p>
        </w:tc>
        <w:tc>
          <w:tcPr>
            <w:tcW w:w="2054" w:type="dxa"/>
            <w:tcBorders>
              <w:right w:val="single" w:color="auto" w:sz="4" w:space="0"/>
            </w:tcBorders>
            <w:vAlign w:val="center"/>
          </w:tcPr>
          <w:p w14:paraId="0C578E16">
            <w:pPr>
              <w:widowControl/>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对项目的理解</w:t>
            </w:r>
          </w:p>
          <w:p w14:paraId="15F2A9C7">
            <w:pPr>
              <w:widowControl/>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w:t>
            </w:r>
            <w:r>
              <w:rPr>
                <w:rFonts w:ascii="宋体" w:cs="宋体"/>
                <w:color w:val="000000" w:themeColor="text1"/>
                <w:sz w:val="24"/>
                <w14:textFill>
                  <w14:solidFill>
                    <w14:schemeClr w14:val="tx1"/>
                  </w14:solidFill>
                </w14:textFill>
              </w:rPr>
              <w:t>2</w:t>
            </w:r>
            <w:r>
              <w:rPr>
                <w:rFonts w:hint="eastAsia" w:ascii="宋体" w:cs="宋体"/>
                <w:color w:val="000000" w:themeColor="text1"/>
                <w:sz w:val="24"/>
                <w14:textFill>
                  <w14:solidFill>
                    <w14:schemeClr w14:val="tx1"/>
                  </w14:solidFill>
                </w14:textFill>
              </w:rPr>
              <w:t>分）</w:t>
            </w:r>
          </w:p>
        </w:tc>
        <w:tc>
          <w:tcPr>
            <w:tcW w:w="5821" w:type="dxa"/>
            <w:tcBorders>
              <w:left w:val="single" w:color="auto" w:sz="4" w:space="0"/>
            </w:tcBorders>
            <w:vAlign w:val="center"/>
          </w:tcPr>
          <w:p w14:paraId="1967EB39">
            <w:pPr>
              <w:widowControl/>
              <w:snapToGrid w:val="0"/>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对规划背景和规划编制内容的理解，包括项目背景</w:t>
            </w:r>
            <w:r>
              <w:rPr>
                <w:rFonts w:ascii="宋体" w:cs="宋体"/>
                <w:color w:val="000000" w:themeColor="text1"/>
                <w:sz w:val="24"/>
                <w14:textFill>
                  <w14:solidFill>
                    <w14:schemeClr w14:val="tx1"/>
                  </w14:solidFill>
                </w14:textFill>
              </w:rPr>
              <w:t>、</w:t>
            </w:r>
            <w:r>
              <w:rPr>
                <w:rFonts w:hint="eastAsia" w:ascii="宋体" w:cs="宋体"/>
                <w:color w:val="000000" w:themeColor="text1"/>
                <w:sz w:val="24"/>
                <w14:textFill>
                  <w14:solidFill>
                    <w14:schemeClr w14:val="tx1"/>
                  </w14:solidFill>
                </w14:textFill>
              </w:rPr>
              <w:t>基本情况、项目目标、意义、需求</w:t>
            </w:r>
            <w:r>
              <w:rPr>
                <w:rFonts w:ascii="宋体" w:cs="宋体"/>
                <w:color w:val="000000" w:themeColor="text1"/>
                <w:sz w:val="24"/>
                <w14:textFill>
                  <w14:solidFill>
                    <w14:schemeClr w14:val="tx1"/>
                  </w14:solidFill>
                </w14:textFill>
              </w:rPr>
              <w:t>、总体要求</w:t>
            </w:r>
            <w:r>
              <w:rPr>
                <w:rFonts w:hint="eastAsia" w:ascii="宋体" w:cs="宋体"/>
                <w:color w:val="000000" w:themeColor="text1"/>
                <w:sz w:val="24"/>
                <w14:textFill>
                  <w14:solidFill>
                    <w14:schemeClr w14:val="tx1"/>
                  </w14:solidFill>
                </w14:textFill>
              </w:rPr>
              <w:t>等得</w:t>
            </w:r>
            <w:r>
              <w:rPr>
                <w:rFonts w:ascii="宋体" w:cs="宋体"/>
                <w:color w:val="000000" w:themeColor="text1"/>
                <w:sz w:val="24"/>
                <w14:textFill>
                  <w14:solidFill>
                    <w14:schemeClr w14:val="tx1"/>
                  </w14:solidFill>
                </w14:textFill>
              </w:rPr>
              <w:t>12</w:t>
            </w:r>
            <w:r>
              <w:rPr>
                <w:rFonts w:hint="eastAsia" w:ascii="宋体" w:cs="宋体"/>
                <w:color w:val="000000" w:themeColor="text1"/>
                <w:sz w:val="24"/>
                <w14:textFill>
                  <w14:solidFill>
                    <w14:schemeClr w14:val="tx1"/>
                  </w14:solidFill>
                </w14:textFill>
              </w:rPr>
              <w:t>分，每缺少一项内容或内容不符合本项目实际需求的，每一项扣2分，扣完为止，不提供则不得分。</w:t>
            </w:r>
          </w:p>
        </w:tc>
      </w:tr>
      <w:tr w14:paraId="6C8E8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446" w:type="dxa"/>
            <w:vMerge w:val="continue"/>
            <w:tcBorders>
              <w:left w:val="single" w:color="auto" w:sz="4" w:space="0"/>
            </w:tcBorders>
            <w:vAlign w:val="center"/>
          </w:tcPr>
          <w:p w14:paraId="1860CDE5">
            <w:pPr>
              <w:rPr>
                <w:color w:val="000000" w:themeColor="text1"/>
                <w14:textFill>
                  <w14:solidFill>
                    <w14:schemeClr w14:val="tx1"/>
                  </w14:solidFill>
                </w14:textFill>
              </w:rPr>
            </w:pPr>
          </w:p>
        </w:tc>
        <w:tc>
          <w:tcPr>
            <w:tcW w:w="2054" w:type="dxa"/>
            <w:tcBorders>
              <w:right w:val="single" w:color="auto" w:sz="4" w:space="0"/>
            </w:tcBorders>
            <w:vAlign w:val="center"/>
          </w:tcPr>
          <w:p w14:paraId="54C79AAA">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规划战略目标定位</w:t>
            </w:r>
          </w:p>
          <w:p w14:paraId="088548BF">
            <w:pPr>
              <w:jc w:val="center"/>
              <w:rPr>
                <w:rFonts w:ascii="宋体" w:cs="宋体"/>
                <w:color w:val="000000" w:themeColor="text1"/>
                <w14:textFill>
                  <w14:solidFill>
                    <w14:schemeClr w14:val="tx1"/>
                  </w14:solidFill>
                </w14:textFill>
              </w:rPr>
            </w:pPr>
            <w:r>
              <w:rPr>
                <w:rFonts w:hint="eastAsia" w:ascii="宋体" w:cs="宋体"/>
                <w:color w:val="000000" w:themeColor="text1"/>
                <w:sz w:val="24"/>
                <w14:textFill>
                  <w14:solidFill>
                    <w14:schemeClr w14:val="tx1"/>
                  </w14:solidFill>
                </w14:textFill>
              </w:rPr>
              <w:t>（1</w:t>
            </w:r>
            <w:r>
              <w:rPr>
                <w:rFonts w:ascii="宋体" w:cs="宋体"/>
                <w:color w:val="000000" w:themeColor="text1"/>
                <w:sz w:val="24"/>
                <w14:textFill>
                  <w14:solidFill>
                    <w14:schemeClr w14:val="tx1"/>
                  </w14:solidFill>
                </w14:textFill>
              </w:rPr>
              <w:t>2</w:t>
            </w:r>
            <w:r>
              <w:rPr>
                <w:rFonts w:hint="eastAsia" w:ascii="宋体" w:cs="宋体"/>
                <w:color w:val="000000" w:themeColor="text1"/>
                <w:sz w:val="24"/>
                <w14:textFill>
                  <w14:solidFill>
                    <w14:schemeClr w14:val="tx1"/>
                  </w14:solidFill>
                </w14:textFill>
              </w:rPr>
              <w:t>分）</w:t>
            </w:r>
          </w:p>
        </w:tc>
        <w:tc>
          <w:tcPr>
            <w:tcW w:w="5821" w:type="dxa"/>
            <w:tcBorders>
              <w:left w:val="single" w:color="auto" w:sz="4" w:space="0"/>
            </w:tcBorders>
            <w:vAlign w:val="center"/>
          </w:tcPr>
          <w:p w14:paraId="7C448AD2">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确定项城市“十五五”生态修复规划目标，包括现状评估、指导思想、编制原则、主要任务、规划布局、总体部署等方面目标定位精准且有创意的得</w:t>
            </w:r>
            <w:r>
              <w:rPr>
                <w:rFonts w:ascii="宋体" w:cs="宋体"/>
                <w:color w:val="000000" w:themeColor="text1"/>
                <w:sz w:val="24"/>
                <w14:textFill>
                  <w14:solidFill>
                    <w14:schemeClr w14:val="tx1"/>
                  </w14:solidFill>
                </w14:textFill>
              </w:rPr>
              <w:t>12</w:t>
            </w:r>
            <w:r>
              <w:rPr>
                <w:rFonts w:hint="eastAsia" w:ascii="宋体" w:cs="宋体"/>
                <w:color w:val="000000" w:themeColor="text1"/>
                <w:sz w:val="24"/>
                <w14:textFill>
                  <w14:solidFill>
                    <w14:schemeClr w14:val="tx1"/>
                  </w14:solidFill>
                </w14:textFill>
              </w:rPr>
              <w:t>分，每缺少一项内容或内容不符合本项目实际需求的，每一项扣2分，扣完为止，不提供则不得分。</w:t>
            </w:r>
          </w:p>
        </w:tc>
      </w:tr>
      <w:tr w14:paraId="5558A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446" w:type="dxa"/>
            <w:vMerge w:val="continue"/>
            <w:tcBorders>
              <w:left w:val="single" w:color="auto" w:sz="4" w:space="0"/>
            </w:tcBorders>
            <w:vAlign w:val="center"/>
          </w:tcPr>
          <w:p w14:paraId="32C7482E">
            <w:pPr>
              <w:rPr>
                <w:color w:val="000000" w:themeColor="text1"/>
                <w14:textFill>
                  <w14:solidFill>
                    <w14:schemeClr w14:val="tx1"/>
                  </w14:solidFill>
                </w14:textFill>
              </w:rPr>
            </w:pPr>
          </w:p>
        </w:tc>
        <w:tc>
          <w:tcPr>
            <w:tcW w:w="2054" w:type="dxa"/>
            <w:tcBorders>
              <w:right w:val="single" w:color="auto" w:sz="4" w:space="0"/>
            </w:tcBorders>
            <w:vAlign w:val="center"/>
          </w:tcPr>
          <w:p w14:paraId="2228E50E">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项目实施方案</w:t>
            </w:r>
          </w:p>
          <w:p w14:paraId="15E8037C">
            <w:pPr>
              <w:jc w:val="center"/>
              <w:rPr>
                <w:rFonts w:ascii="宋体" w:cs="宋体"/>
                <w:color w:val="000000" w:themeColor="text1"/>
                <w14:textFill>
                  <w14:solidFill>
                    <w14:schemeClr w14:val="tx1"/>
                  </w14:solidFill>
                </w14:textFill>
              </w:rPr>
            </w:pPr>
            <w:r>
              <w:rPr>
                <w:rFonts w:hint="eastAsia" w:ascii="宋体" w:cs="宋体"/>
                <w:color w:val="000000" w:themeColor="text1"/>
                <w:sz w:val="24"/>
                <w14:textFill>
                  <w14:solidFill>
                    <w14:schemeClr w14:val="tx1"/>
                  </w14:solidFill>
                </w14:textFill>
              </w:rPr>
              <w:t>（</w:t>
            </w:r>
            <w:r>
              <w:rPr>
                <w:rFonts w:ascii="宋体" w:cs="宋体"/>
                <w:color w:val="000000" w:themeColor="text1"/>
                <w:sz w:val="24"/>
                <w14:textFill>
                  <w14:solidFill>
                    <w14:schemeClr w14:val="tx1"/>
                  </w14:solidFill>
                </w14:textFill>
              </w:rPr>
              <w:t>12</w:t>
            </w:r>
            <w:r>
              <w:rPr>
                <w:rFonts w:hint="eastAsia" w:ascii="宋体" w:cs="宋体"/>
                <w:color w:val="000000" w:themeColor="text1"/>
                <w:sz w:val="24"/>
                <w14:textFill>
                  <w14:solidFill>
                    <w14:schemeClr w14:val="tx1"/>
                  </w14:solidFill>
                </w14:textFill>
              </w:rPr>
              <w:t>分）</w:t>
            </w:r>
          </w:p>
        </w:tc>
        <w:tc>
          <w:tcPr>
            <w:tcW w:w="5821" w:type="dxa"/>
            <w:tcBorders>
              <w:left w:val="single" w:color="auto" w:sz="4" w:space="0"/>
            </w:tcBorders>
            <w:vAlign w:val="center"/>
          </w:tcPr>
          <w:p w14:paraId="00DA64C6">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针对本项目组织实施方案，包括任务来源、项目技术路线、项目管理制度、项目初步方案等得</w:t>
            </w:r>
            <w:r>
              <w:rPr>
                <w:rFonts w:ascii="宋体" w:cs="宋体"/>
                <w:color w:val="000000" w:themeColor="text1"/>
                <w:sz w:val="24"/>
                <w14:textFill>
                  <w14:solidFill>
                    <w14:schemeClr w14:val="tx1"/>
                  </w14:solidFill>
                </w14:textFill>
              </w:rPr>
              <w:t>12</w:t>
            </w:r>
            <w:r>
              <w:rPr>
                <w:rFonts w:hint="eastAsia" w:ascii="宋体" w:cs="宋体"/>
                <w:color w:val="000000" w:themeColor="text1"/>
                <w:sz w:val="24"/>
                <w14:textFill>
                  <w14:solidFill>
                    <w14:schemeClr w14:val="tx1"/>
                  </w14:solidFill>
                </w14:textFill>
              </w:rPr>
              <w:t>分，每缺少一项内容或内容不符合本项目实际需求的，每一项扣</w:t>
            </w:r>
            <w:r>
              <w:rPr>
                <w:rFonts w:ascii="宋体" w:cs="宋体"/>
                <w:color w:val="000000" w:themeColor="text1"/>
                <w:sz w:val="24"/>
                <w14:textFill>
                  <w14:solidFill>
                    <w14:schemeClr w14:val="tx1"/>
                  </w14:solidFill>
                </w14:textFill>
              </w:rPr>
              <w:t>3</w:t>
            </w:r>
            <w:r>
              <w:rPr>
                <w:rFonts w:hint="eastAsia" w:ascii="宋体" w:cs="宋体"/>
                <w:color w:val="000000" w:themeColor="text1"/>
                <w:sz w:val="24"/>
                <w14:textFill>
                  <w14:solidFill>
                    <w14:schemeClr w14:val="tx1"/>
                  </w14:solidFill>
                </w14:textFill>
              </w:rPr>
              <w:t>分，扣完为止，不提供则不得分。</w:t>
            </w:r>
          </w:p>
        </w:tc>
      </w:tr>
      <w:tr w14:paraId="37A9B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446" w:type="dxa"/>
            <w:vMerge w:val="continue"/>
            <w:tcBorders>
              <w:left w:val="single" w:color="auto" w:sz="4" w:space="0"/>
            </w:tcBorders>
            <w:vAlign w:val="center"/>
          </w:tcPr>
          <w:p w14:paraId="440A6F6F">
            <w:pPr>
              <w:rPr>
                <w:color w:val="000000" w:themeColor="text1"/>
                <w14:textFill>
                  <w14:solidFill>
                    <w14:schemeClr w14:val="tx1"/>
                  </w14:solidFill>
                </w14:textFill>
              </w:rPr>
            </w:pPr>
          </w:p>
        </w:tc>
        <w:tc>
          <w:tcPr>
            <w:tcW w:w="2054" w:type="dxa"/>
            <w:tcBorders>
              <w:right w:val="single" w:color="auto" w:sz="4" w:space="0"/>
            </w:tcBorders>
            <w:vAlign w:val="center"/>
          </w:tcPr>
          <w:p w14:paraId="5F61C2E0">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重点难点分析及措施</w:t>
            </w:r>
          </w:p>
          <w:p w14:paraId="447DE524">
            <w:pPr>
              <w:jc w:val="center"/>
              <w:rPr>
                <w:rFonts w:ascii="宋体" w:cs="宋体"/>
                <w:color w:val="000000" w:themeColor="text1"/>
                <w14:textFill>
                  <w14:solidFill>
                    <w14:schemeClr w14:val="tx1"/>
                  </w14:solidFill>
                </w14:textFill>
              </w:rPr>
            </w:pPr>
            <w:r>
              <w:rPr>
                <w:rFonts w:hint="eastAsia" w:ascii="宋体" w:cs="宋体"/>
                <w:color w:val="000000" w:themeColor="text1"/>
                <w:sz w:val="24"/>
                <w14:textFill>
                  <w14:solidFill>
                    <w14:schemeClr w14:val="tx1"/>
                  </w14:solidFill>
                </w14:textFill>
              </w:rPr>
              <w:t>（6分）</w:t>
            </w:r>
          </w:p>
        </w:tc>
        <w:tc>
          <w:tcPr>
            <w:tcW w:w="5821" w:type="dxa"/>
            <w:tcBorders>
              <w:left w:val="single" w:color="auto" w:sz="4" w:space="0"/>
            </w:tcBorders>
            <w:vAlign w:val="center"/>
          </w:tcPr>
          <w:p w14:paraId="2CCC60C8">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针对本项目进行规划重点、难点分析，包括项目实施过程中的重点与难点的认识与分析、应对措施、前瞻性等得6分，每缺少一项内容或内容不符合本项目实际需求的，每一项扣2分，扣完为止，不提供则不得分。</w:t>
            </w:r>
          </w:p>
        </w:tc>
      </w:tr>
      <w:tr w14:paraId="71704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446" w:type="dxa"/>
            <w:vMerge w:val="continue"/>
            <w:tcBorders>
              <w:left w:val="single" w:color="auto" w:sz="4" w:space="0"/>
            </w:tcBorders>
            <w:vAlign w:val="center"/>
          </w:tcPr>
          <w:p w14:paraId="04BE5D7A">
            <w:pPr>
              <w:rPr>
                <w:color w:val="000000" w:themeColor="text1"/>
                <w14:textFill>
                  <w14:solidFill>
                    <w14:schemeClr w14:val="tx1"/>
                  </w14:solidFill>
                </w14:textFill>
              </w:rPr>
            </w:pPr>
          </w:p>
        </w:tc>
        <w:tc>
          <w:tcPr>
            <w:tcW w:w="2054" w:type="dxa"/>
            <w:tcBorders>
              <w:right w:val="single" w:color="auto" w:sz="4" w:space="0"/>
            </w:tcBorders>
            <w:vAlign w:val="center"/>
          </w:tcPr>
          <w:p w14:paraId="1614BA3C">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进度安排及保障措施</w:t>
            </w:r>
          </w:p>
          <w:p w14:paraId="34394A04">
            <w:pPr>
              <w:jc w:val="center"/>
              <w:rPr>
                <w:rFonts w:ascii="宋体" w:cs="宋体"/>
                <w:color w:val="000000" w:themeColor="text1"/>
                <w14:textFill>
                  <w14:solidFill>
                    <w14:schemeClr w14:val="tx1"/>
                  </w14:solidFill>
                </w14:textFill>
              </w:rPr>
            </w:pPr>
            <w:r>
              <w:rPr>
                <w:rFonts w:hint="eastAsia" w:ascii="宋体" w:cs="宋体"/>
                <w:color w:val="000000" w:themeColor="text1"/>
                <w:sz w:val="24"/>
                <w14:textFill>
                  <w14:solidFill>
                    <w14:schemeClr w14:val="tx1"/>
                  </w14:solidFill>
                </w14:textFill>
              </w:rPr>
              <w:t>（6分）</w:t>
            </w:r>
          </w:p>
        </w:tc>
        <w:tc>
          <w:tcPr>
            <w:tcW w:w="5821" w:type="dxa"/>
            <w:tcBorders>
              <w:left w:val="single" w:color="auto" w:sz="4" w:space="0"/>
            </w:tcBorders>
            <w:vAlign w:val="center"/>
          </w:tcPr>
          <w:p w14:paraId="14D95A77">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针对本项目制定的进度安排及保障措施，包括完成相应工作</w:t>
            </w:r>
            <w:r>
              <w:rPr>
                <w:rFonts w:ascii="宋体" w:cs="宋体"/>
                <w:color w:val="000000" w:themeColor="text1"/>
                <w:sz w:val="24"/>
                <w14:textFill>
                  <w14:solidFill>
                    <w14:schemeClr w14:val="tx1"/>
                  </w14:solidFill>
                </w14:textFill>
              </w:rPr>
              <w:t>进度计划</w:t>
            </w:r>
            <w:r>
              <w:rPr>
                <w:rFonts w:hint="eastAsia" w:ascii="宋体" w:cs="宋体"/>
                <w:color w:val="000000" w:themeColor="text1"/>
                <w:sz w:val="24"/>
                <w14:textFill>
                  <w14:solidFill>
                    <w14:schemeClr w14:val="tx1"/>
                  </w14:solidFill>
                </w14:textFill>
              </w:rPr>
              <w:t>、阶段性目标、保障措施的</w:t>
            </w:r>
            <w:r>
              <w:rPr>
                <w:rFonts w:hint="eastAsia" w:ascii="宋体" w:cs="宋体"/>
                <w:snapToGrid w:val="0"/>
                <w:color w:val="000000" w:themeColor="text1"/>
                <w:kern w:val="0"/>
                <w:sz w:val="24"/>
                <w14:textFill>
                  <w14:solidFill>
                    <w14:schemeClr w14:val="tx1"/>
                  </w14:solidFill>
                </w14:textFill>
              </w:rPr>
              <w:t>得6分，</w:t>
            </w:r>
            <w:r>
              <w:rPr>
                <w:rFonts w:hint="eastAsia" w:ascii="宋体" w:cs="宋体"/>
                <w:color w:val="000000" w:themeColor="text1"/>
                <w:sz w:val="24"/>
                <w14:textFill>
                  <w14:solidFill>
                    <w14:schemeClr w14:val="tx1"/>
                  </w14:solidFill>
                </w14:textFill>
              </w:rPr>
              <w:t>每缺少一项内容或内容不符合本项目实际需求的，每一项扣2分，扣完为止，不提供则不得分</w:t>
            </w:r>
            <w:r>
              <w:rPr>
                <w:rFonts w:hint="eastAsia" w:ascii="宋体" w:cs="宋体"/>
                <w:snapToGrid w:val="0"/>
                <w:color w:val="000000" w:themeColor="text1"/>
                <w:kern w:val="0"/>
                <w:sz w:val="24"/>
                <w14:textFill>
                  <w14:solidFill>
                    <w14:schemeClr w14:val="tx1"/>
                  </w14:solidFill>
                </w14:textFill>
              </w:rPr>
              <w:t>。</w:t>
            </w:r>
          </w:p>
        </w:tc>
      </w:tr>
      <w:tr w14:paraId="792E8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446" w:type="dxa"/>
            <w:vMerge w:val="continue"/>
            <w:tcBorders>
              <w:left w:val="single" w:color="auto" w:sz="4" w:space="0"/>
            </w:tcBorders>
            <w:vAlign w:val="center"/>
          </w:tcPr>
          <w:p w14:paraId="7B606E37">
            <w:pPr>
              <w:rPr>
                <w:color w:val="000000" w:themeColor="text1"/>
                <w14:textFill>
                  <w14:solidFill>
                    <w14:schemeClr w14:val="tx1"/>
                  </w14:solidFill>
                </w14:textFill>
              </w:rPr>
            </w:pPr>
          </w:p>
        </w:tc>
        <w:tc>
          <w:tcPr>
            <w:tcW w:w="2054" w:type="dxa"/>
            <w:tcBorders>
              <w:right w:val="single" w:color="auto" w:sz="4" w:space="0"/>
            </w:tcBorders>
            <w:vAlign w:val="center"/>
          </w:tcPr>
          <w:p w14:paraId="3D711C0E">
            <w:pPr>
              <w:jc w:val="center"/>
              <w:rPr>
                <w:rFonts w:ascii="宋体" w:cs="宋体"/>
                <w:snapToGrid w:val="0"/>
                <w:color w:val="000000" w:themeColor="text1"/>
                <w:kern w:val="0"/>
                <w:sz w:val="24"/>
                <w14:textFill>
                  <w14:solidFill>
                    <w14:schemeClr w14:val="tx1"/>
                  </w14:solidFill>
                </w14:textFill>
              </w:rPr>
            </w:pPr>
            <w:r>
              <w:rPr>
                <w:rFonts w:hint="eastAsia" w:ascii="宋体" w:cs="宋体"/>
                <w:snapToGrid w:val="0"/>
                <w:color w:val="000000" w:themeColor="text1"/>
                <w:kern w:val="0"/>
                <w:sz w:val="24"/>
                <w14:textFill>
                  <w14:solidFill>
                    <w14:schemeClr w14:val="tx1"/>
                  </w14:solidFill>
                </w14:textFill>
              </w:rPr>
              <w:t>质量保证措施</w:t>
            </w:r>
          </w:p>
          <w:p w14:paraId="374E2A77">
            <w:pPr>
              <w:jc w:val="center"/>
              <w:rPr>
                <w:rFonts w:ascii="宋体" w:cs="宋体"/>
                <w:color w:val="000000" w:themeColor="text1"/>
                <w14:textFill>
                  <w14:solidFill>
                    <w14:schemeClr w14:val="tx1"/>
                  </w14:solidFill>
                </w14:textFill>
              </w:rPr>
            </w:pPr>
            <w:r>
              <w:rPr>
                <w:rFonts w:hint="eastAsia" w:ascii="宋体" w:cs="宋体"/>
                <w:snapToGrid w:val="0"/>
                <w:color w:val="000000" w:themeColor="text1"/>
                <w:kern w:val="0"/>
                <w:sz w:val="24"/>
                <w14:textFill>
                  <w14:solidFill>
                    <w14:schemeClr w14:val="tx1"/>
                  </w14:solidFill>
                </w14:textFill>
              </w:rPr>
              <w:t>（6分）</w:t>
            </w:r>
          </w:p>
        </w:tc>
        <w:tc>
          <w:tcPr>
            <w:tcW w:w="5821" w:type="dxa"/>
            <w:tcBorders>
              <w:left w:val="single" w:color="auto" w:sz="4" w:space="0"/>
            </w:tcBorders>
            <w:vAlign w:val="center"/>
          </w:tcPr>
          <w:p w14:paraId="4CBFE7DA">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针对本项目</w:t>
            </w:r>
            <w:r>
              <w:rPr>
                <w:rFonts w:hint="eastAsia" w:ascii="宋体" w:cs="宋体"/>
                <w:snapToGrid w:val="0"/>
                <w:color w:val="000000" w:themeColor="text1"/>
                <w:kern w:val="0"/>
                <w:sz w:val="24"/>
                <w14:textFill>
                  <w14:solidFill>
                    <w14:schemeClr w14:val="tx1"/>
                  </w14:solidFill>
                </w14:textFill>
              </w:rPr>
              <w:t>提供质量管理体系、质量保证措施、质量问题处理方案等的得6分，</w:t>
            </w:r>
            <w:r>
              <w:rPr>
                <w:rFonts w:hint="eastAsia" w:ascii="宋体" w:cs="宋体"/>
                <w:color w:val="000000" w:themeColor="text1"/>
                <w:sz w:val="24"/>
                <w14:textFill>
                  <w14:solidFill>
                    <w14:schemeClr w14:val="tx1"/>
                  </w14:solidFill>
                </w14:textFill>
              </w:rPr>
              <w:t>每缺少一项内容或内容不符合本项目实际需求的，每一项扣2分，扣完为止，不提供则不得分</w:t>
            </w:r>
            <w:r>
              <w:rPr>
                <w:rFonts w:hint="eastAsia" w:ascii="宋体" w:cs="宋体"/>
                <w:snapToGrid w:val="0"/>
                <w:color w:val="000000" w:themeColor="text1"/>
                <w:kern w:val="0"/>
                <w:sz w:val="24"/>
                <w14:textFill>
                  <w14:solidFill>
                    <w14:schemeClr w14:val="tx1"/>
                  </w14:solidFill>
                </w14:textFill>
              </w:rPr>
              <w:t>。</w:t>
            </w:r>
          </w:p>
        </w:tc>
      </w:tr>
      <w:tr w14:paraId="11D1E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446" w:type="dxa"/>
            <w:vMerge w:val="continue"/>
            <w:tcBorders>
              <w:left w:val="single" w:color="auto" w:sz="4" w:space="0"/>
            </w:tcBorders>
            <w:vAlign w:val="center"/>
          </w:tcPr>
          <w:p w14:paraId="081C3D75">
            <w:pPr>
              <w:rPr>
                <w:color w:val="000000" w:themeColor="text1"/>
                <w14:textFill>
                  <w14:solidFill>
                    <w14:schemeClr w14:val="tx1"/>
                  </w14:solidFill>
                </w14:textFill>
              </w:rPr>
            </w:pPr>
          </w:p>
        </w:tc>
        <w:tc>
          <w:tcPr>
            <w:tcW w:w="2054" w:type="dxa"/>
            <w:tcBorders>
              <w:right w:val="single" w:color="auto" w:sz="4" w:space="0"/>
            </w:tcBorders>
            <w:vAlign w:val="center"/>
          </w:tcPr>
          <w:p w14:paraId="3E6E7803">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服务保障措施</w:t>
            </w:r>
          </w:p>
          <w:p w14:paraId="2EFEE202">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（6分）</w:t>
            </w:r>
          </w:p>
        </w:tc>
        <w:tc>
          <w:tcPr>
            <w:tcW w:w="5821" w:type="dxa"/>
            <w:tcBorders>
              <w:left w:val="single" w:color="auto" w:sz="4" w:space="0"/>
            </w:tcBorders>
            <w:vAlign w:val="center"/>
          </w:tcPr>
          <w:p w14:paraId="0331352E">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针对本项目制定完善的服务保障体系与售后服务方案，完善的工作制度与项目开展服务计划得6分，每缺少一项内容或内容不符合本项目实际需求的，每一项扣2分，扣完为止，不提供则不得分。</w:t>
            </w:r>
          </w:p>
        </w:tc>
      </w:tr>
      <w:tr w14:paraId="5B618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9" w:hRule="atLeast"/>
          <w:jc w:val="center"/>
        </w:trPr>
        <w:tc>
          <w:tcPr>
            <w:tcW w:w="1446" w:type="dxa"/>
            <w:vMerge w:val="restart"/>
            <w:tcBorders>
              <w:left w:val="single" w:color="auto" w:sz="4" w:space="0"/>
            </w:tcBorders>
            <w:vAlign w:val="center"/>
          </w:tcPr>
          <w:p w14:paraId="3B8B6C58">
            <w:pPr>
              <w:autoSpaceDE w:val="0"/>
              <w:autoSpaceDN w:val="0"/>
              <w:spacing w:line="360"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商务部分</w:t>
            </w:r>
          </w:p>
          <w:p w14:paraId="6EC83E9D">
            <w:pPr>
              <w:autoSpaceDE w:val="0"/>
              <w:autoSpaceDN w:val="0"/>
              <w:spacing w:line="360" w:lineRule="auto"/>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（30分）</w:t>
            </w:r>
          </w:p>
        </w:tc>
        <w:tc>
          <w:tcPr>
            <w:tcW w:w="2054" w:type="dxa"/>
            <w:tcBorders>
              <w:right w:val="single" w:color="auto" w:sz="4" w:space="0"/>
            </w:tcBorders>
            <w:vAlign w:val="center"/>
          </w:tcPr>
          <w:p w14:paraId="1316F44A">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企业业绩</w:t>
            </w:r>
          </w:p>
          <w:p w14:paraId="72A679E5">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（6分）</w:t>
            </w:r>
          </w:p>
        </w:tc>
        <w:tc>
          <w:tcPr>
            <w:tcW w:w="5821" w:type="dxa"/>
            <w:tcBorders>
              <w:left w:val="single" w:color="auto" w:sz="4" w:space="0"/>
            </w:tcBorders>
            <w:vAlign w:val="center"/>
          </w:tcPr>
          <w:p w14:paraId="779F3D2D">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投标人自20</w:t>
            </w:r>
            <w:r>
              <w:rPr>
                <w:rFonts w:ascii="宋体" w:cs="宋体"/>
                <w:color w:val="000000" w:themeColor="text1"/>
                <w:sz w:val="24"/>
                <w14:textFill>
                  <w14:solidFill>
                    <w14:schemeClr w14:val="tx1"/>
                  </w14:solidFill>
                </w14:textFill>
              </w:rPr>
              <w:t>22</w:t>
            </w:r>
            <w:r>
              <w:rPr>
                <w:rFonts w:hint="eastAsia" w:ascii="宋体" w:cs="宋体"/>
                <w:color w:val="000000" w:themeColor="text1"/>
                <w:sz w:val="24"/>
                <w14:textFill>
                  <w14:solidFill>
                    <w14:schemeClr w14:val="tx1"/>
                  </w14:solidFill>
                </w14:textFill>
              </w:rPr>
              <w:t>年1月1日以来（以合同签订为准）承担过类似规划业绩的，每提供一个业绩得2分，此项最高得6分。</w:t>
            </w:r>
          </w:p>
          <w:p w14:paraId="32FAD245">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注：需提供合同协议书原件扫描件、中标（成交）通知书原件扫描件，不提供则不得分。</w:t>
            </w:r>
          </w:p>
        </w:tc>
      </w:tr>
      <w:tr w14:paraId="083B1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9" w:hRule="atLeast"/>
          <w:jc w:val="center"/>
        </w:trPr>
        <w:tc>
          <w:tcPr>
            <w:tcW w:w="1446" w:type="dxa"/>
            <w:vMerge w:val="continue"/>
            <w:tcBorders>
              <w:left w:val="single" w:color="auto" w:sz="4" w:space="0"/>
            </w:tcBorders>
            <w:vAlign w:val="center"/>
          </w:tcPr>
          <w:p w14:paraId="46DFDA81">
            <w:pPr>
              <w:rPr>
                <w:color w:val="000000" w:themeColor="text1"/>
                <w14:textFill>
                  <w14:solidFill>
                    <w14:schemeClr w14:val="tx1"/>
                  </w14:solidFill>
                </w14:textFill>
              </w:rPr>
            </w:pPr>
          </w:p>
        </w:tc>
        <w:tc>
          <w:tcPr>
            <w:tcW w:w="2054" w:type="dxa"/>
            <w:tcBorders>
              <w:right w:val="single" w:color="auto" w:sz="4" w:space="0"/>
            </w:tcBorders>
            <w:vAlign w:val="center"/>
          </w:tcPr>
          <w:p w14:paraId="14CE59A9">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项目组成人员</w:t>
            </w:r>
          </w:p>
          <w:p w14:paraId="4B527738">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配备</w:t>
            </w:r>
          </w:p>
          <w:p w14:paraId="35B47C7B">
            <w:pPr>
              <w:jc w:val="center"/>
              <w:rPr>
                <w:color w:val="000000" w:themeColor="text1"/>
                <w14:textFill>
                  <w14:solidFill>
                    <w14:schemeClr w14:val="tx1"/>
                  </w14:solidFill>
                </w14:textFill>
              </w:rPr>
            </w:pPr>
            <w:r>
              <w:rPr>
                <w:rFonts w:hint="eastAsia" w:ascii="宋体" w:cs="宋体"/>
                <w:color w:val="000000" w:themeColor="text1"/>
                <w:sz w:val="24"/>
                <w14:textFill>
                  <w14:solidFill>
                    <w14:schemeClr w14:val="tx1"/>
                  </w14:solidFill>
                </w14:textFill>
              </w:rPr>
              <w:t>（9分）</w:t>
            </w:r>
          </w:p>
        </w:tc>
        <w:tc>
          <w:tcPr>
            <w:tcW w:w="5821" w:type="dxa"/>
            <w:tcBorders>
              <w:left w:val="single" w:color="auto" w:sz="4" w:space="0"/>
            </w:tcBorders>
            <w:vAlign w:val="center"/>
          </w:tcPr>
          <w:p w14:paraId="68184C0E">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拟投入本项目的人员中（项目负责人除外）具有城乡规划专业高级职称或具有注册规划师的得3分，具有城乡规划专业中级职称的得1分，本项最多得</w:t>
            </w:r>
            <w:r>
              <w:rPr>
                <w:rFonts w:ascii="宋体" w:cs="宋体"/>
                <w:color w:val="000000" w:themeColor="text1"/>
                <w:sz w:val="24"/>
                <w14:textFill>
                  <w14:solidFill>
                    <w14:schemeClr w14:val="tx1"/>
                  </w14:solidFill>
                </w14:textFill>
              </w:rPr>
              <w:t>9</w:t>
            </w:r>
            <w:r>
              <w:rPr>
                <w:rFonts w:hint="eastAsia" w:ascii="宋体" w:cs="宋体"/>
                <w:color w:val="000000" w:themeColor="text1"/>
                <w:sz w:val="24"/>
                <w14:textFill>
                  <w14:solidFill>
                    <w14:schemeClr w14:val="tx1"/>
                  </w14:solidFill>
                </w14:textFill>
              </w:rPr>
              <w:t>分。</w:t>
            </w:r>
          </w:p>
          <w:p w14:paraId="072A98F8">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注：</w:t>
            </w:r>
            <w:r>
              <w:rPr>
                <w:rFonts w:ascii="宋体" w:cs="宋体"/>
                <w:color w:val="000000" w:themeColor="text1"/>
                <w:sz w:val="24"/>
                <w14:textFill>
                  <w14:solidFill>
                    <w14:schemeClr w14:val="tx1"/>
                  </w14:solidFill>
                </w14:textFill>
              </w:rPr>
              <w:t>同一项目参与人员只可参与一次得分，不可重复计算得分；</w:t>
            </w:r>
            <w:r>
              <w:rPr>
                <w:rFonts w:hint="eastAsia" w:ascii="宋体" w:cs="宋体"/>
                <w:color w:val="000000" w:themeColor="text1"/>
                <w:sz w:val="24"/>
                <w14:textFill>
                  <w14:solidFill>
                    <w14:schemeClr w14:val="tx1"/>
                  </w14:solidFill>
                </w14:textFill>
              </w:rPr>
              <w:t>提供身份证、职称证、注册证以及相关社保证明材料，</w:t>
            </w:r>
            <w:r>
              <w:rPr>
                <w:rFonts w:hint="eastAsia" w:ascii="宋体" w:cs="仿宋"/>
                <w:color w:val="000000" w:themeColor="text1"/>
                <w:sz w:val="24"/>
                <w14:textFill>
                  <w14:solidFill>
                    <w14:schemeClr w14:val="tx1"/>
                  </w14:solidFill>
                </w14:textFill>
              </w:rPr>
              <w:t>不满足上述要求的不得分</w:t>
            </w:r>
            <w:r>
              <w:rPr>
                <w:rFonts w:hint="eastAsia" w:ascii="宋体" w:cs="宋体"/>
                <w:color w:val="000000" w:themeColor="text1"/>
                <w:sz w:val="24"/>
                <w14:textFill>
                  <w14:solidFill>
                    <w14:schemeClr w14:val="tx1"/>
                  </w14:solidFill>
                </w14:textFill>
              </w:rPr>
              <w:t>。</w:t>
            </w:r>
          </w:p>
        </w:tc>
      </w:tr>
      <w:tr w14:paraId="7C6EC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9" w:hRule="atLeast"/>
          <w:jc w:val="center"/>
        </w:trPr>
        <w:tc>
          <w:tcPr>
            <w:tcW w:w="1446" w:type="dxa"/>
            <w:vMerge w:val="continue"/>
            <w:tcBorders>
              <w:left w:val="single" w:color="auto" w:sz="4" w:space="0"/>
            </w:tcBorders>
            <w:vAlign w:val="center"/>
          </w:tcPr>
          <w:p w14:paraId="5E722B4E">
            <w:pPr>
              <w:rPr>
                <w:color w:val="000000" w:themeColor="text1"/>
                <w14:textFill>
                  <w14:solidFill>
                    <w14:schemeClr w14:val="tx1"/>
                  </w14:solidFill>
                </w14:textFill>
              </w:rPr>
            </w:pPr>
          </w:p>
        </w:tc>
        <w:tc>
          <w:tcPr>
            <w:tcW w:w="2054" w:type="dxa"/>
            <w:tcBorders>
              <w:right w:val="single" w:color="auto" w:sz="4" w:space="0"/>
            </w:tcBorders>
            <w:vAlign w:val="center"/>
          </w:tcPr>
          <w:p w14:paraId="5CF42966">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服务承诺</w:t>
            </w:r>
          </w:p>
          <w:p w14:paraId="1DE514A2">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（12分）</w:t>
            </w:r>
          </w:p>
        </w:tc>
        <w:tc>
          <w:tcPr>
            <w:tcW w:w="5821" w:type="dxa"/>
            <w:tcBorders>
              <w:left w:val="single" w:color="auto" w:sz="4" w:space="0"/>
            </w:tcBorders>
            <w:vAlign w:val="center"/>
          </w:tcPr>
          <w:p w14:paraId="785557E0">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（1）在方案编制至成果提交过程中能严格遵守采购人要求，对本项目有非常明确的履约服务承诺，提供很好的跟踪优质服务的承诺得4分，缺项或者不提供或者内容不符合本项目实际需求的不得分。</w:t>
            </w:r>
          </w:p>
          <w:p w14:paraId="7D192215">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（2）承诺在招标人规定的期限内完成，并有具体的措施，包括制定详细的工作计划、优化资源配置、有效的沟通机制、审核制度及方案的得4分，缺项或者不提供或者内容不符合本项目实际需求的不得分。</w:t>
            </w:r>
          </w:p>
          <w:p w14:paraId="483D8D9E">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具有保证技术措施落实到位的承诺和落实不到位的处理承诺及不履职的承诺，其中包括各关键岗位人员项目负责人、技术负责人及项目组成员的在岗、更换等履职尽责承诺的得4分，缺项或者不提供或者内容不符合本项目实际需求的不得分。</w:t>
            </w:r>
          </w:p>
        </w:tc>
      </w:tr>
      <w:tr w14:paraId="16AAF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1446" w:type="dxa"/>
            <w:vMerge w:val="continue"/>
            <w:tcBorders>
              <w:left w:val="single" w:color="auto" w:sz="4" w:space="0"/>
            </w:tcBorders>
            <w:vAlign w:val="center"/>
          </w:tcPr>
          <w:p w14:paraId="410827DD">
            <w:pPr>
              <w:rPr>
                <w:color w:val="000000" w:themeColor="text1"/>
                <w14:textFill>
                  <w14:solidFill>
                    <w14:schemeClr w14:val="tx1"/>
                  </w14:solidFill>
                </w14:textFill>
              </w:rPr>
            </w:pPr>
          </w:p>
        </w:tc>
        <w:tc>
          <w:tcPr>
            <w:tcW w:w="2054" w:type="dxa"/>
            <w:tcBorders>
              <w:right w:val="single" w:color="auto" w:sz="4" w:space="0"/>
            </w:tcBorders>
            <w:vAlign w:val="center"/>
          </w:tcPr>
          <w:p w14:paraId="70EE31F5">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优惠承诺</w:t>
            </w:r>
          </w:p>
          <w:p w14:paraId="7CFF7AB0">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（3分）</w:t>
            </w:r>
          </w:p>
        </w:tc>
        <w:tc>
          <w:tcPr>
            <w:tcW w:w="5821" w:type="dxa"/>
            <w:tcBorders>
              <w:left w:val="single" w:color="auto" w:sz="4" w:space="0"/>
            </w:tcBorders>
            <w:vAlign w:val="center"/>
          </w:tcPr>
          <w:p w14:paraId="7012A759">
            <w:pPr>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供应商提供的其他实质性优惠条件完全符合项目需求得3分，不提供或者内容不符合本项目实际需求的不得分。</w:t>
            </w:r>
          </w:p>
        </w:tc>
      </w:tr>
    </w:tbl>
    <w:p w14:paraId="18611C6F">
      <w:pPr>
        <w:spacing w:line="360" w:lineRule="auto"/>
        <w:ind w:right="-92" w:rightChars="-44"/>
        <w:rPr>
          <w:rFonts w:ascii="宋体" w:hAnsi="宋体" w:cs="宋体"/>
          <w:b/>
          <w:color w:val="000000" w:themeColor="text1"/>
          <w:sz w:val="28"/>
          <w:szCs w:val="28"/>
          <w14:textFill>
            <w14:solidFill>
              <w14:schemeClr w14:val="tx1"/>
            </w14:solidFill>
          </w14:textFill>
        </w:rPr>
      </w:pPr>
    </w:p>
    <w:p w14:paraId="6A7B1E86">
      <w:pPr>
        <w:spacing w:line="50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最终得分为磋商小组所有成员计分的算术平均值，计算保留小数点两位，小数点后第三位四舍五入。</w:t>
      </w:r>
    </w:p>
    <w:p w14:paraId="5C762E5E">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14:paraId="47CF69D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BE633EE">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22.5若供应商的报价高于项目预算，磋商小组有权根据采购人意见及其实际情况，拒绝该报价。</w:t>
      </w:r>
    </w:p>
    <w:p w14:paraId="41A493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C10ADE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22.7在竞争性磋商期间，供应商不得向竞争性磋商小组成员询问其它供应商竞争性磋商情况，不得进行旨在影响成交结果的活动。</w:t>
      </w:r>
    </w:p>
    <w:p w14:paraId="7953BCF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22.8在竞争性磋商期间，采购人将有专门人员与供应商进行联络。</w:t>
      </w:r>
    </w:p>
    <w:p w14:paraId="3DEE315A">
      <w:pPr>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23.竞争性磋商终止</w:t>
      </w:r>
    </w:p>
    <w:p w14:paraId="7099D4CB">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23.1出现下列情形之一时，采购人有权宣布竞争性磋商终止，并将理由通知所有供应商：</w:t>
      </w:r>
    </w:p>
    <w:p w14:paraId="696C3E9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（1）因情况变化，不再符合竞争性磋商适用情形的；</w:t>
      </w:r>
    </w:p>
    <w:p w14:paraId="6F7733E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（2）出现影响采购公正的违法、违规行为的；</w:t>
      </w:r>
    </w:p>
    <w:p w14:paraId="12EF8FC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（3）在采购过程中符合磋商文件要求的供应商不足3家的；</w:t>
      </w:r>
    </w:p>
    <w:p w14:paraId="3901FA9B">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（4）在采购活动中因重大变故，采购任务取消的；</w:t>
      </w:r>
    </w:p>
    <w:p w14:paraId="09BC70C5">
      <w:pPr>
        <w:pStyle w:val="18"/>
        <w:rPr>
          <w:color w:val="000000" w:themeColor="text1"/>
          <w:sz w:val="30"/>
          <w:szCs w:val="30"/>
          <w14:textFill>
            <w14:solidFill>
              <w14:schemeClr w14:val="tx1"/>
            </w14:solidFill>
          </w14:textFill>
        </w:rPr>
      </w:pPr>
      <w:bookmarkStart w:id="42" w:name="_Toc195875471"/>
      <w:r>
        <w:rPr>
          <w:rFonts w:hint="eastAsia"/>
          <w:color w:val="000000" w:themeColor="text1"/>
          <w:sz w:val="30"/>
          <w:szCs w:val="30"/>
          <w14:textFill>
            <w14:solidFill>
              <w14:schemeClr w14:val="tx1"/>
            </w14:solidFill>
          </w14:textFill>
        </w:rPr>
        <w:t>七、成交通知</w:t>
      </w:r>
      <w:bookmarkEnd w:id="42"/>
    </w:p>
    <w:p w14:paraId="1CA45C44">
      <w:pPr>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24.成交通知</w:t>
      </w:r>
    </w:p>
    <w:p w14:paraId="380AFFD8">
      <w:pPr>
        <w:pStyle w:val="3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24.1采购人应当自收到评审报告之日起5个工作日内在评审报告推荐的中标或者成交候选人中按顺序确定中标或者成交供应商。</w:t>
      </w:r>
    </w:p>
    <w:p w14:paraId="49AA3EF3">
      <w:pPr>
        <w:tabs>
          <w:tab w:val="left" w:pos="18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24.2在发出成交公告后请采购人、中标人登录周口市公共资源交易中心网（http://jyzx.zhoukou.gov.cn）自行下载成交通知书。</w:t>
      </w:r>
    </w:p>
    <w:p w14:paraId="02B2A627">
      <w:pPr>
        <w:tabs>
          <w:tab w:val="left" w:pos="18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24.3成交通知书对采购人和成交供应商具有同等法律效力。成交通知书发出后，采购人改变成交结果，或者成交供应商放弃成交，应当承担相应的法律责任。</w:t>
      </w:r>
    </w:p>
    <w:p w14:paraId="72FB14EC">
      <w:pPr>
        <w:pStyle w:val="18"/>
        <w:rPr>
          <w:color w:val="000000" w:themeColor="text1"/>
          <w:sz w:val="30"/>
          <w:szCs w:val="30"/>
          <w14:textFill>
            <w14:solidFill>
              <w14:schemeClr w14:val="tx1"/>
            </w14:solidFill>
          </w14:textFill>
        </w:rPr>
      </w:pPr>
      <w:bookmarkStart w:id="43" w:name="_Toc195875472"/>
      <w:r>
        <w:rPr>
          <w:rFonts w:hint="eastAsia"/>
          <w:color w:val="000000" w:themeColor="text1"/>
          <w:sz w:val="30"/>
          <w:szCs w:val="30"/>
          <w14:textFill>
            <w14:solidFill>
              <w14:schemeClr w14:val="tx1"/>
            </w14:solidFill>
          </w14:textFill>
        </w:rPr>
        <w:t>八、合同授予</w:t>
      </w:r>
      <w:bookmarkEnd w:id="43"/>
    </w:p>
    <w:p w14:paraId="3A397062">
      <w:pPr>
        <w:tabs>
          <w:tab w:val="left" w:pos="1620"/>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25.签订合同及合同的执行</w:t>
      </w:r>
    </w:p>
    <w:p w14:paraId="54C7B5C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25.1采购人、成交供应商按照竞争性磋商文件确定的合同文本签订政府采购合同。</w:t>
      </w:r>
    </w:p>
    <w:p w14:paraId="54F9B4F8">
      <w:pPr>
        <w:pStyle w:val="37"/>
        <w:tabs>
          <w:tab w:val="left" w:pos="932"/>
        </w:tabs>
        <w:adjustRightInd w:val="0"/>
        <w:snapToGrid w:val="0"/>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14:paraId="024CE12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11165F1">
      <w:pPr>
        <w:pStyle w:val="3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25.4</w:t>
      </w:r>
      <w:r>
        <w:rPr>
          <w:rFonts w:hint="eastAsia" w:ascii="宋体" w:hAnsi="宋体" w:cs="宋体"/>
          <w:color w:val="000000" w:themeColor="text1"/>
          <w:sz w:val="24"/>
          <w14:textFill>
            <w14:solidFill>
              <w14:schemeClr w14:val="tx1"/>
            </w14:solidFill>
          </w14:textFill>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70BBC35B">
      <w:pPr>
        <w:pStyle w:val="18"/>
        <w:rPr>
          <w:color w:val="000000" w:themeColor="text1"/>
          <w:sz w:val="30"/>
          <w:szCs w:val="30"/>
          <w14:textFill>
            <w14:solidFill>
              <w14:schemeClr w14:val="tx1"/>
            </w14:solidFill>
          </w14:textFill>
        </w:rPr>
      </w:pPr>
      <w:bookmarkStart w:id="44" w:name="_Toc195875473"/>
      <w:r>
        <w:rPr>
          <w:rFonts w:hint="eastAsia"/>
          <w:color w:val="000000" w:themeColor="text1"/>
          <w:sz w:val="30"/>
          <w:szCs w:val="30"/>
          <w14:textFill>
            <w14:solidFill>
              <w14:schemeClr w14:val="tx1"/>
            </w14:solidFill>
          </w14:textFill>
        </w:rPr>
        <w:t>九、质疑处理</w:t>
      </w:r>
      <w:bookmarkEnd w:id="44"/>
    </w:p>
    <w:p w14:paraId="1146F48F">
      <w:pPr>
        <w:tabs>
          <w:tab w:val="left" w:pos="1620"/>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26.质疑程序及处理</w:t>
      </w:r>
    </w:p>
    <w:p w14:paraId="037E84F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w:t>
      </w:r>
      <w:r>
        <w:rPr>
          <w:rFonts w:hint="eastAsia" w:ascii="宋体" w:hAnsi="宋体" w:cs="宋体"/>
          <w:bCs/>
          <w:color w:val="000000" w:themeColor="text1"/>
          <w:sz w:val="24"/>
          <w14:textFill>
            <w14:solidFill>
              <w14:schemeClr w14:val="tx1"/>
            </w14:solidFill>
          </w14:textFill>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3AE05D81">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26.2采购人在收到供应商的书面质疑后七个工作日内做出答复，并以书面形式通知质疑供应商和其他供应商，但答复内容不得涉及商业秘密。</w:t>
      </w:r>
    </w:p>
    <w:p w14:paraId="202F6035">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w:t>
      </w:r>
      <w:r>
        <w:rPr>
          <w:rFonts w:hint="eastAsia" w:ascii="宋体" w:hAnsi="宋体" w:cs="宋体"/>
          <w:bCs/>
          <w:color w:val="000000" w:themeColor="text1"/>
          <w:sz w:val="24"/>
          <w14:textFill>
            <w14:solidFill>
              <w14:schemeClr w14:val="tx1"/>
            </w14:solidFill>
          </w14:textFill>
        </w:rPr>
        <w:t>质疑供应商行使质疑权时，必须遵守“实事求是”和“谨慎性”原则，承担使用虚假材料或恶意方式质疑的法律责任，</w:t>
      </w:r>
      <w:r>
        <w:rPr>
          <w:rFonts w:hint="eastAsia" w:ascii="宋体" w:hAnsi="宋体" w:cs="宋体"/>
          <w:color w:val="000000" w:themeColor="text1"/>
          <w:sz w:val="24"/>
          <w14:textFill>
            <w14:solidFill>
              <w14:schemeClr w14:val="tx1"/>
            </w14:solidFill>
          </w14:textFill>
        </w:rPr>
        <w:t>采购人</w:t>
      </w:r>
      <w:r>
        <w:rPr>
          <w:rFonts w:hint="eastAsia" w:ascii="宋体" w:hAnsi="宋体" w:cs="宋体"/>
          <w:bCs/>
          <w:color w:val="000000" w:themeColor="text1"/>
          <w:sz w:val="24"/>
          <w14:textFill>
            <w14:solidFill>
              <w14:schemeClr w14:val="tx1"/>
            </w14:solidFill>
          </w14:textFill>
        </w:rPr>
        <w:t>将遵循“谁过错谁负担”的原则，由过错方提交相关的调查论证费用。</w:t>
      </w:r>
    </w:p>
    <w:p w14:paraId="220055E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69A40127">
      <w:pPr>
        <w:spacing w:line="500" w:lineRule="exact"/>
        <w:rPr>
          <w:rFonts w:ascii="宋体" w:hAnsi="宋体" w:cs="宋体"/>
          <w:color w:val="000000" w:themeColor="text1"/>
          <w:sz w:val="24"/>
          <w14:textFill>
            <w14:solidFill>
              <w14:schemeClr w14:val="tx1"/>
            </w14:solidFill>
          </w14:textFill>
        </w:rPr>
      </w:pPr>
    </w:p>
    <w:p w14:paraId="624D4BC1">
      <w:pPr>
        <w:spacing w:line="500" w:lineRule="exact"/>
        <w:rPr>
          <w:rFonts w:ascii="宋体" w:hAnsi="宋体" w:cs="宋体"/>
          <w:color w:val="000000" w:themeColor="text1"/>
          <w:sz w:val="24"/>
          <w14:textFill>
            <w14:solidFill>
              <w14:schemeClr w14:val="tx1"/>
            </w14:solidFill>
          </w14:textFill>
        </w:rPr>
        <w:sectPr>
          <w:headerReference r:id="rId3" w:type="default"/>
          <w:footerReference r:id="rId4" w:type="default"/>
          <w:pgSz w:w="11907" w:h="16840"/>
          <w:pgMar w:top="1440" w:right="1080" w:bottom="1440" w:left="1080" w:header="510" w:footer="0" w:gutter="0"/>
          <w:cols w:space="720" w:num="1"/>
          <w:docGrid w:type="lines" w:linePitch="312" w:charSpace="0"/>
        </w:sectPr>
      </w:pPr>
    </w:p>
    <w:p w14:paraId="3A732529">
      <w:pPr>
        <w:pStyle w:val="22"/>
        <w:rPr>
          <w:color w:val="000000" w:themeColor="text1"/>
          <w:sz w:val="30"/>
          <w:szCs w:val="30"/>
          <w14:textFill>
            <w14:solidFill>
              <w14:schemeClr w14:val="tx1"/>
            </w14:solidFill>
          </w14:textFill>
        </w:rPr>
      </w:pPr>
      <w:bookmarkStart w:id="45" w:name="_Toc195875474"/>
      <w:r>
        <w:rPr>
          <w:rFonts w:hint="eastAsia"/>
          <w:color w:val="000000" w:themeColor="text1"/>
          <w:sz w:val="30"/>
          <w:szCs w:val="30"/>
          <w14:textFill>
            <w14:solidFill>
              <w14:schemeClr w14:val="tx1"/>
            </w14:solidFill>
          </w14:textFill>
        </w:rPr>
        <w:t>第三章 采购项目内容及要求</w:t>
      </w:r>
      <w:bookmarkEnd w:id="45"/>
    </w:p>
    <w:p w14:paraId="77FCD4B8">
      <w:pPr>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（1）技术要求</w:t>
      </w:r>
    </w:p>
    <w:p w14:paraId="39799267">
      <w:pPr>
        <w:autoSpaceDE w:val="0"/>
        <w:autoSpaceDN w:val="0"/>
        <w:spacing w:line="360" w:lineRule="auto"/>
        <w:ind w:firstLine="560" w:firstLineChars="200"/>
        <w:jc w:val="left"/>
        <w:rPr>
          <w:rFonts w:ascii="宋体" w:hAnsi="宋体" w:cs="宋体"/>
          <w:color w:val="000000" w:themeColor="text1"/>
          <w:kern w:val="0"/>
          <w:sz w:val="28"/>
          <w:szCs w:val="28"/>
          <w:lang w:val="zh-CN" w:bidi="zh-CN"/>
          <w14:textFill>
            <w14:solidFill>
              <w14:schemeClr w14:val="tx1"/>
            </w14:solidFill>
          </w14:textFill>
        </w:rPr>
      </w:pPr>
      <w:r>
        <w:rPr>
          <w:rFonts w:ascii="宋体" w:hAnsi="宋体" w:cs="宋体"/>
          <w:color w:val="000000" w:themeColor="text1"/>
          <w:kern w:val="0"/>
          <w:sz w:val="28"/>
          <w:szCs w:val="28"/>
          <w:lang w:val="zh-CN" w:bidi="zh-CN"/>
          <w14:textFill>
            <w14:solidFill>
              <w14:schemeClr w14:val="tx1"/>
            </w14:solidFill>
          </w14:textFill>
        </w:rPr>
        <w:t>一、项目背景</w:t>
      </w:r>
    </w:p>
    <w:p w14:paraId="07F24121">
      <w:pPr>
        <w:autoSpaceDE w:val="0"/>
        <w:autoSpaceDN w:val="0"/>
        <w:spacing w:line="360" w:lineRule="auto"/>
        <w:ind w:firstLine="560" w:firstLineChars="200"/>
        <w:jc w:val="left"/>
        <w:rPr>
          <w:rFonts w:ascii="宋体" w:hAnsi="宋体" w:cs="宋体"/>
          <w:color w:val="000000" w:themeColor="text1"/>
          <w:kern w:val="0"/>
          <w:sz w:val="28"/>
          <w:szCs w:val="28"/>
          <w:lang w:val="zh-CN" w:bidi="zh-CN"/>
          <w14:textFill>
            <w14:solidFill>
              <w14:schemeClr w14:val="tx1"/>
            </w14:solidFill>
          </w14:textFill>
        </w:rPr>
      </w:pPr>
      <w:r>
        <w:rPr>
          <w:rFonts w:ascii="宋体" w:hAnsi="宋体" w:cs="宋体"/>
          <w:color w:val="000000" w:themeColor="text1"/>
          <w:kern w:val="0"/>
          <w:sz w:val="28"/>
          <w:szCs w:val="28"/>
          <w:lang w:val="zh-CN" w:bidi="zh-CN"/>
          <w14:textFill>
            <w14:solidFill>
              <w14:schemeClr w14:val="tx1"/>
            </w14:solidFill>
          </w14:textFill>
        </w:rPr>
        <w:t>为贯彻落实生态文明建设要求,衔接区域发展战略,落实</w:t>
      </w:r>
      <w:r>
        <w:rPr>
          <w:rFonts w:hint="eastAsia" w:ascii="宋体" w:hAnsi="宋体" w:cs="宋体"/>
          <w:color w:val="000000" w:themeColor="text1"/>
          <w:kern w:val="0"/>
          <w:sz w:val="28"/>
          <w:szCs w:val="28"/>
          <w:lang w:val="zh-CN" w:bidi="zh-CN"/>
          <w14:textFill>
            <w14:solidFill>
              <w14:schemeClr w14:val="tx1"/>
            </w14:solidFill>
          </w14:textFill>
        </w:rPr>
        <w:t>国土空间总体</w:t>
      </w:r>
      <w:r>
        <w:rPr>
          <w:rFonts w:ascii="宋体" w:hAnsi="宋体" w:cs="宋体"/>
          <w:color w:val="000000" w:themeColor="text1"/>
          <w:kern w:val="0"/>
          <w:sz w:val="28"/>
          <w:szCs w:val="28"/>
          <w:lang w:val="zh-CN" w:bidi="zh-CN"/>
          <w14:textFill>
            <w14:solidFill>
              <w14:schemeClr w14:val="tx1"/>
            </w14:solidFill>
          </w14:textFill>
        </w:rPr>
        <w:t>规划任务</w:t>
      </w:r>
      <w:bookmarkStart w:id="46" w:name="OLE_LINK6"/>
      <w:r>
        <w:rPr>
          <w:rFonts w:hint="eastAsia" w:ascii="宋体" w:hAnsi="宋体" w:cs="宋体"/>
          <w:color w:val="000000" w:themeColor="text1"/>
          <w:kern w:val="0"/>
          <w:sz w:val="28"/>
          <w:szCs w:val="28"/>
          <w:lang w:val="zh-CN" w:bidi="zh-CN"/>
          <w14:textFill>
            <w14:solidFill>
              <w14:schemeClr w14:val="tx1"/>
            </w14:solidFill>
          </w14:textFill>
        </w:rPr>
        <w:t>，按照</w:t>
      </w:r>
      <w:bookmarkStart w:id="47" w:name="OLE_LINK3"/>
      <w:bookmarkStart w:id="48" w:name="OLE_LINK4"/>
      <w:r>
        <w:rPr>
          <w:rFonts w:hint="eastAsia"/>
          <w:color w:val="000000" w:themeColor="text1"/>
          <w:kern w:val="0"/>
          <w:sz w:val="28"/>
          <w:szCs w:val="28"/>
          <w:lang w:val="zh-CN" w:bidi="zh-CN"/>
          <w14:textFill>
            <w14:solidFill>
              <w14:schemeClr w14:val="tx1"/>
            </w14:solidFill>
          </w14:textFill>
        </w:rPr>
        <w:t>《河南省自然资源厅办公室关于开展“十五五”国土空间生态修复规划编制工作的通知》</w:t>
      </w:r>
      <w:bookmarkEnd w:id="47"/>
      <w:bookmarkEnd w:id="48"/>
      <w:r>
        <w:rPr>
          <w:rFonts w:hint="eastAsia"/>
          <w:color w:val="000000" w:themeColor="text1"/>
          <w:kern w:val="0"/>
          <w:sz w:val="28"/>
          <w:szCs w:val="28"/>
          <w:lang w:val="zh-CN" w:bidi="zh-CN"/>
          <w14:textFill>
            <w14:solidFill>
              <w14:schemeClr w14:val="tx1"/>
            </w14:solidFill>
          </w14:textFill>
        </w:rPr>
        <w:t>（豫自然资办函〔</w:t>
      </w:r>
      <w:r>
        <w:rPr>
          <w:color w:val="000000" w:themeColor="text1"/>
          <w:kern w:val="0"/>
          <w:sz w:val="28"/>
          <w:szCs w:val="28"/>
          <w:lang w:val="zh-CN" w:bidi="zh-CN"/>
          <w14:textFill>
            <w14:solidFill>
              <w14:schemeClr w14:val="tx1"/>
            </w14:solidFill>
          </w14:textFill>
        </w:rPr>
        <w:t>2025</w:t>
      </w:r>
      <w:r>
        <w:rPr>
          <w:rFonts w:hint="eastAsia"/>
          <w:color w:val="000000" w:themeColor="text1"/>
          <w:kern w:val="0"/>
          <w:sz w:val="28"/>
          <w:szCs w:val="28"/>
          <w:lang w:val="zh-CN" w:bidi="zh-CN"/>
          <w14:textFill>
            <w14:solidFill>
              <w14:schemeClr w14:val="tx1"/>
            </w14:solidFill>
          </w14:textFill>
        </w:rPr>
        <w:t>〕</w:t>
      </w:r>
      <w:r>
        <w:rPr>
          <w:color w:val="000000" w:themeColor="text1"/>
          <w:kern w:val="0"/>
          <w:sz w:val="28"/>
          <w:szCs w:val="28"/>
          <w:lang w:val="zh-CN" w:bidi="zh-CN"/>
          <w14:textFill>
            <w14:solidFill>
              <w14:schemeClr w14:val="tx1"/>
            </w14:solidFill>
          </w14:textFill>
        </w:rPr>
        <w:t>75</w:t>
      </w:r>
      <w:r>
        <w:rPr>
          <w:rFonts w:hint="eastAsia"/>
          <w:color w:val="000000" w:themeColor="text1"/>
          <w:kern w:val="0"/>
          <w:sz w:val="28"/>
          <w:szCs w:val="28"/>
          <w:lang w:val="zh-CN" w:bidi="zh-CN"/>
          <w14:textFill>
            <w14:solidFill>
              <w14:schemeClr w14:val="tx1"/>
            </w14:solidFill>
          </w14:textFill>
        </w:rPr>
        <w:t>号）</w:t>
      </w:r>
      <w:bookmarkEnd w:id="46"/>
      <w:r>
        <w:rPr>
          <w:rFonts w:ascii="宋体" w:hAnsi="宋体" w:cs="宋体"/>
          <w:color w:val="000000" w:themeColor="text1"/>
          <w:kern w:val="0"/>
          <w:sz w:val="28"/>
          <w:szCs w:val="28"/>
          <w:lang w:val="zh-CN" w:bidi="zh-CN"/>
          <w14:textFill>
            <w14:solidFill>
              <w14:schemeClr w14:val="tx1"/>
            </w14:solidFill>
          </w14:textFill>
        </w:rPr>
        <w:t>文件要求，开展</w:t>
      </w:r>
      <w:r>
        <w:rPr>
          <w:rFonts w:hint="eastAsia" w:ascii="宋体" w:hAnsi="宋体" w:cs="宋体"/>
          <w:color w:val="000000" w:themeColor="text1"/>
          <w:kern w:val="0"/>
          <w:sz w:val="28"/>
          <w:szCs w:val="28"/>
          <w:lang w:val="zh-CN" w:bidi="zh-CN"/>
          <w14:textFill>
            <w14:solidFill>
              <w14:schemeClr w14:val="tx1"/>
            </w14:solidFill>
          </w14:textFill>
        </w:rPr>
        <w:t>项城市“十五五”</w:t>
      </w:r>
      <w:r>
        <w:rPr>
          <w:rFonts w:ascii="宋体" w:hAnsi="宋体" w:cs="宋体"/>
          <w:color w:val="000000" w:themeColor="text1"/>
          <w:kern w:val="0"/>
          <w:sz w:val="28"/>
          <w:szCs w:val="28"/>
          <w:lang w:val="zh-CN" w:bidi="zh-CN"/>
          <w14:textFill>
            <w14:solidFill>
              <w14:schemeClr w14:val="tx1"/>
            </w14:solidFill>
          </w14:textFill>
        </w:rPr>
        <w:t>国土空间生态修复规划编制工作。</w:t>
      </w:r>
    </w:p>
    <w:p w14:paraId="73B93BF1">
      <w:pPr>
        <w:autoSpaceDE w:val="0"/>
        <w:autoSpaceDN w:val="0"/>
        <w:spacing w:line="360" w:lineRule="auto"/>
        <w:ind w:firstLine="560" w:firstLineChars="200"/>
        <w:jc w:val="left"/>
        <w:rPr>
          <w:rFonts w:ascii="宋体" w:hAnsi="宋体" w:cs="宋体"/>
          <w:color w:val="000000" w:themeColor="text1"/>
          <w:kern w:val="0"/>
          <w:sz w:val="28"/>
          <w:szCs w:val="28"/>
          <w:lang w:val="zh-CN" w:bidi="zh-CN"/>
          <w14:textFill>
            <w14:solidFill>
              <w14:schemeClr w14:val="tx1"/>
            </w14:solidFill>
          </w14:textFill>
        </w:rPr>
      </w:pPr>
      <w:r>
        <w:rPr>
          <w:rFonts w:ascii="宋体" w:hAnsi="宋体" w:cs="宋体"/>
          <w:color w:val="000000" w:themeColor="text1"/>
          <w:kern w:val="0"/>
          <w:sz w:val="28"/>
          <w:szCs w:val="28"/>
          <w:lang w:val="zh-CN" w:bidi="zh-CN"/>
          <w14:textFill>
            <w14:solidFill>
              <w14:schemeClr w14:val="tx1"/>
            </w14:solidFill>
          </w14:textFill>
        </w:rPr>
        <w:t>二、工作内容</w:t>
      </w:r>
    </w:p>
    <w:p w14:paraId="243D8C28">
      <w:pPr>
        <w:autoSpaceDE w:val="0"/>
        <w:autoSpaceDN w:val="0"/>
        <w:spacing w:line="360" w:lineRule="auto"/>
        <w:ind w:firstLine="560" w:firstLineChars="200"/>
        <w:jc w:val="left"/>
        <w:rPr>
          <w:rFonts w:ascii="宋体" w:hAnsi="宋体" w:cs="宋体"/>
          <w:color w:val="000000" w:themeColor="text1"/>
          <w:kern w:val="0"/>
          <w:sz w:val="28"/>
          <w:szCs w:val="28"/>
          <w:lang w:val="zh-CN" w:bidi="zh-CN"/>
          <w14:textFill>
            <w14:solidFill>
              <w14:schemeClr w14:val="tx1"/>
            </w14:solidFill>
          </w14:textFill>
        </w:rPr>
      </w:pPr>
      <w:r>
        <w:rPr>
          <w:rFonts w:ascii="宋体" w:hAnsi="宋体" w:cs="宋体"/>
          <w:color w:val="000000" w:themeColor="text1"/>
          <w:kern w:val="0"/>
          <w:sz w:val="28"/>
          <w:szCs w:val="28"/>
          <w:lang w:val="zh-CN" w:bidi="zh-CN"/>
          <w14:textFill>
            <w14:solidFill>
              <w14:schemeClr w14:val="tx1"/>
            </w14:solidFill>
          </w14:textFill>
        </w:rPr>
        <w:t>坚持生态优先、绿色发展原则，编制国土空间生态修复规划，贯彻上级党委政府的相关要求，衔接区域发展战略，细化落实上位规划明确的生态修复任务。</w:t>
      </w:r>
      <w:bookmarkStart w:id="49" w:name="OLE_LINK2"/>
      <w:bookmarkStart w:id="50" w:name="OLE_LINK1"/>
      <w:r>
        <w:rPr>
          <w:rFonts w:ascii="宋体" w:hAnsi="宋体" w:cs="宋体"/>
          <w:color w:val="000000" w:themeColor="text1"/>
          <w:kern w:val="0"/>
          <w:sz w:val="28"/>
          <w:szCs w:val="28"/>
          <w:lang w:val="zh-CN" w:bidi="zh-CN"/>
          <w14:textFill>
            <w14:solidFill>
              <w14:schemeClr w14:val="tx1"/>
            </w14:solidFill>
          </w14:textFill>
        </w:rPr>
        <w:t>基于生态系统演替规律和内在机</w:t>
      </w:r>
      <w:bookmarkEnd w:id="49"/>
      <w:bookmarkEnd w:id="50"/>
      <w:r>
        <w:rPr>
          <w:rFonts w:ascii="宋体" w:hAnsi="宋体" w:cs="宋体"/>
          <w:color w:val="000000" w:themeColor="text1"/>
          <w:kern w:val="0"/>
          <w:sz w:val="28"/>
          <w:szCs w:val="28"/>
          <w:lang w:val="zh-CN" w:bidi="zh-CN"/>
          <w14:textFill>
            <w14:solidFill>
              <w14:schemeClr w14:val="tx1"/>
            </w14:solidFill>
          </w14:textFill>
        </w:rPr>
        <w:t>理，结合气候变化和人类活动影响，</w:t>
      </w:r>
      <w:r>
        <w:rPr>
          <w:rFonts w:hint="eastAsia" w:ascii="宋体" w:hAnsi="宋体" w:cs="宋体"/>
          <w:color w:val="000000" w:themeColor="text1"/>
          <w:kern w:val="0"/>
          <w:sz w:val="28"/>
          <w:szCs w:val="28"/>
          <w:lang w:val="zh-CN" w:bidi="zh-CN"/>
          <w14:textFill>
            <w14:solidFill>
              <w14:schemeClr w14:val="tx1"/>
            </w14:solidFill>
          </w14:textFill>
        </w:rPr>
        <w:t>在做好本底调查和充分利用现有相关成果资料的基础上，</w:t>
      </w:r>
      <w:r>
        <w:rPr>
          <w:rFonts w:ascii="宋体" w:hAnsi="宋体" w:cs="宋体"/>
          <w:color w:val="000000" w:themeColor="text1"/>
          <w:kern w:val="0"/>
          <w:sz w:val="28"/>
          <w:szCs w:val="28"/>
          <w:lang w:val="zh-CN" w:bidi="zh-CN"/>
          <w14:textFill>
            <w14:solidFill>
              <w14:schemeClr w14:val="tx1"/>
            </w14:solidFill>
          </w14:textFill>
        </w:rPr>
        <w:t>识别区域生态问题，预判重大生态风险。谋划市域生态修</w:t>
      </w:r>
      <w:r>
        <w:rPr>
          <w:rFonts w:hint="eastAsia" w:ascii="宋体" w:hAnsi="宋体" w:cs="宋体"/>
          <w:color w:val="000000" w:themeColor="text1"/>
          <w:kern w:val="0"/>
          <w:sz w:val="28"/>
          <w:szCs w:val="28"/>
          <w:lang w:val="zh-CN" w:bidi="zh-CN"/>
          <w14:textFill>
            <w14:solidFill>
              <w14:schemeClr w14:val="tx1"/>
            </w14:solidFill>
          </w14:textFill>
        </w:rPr>
        <w:t>复总体布局，实行国土空间整体保护、系统修复、综合治理，推进山水林田湖草沙一体化保护修复和全域土地综合整治。明确市域生态修复目标任务，确定生态修复重点区域、重大工程和重点项目，推进解决生态、农业、城镇空间突出生态问题，严守生态保护红线和耕地保护红线，筑牢生态安全屏障。提出规划实施的保障措施，建立多部门参与的统筹协调机制，解决编制中遇到的重大问题。</w:t>
      </w:r>
    </w:p>
    <w:p w14:paraId="68369AE4">
      <w:pPr>
        <w:autoSpaceDE w:val="0"/>
        <w:autoSpaceDN w:val="0"/>
        <w:spacing w:line="360" w:lineRule="auto"/>
        <w:ind w:firstLine="560" w:firstLineChars="200"/>
        <w:jc w:val="left"/>
        <w:rPr>
          <w:rFonts w:ascii="宋体" w:hAnsi="宋体" w:cs="宋体"/>
          <w:color w:val="000000" w:themeColor="text1"/>
          <w:kern w:val="0"/>
          <w:sz w:val="28"/>
          <w:szCs w:val="28"/>
          <w:lang w:val="zh-CN" w:bidi="zh-CN"/>
          <w14:textFill>
            <w14:solidFill>
              <w14:schemeClr w14:val="tx1"/>
            </w14:solidFill>
          </w14:textFill>
        </w:rPr>
      </w:pPr>
      <w:r>
        <w:rPr>
          <w:rFonts w:hint="eastAsia" w:ascii="宋体" w:hAnsi="宋体" w:cs="宋体"/>
          <w:color w:val="000000" w:themeColor="text1"/>
          <w:kern w:val="0"/>
          <w:sz w:val="28"/>
          <w:szCs w:val="28"/>
          <w:lang w:val="zh-CN" w:bidi="zh-CN"/>
          <w14:textFill>
            <w14:solidFill>
              <w14:schemeClr w14:val="tx1"/>
            </w14:solidFill>
          </w14:textFill>
        </w:rPr>
        <w:t>三</w:t>
      </w:r>
      <w:r>
        <w:rPr>
          <w:rFonts w:ascii="宋体" w:hAnsi="宋体" w:cs="宋体"/>
          <w:color w:val="000000" w:themeColor="text1"/>
          <w:kern w:val="0"/>
          <w:sz w:val="28"/>
          <w:szCs w:val="28"/>
          <w:lang w:val="zh-CN" w:bidi="zh-CN"/>
          <w14:textFill>
            <w14:solidFill>
              <w14:schemeClr w14:val="tx1"/>
            </w14:solidFill>
          </w14:textFill>
        </w:rPr>
        <w:t>、质量标准</w:t>
      </w:r>
    </w:p>
    <w:p w14:paraId="11E11E28">
      <w:pPr>
        <w:autoSpaceDE w:val="0"/>
        <w:autoSpaceDN w:val="0"/>
        <w:spacing w:line="360" w:lineRule="auto"/>
        <w:ind w:firstLine="560" w:firstLineChars="200"/>
        <w:jc w:val="left"/>
        <w:rPr>
          <w:rFonts w:ascii="宋体" w:hAnsi="宋体" w:cs="宋体"/>
          <w:color w:val="000000" w:themeColor="text1"/>
          <w:kern w:val="0"/>
          <w:sz w:val="28"/>
          <w:szCs w:val="28"/>
          <w:lang w:val="zh-CN" w:bidi="zh-CN"/>
          <w14:textFill>
            <w14:solidFill>
              <w14:schemeClr w14:val="tx1"/>
            </w14:solidFill>
          </w14:textFill>
        </w:rPr>
      </w:pPr>
      <w:r>
        <w:rPr>
          <w:rFonts w:ascii="宋体" w:hAnsi="宋体" w:cs="宋体"/>
          <w:color w:val="000000" w:themeColor="text1"/>
          <w:kern w:val="0"/>
          <w:sz w:val="28"/>
          <w:szCs w:val="28"/>
          <w:lang w:val="zh-CN" w:bidi="zh-CN"/>
          <w14:textFill>
            <w14:solidFill>
              <w14:schemeClr w14:val="tx1"/>
            </w14:solidFill>
          </w14:textFill>
        </w:rPr>
        <w:t>符合</w:t>
      </w:r>
      <w:r>
        <w:rPr>
          <w:rFonts w:hint="eastAsia"/>
          <w:color w:val="000000" w:themeColor="text1"/>
          <w:kern w:val="0"/>
          <w:sz w:val="28"/>
          <w:szCs w:val="28"/>
          <w:lang w:val="zh-CN" w:bidi="zh-CN"/>
          <w14:textFill>
            <w14:solidFill>
              <w14:schemeClr w14:val="tx1"/>
            </w14:solidFill>
          </w14:textFill>
        </w:rPr>
        <w:t>《河南省自然资源厅办公室关于开展“十五五”国土空间生态修复规划编制工作的通知》和《河南省自然资源厅办公室关于印发</w:t>
      </w:r>
      <w:r>
        <w:rPr>
          <w:rFonts w:hint="eastAsia" w:ascii="宋体" w:hAnsi="宋体"/>
          <w:color w:val="000000" w:themeColor="text1"/>
          <w:kern w:val="0"/>
          <w:sz w:val="28"/>
          <w:szCs w:val="28"/>
          <w:lang w:val="zh-CN" w:bidi="zh-CN"/>
          <w14:textFill>
            <w14:solidFill>
              <w14:schemeClr w14:val="tx1"/>
            </w14:solidFill>
          </w14:textFill>
        </w:rPr>
        <w:t>〈</w:t>
      </w:r>
      <w:r>
        <w:rPr>
          <w:rFonts w:hint="eastAsia"/>
          <w:color w:val="000000" w:themeColor="text1"/>
          <w:kern w:val="0"/>
          <w:sz w:val="28"/>
          <w:szCs w:val="28"/>
          <w:lang w:val="zh-CN" w:bidi="zh-CN"/>
          <w14:textFill>
            <w14:solidFill>
              <w14:schemeClr w14:val="tx1"/>
            </w14:solidFill>
          </w14:textFill>
        </w:rPr>
        <w:t>河南省市县级国土空间生态修复规划编制指南（试行）</w:t>
      </w:r>
      <w:r>
        <w:rPr>
          <w:rFonts w:hint="eastAsia" w:ascii="宋体" w:hAnsi="宋体"/>
          <w:color w:val="000000" w:themeColor="text1"/>
          <w:kern w:val="0"/>
          <w:sz w:val="28"/>
          <w:szCs w:val="28"/>
          <w:lang w:val="zh-CN" w:bidi="zh-CN"/>
          <w14:textFill>
            <w14:solidFill>
              <w14:schemeClr w14:val="tx1"/>
            </w14:solidFill>
          </w14:textFill>
        </w:rPr>
        <w:t>〉</w:t>
      </w:r>
      <w:r>
        <w:rPr>
          <w:rFonts w:hint="eastAsia"/>
          <w:color w:val="000000" w:themeColor="text1"/>
          <w:kern w:val="0"/>
          <w:sz w:val="28"/>
          <w:szCs w:val="28"/>
          <w:lang w:val="zh-CN" w:bidi="zh-CN"/>
          <w14:textFill>
            <w14:solidFill>
              <w14:schemeClr w14:val="tx1"/>
            </w14:solidFill>
          </w14:textFill>
        </w:rPr>
        <w:t>的通知》要求</w:t>
      </w:r>
      <w:r>
        <w:rPr>
          <w:rFonts w:ascii="宋体" w:hAnsi="宋体" w:cs="宋体"/>
          <w:color w:val="000000" w:themeColor="text1"/>
          <w:kern w:val="0"/>
          <w:sz w:val="28"/>
          <w:szCs w:val="28"/>
          <w:lang w:val="zh-CN" w:bidi="zh-CN"/>
          <w14:textFill>
            <w14:solidFill>
              <w14:schemeClr w14:val="tx1"/>
            </w14:solidFill>
          </w14:textFill>
        </w:rPr>
        <w:t>。</w:t>
      </w:r>
    </w:p>
    <w:p w14:paraId="79525D2F">
      <w:pPr>
        <w:spacing w:line="50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（2）商务要求</w:t>
      </w:r>
    </w:p>
    <w:p w14:paraId="67CDDC5E">
      <w:pPr>
        <w:spacing w:line="50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服务期限：合同签订后90日历天</w:t>
      </w:r>
    </w:p>
    <w:p w14:paraId="5F8BEB92">
      <w:pPr>
        <w:spacing w:line="50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 xml:space="preserve">服务地点：项城市 </w:t>
      </w:r>
    </w:p>
    <w:p w14:paraId="15D92FAF">
      <w:pPr>
        <w:spacing w:line="50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付款方式：合同签订完成后10日内支付预付款60%，规划成果经专家论证完善后支付剩余的40%，具体以最终合同签订为准。</w:t>
      </w:r>
    </w:p>
    <w:p w14:paraId="480718C7">
      <w:pPr>
        <w:spacing w:line="50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4质量要求：研究成果符合国家、省、市现行有关规范、标准规定以及采购人预期要求，按照要求时限保质保量完成。</w:t>
      </w:r>
      <w:r>
        <w:rPr>
          <w:rFonts w:ascii="仿宋" w:hAnsi="仿宋" w:eastAsia="仿宋"/>
          <w:color w:val="000000" w:themeColor="text1"/>
          <w:sz w:val="32"/>
          <w:szCs w:val="32"/>
          <w14:textFill>
            <w14:solidFill>
              <w14:schemeClr w14:val="tx1"/>
            </w14:solidFill>
          </w14:textFill>
        </w:rPr>
        <w:t xml:space="preserve"> </w:t>
      </w:r>
    </w:p>
    <w:p w14:paraId="65258E1F">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6CCA15D9">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26B5D0C4">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2816C646">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0CC12175">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682D378E">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29B92950">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3F72BD07">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2FCA7CA7">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061CD49C">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1B151228">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126645D3">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78917974">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7FED541E">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4EC10233">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1FB516D4">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7DC4A057">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7B4828E8">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1A563D80">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54E42D48">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79821CA8">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0F924BF9">
      <w:pPr>
        <w:spacing w:line="50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p>
    <w:p w14:paraId="483FE124">
      <w:pPr>
        <w:spacing w:line="500" w:lineRule="exact"/>
        <w:ind w:firstLine="640" w:firstLineChars="200"/>
        <w:jc w:val="left"/>
        <w:rPr>
          <w:rFonts w:ascii="仿宋" w:hAnsi="仿宋" w:eastAsia="仿宋"/>
          <w:color w:val="000000" w:themeColor="text1"/>
          <w:sz w:val="32"/>
          <w:szCs w:val="32"/>
          <w14:textFill>
            <w14:solidFill>
              <w14:schemeClr w14:val="tx1"/>
            </w14:solidFill>
          </w14:textFill>
        </w:rPr>
      </w:pPr>
    </w:p>
    <w:p w14:paraId="5F3CC24A">
      <w:pPr>
        <w:rPr>
          <w:color w:val="000000" w:themeColor="text1"/>
          <w14:textFill>
            <w14:solidFill>
              <w14:schemeClr w14:val="tx1"/>
            </w14:solidFill>
          </w14:textFill>
        </w:rPr>
      </w:pPr>
    </w:p>
    <w:p w14:paraId="03F6B619">
      <w:pPr>
        <w:pStyle w:val="22"/>
        <w:rPr>
          <w:color w:val="000000" w:themeColor="text1"/>
          <w:sz w:val="30"/>
          <w:szCs w:val="30"/>
          <w14:textFill>
            <w14:solidFill>
              <w14:schemeClr w14:val="tx1"/>
            </w14:solidFill>
          </w14:textFill>
        </w:rPr>
      </w:pPr>
      <w:bookmarkStart w:id="51" w:name="_Toc195875475"/>
      <w:r>
        <w:rPr>
          <w:rFonts w:hint="eastAsia"/>
          <w:color w:val="000000" w:themeColor="text1"/>
          <w:sz w:val="30"/>
          <w:szCs w:val="30"/>
          <w14:textFill>
            <w14:solidFill>
              <w14:schemeClr w14:val="tx1"/>
            </w14:solidFill>
          </w14:textFill>
        </w:rPr>
        <w:t>第四章  响应性文件内容及格式</w:t>
      </w:r>
      <w:bookmarkEnd w:id="51"/>
    </w:p>
    <w:p w14:paraId="4D579ADA">
      <w:pPr>
        <w:widowControl/>
        <w:spacing w:line="520" w:lineRule="exact"/>
        <w:ind w:firstLine="480" w:firstLineChars="200"/>
        <w:jc w:val="center"/>
        <w:rPr>
          <w:rFonts w:ascii="宋体" w:hAnsi="宋体" w:cs="宋体"/>
          <w:color w:val="000000" w:themeColor="text1"/>
          <w:sz w:val="24"/>
          <w14:textFill>
            <w14:solidFill>
              <w14:schemeClr w14:val="tx1"/>
            </w14:solidFill>
          </w14:textFill>
        </w:rPr>
      </w:pPr>
    </w:p>
    <w:p w14:paraId="252AA64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注：请供应商按照以下文件的要求格式、内容，顺序制作响应性文件，并编制目录及页码，否则可能将影响对响应性文件的评价。 </w:t>
      </w:r>
    </w:p>
    <w:p w14:paraId="2A665761">
      <w:pPr>
        <w:spacing w:line="5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重要提示：</w:t>
      </w:r>
    </w:p>
    <w:p w14:paraId="37884740">
      <w:pPr>
        <w:snapToGri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1．供应商在编制响应性文件时，对于给定格式的文件内容，必须按照给定的标准格式进行填报；对于没有给定标准格式的文件内容，可以由供应商自行设计。</w:t>
      </w:r>
    </w:p>
    <w:p w14:paraId="52FC1566">
      <w:pPr>
        <w:snapToGrid w:val="0"/>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2.法定代表人本人参加竞争性磋商的，不需提供授权委托书。</w:t>
      </w:r>
    </w:p>
    <w:p w14:paraId="680E522B">
      <w:pPr>
        <w:snapToGrid w:val="0"/>
        <w:spacing w:line="560" w:lineRule="exact"/>
        <w:ind w:firstLine="480" w:firstLineChars="200"/>
        <w:rPr>
          <w:rFonts w:ascii="宋体" w:hAnsi="宋体" w:cs="宋体"/>
          <w:color w:val="000000" w:themeColor="text1"/>
          <w:sz w:val="24"/>
          <w14:textFill>
            <w14:solidFill>
              <w14:schemeClr w14:val="tx1"/>
            </w14:solidFill>
          </w14:textFill>
        </w:rPr>
      </w:pPr>
    </w:p>
    <w:p w14:paraId="6851B49D">
      <w:pPr>
        <w:snapToGrid w:val="0"/>
        <w:jc w:val="left"/>
        <w:rPr>
          <w:rFonts w:ascii="宋体" w:hAnsi="宋体" w:cs="宋体"/>
          <w:color w:val="000000" w:themeColor="text1"/>
          <w:sz w:val="24"/>
          <w14:textFill>
            <w14:solidFill>
              <w14:schemeClr w14:val="tx1"/>
            </w14:solidFill>
          </w14:textFill>
        </w:rPr>
      </w:pPr>
    </w:p>
    <w:p w14:paraId="27527F70">
      <w:pPr>
        <w:snapToGrid w:val="0"/>
        <w:jc w:val="left"/>
        <w:rPr>
          <w:rFonts w:ascii="宋体" w:hAnsi="宋体" w:cs="宋体"/>
          <w:color w:val="000000" w:themeColor="text1"/>
          <w:sz w:val="24"/>
          <w14:textFill>
            <w14:solidFill>
              <w14:schemeClr w14:val="tx1"/>
            </w14:solidFill>
          </w14:textFill>
        </w:rPr>
      </w:pPr>
    </w:p>
    <w:p w14:paraId="2066F8E4">
      <w:pPr>
        <w:snapToGrid w:val="0"/>
        <w:jc w:val="left"/>
        <w:rPr>
          <w:rFonts w:ascii="宋体" w:hAnsi="宋体" w:cs="宋体"/>
          <w:color w:val="000000" w:themeColor="text1"/>
          <w:sz w:val="24"/>
          <w14:textFill>
            <w14:solidFill>
              <w14:schemeClr w14:val="tx1"/>
            </w14:solidFill>
          </w14:textFill>
        </w:rPr>
      </w:pPr>
    </w:p>
    <w:p w14:paraId="5578601C">
      <w:pPr>
        <w:snapToGrid w:val="0"/>
        <w:jc w:val="left"/>
        <w:rPr>
          <w:rFonts w:ascii="宋体" w:hAnsi="宋体" w:cs="宋体"/>
          <w:color w:val="000000" w:themeColor="text1"/>
          <w:sz w:val="24"/>
          <w14:textFill>
            <w14:solidFill>
              <w14:schemeClr w14:val="tx1"/>
            </w14:solidFill>
          </w14:textFill>
        </w:rPr>
      </w:pPr>
    </w:p>
    <w:p w14:paraId="5BBB72DC">
      <w:pPr>
        <w:snapToGrid w:val="0"/>
        <w:jc w:val="left"/>
        <w:rPr>
          <w:rFonts w:ascii="宋体" w:hAnsi="宋体" w:cs="宋体"/>
          <w:color w:val="000000" w:themeColor="text1"/>
          <w:sz w:val="24"/>
          <w14:textFill>
            <w14:solidFill>
              <w14:schemeClr w14:val="tx1"/>
            </w14:solidFill>
          </w14:textFill>
        </w:rPr>
      </w:pPr>
    </w:p>
    <w:p w14:paraId="03FED25C">
      <w:pPr>
        <w:snapToGrid w:val="0"/>
        <w:jc w:val="left"/>
        <w:rPr>
          <w:rFonts w:ascii="宋体" w:hAnsi="宋体" w:cs="宋体"/>
          <w:color w:val="000000" w:themeColor="text1"/>
          <w:sz w:val="24"/>
          <w14:textFill>
            <w14:solidFill>
              <w14:schemeClr w14:val="tx1"/>
            </w14:solidFill>
          </w14:textFill>
        </w:rPr>
      </w:pPr>
    </w:p>
    <w:p w14:paraId="580E8917">
      <w:pPr>
        <w:snapToGrid w:val="0"/>
        <w:jc w:val="left"/>
        <w:rPr>
          <w:rFonts w:ascii="宋体" w:hAnsi="宋体" w:cs="宋体"/>
          <w:color w:val="000000" w:themeColor="text1"/>
          <w:sz w:val="24"/>
          <w14:textFill>
            <w14:solidFill>
              <w14:schemeClr w14:val="tx1"/>
            </w14:solidFill>
          </w14:textFill>
        </w:rPr>
      </w:pPr>
    </w:p>
    <w:p w14:paraId="7EE2C388">
      <w:pPr>
        <w:snapToGrid w:val="0"/>
        <w:jc w:val="left"/>
        <w:rPr>
          <w:rFonts w:ascii="宋体" w:hAnsi="宋体" w:cs="宋体"/>
          <w:color w:val="000000" w:themeColor="text1"/>
          <w:sz w:val="24"/>
          <w14:textFill>
            <w14:solidFill>
              <w14:schemeClr w14:val="tx1"/>
            </w14:solidFill>
          </w14:textFill>
        </w:rPr>
      </w:pPr>
    </w:p>
    <w:p w14:paraId="5C742E1E">
      <w:pPr>
        <w:snapToGrid w:val="0"/>
        <w:jc w:val="left"/>
        <w:rPr>
          <w:rFonts w:ascii="宋体" w:hAnsi="宋体" w:cs="宋体"/>
          <w:color w:val="000000" w:themeColor="text1"/>
          <w:sz w:val="24"/>
          <w14:textFill>
            <w14:solidFill>
              <w14:schemeClr w14:val="tx1"/>
            </w14:solidFill>
          </w14:textFill>
        </w:rPr>
      </w:pPr>
    </w:p>
    <w:p w14:paraId="701A1C86">
      <w:pPr>
        <w:snapToGrid w:val="0"/>
        <w:jc w:val="left"/>
        <w:rPr>
          <w:rFonts w:ascii="宋体" w:hAnsi="宋体" w:cs="宋体"/>
          <w:color w:val="000000" w:themeColor="text1"/>
          <w:sz w:val="24"/>
          <w14:textFill>
            <w14:solidFill>
              <w14:schemeClr w14:val="tx1"/>
            </w14:solidFill>
          </w14:textFill>
        </w:rPr>
      </w:pPr>
    </w:p>
    <w:p w14:paraId="34C52289">
      <w:pPr>
        <w:snapToGrid w:val="0"/>
        <w:jc w:val="left"/>
        <w:rPr>
          <w:rFonts w:ascii="宋体" w:hAnsi="宋体" w:cs="宋体"/>
          <w:color w:val="000000" w:themeColor="text1"/>
          <w:sz w:val="24"/>
          <w14:textFill>
            <w14:solidFill>
              <w14:schemeClr w14:val="tx1"/>
            </w14:solidFill>
          </w14:textFill>
        </w:rPr>
      </w:pPr>
    </w:p>
    <w:p w14:paraId="09CAC427">
      <w:pPr>
        <w:snapToGrid w:val="0"/>
        <w:jc w:val="left"/>
        <w:rPr>
          <w:rFonts w:ascii="宋体" w:hAnsi="宋体" w:cs="宋体"/>
          <w:color w:val="000000" w:themeColor="text1"/>
          <w:sz w:val="24"/>
          <w14:textFill>
            <w14:solidFill>
              <w14:schemeClr w14:val="tx1"/>
            </w14:solidFill>
          </w14:textFill>
        </w:rPr>
      </w:pPr>
    </w:p>
    <w:p w14:paraId="0059872F">
      <w:pPr>
        <w:snapToGrid w:val="0"/>
        <w:jc w:val="left"/>
        <w:rPr>
          <w:rFonts w:ascii="宋体" w:hAnsi="宋体" w:cs="宋体"/>
          <w:color w:val="000000" w:themeColor="text1"/>
          <w:sz w:val="24"/>
          <w14:textFill>
            <w14:solidFill>
              <w14:schemeClr w14:val="tx1"/>
            </w14:solidFill>
          </w14:textFill>
        </w:rPr>
      </w:pPr>
    </w:p>
    <w:p w14:paraId="771422A0">
      <w:pPr>
        <w:snapToGrid w:val="0"/>
        <w:jc w:val="left"/>
        <w:rPr>
          <w:rFonts w:ascii="宋体" w:hAnsi="宋体" w:cs="宋体"/>
          <w:color w:val="000000" w:themeColor="text1"/>
          <w:sz w:val="24"/>
          <w14:textFill>
            <w14:solidFill>
              <w14:schemeClr w14:val="tx1"/>
            </w14:solidFill>
          </w14:textFill>
        </w:rPr>
      </w:pPr>
    </w:p>
    <w:p w14:paraId="6F39B4DF">
      <w:pPr>
        <w:snapToGrid w:val="0"/>
        <w:jc w:val="left"/>
        <w:rPr>
          <w:rFonts w:ascii="宋体" w:hAnsi="宋体" w:cs="宋体"/>
          <w:color w:val="000000" w:themeColor="text1"/>
          <w:sz w:val="24"/>
          <w14:textFill>
            <w14:solidFill>
              <w14:schemeClr w14:val="tx1"/>
            </w14:solidFill>
          </w14:textFill>
        </w:rPr>
      </w:pPr>
    </w:p>
    <w:p w14:paraId="1816E98D">
      <w:pPr>
        <w:snapToGrid w:val="0"/>
        <w:jc w:val="left"/>
        <w:rPr>
          <w:rFonts w:ascii="宋体" w:hAnsi="宋体" w:cs="宋体"/>
          <w:color w:val="000000" w:themeColor="text1"/>
          <w:sz w:val="24"/>
          <w14:textFill>
            <w14:solidFill>
              <w14:schemeClr w14:val="tx1"/>
            </w14:solidFill>
          </w14:textFill>
        </w:rPr>
      </w:pPr>
    </w:p>
    <w:p w14:paraId="255EC910">
      <w:pPr>
        <w:snapToGrid w:val="0"/>
        <w:jc w:val="left"/>
        <w:rPr>
          <w:rFonts w:ascii="宋体" w:hAnsi="宋体" w:cs="宋体"/>
          <w:color w:val="000000" w:themeColor="text1"/>
          <w:sz w:val="24"/>
          <w14:textFill>
            <w14:solidFill>
              <w14:schemeClr w14:val="tx1"/>
            </w14:solidFill>
          </w14:textFill>
        </w:rPr>
      </w:pPr>
    </w:p>
    <w:p w14:paraId="1CF1E7D8">
      <w:pPr>
        <w:snapToGrid w:val="0"/>
        <w:jc w:val="left"/>
        <w:rPr>
          <w:rFonts w:ascii="宋体" w:hAnsi="宋体" w:cs="宋体"/>
          <w:color w:val="000000" w:themeColor="text1"/>
          <w:sz w:val="24"/>
          <w14:textFill>
            <w14:solidFill>
              <w14:schemeClr w14:val="tx1"/>
            </w14:solidFill>
          </w14:textFill>
        </w:rPr>
      </w:pPr>
    </w:p>
    <w:p w14:paraId="729ACDB3">
      <w:pPr>
        <w:snapToGrid w:val="0"/>
        <w:jc w:val="left"/>
        <w:rPr>
          <w:rFonts w:ascii="宋体" w:hAnsi="宋体" w:cs="宋体"/>
          <w:color w:val="000000" w:themeColor="text1"/>
          <w:sz w:val="24"/>
          <w14:textFill>
            <w14:solidFill>
              <w14:schemeClr w14:val="tx1"/>
            </w14:solidFill>
          </w14:textFill>
        </w:rPr>
      </w:pPr>
    </w:p>
    <w:p w14:paraId="7B69926A">
      <w:pPr>
        <w:pStyle w:val="24"/>
        <w:ind w:firstLine="480"/>
        <w:rPr>
          <w:rFonts w:ascii="宋体" w:hAnsi="宋体" w:eastAsia="宋体" w:cs="宋体"/>
          <w:color w:val="000000" w:themeColor="text1"/>
          <w:sz w:val="24"/>
          <w14:textFill>
            <w14:solidFill>
              <w14:schemeClr w14:val="tx1"/>
            </w14:solidFill>
          </w14:textFill>
        </w:rPr>
      </w:pPr>
    </w:p>
    <w:p w14:paraId="60190E60">
      <w:pPr>
        <w:pStyle w:val="24"/>
        <w:ind w:firstLine="480"/>
        <w:rPr>
          <w:rFonts w:ascii="宋体" w:hAnsi="宋体" w:eastAsia="宋体" w:cs="宋体"/>
          <w:color w:val="000000" w:themeColor="text1"/>
          <w:sz w:val="24"/>
          <w14:textFill>
            <w14:solidFill>
              <w14:schemeClr w14:val="tx1"/>
            </w14:solidFill>
          </w14:textFill>
        </w:rPr>
      </w:pPr>
    </w:p>
    <w:p w14:paraId="7BC666FA">
      <w:pPr>
        <w:pStyle w:val="24"/>
        <w:ind w:firstLine="480"/>
        <w:rPr>
          <w:rFonts w:ascii="宋体" w:hAnsi="宋体" w:eastAsia="宋体" w:cs="宋体"/>
          <w:color w:val="000000" w:themeColor="text1"/>
          <w:sz w:val="24"/>
          <w14:textFill>
            <w14:solidFill>
              <w14:schemeClr w14:val="tx1"/>
            </w14:solidFill>
          </w14:textFill>
        </w:rPr>
      </w:pPr>
    </w:p>
    <w:p w14:paraId="47F9DCCB">
      <w:pPr>
        <w:pStyle w:val="24"/>
        <w:ind w:firstLine="480"/>
        <w:rPr>
          <w:rFonts w:ascii="宋体" w:hAnsi="宋体" w:eastAsia="宋体" w:cs="宋体"/>
          <w:color w:val="000000" w:themeColor="text1"/>
          <w:sz w:val="24"/>
          <w14:textFill>
            <w14:solidFill>
              <w14:schemeClr w14:val="tx1"/>
            </w14:solidFill>
          </w14:textFill>
        </w:rPr>
      </w:pPr>
    </w:p>
    <w:p w14:paraId="6426CBA6">
      <w:pPr>
        <w:pStyle w:val="24"/>
        <w:ind w:firstLine="480"/>
        <w:rPr>
          <w:rFonts w:ascii="宋体" w:hAnsi="宋体" w:eastAsia="宋体" w:cs="宋体"/>
          <w:color w:val="000000" w:themeColor="text1"/>
          <w:sz w:val="24"/>
          <w14:textFill>
            <w14:solidFill>
              <w14:schemeClr w14:val="tx1"/>
            </w14:solidFill>
          </w14:textFill>
        </w:rPr>
      </w:pPr>
    </w:p>
    <w:p w14:paraId="2A73C6CF">
      <w:pPr>
        <w:pStyle w:val="24"/>
        <w:ind w:firstLine="480"/>
        <w:rPr>
          <w:rFonts w:ascii="宋体" w:hAnsi="宋体" w:eastAsia="宋体" w:cs="宋体"/>
          <w:color w:val="000000" w:themeColor="text1"/>
          <w:sz w:val="24"/>
          <w14:textFill>
            <w14:solidFill>
              <w14:schemeClr w14:val="tx1"/>
            </w14:solidFill>
          </w14:textFill>
        </w:rPr>
      </w:pPr>
    </w:p>
    <w:p w14:paraId="352EBAC6">
      <w:pPr>
        <w:pStyle w:val="24"/>
        <w:ind w:firstLine="480"/>
        <w:rPr>
          <w:rFonts w:ascii="宋体" w:hAnsi="宋体" w:eastAsia="宋体" w:cs="宋体"/>
          <w:color w:val="000000" w:themeColor="text1"/>
          <w:sz w:val="24"/>
          <w14:textFill>
            <w14:solidFill>
              <w14:schemeClr w14:val="tx1"/>
            </w14:solidFill>
          </w14:textFill>
        </w:rPr>
      </w:pPr>
    </w:p>
    <w:p w14:paraId="54D9379D">
      <w:pPr>
        <w:pStyle w:val="24"/>
        <w:ind w:firstLine="480"/>
        <w:rPr>
          <w:rFonts w:ascii="宋体" w:hAnsi="宋体" w:eastAsia="宋体" w:cs="宋体"/>
          <w:color w:val="000000" w:themeColor="text1"/>
          <w:sz w:val="24"/>
          <w14:textFill>
            <w14:solidFill>
              <w14:schemeClr w14:val="tx1"/>
            </w14:solidFill>
          </w14:textFill>
        </w:rPr>
      </w:pPr>
    </w:p>
    <w:p w14:paraId="137D77FB">
      <w:pPr>
        <w:pStyle w:val="24"/>
        <w:ind w:firstLine="480"/>
        <w:rPr>
          <w:rFonts w:ascii="宋体" w:hAnsi="宋体" w:eastAsia="宋体" w:cs="宋体"/>
          <w:color w:val="000000" w:themeColor="text1"/>
          <w:sz w:val="24"/>
          <w14:textFill>
            <w14:solidFill>
              <w14:schemeClr w14:val="tx1"/>
            </w14:solidFill>
          </w14:textFill>
        </w:rPr>
      </w:pPr>
    </w:p>
    <w:p w14:paraId="13EB15D1">
      <w:pPr>
        <w:pStyle w:val="24"/>
        <w:ind w:firstLine="480"/>
        <w:rPr>
          <w:rFonts w:ascii="宋体" w:hAnsi="宋体" w:eastAsia="宋体" w:cs="宋体"/>
          <w:color w:val="000000" w:themeColor="text1"/>
          <w:sz w:val="24"/>
          <w14:textFill>
            <w14:solidFill>
              <w14:schemeClr w14:val="tx1"/>
            </w14:solidFill>
          </w14:textFill>
        </w:rPr>
      </w:pPr>
    </w:p>
    <w:p w14:paraId="4D9F5F3D">
      <w:pPr>
        <w:pStyle w:val="18"/>
        <w:rPr>
          <w:color w:val="000000" w:themeColor="text1"/>
          <w:sz w:val="30"/>
          <w:szCs w:val="30"/>
          <w14:textFill>
            <w14:solidFill>
              <w14:schemeClr w14:val="tx1"/>
            </w14:solidFill>
          </w14:textFill>
        </w:rPr>
      </w:pPr>
      <w:bookmarkStart w:id="52" w:name="_Toc195875476"/>
      <w:r>
        <w:rPr>
          <w:rFonts w:hint="eastAsia"/>
          <w:color w:val="000000" w:themeColor="text1"/>
          <w:sz w:val="30"/>
          <w:szCs w:val="30"/>
          <w14:textFill>
            <w14:solidFill>
              <w14:schemeClr w14:val="tx1"/>
            </w14:solidFill>
          </w14:textFill>
        </w:rPr>
        <w:t>格式2-1企业营业执照副本及资格性证明材料</w:t>
      </w:r>
      <w:bookmarkEnd w:id="52"/>
    </w:p>
    <w:p w14:paraId="0FCFC604">
      <w:pPr>
        <w:pStyle w:val="30"/>
        <w:ind w:firstLine="210"/>
        <w:rPr>
          <w:rFonts w:ascii="宋体" w:hAnsi="宋体"/>
          <w:color w:val="000000" w:themeColor="text1"/>
          <w14:textFill>
            <w14:solidFill>
              <w14:schemeClr w14:val="tx1"/>
            </w14:solidFill>
          </w14:textFill>
        </w:rPr>
      </w:pPr>
    </w:p>
    <w:p w14:paraId="5D409C99">
      <w:pPr>
        <w:pStyle w:val="18"/>
        <w:rPr>
          <w:color w:val="000000" w:themeColor="text1"/>
          <w:sz w:val="30"/>
          <w:szCs w:val="30"/>
          <w14:textFill>
            <w14:solidFill>
              <w14:schemeClr w14:val="tx1"/>
            </w14:solidFill>
          </w14:textFill>
        </w:rPr>
      </w:pPr>
      <w:bookmarkStart w:id="53" w:name="_Toc195875477"/>
      <w:r>
        <w:rPr>
          <w:rFonts w:hint="eastAsia"/>
          <w:color w:val="000000" w:themeColor="text1"/>
          <w:sz w:val="30"/>
          <w:szCs w:val="30"/>
          <w14:textFill>
            <w14:solidFill>
              <w14:schemeClr w14:val="tx1"/>
            </w14:solidFill>
          </w14:textFill>
        </w:rPr>
        <w:t>格式2-2 法定代表人身份证明书</w:t>
      </w:r>
      <w:bookmarkEnd w:id="53"/>
    </w:p>
    <w:p w14:paraId="41E0454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（法定代表人参加竞争性磋商的，出具此证明书）</w:t>
      </w:r>
    </w:p>
    <w:p w14:paraId="33140492">
      <w:pPr>
        <w:spacing w:line="360" w:lineRule="auto"/>
        <w:ind w:firstLine="480" w:firstLineChars="200"/>
        <w:rPr>
          <w:rFonts w:ascii="宋体" w:hAnsi="宋体" w:cs="宋体"/>
          <w:color w:val="000000" w:themeColor="text1"/>
          <w:sz w:val="24"/>
          <w14:textFill>
            <w14:solidFill>
              <w14:schemeClr w14:val="tx1"/>
            </w14:solidFill>
          </w14:textFill>
        </w:rPr>
      </w:pPr>
    </w:p>
    <w:p w14:paraId="7912E3CC">
      <w:pPr>
        <w:spacing w:line="360" w:lineRule="auto"/>
        <w:ind w:firstLine="1440" w:firstLineChars="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同志，系我单位法定代表人，任    职务。</w:t>
      </w:r>
    </w:p>
    <w:p w14:paraId="4776C6A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09E540D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附：联系地址：</w:t>
      </w:r>
    </w:p>
    <w:p w14:paraId="65D6E074">
      <w:pPr>
        <w:spacing w:line="360" w:lineRule="auto"/>
        <w:ind w:firstLine="960" w:firstLineChars="4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bl>
      <w:tblPr>
        <w:tblStyle w:val="25"/>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16E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1740D5B4">
            <w:pPr>
              <w:spacing w:line="480" w:lineRule="exact"/>
              <w:rPr>
                <w:rFonts w:ascii="宋体" w:hAnsi="宋体" w:cs="宋体"/>
                <w:b/>
                <w:bCs/>
                <w:color w:val="000000" w:themeColor="text1"/>
                <w:sz w:val="24"/>
                <w14:textFill>
                  <w14:solidFill>
                    <w14:schemeClr w14:val="tx1"/>
                  </w14:solidFill>
                </w14:textFill>
              </w:rPr>
            </w:pPr>
          </w:p>
          <w:p w14:paraId="4D49F6D9">
            <w:pPr>
              <w:spacing w:line="480" w:lineRule="exact"/>
              <w:rPr>
                <w:rFonts w:ascii="宋体" w:hAnsi="宋体" w:cs="宋体"/>
                <w:b/>
                <w:bCs/>
                <w:color w:val="000000" w:themeColor="text1"/>
                <w:sz w:val="24"/>
                <w14:textFill>
                  <w14:solidFill>
                    <w14:schemeClr w14:val="tx1"/>
                  </w14:solidFill>
                </w14:textFill>
              </w:rPr>
            </w:pPr>
          </w:p>
          <w:p w14:paraId="7FB54414">
            <w:pPr>
              <w:spacing w:line="48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（※附：法定代表人身份证复印件※）</w:t>
            </w:r>
          </w:p>
          <w:p w14:paraId="195A1847">
            <w:pPr>
              <w:spacing w:line="480" w:lineRule="exact"/>
              <w:rPr>
                <w:rFonts w:ascii="宋体" w:hAnsi="宋体" w:cs="宋体"/>
                <w:color w:val="000000" w:themeColor="text1"/>
                <w:sz w:val="24"/>
                <w14:textFill>
                  <w14:solidFill>
                    <w14:schemeClr w14:val="tx1"/>
                  </w14:solidFill>
                </w14:textFill>
              </w:rPr>
            </w:pPr>
          </w:p>
          <w:p w14:paraId="33D7325A">
            <w:pPr>
              <w:spacing w:line="480" w:lineRule="exact"/>
              <w:rPr>
                <w:rFonts w:ascii="宋体" w:hAnsi="宋体" w:cs="宋体"/>
                <w:color w:val="000000" w:themeColor="text1"/>
                <w:sz w:val="24"/>
                <w14:textFill>
                  <w14:solidFill>
                    <w14:schemeClr w14:val="tx1"/>
                  </w14:solidFill>
                </w14:textFill>
              </w:rPr>
            </w:pPr>
          </w:p>
        </w:tc>
      </w:tr>
    </w:tbl>
    <w:p w14:paraId="65EA6084">
      <w:pPr>
        <w:spacing w:line="360" w:lineRule="auto"/>
        <w:ind w:firstLine="960" w:firstLineChars="400"/>
        <w:rPr>
          <w:rFonts w:ascii="宋体" w:hAnsi="宋体" w:cs="宋体"/>
          <w:color w:val="000000" w:themeColor="text1"/>
          <w:sz w:val="24"/>
          <w14:textFill>
            <w14:solidFill>
              <w14:schemeClr w14:val="tx1"/>
            </w14:solidFill>
          </w14:textFill>
        </w:rPr>
      </w:pPr>
    </w:p>
    <w:p w14:paraId="2B611FF2">
      <w:pPr>
        <w:spacing w:line="360" w:lineRule="auto"/>
        <w:ind w:firstLine="3840" w:firstLineChars="1600"/>
        <w:rPr>
          <w:rFonts w:ascii="宋体" w:hAnsi="宋体" w:cs="宋体"/>
          <w:color w:val="000000" w:themeColor="text1"/>
          <w:sz w:val="24"/>
          <w14:textFill>
            <w14:solidFill>
              <w14:schemeClr w14:val="tx1"/>
            </w14:solidFill>
          </w14:textFill>
        </w:rPr>
      </w:pPr>
    </w:p>
    <w:p w14:paraId="7CDB4B60">
      <w:pPr>
        <w:spacing w:line="360" w:lineRule="auto"/>
        <w:ind w:firstLine="3840" w:firstLineChars="1600"/>
        <w:rPr>
          <w:rFonts w:ascii="宋体" w:hAnsi="宋体" w:cs="宋体"/>
          <w:color w:val="000000" w:themeColor="text1"/>
          <w:sz w:val="24"/>
          <w14:textFill>
            <w14:solidFill>
              <w14:schemeClr w14:val="tx1"/>
            </w14:solidFill>
          </w14:textFill>
        </w:rPr>
      </w:pPr>
    </w:p>
    <w:p w14:paraId="07590D8D">
      <w:pPr>
        <w:spacing w:line="360" w:lineRule="auto"/>
        <w:ind w:firstLine="3840" w:firstLineChars="1600"/>
        <w:rPr>
          <w:rFonts w:ascii="宋体" w:hAnsi="宋体" w:cs="宋体"/>
          <w:color w:val="000000" w:themeColor="text1"/>
          <w:sz w:val="24"/>
          <w14:textFill>
            <w14:solidFill>
              <w14:schemeClr w14:val="tx1"/>
            </w14:solidFill>
          </w14:textFill>
        </w:rPr>
      </w:pPr>
    </w:p>
    <w:p w14:paraId="1FE3F84E">
      <w:pPr>
        <w:spacing w:line="360" w:lineRule="auto"/>
        <w:jc w:val="center"/>
        <w:rPr>
          <w:rFonts w:ascii="宋体" w:hAnsi="宋体" w:cs="宋体"/>
          <w:color w:val="000000" w:themeColor="text1"/>
          <w:sz w:val="24"/>
          <w14:textFill>
            <w14:solidFill>
              <w14:schemeClr w14:val="tx1"/>
            </w14:solidFill>
          </w14:textFill>
        </w:rPr>
      </w:pPr>
    </w:p>
    <w:p w14:paraId="2637D6DF">
      <w:pPr>
        <w:spacing w:line="360" w:lineRule="auto"/>
        <w:jc w:val="center"/>
        <w:rPr>
          <w:rFonts w:ascii="宋体" w:hAnsi="宋体" w:cs="宋体"/>
          <w:color w:val="000000" w:themeColor="text1"/>
          <w:sz w:val="24"/>
          <w14:textFill>
            <w14:solidFill>
              <w14:schemeClr w14:val="tx1"/>
            </w14:solidFill>
          </w14:textFill>
        </w:rPr>
      </w:pPr>
    </w:p>
    <w:p w14:paraId="564CA9B2">
      <w:pPr>
        <w:spacing w:line="360" w:lineRule="auto"/>
        <w:jc w:val="center"/>
        <w:rPr>
          <w:rFonts w:ascii="宋体" w:hAnsi="宋体" w:cs="宋体"/>
          <w:color w:val="000000" w:themeColor="text1"/>
          <w:sz w:val="24"/>
          <w14:textFill>
            <w14:solidFill>
              <w14:schemeClr w14:val="tx1"/>
            </w14:solidFill>
          </w14:textFill>
        </w:rPr>
      </w:pPr>
    </w:p>
    <w:p w14:paraId="1D034553">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14:paraId="2BD0079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6C82D79F">
      <w:pPr>
        <w:spacing w:line="360" w:lineRule="auto"/>
        <w:jc w:val="center"/>
        <w:rPr>
          <w:rFonts w:ascii="宋体" w:hAnsi="宋体" w:cs="宋体"/>
          <w:color w:val="000000" w:themeColor="text1"/>
          <w:sz w:val="24"/>
          <w14:textFill>
            <w14:solidFill>
              <w14:schemeClr w14:val="tx1"/>
            </w14:solidFill>
          </w14:textFill>
        </w:rPr>
      </w:pPr>
    </w:p>
    <w:p w14:paraId="3351D0CA">
      <w:pPr>
        <w:spacing w:line="360" w:lineRule="auto"/>
        <w:jc w:val="center"/>
        <w:rPr>
          <w:rFonts w:ascii="宋体" w:hAnsi="宋体" w:cs="宋体"/>
          <w:color w:val="000000" w:themeColor="text1"/>
          <w:sz w:val="24"/>
          <w14:textFill>
            <w14:solidFill>
              <w14:schemeClr w14:val="tx1"/>
            </w14:solidFill>
          </w14:textFill>
        </w:rPr>
      </w:pPr>
    </w:p>
    <w:p w14:paraId="1459F196">
      <w:pPr>
        <w:spacing w:line="360" w:lineRule="auto"/>
        <w:jc w:val="center"/>
        <w:rPr>
          <w:rFonts w:ascii="宋体" w:hAnsi="宋体" w:cs="宋体"/>
          <w:color w:val="000000" w:themeColor="text1"/>
          <w:sz w:val="24"/>
          <w14:textFill>
            <w14:solidFill>
              <w14:schemeClr w14:val="tx1"/>
            </w14:solidFill>
          </w14:textFill>
        </w:rPr>
      </w:pPr>
    </w:p>
    <w:p w14:paraId="0FB0C3EA">
      <w:pPr>
        <w:pStyle w:val="30"/>
        <w:ind w:firstLine="240"/>
        <w:rPr>
          <w:rFonts w:ascii="宋体" w:hAnsi="宋体" w:cs="宋体"/>
          <w:color w:val="000000" w:themeColor="text1"/>
          <w:sz w:val="24"/>
          <w14:textFill>
            <w14:solidFill>
              <w14:schemeClr w14:val="tx1"/>
            </w14:solidFill>
          </w14:textFill>
        </w:rPr>
      </w:pPr>
    </w:p>
    <w:p w14:paraId="62B640CF">
      <w:pPr>
        <w:pStyle w:val="30"/>
        <w:ind w:firstLine="240"/>
        <w:rPr>
          <w:rFonts w:ascii="宋体" w:hAnsi="宋体" w:cs="宋体"/>
          <w:color w:val="000000" w:themeColor="text1"/>
          <w:sz w:val="24"/>
          <w14:textFill>
            <w14:solidFill>
              <w14:schemeClr w14:val="tx1"/>
            </w14:solidFill>
          </w14:textFill>
        </w:rPr>
      </w:pPr>
    </w:p>
    <w:p w14:paraId="0DC58CEC">
      <w:pPr>
        <w:pStyle w:val="30"/>
        <w:ind w:firstLine="240"/>
        <w:rPr>
          <w:rFonts w:ascii="宋体" w:hAnsi="宋体" w:cs="宋体"/>
          <w:color w:val="000000" w:themeColor="text1"/>
          <w:sz w:val="24"/>
          <w14:textFill>
            <w14:solidFill>
              <w14:schemeClr w14:val="tx1"/>
            </w14:solidFill>
          </w14:textFill>
        </w:rPr>
      </w:pPr>
    </w:p>
    <w:p w14:paraId="1DC59C28">
      <w:pPr>
        <w:pStyle w:val="30"/>
        <w:ind w:firstLine="240"/>
        <w:rPr>
          <w:rFonts w:ascii="宋体" w:hAnsi="宋体" w:cs="宋体"/>
          <w:color w:val="000000" w:themeColor="text1"/>
          <w:sz w:val="24"/>
          <w14:textFill>
            <w14:solidFill>
              <w14:schemeClr w14:val="tx1"/>
            </w14:solidFill>
          </w14:textFill>
        </w:rPr>
      </w:pPr>
    </w:p>
    <w:p w14:paraId="41047935">
      <w:pPr>
        <w:pStyle w:val="30"/>
        <w:ind w:firstLine="240"/>
        <w:rPr>
          <w:rFonts w:ascii="宋体" w:hAnsi="宋体" w:cs="宋体"/>
          <w:color w:val="000000" w:themeColor="text1"/>
          <w:sz w:val="24"/>
          <w14:textFill>
            <w14:solidFill>
              <w14:schemeClr w14:val="tx1"/>
            </w14:solidFill>
          </w14:textFill>
        </w:rPr>
      </w:pPr>
    </w:p>
    <w:p w14:paraId="63AAB574">
      <w:pPr>
        <w:pStyle w:val="30"/>
        <w:ind w:firstLine="240"/>
        <w:rPr>
          <w:rFonts w:ascii="宋体" w:hAnsi="宋体" w:cs="宋体"/>
          <w:color w:val="000000" w:themeColor="text1"/>
          <w:sz w:val="24"/>
          <w14:textFill>
            <w14:solidFill>
              <w14:schemeClr w14:val="tx1"/>
            </w14:solidFill>
          </w14:textFill>
        </w:rPr>
      </w:pPr>
    </w:p>
    <w:p w14:paraId="2B8967C4">
      <w:pPr>
        <w:pStyle w:val="30"/>
        <w:ind w:firstLine="240"/>
        <w:rPr>
          <w:rFonts w:ascii="宋体" w:hAnsi="宋体" w:cs="宋体"/>
          <w:color w:val="000000" w:themeColor="text1"/>
          <w:sz w:val="24"/>
          <w14:textFill>
            <w14:solidFill>
              <w14:schemeClr w14:val="tx1"/>
            </w14:solidFill>
          </w14:textFill>
        </w:rPr>
      </w:pPr>
    </w:p>
    <w:p w14:paraId="0C3D2F9F">
      <w:pPr>
        <w:pStyle w:val="30"/>
        <w:ind w:firstLine="240"/>
        <w:rPr>
          <w:rFonts w:ascii="宋体" w:hAnsi="宋体" w:cs="宋体"/>
          <w:color w:val="000000" w:themeColor="text1"/>
          <w:sz w:val="24"/>
          <w14:textFill>
            <w14:solidFill>
              <w14:schemeClr w14:val="tx1"/>
            </w14:solidFill>
          </w14:textFill>
        </w:rPr>
      </w:pPr>
    </w:p>
    <w:p w14:paraId="19660711">
      <w:pPr>
        <w:pStyle w:val="18"/>
        <w:rPr>
          <w:color w:val="000000" w:themeColor="text1"/>
          <w:sz w:val="30"/>
          <w:szCs w:val="30"/>
          <w14:textFill>
            <w14:solidFill>
              <w14:schemeClr w14:val="tx1"/>
            </w14:solidFill>
          </w14:textFill>
        </w:rPr>
      </w:pPr>
      <w:bookmarkStart w:id="54" w:name="_Toc195875478"/>
      <w:r>
        <w:rPr>
          <w:rFonts w:hint="eastAsia"/>
          <w:color w:val="000000" w:themeColor="text1"/>
          <w:sz w:val="30"/>
          <w:szCs w:val="30"/>
          <w14:textFill>
            <w14:solidFill>
              <w14:schemeClr w14:val="tx1"/>
            </w14:solidFill>
          </w14:textFill>
        </w:rPr>
        <w:t>格式2-3 授权委托书</w:t>
      </w:r>
      <w:bookmarkEnd w:id="54"/>
    </w:p>
    <w:p w14:paraId="5CB9052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（委托代理人参加竞争性磋商的，出具此证明书）</w:t>
      </w:r>
    </w:p>
    <w:p w14:paraId="5DB9A768">
      <w:pPr>
        <w:spacing w:line="360" w:lineRule="auto"/>
        <w:ind w:firstLine="480" w:firstLineChars="200"/>
        <w:rPr>
          <w:rFonts w:ascii="宋体" w:hAnsi="宋体" w:cs="宋体"/>
          <w:color w:val="000000" w:themeColor="text1"/>
          <w:sz w:val="24"/>
          <w14:textFill>
            <w14:solidFill>
              <w14:schemeClr w14:val="tx1"/>
            </w14:solidFill>
          </w14:textFill>
        </w:rPr>
      </w:pPr>
    </w:p>
    <w:p w14:paraId="2EDB2EC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委托人授权    （被委托人的姓名、职务）为委托人的委托代理人，就项目编号为    的项目及合同的执行，以本单位名义处理一切与之有关的事务。</w:t>
      </w:r>
    </w:p>
    <w:p w14:paraId="3FBA7B7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   年   月    日签字生效，特此声明。</w:t>
      </w:r>
    </w:p>
    <w:p w14:paraId="1F0266A0">
      <w:pPr>
        <w:spacing w:line="360" w:lineRule="auto"/>
        <w:rPr>
          <w:rFonts w:ascii="宋体" w:hAnsi="宋体" w:cs="宋体"/>
          <w:color w:val="000000" w:themeColor="text1"/>
          <w:sz w:val="24"/>
          <w14:textFill>
            <w14:solidFill>
              <w14:schemeClr w14:val="tx1"/>
            </w14:solidFill>
          </w14:textFill>
        </w:rPr>
      </w:pPr>
    </w:p>
    <w:p w14:paraId="564AB3D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w:t>
      </w:r>
    </w:p>
    <w:p w14:paraId="66B9059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供应商电子签章：       </w:t>
      </w:r>
    </w:p>
    <w:p w14:paraId="11822C2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被委托人：</w:t>
      </w:r>
    </w:p>
    <w:p w14:paraId="2FAEB32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bl>
      <w:tblPr>
        <w:tblStyle w:val="25"/>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3C08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14362776">
            <w:pPr>
              <w:spacing w:line="480" w:lineRule="exact"/>
              <w:rPr>
                <w:rFonts w:ascii="宋体" w:hAnsi="宋体" w:cs="宋体"/>
                <w:b/>
                <w:bCs/>
                <w:color w:val="000000" w:themeColor="text1"/>
                <w:sz w:val="24"/>
                <w14:textFill>
                  <w14:solidFill>
                    <w14:schemeClr w14:val="tx1"/>
                  </w14:solidFill>
                </w14:textFill>
              </w:rPr>
            </w:pPr>
          </w:p>
          <w:p w14:paraId="0DB2F02C">
            <w:pPr>
              <w:spacing w:line="480" w:lineRule="exact"/>
              <w:rPr>
                <w:rFonts w:ascii="宋体" w:hAnsi="宋体" w:cs="宋体"/>
                <w:b/>
                <w:bCs/>
                <w:color w:val="000000" w:themeColor="text1"/>
                <w:sz w:val="24"/>
                <w14:textFill>
                  <w14:solidFill>
                    <w14:schemeClr w14:val="tx1"/>
                  </w14:solidFill>
                </w14:textFill>
              </w:rPr>
            </w:pPr>
          </w:p>
          <w:p w14:paraId="484C9965">
            <w:pPr>
              <w:spacing w:line="480" w:lineRule="exact"/>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（※附：被委托人身份证复印件※）</w:t>
            </w:r>
          </w:p>
        </w:tc>
      </w:tr>
    </w:tbl>
    <w:p w14:paraId="58248212">
      <w:pPr>
        <w:spacing w:line="360" w:lineRule="auto"/>
        <w:ind w:firstLine="480" w:firstLineChars="200"/>
        <w:rPr>
          <w:rFonts w:ascii="宋体" w:hAnsi="宋体" w:cs="宋体"/>
          <w:color w:val="000000" w:themeColor="text1"/>
          <w:sz w:val="24"/>
          <w14:textFill>
            <w14:solidFill>
              <w14:schemeClr w14:val="tx1"/>
            </w14:solidFill>
          </w14:textFill>
        </w:rPr>
      </w:pPr>
    </w:p>
    <w:p w14:paraId="2CF10BA2">
      <w:pPr>
        <w:spacing w:line="360" w:lineRule="auto"/>
        <w:ind w:firstLine="480" w:firstLineChars="200"/>
        <w:rPr>
          <w:rFonts w:ascii="宋体" w:hAnsi="宋体" w:cs="宋体"/>
          <w:color w:val="000000" w:themeColor="text1"/>
          <w:sz w:val="24"/>
          <w14:textFill>
            <w14:solidFill>
              <w14:schemeClr w14:val="tx1"/>
            </w14:solidFill>
          </w14:textFill>
        </w:rPr>
      </w:pPr>
    </w:p>
    <w:p w14:paraId="0492A5D8">
      <w:pPr>
        <w:spacing w:line="360" w:lineRule="auto"/>
        <w:ind w:firstLine="480" w:firstLineChars="200"/>
        <w:rPr>
          <w:rFonts w:ascii="宋体" w:hAnsi="宋体" w:cs="宋体"/>
          <w:color w:val="000000" w:themeColor="text1"/>
          <w:sz w:val="24"/>
          <w14:textFill>
            <w14:solidFill>
              <w14:schemeClr w14:val="tx1"/>
            </w14:solidFill>
          </w14:textFill>
        </w:rPr>
      </w:pPr>
    </w:p>
    <w:p w14:paraId="055C82F8">
      <w:pPr>
        <w:spacing w:line="360" w:lineRule="auto"/>
        <w:ind w:firstLine="4920" w:firstLineChars="2050"/>
        <w:rPr>
          <w:rFonts w:ascii="宋体" w:hAnsi="宋体" w:cs="宋体"/>
          <w:color w:val="000000" w:themeColor="text1"/>
          <w:sz w:val="24"/>
          <w14:textFill>
            <w14:solidFill>
              <w14:schemeClr w14:val="tx1"/>
            </w14:solidFill>
          </w14:textFill>
        </w:rPr>
      </w:pPr>
    </w:p>
    <w:p w14:paraId="6398B946">
      <w:pPr>
        <w:spacing w:line="360" w:lineRule="auto"/>
        <w:jc w:val="center"/>
        <w:rPr>
          <w:rFonts w:ascii="宋体" w:hAnsi="宋体" w:cs="宋体"/>
          <w:color w:val="000000" w:themeColor="text1"/>
          <w:sz w:val="24"/>
          <w14:textFill>
            <w14:solidFill>
              <w14:schemeClr w14:val="tx1"/>
            </w14:solidFill>
          </w14:textFill>
        </w:rPr>
      </w:pPr>
    </w:p>
    <w:p w14:paraId="72DAFA1A">
      <w:pPr>
        <w:spacing w:line="360" w:lineRule="auto"/>
        <w:jc w:val="center"/>
        <w:rPr>
          <w:rFonts w:ascii="宋体" w:hAnsi="宋体" w:cs="宋体"/>
          <w:color w:val="000000" w:themeColor="text1"/>
          <w:sz w:val="24"/>
          <w14:textFill>
            <w14:solidFill>
              <w14:schemeClr w14:val="tx1"/>
            </w14:solidFill>
          </w14:textFill>
        </w:rPr>
      </w:pPr>
    </w:p>
    <w:p w14:paraId="7085E513">
      <w:pPr>
        <w:spacing w:line="360" w:lineRule="auto"/>
        <w:jc w:val="center"/>
        <w:rPr>
          <w:rFonts w:ascii="宋体" w:hAnsi="宋体" w:cs="宋体"/>
          <w:color w:val="000000" w:themeColor="text1"/>
          <w:sz w:val="24"/>
          <w14:textFill>
            <w14:solidFill>
              <w14:schemeClr w14:val="tx1"/>
            </w14:solidFill>
          </w14:textFill>
        </w:rPr>
      </w:pPr>
    </w:p>
    <w:p w14:paraId="228F87F3">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14:paraId="12DE77BA">
      <w:pPr>
        <w:spacing w:line="360" w:lineRule="auto"/>
        <w:jc w:val="center"/>
        <w:rPr>
          <w:rFonts w:ascii="宋体" w:hAnsi="宋体" w:cs="宋体"/>
          <w:color w:val="000000" w:themeColor="text1"/>
          <w:sz w:val="24"/>
          <w14:textFill>
            <w14:solidFill>
              <w14:schemeClr w14:val="tx1"/>
            </w14:solidFill>
          </w14:textFill>
        </w:rPr>
      </w:pPr>
    </w:p>
    <w:p w14:paraId="0D31DE8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1FBCD5BD">
      <w:pPr>
        <w:pStyle w:val="30"/>
        <w:ind w:firstLine="210"/>
        <w:rPr>
          <w:rFonts w:ascii="宋体" w:hAnsi="宋体"/>
          <w:color w:val="000000" w:themeColor="text1"/>
          <w14:textFill>
            <w14:solidFill>
              <w14:schemeClr w14:val="tx1"/>
            </w14:solidFill>
          </w14:textFill>
        </w:rPr>
      </w:pPr>
    </w:p>
    <w:p w14:paraId="6AC93FEB">
      <w:pPr>
        <w:pStyle w:val="30"/>
        <w:ind w:firstLine="210"/>
        <w:rPr>
          <w:rFonts w:ascii="宋体" w:hAnsi="宋体"/>
          <w:color w:val="000000" w:themeColor="text1"/>
          <w14:textFill>
            <w14:solidFill>
              <w14:schemeClr w14:val="tx1"/>
            </w14:solidFill>
          </w14:textFill>
        </w:rPr>
      </w:pPr>
    </w:p>
    <w:p w14:paraId="6E09E5B0">
      <w:pPr>
        <w:pStyle w:val="30"/>
        <w:ind w:firstLine="210"/>
        <w:rPr>
          <w:rFonts w:ascii="宋体" w:hAnsi="宋体"/>
          <w:color w:val="000000" w:themeColor="text1"/>
          <w14:textFill>
            <w14:solidFill>
              <w14:schemeClr w14:val="tx1"/>
            </w14:solidFill>
          </w14:textFill>
        </w:rPr>
      </w:pPr>
    </w:p>
    <w:p w14:paraId="14452212">
      <w:pPr>
        <w:pStyle w:val="30"/>
        <w:ind w:firstLine="0" w:firstLineChars="0"/>
        <w:rPr>
          <w:rFonts w:ascii="宋体" w:hAnsi="宋体"/>
          <w:color w:val="000000" w:themeColor="text1"/>
          <w14:textFill>
            <w14:solidFill>
              <w14:schemeClr w14:val="tx1"/>
            </w14:solidFill>
          </w14:textFill>
        </w:rPr>
      </w:pPr>
    </w:p>
    <w:p w14:paraId="0399455D">
      <w:pPr>
        <w:pStyle w:val="30"/>
        <w:ind w:firstLine="0" w:firstLineChars="0"/>
        <w:rPr>
          <w:rFonts w:ascii="宋体" w:hAnsi="宋体"/>
          <w:color w:val="000000" w:themeColor="text1"/>
          <w14:textFill>
            <w14:solidFill>
              <w14:schemeClr w14:val="tx1"/>
            </w14:solidFill>
          </w14:textFill>
        </w:rPr>
      </w:pPr>
    </w:p>
    <w:p w14:paraId="2A06B922">
      <w:pPr>
        <w:pStyle w:val="30"/>
        <w:ind w:firstLine="0" w:firstLineChars="0"/>
        <w:rPr>
          <w:rFonts w:ascii="宋体" w:hAnsi="宋体"/>
          <w:color w:val="000000" w:themeColor="text1"/>
          <w14:textFill>
            <w14:solidFill>
              <w14:schemeClr w14:val="tx1"/>
            </w14:solidFill>
          </w14:textFill>
        </w:rPr>
      </w:pPr>
    </w:p>
    <w:p w14:paraId="5EF9179B">
      <w:pPr>
        <w:pStyle w:val="30"/>
        <w:ind w:firstLine="0" w:firstLineChars="0"/>
        <w:rPr>
          <w:rFonts w:ascii="宋体" w:hAnsi="宋体"/>
          <w:color w:val="000000" w:themeColor="text1"/>
          <w14:textFill>
            <w14:solidFill>
              <w14:schemeClr w14:val="tx1"/>
            </w14:solidFill>
          </w14:textFill>
        </w:rPr>
      </w:pPr>
    </w:p>
    <w:p w14:paraId="150B6F60">
      <w:pPr>
        <w:pStyle w:val="30"/>
        <w:ind w:firstLine="0" w:firstLineChars="0"/>
        <w:rPr>
          <w:rFonts w:ascii="宋体" w:hAnsi="宋体"/>
          <w:color w:val="000000" w:themeColor="text1"/>
          <w14:textFill>
            <w14:solidFill>
              <w14:schemeClr w14:val="tx1"/>
            </w14:solidFill>
          </w14:textFill>
        </w:rPr>
      </w:pPr>
    </w:p>
    <w:p w14:paraId="72BC7616">
      <w:pPr>
        <w:pStyle w:val="30"/>
        <w:ind w:firstLine="0" w:firstLineChars="0"/>
        <w:rPr>
          <w:rFonts w:ascii="宋体" w:hAnsi="宋体"/>
          <w:color w:val="000000" w:themeColor="text1"/>
          <w14:textFill>
            <w14:solidFill>
              <w14:schemeClr w14:val="tx1"/>
            </w14:solidFill>
          </w14:textFill>
        </w:rPr>
      </w:pPr>
    </w:p>
    <w:p w14:paraId="4AF98DC8">
      <w:pPr>
        <w:pStyle w:val="18"/>
        <w:rPr>
          <w:rFonts w:ascii="宋体" w:hAnsi="宋体"/>
          <w:color w:val="000000" w:themeColor="text1"/>
          <w:sz w:val="30"/>
          <w:szCs w:val="30"/>
          <w14:textFill>
            <w14:solidFill>
              <w14:schemeClr w14:val="tx1"/>
            </w14:solidFill>
          </w14:textFill>
        </w:rPr>
      </w:pPr>
      <w:bookmarkStart w:id="55" w:name="_Toc195875479"/>
      <w:r>
        <w:rPr>
          <w:rFonts w:hint="eastAsia" w:ascii="宋体" w:hAnsi="宋体"/>
          <w:color w:val="000000" w:themeColor="text1"/>
          <w:sz w:val="30"/>
          <w:szCs w:val="30"/>
          <w14:textFill>
            <w14:solidFill>
              <w14:schemeClr w14:val="tx1"/>
            </w14:solidFill>
          </w14:textFill>
        </w:rPr>
        <w:t>格式2-4政府采购法第二十二条及参加政府采购活动前三年内无重大违法记录的书面声明</w:t>
      </w:r>
      <w:bookmarkEnd w:id="55"/>
    </w:p>
    <w:p w14:paraId="788F1BE9">
      <w:pPr>
        <w:spacing w:line="360" w:lineRule="auto"/>
        <w:jc w:val="left"/>
        <w:rPr>
          <w:rFonts w:ascii="宋体" w:hAnsi="宋体" w:cs="宋体"/>
          <w:color w:val="000000" w:themeColor="text1"/>
          <w:sz w:val="24"/>
          <w14:textFill>
            <w14:solidFill>
              <w14:schemeClr w14:val="tx1"/>
            </w14:solidFill>
          </w14:textFill>
        </w:rPr>
      </w:pPr>
    </w:p>
    <w:p w14:paraId="5EF8243F">
      <w:pPr>
        <w:spacing w:line="360" w:lineRule="auto"/>
        <w:jc w:val="left"/>
        <w:rPr>
          <w:rFonts w:ascii="宋体" w:hAnsi="宋体" w:cs="宋体"/>
          <w:color w:val="000000" w:themeColor="text1"/>
          <w:sz w:val="24"/>
          <w14:textFill>
            <w14:solidFill>
              <w14:schemeClr w14:val="tx1"/>
            </w14:solidFill>
          </w14:textFill>
        </w:rPr>
      </w:pPr>
    </w:p>
    <w:p w14:paraId="7093641E">
      <w:pPr>
        <w:spacing w:line="360" w:lineRule="auto"/>
        <w:jc w:val="left"/>
        <w:rPr>
          <w:rFonts w:ascii="宋体" w:hAnsi="宋体" w:cs="宋体"/>
          <w:color w:val="000000" w:themeColor="text1"/>
          <w:sz w:val="24"/>
          <w14:textFill>
            <w14:solidFill>
              <w14:schemeClr w14:val="tx1"/>
            </w14:solidFill>
          </w14:textFill>
        </w:rPr>
      </w:pPr>
    </w:p>
    <w:p w14:paraId="6174CDEE">
      <w:pPr>
        <w:spacing w:line="360" w:lineRule="auto"/>
        <w:jc w:val="left"/>
        <w:rPr>
          <w:rFonts w:ascii="宋体" w:hAnsi="宋体" w:cs="宋体"/>
          <w:color w:val="000000" w:themeColor="text1"/>
          <w:sz w:val="24"/>
          <w14:textFill>
            <w14:solidFill>
              <w14:schemeClr w14:val="tx1"/>
            </w14:solidFill>
          </w14:textFill>
        </w:rPr>
      </w:pPr>
    </w:p>
    <w:p w14:paraId="590D070A">
      <w:pPr>
        <w:spacing w:line="360" w:lineRule="auto"/>
        <w:jc w:val="left"/>
        <w:rPr>
          <w:rFonts w:ascii="宋体" w:hAnsi="宋体" w:cs="宋体"/>
          <w:color w:val="000000" w:themeColor="text1"/>
          <w:sz w:val="24"/>
          <w14:textFill>
            <w14:solidFill>
              <w14:schemeClr w14:val="tx1"/>
            </w14:solidFill>
          </w14:textFill>
        </w:rPr>
      </w:pPr>
    </w:p>
    <w:p w14:paraId="63D3F3D5">
      <w:pPr>
        <w:spacing w:line="360" w:lineRule="auto"/>
        <w:jc w:val="left"/>
        <w:rPr>
          <w:rFonts w:ascii="宋体" w:hAnsi="宋体" w:cs="宋体"/>
          <w:color w:val="000000" w:themeColor="text1"/>
          <w:sz w:val="24"/>
          <w14:textFill>
            <w14:solidFill>
              <w14:schemeClr w14:val="tx1"/>
            </w14:solidFill>
          </w14:textFill>
        </w:rPr>
      </w:pPr>
    </w:p>
    <w:p w14:paraId="553E0D1E">
      <w:pPr>
        <w:spacing w:line="360" w:lineRule="auto"/>
        <w:jc w:val="left"/>
        <w:rPr>
          <w:rFonts w:ascii="宋体" w:hAnsi="宋体" w:cs="宋体"/>
          <w:color w:val="000000" w:themeColor="text1"/>
          <w:sz w:val="24"/>
          <w14:textFill>
            <w14:solidFill>
              <w14:schemeClr w14:val="tx1"/>
            </w14:solidFill>
          </w14:textFill>
        </w:rPr>
      </w:pPr>
    </w:p>
    <w:p w14:paraId="488A1077">
      <w:pPr>
        <w:spacing w:line="360" w:lineRule="auto"/>
        <w:jc w:val="left"/>
        <w:rPr>
          <w:rFonts w:ascii="宋体" w:hAnsi="宋体" w:cs="宋体"/>
          <w:color w:val="000000" w:themeColor="text1"/>
          <w:sz w:val="24"/>
          <w14:textFill>
            <w14:solidFill>
              <w14:schemeClr w14:val="tx1"/>
            </w14:solidFill>
          </w14:textFill>
        </w:rPr>
      </w:pPr>
    </w:p>
    <w:p w14:paraId="73A67387">
      <w:pPr>
        <w:spacing w:line="360" w:lineRule="auto"/>
        <w:jc w:val="left"/>
        <w:rPr>
          <w:rFonts w:ascii="宋体" w:hAnsi="宋体" w:cs="宋体"/>
          <w:color w:val="000000" w:themeColor="text1"/>
          <w:sz w:val="24"/>
          <w14:textFill>
            <w14:solidFill>
              <w14:schemeClr w14:val="tx1"/>
            </w14:solidFill>
          </w14:textFill>
        </w:rPr>
      </w:pPr>
    </w:p>
    <w:p w14:paraId="53AAFB20">
      <w:pPr>
        <w:spacing w:line="360" w:lineRule="auto"/>
        <w:jc w:val="left"/>
        <w:rPr>
          <w:rFonts w:ascii="宋体" w:hAnsi="宋体" w:cs="宋体"/>
          <w:color w:val="000000" w:themeColor="text1"/>
          <w:sz w:val="24"/>
          <w14:textFill>
            <w14:solidFill>
              <w14:schemeClr w14:val="tx1"/>
            </w14:solidFill>
          </w14:textFill>
        </w:rPr>
      </w:pPr>
    </w:p>
    <w:p w14:paraId="6170E8D8">
      <w:pPr>
        <w:spacing w:line="360" w:lineRule="auto"/>
        <w:jc w:val="left"/>
        <w:rPr>
          <w:rFonts w:ascii="宋体" w:hAnsi="宋体" w:cs="宋体"/>
          <w:color w:val="000000" w:themeColor="text1"/>
          <w:sz w:val="24"/>
          <w14:textFill>
            <w14:solidFill>
              <w14:schemeClr w14:val="tx1"/>
            </w14:solidFill>
          </w14:textFill>
        </w:rPr>
      </w:pPr>
    </w:p>
    <w:p w14:paraId="43A187BA">
      <w:pPr>
        <w:spacing w:line="360" w:lineRule="auto"/>
        <w:jc w:val="left"/>
        <w:rPr>
          <w:rFonts w:ascii="宋体" w:hAnsi="宋体" w:cs="宋体"/>
          <w:color w:val="000000" w:themeColor="text1"/>
          <w:sz w:val="24"/>
          <w14:textFill>
            <w14:solidFill>
              <w14:schemeClr w14:val="tx1"/>
            </w14:solidFill>
          </w14:textFill>
        </w:rPr>
      </w:pPr>
    </w:p>
    <w:p w14:paraId="26E0BB92">
      <w:pPr>
        <w:spacing w:line="360" w:lineRule="auto"/>
        <w:jc w:val="left"/>
        <w:rPr>
          <w:rFonts w:ascii="宋体" w:hAnsi="宋体" w:cs="宋体"/>
          <w:color w:val="000000" w:themeColor="text1"/>
          <w:sz w:val="24"/>
          <w14:textFill>
            <w14:solidFill>
              <w14:schemeClr w14:val="tx1"/>
            </w14:solidFill>
          </w14:textFill>
        </w:rPr>
      </w:pPr>
    </w:p>
    <w:p w14:paraId="16889114">
      <w:pPr>
        <w:spacing w:line="360" w:lineRule="auto"/>
        <w:jc w:val="left"/>
        <w:rPr>
          <w:rFonts w:ascii="宋体" w:hAnsi="宋体" w:cs="宋体"/>
          <w:color w:val="000000" w:themeColor="text1"/>
          <w:sz w:val="24"/>
          <w14:textFill>
            <w14:solidFill>
              <w14:schemeClr w14:val="tx1"/>
            </w14:solidFill>
          </w14:textFill>
        </w:rPr>
      </w:pPr>
    </w:p>
    <w:p w14:paraId="10327938">
      <w:pPr>
        <w:spacing w:line="360" w:lineRule="auto"/>
        <w:jc w:val="left"/>
        <w:rPr>
          <w:rFonts w:ascii="宋体" w:hAnsi="宋体" w:cs="宋体"/>
          <w:color w:val="000000" w:themeColor="text1"/>
          <w:sz w:val="24"/>
          <w14:textFill>
            <w14:solidFill>
              <w14:schemeClr w14:val="tx1"/>
            </w14:solidFill>
          </w14:textFill>
        </w:rPr>
      </w:pPr>
    </w:p>
    <w:p w14:paraId="7B6121B9">
      <w:pPr>
        <w:spacing w:line="360" w:lineRule="auto"/>
        <w:jc w:val="left"/>
        <w:rPr>
          <w:rFonts w:ascii="宋体" w:hAnsi="宋体" w:cs="宋体"/>
          <w:color w:val="000000" w:themeColor="text1"/>
          <w:sz w:val="24"/>
          <w14:textFill>
            <w14:solidFill>
              <w14:schemeClr w14:val="tx1"/>
            </w14:solidFill>
          </w14:textFill>
        </w:rPr>
      </w:pPr>
    </w:p>
    <w:p w14:paraId="5857A1E1">
      <w:pPr>
        <w:spacing w:line="360" w:lineRule="auto"/>
        <w:jc w:val="left"/>
        <w:rPr>
          <w:rFonts w:ascii="宋体" w:hAnsi="宋体" w:cs="宋体"/>
          <w:color w:val="000000" w:themeColor="text1"/>
          <w:sz w:val="24"/>
          <w14:textFill>
            <w14:solidFill>
              <w14:schemeClr w14:val="tx1"/>
            </w14:solidFill>
          </w14:textFill>
        </w:rPr>
      </w:pPr>
    </w:p>
    <w:p w14:paraId="34EA0F54">
      <w:pPr>
        <w:spacing w:line="360" w:lineRule="auto"/>
        <w:jc w:val="left"/>
        <w:rPr>
          <w:rFonts w:ascii="宋体" w:hAnsi="宋体" w:cs="宋体"/>
          <w:color w:val="000000" w:themeColor="text1"/>
          <w:sz w:val="24"/>
          <w14:textFill>
            <w14:solidFill>
              <w14:schemeClr w14:val="tx1"/>
            </w14:solidFill>
          </w14:textFill>
        </w:rPr>
      </w:pPr>
    </w:p>
    <w:p w14:paraId="125AD426">
      <w:pPr>
        <w:spacing w:line="360" w:lineRule="auto"/>
        <w:jc w:val="left"/>
        <w:rPr>
          <w:rFonts w:ascii="宋体" w:hAnsi="宋体" w:cs="宋体"/>
          <w:color w:val="000000" w:themeColor="text1"/>
          <w:sz w:val="24"/>
          <w14:textFill>
            <w14:solidFill>
              <w14:schemeClr w14:val="tx1"/>
            </w14:solidFill>
          </w14:textFill>
        </w:rPr>
      </w:pPr>
    </w:p>
    <w:p w14:paraId="418965FC">
      <w:pPr>
        <w:spacing w:line="360" w:lineRule="auto"/>
        <w:jc w:val="left"/>
        <w:rPr>
          <w:rFonts w:ascii="宋体" w:hAnsi="宋体" w:cs="宋体"/>
          <w:color w:val="000000" w:themeColor="text1"/>
          <w:sz w:val="24"/>
          <w14:textFill>
            <w14:solidFill>
              <w14:schemeClr w14:val="tx1"/>
            </w14:solidFill>
          </w14:textFill>
        </w:rPr>
      </w:pPr>
    </w:p>
    <w:p w14:paraId="4F1A4685">
      <w:pPr>
        <w:spacing w:line="360" w:lineRule="auto"/>
        <w:jc w:val="left"/>
        <w:rPr>
          <w:rFonts w:ascii="宋体" w:hAnsi="宋体" w:cs="宋体"/>
          <w:color w:val="000000" w:themeColor="text1"/>
          <w:sz w:val="24"/>
          <w14:textFill>
            <w14:solidFill>
              <w14:schemeClr w14:val="tx1"/>
            </w14:solidFill>
          </w14:textFill>
        </w:rPr>
      </w:pPr>
    </w:p>
    <w:p w14:paraId="3E102B37">
      <w:pPr>
        <w:spacing w:line="360" w:lineRule="auto"/>
        <w:jc w:val="left"/>
        <w:rPr>
          <w:rFonts w:ascii="宋体" w:hAnsi="宋体" w:cs="宋体"/>
          <w:color w:val="000000" w:themeColor="text1"/>
          <w:sz w:val="24"/>
          <w14:textFill>
            <w14:solidFill>
              <w14:schemeClr w14:val="tx1"/>
            </w14:solidFill>
          </w14:textFill>
        </w:rPr>
      </w:pPr>
    </w:p>
    <w:p w14:paraId="0D56C117">
      <w:pPr>
        <w:spacing w:line="360" w:lineRule="auto"/>
        <w:jc w:val="left"/>
        <w:rPr>
          <w:rFonts w:ascii="宋体" w:hAnsi="宋体" w:cs="宋体"/>
          <w:color w:val="000000" w:themeColor="text1"/>
          <w:sz w:val="24"/>
          <w14:textFill>
            <w14:solidFill>
              <w14:schemeClr w14:val="tx1"/>
            </w14:solidFill>
          </w14:textFill>
        </w:rPr>
      </w:pPr>
    </w:p>
    <w:p w14:paraId="543A363E">
      <w:pPr>
        <w:spacing w:line="360" w:lineRule="auto"/>
        <w:jc w:val="left"/>
        <w:rPr>
          <w:rFonts w:ascii="宋体" w:hAnsi="宋体" w:cs="宋体"/>
          <w:color w:val="000000" w:themeColor="text1"/>
          <w:sz w:val="24"/>
          <w14:textFill>
            <w14:solidFill>
              <w14:schemeClr w14:val="tx1"/>
            </w14:solidFill>
          </w14:textFill>
        </w:rPr>
      </w:pPr>
    </w:p>
    <w:p w14:paraId="583FCCC7">
      <w:pPr>
        <w:spacing w:line="360" w:lineRule="auto"/>
        <w:jc w:val="left"/>
        <w:rPr>
          <w:rFonts w:ascii="宋体" w:hAnsi="宋体" w:cs="宋体"/>
          <w:color w:val="000000" w:themeColor="text1"/>
          <w:sz w:val="24"/>
          <w14:textFill>
            <w14:solidFill>
              <w14:schemeClr w14:val="tx1"/>
            </w14:solidFill>
          </w14:textFill>
        </w:rPr>
      </w:pPr>
    </w:p>
    <w:p w14:paraId="229FC97C">
      <w:pPr>
        <w:spacing w:line="360" w:lineRule="auto"/>
        <w:jc w:val="left"/>
        <w:rPr>
          <w:rFonts w:ascii="宋体" w:hAnsi="宋体" w:cs="宋体"/>
          <w:color w:val="000000" w:themeColor="text1"/>
          <w:sz w:val="24"/>
          <w14:textFill>
            <w14:solidFill>
              <w14:schemeClr w14:val="tx1"/>
            </w14:solidFill>
          </w14:textFill>
        </w:rPr>
      </w:pPr>
    </w:p>
    <w:p w14:paraId="7E609DE6">
      <w:pPr>
        <w:spacing w:line="336" w:lineRule="auto"/>
        <w:jc w:val="left"/>
        <w:rPr>
          <w:rFonts w:ascii="宋体" w:hAnsi="宋体" w:cs="宋体"/>
          <w:color w:val="000000" w:themeColor="text1"/>
          <w:sz w:val="24"/>
          <w14:textFill>
            <w14:solidFill>
              <w14:schemeClr w14:val="tx1"/>
            </w14:solidFill>
          </w14:textFill>
        </w:rPr>
      </w:pPr>
    </w:p>
    <w:p w14:paraId="7427E644">
      <w:pPr>
        <w:pStyle w:val="18"/>
        <w:rPr>
          <w:color w:val="000000" w:themeColor="text1"/>
          <w:sz w:val="30"/>
          <w:szCs w:val="30"/>
          <w14:textFill>
            <w14:solidFill>
              <w14:schemeClr w14:val="tx1"/>
            </w14:solidFill>
          </w14:textFill>
        </w:rPr>
      </w:pPr>
      <w:bookmarkStart w:id="56" w:name="_Toc195875480"/>
      <w:r>
        <w:rPr>
          <w:rFonts w:hint="eastAsia"/>
          <w:color w:val="000000" w:themeColor="text1"/>
          <w:sz w:val="30"/>
          <w:szCs w:val="30"/>
          <w14:textFill>
            <w14:solidFill>
              <w14:schemeClr w14:val="tx1"/>
            </w14:solidFill>
          </w14:textFill>
        </w:rPr>
        <w:t>格式3 投标函</w:t>
      </w:r>
      <w:bookmarkEnd w:id="56"/>
    </w:p>
    <w:p w14:paraId="150670FD">
      <w:pPr>
        <w:pStyle w:val="21"/>
        <w:shd w:val="clear" w:color="auto" w:fill="FFFFFF"/>
        <w:adjustRightInd w:val="0"/>
        <w:snapToGrid w:val="0"/>
        <w:spacing w:before="0" w:beforeAutospacing="0" w:after="0" w:afterAutospacing="0" w:line="336" w:lineRule="auto"/>
        <w:rPr>
          <w:rFonts w:cs="宋体"/>
          <w:color w:val="000000" w:themeColor="text1"/>
          <w14:textFill>
            <w14:solidFill>
              <w14:schemeClr w14:val="tx1"/>
            </w14:solidFill>
          </w14:textFill>
        </w:rPr>
      </w:pPr>
      <w:r>
        <w:rPr>
          <w:rFonts w:hint="eastAsia" w:cs="宋体"/>
          <w:color w:val="000000" w:themeColor="text1"/>
          <w:szCs w:val="24"/>
          <w14:textFill>
            <w14:solidFill>
              <w14:schemeClr w14:val="tx1"/>
            </w14:solidFill>
          </w14:textFill>
        </w:rPr>
        <w:t>致：</w:t>
      </w:r>
      <w:r>
        <w:rPr>
          <w:rFonts w:hint="eastAsia" w:cs="宋体"/>
          <w:color w:val="000000" w:themeColor="text1"/>
          <w:kern w:val="2"/>
          <w14:textFill>
            <w14:solidFill>
              <w14:schemeClr w14:val="tx1"/>
            </w14:solidFill>
          </w14:textFill>
        </w:rPr>
        <w:t>（采购人或采购代理机构）</w:t>
      </w:r>
    </w:p>
    <w:p w14:paraId="69B5B9B3">
      <w:pPr>
        <w:pStyle w:val="35"/>
        <w:spacing w:line="336"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w:t>
      </w:r>
      <w:r>
        <w:rPr>
          <w:rFonts w:hint="eastAsia" w:ascii="宋体" w:hAnsi="宋体"/>
          <w:color w:val="000000" w:themeColor="text1"/>
          <w:sz w:val="24"/>
          <w:szCs w:val="24"/>
          <w:u w:val="single"/>
          <w14:textFill>
            <w14:solidFill>
              <w14:schemeClr w14:val="tx1"/>
            </w14:solidFill>
          </w14:textFill>
        </w:rPr>
        <w:t>（本项目名称）</w:t>
      </w:r>
      <w:r>
        <w:rPr>
          <w:rFonts w:hint="eastAsia" w:ascii="宋体" w:hAnsi="宋体"/>
          <w:color w:val="000000" w:themeColor="text1"/>
          <w:sz w:val="24"/>
          <w:szCs w:val="24"/>
          <w14:textFill>
            <w14:solidFill>
              <w14:schemeClr w14:val="tx1"/>
            </w14:solidFill>
          </w14:textFill>
        </w:rPr>
        <w:t>项目的竞争性磋商邀请（项目编号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），委托代理人         (全名、职务)代表         供应商名称、地址)提交投标文件，报价为</w:t>
      </w:r>
      <w:r>
        <w:rPr>
          <w:rFonts w:hint="eastAsia" w:ascii="宋体" w:hAnsi="宋体"/>
          <w:color w:val="000000" w:themeColor="text1"/>
          <w:sz w:val="24"/>
          <w:szCs w:val="24"/>
          <w:u w:val="single"/>
          <w14:textFill>
            <w14:solidFill>
              <w14:schemeClr w14:val="tx1"/>
            </w14:solidFill>
          </w14:textFill>
        </w:rPr>
        <w:t>：    元，</w:t>
      </w:r>
      <w:r>
        <w:rPr>
          <w:rFonts w:hint="eastAsia" w:ascii="宋体" w:hAnsi="宋体"/>
          <w:color w:val="000000" w:themeColor="text1"/>
          <w:sz w:val="24"/>
          <w:szCs w:val="24"/>
          <w14:textFill>
            <w14:solidFill>
              <w14:schemeClr w14:val="tx1"/>
            </w14:solidFill>
          </w14:textFill>
        </w:rPr>
        <w:t>并对之负法律责任。</w:t>
      </w:r>
    </w:p>
    <w:p w14:paraId="018494DF">
      <w:pPr>
        <w:spacing w:line="336" w:lineRule="auto"/>
        <w:ind w:firstLine="568" w:firstLineChars="23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据此函，宣布同意如下：</w:t>
      </w:r>
    </w:p>
    <w:p w14:paraId="74155632">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(1)我们完全理解贵方不一定要接受最低报价，并同意本文件规定的响应性文件有效期。</w:t>
      </w:r>
    </w:p>
    <w:p w14:paraId="2EC1C4FA">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(2)我们已详细审核全部竞争性磋商文件，我们知道必须放弃提出含糊不清或误解的问题的权利。</w:t>
      </w:r>
    </w:p>
    <w:p w14:paraId="33051B6C">
      <w:pPr>
        <w:numPr>
          <w:ilvl w:val="0"/>
          <w:numId w:val="2"/>
        </w:num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同意向贵方提供贵方可能另外要求的与其竞争性磋商有关的任何证据和资料。</w:t>
      </w:r>
    </w:p>
    <w:p w14:paraId="575E0363">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(4)一旦我们成交，我们将严格履行合同责任和义务。</w:t>
      </w:r>
    </w:p>
    <w:p w14:paraId="46AF6B7B">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(5)我们完全理解不向未成交人解释未成交理由的义务。</w:t>
      </w:r>
    </w:p>
    <w:p w14:paraId="03DCF1F9">
      <w:pPr>
        <w:spacing w:line="336"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如果我们的</w:t>
      </w:r>
      <w:r>
        <w:rPr>
          <w:rFonts w:hint="eastAsia" w:ascii="宋体" w:hAnsi="宋体" w:cs="宋体"/>
          <w:color w:val="000000" w:themeColor="text1"/>
          <w:sz w:val="24"/>
          <w14:textFill>
            <w14:solidFill>
              <w14:schemeClr w14:val="tx1"/>
            </w14:solidFill>
          </w14:textFill>
        </w:rPr>
        <w:t>磋商</w:t>
      </w:r>
      <w:r>
        <w:rPr>
          <w:rFonts w:hint="eastAsia" w:ascii="宋体" w:hAnsi="宋体" w:cs="宋体"/>
          <w:color w:val="000000" w:themeColor="text1"/>
          <w:sz w:val="24"/>
          <w:lang w:val="zh-CN"/>
          <w14:textFill>
            <w14:solidFill>
              <w14:schemeClr w14:val="tx1"/>
            </w14:solidFill>
          </w14:textFill>
        </w:rPr>
        <w:t>响应文件被接受，我们将履行</w:t>
      </w:r>
      <w:r>
        <w:rPr>
          <w:rFonts w:hint="eastAsia" w:ascii="宋体" w:hAnsi="宋体" w:cs="宋体"/>
          <w:color w:val="000000" w:themeColor="text1"/>
          <w:sz w:val="24"/>
          <w14:textFill>
            <w14:solidFill>
              <w14:schemeClr w14:val="tx1"/>
            </w14:solidFill>
          </w14:textFill>
        </w:rPr>
        <w:t>磋商</w:t>
      </w:r>
      <w:r>
        <w:rPr>
          <w:rFonts w:hint="eastAsia" w:ascii="宋体" w:hAnsi="宋体" w:cs="宋体"/>
          <w:color w:val="000000" w:themeColor="text1"/>
          <w:sz w:val="24"/>
          <w:lang w:val="zh-CN"/>
          <w14:textFill>
            <w14:solidFill>
              <w14:schemeClr w14:val="tx1"/>
            </w14:solidFill>
          </w14:textFill>
        </w:rPr>
        <w:t>文件中规定的每一项要求，按期、按质、按量履行合同。</w:t>
      </w:r>
    </w:p>
    <w:p w14:paraId="6CA53BB6">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lang w:val="zh-CN"/>
          <w14:textFill>
            <w14:solidFill>
              <w14:schemeClr w14:val="tx1"/>
            </w14:solidFill>
          </w14:textFill>
        </w:rPr>
        <w:t>我方愿按《中华人民共和国民法典》履行我方的全部责任。</w:t>
      </w:r>
    </w:p>
    <w:p w14:paraId="69705E3E">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(8)与本次竞争性磋商有关的正式通讯地址为：</w:t>
      </w:r>
    </w:p>
    <w:p w14:paraId="7909EB37">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                  邮 编：</w:t>
      </w:r>
    </w:p>
    <w:p w14:paraId="54FF7D23">
      <w:pPr>
        <w:spacing w:line="33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                  电子信箱：</w:t>
      </w:r>
    </w:p>
    <w:p w14:paraId="753B4972">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我们保证：</w:t>
      </w:r>
    </w:p>
    <w:p w14:paraId="6296D8DC">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(1)不提供虚假材料谋取成交；</w:t>
      </w:r>
    </w:p>
    <w:p w14:paraId="27696D78">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(2)不以不正当手段抵毁、排挤其他供应商；</w:t>
      </w:r>
    </w:p>
    <w:p w14:paraId="01146A0A">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(3)不与采购人和其它供应商恶意串通；</w:t>
      </w:r>
    </w:p>
    <w:p w14:paraId="3DC398A2">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(4)不向采购人和采购代理机构提供不正当利益；</w:t>
      </w:r>
    </w:p>
    <w:p w14:paraId="3FCC944A">
      <w:pPr>
        <w:spacing w:line="336"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(5)不拒绝有关部门监督检查或提供虚假情况。</w:t>
      </w:r>
    </w:p>
    <w:p w14:paraId="31328040">
      <w:pPr>
        <w:spacing w:line="336" w:lineRule="auto"/>
        <w:jc w:val="left"/>
        <w:rPr>
          <w:rFonts w:ascii="宋体" w:hAnsi="宋体" w:cs="宋体"/>
          <w:color w:val="000000" w:themeColor="text1"/>
          <w:sz w:val="24"/>
          <w14:textFill>
            <w14:solidFill>
              <w14:schemeClr w14:val="tx1"/>
            </w14:solidFill>
          </w14:textFill>
        </w:rPr>
      </w:pPr>
    </w:p>
    <w:p w14:paraId="4FAD5D76">
      <w:pPr>
        <w:spacing w:line="336"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联系人：              联系电话：</w:t>
      </w:r>
    </w:p>
    <w:p w14:paraId="582E3630">
      <w:pPr>
        <w:spacing w:line="336"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14:paraId="7111D0D7">
      <w:pPr>
        <w:spacing w:line="336"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7FC8C311">
      <w:pPr>
        <w:pStyle w:val="18"/>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57" w:name="_Toc195875481"/>
      <w:r>
        <w:rPr>
          <w:rFonts w:hint="eastAsia" w:ascii="宋体" w:hAnsi="宋体"/>
          <w:color w:val="000000" w:themeColor="text1"/>
          <w14:textFill>
            <w14:solidFill>
              <w14:schemeClr w14:val="tx1"/>
            </w14:solidFill>
          </w14:textFill>
        </w:rPr>
        <w:t>格式4</w:t>
      </w:r>
      <w:bookmarkStart w:id="58" w:name="_Toc197934561"/>
      <w:bookmarkStart w:id="59" w:name="_Toc495414231"/>
      <w:r>
        <w:rPr>
          <w:rFonts w:hint="eastAsia" w:ascii="宋体" w:hAnsi="宋体"/>
          <w:color w:val="000000" w:themeColor="text1"/>
          <w14:textFill>
            <w14:solidFill>
              <w14:schemeClr w14:val="tx1"/>
            </w14:solidFill>
          </w14:textFill>
        </w:rPr>
        <w:t xml:space="preserve"> 报价一览表</w:t>
      </w:r>
      <w:bookmarkEnd w:id="57"/>
      <w:bookmarkEnd w:id="58"/>
      <w:bookmarkEnd w:id="59"/>
    </w:p>
    <w:tbl>
      <w:tblPr>
        <w:tblStyle w:val="2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7C5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6ABE36B">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667" w:type="dxa"/>
            <w:tcBorders>
              <w:top w:val="single" w:color="auto" w:sz="4" w:space="0"/>
              <w:bottom w:val="single" w:color="auto" w:sz="4" w:space="0"/>
              <w:right w:val="single" w:color="auto" w:sz="4" w:space="0"/>
            </w:tcBorders>
            <w:vAlign w:val="center"/>
          </w:tcPr>
          <w:p w14:paraId="24159D48">
            <w:pPr>
              <w:spacing w:line="360" w:lineRule="exact"/>
              <w:jc w:val="center"/>
              <w:rPr>
                <w:rFonts w:ascii="宋体" w:hAnsi="宋体" w:cs="宋体"/>
                <w:color w:val="000000" w:themeColor="text1"/>
                <w:sz w:val="24"/>
                <w14:textFill>
                  <w14:solidFill>
                    <w14:schemeClr w14:val="tx1"/>
                  </w14:solidFill>
                </w14:textFill>
              </w:rPr>
            </w:pPr>
          </w:p>
        </w:tc>
      </w:tr>
      <w:tr w14:paraId="429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F862F68">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w:t>
            </w:r>
          </w:p>
        </w:tc>
        <w:tc>
          <w:tcPr>
            <w:tcW w:w="6667" w:type="dxa"/>
            <w:tcBorders>
              <w:top w:val="nil"/>
            </w:tcBorders>
            <w:vAlign w:val="center"/>
          </w:tcPr>
          <w:p w14:paraId="4BC1FE35">
            <w:pPr>
              <w:spacing w:line="360" w:lineRule="auto"/>
              <w:rPr>
                <w:rFonts w:ascii="宋体" w:hAnsi="宋体" w:cs="宋体"/>
                <w:color w:val="000000" w:themeColor="text1"/>
                <w:sz w:val="24"/>
                <w14:textFill>
                  <w14:solidFill>
                    <w14:schemeClr w14:val="tx1"/>
                  </w14:solidFill>
                </w14:textFill>
              </w:rPr>
            </w:pPr>
          </w:p>
        </w:tc>
      </w:tr>
      <w:tr w14:paraId="67C9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0EB47D6">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最终投标报价（包：）</w:t>
            </w:r>
          </w:p>
          <w:p w14:paraId="7C5551AC">
            <w:pPr>
              <w:spacing w:line="3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6667" w:type="dxa"/>
            <w:tcBorders>
              <w:top w:val="nil"/>
            </w:tcBorders>
            <w:vAlign w:val="center"/>
          </w:tcPr>
          <w:p w14:paraId="10FC4713">
            <w:pPr>
              <w:spacing w:line="360" w:lineRule="auto"/>
              <w:ind w:right="-67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投标总价：       大写：           </w:t>
            </w:r>
          </w:p>
        </w:tc>
      </w:tr>
      <w:tr w14:paraId="1F2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2082CD6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6667" w:type="dxa"/>
            <w:tcBorders>
              <w:top w:val="nil"/>
            </w:tcBorders>
            <w:vAlign w:val="center"/>
          </w:tcPr>
          <w:p w14:paraId="220E538C">
            <w:pPr>
              <w:spacing w:line="360" w:lineRule="auto"/>
              <w:jc w:val="left"/>
              <w:rPr>
                <w:rFonts w:ascii="宋体" w:hAnsi="宋体" w:cs="宋体"/>
                <w:color w:val="000000" w:themeColor="text1"/>
                <w:sz w:val="24"/>
                <w14:textFill>
                  <w14:solidFill>
                    <w14:schemeClr w14:val="tx1"/>
                  </w14:solidFill>
                </w14:textFill>
              </w:rPr>
            </w:pPr>
          </w:p>
        </w:tc>
      </w:tr>
    </w:tbl>
    <w:p w14:paraId="0CB5B4ED">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14:paraId="7C6503F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14:paraId="3E90EC8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1、此表用于开标会唱标之用。</w:t>
      </w:r>
    </w:p>
    <w:p w14:paraId="493F863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2、表中最终投标报价即为优惠后报价，并作为评审及定标依据。任何有选择或有条件的最终投标报价，或者表中某一包填写多个报价，均为无效报价，供应商须在报价处加盖单位公章。</w:t>
      </w:r>
    </w:p>
    <w:p w14:paraId="4466D41C">
      <w:pPr>
        <w:spacing w:line="360" w:lineRule="auto"/>
        <w:jc w:val="left"/>
        <w:rPr>
          <w:rFonts w:ascii="宋体" w:hAnsi="宋体" w:cs="宋体"/>
          <w:color w:val="000000" w:themeColor="text1"/>
          <w:sz w:val="24"/>
          <w14:textFill>
            <w14:solidFill>
              <w14:schemeClr w14:val="tx1"/>
            </w14:solidFill>
          </w14:textFill>
        </w:rPr>
      </w:pPr>
      <w:bookmarkStart w:id="60" w:name="_Toc220232409"/>
      <w:bookmarkStart w:id="61" w:name="_Toc495414234"/>
    </w:p>
    <w:p w14:paraId="716F40BC">
      <w:pPr>
        <w:pStyle w:val="30"/>
        <w:ind w:firstLine="240"/>
        <w:rPr>
          <w:rFonts w:ascii="宋体" w:hAnsi="宋体" w:cs="宋体"/>
          <w:color w:val="000000" w:themeColor="text1"/>
          <w:sz w:val="24"/>
          <w14:textFill>
            <w14:solidFill>
              <w14:schemeClr w14:val="tx1"/>
            </w14:solidFill>
          </w14:textFill>
        </w:rPr>
      </w:pPr>
    </w:p>
    <w:p w14:paraId="0614B697">
      <w:pPr>
        <w:pStyle w:val="30"/>
        <w:ind w:firstLine="240"/>
        <w:rPr>
          <w:rFonts w:ascii="宋体" w:hAnsi="宋体" w:cs="宋体"/>
          <w:color w:val="000000" w:themeColor="text1"/>
          <w:sz w:val="24"/>
          <w14:textFill>
            <w14:solidFill>
              <w14:schemeClr w14:val="tx1"/>
            </w14:solidFill>
          </w14:textFill>
        </w:rPr>
      </w:pPr>
    </w:p>
    <w:p w14:paraId="1C2EEA67">
      <w:pPr>
        <w:pStyle w:val="30"/>
        <w:ind w:firstLine="240"/>
        <w:rPr>
          <w:rFonts w:ascii="宋体" w:hAnsi="宋体" w:cs="宋体"/>
          <w:color w:val="000000" w:themeColor="text1"/>
          <w:sz w:val="24"/>
          <w14:textFill>
            <w14:solidFill>
              <w14:schemeClr w14:val="tx1"/>
            </w14:solidFill>
          </w14:textFill>
        </w:rPr>
      </w:pPr>
    </w:p>
    <w:p w14:paraId="5CBFFBBE">
      <w:pPr>
        <w:pStyle w:val="30"/>
        <w:ind w:firstLine="240"/>
        <w:rPr>
          <w:rFonts w:ascii="宋体" w:hAnsi="宋体" w:cs="宋体"/>
          <w:color w:val="000000" w:themeColor="text1"/>
          <w:sz w:val="24"/>
          <w14:textFill>
            <w14:solidFill>
              <w14:schemeClr w14:val="tx1"/>
            </w14:solidFill>
          </w14:textFill>
        </w:rPr>
      </w:pPr>
    </w:p>
    <w:p w14:paraId="4C29A29B">
      <w:pPr>
        <w:pStyle w:val="30"/>
        <w:ind w:firstLine="240"/>
        <w:rPr>
          <w:rFonts w:ascii="宋体" w:hAnsi="宋体" w:cs="宋体"/>
          <w:color w:val="000000" w:themeColor="text1"/>
          <w:sz w:val="24"/>
          <w14:textFill>
            <w14:solidFill>
              <w14:schemeClr w14:val="tx1"/>
            </w14:solidFill>
          </w14:textFill>
        </w:rPr>
      </w:pPr>
    </w:p>
    <w:p w14:paraId="36E5C819">
      <w:pPr>
        <w:pStyle w:val="30"/>
        <w:ind w:firstLine="240"/>
        <w:rPr>
          <w:rFonts w:ascii="宋体" w:hAnsi="宋体" w:cs="宋体"/>
          <w:color w:val="000000" w:themeColor="text1"/>
          <w:sz w:val="24"/>
          <w14:textFill>
            <w14:solidFill>
              <w14:schemeClr w14:val="tx1"/>
            </w14:solidFill>
          </w14:textFill>
        </w:rPr>
      </w:pPr>
    </w:p>
    <w:p w14:paraId="46564F18">
      <w:pPr>
        <w:pStyle w:val="30"/>
        <w:ind w:firstLine="240"/>
        <w:rPr>
          <w:rFonts w:ascii="宋体" w:hAnsi="宋体" w:cs="宋体"/>
          <w:color w:val="000000" w:themeColor="text1"/>
          <w:sz w:val="24"/>
          <w14:textFill>
            <w14:solidFill>
              <w14:schemeClr w14:val="tx1"/>
            </w14:solidFill>
          </w14:textFill>
        </w:rPr>
      </w:pPr>
    </w:p>
    <w:p w14:paraId="1353C04B">
      <w:pPr>
        <w:pStyle w:val="30"/>
        <w:ind w:firstLine="240"/>
        <w:rPr>
          <w:rFonts w:ascii="宋体" w:hAnsi="宋体" w:cs="宋体"/>
          <w:color w:val="000000" w:themeColor="text1"/>
          <w:sz w:val="24"/>
          <w14:textFill>
            <w14:solidFill>
              <w14:schemeClr w14:val="tx1"/>
            </w14:solidFill>
          </w14:textFill>
        </w:rPr>
      </w:pPr>
    </w:p>
    <w:p w14:paraId="141EE314">
      <w:pPr>
        <w:pStyle w:val="18"/>
        <w:rPr>
          <w:color w:val="000000" w:themeColor="text1"/>
          <w:sz w:val="30"/>
          <w:szCs w:val="30"/>
          <w14:textFill>
            <w14:solidFill>
              <w14:schemeClr w14:val="tx1"/>
            </w14:solidFill>
          </w14:textFill>
        </w:rPr>
      </w:pPr>
      <w:bookmarkStart w:id="62" w:name="_Toc195875482"/>
      <w:r>
        <w:rPr>
          <w:rFonts w:hint="eastAsia"/>
          <w:color w:val="000000" w:themeColor="text1"/>
          <w:sz w:val="30"/>
          <w:szCs w:val="30"/>
          <w14:textFill>
            <w14:solidFill>
              <w14:schemeClr w14:val="tx1"/>
            </w14:solidFill>
          </w14:textFill>
        </w:rPr>
        <w:t>格式5 投标分项报价表</w:t>
      </w:r>
      <w:bookmarkEnd w:id="60"/>
      <w:bookmarkEnd w:id="61"/>
      <w:bookmarkEnd w:id="62"/>
    </w:p>
    <w:tbl>
      <w:tblPr>
        <w:tblStyle w:val="25"/>
        <w:tblW w:w="92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319"/>
        <w:gridCol w:w="1006"/>
        <w:gridCol w:w="883"/>
        <w:gridCol w:w="1325"/>
        <w:gridCol w:w="1409"/>
        <w:gridCol w:w="1417"/>
      </w:tblGrid>
      <w:tr w14:paraId="6DC2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vAlign w:val="center"/>
          </w:tcPr>
          <w:p w14:paraId="2975CA97">
            <w:pPr>
              <w:pStyle w:val="39"/>
              <w:widowControl w:val="0"/>
              <w:spacing w:before="0" w:beforeAutospacing="0" w:after="0" w:afterAutospacing="0" w:line="340" w:lineRule="exact"/>
              <w:rPr>
                <w:rFonts w:cs="宋体"/>
                <w:b w:val="0"/>
                <w:bCs w:val="0"/>
                <w:color w:val="000000" w:themeColor="text1"/>
                <w:kern w:val="2"/>
                <w:sz w:val="24"/>
                <w:szCs w:val="24"/>
                <w14:textFill>
                  <w14:solidFill>
                    <w14:schemeClr w14:val="tx1"/>
                  </w14:solidFill>
                </w14:textFill>
              </w:rPr>
            </w:pPr>
            <w:r>
              <w:rPr>
                <w:rFonts w:hint="eastAsia" w:cs="宋体"/>
                <w:b w:val="0"/>
                <w:bCs w:val="0"/>
                <w:color w:val="000000" w:themeColor="text1"/>
                <w:kern w:val="2"/>
                <w:sz w:val="24"/>
                <w:szCs w:val="24"/>
                <w14:textFill>
                  <w14:solidFill>
                    <w14:schemeClr w14:val="tx1"/>
                  </w14:solidFill>
                </w14:textFill>
              </w:rPr>
              <w:t>序号</w:t>
            </w:r>
          </w:p>
        </w:tc>
        <w:tc>
          <w:tcPr>
            <w:tcW w:w="2319" w:type="dxa"/>
            <w:vAlign w:val="center"/>
          </w:tcPr>
          <w:p w14:paraId="125AAE33">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服务项目名称</w:t>
            </w:r>
          </w:p>
        </w:tc>
        <w:tc>
          <w:tcPr>
            <w:tcW w:w="1006" w:type="dxa"/>
            <w:vAlign w:val="center"/>
          </w:tcPr>
          <w:p w14:paraId="75D638BC">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883" w:type="dxa"/>
            <w:vAlign w:val="center"/>
          </w:tcPr>
          <w:p w14:paraId="552ED892">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325" w:type="dxa"/>
            <w:vAlign w:val="center"/>
          </w:tcPr>
          <w:p w14:paraId="36328155">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w:t>
            </w:r>
          </w:p>
        </w:tc>
        <w:tc>
          <w:tcPr>
            <w:tcW w:w="1409" w:type="dxa"/>
            <w:vAlign w:val="center"/>
          </w:tcPr>
          <w:p w14:paraId="6F55011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小计</w:t>
            </w:r>
          </w:p>
        </w:tc>
        <w:tc>
          <w:tcPr>
            <w:tcW w:w="1417" w:type="dxa"/>
            <w:vAlign w:val="center"/>
          </w:tcPr>
          <w:p w14:paraId="4DEA6531">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7A2F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Borders>
              <w:bottom w:val="single" w:color="auto" w:sz="4" w:space="0"/>
            </w:tcBorders>
          </w:tcPr>
          <w:p w14:paraId="77B31169">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319" w:type="dxa"/>
          </w:tcPr>
          <w:p w14:paraId="64484146">
            <w:pPr>
              <w:spacing w:line="340" w:lineRule="exact"/>
              <w:rPr>
                <w:rFonts w:ascii="宋体" w:hAnsi="宋体" w:cs="宋体"/>
                <w:color w:val="000000" w:themeColor="text1"/>
                <w:sz w:val="24"/>
                <w14:textFill>
                  <w14:solidFill>
                    <w14:schemeClr w14:val="tx1"/>
                  </w14:solidFill>
                </w14:textFill>
              </w:rPr>
            </w:pPr>
          </w:p>
        </w:tc>
        <w:tc>
          <w:tcPr>
            <w:tcW w:w="1006" w:type="dxa"/>
          </w:tcPr>
          <w:p w14:paraId="3B0A02E2">
            <w:pPr>
              <w:spacing w:line="340" w:lineRule="exact"/>
              <w:rPr>
                <w:rFonts w:ascii="宋体" w:hAnsi="宋体" w:cs="宋体"/>
                <w:color w:val="000000" w:themeColor="text1"/>
                <w:sz w:val="24"/>
                <w14:textFill>
                  <w14:solidFill>
                    <w14:schemeClr w14:val="tx1"/>
                  </w14:solidFill>
                </w14:textFill>
              </w:rPr>
            </w:pPr>
          </w:p>
        </w:tc>
        <w:tc>
          <w:tcPr>
            <w:tcW w:w="883" w:type="dxa"/>
          </w:tcPr>
          <w:p w14:paraId="687E710F">
            <w:pPr>
              <w:spacing w:line="340" w:lineRule="exact"/>
              <w:rPr>
                <w:rFonts w:ascii="宋体" w:hAnsi="宋体" w:cs="宋体"/>
                <w:color w:val="000000" w:themeColor="text1"/>
                <w:sz w:val="24"/>
                <w14:textFill>
                  <w14:solidFill>
                    <w14:schemeClr w14:val="tx1"/>
                  </w14:solidFill>
                </w14:textFill>
              </w:rPr>
            </w:pPr>
          </w:p>
        </w:tc>
        <w:tc>
          <w:tcPr>
            <w:tcW w:w="1325" w:type="dxa"/>
          </w:tcPr>
          <w:p w14:paraId="0F156B59">
            <w:pPr>
              <w:spacing w:line="340" w:lineRule="exact"/>
              <w:rPr>
                <w:rFonts w:ascii="宋体" w:hAnsi="宋体" w:cs="宋体"/>
                <w:color w:val="000000" w:themeColor="text1"/>
                <w:sz w:val="24"/>
                <w14:textFill>
                  <w14:solidFill>
                    <w14:schemeClr w14:val="tx1"/>
                  </w14:solidFill>
                </w14:textFill>
              </w:rPr>
            </w:pPr>
          </w:p>
        </w:tc>
        <w:tc>
          <w:tcPr>
            <w:tcW w:w="1409" w:type="dxa"/>
          </w:tcPr>
          <w:p w14:paraId="15E42AC9">
            <w:pPr>
              <w:spacing w:line="340" w:lineRule="exact"/>
              <w:rPr>
                <w:rFonts w:ascii="宋体" w:hAnsi="宋体" w:cs="宋体"/>
                <w:color w:val="000000" w:themeColor="text1"/>
                <w:sz w:val="24"/>
                <w14:textFill>
                  <w14:solidFill>
                    <w14:schemeClr w14:val="tx1"/>
                  </w14:solidFill>
                </w14:textFill>
              </w:rPr>
            </w:pPr>
          </w:p>
        </w:tc>
        <w:tc>
          <w:tcPr>
            <w:tcW w:w="1417" w:type="dxa"/>
          </w:tcPr>
          <w:p w14:paraId="20AA1DDA">
            <w:pPr>
              <w:spacing w:line="340" w:lineRule="exact"/>
              <w:rPr>
                <w:rFonts w:ascii="宋体" w:hAnsi="宋体" w:cs="宋体"/>
                <w:color w:val="000000" w:themeColor="text1"/>
                <w:sz w:val="24"/>
                <w14:textFill>
                  <w14:solidFill>
                    <w14:schemeClr w14:val="tx1"/>
                  </w14:solidFill>
                </w14:textFill>
              </w:rPr>
            </w:pPr>
          </w:p>
        </w:tc>
      </w:tr>
      <w:tr w14:paraId="58C0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14:paraId="07584032">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319" w:type="dxa"/>
          </w:tcPr>
          <w:p w14:paraId="0B388A35">
            <w:pPr>
              <w:spacing w:line="340" w:lineRule="exact"/>
              <w:rPr>
                <w:rFonts w:ascii="宋体" w:hAnsi="宋体" w:cs="宋体"/>
                <w:color w:val="000000" w:themeColor="text1"/>
                <w:sz w:val="24"/>
                <w14:textFill>
                  <w14:solidFill>
                    <w14:schemeClr w14:val="tx1"/>
                  </w14:solidFill>
                </w14:textFill>
              </w:rPr>
            </w:pPr>
          </w:p>
        </w:tc>
        <w:tc>
          <w:tcPr>
            <w:tcW w:w="1006" w:type="dxa"/>
          </w:tcPr>
          <w:p w14:paraId="06BC1103">
            <w:pPr>
              <w:spacing w:line="340" w:lineRule="exact"/>
              <w:rPr>
                <w:rFonts w:ascii="宋体" w:hAnsi="宋体" w:cs="宋体"/>
                <w:color w:val="000000" w:themeColor="text1"/>
                <w:sz w:val="24"/>
                <w14:textFill>
                  <w14:solidFill>
                    <w14:schemeClr w14:val="tx1"/>
                  </w14:solidFill>
                </w14:textFill>
              </w:rPr>
            </w:pPr>
          </w:p>
        </w:tc>
        <w:tc>
          <w:tcPr>
            <w:tcW w:w="883" w:type="dxa"/>
          </w:tcPr>
          <w:p w14:paraId="7B523C22">
            <w:pPr>
              <w:spacing w:line="340" w:lineRule="exact"/>
              <w:rPr>
                <w:rFonts w:ascii="宋体" w:hAnsi="宋体" w:cs="宋体"/>
                <w:color w:val="000000" w:themeColor="text1"/>
                <w:sz w:val="24"/>
                <w14:textFill>
                  <w14:solidFill>
                    <w14:schemeClr w14:val="tx1"/>
                  </w14:solidFill>
                </w14:textFill>
              </w:rPr>
            </w:pPr>
          </w:p>
        </w:tc>
        <w:tc>
          <w:tcPr>
            <w:tcW w:w="1325" w:type="dxa"/>
          </w:tcPr>
          <w:p w14:paraId="04204329">
            <w:pPr>
              <w:spacing w:line="340" w:lineRule="exact"/>
              <w:rPr>
                <w:rFonts w:ascii="宋体" w:hAnsi="宋体" w:cs="宋体"/>
                <w:color w:val="000000" w:themeColor="text1"/>
                <w:sz w:val="24"/>
                <w14:textFill>
                  <w14:solidFill>
                    <w14:schemeClr w14:val="tx1"/>
                  </w14:solidFill>
                </w14:textFill>
              </w:rPr>
            </w:pPr>
          </w:p>
        </w:tc>
        <w:tc>
          <w:tcPr>
            <w:tcW w:w="1409" w:type="dxa"/>
          </w:tcPr>
          <w:p w14:paraId="108B1CFD">
            <w:pPr>
              <w:spacing w:line="340" w:lineRule="exact"/>
              <w:rPr>
                <w:rFonts w:ascii="宋体" w:hAnsi="宋体" w:cs="宋体"/>
                <w:color w:val="000000" w:themeColor="text1"/>
                <w:sz w:val="24"/>
                <w14:textFill>
                  <w14:solidFill>
                    <w14:schemeClr w14:val="tx1"/>
                  </w14:solidFill>
                </w14:textFill>
              </w:rPr>
            </w:pPr>
          </w:p>
        </w:tc>
        <w:tc>
          <w:tcPr>
            <w:tcW w:w="1417" w:type="dxa"/>
          </w:tcPr>
          <w:p w14:paraId="68F42B59">
            <w:pPr>
              <w:spacing w:line="340" w:lineRule="exact"/>
              <w:rPr>
                <w:rFonts w:ascii="宋体" w:hAnsi="宋体" w:cs="宋体"/>
                <w:color w:val="000000" w:themeColor="text1"/>
                <w:sz w:val="24"/>
                <w14:textFill>
                  <w14:solidFill>
                    <w14:schemeClr w14:val="tx1"/>
                  </w14:solidFill>
                </w14:textFill>
              </w:rPr>
            </w:pPr>
          </w:p>
        </w:tc>
      </w:tr>
      <w:tr w14:paraId="6539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665E1C3F">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319" w:type="dxa"/>
          </w:tcPr>
          <w:p w14:paraId="05C72A2D">
            <w:pPr>
              <w:spacing w:line="340" w:lineRule="exact"/>
              <w:rPr>
                <w:rFonts w:ascii="宋体" w:hAnsi="宋体" w:cs="宋体"/>
                <w:color w:val="000000" w:themeColor="text1"/>
                <w:sz w:val="24"/>
                <w14:textFill>
                  <w14:solidFill>
                    <w14:schemeClr w14:val="tx1"/>
                  </w14:solidFill>
                </w14:textFill>
              </w:rPr>
            </w:pPr>
          </w:p>
        </w:tc>
        <w:tc>
          <w:tcPr>
            <w:tcW w:w="1006" w:type="dxa"/>
          </w:tcPr>
          <w:p w14:paraId="46B674BB">
            <w:pPr>
              <w:spacing w:line="340" w:lineRule="exact"/>
              <w:rPr>
                <w:rFonts w:ascii="宋体" w:hAnsi="宋体" w:cs="宋体"/>
                <w:color w:val="000000" w:themeColor="text1"/>
                <w:sz w:val="24"/>
                <w14:textFill>
                  <w14:solidFill>
                    <w14:schemeClr w14:val="tx1"/>
                  </w14:solidFill>
                </w14:textFill>
              </w:rPr>
            </w:pPr>
          </w:p>
        </w:tc>
        <w:tc>
          <w:tcPr>
            <w:tcW w:w="883" w:type="dxa"/>
          </w:tcPr>
          <w:p w14:paraId="20030973">
            <w:pPr>
              <w:spacing w:line="340" w:lineRule="exact"/>
              <w:rPr>
                <w:rFonts w:ascii="宋体" w:hAnsi="宋体" w:cs="宋体"/>
                <w:color w:val="000000" w:themeColor="text1"/>
                <w:sz w:val="24"/>
                <w14:textFill>
                  <w14:solidFill>
                    <w14:schemeClr w14:val="tx1"/>
                  </w14:solidFill>
                </w14:textFill>
              </w:rPr>
            </w:pPr>
          </w:p>
        </w:tc>
        <w:tc>
          <w:tcPr>
            <w:tcW w:w="1325" w:type="dxa"/>
          </w:tcPr>
          <w:p w14:paraId="1863C9B5">
            <w:pPr>
              <w:spacing w:line="340" w:lineRule="exact"/>
              <w:rPr>
                <w:rFonts w:ascii="宋体" w:hAnsi="宋体" w:cs="宋体"/>
                <w:color w:val="000000" w:themeColor="text1"/>
                <w:sz w:val="24"/>
                <w14:textFill>
                  <w14:solidFill>
                    <w14:schemeClr w14:val="tx1"/>
                  </w14:solidFill>
                </w14:textFill>
              </w:rPr>
            </w:pPr>
          </w:p>
        </w:tc>
        <w:tc>
          <w:tcPr>
            <w:tcW w:w="1409" w:type="dxa"/>
          </w:tcPr>
          <w:p w14:paraId="1921BAA1">
            <w:pPr>
              <w:spacing w:line="340" w:lineRule="exact"/>
              <w:rPr>
                <w:rFonts w:ascii="宋体" w:hAnsi="宋体" w:cs="宋体"/>
                <w:color w:val="000000" w:themeColor="text1"/>
                <w:sz w:val="24"/>
                <w14:textFill>
                  <w14:solidFill>
                    <w14:schemeClr w14:val="tx1"/>
                  </w14:solidFill>
                </w14:textFill>
              </w:rPr>
            </w:pPr>
          </w:p>
        </w:tc>
        <w:tc>
          <w:tcPr>
            <w:tcW w:w="1417" w:type="dxa"/>
          </w:tcPr>
          <w:p w14:paraId="3EFF412E">
            <w:pPr>
              <w:spacing w:line="340" w:lineRule="exact"/>
              <w:rPr>
                <w:rFonts w:ascii="宋体" w:hAnsi="宋体" w:cs="宋体"/>
                <w:color w:val="000000" w:themeColor="text1"/>
                <w:sz w:val="24"/>
                <w14:textFill>
                  <w14:solidFill>
                    <w14:schemeClr w14:val="tx1"/>
                  </w14:solidFill>
                </w14:textFill>
              </w:rPr>
            </w:pPr>
          </w:p>
        </w:tc>
      </w:tr>
      <w:tr w14:paraId="46A1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14:paraId="45C3EF17">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2319" w:type="dxa"/>
          </w:tcPr>
          <w:p w14:paraId="2F3A0028">
            <w:pPr>
              <w:spacing w:line="340" w:lineRule="exact"/>
              <w:rPr>
                <w:rFonts w:ascii="宋体" w:hAnsi="宋体" w:cs="宋体"/>
                <w:color w:val="000000" w:themeColor="text1"/>
                <w:sz w:val="24"/>
                <w14:textFill>
                  <w14:solidFill>
                    <w14:schemeClr w14:val="tx1"/>
                  </w14:solidFill>
                </w14:textFill>
              </w:rPr>
            </w:pPr>
          </w:p>
        </w:tc>
        <w:tc>
          <w:tcPr>
            <w:tcW w:w="1006" w:type="dxa"/>
          </w:tcPr>
          <w:p w14:paraId="20D18980">
            <w:pPr>
              <w:spacing w:line="340" w:lineRule="exact"/>
              <w:rPr>
                <w:rFonts w:ascii="宋体" w:hAnsi="宋体" w:cs="宋体"/>
                <w:color w:val="000000" w:themeColor="text1"/>
                <w:sz w:val="24"/>
                <w14:textFill>
                  <w14:solidFill>
                    <w14:schemeClr w14:val="tx1"/>
                  </w14:solidFill>
                </w14:textFill>
              </w:rPr>
            </w:pPr>
          </w:p>
        </w:tc>
        <w:tc>
          <w:tcPr>
            <w:tcW w:w="883" w:type="dxa"/>
          </w:tcPr>
          <w:p w14:paraId="60148B3D">
            <w:pPr>
              <w:spacing w:line="340" w:lineRule="exact"/>
              <w:rPr>
                <w:rFonts w:ascii="宋体" w:hAnsi="宋体" w:cs="宋体"/>
                <w:color w:val="000000" w:themeColor="text1"/>
                <w:sz w:val="24"/>
                <w14:textFill>
                  <w14:solidFill>
                    <w14:schemeClr w14:val="tx1"/>
                  </w14:solidFill>
                </w14:textFill>
              </w:rPr>
            </w:pPr>
          </w:p>
        </w:tc>
        <w:tc>
          <w:tcPr>
            <w:tcW w:w="1325" w:type="dxa"/>
          </w:tcPr>
          <w:p w14:paraId="3BC8DC40">
            <w:pPr>
              <w:spacing w:line="340" w:lineRule="exact"/>
              <w:rPr>
                <w:rFonts w:ascii="宋体" w:hAnsi="宋体" w:cs="宋体"/>
                <w:color w:val="000000" w:themeColor="text1"/>
                <w:sz w:val="24"/>
                <w14:textFill>
                  <w14:solidFill>
                    <w14:schemeClr w14:val="tx1"/>
                  </w14:solidFill>
                </w14:textFill>
              </w:rPr>
            </w:pPr>
          </w:p>
        </w:tc>
        <w:tc>
          <w:tcPr>
            <w:tcW w:w="1409" w:type="dxa"/>
          </w:tcPr>
          <w:p w14:paraId="512A99FB">
            <w:pPr>
              <w:spacing w:line="340" w:lineRule="exact"/>
              <w:rPr>
                <w:rFonts w:ascii="宋体" w:hAnsi="宋体" w:cs="宋体"/>
                <w:color w:val="000000" w:themeColor="text1"/>
                <w:sz w:val="24"/>
                <w14:textFill>
                  <w14:solidFill>
                    <w14:schemeClr w14:val="tx1"/>
                  </w14:solidFill>
                </w14:textFill>
              </w:rPr>
            </w:pPr>
          </w:p>
        </w:tc>
        <w:tc>
          <w:tcPr>
            <w:tcW w:w="1417" w:type="dxa"/>
          </w:tcPr>
          <w:p w14:paraId="22745224">
            <w:pPr>
              <w:spacing w:line="340" w:lineRule="exact"/>
              <w:rPr>
                <w:rFonts w:ascii="宋体" w:hAnsi="宋体" w:cs="宋体"/>
                <w:color w:val="000000" w:themeColor="text1"/>
                <w:sz w:val="24"/>
                <w14:textFill>
                  <w14:solidFill>
                    <w14:schemeClr w14:val="tx1"/>
                  </w14:solidFill>
                </w14:textFill>
              </w:rPr>
            </w:pPr>
          </w:p>
        </w:tc>
      </w:tr>
      <w:tr w14:paraId="10BE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0361AC92">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2319" w:type="dxa"/>
          </w:tcPr>
          <w:p w14:paraId="356EFC10">
            <w:pPr>
              <w:spacing w:line="340" w:lineRule="exact"/>
              <w:rPr>
                <w:rFonts w:ascii="宋体" w:hAnsi="宋体" w:cs="宋体"/>
                <w:color w:val="000000" w:themeColor="text1"/>
                <w:sz w:val="24"/>
                <w14:textFill>
                  <w14:solidFill>
                    <w14:schemeClr w14:val="tx1"/>
                  </w14:solidFill>
                </w14:textFill>
              </w:rPr>
            </w:pPr>
          </w:p>
        </w:tc>
        <w:tc>
          <w:tcPr>
            <w:tcW w:w="1006" w:type="dxa"/>
          </w:tcPr>
          <w:p w14:paraId="6FB371C2">
            <w:pPr>
              <w:spacing w:line="340" w:lineRule="exact"/>
              <w:rPr>
                <w:rFonts w:ascii="宋体" w:hAnsi="宋体" w:cs="宋体"/>
                <w:color w:val="000000" w:themeColor="text1"/>
                <w:sz w:val="24"/>
                <w14:textFill>
                  <w14:solidFill>
                    <w14:schemeClr w14:val="tx1"/>
                  </w14:solidFill>
                </w14:textFill>
              </w:rPr>
            </w:pPr>
          </w:p>
        </w:tc>
        <w:tc>
          <w:tcPr>
            <w:tcW w:w="883" w:type="dxa"/>
          </w:tcPr>
          <w:p w14:paraId="342D1FA4">
            <w:pPr>
              <w:spacing w:line="340" w:lineRule="exact"/>
              <w:rPr>
                <w:rFonts w:ascii="宋体" w:hAnsi="宋体" w:cs="宋体"/>
                <w:color w:val="000000" w:themeColor="text1"/>
                <w:sz w:val="24"/>
                <w14:textFill>
                  <w14:solidFill>
                    <w14:schemeClr w14:val="tx1"/>
                  </w14:solidFill>
                </w14:textFill>
              </w:rPr>
            </w:pPr>
          </w:p>
        </w:tc>
        <w:tc>
          <w:tcPr>
            <w:tcW w:w="1325" w:type="dxa"/>
          </w:tcPr>
          <w:p w14:paraId="42CD10EC">
            <w:pPr>
              <w:spacing w:line="340" w:lineRule="exact"/>
              <w:rPr>
                <w:rFonts w:ascii="宋体" w:hAnsi="宋体" w:cs="宋体"/>
                <w:color w:val="000000" w:themeColor="text1"/>
                <w:sz w:val="24"/>
                <w14:textFill>
                  <w14:solidFill>
                    <w14:schemeClr w14:val="tx1"/>
                  </w14:solidFill>
                </w14:textFill>
              </w:rPr>
            </w:pPr>
          </w:p>
        </w:tc>
        <w:tc>
          <w:tcPr>
            <w:tcW w:w="1409" w:type="dxa"/>
          </w:tcPr>
          <w:p w14:paraId="01288275">
            <w:pPr>
              <w:spacing w:line="340" w:lineRule="exact"/>
              <w:rPr>
                <w:rFonts w:ascii="宋体" w:hAnsi="宋体" w:cs="宋体"/>
                <w:color w:val="000000" w:themeColor="text1"/>
                <w:sz w:val="24"/>
                <w14:textFill>
                  <w14:solidFill>
                    <w14:schemeClr w14:val="tx1"/>
                  </w14:solidFill>
                </w14:textFill>
              </w:rPr>
            </w:pPr>
          </w:p>
        </w:tc>
        <w:tc>
          <w:tcPr>
            <w:tcW w:w="1417" w:type="dxa"/>
          </w:tcPr>
          <w:p w14:paraId="66D33C39">
            <w:pPr>
              <w:spacing w:line="340" w:lineRule="exact"/>
              <w:rPr>
                <w:rFonts w:ascii="宋体" w:hAnsi="宋体" w:cs="宋体"/>
                <w:color w:val="000000" w:themeColor="text1"/>
                <w:sz w:val="24"/>
                <w14:textFill>
                  <w14:solidFill>
                    <w14:schemeClr w14:val="tx1"/>
                  </w14:solidFill>
                </w14:textFill>
              </w:rPr>
            </w:pPr>
          </w:p>
        </w:tc>
      </w:tr>
      <w:tr w14:paraId="43D0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14:paraId="20217133">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2319" w:type="dxa"/>
          </w:tcPr>
          <w:p w14:paraId="75DF7417">
            <w:pPr>
              <w:spacing w:line="340" w:lineRule="exact"/>
              <w:rPr>
                <w:rFonts w:ascii="宋体" w:hAnsi="宋体" w:cs="宋体"/>
                <w:color w:val="000000" w:themeColor="text1"/>
                <w:sz w:val="24"/>
                <w14:textFill>
                  <w14:solidFill>
                    <w14:schemeClr w14:val="tx1"/>
                  </w14:solidFill>
                </w14:textFill>
              </w:rPr>
            </w:pPr>
          </w:p>
        </w:tc>
        <w:tc>
          <w:tcPr>
            <w:tcW w:w="1006" w:type="dxa"/>
          </w:tcPr>
          <w:p w14:paraId="149D0939">
            <w:pPr>
              <w:spacing w:line="340" w:lineRule="exact"/>
              <w:rPr>
                <w:rFonts w:ascii="宋体" w:hAnsi="宋体" w:cs="宋体"/>
                <w:color w:val="000000" w:themeColor="text1"/>
                <w:sz w:val="24"/>
                <w14:textFill>
                  <w14:solidFill>
                    <w14:schemeClr w14:val="tx1"/>
                  </w14:solidFill>
                </w14:textFill>
              </w:rPr>
            </w:pPr>
          </w:p>
        </w:tc>
        <w:tc>
          <w:tcPr>
            <w:tcW w:w="883" w:type="dxa"/>
          </w:tcPr>
          <w:p w14:paraId="101AE0CF">
            <w:pPr>
              <w:spacing w:line="340" w:lineRule="exact"/>
              <w:rPr>
                <w:rFonts w:ascii="宋体" w:hAnsi="宋体" w:cs="宋体"/>
                <w:color w:val="000000" w:themeColor="text1"/>
                <w:sz w:val="24"/>
                <w14:textFill>
                  <w14:solidFill>
                    <w14:schemeClr w14:val="tx1"/>
                  </w14:solidFill>
                </w14:textFill>
              </w:rPr>
            </w:pPr>
          </w:p>
        </w:tc>
        <w:tc>
          <w:tcPr>
            <w:tcW w:w="1325" w:type="dxa"/>
          </w:tcPr>
          <w:p w14:paraId="70703847">
            <w:pPr>
              <w:spacing w:line="340" w:lineRule="exact"/>
              <w:rPr>
                <w:rFonts w:ascii="宋体" w:hAnsi="宋体" w:cs="宋体"/>
                <w:color w:val="000000" w:themeColor="text1"/>
                <w:sz w:val="24"/>
                <w14:textFill>
                  <w14:solidFill>
                    <w14:schemeClr w14:val="tx1"/>
                  </w14:solidFill>
                </w14:textFill>
              </w:rPr>
            </w:pPr>
          </w:p>
        </w:tc>
        <w:tc>
          <w:tcPr>
            <w:tcW w:w="1409" w:type="dxa"/>
          </w:tcPr>
          <w:p w14:paraId="59AC852D">
            <w:pPr>
              <w:spacing w:line="340" w:lineRule="exact"/>
              <w:rPr>
                <w:rFonts w:ascii="宋体" w:hAnsi="宋体" w:cs="宋体"/>
                <w:color w:val="000000" w:themeColor="text1"/>
                <w:sz w:val="24"/>
                <w14:textFill>
                  <w14:solidFill>
                    <w14:schemeClr w14:val="tx1"/>
                  </w14:solidFill>
                </w14:textFill>
              </w:rPr>
            </w:pPr>
          </w:p>
        </w:tc>
        <w:tc>
          <w:tcPr>
            <w:tcW w:w="1417" w:type="dxa"/>
          </w:tcPr>
          <w:p w14:paraId="3F56DF8F">
            <w:pPr>
              <w:spacing w:line="340" w:lineRule="exact"/>
              <w:rPr>
                <w:rFonts w:ascii="宋体" w:hAnsi="宋体" w:cs="宋体"/>
                <w:color w:val="000000" w:themeColor="text1"/>
                <w:sz w:val="24"/>
                <w14:textFill>
                  <w14:solidFill>
                    <w14:schemeClr w14:val="tx1"/>
                  </w14:solidFill>
                </w14:textFill>
              </w:rPr>
            </w:pPr>
          </w:p>
        </w:tc>
      </w:tr>
      <w:tr w14:paraId="29D0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0AD05C18">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2319" w:type="dxa"/>
          </w:tcPr>
          <w:p w14:paraId="4B91EF40">
            <w:pPr>
              <w:spacing w:line="340" w:lineRule="exact"/>
              <w:rPr>
                <w:rFonts w:ascii="宋体" w:hAnsi="宋体" w:cs="宋体"/>
                <w:color w:val="000000" w:themeColor="text1"/>
                <w:sz w:val="24"/>
                <w14:textFill>
                  <w14:solidFill>
                    <w14:schemeClr w14:val="tx1"/>
                  </w14:solidFill>
                </w14:textFill>
              </w:rPr>
            </w:pPr>
          </w:p>
        </w:tc>
        <w:tc>
          <w:tcPr>
            <w:tcW w:w="1006" w:type="dxa"/>
          </w:tcPr>
          <w:p w14:paraId="139B40BE">
            <w:pPr>
              <w:spacing w:line="340" w:lineRule="exact"/>
              <w:rPr>
                <w:rFonts w:ascii="宋体" w:hAnsi="宋体" w:cs="宋体"/>
                <w:color w:val="000000" w:themeColor="text1"/>
                <w:sz w:val="24"/>
                <w14:textFill>
                  <w14:solidFill>
                    <w14:schemeClr w14:val="tx1"/>
                  </w14:solidFill>
                </w14:textFill>
              </w:rPr>
            </w:pPr>
          </w:p>
        </w:tc>
        <w:tc>
          <w:tcPr>
            <w:tcW w:w="883" w:type="dxa"/>
          </w:tcPr>
          <w:p w14:paraId="427331D2">
            <w:pPr>
              <w:spacing w:line="340" w:lineRule="exact"/>
              <w:rPr>
                <w:rFonts w:ascii="宋体" w:hAnsi="宋体" w:cs="宋体"/>
                <w:color w:val="000000" w:themeColor="text1"/>
                <w:sz w:val="24"/>
                <w14:textFill>
                  <w14:solidFill>
                    <w14:schemeClr w14:val="tx1"/>
                  </w14:solidFill>
                </w14:textFill>
              </w:rPr>
            </w:pPr>
          </w:p>
        </w:tc>
        <w:tc>
          <w:tcPr>
            <w:tcW w:w="1325" w:type="dxa"/>
          </w:tcPr>
          <w:p w14:paraId="117AE29C">
            <w:pPr>
              <w:spacing w:line="340" w:lineRule="exact"/>
              <w:rPr>
                <w:rFonts w:ascii="宋体" w:hAnsi="宋体" w:cs="宋体"/>
                <w:color w:val="000000" w:themeColor="text1"/>
                <w:sz w:val="24"/>
                <w14:textFill>
                  <w14:solidFill>
                    <w14:schemeClr w14:val="tx1"/>
                  </w14:solidFill>
                </w14:textFill>
              </w:rPr>
            </w:pPr>
          </w:p>
        </w:tc>
        <w:tc>
          <w:tcPr>
            <w:tcW w:w="1409" w:type="dxa"/>
          </w:tcPr>
          <w:p w14:paraId="181F8088">
            <w:pPr>
              <w:spacing w:line="340" w:lineRule="exact"/>
              <w:rPr>
                <w:rFonts w:ascii="宋体" w:hAnsi="宋体" w:cs="宋体"/>
                <w:color w:val="000000" w:themeColor="text1"/>
                <w:sz w:val="24"/>
                <w14:textFill>
                  <w14:solidFill>
                    <w14:schemeClr w14:val="tx1"/>
                  </w14:solidFill>
                </w14:textFill>
              </w:rPr>
            </w:pPr>
          </w:p>
        </w:tc>
        <w:tc>
          <w:tcPr>
            <w:tcW w:w="1417" w:type="dxa"/>
          </w:tcPr>
          <w:p w14:paraId="036E9EA0">
            <w:pPr>
              <w:spacing w:line="340" w:lineRule="exact"/>
              <w:rPr>
                <w:rFonts w:ascii="宋体" w:hAnsi="宋体" w:cs="宋体"/>
                <w:color w:val="000000" w:themeColor="text1"/>
                <w:sz w:val="24"/>
                <w14:textFill>
                  <w14:solidFill>
                    <w14:schemeClr w14:val="tx1"/>
                  </w14:solidFill>
                </w14:textFill>
              </w:rPr>
            </w:pPr>
          </w:p>
        </w:tc>
      </w:tr>
      <w:tr w14:paraId="157E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83" w:type="dxa"/>
          </w:tcPr>
          <w:p w14:paraId="65DF1A1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2319" w:type="dxa"/>
          </w:tcPr>
          <w:p w14:paraId="30FACC66">
            <w:pPr>
              <w:spacing w:line="340" w:lineRule="exact"/>
              <w:rPr>
                <w:rFonts w:ascii="宋体" w:hAnsi="宋体" w:cs="宋体"/>
                <w:color w:val="000000" w:themeColor="text1"/>
                <w:sz w:val="24"/>
                <w14:textFill>
                  <w14:solidFill>
                    <w14:schemeClr w14:val="tx1"/>
                  </w14:solidFill>
                </w14:textFill>
              </w:rPr>
            </w:pPr>
          </w:p>
        </w:tc>
        <w:tc>
          <w:tcPr>
            <w:tcW w:w="1006" w:type="dxa"/>
          </w:tcPr>
          <w:p w14:paraId="4C51F5DB">
            <w:pPr>
              <w:spacing w:line="340" w:lineRule="exact"/>
              <w:rPr>
                <w:rFonts w:ascii="宋体" w:hAnsi="宋体" w:cs="宋体"/>
                <w:color w:val="000000" w:themeColor="text1"/>
                <w:sz w:val="24"/>
                <w14:textFill>
                  <w14:solidFill>
                    <w14:schemeClr w14:val="tx1"/>
                  </w14:solidFill>
                </w14:textFill>
              </w:rPr>
            </w:pPr>
          </w:p>
        </w:tc>
        <w:tc>
          <w:tcPr>
            <w:tcW w:w="883" w:type="dxa"/>
          </w:tcPr>
          <w:p w14:paraId="33A1FE18">
            <w:pPr>
              <w:spacing w:line="340" w:lineRule="exact"/>
              <w:rPr>
                <w:rFonts w:ascii="宋体" w:hAnsi="宋体" w:cs="宋体"/>
                <w:color w:val="000000" w:themeColor="text1"/>
                <w:sz w:val="24"/>
                <w14:textFill>
                  <w14:solidFill>
                    <w14:schemeClr w14:val="tx1"/>
                  </w14:solidFill>
                </w14:textFill>
              </w:rPr>
            </w:pPr>
          </w:p>
        </w:tc>
        <w:tc>
          <w:tcPr>
            <w:tcW w:w="1325" w:type="dxa"/>
          </w:tcPr>
          <w:p w14:paraId="17BAC535">
            <w:pPr>
              <w:spacing w:line="340" w:lineRule="exact"/>
              <w:rPr>
                <w:rFonts w:ascii="宋体" w:hAnsi="宋体" w:cs="宋体"/>
                <w:color w:val="000000" w:themeColor="text1"/>
                <w:sz w:val="24"/>
                <w14:textFill>
                  <w14:solidFill>
                    <w14:schemeClr w14:val="tx1"/>
                  </w14:solidFill>
                </w14:textFill>
              </w:rPr>
            </w:pPr>
          </w:p>
        </w:tc>
        <w:tc>
          <w:tcPr>
            <w:tcW w:w="1409" w:type="dxa"/>
          </w:tcPr>
          <w:p w14:paraId="37208993">
            <w:pPr>
              <w:spacing w:line="340" w:lineRule="exact"/>
              <w:rPr>
                <w:rFonts w:ascii="宋体" w:hAnsi="宋体" w:cs="宋体"/>
                <w:color w:val="000000" w:themeColor="text1"/>
                <w:sz w:val="24"/>
                <w14:textFill>
                  <w14:solidFill>
                    <w14:schemeClr w14:val="tx1"/>
                  </w14:solidFill>
                </w14:textFill>
              </w:rPr>
            </w:pPr>
          </w:p>
        </w:tc>
        <w:tc>
          <w:tcPr>
            <w:tcW w:w="1417" w:type="dxa"/>
          </w:tcPr>
          <w:p w14:paraId="0B64A31F">
            <w:pPr>
              <w:spacing w:line="340" w:lineRule="exact"/>
              <w:rPr>
                <w:rFonts w:ascii="宋体" w:hAnsi="宋体" w:cs="宋体"/>
                <w:color w:val="000000" w:themeColor="text1"/>
                <w:sz w:val="24"/>
                <w14:textFill>
                  <w14:solidFill>
                    <w14:schemeClr w14:val="tx1"/>
                  </w14:solidFill>
                </w14:textFill>
              </w:rPr>
            </w:pPr>
          </w:p>
        </w:tc>
      </w:tr>
      <w:tr w14:paraId="5D93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331D85A6">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2319" w:type="dxa"/>
          </w:tcPr>
          <w:p w14:paraId="793BD5EE">
            <w:pPr>
              <w:spacing w:line="340" w:lineRule="exact"/>
              <w:rPr>
                <w:rFonts w:ascii="宋体" w:hAnsi="宋体" w:cs="宋体"/>
                <w:color w:val="000000" w:themeColor="text1"/>
                <w:sz w:val="24"/>
                <w14:textFill>
                  <w14:solidFill>
                    <w14:schemeClr w14:val="tx1"/>
                  </w14:solidFill>
                </w14:textFill>
              </w:rPr>
            </w:pPr>
          </w:p>
        </w:tc>
        <w:tc>
          <w:tcPr>
            <w:tcW w:w="1006" w:type="dxa"/>
          </w:tcPr>
          <w:p w14:paraId="16CB7F92">
            <w:pPr>
              <w:spacing w:line="340" w:lineRule="exact"/>
              <w:rPr>
                <w:rFonts w:ascii="宋体" w:hAnsi="宋体" w:cs="宋体"/>
                <w:color w:val="000000" w:themeColor="text1"/>
                <w:sz w:val="24"/>
                <w14:textFill>
                  <w14:solidFill>
                    <w14:schemeClr w14:val="tx1"/>
                  </w14:solidFill>
                </w14:textFill>
              </w:rPr>
            </w:pPr>
          </w:p>
        </w:tc>
        <w:tc>
          <w:tcPr>
            <w:tcW w:w="883" w:type="dxa"/>
          </w:tcPr>
          <w:p w14:paraId="5D2D29CE">
            <w:pPr>
              <w:spacing w:line="340" w:lineRule="exact"/>
              <w:rPr>
                <w:rFonts w:ascii="宋体" w:hAnsi="宋体" w:cs="宋体"/>
                <w:color w:val="000000" w:themeColor="text1"/>
                <w:sz w:val="24"/>
                <w14:textFill>
                  <w14:solidFill>
                    <w14:schemeClr w14:val="tx1"/>
                  </w14:solidFill>
                </w14:textFill>
              </w:rPr>
            </w:pPr>
          </w:p>
        </w:tc>
        <w:tc>
          <w:tcPr>
            <w:tcW w:w="1325" w:type="dxa"/>
          </w:tcPr>
          <w:p w14:paraId="37A1C3B3">
            <w:pPr>
              <w:spacing w:line="340" w:lineRule="exact"/>
              <w:rPr>
                <w:rFonts w:ascii="宋体" w:hAnsi="宋体" w:cs="宋体"/>
                <w:color w:val="000000" w:themeColor="text1"/>
                <w:sz w:val="24"/>
                <w14:textFill>
                  <w14:solidFill>
                    <w14:schemeClr w14:val="tx1"/>
                  </w14:solidFill>
                </w14:textFill>
              </w:rPr>
            </w:pPr>
          </w:p>
        </w:tc>
        <w:tc>
          <w:tcPr>
            <w:tcW w:w="1409" w:type="dxa"/>
          </w:tcPr>
          <w:p w14:paraId="414488C2">
            <w:pPr>
              <w:spacing w:line="340" w:lineRule="exact"/>
              <w:rPr>
                <w:rFonts w:ascii="宋体" w:hAnsi="宋体" w:cs="宋体"/>
                <w:color w:val="000000" w:themeColor="text1"/>
                <w:sz w:val="24"/>
                <w14:textFill>
                  <w14:solidFill>
                    <w14:schemeClr w14:val="tx1"/>
                  </w14:solidFill>
                </w14:textFill>
              </w:rPr>
            </w:pPr>
          </w:p>
        </w:tc>
        <w:tc>
          <w:tcPr>
            <w:tcW w:w="1417" w:type="dxa"/>
          </w:tcPr>
          <w:p w14:paraId="741C9FA5">
            <w:pPr>
              <w:spacing w:line="340" w:lineRule="exact"/>
              <w:rPr>
                <w:rFonts w:ascii="宋体" w:hAnsi="宋体" w:cs="宋体"/>
                <w:color w:val="000000" w:themeColor="text1"/>
                <w:sz w:val="24"/>
                <w14:textFill>
                  <w14:solidFill>
                    <w14:schemeClr w14:val="tx1"/>
                  </w14:solidFill>
                </w14:textFill>
              </w:rPr>
            </w:pPr>
          </w:p>
        </w:tc>
      </w:tr>
      <w:tr w14:paraId="3882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49972961">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2319" w:type="dxa"/>
          </w:tcPr>
          <w:p w14:paraId="139430B0">
            <w:pPr>
              <w:spacing w:line="340" w:lineRule="exact"/>
              <w:rPr>
                <w:rFonts w:ascii="宋体" w:hAnsi="宋体" w:cs="宋体"/>
                <w:color w:val="000000" w:themeColor="text1"/>
                <w:sz w:val="24"/>
                <w14:textFill>
                  <w14:solidFill>
                    <w14:schemeClr w14:val="tx1"/>
                  </w14:solidFill>
                </w14:textFill>
              </w:rPr>
            </w:pPr>
          </w:p>
        </w:tc>
        <w:tc>
          <w:tcPr>
            <w:tcW w:w="1006" w:type="dxa"/>
          </w:tcPr>
          <w:p w14:paraId="5ECBA785">
            <w:pPr>
              <w:spacing w:line="340" w:lineRule="exact"/>
              <w:rPr>
                <w:rFonts w:ascii="宋体" w:hAnsi="宋体" w:cs="宋体"/>
                <w:color w:val="000000" w:themeColor="text1"/>
                <w:sz w:val="24"/>
                <w14:textFill>
                  <w14:solidFill>
                    <w14:schemeClr w14:val="tx1"/>
                  </w14:solidFill>
                </w14:textFill>
              </w:rPr>
            </w:pPr>
          </w:p>
        </w:tc>
        <w:tc>
          <w:tcPr>
            <w:tcW w:w="883" w:type="dxa"/>
          </w:tcPr>
          <w:p w14:paraId="32DD9F06">
            <w:pPr>
              <w:spacing w:line="340" w:lineRule="exact"/>
              <w:rPr>
                <w:rFonts w:ascii="宋体" w:hAnsi="宋体" w:cs="宋体"/>
                <w:color w:val="000000" w:themeColor="text1"/>
                <w:sz w:val="24"/>
                <w14:textFill>
                  <w14:solidFill>
                    <w14:schemeClr w14:val="tx1"/>
                  </w14:solidFill>
                </w14:textFill>
              </w:rPr>
            </w:pPr>
          </w:p>
        </w:tc>
        <w:tc>
          <w:tcPr>
            <w:tcW w:w="1325" w:type="dxa"/>
          </w:tcPr>
          <w:p w14:paraId="19577ED8">
            <w:pPr>
              <w:spacing w:line="340" w:lineRule="exact"/>
              <w:rPr>
                <w:rFonts w:ascii="宋体" w:hAnsi="宋体" w:cs="宋体"/>
                <w:color w:val="000000" w:themeColor="text1"/>
                <w:sz w:val="24"/>
                <w14:textFill>
                  <w14:solidFill>
                    <w14:schemeClr w14:val="tx1"/>
                  </w14:solidFill>
                </w14:textFill>
              </w:rPr>
            </w:pPr>
          </w:p>
        </w:tc>
        <w:tc>
          <w:tcPr>
            <w:tcW w:w="1409" w:type="dxa"/>
          </w:tcPr>
          <w:p w14:paraId="7752F8C9">
            <w:pPr>
              <w:spacing w:line="340" w:lineRule="exact"/>
              <w:rPr>
                <w:rFonts w:ascii="宋体" w:hAnsi="宋体" w:cs="宋体"/>
                <w:color w:val="000000" w:themeColor="text1"/>
                <w:sz w:val="24"/>
                <w14:textFill>
                  <w14:solidFill>
                    <w14:schemeClr w14:val="tx1"/>
                  </w14:solidFill>
                </w14:textFill>
              </w:rPr>
            </w:pPr>
          </w:p>
        </w:tc>
        <w:tc>
          <w:tcPr>
            <w:tcW w:w="1417" w:type="dxa"/>
          </w:tcPr>
          <w:p w14:paraId="1252E92A">
            <w:pPr>
              <w:spacing w:line="340" w:lineRule="exact"/>
              <w:rPr>
                <w:rFonts w:ascii="宋体" w:hAnsi="宋体" w:cs="宋体"/>
                <w:color w:val="000000" w:themeColor="text1"/>
                <w:sz w:val="24"/>
                <w14:textFill>
                  <w14:solidFill>
                    <w14:schemeClr w14:val="tx1"/>
                  </w14:solidFill>
                </w14:textFill>
              </w:rPr>
            </w:pPr>
          </w:p>
        </w:tc>
      </w:tr>
      <w:tr w14:paraId="2188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67FC995E">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2319" w:type="dxa"/>
          </w:tcPr>
          <w:p w14:paraId="0EF3B24C">
            <w:pPr>
              <w:spacing w:line="340" w:lineRule="exact"/>
              <w:rPr>
                <w:rFonts w:ascii="宋体" w:hAnsi="宋体" w:cs="宋体"/>
                <w:color w:val="000000" w:themeColor="text1"/>
                <w:sz w:val="24"/>
                <w14:textFill>
                  <w14:solidFill>
                    <w14:schemeClr w14:val="tx1"/>
                  </w14:solidFill>
                </w14:textFill>
              </w:rPr>
            </w:pPr>
          </w:p>
        </w:tc>
        <w:tc>
          <w:tcPr>
            <w:tcW w:w="1006" w:type="dxa"/>
          </w:tcPr>
          <w:p w14:paraId="08C51A54">
            <w:pPr>
              <w:spacing w:line="340" w:lineRule="exact"/>
              <w:rPr>
                <w:rFonts w:ascii="宋体" w:hAnsi="宋体" w:cs="宋体"/>
                <w:color w:val="000000" w:themeColor="text1"/>
                <w:sz w:val="24"/>
                <w14:textFill>
                  <w14:solidFill>
                    <w14:schemeClr w14:val="tx1"/>
                  </w14:solidFill>
                </w14:textFill>
              </w:rPr>
            </w:pPr>
          </w:p>
        </w:tc>
        <w:tc>
          <w:tcPr>
            <w:tcW w:w="883" w:type="dxa"/>
          </w:tcPr>
          <w:p w14:paraId="76C56E57">
            <w:pPr>
              <w:spacing w:line="340" w:lineRule="exact"/>
              <w:rPr>
                <w:rFonts w:ascii="宋体" w:hAnsi="宋体" w:cs="宋体"/>
                <w:color w:val="000000" w:themeColor="text1"/>
                <w:sz w:val="24"/>
                <w14:textFill>
                  <w14:solidFill>
                    <w14:schemeClr w14:val="tx1"/>
                  </w14:solidFill>
                </w14:textFill>
              </w:rPr>
            </w:pPr>
          </w:p>
        </w:tc>
        <w:tc>
          <w:tcPr>
            <w:tcW w:w="1325" w:type="dxa"/>
          </w:tcPr>
          <w:p w14:paraId="496AA49A">
            <w:pPr>
              <w:spacing w:line="340" w:lineRule="exact"/>
              <w:rPr>
                <w:rFonts w:ascii="宋体" w:hAnsi="宋体" w:cs="宋体"/>
                <w:color w:val="000000" w:themeColor="text1"/>
                <w:sz w:val="24"/>
                <w14:textFill>
                  <w14:solidFill>
                    <w14:schemeClr w14:val="tx1"/>
                  </w14:solidFill>
                </w14:textFill>
              </w:rPr>
            </w:pPr>
          </w:p>
        </w:tc>
        <w:tc>
          <w:tcPr>
            <w:tcW w:w="1409" w:type="dxa"/>
          </w:tcPr>
          <w:p w14:paraId="66EDC439">
            <w:pPr>
              <w:spacing w:line="340" w:lineRule="exact"/>
              <w:rPr>
                <w:rFonts w:ascii="宋体" w:hAnsi="宋体" w:cs="宋体"/>
                <w:color w:val="000000" w:themeColor="text1"/>
                <w:sz w:val="24"/>
                <w14:textFill>
                  <w14:solidFill>
                    <w14:schemeClr w14:val="tx1"/>
                  </w14:solidFill>
                </w14:textFill>
              </w:rPr>
            </w:pPr>
          </w:p>
        </w:tc>
        <w:tc>
          <w:tcPr>
            <w:tcW w:w="1417" w:type="dxa"/>
          </w:tcPr>
          <w:p w14:paraId="7E2F8ECC">
            <w:pPr>
              <w:spacing w:line="340" w:lineRule="exact"/>
              <w:rPr>
                <w:rFonts w:ascii="宋体" w:hAnsi="宋体" w:cs="宋体"/>
                <w:color w:val="000000" w:themeColor="text1"/>
                <w:sz w:val="24"/>
                <w14:textFill>
                  <w14:solidFill>
                    <w14:schemeClr w14:val="tx1"/>
                  </w14:solidFill>
                </w14:textFill>
              </w:rPr>
            </w:pPr>
          </w:p>
        </w:tc>
      </w:tr>
      <w:tr w14:paraId="0584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6C27391F">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2319" w:type="dxa"/>
          </w:tcPr>
          <w:p w14:paraId="5D68A462">
            <w:pPr>
              <w:spacing w:line="340" w:lineRule="exact"/>
              <w:rPr>
                <w:rFonts w:ascii="宋体" w:hAnsi="宋体" w:cs="宋体"/>
                <w:color w:val="000000" w:themeColor="text1"/>
                <w:sz w:val="24"/>
                <w14:textFill>
                  <w14:solidFill>
                    <w14:schemeClr w14:val="tx1"/>
                  </w14:solidFill>
                </w14:textFill>
              </w:rPr>
            </w:pPr>
          </w:p>
        </w:tc>
        <w:tc>
          <w:tcPr>
            <w:tcW w:w="1006" w:type="dxa"/>
          </w:tcPr>
          <w:p w14:paraId="6AF33AB6">
            <w:pPr>
              <w:spacing w:line="340" w:lineRule="exact"/>
              <w:rPr>
                <w:rFonts w:ascii="宋体" w:hAnsi="宋体" w:cs="宋体"/>
                <w:color w:val="000000" w:themeColor="text1"/>
                <w:sz w:val="24"/>
                <w14:textFill>
                  <w14:solidFill>
                    <w14:schemeClr w14:val="tx1"/>
                  </w14:solidFill>
                </w14:textFill>
              </w:rPr>
            </w:pPr>
          </w:p>
        </w:tc>
        <w:tc>
          <w:tcPr>
            <w:tcW w:w="883" w:type="dxa"/>
          </w:tcPr>
          <w:p w14:paraId="5F23EB9E">
            <w:pPr>
              <w:spacing w:line="340" w:lineRule="exact"/>
              <w:rPr>
                <w:rFonts w:ascii="宋体" w:hAnsi="宋体" w:cs="宋体"/>
                <w:color w:val="000000" w:themeColor="text1"/>
                <w:sz w:val="24"/>
                <w14:textFill>
                  <w14:solidFill>
                    <w14:schemeClr w14:val="tx1"/>
                  </w14:solidFill>
                </w14:textFill>
              </w:rPr>
            </w:pPr>
          </w:p>
        </w:tc>
        <w:tc>
          <w:tcPr>
            <w:tcW w:w="1325" w:type="dxa"/>
          </w:tcPr>
          <w:p w14:paraId="0591FDB9">
            <w:pPr>
              <w:spacing w:line="340" w:lineRule="exact"/>
              <w:rPr>
                <w:rFonts w:ascii="宋体" w:hAnsi="宋体" w:cs="宋体"/>
                <w:color w:val="000000" w:themeColor="text1"/>
                <w:sz w:val="24"/>
                <w14:textFill>
                  <w14:solidFill>
                    <w14:schemeClr w14:val="tx1"/>
                  </w14:solidFill>
                </w14:textFill>
              </w:rPr>
            </w:pPr>
          </w:p>
        </w:tc>
        <w:tc>
          <w:tcPr>
            <w:tcW w:w="1409" w:type="dxa"/>
          </w:tcPr>
          <w:p w14:paraId="4A9BA840">
            <w:pPr>
              <w:spacing w:line="340" w:lineRule="exact"/>
              <w:rPr>
                <w:rFonts w:ascii="宋体" w:hAnsi="宋体" w:cs="宋体"/>
                <w:color w:val="000000" w:themeColor="text1"/>
                <w:sz w:val="24"/>
                <w14:textFill>
                  <w14:solidFill>
                    <w14:schemeClr w14:val="tx1"/>
                  </w14:solidFill>
                </w14:textFill>
              </w:rPr>
            </w:pPr>
          </w:p>
        </w:tc>
        <w:tc>
          <w:tcPr>
            <w:tcW w:w="1417" w:type="dxa"/>
          </w:tcPr>
          <w:p w14:paraId="065258F7">
            <w:pPr>
              <w:spacing w:line="340" w:lineRule="exact"/>
              <w:rPr>
                <w:rFonts w:ascii="宋体" w:hAnsi="宋体" w:cs="宋体"/>
                <w:color w:val="000000" w:themeColor="text1"/>
                <w:sz w:val="24"/>
                <w14:textFill>
                  <w14:solidFill>
                    <w14:schemeClr w14:val="tx1"/>
                  </w14:solidFill>
                </w14:textFill>
              </w:rPr>
            </w:pPr>
          </w:p>
        </w:tc>
      </w:tr>
      <w:tr w14:paraId="6791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71DBFCE0">
            <w:pPr>
              <w:spacing w:line="3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2319" w:type="dxa"/>
          </w:tcPr>
          <w:p w14:paraId="51896232">
            <w:pPr>
              <w:spacing w:line="340" w:lineRule="exact"/>
              <w:rPr>
                <w:rFonts w:ascii="宋体" w:hAnsi="宋体" w:cs="宋体"/>
                <w:color w:val="000000" w:themeColor="text1"/>
                <w:sz w:val="24"/>
                <w14:textFill>
                  <w14:solidFill>
                    <w14:schemeClr w14:val="tx1"/>
                  </w14:solidFill>
                </w14:textFill>
              </w:rPr>
            </w:pPr>
          </w:p>
        </w:tc>
        <w:tc>
          <w:tcPr>
            <w:tcW w:w="1006" w:type="dxa"/>
          </w:tcPr>
          <w:p w14:paraId="0B436E62">
            <w:pPr>
              <w:spacing w:line="340" w:lineRule="exact"/>
              <w:rPr>
                <w:rFonts w:ascii="宋体" w:hAnsi="宋体" w:cs="宋体"/>
                <w:color w:val="000000" w:themeColor="text1"/>
                <w:sz w:val="24"/>
                <w14:textFill>
                  <w14:solidFill>
                    <w14:schemeClr w14:val="tx1"/>
                  </w14:solidFill>
                </w14:textFill>
              </w:rPr>
            </w:pPr>
          </w:p>
        </w:tc>
        <w:tc>
          <w:tcPr>
            <w:tcW w:w="883" w:type="dxa"/>
          </w:tcPr>
          <w:p w14:paraId="01B8F0F3">
            <w:pPr>
              <w:spacing w:line="340" w:lineRule="exact"/>
              <w:rPr>
                <w:rFonts w:ascii="宋体" w:hAnsi="宋体" w:cs="宋体"/>
                <w:color w:val="000000" w:themeColor="text1"/>
                <w:sz w:val="24"/>
                <w14:textFill>
                  <w14:solidFill>
                    <w14:schemeClr w14:val="tx1"/>
                  </w14:solidFill>
                </w14:textFill>
              </w:rPr>
            </w:pPr>
          </w:p>
        </w:tc>
        <w:tc>
          <w:tcPr>
            <w:tcW w:w="1325" w:type="dxa"/>
          </w:tcPr>
          <w:p w14:paraId="159CFEF1">
            <w:pPr>
              <w:spacing w:line="340" w:lineRule="exact"/>
              <w:rPr>
                <w:rFonts w:ascii="宋体" w:hAnsi="宋体" w:cs="宋体"/>
                <w:color w:val="000000" w:themeColor="text1"/>
                <w:sz w:val="24"/>
                <w14:textFill>
                  <w14:solidFill>
                    <w14:schemeClr w14:val="tx1"/>
                  </w14:solidFill>
                </w14:textFill>
              </w:rPr>
            </w:pPr>
          </w:p>
        </w:tc>
        <w:tc>
          <w:tcPr>
            <w:tcW w:w="1409" w:type="dxa"/>
          </w:tcPr>
          <w:p w14:paraId="0BFF1D7F">
            <w:pPr>
              <w:spacing w:line="340" w:lineRule="exact"/>
              <w:rPr>
                <w:rFonts w:ascii="宋体" w:hAnsi="宋体" w:cs="宋体"/>
                <w:color w:val="000000" w:themeColor="text1"/>
                <w:sz w:val="24"/>
                <w14:textFill>
                  <w14:solidFill>
                    <w14:schemeClr w14:val="tx1"/>
                  </w14:solidFill>
                </w14:textFill>
              </w:rPr>
            </w:pPr>
          </w:p>
        </w:tc>
        <w:tc>
          <w:tcPr>
            <w:tcW w:w="1417" w:type="dxa"/>
          </w:tcPr>
          <w:p w14:paraId="3406A194">
            <w:pPr>
              <w:spacing w:line="340" w:lineRule="exact"/>
              <w:rPr>
                <w:rFonts w:ascii="宋体" w:hAnsi="宋体" w:cs="宋体"/>
                <w:color w:val="000000" w:themeColor="text1"/>
                <w:sz w:val="24"/>
                <w14:textFill>
                  <w14:solidFill>
                    <w14:schemeClr w14:val="tx1"/>
                  </w14:solidFill>
                </w14:textFill>
              </w:rPr>
            </w:pPr>
          </w:p>
        </w:tc>
      </w:tr>
      <w:tr w14:paraId="10C3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3BE12449">
            <w:pPr>
              <w:spacing w:line="340" w:lineRule="exact"/>
              <w:jc w:val="center"/>
              <w:rPr>
                <w:rFonts w:ascii="宋体" w:hAnsi="宋体" w:cs="宋体"/>
                <w:color w:val="000000" w:themeColor="text1"/>
                <w:sz w:val="24"/>
                <w14:textFill>
                  <w14:solidFill>
                    <w14:schemeClr w14:val="tx1"/>
                  </w14:solidFill>
                </w14:textFill>
              </w:rPr>
            </w:pPr>
          </w:p>
        </w:tc>
        <w:tc>
          <w:tcPr>
            <w:tcW w:w="2319" w:type="dxa"/>
            <w:vAlign w:val="center"/>
          </w:tcPr>
          <w:p w14:paraId="2574EBD5">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其他费用</w:t>
            </w:r>
          </w:p>
        </w:tc>
        <w:tc>
          <w:tcPr>
            <w:tcW w:w="1006" w:type="dxa"/>
          </w:tcPr>
          <w:p w14:paraId="50D3E3C8">
            <w:pPr>
              <w:spacing w:line="340" w:lineRule="exact"/>
              <w:rPr>
                <w:rFonts w:ascii="宋体" w:hAnsi="宋体" w:cs="宋体"/>
                <w:color w:val="000000" w:themeColor="text1"/>
                <w:sz w:val="24"/>
                <w14:textFill>
                  <w14:solidFill>
                    <w14:schemeClr w14:val="tx1"/>
                  </w14:solidFill>
                </w14:textFill>
              </w:rPr>
            </w:pPr>
          </w:p>
        </w:tc>
        <w:tc>
          <w:tcPr>
            <w:tcW w:w="883" w:type="dxa"/>
          </w:tcPr>
          <w:p w14:paraId="4A1A1D7E">
            <w:pPr>
              <w:spacing w:line="340" w:lineRule="exact"/>
              <w:rPr>
                <w:rFonts w:ascii="宋体" w:hAnsi="宋体" w:cs="宋体"/>
                <w:color w:val="000000" w:themeColor="text1"/>
                <w:sz w:val="24"/>
                <w14:textFill>
                  <w14:solidFill>
                    <w14:schemeClr w14:val="tx1"/>
                  </w14:solidFill>
                </w14:textFill>
              </w:rPr>
            </w:pPr>
          </w:p>
        </w:tc>
        <w:tc>
          <w:tcPr>
            <w:tcW w:w="1325" w:type="dxa"/>
          </w:tcPr>
          <w:p w14:paraId="6F6BBC1D">
            <w:pPr>
              <w:spacing w:line="340" w:lineRule="exact"/>
              <w:rPr>
                <w:rFonts w:ascii="宋体" w:hAnsi="宋体" w:cs="宋体"/>
                <w:color w:val="000000" w:themeColor="text1"/>
                <w:sz w:val="24"/>
                <w14:textFill>
                  <w14:solidFill>
                    <w14:schemeClr w14:val="tx1"/>
                  </w14:solidFill>
                </w14:textFill>
              </w:rPr>
            </w:pPr>
          </w:p>
        </w:tc>
        <w:tc>
          <w:tcPr>
            <w:tcW w:w="1409" w:type="dxa"/>
          </w:tcPr>
          <w:p w14:paraId="21965D8C">
            <w:pPr>
              <w:spacing w:line="340" w:lineRule="exact"/>
              <w:rPr>
                <w:rFonts w:ascii="宋体" w:hAnsi="宋体" w:cs="宋体"/>
                <w:color w:val="000000" w:themeColor="text1"/>
                <w:sz w:val="24"/>
                <w14:textFill>
                  <w14:solidFill>
                    <w14:schemeClr w14:val="tx1"/>
                  </w14:solidFill>
                </w14:textFill>
              </w:rPr>
            </w:pPr>
          </w:p>
        </w:tc>
        <w:tc>
          <w:tcPr>
            <w:tcW w:w="1417" w:type="dxa"/>
          </w:tcPr>
          <w:p w14:paraId="4C485BC4">
            <w:pPr>
              <w:spacing w:line="340" w:lineRule="exact"/>
              <w:rPr>
                <w:rFonts w:ascii="宋体" w:hAnsi="宋体" w:cs="宋体"/>
                <w:color w:val="000000" w:themeColor="text1"/>
                <w:sz w:val="24"/>
                <w14:textFill>
                  <w14:solidFill>
                    <w14:schemeClr w14:val="tx1"/>
                  </w14:solidFill>
                </w14:textFill>
              </w:rPr>
            </w:pPr>
          </w:p>
        </w:tc>
      </w:tr>
      <w:tr w14:paraId="0CE8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6AF011CA">
            <w:pPr>
              <w:spacing w:line="340" w:lineRule="exact"/>
              <w:jc w:val="center"/>
              <w:rPr>
                <w:rFonts w:ascii="宋体" w:hAnsi="宋体" w:cs="宋体"/>
                <w:color w:val="000000" w:themeColor="text1"/>
                <w:sz w:val="24"/>
                <w14:textFill>
                  <w14:solidFill>
                    <w14:schemeClr w14:val="tx1"/>
                  </w14:solidFill>
                </w14:textFill>
              </w:rPr>
            </w:pPr>
          </w:p>
        </w:tc>
        <w:tc>
          <w:tcPr>
            <w:tcW w:w="2319" w:type="dxa"/>
          </w:tcPr>
          <w:p w14:paraId="65A30B54">
            <w:pPr>
              <w:spacing w:line="3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006" w:type="dxa"/>
          </w:tcPr>
          <w:p w14:paraId="60C74BB8">
            <w:pPr>
              <w:spacing w:line="340" w:lineRule="exact"/>
              <w:rPr>
                <w:rFonts w:ascii="宋体" w:hAnsi="宋体" w:cs="宋体"/>
                <w:color w:val="000000" w:themeColor="text1"/>
                <w:sz w:val="24"/>
                <w14:textFill>
                  <w14:solidFill>
                    <w14:schemeClr w14:val="tx1"/>
                  </w14:solidFill>
                </w14:textFill>
              </w:rPr>
            </w:pPr>
          </w:p>
        </w:tc>
        <w:tc>
          <w:tcPr>
            <w:tcW w:w="883" w:type="dxa"/>
          </w:tcPr>
          <w:p w14:paraId="625EA57B">
            <w:pPr>
              <w:spacing w:line="340" w:lineRule="exact"/>
              <w:rPr>
                <w:rFonts w:ascii="宋体" w:hAnsi="宋体" w:cs="宋体"/>
                <w:color w:val="000000" w:themeColor="text1"/>
                <w:sz w:val="24"/>
                <w14:textFill>
                  <w14:solidFill>
                    <w14:schemeClr w14:val="tx1"/>
                  </w14:solidFill>
                </w14:textFill>
              </w:rPr>
            </w:pPr>
          </w:p>
        </w:tc>
        <w:tc>
          <w:tcPr>
            <w:tcW w:w="1325" w:type="dxa"/>
          </w:tcPr>
          <w:p w14:paraId="0A83C724">
            <w:pPr>
              <w:spacing w:line="340" w:lineRule="exact"/>
              <w:rPr>
                <w:rFonts w:ascii="宋体" w:hAnsi="宋体" w:cs="宋体"/>
                <w:color w:val="000000" w:themeColor="text1"/>
                <w:sz w:val="24"/>
                <w14:textFill>
                  <w14:solidFill>
                    <w14:schemeClr w14:val="tx1"/>
                  </w14:solidFill>
                </w14:textFill>
              </w:rPr>
            </w:pPr>
          </w:p>
        </w:tc>
        <w:tc>
          <w:tcPr>
            <w:tcW w:w="1409" w:type="dxa"/>
          </w:tcPr>
          <w:p w14:paraId="77955529">
            <w:pPr>
              <w:spacing w:line="340" w:lineRule="exact"/>
              <w:rPr>
                <w:rFonts w:ascii="宋体" w:hAnsi="宋体" w:cs="宋体"/>
                <w:color w:val="000000" w:themeColor="text1"/>
                <w:sz w:val="24"/>
                <w14:textFill>
                  <w14:solidFill>
                    <w14:schemeClr w14:val="tx1"/>
                  </w14:solidFill>
                </w14:textFill>
              </w:rPr>
            </w:pPr>
          </w:p>
        </w:tc>
        <w:tc>
          <w:tcPr>
            <w:tcW w:w="1417" w:type="dxa"/>
          </w:tcPr>
          <w:p w14:paraId="2F88B647">
            <w:pPr>
              <w:spacing w:line="340" w:lineRule="exact"/>
              <w:rPr>
                <w:rFonts w:ascii="宋体" w:hAnsi="宋体" w:cs="宋体"/>
                <w:color w:val="000000" w:themeColor="text1"/>
                <w:sz w:val="24"/>
                <w14:textFill>
                  <w14:solidFill>
                    <w14:schemeClr w14:val="tx1"/>
                  </w14:solidFill>
                </w14:textFill>
              </w:rPr>
            </w:pPr>
          </w:p>
        </w:tc>
      </w:tr>
      <w:tr w14:paraId="7A1C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03B4239B">
            <w:pPr>
              <w:spacing w:line="340" w:lineRule="exact"/>
              <w:jc w:val="center"/>
              <w:rPr>
                <w:rFonts w:ascii="宋体" w:hAnsi="宋体" w:cs="宋体"/>
                <w:color w:val="000000" w:themeColor="text1"/>
                <w:sz w:val="24"/>
                <w14:textFill>
                  <w14:solidFill>
                    <w14:schemeClr w14:val="tx1"/>
                  </w14:solidFill>
                </w14:textFill>
              </w:rPr>
            </w:pPr>
          </w:p>
        </w:tc>
        <w:tc>
          <w:tcPr>
            <w:tcW w:w="2319" w:type="dxa"/>
          </w:tcPr>
          <w:p w14:paraId="778183FC">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p>
        </w:tc>
        <w:tc>
          <w:tcPr>
            <w:tcW w:w="1006" w:type="dxa"/>
          </w:tcPr>
          <w:p w14:paraId="40A16DCB">
            <w:pPr>
              <w:spacing w:line="340" w:lineRule="exact"/>
              <w:rPr>
                <w:rFonts w:ascii="宋体" w:hAnsi="宋体" w:cs="宋体"/>
                <w:color w:val="000000" w:themeColor="text1"/>
                <w:sz w:val="24"/>
                <w14:textFill>
                  <w14:solidFill>
                    <w14:schemeClr w14:val="tx1"/>
                  </w14:solidFill>
                </w14:textFill>
              </w:rPr>
            </w:pPr>
          </w:p>
        </w:tc>
        <w:tc>
          <w:tcPr>
            <w:tcW w:w="883" w:type="dxa"/>
          </w:tcPr>
          <w:p w14:paraId="63430A6F">
            <w:pPr>
              <w:spacing w:line="340" w:lineRule="exact"/>
              <w:rPr>
                <w:rFonts w:ascii="宋体" w:hAnsi="宋体" w:cs="宋体"/>
                <w:color w:val="000000" w:themeColor="text1"/>
                <w:sz w:val="24"/>
                <w14:textFill>
                  <w14:solidFill>
                    <w14:schemeClr w14:val="tx1"/>
                  </w14:solidFill>
                </w14:textFill>
              </w:rPr>
            </w:pPr>
          </w:p>
        </w:tc>
        <w:tc>
          <w:tcPr>
            <w:tcW w:w="1325" w:type="dxa"/>
          </w:tcPr>
          <w:p w14:paraId="79C4CE4E">
            <w:pPr>
              <w:spacing w:line="340" w:lineRule="exact"/>
              <w:rPr>
                <w:rFonts w:ascii="宋体" w:hAnsi="宋体" w:cs="宋体"/>
                <w:color w:val="000000" w:themeColor="text1"/>
                <w:sz w:val="24"/>
                <w14:textFill>
                  <w14:solidFill>
                    <w14:schemeClr w14:val="tx1"/>
                  </w14:solidFill>
                </w14:textFill>
              </w:rPr>
            </w:pPr>
          </w:p>
        </w:tc>
        <w:tc>
          <w:tcPr>
            <w:tcW w:w="1409" w:type="dxa"/>
          </w:tcPr>
          <w:p w14:paraId="6140EABA">
            <w:pPr>
              <w:spacing w:line="340" w:lineRule="exact"/>
              <w:rPr>
                <w:rFonts w:ascii="宋体" w:hAnsi="宋体" w:cs="宋体"/>
                <w:color w:val="000000" w:themeColor="text1"/>
                <w:sz w:val="24"/>
                <w14:textFill>
                  <w14:solidFill>
                    <w14:schemeClr w14:val="tx1"/>
                  </w14:solidFill>
                </w14:textFill>
              </w:rPr>
            </w:pPr>
          </w:p>
        </w:tc>
        <w:tc>
          <w:tcPr>
            <w:tcW w:w="1417" w:type="dxa"/>
          </w:tcPr>
          <w:p w14:paraId="68134979">
            <w:pPr>
              <w:spacing w:line="340" w:lineRule="exact"/>
              <w:rPr>
                <w:rFonts w:ascii="宋体" w:hAnsi="宋体" w:cs="宋体"/>
                <w:color w:val="000000" w:themeColor="text1"/>
                <w:sz w:val="24"/>
                <w14:textFill>
                  <w14:solidFill>
                    <w14:schemeClr w14:val="tx1"/>
                  </w14:solidFill>
                </w14:textFill>
              </w:rPr>
            </w:pPr>
          </w:p>
        </w:tc>
      </w:tr>
      <w:tr w14:paraId="348C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3B3A6DBA">
            <w:pPr>
              <w:spacing w:line="340" w:lineRule="exact"/>
              <w:jc w:val="center"/>
              <w:rPr>
                <w:rFonts w:ascii="宋体" w:hAnsi="宋体" w:cs="宋体"/>
                <w:color w:val="000000" w:themeColor="text1"/>
                <w:sz w:val="24"/>
                <w14:textFill>
                  <w14:solidFill>
                    <w14:schemeClr w14:val="tx1"/>
                  </w14:solidFill>
                </w14:textFill>
              </w:rPr>
            </w:pPr>
          </w:p>
        </w:tc>
        <w:tc>
          <w:tcPr>
            <w:tcW w:w="2319" w:type="dxa"/>
          </w:tcPr>
          <w:p w14:paraId="55DB4BC1">
            <w:pPr>
              <w:spacing w:line="3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006" w:type="dxa"/>
          </w:tcPr>
          <w:p w14:paraId="48B44F46">
            <w:pPr>
              <w:spacing w:line="340" w:lineRule="exact"/>
              <w:rPr>
                <w:rFonts w:ascii="宋体" w:hAnsi="宋体" w:cs="宋体"/>
                <w:color w:val="000000" w:themeColor="text1"/>
                <w:sz w:val="24"/>
                <w14:textFill>
                  <w14:solidFill>
                    <w14:schemeClr w14:val="tx1"/>
                  </w14:solidFill>
                </w14:textFill>
              </w:rPr>
            </w:pPr>
          </w:p>
        </w:tc>
        <w:tc>
          <w:tcPr>
            <w:tcW w:w="883" w:type="dxa"/>
          </w:tcPr>
          <w:p w14:paraId="031D77B4">
            <w:pPr>
              <w:spacing w:line="340" w:lineRule="exact"/>
              <w:rPr>
                <w:rFonts w:ascii="宋体" w:hAnsi="宋体" w:cs="宋体"/>
                <w:color w:val="000000" w:themeColor="text1"/>
                <w:sz w:val="24"/>
                <w14:textFill>
                  <w14:solidFill>
                    <w14:schemeClr w14:val="tx1"/>
                  </w14:solidFill>
                </w14:textFill>
              </w:rPr>
            </w:pPr>
          </w:p>
        </w:tc>
        <w:tc>
          <w:tcPr>
            <w:tcW w:w="1325" w:type="dxa"/>
          </w:tcPr>
          <w:p w14:paraId="0F28C3AB">
            <w:pPr>
              <w:spacing w:line="340" w:lineRule="exact"/>
              <w:rPr>
                <w:rFonts w:ascii="宋体" w:hAnsi="宋体" w:cs="宋体"/>
                <w:color w:val="000000" w:themeColor="text1"/>
                <w:sz w:val="24"/>
                <w14:textFill>
                  <w14:solidFill>
                    <w14:schemeClr w14:val="tx1"/>
                  </w14:solidFill>
                </w14:textFill>
              </w:rPr>
            </w:pPr>
          </w:p>
        </w:tc>
        <w:tc>
          <w:tcPr>
            <w:tcW w:w="1409" w:type="dxa"/>
          </w:tcPr>
          <w:p w14:paraId="1D63CF8E">
            <w:pPr>
              <w:spacing w:line="340" w:lineRule="exact"/>
              <w:rPr>
                <w:rFonts w:ascii="宋体" w:hAnsi="宋体" w:cs="宋体"/>
                <w:color w:val="000000" w:themeColor="text1"/>
                <w:sz w:val="24"/>
                <w14:textFill>
                  <w14:solidFill>
                    <w14:schemeClr w14:val="tx1"/>
                  </w14:solidFill>
                </w14:textFill>
              </w:rPr>
            </w:pPr>
          </w:p>
        </w:tc>
        <w:tc>
          <w:tcPr>
            <w:tcW w:w="1417" w:type="dxa"/>
          </w:tcPr>
          <w:p w14:paraId="2146EECD">
            <w:pPr>
              <w:spacing w:line="340" w:lineRule="exact"/>
              <w:rPr>
                <w:rFonts w:ascii="宋体" w:hAnsi="宋体" w:cs="宋体"/>
                <w:color w:val="000000" w:themeColor="text1"/>
                <w:sz w:val="24"/>
                <w14:textFill>
                  <w14:solidFill>
                    <w14:schemeClr w14:val="tx1"/>
                  </w14:solidFill>
                </w14:textFill>
              </w:rPr>
            </w:pPr>
          </w:p>
        </w:tc>
      </w:tr>
      <w:tr w14:paraId="7628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83" w:type="dxa"/>
          </w:tcPr>
          <w:p w14:paraId="7E5A9B13">
            <w:pPr>
              <w:spacing w:line="340" w:lineRule="exact"/>
              <w:jc w:val="center"/>
              <w:rPr>
                <w:rFonts w:ascii="宋体" w:hAnsi="宋体" w:cs="宋体"/>
                <w:color w:val="000000" w:themeColor="text1"/>
                <w:sz w:val="24"/>
                <w14:textFill>
                  <w14:solidFill>
                    <w14:schemeClr w14:val="tx1"/>
                  </w14:solidFill>
                </w14:textFill>
              </w:rPr>
            </w:pPr>
          </w:p>
        </w:tc>
        <w:tc>
          <w:tcPr>
            <w:tcW w:w="2319" w:type="dxa"/>
            <w:vAlign w:val="center"/>
          </w:tcPr>
          <w:p w14:paraId="37A40982">
            <w:pPr>
              <w:pStyle w:val="40"/>
              <w:spacing w:line="34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合计</w:t>
            </w:r>
          </w:p>
        </w:tc>
        <w:tc>
          <w:tcPr>
            <w:tcW w:w="1006" w:type="dxa"/>
          </w:tcPr>
          <w:p w14:paraId="594ACBD6">
            <w:pPr>
              <w:spacing w:line="340" w:lineRule="exact"/>
              <w:rPr>
                <w:rFonts w:ascii="宋体" w:hAnsi="宋体" w:cs="宋体"/>
                <w:color w:val="000000" w:themeColor="text1"/>
                <w:sz w:val="24"/>
                <w14:textFill>
                  <w14:solidFill>
                    <w14:schemeClr w14:val="tx1"/>
                  </w14:solidFill>
                </w14:textFill>
              </w:rPr>
            </w:pPr>
          </w:p>
        </w:tc>
        <w:tc>
          <w:tcPr>
            <w:tcW w:w="883" w:type="dxa"/>
          </w:tcPr>
          <w:p w14:paraId="09E48C66">
            <w:pPr>
              <w:spacing w:line="340" w:lineRule="exact"/>
              <w:rPr>
                <w:rFonts w:ascii="宋体" w:hAnsi="宋体" w:cs="宋体"/>
                <w:color w:val="000000" w:themeColor="text1"/>
                <w:sz w:val="24"/>
                <w14:textFill>
                  <w14:solidFill>
                    <w14:schemeClr w14:val="tx1"/>
                  </w14:solidFill>
                </w14:textFill>
              </w:rPr>
            </w:pPr>
          </w:p>
        </w:tc>
        <w:tc>
          <w:tcPr>
            <w:tcW w:w="1325" w:type="dxa"/>
          </w:tcPr>
          <w:p w14:paraId="1D1878D9">
            <w:pPr>
              <w:spacing w:line="340" w:lineRule="exact"/>
              <w:rPr>
                <w:rFonts w:ascii="宋体" w:hAnsi="宋体" w:cs="宋体"/>
                <w:color w:val="000000" w:themeColor="text1"/>
                <w:sz w:val="24"/>
                <w14:textFill>
                  <w14:solidFill>
                    <w14:schemeClr w14:val="tx1"/>
                  </w14:solidFill>
                </w14:textFill>
              </w:rPr>
            </w:pPr>
          </w:p>
        </w:tc>
        <w:tc>
          <w:tcPr>
            <w:tcW w:w="1409" w:type="dxa"/>
          </w:tcPr>
          <w:p w14:paraId="167CCDD7">
            <w:pPr>
              <w:spacing w:line="340" w:lineRule="exact"/>
              <w:rPr>
                <w:rFonts w:ascii="宋体" w:hAnsi="宋体" w:cs="宋体"/>
                <w:color w:val="000000" w:themeColor="text1"/>
                <w:sz w:val="24"/>
                <w14:textFill>
                  <w14:solidFill>
                    <w14:schemeClr w14:val="tx1"/>
                  </w14:solidFill>
                </w14:textFill>
              </w:rPr>
            </w:pPr>
          </w:p>
        </w:tc>
        <w:tc>
          <w:tcPr>
            <w:tcW w:w="1417" w:type="dxa"/>
          </w:tcPr>
          <w:p w14:paraId="1B176B46">
            <w:pPr>
              <w:spacing w:line="340" w:lineRule="exact"/>
              <w:rPr>
                <w:rFonts w:ascii="宋体" w:hAnsi="宋体" w:cs="宋体"/>
                <w:color w:val="000000" w:themeColor="text1"/>
                <w:sz w:val="24"/>
                <w14:textFill>
                  <w14:solidFill>
                    <w14:schemeClr w14:val="tx1"/>
                  </w14:solidFill>
                </w14:textFill>
              </w:rPr>
            </w:pPr>
          </w:p>
        </w:tc>
      </w:tr>
    </w:tbl>
    <w:p w14:paraId="29E62AAC">
      <w:pPr>
        <w:spacing w:line="360" w:lineRule="auto"/>
        <w:ind w:firstLine="3840" w:firstLineChars="1600"/>
        <w:rPr>
          <w:rFonts w:ascii="宋体" w:hAnsi="宋体" w:cs="宋体"/>
          <w:color w:val="000000" w:themeColor="text1"/>
          <w:sz w:val="24"/>
          <w14:textFill>
            <w14:solidFill>
              <w14:schemeClr w14:val="tx1"/>
            </w14:solidFill>
          </w14:textFill>
        </w:rPr>
      </w:pPr>
    </w:p>
    <w:p w14:paraId="692EDA71">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14:paraId="42AB2036">
      <w:pPr>
        <w:spacing w:line="360" w:lineRule="auto"/>
        <w:ind w:right="960" w:firstLine="5760" w:firstLineChars="2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15C0940B">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14:paraId="27C11F17">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表中所列内容为对应本项目需求的全部要求。如有漏项或缺项，投标人承担全部责任。</w:t>
      </w:r>
    </w:p>
    <w:p w14:paraId="4A149468">
      <w:pPr>
        <w:spacing w:line="360" w:lineRule="auto"/>
        <w:jc w:val="center"/>
        <w:rPr>
          <w:rFonts w:ascii="宋体" w:hAnsi="宋体" w:cs="宋体"/>
          <w:b/>
          <w:color w:val="000000" w:themeColor="text1"/>
          <w:sz w:val="24"/>
          <w14:textFill>
            <w14:solidFill>
              <w14:schemeClr w14:val="tx1"/>
            </w14:solidFill>
          </w14:textFill>
        </w:rPr>
      </w:pPr>
    </w:p>
    <w:p w14:paraId="529F610B">
      <w:pPr>
        <w:spacing w:line="360" w:lineRule="auto"/>
        <w:jc w:val="center"/>
        <w:rPr>
          <w:rFonts w:ascii="宋体" w:hAnsi="宋体" w:cs="宋体"/>
          <w:b/>
          <w:color w:val="000000" w:themeColor="text1"/>
          <w:sz w:val="24"/>
          <w14:textFill>
            <w14:solidFill>
              <w14:schemeClr w14:val="tx1"/>
            </w14:solidFill>
          </w14:textFill>
        </w:rPr>
      </w:pPr>
    </w:p>
    <w:p w14:paraId="11412111">
      <w:pPr>
        <w:pStyle w:val="30"/>
        <w:ind w:firstLine="241"/>
        <w:rPr>
          <w:rFonts w:ascii="宋体" w:hAnsi="宋体" w:cs="宋体"/>
          <w:b/>
          <w:color w:val="000000" w:themeColor="text1"/>
          <w:sz w:val="24"/>
          <w14:textFill>
            <w14:solidFill>
              <w14:schemeClr w14:val="tx1"/>
            </w14:solidFill>
          </w14:textFill>
        </w:rPr>
      </w:pPr>
    </w:p>
    <w:p w14:paraId="5B8CE41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08837CDB">
      <w:pPr>
        <w:pStyle w:val="18"/>
        <w:rPr>
          <w:color w:val="000000" w:themeColor="text1"/>
          <w:sz w:val="30"/>
          <w:szCs w:val="30"/>
          <w14:textFill>
            <w14:solidFill>
              <w14:schemeClr w14:val="tx1"/>
            </w14:solidFill>
          </w14:textFill>
        </w:rPr>
      </w:pPr>
      <w:bookmarkStart w:id="63" w:name="_Toc195875483"/>
      <w:r>
        <w:rPr>
          <w:rFonts w:hint="eastAsia"/>
          <w:color w:val="000000" w:themeColor="text1"/>
          <w:sz w:val="30"/>
          <w:szCs w:val="30"/>
          <w14:textFill>
            <w14:solidFill>
              <w14:schemeClr w14:val="tx1"/>
            </w14:solidFill>
          </w14:textFill>
        </w:rPr>
        <w:t>格式6  技术参数响应表</w:t>
      </w:r>
      <w:bookmarkEnd w:id="63"/>
    </w:p>
    <w:p w14:paraId="21C6CEE1">
      <w:pPr>
        <w:rPr>
          <w:rFonts w:ascii="宋体" w:hAnsi="宋体" w:cs="宋体"/>
          <w:color w:val="000000" w:themeColor="text1"/>
          <w:sz w:val="24"/>
          <w14:textFill>
            <w14:solidFill>
              <w14:schemeClr w14:val="tx1"/>
            </w14:solidFill>
          </w14:textFill>
        </w:rPr>
      </w:pPr>
    </w:p>
    <w:p w14:paraId="0195C41C">
      <w:pPr>
        <w:rPr>
          <w:rFonts w:ascii="宋体" w:hAnsi="宋体" w:cs="宋体"/>
          <w:color w:val="000000" w:themeColor="text1"/>
          <w:sz w:val="24"/>
          <w14:textFill>
            <w14:solidFill>
              <w14:schemeClr w14:val="tx1"/>
            </w14:solidFill>
          </w14:textFill>
        </w:rPr>
      </w:pPr>
    </w:p>
    <w:tbl>
      <w:tblPr>
        <w:tblStyle w:val="25"/>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7AB6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6463E411">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22619313">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按投标人所投内容填写</w:t>
            </w:r>
          </w:p>
        </w:tc>
      </w:tr>
      <w:tr w14:paraId="5EB0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1DBD0790">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序号</w:t>
            </w:r>
          </w:p>
        </w:tc>
        <w:tc>
          <w:tcPr>
            <w:tcW w:w="723" w:type="dxa"/>
            <w:tcBorders>
              <w:top w:val="single" w:color="auto" w:sz="4" w:space="0"/>
              <w:left w:val="nil"/>
              <w:bottom w:val="single" w:color="auto" w:sz="4" w:space="0"/>
              <w:right w:val="single" w:color="auto" w:sz="4" w:space="0"/>
            </w:tcBorders>
            <w:vAlign w:val="center"/>
          </w:tcPr>
          <w:p w14:paraId="721FB5D4">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品名</w:t>
            </w:r>
          </w:p>
        </w:tc>
        <w:tc>
          <w:tcPr>
            <w:tcW w:w="3490" w:type="dxa"/>
            <w:tcBorders>
              <w:top w:val="single" w:color="auto" w:sz="4" w:space="0"/>
              <w:left w:val="nil"/>
              <w:bottom w:val="single" w:color="auto" w:sz="4" w:space="0"/>
              <w:right w:val="single" w:color="auto" w:sz="4" w:space="0"/>
            </w:tcBorders>
            <w:vAlign w:val="center"/>
          </w:tcPr>
          <w:p w14:paraId="739529A3">
            <w:pPr>
              <w:pStyle w:val="11"/>
              <w:jc w:val="center"/>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5AA6FE7B">
            <w:pPr>
              <w:pStyle w:val="11"/>
              <w:jc w:val="center"/>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响应</w:t>
            </w:r>
          </w:p>
        </w:tc>
        <w:tc>
          <w:tcPr>
            <w:tcW w:w="1336" w:type="dxa"/>
            <w:tcBorders>
              <w:top w:val="single" w:color="auto" w:sz="4" w:space="0"/>
              <w:left w:val="nil"/>
              <w:bottom w:val="single" w:color="auto" w:sz="4" w:space="0"/>
              <w:right w:val="single" w:color="auto" w:sz="4" w:space="0"/>
            </w:tcBorders>
            <w:vAlign w:val="center"/>
          </w:tcPr>
          <w:p w14:paraId="749014EF">
            <w:pPr>
              <w:pStyle w:val="11"/>
              <w:jc w:val="center"/>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偏离说明</w:t>
            </w:r>
          </w:p>
        </w:tc>
      </w:tr>
      <w:tr w14:paraId="49C5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D4B4AE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23" w:type="dxa"/>
            <w:tcBorders>
              <w:top w:val="single" w:color="auto" w:sz="4" w:space="0"/>
              <w:left w:val="nil"/>
              <w:bottom w:val="single" w:color="auto" w:sz="4" w:space="0"/>
              <w:right w:val="single" w:color="auto" w:sz="4" w:space="0"/>
            </w:tcBorders>
            <w:vAlign w:val="center"/>
          </w:tcPr>
          <w:p w14:paraId="355D81F1">
            <w:pPr>
              <w:widowControl/>
              <w:jc w:val="left"/>
              <w:rPr>
                <w:rFonts w:ascii="宋体" w:hAnsi="宋体" w:cs="宋体"/>
                <w:color w:val="000000" w:themeColor="text1"/>
                <w:kern w:val="0"/>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tcPr>
          <w:p w14:paraId="23A32BA0">
            <w:pPr>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tcPr>
          <w:p w14:paraId="6B97EBD6">
            <w:pPr>
              <w:widowControl/>
              <w:rPr>
                <w:rFonts w:ascii="宋体" w:hAnsi="宋体" w:cs="宋体"/>
                <w:color w:val="000000" w:themeColor="text1"/>
                <w:kern w:val="0"/>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14:paraId="46C9A7B7">
            <w:pPr>
              <w:jc w:val="center"/>
              <w:rPr>
                <w:rFonts w:ascii="宋体" w:hAnsi="宋体" w:cs="宋体"/>
                <w:color w:val="000000" w:themeColor="text1"/>
                <w:sz w:val="24"/>
                <w14:textFill>
                  <w14:solidFill>
                    <w14:schemeClr w14:val="tx1"/>
                  </w14:solidFill>
                </w14:textFill>
              </w:rPr>
            </w:pPr>
          </w:p>
        </w:tc>
      </w:tr>
      <w:tr w14:paraId="5AB7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583464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23" w:type="dxa"/>
            <w:tcBorders>
              <w:top w:val="single" w:color="auto" w:sz="4" w:space="0"/>
              <w:left w:val="nil"/>
              <w:bottom w:val="single" w:color="auto" w:sz="4" w:space="0"/>
              <w:right w:val="single" w:color="auto" w:sz="4" w:space="0"/>
            </w:tcBorders>
            <w:vAlign w:val="center"/>
          </w:tcPr>
          <w:p w14:paraId="695541B8">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14:paraId="5FADAFD4">
            <w:pPr>
              <w:ind w:left="240" w:hanging="240" w:hangingChars="100"/>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14:paraId="3D30024E">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14:paraId="723A26DB">
            <w:pPr>
              <w:jc w:val="center"/>
              <w:rPr>
                <w:rFonts w:ascii="宋体" w:hAnsi="宋体" w:cs="宋体"/>
                <w:color w:val="000000" w:themeColor="text1"/>
                <w:sz w:val="24"/>
                <w14:textFill>
                  <w14:solidFill>
                    <w14:schemeClr w14:val="tx1"/>
                  </w14:solidFill>
                </w14:textFill>
              </w:rPr>
            </w:pPr>
          </w:p>
        </w:tc>
      </w:tr>
      <w:tr w14:paraId="7AB3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BEF98A6">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14:paraId="369539E2">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14:paraId="26CB1EBF">
            <w:pPr>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14:paraId="78B06BB2">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14:paraId="647C7137">
            <w:pPr>
              <w:jc w:val="center"/>
              <w:rPr>
                <w:rFonts w:ascii="宋体" w:hAnsi="宋体" w:cs="宋体"/>
                <w:color w:val="000000" w:themeColor="text1"/>
                <w:sz w:val="24"/>
                <w14:textFill>
                  <w14:solidFill>
                    <w14:schemeClr w14:val="tx1"/>
                  </w14:solidFill>
                </w14:textFill>
              </w:rPr>
            </w:pPr>
          </w:p>
        </w:tc>
      </w:tr>
      <w:tr w14:paraId="77B0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D909C58">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14:paraId="14501FB3">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14:paraId="3205C3E2">
            <w:pPr>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14:paraId="245A882A">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14:paraId="5560768E">
            <w:pPr>
              <w:jc w:val="center"/>
              <w:rPr>
                <w:rFonts w:ascii="宋体" w:hAnsi="宋体" w:cs="宋体"/>
                <w:color w:val="000000" w:themeColor="text1"/>
                <w:sz w:val="24"/>
                <w14:textFill>
                  <w14:solidFill>
                    <w14:schemeClr w14:val="tx1"/>
                  </w14:solidFill>
                </w14:textFill>
              </w:rPr>
            </w:pPr>
          </w:p>
        </w:tc>
      </w:tr>
      <w:tr w14:paraId="03EF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7FCDFA7">
            <w:pPr>
              <w:rPr>
                <w:rFonts w:ascii="宋体" w:hAnsi="宋体" w:cs="宋体"/>
                <w:color w:val="000000" w:themeColor="text1"/>
                <w:sz w:val="24"/>
                <w14:textFill>
                  <w14:solidFill>
                    <w14:schemeClr w14:val="tx1"/>
                  </w14:solidFill>
                </w14:textFill>
              </w:rPr>
            </w:pPr>
          </w:p>
        </w:tc>
        <w:tc>
          <w:tcPr>
            <w:tcW w:w="723" w:type="dxa"/>
            <w:tcBorders>
              <w:top w:val="single" w:color="auto" w:sz="4" w:space="0"/>
              <w:left w:val="nil"/>
              <w:bottom w:val="single" w:color="auto" w:sz="4" w:space="0"/>
              <w:right w:val="single" w:color="auto" w:sz="4" w:space="0"/>
            </w:tcBorders>
            <w:vAlign w:val="center"/>
          </w:tcPr>
          <w:p w14:paraId="2E02BEC3">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14:paraId="7AF8969A">
            <w:pPr>
              <w:ind w:left="240" w:hanging="240" w:hangingChars="100"/>
              <w:jc w:val="left"/>
              <w:rPr>
                <w:rFonts w:ascii="宋体" w:hAnsi="宋体" w:cs="宋体"/>
                <w:color w:val="000000" w:themeColor="text1"/>
                <w:sz w:val="24"/>
                <w14:textFill>
                  <w14:solidFill>
                    <w14:schemeClr w14:val="tx1"/>
                  </w14:solidFill>
                </w14:textFill>
              </w:rPr>
            </w:pPr>
          </w:p>
        </w:tc>
        <w:tc>
          <w:tcPr>
            <w:tcW w:w="2810" w:type="dxa"/>
            <w:tcBorders>
              <w:top w:val="single" w:color="auto" w:sz="4" w:space="0"/>
              <w:left w:val="nil"/>
              <w:bottom w:val="single" w:color="auto" w:sz="4" w:space="0"/>
              <w:right w:val="single" w:color="auto" w:sz="4" w:space="0"/>
            </w:tcBorders>
            <w:vAlign w:val="center"/>
          </w:tcPr>
          <w:p w14:paraId="75D42933">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14:paraId="5E2A7D80">
            <w:pPr>
              <w:jc w:val="center"/>
              <w:rPr>
                <w:rFonts w:ascii="宋体" w:hAnsi="宋体" w:cs="宋体"/>
                <w:color w:val="000000" w:themeColor="text1"/>
                <w:sz w:val="24"/>
                <w14:textFill>
                  <w14:solidFill>
                    <w14:schemeClr w14:val="tx1"/>
                  </w14:solidFill>
                </w14:textFill>
              </w:rPr>
            </w:pPr>
          </w:p>
        </w:tc>
      </w:tr>
      <w:tr w14:paraId="7632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CECEFC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723" w:type="dxa"/>
            <w:tcBorders>
              <w:top w:val="single" w:color="auto" w:sz="4" w:space="0"/>
              <w:left w:val="nil"/>
              <w:bottom w:val="single" w:color="auto" w:sz="4" w:space="0"/>
              <w:right w:val="single" w:color="auto" w:sz="4" w:space="0"/>
            </w:tcBorders>
            <w:vAlign w:val="center"/>
          </w:tcPr>
          <w:p w14:paraId="015F39E1">
            <w:pPr>
              <w:jc w:val="center"/>
              <w:rPr>
                <w:rFonts w:ascii="宋体" w:hAnsi="宋体" w:cs="宋体"/>
                <w:color w:val="000000" w:themeColor="text1"/>
                <w:sz w:val="24"/>
                <w14:textFill>
                  <w14:solidFill>
                    <w14:schemeClr w14:val="tx1"/>
                  </w14:solidFill>
                </w14:textFill>
              </w:rPr>
            </w:pPr>
          </w:p>
        </w:tc>
        <w:tc>
          <w:tcPr>
            <w:tcW w:w="3490" w:type="dxa"/>
            <w:tcBorders>
              <w:top w:val="single" w:color="auto" w:sz="4" w:space="0"/>
              <w:left w:val="nil"/>
              <w:bottom w:val="single" w:color="auto" w:sz="4" w:space="0"/>
              <w:right w:val="single" w:color="auto" w:sz="4" w:space="0"/>
            </w:tcBorders>
            <w:vAlign w:val="center"/>
          </w:tcPr>
          <w:p w14:paraId="20512A82">
            <w:pPr>
              <w:ind w:left="240" w:hanging="240" w:hanging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810" w:type="dxa"/>
            <w:tcBorders>
              <w:top w:val="single" w:color="auto" w:sz="4" w:space="0"/>
              <w:left w:val="nil"/>
              <w:bottom w:val="single" w:color="auto" w:sz="4" w:space="0"/>
              <w:right w:val="single" w:color="auto" w:sz="4" w:space="0"/>
            </w:tcBorders>
            <w:vAlign w:val="center"/>
          </w:tcPr>
          <w:p w14:paraId="040C6664">
            <w:pPr>
              <w:ind w:left="240" w:hanging="240" w:hangingChars="100"/>
              <w:jc w:val="left"/>
              <w:rPr>
                <w:rFonts w:ascii="宋体" w:hAnsi="宋体" w:cs="宋体"/>
                <w:color w:val="000000" w:themeColor="text1"/>
                <w:sz w:val="24"/>
                <w14:textFill>
                  <w14:solidFill>
                    <w14:schemeClr w14:val="tx1"/>
                  </w14:solidFill>
                </w14:textFill>
              </w:rPr>
            </w:pPr>
          </w:p>
        </w:tc>
        <w:tc>
          <w:tcPr>
            <w:tcW w:w="1336" w:type="dxa"/>
            <w:tcBorders>
              <w:top w:val="single" w:color="auto" w:sz="4" w:space="0"/>
              <w:left w:val="nil"/>
              <w:bottom w:val="single" w:color="auto" w:sz="4" w:space="0"/>
              <w:right w:val="single" w:color="auto" w:sz="4" w:space="0"/>
            </w:tcBorders>
            <w:vAlign w:val="center"/>
          </w:tcPr>
          <w:p w14:paraId="1C251804">
            <w:pPr>
              <w:jc w:val="center"/>
              <w:rPr>
                <w:rFonts w:ascii="宋体" w:hAnsi="宋体" w:cs="宋体"/>
                <w:color w:val="000000" w:themeColor="text1"/>
                <w:sz w:val="24"/>
                <w14:textFill>
                  <w14:solidFill>
                    <w14:schemeClr w14:val="tx1"/>
                  </w14:solidFill>
                </w14:textFill>
              </w:rPr>
            </w:pPr>
          </w:p>
        </w:tc>
      </w:tr>
    </w:tbl>
    <w:p w14:paraId="782C5F17">
      <w:pPr>
        <w:rPr>
          <w:rFonts w:ascii="宋体" w:hAnsi="宋体" w:cs="宋体"/>
          <w:color w:val="000000" w:themeColor="text1"/>
          <w:sz w:val="24"/>
          <w14:textFill>
            <w14:solidFill>
              <w14:schemeClr w14:val="tx1"/>
            </w14:solidFill>
          </w14:textFill>
        </w:rPr>
      </w:pPr>
    </w:p>
    <w:p w14:paraId="33CA26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(可根据需求自行更改)</w:t>
      </w:r>
    </w:p>
    <w:p w14:paraId="22163B97">
      <w:pPr>
        <w:rPr>
          <w:rFonts w:ascii="宋体" w:hAnsi="宋体" w:cs="宋体"/>
          <w:color w:val="000000" w:themeColor="text1"/>
          <w:sz w:val="24"/>
          <w14:textFill>
            <w14:solidFill>
              <w14:schemeClr w14:val="tx1"/>
            </w14:solidFill>
          </w14:textFill>
        </w:rPr>
      </w:pPr>
    </w:p>
    <w:p w14:paraId="0C6E1B45">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14:paraId="4F2B125A">
      <w:pPr>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47F14009">
      <w:pPr>
        <w:spacing w:line="360" w:lineRule="auto"/>
        <w:rPr>
          <w:rFonts w:ascii="宋体" w:hAnsi="宋体" w:cs="宋体"/>
          <w:b/>
          <w:color w:val="000000" w:themeColor="text1"/>
          <w:sz w:val="24"/>
          <w14:textFill>
            <w14:solidFill>
              <w14:schemeClr w14:val="tx1"/>
            </w14:solidFill>
          </w14:textFill>
        </w:rPr>
      </w:pPr>
    </w:p>
    <w:p w14:paraId="4E1A88EC">
      <w:pPr>
        <w:spacing w:line="360" w:lineRule="auto"/>
        <w:rPr>
          <w:rFonts w:ascii="宋体" w:hAnsi="宋体" w:cs="宋体"/>
          <w:b/>
          <w:color w:val="000000" w:themeColor="text1"/>
          <w:sz w:val="24"/>
          <w14:textFill>
            <w14:solidFill>
              <w14:schemeClr w14:val="tx1"/>
            </w14:solidFill>
          </w14:textFill>
        </w:rPr>
      </w:pPr>
    </w:p>
    <w:p w14:paraId="43096721">
      <w:pPr>
        <w:spacing w:line="360" w:lineRule="auto"/>
        <w:rPr>
          <w:rFonts w:ascii="宋体" w:hAnsi="宋体" w:cs="宋体"/>
          <w:b/>
          <w:color w:val="000000" w:themeColor="text1"/>
          <w:sz w:val="24"/>
          <w14:textFill>
            <w14:solidFill>
              <w14:schemeClr w14:val="tx1"/>
            </w14:solidFill>
          </w14:textFill>
        </w:rPr>
      </w:pPr>
    </w:p>
    <w:p w14:paraId="1A5192F3">
      <w:pPr>
        <w:spacing w:line="360" w:lineRule="auto"/>
        <w:rPr>
          <w:rFonts w:ascii="宋体" w:hAnsi="宋体" w:cs="宋体"/>
          <w:b/>
          <w:color w:val="000000" w:themeColor="text1"/>
          <w:sz w:val="24"/>
          <w14:textFill>
            <w14:solidFill>
              <w14:schemeClr w14:val="tx1"/>
            </w14:solidFill>
          </w14:textFill>
        </w:rPr>
      </w:pPr>
    </w:p>
    <w:p w14:paraId="35E68115">
      <w:pPr>
        <w:pStyle w:val="18"/>
        <w:rPr>
          <w:rFonts w:ascii="宋体" w:hAnsi="宋体"/>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br w:type="page"/>
      </w:r>
      <w:bookmarkStart w:id="64" w:name="_Toc195875484"/>
      <w:r>
        <w:rPr>
          <w:rFonts w:hint="eastAsia" w:ascii="宋体" w:hAnsi="宋体"/>
          <w:color w:val="000000" w:themeColor="text1"/>
          <w:sz w:val="30"/>
          <w:szCs w:val="30"/>
          <w14:textFill>
            <w14:solidFill>
              <w14:schemeClr w14:val="tx1"/>
            </w14:solidFill>
          </w14:textFill>
        </w:rPr>
        <w:t>格式7 服务方案及服务承诺</w:t>
      </w:r>
      <w:bookmarkEnd w:id="64"/>
    </w:p>
    <w:p w14:paraId="5ED896F1">
      <w:pPr>
        <w:spacing w:line="380" w:lineRule="exact"/>
        <w:rPr>
          <w:rFonts w:ascii="宋体" w:hAnsi="宋体" w:cs="宋体"/>
          <w:color w:val="000000" w:themeColor="text1"/>
          <w:sz w:val="24"/>
          <w14:textFill>
            <w14:solidFill>
              <w14:schemeClr w14:val="tx1"/>
            </w14:solidFill>
          </w14:textFill>
        </w:rPr>
      </w:pPr>
    </w:p>
    <w:p w14:paraId="2440F3FE">
      <w:pPr>
        <w:spacing w:line="380" w:lineRule="exact"/>
        <w:ind w:firstLine="360" w:firstLineChars="150"/>
        <w:rPr>
          <w:rFonts w:ascii="宋体" w:hAnsi="宋体" w:cs="宋体"/>
          <w:color w:val="000000" w:themeColor="text1"/>
          <w:sz w:val="24"/>
          <w14:textFill>
            <w14:solidFill>
              <w14:schemeClr w14:val="tx1"/>
            </w14:solidFill>
          </w14:textFill>
        </w:rPr>
      </w:pPr>
    </w:p>
    <w:p w14:paraId="7AE6A8B9">
      <w:pPr>
        <w:pStyle w:val="33"/>
        <w:rPr>
          <w:rFonts w:ascii="宋体" w:hAnsi="宋体" w:cs="宋体"/>
          <w:color w:val="000000" w:themeColor="text1"/>
          <w:sz w:val="24"/>
          <w:szCs w:val="24"/>
          <w14:textFill>
            <w14:solidFill>
              <w14:schemeClr w14:val="tx1"/>
            </w14:solidFill>
          </w14:textFill>
        </w:rPr>
      </w:pPr>
    </w:p>
    <w:p w14:paraId="0A00F1A1">
      <w:pPr>
        <w:pStyle w:val="33"/>
        <w:rPr>
          <w:rFonts w:ascii="宋体" w:hAnsi="宋体" w:cs="宋体"/>
          <w:color w:val="000000" w:themeColor="text1"/>
          <w:sz w:val="24"/>
          <w:szCs w:val="24"/>
          <w14:textFill>
            <w14:solidFill>
              <w14:schemeClr w14:val="tx1"/>
            </w14:solidFill>
          </w14:textFill>
        </w:rPr>
      </w:pPr>
    </w:p>
    <w:p w14:paraId="58754793">
      <w:pPr>
        <w:pStyle w:val="33"/>
        <w:rPr>
          <w:rFonts w:ascii="宋体" w:hAnsi="宋体" w:cs="宋体"/>
          <w:color w:val="000000" w:themeColor="text1"/>
          <w:sz w:val="24"/>
          <w:szCs w:val="24"/>
          <w14:textFill>
            <w14:solidFill>
              <w14:schemeClr w14:val="tx1"/>
            </w14:solidFill>
          </w14:textFill>
        </w:rPr>
      </w:pPr>
    </w:p>
    <w:p w14:paraId="34A8C53E">
      <w:pPr>
        <w:pStyle w:val="33"/>
        <w:rPr>
          <w:rFonts w:ascii="宋体" w:hAnsi="宋体" w:cs="宋体"/>
          <w:color w:val="000000" w:themeColor="text1"/>
          <w:sz w:val="24"/>
          <w:szCs w:val="24"/>
          <w14:textFill>
            <w14:solidFill>
              <w14:schemeClr w14:val="tx1"/>
            </w14:solidFill>
          </w14:textFill>
        </w:rPr>
      </w:pPr>
    </w:p>
    <w:p w14:paraId="34F837E5">
      <w:pPr>
        <w:pStyle w:val="33"/>
        <w:rPr>
          <w:rFonts w:ascii="宋体" w:hAnsi="宋体" w:cs="宋体"/>
          <w:color w:val="000000" w:themeColor="text1"/>
          <w:sz w:val="24"/>
          <w:szCs w:val="24"/>
          <w14:textFill>
            <w14:solidFill>
              <w14:schemeClr w14:val="tx1"/>
            </w14:solidFill>
          </w14:textFill>
        </w:rPr>
      </w:pPr>
    </w:p>
    <w:p w14:paraId="4C5C3343">
      <w:pPr>
        <w:pStyle w:val="33"/>
        <w:rPr>
          <w:rFonts w:ascii="宋体" w:hAnsi="宋体" w:cs="宋体"/>
          <w:color w:val="000000" w:themeColor="text1"/>
          <w:sz w:val="24"/>
          <w:szCs w:val="24"/>
          <w14:textFill>
            <w14:solidFill>
              <w14:schemeClr w14:val="tx1"/>
            </w14:solidFill>
          </w14:textFill>
        </w:rPr>
      </w:pPr>
    </w:p>
    <w:p w14:paraId="4C8225CD">
      <w:pPr>
        <w:spacing w:line="380" w:lineRule="exact"/>
        <w:rPr>
          <w:rFonts w:ascii="宋体" w:hAnsi="宋体" w:cs="宋体"/>
          <w:color w:val="000000" w:themeColor="text1"/>
          <w:sz w:val="24"/>
          <w14:textFill>
            <w14:solidFill>
              <w14:schemeClr w14:val="tx1"/>
            </w14:solidFill>
          </w14:textFill>
        </w:rPr>
      </w:pPr>
    </w:p>
    <w:p w14:paraId="3ABABE89">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14:paraId="7E320476">
      <w:pPr>
        <w:spacing w:line="380" w:lineRule="exact"/>
        <w:ind w:right="640" w:firstLine="1560" w:firstLineChars="650"/>
        <w:rPr>
          <w:rFonts w:ascii="宋体" w:hAnsi="宋体" w:cs="宋体"/>
          <w:color w:val="000000" w:themeColor="text1"/>
          <w:sz w:val="24"/>
          <w14:textFill>
            <w14:solidFill>
              <w14:schemeClr w14:val="tx1"/>
            </w14:solidFill>
          </w14:textFill>
        </w:rPr>
      </w:pPr>
    </w:p>
    <w:p w14:paraId="66AD94F9">
      <w:pPr>
        <w:spacing w:line="380" w:lineRule="exact"/>
        <w:ind w:right="640" w:firstLine="4680" w:firstLineChars="1950"/>
        <w:rPr>
          <w:rFonts w:ascii="宋体" w:hAnsi="宋体" w:cs="宋体"/>
          <w:color w:val="000000" w:themeColor="text1"/>
          <w:sz w:val="24"/>
          <w14:textFill>
            <w14:solidFill>
              <w14:schemeClr w14:val="tx1"/>
            </w14:solidFill>
          </w14:textFill>
        </w:rPr>
      </w:pPr>
    </w:p>
    <w:p w14:paraId="6101C864">
      <w:pPr>
        <w:spacing w:line="380" w:lineRule="exact"/>
        <w:jc w:val="center"/>
        <w:rPr>
          <w:rFonts w:ascii="宋体" w:hAnsi="宋体" w:cs="宋体"/>
          <w:color w:val="000000" w:themeColor="text1"/>
          <w:sz w:val="24"/>
          <w14:textFill>
            <w14:solidFill>
              <w14:schemeClr w14:val="tx1"/>
            </w14:solidFill>
          </w14:textFill>
        </w:rPr>
      </w:pPr>
    </w:p>
    <w:p w14:paraId="5F7BC42B">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2D34E54F">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14:paraId="2DBAE484">
      <w:pPr>
        <w:pStyle w:val="18"/>
        <w:rPr>
          <w:color w:val="000000" w:themeColor="text1"/>
          <w:sz w:val="30"/>
          <w:szCs w:val="30"/>
          <w14:textFill>
            <w14:solidFill>
              <w14:schemeClr w14:val="tx1"/>
            </w14:solidFill>
          </w14:textFill>
        </w:rPr>
      </w:pPr>
      <w:bookmarkStart w:id="65" w:name="_Toc195875485"/>
      <w:r>
        <w:rPr>
          <w:rFonts w:hint="eastAsia"/>
          <w:color w:val="000000" w:themeColor="text1"/>
          <w:sz w:val="30"/>
          <w:szCs w:val="30"/>
          <w14:textFill>
            <w14:solidFill>
              <w14:schemeClr w14:val="tx1"/>
            </w14:solidFill>
          </w14:textFill>
        </w:rPr>
        <w:t>格式8 合格供应商的声明函和承诺书</w:t>
      </w:r>
      <w:bookmarkEnd w:id="65"/>
    </w:p>
    <w:p w14:paraId="16ACA2E8">
      <w:pPr>
        <w:spacing w:line="360" w:lineRule="auto"/>
        <w:rPr>
          <w:rFonts w:ascii="宋体" w:hAnsi="宋体" w:cs="宋体"/>
          <w:color w:val="000000" w:themeColor="text1"/>
          <w:sz w:val="24"/>
          <w14:textFill>
            <w14:solidFill>
              <w14:schemeClr w14:val="tx1"/>
            </w14:solidFill>
          </w14:textFill>
        </w:rPr>
      </w:pPr>
    </w:p>
    <w:p w14:paraId="658E253B">
      <w:pPr>
        <w:spacing w:line="360" w:lineRule="auto"/>
        <w:jc w:val="center"/>
        <w:rPr>
          <w:rFonts w:ascii="宋体" w:hAnsi="宋体" w:cs="宋体"/>
          <w:b/>
          <w:bCs/>
          <w:color w:val="000000" w:themeColor="text1"/>
          <w:sz w:val="24"/>
          <w14:textFill>
            <w14:solidFill>
              <w14:schemeClr w14:val="tx1"/>
            </w14:solidFill>
          </w14:textFill>
        </w:rPr>
      </w:pPr>
    </w:p>
    <w:p w14:paraId="147E896B">
      <w:pPr>
        <w:pStyle w:val="33"/>
        <w:rPr>
          <w:rFonts w:ascii="宋体" w:hAnsi="宋体"/>
          <w:color w:val="000000" w:themeColor="text1"/>
          <w14:textFill>
            <w14:solidFill>
              <w14:schemeClr w14:val="tx1"/>
            </w14:solidFill>
          </w14:textFill>
        </w:rPr>
      </w:pPr>
    </w:p>
    <w:p w14:paraId="49B6ED22">
      <w:pPr>
        <w:spacing w:line="360" w:lineRule="auto"/>
        <w:jc w:val="center"/>
        <w:rPr>
          <w:rFonts w:ascii="宋体" w:hAnsi="宋体" w:cs="宋体"/>
          <w:b/>
          <w:color w:val="000000" w:themeColor="text1"/>
          <w:sz w:val="24"/>
          <w14:textFill>
            <w14:solidFill>
              <w14:schemeClr w14:val="tx1"/>
            </w14:solidFill>
          </w14:textFill>
        </w:rPr>
      </w:pPr>
    </w:p>
    <w:p w14:paraId="5DE05884">
      <w:pPr>
        <w:spacing w:line="360" w:lineRule="auto"/>
        <w:jc w:val="center"/>
        <w:rPr>
          <w:rFonts w:ascii="宋体" w:hAnsi="宋体" w:cs="宋体"/>
          <w:b/>
          <w:color w:val="000000" w:themeColor="text1"/>
          <w:sz w:val="24"/>
          <w14:textFill>
            <w14:solidFill>
              <w14:schemeClr w14:val="tx1"/>
            </w14:solidFill>
          </w14:textFill>
        </w:rPr>
      </w:pPr>
    </w:p>
    <w:p w14:paraId="6AAE6E2B">
      <w:pPr>
        <w:spacing w:line="360" w:lineRule="auto"/>
        <w:jc w:val="center"/>
        <w:rPr>
          <w:rFonts w:ascii="宋体" w:hAnsi="宋体" w:cs="宋体"/>
          <w:b/>
          <w:color w:val="000000" w:themeColor="text1"/>
          <w:sz w:val="24"/>
          <w14:textFill>
            <w14:solidFill>
              <w14:schemeClr w14:val="tx1"/>
            </w14:solidFill>
          </w14:textFill>
        </w:rPr>
      </w:pPr>
    </w:p>
    <w:p w14:paraId="6F9A383D">
      <w:pPr>
        <w:spacing w:line="360" w:lineRule="auto"/>
        <w:jc w:val="center"/>
        <w:rPr>
          <w:rFonts w:ascii="宋体" w:hAnsi="宋体" w:cs="宋体"/>
          <w:b/>
          <w:color w:val="000000" w:themeColor="text1"/>
          <w:sz w:val="24"/>
          <w14:textFill>
            <w14:solidFill>
              <w14:schemeClr w14:val="tx1"/>
            </w14:solidFill>
          </w14:textFill>
        </w:rPr>
      </w:pPr>
    </w:p>
    <w:p w14:paraId="19EDB915">
      <w:pPr>
        <w:spacing w:line="360" w:lineRule="auto"/>
        <w:jc w:val="center"/>
        <w:rPr>
          <w:rFonts w:ascii="宋体" w:hAnsi="宋体" w:cs="宋体"/>
          <w:b/>
          <w:color w:val="000000" w:themeColor="text1"/>
          <w:sz w:val="24"/>
          <w14:textFill>
            <w14:solidFill>
              <w14:schemeClr w14:val="tx1"/>
            </w14:solidFill>
          </w14:textFill>
        </w:rPr>
      </w:pPr>
    </w:p>
    <w:p w14:paraId="306BCEF6">
      <w:pPr>
        <w:spacing w:line="360" w:lineRule="auto"/>
        <w:jc w:val="center"/>
        <w:rPr>
          <w:rFonts w:ascii="宋体" w:hAnsi="宋体" w:cs="宋体"/>
          <w:b/>
          <w:color w:val="000000" w:themeColor="text1"/>
          <w:sz w:val="24"/>
          <w14:textFill>
            <w14:solidFill>
              <w14:schemeClr w14:val="tx1"/>
            </w14:solidFill>
          </w14:textFill>
        </w:rPr>
      </w:pPr>
    </w:p>
    <w:p w14:paraId="205C082F">
      <w:pPr>
        <w:spacing w:line="360" w:lineRule="auto"/>
        <w:jc w:val="center"/>
        <w:rPr>
          <w:rFonts w:ascii="宋体" w:hAnsi="宋体" w:cs="宋体"/>
          <w:b/>
          <w:color w:val="000000" w:themeColor="text1"/>
          <w:sz w:val="24"/>
          <w14:textFill>
            <w14:solidFill>
              <w14:schemeClr w14:val="tx1"/>
            </w14:solidFill>
          </w14:textFill>
        </w:rPr>
      </w:pPr>
    </w:p>
    <w:p w14:paraId="55B0D060">
      <w:pPr>
        <w:spacing w:line="360" w:lineRule="auto"/>
        <w:jc w:val="center"/>
        <w:rPr>
          <w:rFonts w:ascii="宋体" w:hAnsi="宋体" w:cs="宋体"/>
          <w:b/>
          <w:color w:val="000000" w:themeColor="text1"/>
          <w:sz w:val="24"/>
          <w14:textFill>
            <w14:solidFill>
              <w14:schemeClr w14:val="tx1"/>
            </w14:solidFill>
          </w14:textFill>
        </w:rPr>
      </w:pPr>
    </w:p>
    <w:p w14:paraId="693FB5BA">
      <w:pPr>
        <w:spacing w:line="360" w:lineRule="auto"/>
        <w:jc w:val="center"/>
        <w:rPr>
          <w:rFonts w:ascii="宋体" w:hAnsi="宋体" w:cs="宋体"/>
          <w:b/>
          <w:color w:val="000000" w:themeColor="text1"/>
          <w:sz w:val="24"/>
          <w14:textFill>
            <w14:solidFill>
              <w14:schemeClr w14:val="tx1"/>
            </w14:solidFill>
          </w14:textFill>
        </w:rPr>
      </w:pPr>
    </w:p>
    <w:p w14:paraId="0088E854">
      <w:pPr>
        <w:spacing w:line="360" w:lineRule="auto"/>
        <w:jc w:val="center"/>
        <w:rPr>
          <w:rFonts w:ascii="宋体" w:hAnsi="宋体" w:cs="宋体"/>
          <w:b/>
          <w:color w:val="000000" w:themeColor="text1"/>
          <w:sz w:val="24"/>
          <w14:textFill>
            <w14:solidFill>
              <w14:schemeClr w14:val="tx1"/>
            </w14:solidFill>
          </w14:textFill>
        </w:rPr>
      </w:pPr>
    </w:p>
    <w:p w14:paraId="28B202BC">
      <w:pPr>
        <w:spacing w:line="360" w:lineRule="auto"/>
        <w:jc w:val="center"/>
        <w:rPr>
          <w:rFonts w:ascii="宋体" w:hAnsi="宋体" w:cs="宋体"/>
          <w:b/>
          <w:color w:val="000000" w:themeColor="text1"/>
          <w:sz w:val="24"/>
          <w14:textFill>
            <w14:solidFill>
              <w14:schemeClr w14:val="tx1"/>
            </w14:solidFill>
          </w14:textFill>
        </w:rPr>
      </w:pPr>
    </w:p>
    <w:p w14:paraId="30AFB7A7">
      <w:pPr>
        <w:spacing w:line="360" w:lineRule="auto"/>
        <w:ind w:firstLine="3840" w:firstLineChars="1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供应商电子公章： </w:t>
      </w:r>
    </w:p>
    <w:p w14:paraId="05D8B69E">
      <w:pPr>
        <w:spacing w:line="380" w:lineRule="exact"/>
        <w:ind w:right="640" w:firstLine="1560" w:firstLineChars="650"/>
        <w:rPr>
          <w:rFonts w:ascii="宋体" w:hAnsi="宋体" w:cs="宋体"/>
          <w:color w:val="000000" w:themeColor="text1"/>
          <w:sz w:val="24"/>
          <w14:textFill>
            <w14:solidFill>
              <w14:schemeClr w14:val="tx1"/>
            </w14:solidFill>
          </w14:textFill>
        </w:rPr>
      </w:pPr>
    </w:p>
    <w:p w14:paraId="253BFEE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75FC7D23">
      <w:pPr>
        <w:spacing w:line="360" w:lineRule="auto"/>
        <w:rPr>
          <w:rFonts w:ascii="宋体" w:hAnsi="宋体" w:cs="宋体"/>
          <w:color w:val="000000" w:themeColor="text1"/>
          <w:sz w:val="24"/>
          <w14:textFill>
            <w14:solidFill>
              <w14:schemeClr w14:val="tx1"/>
            </w14:solidFill>
          </w14:textFill>
        </w:rPr>
      </w:pPr>
    </w:p>
    <w:p w14:paraId="7387FCD0">
      <w:pPr>
        <w:spacing w:line="360" w:lineRule="auto"/>
        <w:rPr>
          <w:rFonts w:ascii="宋体" w:hAnsi="宋体" w:cs="宋体"/>
          <w:color w:val="000000" w:themeColor="text1"/>
          <w:sz w:val="24"/>
          <w14:textFill>
            <w14:solidFill>
              <w14:schemeClr w14:val="tx1"/>
            </w14:solidFill>
          </w14:textFill>
        </w:rPr>
      </w:pPr>
    </w:p>
    <w:p w14:paraId="0BF9C951">
      <w:pPr>
        <w:spacing w:line="360" w:lineRule="auto"/>
        <w:rPr>
          <w:rFonts w:ascii="宋体" w:hAnsi="宋体" w:cs="宋体"/>
          <w:color w:val="000000" w:themeColor="text1"/>
          <w:sz w:val="24"/>
          <w14:textFill>
            <w14:solidFill>
              <w14:schemeClr w14:val="tx1"/>
            </w14:solidFill>
          </w14:textFill>
        </w:rPr>
      </w:pPr>
    </w:p>
    <w:p w14:paraId="4C1C6BDD">
      <w:pPr>
        <w:spacing w:line="360" w:lineRule="auto"/>
        <w:rPr>
          <w:rFonts w:ascii="宋体" w:hAnsi="宋体" w:cs="宋体"/>
          <w:color w:val="000000" w:themeColor="text1"/>
          <w:sz w:val="24"/>
          <w14:textFill>
            <w14:solidFill>
              <w14:schemeClr w14:val="tx1"/>
            </w14:solidFill>
          </w14:textFill>
        </w:rPr>
      </w:pPr>
    </w:p>
    <w:p w14:paraId="79CB7A7A">
      <w:pPr>
        <w:spacing w:line="380" w:lineRule="exact"/>
        <w:jc w:val="center"/>
        <w:rPr>
          <w:rFonts w:ascii="宋体" w:hAnsi="宋体" w:cs="宋体"/>
          <w:color w:val="000000" w:themeColor="text1"/>
          <w:sz w:val="24"/>
          <w14:textFill>
            <w14:solidFill>
              <w14:schemeClr w14:val="tx1"/>
            </w14:solidFill>
          </w14:textFill>
        </w:rPr>
      </w:pPr>
    </w:p>
    <w:p w14:paraId="526AADE5">
      <w:pPr>
        <w:spacing w:line="380" w:lineRule="exact"/>
        <w:jc w:val="center"/>
        <w:rPr>
          <w:rFonts w:ascii="宋体" w:hAnsi="宋体" w:cs="宋体"/>
          <w:color w:val="000000" w:themeColor="text1"/>
          <w:sz w:val="24"/>
          <w14:textFill>
            <w14:solidFill>
              <w14:schemeClr w14:val="tx1"/>
            </w14:solidFill>
          </w14:textFill>
        </w:rPr>
      </w:pPr>
    </w:p>
    <w:p w14:paraId="35FC9F46">
      <w:pPr>
        <w:spacing w:line="380" w:lineRule="exact"/>
        <w:jc w:val="center"/>
        <w:rPr>
          <w:rFonts w:ascii="宋体" w:hAnsi="宋体" w:cs="宋体"/>
          <w:color w:val="000000" w:themeColor="text1"/>
          <w:sz w:val="24"/>
          <w14:textFill>
            <w14:solidFill>
              <w14:schemeClr w14:val="tx1"/>
            </w14:solidFill>
          </w14:textFill>
        </w:rPr>
      </w:pPr>
    </w:p>
    <w:p w14:paraId="1C452E06">
      <w:pPr>
        <w:spacing w:line="380" w:lineRule="exact"/>
        <w:jc w:val="center"/>
        <w:rPr>
          <w:rFonts w:ascii="宋体" w:hAnsi="宋体" w:cs="宋体"/>
          <w:color w:val="000000" w:themeColor="text1"/>
          <w:sz w:val="24"/>
          <w14:textFill>
            <w14:solidFill>
              <w14:schemeClr w14:val="tx1"/>
            </w14:solidFill>
          </w14:textFill>
        </w:rPr>
      </w:pPr>
    </w:p>
    <w:p w14:paraId="3E1348CC">
      <w:pPr>
        <w:spacing w:line="380" w:lineRule="exact"/>
        <w:jc w:val="center"/>
        <w:rPr>
          <w:rFonts w:ascii="宋体" w:hAnsi="宋体" w:cs="宋体"/>
          <w:color w:val="000000" w:themeColor="text1"/>
          <w:sz w:val="24"/>
          <w14:textFill>
            <w14:solidFill>
              <w14:schemeClr w14:val="tx1"/>
            </w14:solidFill>
          </w14:textFill>
        </w:rPr>
      </w:pPr>
    </w:p>
    <w:p w14:paraId="61B46C3B">
      <w:pPr>
        <w:spacing w:line="380" w:lineRule="exact"/>
        <w:jc w:val="center"/>
        <w:rPr>
          <w:rFonts w:ascii="宋体" w:hAnsi="宋体" w:cs="宋体"/>
          <w:color w:val="000000" w:themeColor="text1"/>
          <w:sz w:val="24"/>
          <w14:textFill>
            <w14:solidFill>
              <w14:schemeClr w14:val="tx1"/>
            </w14:solidFill>
          </w14:textFill>
        </w:rPr>
      </w:pPr>
    </w:p>
    <w:p w14:paraId="61342F6F">
      <w:pPr>
        <w:spacing w:line="380" w:lineRule="exact"/>
        <w:jc w:val="center"/>
        <w:rPr>
          <w:rFonts w:ascii="宋体" w:hAnsi="宋体" w:cs="宋体"/>
          <w:color w:val="000000" w:themeColor="text1"/>
          <w:sz w:val="24"/>
          <w14:textFill>
            <w14:solidFill>
              <w14:schemeClr w14:val="tx1"/>
            </w14:solidFill>
          </w14:textFill>
        </w:rPr>
      </w:pPr>
    </w:p>
    <w:p w14:paraId="0DCA9114">
      <w:pPr>
        <w:spacing w:line="380" w:lineRule="exact"/>
        <w:jc w:val="center"/>
        <w:rPr>
          <w:rFonts w:ascii="宋体" w:hAnsi="宋体" w:cs="宋体"/>
          <w:color w:val="000000" w:themeColor="text1"/>
          <w:sz w:val="24"/>
          <w14:textFill>
            <w14:solidFill>
              <w14:schemeClr w14:val="tx1"/>
            </w14:solidFill>
          </w14:textFill>
        </w:rPr>
      </w:pPr>
    </w:p>
    <w:p w14:paraId="41CE7192">
      <w:pPr>
        <w:spacing w:line="380" w:lineRule="exact"/>
        <w:jc w:val="center"/>
        <w:rPr>
          <w:rFonts w:ascii="宋体" w:hAnsi="宋体" w:cs="宋体"/>
          <w:color w:val="000000" w:themeColor="text1"/>
          <w:sz w:val="24"/>
          <w14:textFill>
            <w14:solidFill>
              <w14:schemeClr w14:val="tx1"/>
            </w14:solidFill>
          </w14:textFill>
        </w:rPr>
      </w:pPr>
    </w:p>
    <w:p w14:paraId="714D6E95">
      <w:pPr>
        <w:pStyle w:val="18"/>
        <w:rPr>
          <w:color w:val="000000" w:themeColor="text1"/>
          <w:sz w:val="30"/>
          <w:szCs w:val="30"/>
          <w14:textFill>
            <w14:solidFill>
              <w14:schemeClr w14:val="tx1"/>
            </w14:solidFill>
          </w14:textFill>
        </w:rPr>
      </w:pPr>
      <w:bookmarkStart w:id="66" w:name="_Toc195875486"/>
      <w:r>
        <w:rPr>
          <w:rFonts w:hint="eastAsia"/>
          <w:color w:val="000000" w:themeColor="text1"/>
          <w:sz w:val="30"/>
          <w:szCs w:val="30"/>
          <w14:textFill>
            <w14:solidFill>
              <w14:schemeClr w14:val="tx1"/>
            </w14:solidFill>
          </w14:textFill>
        </w:rPr>
        <w:t>格式9 中小企业声明函（工程、服务）</w:t>
      </w:r>
      <w:bookmarkEnd w:id="66"/>
    </w:p>
    <w:p w14:paraId="47E2BF07">
      <w:pPr>
        <w:spacing w:line="360" w:lineRule="auto"/>
        <w:rPr>
          <w:rFonts w:ascii="宋体" w:hAnsi="宋体"/>
          <w:b/>
          <w:bCs/>
          <w:color w:val="000000" w:themeColor="text1"/>
          <w:sz w:val="32"/>
          <w:szCs w:val="32"/>
          <w14:textFill>
            <w14:solidFill>
              <w14:schemeClr w14:val="tx1"/>
            </w14:solidFill>
          </w14:textFill>
        </w:rPr>
      </w:pPr>
    </w:p>
    <w:p w14:paraId="24CBAF39">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w:t>
      </w:r>
      <w:r>
        <w:rPr>
          <w:rFonts w:hint="eastAsia" w:ascii="宋体" w:hAnsi="宋体" w:cs="宋体"/>
          <w:color w:val="000000" w:themeColor="text1"/>
          <w:sz w:val="24"/>
          <w:u w:val="single"/>
          <w14:textFill>
            <w14:solidFill>
              <w14:schemeClr w14:val="tx1"/>
            </w14:solidFill>
          </w14:textFill>
        </w:rPr>
        <w:t>（或者：服务全部由符合政策要求的中小企业承接）</w:t>
      </w:r>
      <w:r>
        <w:rPr>
          <w:rFonts w:hint="eastAsia" w:ascii="宋体" w:hAnsi="宋体" w:cs="宋体"/>
          <w:color w:val="000000" w:themeColor="text1"/>
          <w:sz w:val="24"/>
          <w14:textFill>
            <w14:solidFill>
              <w14:schemeClr w14:val="tx1"/>
            </w14:solidFill>
          </w14:textFill>
        </w:rPr>
        <w:t>。相关企业</w:t>
      </w:r>
      <w:r>
        <w:rPr>
          <w:rFonts w:hint="eastAsia" w:ascii="宋体" w:hAnsi="宋体" w:cs="宋体"/>
          <w:color w:val="000000" w:themeColor="text1"/>
          <w:sz w:val="24"/>
          <w:u w:val="single"/>
          <w14:textFill>
            <w14:solidFill>
              <w14:schemeClr w14:val="tx1"/>
            </w14:solidFill>
          </w14:textFill>
        </w:rPr>
        <w:t>（含联合 体中的中小企业、签订分包意向协议的中小企业）</w:t>
      </w:r>
      <w:r>
        <w:rPr>
          <w:rFonts w:hint="eastAsia" w:ascii="宋体" w:hAnsi="宋体" w:cs="宋体"/>
          <w:color w:val="000000" w:themeColor="text1"/>
          <w:sz w:val="24"/>
          <w14:textFill>
            <w14:solidFill>
              <w14:schemeClr w14:val="tx1"/>
            </w14:solidFill>
          </w14:textFill>
        </w:rPr>
        <w:t>的具体情 况如下：</w:t>
      </w:r>
    </w:p>
    <w:p w14:paraId="15E4099F">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 承建（承接）企业为（企业名称），从业人员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（中型企业、小型企业、微型企业）； </w:t>
      </w:r>
    </w:p>
    <w:p w14:paraId="17ECDD58">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 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（中型企业、小型企业、微型企业）；  ……</w:t>
      </w:r>
    </w:p>
    <w:p w14:paraId="40ABB5B5">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 为大企业的情形，也不存在与大企业的负责人为同一人的情形。</w:t>
      </w:r>
    </w:p>
    <w:p w14:paraId="3CAED962">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本企业对上述声明内容的真实性负责。如有虚假，将依 法承担相应责任。 </w:t>
      </w:r>
    </w:p>
    <w:p w14:paraId="24FCAA2F">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企业名称（盖章）： </w:t>
      </w:r>
    </w:p>
    <w:p w14:paraId="549E0E28">
      <w:pPr>
        <w:spacing w:line="360" w:lineRule="auto"/>
        <w:ind w:firstLine="4800" w:firstLineChars="2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 期：  </w:t>
      </w:r>
    </w:p>
    <w:p w14:paraId="041521BE">
      <w:pPr>
        <w:pStyle w:val="33"/>
        <w:rPr>
          <w:rFonts w:ascii="宋体" w:hAnsi="宋体" w:cs="宋体"/>
          <w:color w:val="000000" w:themeColor="text1"/>
          <w:sz w:val="24"/>
          <w:szCs w:val="24"/>
          <w14:textFill>
            <w14:solidFill>
              <w14:schemeClr w14:val="tx1"/>
            </w14:solidFill>
          </w14:textFill>
        </w:rPr>
      </w:pPr>
    </w:p>
    <w:p w14:paraId="414CC07F">
      <w:pPr>
        <w:pStyle w:val="5"/>
        <w:rPr>
          <w:rFonts w:ascii="宋体" w:hAnsi="宋体" w:eastAsia="宋体" w:cs="宋体"/>
          <w:color w:val="000000" w:themeColor="text1"/>
          <w:sz w:val="24"/>
          <w14:textFill>
            <w14:solidFill>
              <w14:schemeClr w14:val="tx1"/>
            </w14:solidFill>
          </w14:textFill>
        </w:rPr>
      </w:pPr>
    </w:p>
    <w:p w14:paraId="7DCE6DDA">
      <w:pPr>
        <w:rPr>
          <w:rFonts w:ascii="宋体" w:hAnsi="宋体" w:cs="宋体"/>
          <w:color w:val="000000" w:themeColor="text1"/>
          <w:sz w:val="24"/>
          <w14:textFill>
            <w14:solidFill>
              <w14:schemeClr w14:val="tx1"/>
            </w14:solidFill>
          </w14:textFill>
        </w:rPr>
      </w:pPr>
    </w:p>
    <w:p w14:paraId="04E9123D">
      <w:pPr>
        <w:pStyle w:val="33"/>
        <w:rPr>
          <w:rFonts w:ascii="宋体" w:hAnsi="宋体" w:cs="宋体"/>
          <w:color w:val="000000" w:themeColor="text1"/>
          <w:sz w:val="24"/>
          <w:szCs w:val="24"/>
          <w14:textFill>
            <w14:solidFill>
              <w14:schemeClr w14:val="tx1"/>
            </w14:solidFill>
          </w14:textFill>
        </w:rPr>
      </w:pPr>
    </w:p>
    <w:p w14:paraId="2A76EF74">
      <w:pPr>
        <w:pStyle w:val="5"/>
        <w:rPr>
          <w:rFonts w:ascii="宋体" w:hAnsi="宋体" w:eastAsia="宋体"/>
          <w:color w:val="000000" w:themeColor="text1"/>
          <w14:textFill>
            <w14:solidFill>
              <w14:schemeClr w14:val="tx1"/>
            </w14:solidFill>
          </w14:textFill>
        </w:rPr>
      </w:pPr>
    </w:p>
    <w:p w14:paraId="71BB8AAA">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注：1.从业人员、营业收入、资产总额填报上一年度数据，无上一年度数据的新成立企业可不填报。</w:t>
      </w:r>
    </w:p>
    <w:p w14:paraId="0216D373">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2.本项目如是只面向中小企业采购的应当必须提供。</w:t>
      </w:r>
    </w:p>
    <w:p w14:paraId="43741710">
      <w:pPr>
        <w:spacing w:line="360" w:lineRule="auto"/>
        <w:jc w:val="center"/>
        <w:rPr>
          <w:rFonts w:ascii="宋体" w:hAnsi="宋体" w:cs="宋体"/>
          <w:b/>
          <w:bCs/>
          <w:color w:val="000000" w:themeColor="text1"/>
          <w:sz w:val="24"/>
          <w14:textFill>
            <w14:solidFill>
              <w14:schemeClr w14:val="tx1"/>
            </w14:solidFill>
          </w14:textFill>
        </w:rPr>
      </w:pPr>
    </w:p>
    <w:p w14:paraId="79F59735">
      <w:pPr>
        <w:spacing w:line="360" w:lineRule="auto"/>
        <w:jc w:val="center"/>
        <w:rPr>
          <w:rFonts w:ascii="宋体" w:hAnsi="宋体" w:cs="宋体"/>
          <w:b/>
          <w:bCs/>
          <w:color w:val="000000" w:themeColor="text1"/>
          <w:sz w:val="24"/>
          <w14:textFill>
            <w14:solidFill>
              <w14:schemeClr w14:val="tx1"/>
            </w14:solidFill>
          </w14:textFill>
        </w:rPr>
      </w:pPr>
    </w:p>
    <w:p w14:paraId="460E317E">
      <w:pPr>
        <w:pStyle w:val="33"/>
        <w:rPr>
          <w:rFonts w:ascii="宋体" w:hAnsi="宋体" w:cs="宋体"/>
          <w:b/>
          <w:bCs/>
          <w:color w:val="000000" w:themeColor="text1"/>
          <w:sz w:val="24"/>
          <w14:textFill>
            <w14:solidFill>
              <w14:schemeClr w14:val="tx1"/>
            </w14:solidFill>
          </w14:textFill>
        </w:rPr>
      </w:pPr>
    </w:p>
    <w:p w14:paraId="0F4640F1">
      <w:pPr>
        <w:pStyle w:val="18"/>
        <w:rPr>
          <w:color w:val="000000" w:themeColor="text1"/>
          <w:sz w:val="30"/>
          <w:szCs w:val="30"/>
          <w14:textFill>
            <w14:solidFill>
              <w14:schemeClr w14:val="tx1"/>
            </w14:solidFill>
          </w14:textFill>
        </w:rPr>
      </w:pPr>
      <w:bookmarkStart w:id="67" w:name="_Toc195875487"/>
      <w:r>
        <w:rPr>
          <w:rFonts w:hint="eastAsia"/>
          <w:color w:val="000000" w:themeColor="text1"/>
          <w:sz w:val="30"/>
          <w:szCs w:val="30"/>
          <w14:textFill>
            <w14:solidFill>
              <w14:schemeClr w14:val="tx1"/>
            </w14:solidFill>
          </w14:textFill>
        </w:rPr>
        <w:t>格式10 供应商认为需要提供的其他资料</w:t>
      </w:r>
      <w:bookmarkEnd w:id="67"/>
    </w:p>
    <w:p w14:paraId="7B781250">
      <w:pPr>
        <w:pStyle w:val="30"/>
        <w:ind w:firstLine="240"/>
        <w:rPr>
          <w:rFonts w:ascii="宋体" w:hAnsi="宋体" w:cs="宋体"/>
          <w:color w:val="000000" w:themeColor="text1"/>
          <w:sz w:val="24"/>
          <w14:textFill>
            <w14:solidFill>
              <w14:schemeClr w14:val="tx1"/>
            </w14:solidFill>
          </w14:textFill>
        </w:rPr>
      </w:pPr>
    </w:p>
    <w:p w14:paraId="4BC60B71">
      <w:pPr>
        <w:pStyle w:val="30"/>
        <w:ind w:firstLine="240"/>
        <w:rPr>
          <w:rFonts w:ascii="宋体" w:hAnsi="宋体" w:cs="宋体"/>
          <w:color w:val="000000" w:themeColor="text1"/>
          <w:sz w:val="24"/>
          <w14:textFill>
            <w14:solidFill>
              <w14:schemeClr w14:val="tx1"/>
            </w14:solidFill>
          </w14:textFill>
        </w:rPr>
      </w:pPr>
    </w:p>
    <w:p w14:paraId="5713E418">
      <w:pPr>
        <w:pStyle w:val="30"/>
        <w:ind w:firstLine="240"/>
        <w:rPr>
          <w:rFonts w:ascii="宋体" w:hAnsi="宋体" w:cs="宋体"/>
          <w:color w:val="000000" w:themeColor="text1"/>
          <w:sz w:val="24"/>
          <w14:textFill>
            <w14:solidFill>
              <w14:schemeClr w14:val="tx1"/>
            </w14:solidFill>
          </w14:textFill>
        </w:rPr>
      </w:pPr>
    </w:p>
    <w:p w14:paraId="312247E8">
      <w:pPr>
        <w:pStyle w:val="30"/>
        <w:ind w:firstLine="240"/>
        <w:rPr>
          <w:rFonts w:ascii="宋体" w:hAnsi="宋体" w:cs="宋体"/>
          <w:color w:val="000000" w:themeColor="text1"/>
          <w:sz w:val="24"/>
          <w14:textFill>
            <w14:solidFill>
              <w14:schemeClr w14:val="tx1"/>
            </w14:solidFill>
          </w14:textFill>
        </w:rPr>
      </w:pPr>
    </w:p>
    <w:p w14:paraId="0B2D6B4C">
      <w:pPr>
        <w:pStyle w:val="30"/>
        <w:ind w:firstLine="240"/>
        <w:rPr>
          <w:rFonts w:ascii="宋体" w:hAnsi="宋体" w:cs="宋体"/>
          <w:color w:val="000000" w:themeColor="text1"/>
          <w:sz w:val="24"/>
          <w14:textFill>
            <w14:solidFill>
              <w14:schemeClr w14:val="tx1"/>
            </w14:solidFill>
          </w14:textFill>
        </w:rPr>
      </w:pPr>
    </w:p>
    <w:p w14:paraId="6879F82E">
      <w:pPr>
        <w:pStyle w:val="30"/>
        <w:ind w:firstLine="240"/>
        <w:rPr>
          <w:rFonts w:ascii="宋体" w:hAnsi="宋体" w:cs="宋体"/>
          <w:color w:val="000000" w:themeColor="text1"/>
          <w:sz w:val="24"/>
          <w14:textFill>
            <w14:solidFill>
              <w14:schemeClr w14:val="tx1"/>
            </w14:solidFill>
          </w14:textFill>
        </w:rPr>
      </w:pPr>
    </w:p>
    <w:p w14:paraId="2A32F80B">
      <w:pPr>
        <w:pStyle w:val="30"/>
        <w:ind w:firstLine="240"/>
        <w:rPr>
          <w:rFonts w:ascii="宋体" w:hAnsi="宋体" w:cs="宋体"/>
          <w:color w:val="000000" w:themeColor="text1"/>
          <w:sz w:val="24"/>
          <w14:textFill>
            <w14:solidFill>
              <w14:schemeClr w14:val="tx1"/>
            </w14:solidFill>
          </w14:textFill>
        </w:rPr>
      </w:pPr>
    </w:p>
    <w:p w14:paraId="00629717">
      <w:pPr>
        <w:pStyle w:val="30"/>
        <w:ind w:firstLine="240"/>
        <w:rPr>
          <w:rFonts w:ascii="宋体" w:hAnsi="宋体" w:cs="宋体"/>
          <w:color w:val="000000" w:themeColor="text1"/>
          <w:sz w:val="24"/>
          <w14:textFill>
            <w14:solidFill>
              <w14:schemeClr w14:val="tx1"/>
            </w14:solidFill>
          </w14:textFill>
        </w:rPr>
      </w:pPr>
    </w:p>
    <w:p w14:paraId="614AFFB5">
      <w:pPr>
        <w:pStyle w:val="30"/>
        <w:ind w:firstLine="240"/>
        <w:rPr>
          <w:rFonts w:ascii="宋体" w:hAnsi="宋体" w:cs="宋体"/>
          <w:color w:val="000000" w:themeColor="text1"/>
          <w:sz w:val="24"/>
          <w14:textFill>
            <w14:solidFill>
              <w14:schemeClr w14:val="tx1"/>
            </w14:solidFill>
          </w14:textFill>
        </w:rPr>
      </w:pPr>
    </w:p>
    <w:p w14:paraId="15409EFF">
      <w:pPr>
        <w:pStyle w:val="30"/>
        <w:ind w:firstLine="240"/>
        <w:rPr>
          <w:rFonts w:ascii="宋体" w:hAnsi="宋体" w:cs="宋体"/>
          <w:color w:val="000000" w:themeColor="text1"/>
          <w:sz w:val="24"/>
          <w14:textFill>
            <w14:solidFill>
              <w14:schemeClr w14:val="tx1"/>
            </w14:solidFill>
          </w14:textFill>
        </w:rPr>
      </w:pPr>
    </w:p>
    <w:p w14:paraId="6B204F23">
      <w:pPr>
        <w:pStyle w:val="30"/>
        <w:ind w:firstLine="240"/>
        <w:rPr>
          <w:rFonts w:ascii="宋体" w:hAnsi="宋体" w:cs="宋体"/>
          <w:color w:val="000000" w:themeColor="text1"/>
          <w:sz w:val="24"/>
          <w14:textFill>
            <w14:solidFill>
              <w14:schemeClr w14:val="tx1"/>
            </w14:solidFill>
          </w14:textFill>
        </w:rPr>
      </w:pPr>
    </w:p>
    <w:p w14:paraId="5188DBE3">
      <w:pPr>
        <w:pStyle w:val="30"/>
        <w:ind w:firstLine="240"/>
        <w:rPr>
          <w:rFonts w:ascii="宋体" w:hAnsi="宋体" w:cs="宋体"/>
          <w:color w:val="000000" w:themeColor="text1"/>
          <w:sz w:val="24"/>
          <w14:textFill>
            <w14:solidFill>
              <w14:schemeClr w14:val="tx1"/>
            </w14:solidFill>
          </w14:textFill>
        </w:rPr>
      </w:pPr>
    </w:p>
    <w:p w14:paraId="0A687C25">
      <w:pPr>
        <w:pStyle w:val="30"/>
        <w:ind w:firstLine="240"/>
        <w:rPr>
          <w:rFonts w:ascii="宋体" w:hAnsi="宋体" w:cs="宋体"/>
          <w:color w:val="000000" w:themeColor="text1"/>
          <w:sz w:val="24"/>
          <w14:textFill>
            <w14:solidFill>
              <w14:schemeClr w14:val="tx1"/>
            </w14:solidFill>
          </w14:textFill>
        </w:rPr>
      </w:pPr>
    </w:p>
    <w:p w14:paraId="656F4166">
      <w:pPr>
        <w:pStyle w:val="30"/>
        <w:ind w:firstLine="240"/>
        <w:rPr>
          <w:rFonts w:ascii="宋体" w:hAnsi="宋体" w:cs="宋体"/>
          <w:color w:val="000000" w:themeColor="text1"/>
          <w:sz w:val="24"/>
          <w14:textFill>
            <w14:solidFill>
              <w14:schemeClr w14:val="tx1"/>
            </w14:solidFill>
          </w14:textFill>
        </w:rPr>
      </w:pPr>
    </w:p>
    <w:p w14:paraId="782CDB77">
      <w:pPr>
        <w:pStyle w:val="30"/>
        <w:ind w:firstLine="240"/>
        <w:rPr>
          <w:rFonts w:ascii="宋体" w:hAnsi="宋体" w:cs="宋体"/>
          <w:color w:val="000000" w:themeColor="text1"/>
          <w:sz w:val="24"/>
          <w14:textFill>
            <w14:solidFill>
              <w14:schemeClr w14:val="tx1"/>
            </w14:solidFill>
          </w14:textFill>
        </w:rPr>
      </w:pPr>
    </w:p>
    <w:p w14:paraId="6BEC5645">
      <w:pPr>
        <w:pStyle w:val="30"/>
        <w:ind w:firstLine="240"/>
        <w:rPr>
          <w:rFonts w:ascii="宋体" w:hAnsi="宋体" w:cs="宋体"/>
          <w:color w:val="000000" w:themeColor="text1"/>
          <w:sz w:val="24"/>
          <w14:textFill>
            <w14:solidFill>
              <w14:schemeClr w14:val="tx1"/>
            </w14:solidFill>
          </w14:textFill>
        </w:rPr>
      </w:pPr>
    </w:p>
    <w:p w14:paraId="64B68070">
      <w:pPr>
        <w:pStyle w:val="30"/>
        <w:ind w:firstLine="240"/>
        <w:rPr>
          <w:rFonts w:ascii="宋体" w:hAnsi="宋体" w:cs="宋体"/>
          <w:color w:val="000000" w:themeColor="text1"/>
          <w:sz w:val="24"/>
          <w14:textFill>
            <w14:solidFill>
              <w14:schemeClr w14:val="tx1"/>
            </w14:solidFill>
          </w14:textFill>
        </w:rPr>
      </w:pPr>
    </w:p>
    <w:p w14:paraId="486A2DC4">
      <w:pPr>
        <w:pStyle w:val="30"/>
        <w:ind w:firstLine="240"/>
        <w:rPr>
          <w:rFonts w:ascii="宋体" w:hAnsi="宋体" w:cs="宋体"/>
          <w:color w:val="000000" w:themeColor="text1"/>
          <w:sz w:val="24"/>
          <w14:textFill>
            <w14:solidFill>
              <w14:schemeClr w14:val="tx1"/>
            </w14:solidFill>
          </w14:textFill>
        </w:rPr>
      </w:pPr>
    </w:p>
    <w:p w14:paraId="2C6A9351">
      <w:pPr>
        <w:pStyle w:val="30"/>
        <w:ind w:firstLine="240"/>
        <w:rPr>
          <w:rFonts w:ascii="宋体" w:hAnsi="宋体" w:cs="宋体"/>
          <w:color w:val="000000" w:themeColor="text1"/>
          <w:sz w:val="24"/>
          <w14:textFill>
            <w14:solidFill>
              <w14:schemeClr w14:val="tx1"/>
            </w14:solidFill>
          </w14:textFill>
        </w:rPr>
      </w:pPr>
    </w:p>
    <w:p w14:paraId="0FA25F79">
      <w:pPr>
        <w:pStyle w:val="30"/>
        <w:ind w:firstLine="240"/>
        <w:rPr>
          <w:rFonts w:ascii="宋体" w:hAnsi="宋体" w:cs="宋体"/>
          <w:color w:val="000000" w:themeColor="text1"/>
          <w:sz w:val="24"/>
          <w14:textFill>
            <w14:solidFill>
              <w14:schemeClr w14:val="tx1"/>
            </w14:solidFill>
          </w14:textFill>
        </w:rPr>
      </w:pPr>
    </w:p>
    <w:p w14:paraId="63355EA6">
      <w:pPr>
        <w:pStyle w:val="30"/>
        <w:ind w:firstLine="240"/>
        <w:rPr>
          <w:rFonts w:ascii="宋体" w:hAnsi="宋体" w:cs="宋体"/>
          <w:color w:val="000000" w:themeColor="text1"/>
          <w:sz w:val="24"/>
          <w14:textFill>
            <w14:solidFill>
              <w14:schemeClr w14:val="tx1"/>
            </w14:solidFill>
          </w14:textFill>
        </w:rPr>
      </w:pPr>
    </w:p>
    <w:p w14:paraId="117D0144">
      <w:pPr>
        <w:pStyle w:val="30"/>
        <w:ind w:firstLine="240"/>
        <w:rPr>
          <w:rFonts w:ascii="宋体" w:hAnsi="宋体" w:cs="宋体"/>
          <w:color w:val="000000" w:themeColor="text1"/>
          <w:sz w:val="24"/>
          <w14:textFill>
            <w14:solidFill>
              <w14:schemeClr w14:val="tx1"/>
            </w14:solidFill>
          </w14:textFill>
        </w:rPr>
      </w:pPr>
    </w:p>
    <w:p w14:paraId="03A643F5">
      <w:pPr>
        <w:pStyle w:val="30"/>
        <w:ind w:firstLine="240"/>
        <w:rPr>
          <w:rFonts w:ascii="宋体" w:hAnsi="宋体" w:cs="宋体"/>
          <w:color w:val="000000" w:themeColor="text1"/>
          <w:sz w:val="24"/>
          <w14:textFill>
            <w14:solidFill>
              <w14:schemeClr w14:val="tx1"/>
            </w14:solidFill>
          </w14:textFill>
        </w:rPr>
      </w:pPr>
    </w:p>
    <w:p w14:paraId="1C89AE9A">
      <w:pPr>
        <w:pStyle w:val="30"/>
        <w:ind w:firstLine="240"/>
        <w:rPr>
          <w:rFonts w:ascii="宋体" w:hAnsi="宋体" w:cs="宋体"/>
          <w:color w:val="000000" w:themeColor="text1"/>
          <w:sz w:val="24"/>
          <w14:textFill>
            <w14:solidFill>
              <w14:schemeClr w14:val="tx1"/>
            </w14:solidFill>
          </w14:textFill>
        </w:rPr>
      </w:pPr>
    </w:p>
    <w:p w14:paraId="68FBFDF2">
      <w:pPr>
        <w:pStyle w:val="30"/>
        <w:ind w:firstLine="240"/>
        <w:rPr>
          <w:rFonts w:ascii="宋体" w:hAnsi="宋体" w:cs="宋体"/>
          <w:color w:val="000000" w:themeColor="text1"/>
          <w:sz w:val="24"/>
          <w14:textFill>
            <w14:solidFill>
              <w14:schemeClr w14:val="tx1"/>
            </w14:solidFill>
          </w14:textFill>
        </w:rPr>
      </w:pPr>
    </w:p>
    <w:p w14:paraId="264A0901">
      <w:pPr>
        <w:pStyle w:val="30"/>
        <w:ind w:firstLine="240"/>
        <w:rPr>
          <w:rFonts w:ascii="宋体" w:hAnsi="宋体" w:cs="宋体"/>
          <w:color w:val="000000" w:themeColor="text1"/>
          <w:sz w:val="24"/>
          <w14:textFill>
            <w14:solidFill>
              <w14:schemeClr w14:val="tx1"/>
            </w14:solidFill>
          </w14:textFill>
        </w:rPr>
      </w:pPr>
    </w:p>
    <w:p w14:paraId="014827E9">
      <w:pPr>
        <w:pStyle w:val="30"/>
        <w:ind w:firstLine="240"/>
        <w:rPr>
          <w:rFonts w:ascii="宋体" w:hAnsi="宋体" w:cs="宋体"/>
          <w:color w:val="000000" w:themeColor="text1"/>
          <w:sz w:val="24"/>
          <w14:textFill>
            <w14:solidFill>
              <w14:schemeClr w14:val="tx1"/>
            </w14:solidFill>
          </w14:textFill>
        </w:rPr>
      </w:pPr>
    </w:p>
    <w:p w14:paraId="482FC021">
      <w:pPr>
        <w:pStyle w:val="30"/>
        <w:ind w:firstLine="240"/>
        <w:rPr>
          <w:rFonts w:ascii="宋体" w:hAnsi="宋体" w:cs="宋体"/>
          <w:color w:val="000000" w:themeColor="text1"/>
          <w:sz w:val="24"/>
          <w14:textFill>
            <w14:solidFill>
              <w14:schemeClr w14:val="tx1"/>
            </w14:solidFill>
          </w14:textFill>
        </w:rPr>
      </w:pPr>
    </w:p>
    <w:p w14:paraId="6AEA8B74">
      <w:pPr>
        <w:pStyle w:val="30"/>
        <w:ind w:firstLine="240"/>
        <w:rPr>
          <w:rFonts w:ascii="宋体" w:hAnsi="宋体" w:cs="宋体"/>
          <w:color w:val="000000" w:themeColor="text1"/>
          <w:sz w:val="24"/>
          <w14:textFill>
            <w14:solidFill>
              <w14:schemeClr w14:val="tx1"/>
            </w14:solidFill>
          </w14:textFill>
        </w:rPr>
      </w:pPr>
    </w:p>
    <w:p w14:paraId="42F4C1CC">
      <w:pPr>
        <w:pStyle w:val="30"/>
        <w:ind w:firstLine="240"/>
        <w:rPr>
          <w:rFonts w:ascii="宋体" w:hAnsi="宋体" w:cs="宋体"/>
          <w:color w:val="000000" w:themeColor="text1"/>
          <w:sz w:val="24"/>
          <w14:textFill>
            <w14:solidFill>
              <w14:schemeClr w14:val="tx1"/>
            </w14:solidFill>
          </w14:textFill>
        </w:rPr>
      </w:pPr>
    </w:p>
    <w:p w14:paraId="42BB9516">
      <w:pPr>
        <w:pStyle w:val="30"/>
        <w:ind w:firstLine="240"/>
        <w:rPr>
          <w:rFonts w:ascii="宋体" w:hAnsi="宋体" w:cs="宋体"/>
          <w:color w:val="000000" w:themeColor="text1"/>
          <w:sz w:val="24"/>
          <w14:textFill>
            <w14:solidFill>
              <w14:schemeClr w14:val="tx1"/>
            </w14:solidFill>
          </w14:textFill>
        </w:rPr>
      </w:pPr>
    </w:p>
    <w:p w14:paraId="4D646BA8">
      <w:pPr>
        <w:pStyle w:val="18"/>
        <w:rPr>
          <w:rStyle w:val="38"/>
          <w:rFonts w:ascii="宋体" w:hAnsi="宋体"/>
          <w:bCs w:val="0"/>
          <w:color w:val="000000" w:themeColor="text1"/>
          <w:sz w:val="30"/>
          <w:szCs w:val="30"/>
          <w14:textFill>
            <w14:solidFill>
              <w14:schemeClr w14:val="tx1"/>
            </w14:solidFill>
          </w14:textFill>
        </w:rPr>
      </w:pPr>
      <w:bookmarkStart w:id="68" w:name="_Toc195875488"/>
      <w:r>
        <w:rPr>
          <w:rFonts w:hint="eastAsia" w:ascii="宋体" w:hAnsi="宋体"/>
          <w:color w:val="000000" w:themeColor="text1"/>
          <w:sz w:val="30"/>
          <w:szCs w:val="30"/>
          <w14:textFill>
            <w14:solidFill>
              <w14:schemeClr w14:val="tx1"/>
            </w14:solidFill>
          </w14:textFill>
        </w:rPr>
        <w:t xml:space="preserve">格式11 </w:t>
      </w:r>
      <w:r>
        <w:rPr>
          <w:rStyle w:val="38"/>
          <w:rFonts w:hint="eastAsia" w:ascii="宋体" w:hAnsi="宋体" w:cs="宋体"/>
          <w:bCs w:val="0"/>
          <w:color w:val="000000" w:themeColor="text1"/>
          <w:sz w:val="30"/>
          <w:szCs w:val="30"/>
          <w14:textFill>
            <w14:solidFill>
              <w14:schemeClr w14:val="tx1"/>
            </w14:solidFill>
          </w14:textFill>
        </w:rPr>
        <w:t>政府采购供应商诚信承诺书</w:t>
      </w:r>
      <w:bookmarkEnd w:id="68"/>
    </w:p>
    <w:p w14:paraId="2806B611">
      <w:pPr>
        <w:spacing w:line="380" w:lineRule="exact"/>
        <w:jc w:val="center"/>
        <w:rPr>
          <w:rStyle w:val="38"/>
          <w:rFonts w:ascii="宋体" w:hAnsi="宋体"/>
          <w:b/>
          <w:bCs/>
          <w:color w:val="000000" w:themeColor="text1"/>
          <w:sz w:val="24"/>
          <w14:textFill>
            <w14:solidFill>
              <w14:schemeClr w14:val="tx1"/>
            </w14:solidFill>
          </w14:textFill>
        </w:rPr>
      </w:pPr>
    </w:p>
    <w:p w14:paraId="19A40A0C">
      <w:pPr>
        <w:spacing w:line="380" w:lineRule="exact"/>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460381C">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（一）提供虚假材料谋取中标;</w:t>
      </w:r>
    </w:p>
    <w:p w14:paraId="49619898">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（二）采取不正当手段诋毁、排挤其他供应商;</w:t>
      </w:r>
    </w:p>
    <w:p w14:paraId="611B4141">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（三）与招标采购单位、其他投标人恶意串通;</w:t>
      </w:r>
    </w:p>
    <w:p w14:paraId="31F2D70E">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（四）向招标采购单位或提供其他不正当利益;</w:t>
      </w:r>
    </w:p>
    <w:p w14:paraId="03E753E2">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（五）在招标过程中与招标采购单位进行协商谈判、不按照招标文件和投标文件订立合同，或者与采购人另立背离合同实质性内容协议;</w:t>
      </w:r>
    </w:p>
    <w:p w14:paraId="0325871D">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（六）开标后擅自撤销投标，影响招标继续进行的或领取招标文件纳投标保证金后不投标导致废标;</w:t>
      </w:r>
    </w:p>
    <w:p w14:paraId="2444C46D">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（七）中标后无正当理由，在规定时间内不与采购单位签订合同;</w:t>
      </w:r>
    </w:p>
    <w:p w14:paraId="4699419A">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（八）将中标项目转让给他人或非法分包他人;</w:t>
      </w:r>
    </w:p>
    <w:p w14:paraId="445192D1">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（九）无正当理由，拒绝履行合同义务;</w:t>
      </w:r>
    </w:p>
    <w:p w14:paraId="52E33525">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（十）无正当理由放弃中标（成交）项目;</w:t>
      </w:r>
    </w:p>
    <w:p w14:paraId="6937AD87">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（十一）撞自或与与采购人串通或接受采购人要求，在履约合同中通过减少货物数量，更换品牌、降低配置、技术要求、质量和服务标准等，却仍按原合同进行虚假验收或终止政府采购合同;</w:t>
      </w:r>
    </w:p>
    <w:p w14:paraId="0E7A21F5">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（十二）与采购人串通，对尚未履约完毕的采购项目出具虚假验收报告；</w:t>
      </w:r>
    </w:p>
    <w:p w14:paraId="2CC1A03A">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（十三）无不可抗力因素，拒绝提供售后服务、售后服务态度恶劣、故意提高维修配件价格（高于市场平均价）；</w:t>
      </w:r>
    </w:p>
    <w:p w14:paraId="52B48007">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（十四）开标后对招标文件的相关内容再进行质疑；</w:t>
      </w:r>
    </w:p>
    <w:p w14:paraId="253ED41E">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（十五）恶意投诉的行为：投诉经查无实据的、捏造事实或者提供虚假设诉材料；</w:t>
      </w:r>
    </w:p>
    <w:p w14:paraId="489C85CA">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（十六）拒绝有关部门监督检查或者提供虚假情况；</w:t>
      </w:r>
    </w:p>
    <w:p w14:paraId="1411A53F">
      <w:pPr>
        <w:spacing w:line="3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（十七）政府采购监管部门认定的其他政府采购活动中的不诚信行为。</w:t>
      </w:r>
    </w:p>
    <w:p w14:paraId="69AB671F">
      <w:pPr>
        <w:spacing w:line="380" w:lineRule="exact"/>
        <w:ind w:firstLine="3360" w:firstLineChars="1400"/>
        <w:rPr>
          <w:rFonts w:ascii="宋体" w:hAnsi="宋体" w:cs="宋体"/>
          <w:color w:val="000000" w:themeColor="text1"/>
          <w:sz w:val="24"/>
          <w14:textFill>
            <w14:solidFill>
              <w14:schemeClr w14:val="tx1"/>
            </w14:solidFill>
          </w14:textFill>
        </w:rPr>
      </w:pPr>
    </w:p>
    <w:p w14:paraId="6178AA39">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 （盖章）</w:t>
      </w:r>
    </w:p>
    <w:p w14:paraId="31840459">
      <w:pPr>
        <w:spacing w:line="380" w:lineRule="exact"/>
        <w:ind w:firstLine="3360" w:firstLineChars="1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     （签字）</w:t>
      </w:r>
    </w:p>
    <w:p w14:paraId="610EC8ED">
      <w:pPr>
        <w:spacing w:line="380" w:lineRule="exact"/>
        <w:ind w:firstLine="3360" w:firstLineChars="1400"/>
        <w:rPr>
          <w:rFonts w:ascii="宋体" w:hAnsi="宋体" w:cs="宋体"/>
          <w:color w:val="000000" w:themeColor="text1"/>
          <w:sz w:val="24"/>
          <w14:textFill>
            <w14:solidFill>
              <w14:schemeClr w14:val="tx1"/>
            </w14:solidFill>
          </w14:textFill>
        </w:rPr>
      </w:pPr>
    </w:p>
    <w:p w14:paraId="22807329">
      <w:pPr>
        <w:spacing w:line="380" w:lineRule="exact"/>
        <w:ind w:firstLine="3360" w:firstLineChars="14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 月 日</w:t>
      </w:r>
    </w:p>
    <w:p w14:paraId="0D36127B">
      <w:pPr>
        <w:pStyle w:val="30"/>
        <w:ind w:firstLine="0" w:firstLineChars="0"/>
        <w:rPr>
          <w:rFonts w:ascii="宋体" w:hAnsi="宋体" w:cs="宋体"/>
          <w:b/>
          <w:color w:val="000000" w:themeColor="text1"/>
          <w:sz w:val="24"/>
          <w14:textFill>
            <w14:solidFill>
              <w14:schemeClr w14:val="tx1"/>
            </w14:solidFill>
          </w14:textFill>
        </w:rPr>
      </w:pPr>
    </w:p>
    <w:p w14:paraId="30676F72">
      <w:pPr>
        <w:pStyle w:val="30"/>
        <w:ind w:firstLine="241"/>
        <w:rPr>
          <w:rFonts w:ascii="宋体" w:hAnsi="宋体" w:cs="宋体"/>
          <w:b/>
          <w:color w:val="000000" w:themeColor="text1"/>
          <w:sz w:val="24"/>
          <w14:textFill>
            <w14:solidFill>
              <w14:schemeClr w14:val="tx1"/>
            </w14:solidFill>
          </w14:textFill>
        </w:rPr>
      </w:pPr>
    </w:p>
    <w:p w14:paraId="12C047D8">
      <w:pPr>
        <w:pStyle w:val="22"/>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69" w:name="_Toc195875489"/>
      <w:r>
        <w:rPr>
          <w:rFonts w:hint="eastAsia"/>
          <w:color w:val="000000" w:themeColor="text1"/>
          <w14:textFill>
            <w14:solidFill>
              <w14:schemeClr w14:val="tx1"/>
            </w14:solidFill>
          </w14:textFill>
        </w:rPr>
        <w:t xml:space="preserve">第五章  </w:t>
      </w:r>
      <w:r>
        <w:rPr>
          <w:rFonts w:hint="eastAsia"/>
          <w:color w:val="000000" w:themeColor="text1"/>
          <w:w w:val="92"/>
          <w14:textFill>
            <w14:solidFill>
              <w14:schemeClr w14:val="tx1"/>
            </w14:solidFill>
          </w14:textFill>
        </w:rPr>
        <w:t>周口市</w:t>
      </w:r>
      <w:r>
        <w:rPr>
          <w:rFonts w:hint="eastAsia"/>
          <w:color w:val="000000" w:themeColor="text1"/>
          <w14:textFill>
            <w14:solidFill>
              <w14:schemeClr w14:val="tx1"/>
            </w14:solidFill>
          </w14:textFill>
        </w:rPr>
        <w:t>政府采购合同（服务类）标准文本</w:t>
      </w:r>
      <w:bookmarkEnd w:id="69"/>
    </w:p>
    <w:p w14:paraId="76EA3AF3">
      <w:pPr>
        <w:ind w:firstLine="640" w:firstLineChars="200"/>
        <w:rPr>
          <w:rFonts w:ascii="宋体" w:hAnsi="宋体" w:cs="宋体"/>
          <w:color w:val="000000" w:themeColor="text1"/>
          <w:sz w:val="32"/>
          <w:szCs w:val="32"/>
          <w14:textFill>
            <w14:solidFill>
              <w14:schemeClr w14:val="tx1"/>
            </w14:solidFill>
          </w14:textFill>
        </w:rPr>
      </w:pPr>
    </w:p>
    <w:p w14:paraId="795099A3">
      <w:pPr>
        <w:pStyle w:val="41"/>
        <w:spacing w:beforeLines="0" w:afterLines="0"/>
        <w:ind w:left="0" w:firstLine="640" w:firstLineChars="200"/>
        <w:rPr>
          <w:rFonts w:ascii="宋体" w:hAnsi="宋体" w:cs="宋体"/>
          <w:color w:val="000000" w:themeColor="text1"/>
          <w:sz w:val="32"/>
          <w:szCs w:val="32"/>
          <w14:textFill>
            <w14:solidFill>
              <w14:schemeClr w14:val="tx1"/>
            </w14:solidFill>
          </w14:textFill>
        </w:rPr>
      </w:pPr>
    </w:p>
    <w:p w14:paraId="4519FECF">
      <w:pPr>
        <w:pStyle w:val="41"/>
        <w:spacing w:beforeLines="0" w:afterLines="0"/>
        <w:ind w:left="0" w:firstLine="640" w:firstLineChars="200"/>
        <w:rPr>
          <w:rFonts w:ascii="宋体" w:hAnsi="宋体" w:cs="宋体"/>
          <w:color w:val="000000" w:themeColor="text1"/>
          <w:sz w:val="32"/>
          <w:szCs w:val="32"/>
          <w14:textFill>
            <w14:solidFill>
              <w14:schemeClr w14:val="tx1"/>
            </w14:solidFill>
          </w14:textFill>
        </w:rPr>
      </w:pPr>
    </w:p>
    <w:p w14:paraId="37EC127D">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2618D28E">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65581B92">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6311DF67">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7BA18F3B">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43E7DA3D">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5EAAEAE5">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政府采购项目名称：</w:t>
      </w:r>
    </w:p>
    <w:p w14:paraId="57813E4C">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政府采购项目编号：</w:t>
      </w:r>
    </w:p>
    <w:p w14:paraId="6DDBB968">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采      购    人：</w:t>
      </w:r>
    </w:p>
    <w:p w14:paraId="4814E7EB">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      应    商：</w:t>
      </w:r>
    </w:p>
    <w:p w14:paraId="39695368">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  同  签 订 地：</w:t>
      </w:r>
    </w:p>
    <w:p w14:paraId="19B1E3F5">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 同 签订 时 间：</w:t>
      </w:r>
    </w:p>
    <w:p w14:paraId="140F210E">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64AD27C6">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45753A41">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14524A91">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1E9FEB5A">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75FB3C8A">
      <w:pPr>
        <w:pStyle w:val="41"/>
        <w:spacing w:beforeLines="0" w:afterLines="0"/>
        <w:ind w:left="0" w:firstLine="600" w:firstLineChars="200"/>
        <w:rPr>
          <w:rFonts w:ascii="宋体" w:hAnsi="宋体" w:cs="宋体"/>
          <w:color w:val="000000" w:themeColor="text1"/>
          <w:sz w:val="30"/>
          <w:szCs w:val="30"/>
          <w14:textFill>
            <w14:solidFill>
              <w14:schemeClr w14:val="tx1"/>
            </w14:solidFill>
          </w14:textFill>
        </w:rPr>
      </w:pPr>
    </w:p>
    <w:p w14:paraId="0EC01DCD">
      <w:pPr>
        <w:pStyle w:val="41"/>
        <w:spacing w:beforeLines="0" w:afterLines="0" w:line="440" w:lineRule="exact"/>
        <w:ind w:left="0"/>
        <w:jc w:val="center"/>
        <w:rPr>
          <w:rFonts w:ascii="宋体" w:hAnsi="宋体" w:cs="宋体"/>
          <w:color w:val="000000" w:themeColor="text1"/>
          <w:sz w:val="32"/>
          <w:szCs w:val="32"/>
          <w14:textFill>
            <w14:solidFill>
              <w14:schemeClr w14:val="tx1"/>
            </w14:solidFill>
          </w14:textFill>
        </w:rPr>
        <w:sectPr>
          <w:pgSz w:w="11900" w:h="16820"/>
          <w:pgMar w:top="1440" w:right="1080" w:bottom="1440" w:left="1080" w:header="0" w:footer="518" w:gutter="0"/>
          <w:cols w:space="720" w:num="1"/>
        </w:sectPr>
      </w:pPr>
    </w:p>
    <w:p w14:paraId="044527AD">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合同签订指引</w:t>
      </w:r>
    </w:p>
    <w:p w14:paraId="48A07654">
      <w:pPr>
        <w:spacing w:line="360" w:lineRule="auto"/>
        <w:rPr>
          <w:rFonts w:ascii="宋体" w:hAnsi="宋体"/>
          <w:color w:val="000000" w:themeColor="text1"/>
          <w:sz w:val="24"/>
          <w14:textFill>
            <w14:solidFill>
              <w14:schemeClr w14:val="tx1"/>
            </w14:solidFill>
          </w14:textFill>
        </w:rPr>
      </w:pPr>
    </w:p>
    <w:p w14:paraId="4C48EF6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一、采购人在签订合同时应提供的资料：</w:t>
      </w:r>
    </w:p>
    <w:p w14:paraId="783AB49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1、该政府采购项目的招标采购文件（以网上发布内容为准）；</w:t>
      </w:r>
    </w:p>
    <w:p w14:paraId="2904CF3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2、该政府采购项目招标文件的澄清和修改内容（公告内容）；</w:t>
      </w:r>
    </w:p>
    <w:p w14:paraId="36C8014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3、该政府采购项目评审报告；</w:t>
      </w:r>
    </w:p>
    <w:p w14:paraId="5322280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4、采购单位法人授权委托书（法人到场并签字的除外）；</w:t>
      </w:r>
    </w:p>
    <w:p w14:paraId="480EE92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5、采购单位被授权人身份证件（法人到场并签字的除外）；</w:t>
      </w:r>
    </w:p>
    <w:p w14:paraId="7BDD55F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6、采购人和中标供应商（或服务商，下同）约定的其他内容（不得超出招标采购文件实质性内容）。</w:t>
      </w:r>
    </w:p>
    <w:p w14:paraId="0F706D7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二、供应商在签订合同时应提供的资料：</w:t>
      </w:r>
    </w:p>
    <w:p w14:paraId="34CE6DD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1、该政府采购项目的投标文件（纸质或PDF格式的电子投标文件）；</w:t>
      </w:r>
    </w:p>
    <w:p w14:paraId="2A37422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2、针对该项目评审时评审委员会提出的质询答复（纸质并签章）；</w:t>
      </w:r>
    </w:p>
    <w:p w14:paraId="6884A62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3、该政府采购项目中标通知书；</w:t>
      </w:r>
    </w:p>
    <w:p w14:paraId="0AD17C1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4、供应商法人授权委托书（法人到场并签字的除外）；</w:t>
      </w:r>
    </w:p>
    <w:p w14:paraId="6458047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5、供应商被授权人身份证件（法人到场并签字的除外）；</w:t>
      </w:r>
    </w:p>
    <w:p w14:paraId="442AD02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6、供应商和采购人约定的其他内容（不得超出招标采购文件实质性内容）。</w:t>
      </w:r>
    </w:p>
    <w:p w14:paraId="75370D4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三、本合同签订后两个工作日内有采购人在“周口市政府采购网”上进行合同公示。</w:t>
      </w:r>
    </w:p>
    <w:p w14:paraId="407CFA74">
      <w:pPr>
        <w:spacing w:line="360" w:lineRule="auto"/>
        <w:ind w:firstLine="480" w:firstLineChars="200"/>
        <w:jc w:val="center"/>
        <w:rPr>
          <w:rFonts w:ascii="宋体" w:hAnsi="宋体"/>
          <w:color w:val="000000" w:themeColor="text1"/>
          <w:sz w:val="24"/>
          <w14:textFill>
            <w14:solidFill>
              <w14:schemeClr w14:val="tx1"/>
            </w14:solidFill>
          </w14:textFill>
        </w:rPr>
      </w:pPr>
    </w:p>
    <w:p w14:paraId="3F9C1E92">
      <w:pPr>
        <w:spacing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供应商履约验收指引</w:t>
      </w:r>
    </w:p>
    <w:p w14:paraId="03AB6D2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1、供应商不得擅自变更合同标的服务内容；</w:t>
      </w:r>
    </w:p>
    <w:p w14:paraId="5B8003E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2、不得以次充优，随意降低服务标准和水平；</w:t>
      </w:r>
    </w:p>
    <w:p w14:paraId="0B13BBA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3、对因客观上采购人采购需求发生变化造成的，应提供采、供双方的纸质备忘录材料；</w:t>
      </w:r>
    </w:p>
    <w:p w14:paraId="2D61E2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4、在满足验收条件5个工作日内通知采购人组织验收；</w:t>
      </w:r>
    </w:p>
    <w:p w14:paraId="6556160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5、供应商应提供需验收服务的清单、标准、达到的水平等量化资料；</w:t>
      </w:r>
    </w:p>
    <w:p w14:paraId="5AC8F77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6、采、供双方约定的验收机构及相关人员组成情况。</w:t>
      </w:r>
    </w:p>
    <w:p w14:paraId="5EB41CD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7、督促采购人在项目验收结束并达到相关要求后一个工作日内，在“周口市政府采购网”上进行“履约验收”公示。</w:t>
      </w:r>
    </w:p>
    <w:p w14:paraId="275CAFEC">
      <w:pPr>
        <w:spacing w:line="360" w:lineRule="auto"/>
        <w:ind w:firstLine="480" w:firstLineChars="200"/>
        <w:rPr>
          <w:rFonts w:ascii="宋体" w:hAnsi="宋体"/>
          <w:color w:val="000000" w:themeColor="text1"/>
          <w:sz w:val="24"/>
          <w14:textFill>
            <w14:solidFill>
              <w14:schemeClr w14:val="tx1"/>
            </w14:solidFill>
          </w14:textFill>
        </w:rPr>
      </w:pPr>
    </w:p>
    <w:p w14:paraId="29D5BEF6">
      <w:pPr>
        <w:spacing w:line="360" w:lineRule="auto"/>
        <w:ind w:firstLine="480" w:firstLineChars="200"/>
        <w:rPr>
          <w:rFonts w:ascii="宋体" w:hAnsi="宋体"/>
          <w:color w:val="000000" w:themeColor="text1"/>
          <w:sz w:val="24"/>
          <w14:textFill>
            <w14:solidFill>
              <w14:schemeClr w14:val="tx1"/>
            </w14:solidFill>
          </w14:textFill>
        </w:rPr>
      </w:pPr>
    </w:p>
    <w:p w14:paraId="6BABA860">
      <w:pPr>
        <w:spacing w:line="360" w:lineRule="auto"/>
        <w:ind w:firstLine="960" w:firstLineChars="200"/>
        <w:jc w:val="center"/>
        <w:rPr>
          <w:rFonts w:ascii="宋体" w:hAnsi="宋体"/>
          <w:color w:val="000000" w:themeColor="text1"/>
          <w:sz w:val="48"/>
          <w:szCs w:val="48"/>
          <w14:textFill>
            <w14:solidFill>
              <w14:schemeClr w14:val="tx1"/>
            </w14:solidFill>
          </w14:textFill>
        </w:rPr>
      </w:pPr>
      <w:r>
        <w:rPr>
          <w:rFonts w:hint="eastAsia" w:ascii="宋体" w:hAnsi="宋体"/>
          <w:color w:val="000000" w:themeColor="text1"/>
          <w:sz w:val="48"/>
          <w:szCs w:val="48"/>
          <w14:textFill>
            <w14:solidFill>
              <w14:schemeClr w14:val="tx1"/>
            </w14:solidFill>
          </w14:textFill>
        </w:rPr>
        <w:t>服务合同内容</w:t>
      </w:r>
    </w:p>
    <w:p w14:paraId="605ADA6D">
      <w:pPr>
        <w:spacing w:line="360" w:lineRule="auto"/>
        <w:rPr>
          <w:rFonts w:ascii="宋体" w:hAnsi="宋体"/>
          <w:color w:val="000000" w:themeColor="text1"/>
          <w:sz w:val="24"/>
          <w14:textFill>
            <w14:solidFill>
              <w14:schemeClr w14:val="tx1"/>
            </w14:solidFill>
          </w14:textFill>
        </w:rPr>
      </w:pPr>
    </w:p>
    <w:p w14:paraId="64BDC69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采购人（甲方）： </w:t>
      </w:r>
    </w:p>
    <w:p w14:paraId="2D39C52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供应商（乙方）： </w:t>
      </w:r>
    </w:p>
    <w:p w14:paraId="5A1CD7B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签订地点：</w:t>
      </w:r>
    </w:p>
    <w:p w14:paraId="0C8425E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14:paraId="425C3F8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14:paraId="62C1148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财政委托号：      （财政资金项目必须填写)</w:t>
      </w:r>
    </w:p>
    <w:p w14:paraId="0058C29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本项目经批准采用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方式，经本项目评审委员会认真评审，决定将采购合同授予乙方。为进一步明确双方的责任，确保合同的顺利履行，根据《中华人民共和国政府采购法》《中华人民共和国民法典》（第三编合同）之规定，经甲乙双方充分协商，特订立本合同，以便共同遵守。</w:t>
      </w:r>
    </w:p>
    <w:p w14:paraId="051559C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第一条   服务的内容、标准、数量和价格：（若服务项目过多则见附表，如有附表则必须加盖印章）</w:t>
      </w:r>
    </w:p>
    <w:tbl>
      <w:tblPr>
        <w:tblStyle w:val="25"/>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D4A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932A54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服务内容</w:t>
            </w:r>
          </w:p>
        </w:tc>
        <w:tc>
          <w:tcPr>
            <w:tcW w:w="1623" w:type="dxa"/>
          </w:tcPr>
          <w:p w14:paraId="253B044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标准水平</w:t>
            </w:r>
          </w:p>
        </w:tc>
        <w:tc>
          <w:tcPr>
            <w:tcW w:w="902" w:type="dxa"/>
          </w:tcPr>
          <w:p w14:paraId="3CE34FD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902" w:type="dxa"/>
          </w:tcPr>
          <w:p w14:paraId="58FA1B1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071" w:type="dxa"/>
          </w:tcPr>
          <w:p w14:paraId="51BBCD5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1250" w:type="dxa"/>
          </w:tcPr>
          <w:p w14:paraId="75E9F8C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小计</w:t>
            </w:r>
          </w:p>
        </w:tc>
        <w:tc>
          <w:tcPr>
            <w:tcW w:w="1106" w:type="dxa"/>
          </w:tcPr>
          <w:p w14:paraId="25C7CE0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052C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BE2A3E4">
            <w:pPr>
              <w:spacing w:line="360" w:lineRule="auto"/>
              <w:rPr>
                <w:rFonts w:ascii="宋体" w:hAnsi="宋体"/>
                <w:color w:val="000000" w:themeColor="text1"/>
                <w:sz w:val="24"/>
                <w14:textFill>
                  <w14:solidFill>
                    <w14:schemeClr w14:val="tx1"/>
                  </w14:solidFill>
                </w14:textFill>
              </w:rPr>
            </w:pPr>
          </w:p>
        </w:tc>
        <w:tc>
          <w:tcPr>
            <w:tcW w:w="1623" w:type="dxa"/>
          </w:tcPr>
          <w:p w14:paraId="1A1912FD">
            <w:pPr>
              <w:spacing w:line="360" w:lineRule="auto"/>
              <w:rPr>
                <w:rFonts w:ascii="宋体" w:hAnsi="宋体"/>
                <w:color w:val="000000" w:themeColor="text1"/>
                <w:sz w:val="24"/>
                <w14:textFill>
                  <w14:solidFill>
                    <w14:schemeClr w14:val="tx1"/>
                  </w14:solidFill>
                </w14:textFill>
              </w:rPr>
            </w:pPr>
          </w:p>
        </w:tc>
        <w:tc>
          <w:tcPr>
            <w:tcW w:w="902" w:type="dxa"/>
          </w:tcPr>
          <w:p w14:paraId="7622F93E">
            <w:pPr>
              <w:spacing w:line="360" w:lineRule="auto"/>
              <w:rPr>
                <w:rFonts w:ascii="宋体" w:hAnsi="宋体"/>
                <w:color w:val="000000" w:themeColor="text1"/>
                <w:sz w:val="24"/>
                <w14:textFill>
                  <w14:solidFill>
                    <w14:schemeClr w14:val="tx1"/>
                  </w14:solidFill>
                </w14:textFill>
              </w:rPr>
            </w:pPr>
          </w:p>
        </w:tc>
        <w:tc>
          <w:tcPr>
            <w:tcW w:w="902" w:type="dxa"/>
          </w:tcPr>
          <w:p w14:paraId="26DEF828">
            <w:pPr>
              <w:spacing w:line="360" w:lineRule="auto"/>
              <w:rPr>
                <w:rFonts w:ascii="宋体" w:hAnsi="宋体"/>
                <w:color w:val="000000" w:themeColor="text1"/>
                <w:sz w:val="24"/>
                <w14:textFill>
                  <w14:solidFill>
                    <w14:schemeClr w14:val="tx1"/>
                  </w14:solidFill>
                </w14:textFill>
              </w:rPr>
            </w:pPr>
          </w:p>
        </w:tc>
        <w:tc>
          <w:tcPr>
            <w:tcW w:w="1071" w:type="dxa"/>
          </w:tcPr>
          <w:p w14:paraId="7EFC5745">
            <w:pPr>
              <w:spacing w:line="360" w:lineRule="auto"/>
              <w:rPr>
                <w:rFonts w:ascii="宋体" w:hAnsi="宋体"/>
                <w:color w:val="000000" w:themeColor="text1"/>
                <w:sz w:val="24"/>
                <w14:textFill>
                  <w14:solidFill>
                    <w14:schemeClr w14:val="tx1"/>
                  </w14:solidFill>
                </w14:textFill>
              </w:rPr>
            </w:pPr>
          </w:p>
        </w:tc>
        <w:tc>
          <w:tcPr>
            <w:tcW w:w="1250" w:type="dxa"/>
          </w:tcPr>
          <w:p w14:paraId="13F34917">
            <w:pPr>
              <w:spacing w:line="360" w:lineRule="auto"/>
              <w:rPr>
                <w:rFonts w:ascii="宋体" w:hAnsi="宋体"/>
                <w:color w:val="000000" w:themeColor="text1"/>
                <w:sz w:val="24"/>
                <w14:textFill>
                  <w14:solidFill>
                    <w14:schemeClr w14:val="tx1"/>
                  </w14:solidFill>
                </w14:textFill>
              </w:rPr>
            </w:pPr>
          </w:p>
        </w:tc>
        <w:tc>
          <w:tcPr>
            <w:tcW w:w="1106" w:type="dxa"/>
          </w:tcPr>
          <w:p w14:paraId="01763CE0">
            <w:pPr>
              <w:spacing w:line="360" w:lineRule="auto"/>
              <w:rPr>
                <w:rFonts w:ascii="宋体" w:hAnsi="宋体"/>
                <w:color w:val="000000" w:themeColor="text1"/>
                <w:sz w:val="24"/>
                <w14:textFill>
                  <w14:solidFill>
                    <w14:schemeClr w14:val="tx1"/>
                  </w14:solidFill>
                </w14:textFill>
              </w:rPr>
            </w:pPr>
          </w:p>
        </w:tc>
      </w:tr>
      <w:tr w14:paraId="16C4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A67C8BF">
            <w:pPr>
              <w:spacing w:line="360" w:lineRule="auto"/>
              <w:rPr>
                <w:rFonts w:ascii="宋体" w:hAnsi="宋体"/>
                <w:color w:val="000000" w:themeColor="text1"/>
                <w:sz w:val="24"/>
                <w14:textFill>
                  <w14:solidFill>
                    <w14:schemeClr w14:val="tx1"/>
                  </w14:solidFill>
                </w14:textFill>
              </w:rPr>
            </w:pPr>
          </w:p>
        </w:tc>
        <w:tc>
          <w:tcPr>
            <w:tcW w:w="1623" w:type="dxa"/>
          </w:tcPr>
          <w:p w14:paraId="4F542631">
            <w:pPr>
              <w:spacing w:line="360" w:lineRule="auto"/>
              <w:rPr>
                <w:rFonts w:ascii="宋体" w:hAnsi="宋体"/>
                <w:color w:val="000000" w:themeColor="text1"/>
                <w:sz w:val="24"/>
                <w14:textFill>
                  <w14:solidFill>
                    <w14:schemeClr w14:val="tx1"/>
                  </w14:solidFill>
                </w14:textFill>
              </w:rPr>
            </w:pPr>
          </w:p>
        </w:tc>
        <w:tc>
          <w:tcPr>
            <w:tcW w:w="902" w:type="dxa"/>
          </w:tcPr>
          <w:p w14:paraId="1D23CCBB">
            <w:pPr>
              <w:spacing w:line="360" w:lineRule="auto"/>
              <w:rPr>
                <w:rFonts w:ascii="宋体" w:hAnsi="宋体"/>
                <w:color w:val="000000" w:themeColor="text1"/>
                <w:sz w:val="24"/>
                <w14:textFill>
                  <w14:solidFill>
                    <w14:schemeClr w14:val="tx1"/>
                  </w14:solidFill>
                </w14:textFill>
              </w:rPr>
            </w:pPr>
          </w:p>
        </w:tc>
        <w:tc>
          <w:tcPr>
            <w:tcW w:w="902" w:type="dxa"/>
          </w:tcPr>
          <w:p w14:paraId="799EAC8E">
            <w:pPr>
              <w:spacing w:line="360" w:lineRule="auto"/>
              <w:rPr>
                <w:rFonts w:ascii="宋体" w:hAnsi="宋体"/>
                <w:color w:val="000000" w:themeColor="text1"/>
                <w:sz w:val="24"/>
                <w14:textFill>
                  <w14:solidFill>
                    <w14:schemeClr w14:val="tx1"/>
                  </w14:solidFill>
                </w14:textFill>
              </w:rPr>
            </w:pPr>
          </w:p>
        </w:tc>
        <w:tc>
          <w:tcPr>
            <w:tcW w:w="1071" w:type="dxa"/>
          </w:tcPr>
          <w:p w14:paraId="6821482F">
            <w:pPr>
              <w:spacing w:line="360" w:lineRule="auto"/>
              <w:rPr>
                <w:rFonts w:ascii="宋体" w:hAnsi="宋体"/>
                <w:color w:val="000000" w:themeColor="text1"/>
                <w:sz w:val="24"/>
                <w14:textFill>
                  <w14:solidFill>
                    <w14:schemeClr w14:val="tx1"/>
                  </w14:solidFill>
                </w14:textFill>
              </w:rPr>
            </w:pPr>
          </w:p>
        </w:tc>
        <w:tc>
          <w:tcPr>
            <w:tcW w:w="1250" w:type="dxa"/>
          </w:tcPr>
          <w:p w14:paraId="7121ED34">
            <w:pPr>
              <w:spacing w:line="360" w:lineRule="auto"/>
              <w:rPr>
                <w:rFonts w:ascii="宋体" w:hAnsi="宋体"/>
                <w:color w:val="000000" w:themeColor="text1"/>
                <w:sz w:val="24"/>
                <w14:textFill>
                  <w14:solidFill>
                    <w14:schemeClr w14:val="tx1"/>
                  </w14:solidFill>
                </w14:textFill>
              </w:rPr>
            </w:pPr>
          </w:p>
        </w:tc>
        <w:tc>
          <w:tcPr>
            <w:tcW w:w="1106" w:type="dxa"/>
          </w:tcPr>
          <w:p w14:paraId="1ACAB658">
            <w:pPr>
              <w:spacing w:line="360" w:lineRule="auto"/>
              <w:rPr>
                <w:rFonts w:ascii="宋体" w:hAnsi="宋体"/>
                <w:color w:val="000000" w:themeColor="text1"/>
                <w:sz w:val="24"/>
                <w14:textFill>
                  <w14:solidFill>
                    <w14:schemeClr w14:val="tx1"/>
                  </w14:solidFill>
                </w14:textFill>
              </w:rPr>
            </w:pPr>
          </w:p>
        </w:tc>
      </w:tr>
      <w:tr w14:paraId="22C3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C7313C1">
            <w:pPr>
              <w:spacing w:line="360" w:lineRule="auto"/>
              <w:rPr>
                <w:rFonts w:ascii="宋体" w:hAnsi="宋体"/>
                <w:color w:val="000000" w:themeColor="text1"/>
                <w:sz w:val="24"/>
                <w14:textFill>
                  <w14:solidFill>
                    <w14:schemeClr w14:val="tx1"/>
                  </w14:solidFill>
                </w14:textFill>
              </w:rPr>
            </w:pPr>
          </w:p>
        </w:tc>
        <w:tc>
          <w:tcPr>
            <w:tcW w:w="1623" w:type="dxa"/>
          </w:tcPr>
          <w:p w14:paraId="5C8A87E7">
            <w:pPr>
              <w:spacing w:line="360" w:lineRule="auto"/>
              <w:rPr>
                <w:rFonts w:ascii="宋体" w:hAnsi="宋体"/>
                <w:color w:val="000000" w:themeColor="text1"/>
                <w:sz w:val="24"/>
                <w14:textFill>
                  <w14:solidFill>
                    <w14:schemeClr w14:val="tx1"/>
                  </w14:solidFill>
                </w14:textFill>
              </w:rPr>
            </w:pPr>
          </w:p>
        </w:tc>
        <w:tc>
          <w:tcPr>
            <w:tcW w:w="902" w:type="dxa"/>
          </w:tcPr>
          <w:p w14:paraId="75E0B4F9">
            <w:pPr>
              <w:spacing w:line="360" w:lineRule="auto"/>
              <w:rPr>
                <w:rFonts w:ascii="宋体" w:hAnsi="宋体"/>
                <w:color w:val="000000" w:themeColor="text1"/>
                <w:sz w:val="24"/>
                <w14:textFill>
                  <w14:solidFill>
                    <w14:schemeClr w14:val="tx1"/>
                  </w14:solidFill>
                </w14:textFill>
              </w:rPr>
            </w:pPr>
          </w:p>
        </w:tc>
        <w:tc>
          <w:tcPr>
            <w:tcW w:w="902" w:type="dxa"/>
          </w:tcPr>
          <w:p w14:paraId="25D9582C">
            <w:pPr>
              <w:spacing w:line="360" w:lineRule="auto"/>
              <w:rPr>
                <w:rFonts w:ascii="宋体" w:hAnsi="宋体"/>
                <w:color w:val="000000" w:themeColor="text1"/>
                <w:sz w:val="24"/>
                <w14:textFill>
                  <w14:solidFill>
                    <w14:schemeClr w14:val="tx1"/>
                  </w14:solidFill>
                </w14:textFill>
              </w:rPr>
            </w:pPr>
          </w:p>
        </w:tc>
        <w:tc>
          <w:tcPr>
            <w:tcW w:w="1071" w:type="dxa"/>
          </w:tcPr>
          <w:p w14:paraId="65B1B146">
            <w:pPr>
              <w:spacing w:line="360" w:lineRule="auto"/>
              <w:rPr>
                <w:rFonts w:ascii="宋体" w:hAnsi="宋体"/>
                <w:color w:val="000000" w:themeColor="text1"/>
                <w:sz w:val="24"/>
                <w14:textFill>
                  <w14:solidFill>
                    <w14:schemeClr w14:val="tx1"/>
                  </w14:solidFill>
                </w14:textFill>
              </w:rPr>
            </w:pPr>
          </w:p>
        </w:tc>
        <w:tc>
          <w:tcPr>
            <w:tcW w:w="1250" w:type="dxa"/>
          </w:tcPr>
          <w:p w14:paraId="6356985B">
            <w:pPr>
              <w:spacing w:line="360" w:lineRule="auto"/>
              <w:rPr>
                <w:rFonts w:ascii="宋体" w:hAnsi="宋体"/>
                <w:color w:val="000000" w:themeColor="text1"/>
                <w:sz w:val="24"/>
                <w14:textFill>
                  <w14:solidFill>
                    <w14:schemeClr w14:val="tx1"/>
                  </w14:solidFill>
                </w14:textFill>
              </w:rPr>
            </w:pPr>
          </w:p>
        </w:tc>
        <w:tc>
          <w:tcPr>
            <w:tcW w:w="1106" w:type="dxa"/>
          </w:tcPr>
          <w:p w14:paraId="2212ABF3">
            <w:pPr>
              <w:spacing w:line="360" w:lineRule="auto"/>
              <w:rPr>
                <w:rFonts w:ascii="宋体" w:hAnsi="宋体"/>
                <w:color w:val="000000" w:themeColor="text1"/>
                <w:sz w:val="24"/>
                <w14:textFill>
                  <w14:solidFill>
                    <w14:schemeClr w14:val="tx1"/>
                  </w14:solidFill>
                </w14:textFill>
              </w:rPr>
            </w:pPr>
          </w:p>
        </w:tc>
      </w:tr>
      <w:tr w14:paraId="044A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20F473D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合同总价款（大小写）：</w:t>
            </w:r>
          </w:p>
          <w:p w14:paraId="5DF56D8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备注：上述服务包含相关设备购置、人员工资及售后服务、税金、劳保基金、人员培训等费用。</w:t>
            </w:r>
          </w:p>
        </w:tc>
      </w:tr>
    </w:tbl>
    <w:p w14:paraId="40BF20D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第二条  服务标准（包括达到的水平要求），按下列第（ ）项执行：</w:t>
      </w:r>
    </w:p>
    <w:p w14:paraId="7DDDC42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①按国家标准执行；②按部颁标准执行；③若无以上标准，则应不低于同行业服务标准；④有特殊要求的，按甲乙双方在合同中商定的要求执行；</w:t>
      </w:r>
    </w:p>
    <w:p w14:paraId="6C270EF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乙方提供的服务标准和水平应与招标采购文件规定的标准和水平相一致，并满足采购人需求。</w:t>
      </w:r>
    </w:p>
    <w:p w14:paraId="2A2848C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第三条  服务的方式、方法、地点和期限</w:t>
      </w:r>
    </w:p>
    <w:p w14:paraId="1CCE68F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1、服务方式：</w:t>
      </w:r>
    </w:p>
    <w:p w14:paraId="7F0AA94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2、服务方法：</w:t>
      </w:r>
    </w:p>
    <w:p w14:paraId="36E35D6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2、服务地点：</w:t>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p>
    <w:p w14:paraId="6283FA0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3、服务期限：</w:t>
      </w:r>
    </w:p>
    <w:p w14:paraId="40029AE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第四条（ 费用及支付方式</w:t>
      </w:r>
    </w:p>
    <w:p w14:paraId="7F6A911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(一)本项目费用有以下组成：</w:t>
      </w:r>
    </w:p>
    <w:p w14:paraId="3D33F88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1、XX 万元；</w:t>
      </w:r>
    </w:p>
    <w:p w14:paraId="3C4306B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2、（X 万元；</w:t>
      </w:r>
    </w:p>
    <w:p w14:paraId="3F110AE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14:paraId="6F24BC2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(二)费用支付方式：</w:t>
      </w:r>
    </w:p>
    <w:p w14:paraId="14B73F9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1、XXXX；</w:t>
      </w:r>
    </w:p>
    <w:p w14:paraId="60D7398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2、XXXX ；</w:t>
      </w:r>
    </w:p>
    <w:p w14:paraId="709A57B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3、在支付前甲方对乙方的服务进行考核或验收，合格的支付相应款 项。乙方须向甲方出具合法有效完整的完税发票及凭证资料进行支付结算。</w:t>
      </w:r>
    </w:p>
    <w:p w14:paraId="11C25F5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第五条  付款条件                  </w:t>
      </w:r>
    </w:p>
    <w:p w14:paraId="43AAE7B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本合同以人民币付款。</w:t>
      </w:r>
    </w:p>
    <w:p w14:paraId="271B199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该项目是否实行预付款：</w:t>
      </w:r>
    </w:p>
    <w:p w14:paraId="181F448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实行预付款的条件和比例：</w:t>
      </w:r>
    </w:p>
    <w:p w14:paraId="2C29E6F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合同款项结算方式（支付比例：   </w:t>
      </w:r>
    </w:p>
    <w:p w14:paraId="2E4C6F8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(具体付款方式按投标人须知前附表以及采、购双方的具体约定)</w:t>
      </w:r>
    </w:p>
    <w:p w14:paraId="6E5F661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第六条  验收方法</w:t>
      </w:r>
    </w:p>
    <w:p w14:paraId="23F73BF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1.甲、乙双方应严格履行合同有关条款，如果验收过程中发现乙方在没有征得采购人同意的情况下擅自变更合同服务内容，将拒绝通过验收，由此引起的一切后果及损失由乙方承担。</w:t>
      </w:r>
    </w:p>
    <w:p w14:paraId="6C011D4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0DCA28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视情况可以邀请参加本项目的其他投标人或者第三方机构参与验收，参与验收的投标人或者第三方机构的意见作为验收书的参考资料一并存档。第三方机构参与验收的所需费用由供应商承担，采购人不承担此费用。</w:t>
      </w:r>
    </w:p>
    <w:p w14:paraId="14AAAB3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4、涉及安全、消防、环保等其他需要由质检或行业主管部门进行验收的项目，必须邀请相关部门或相关专家参与验收。涉及社会化服务的项目，甲方将要求社会公众人员参与验收。</w:t>
      </w:r>
    </w:p>
    <w:p w14:paraId="7385C1C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检测、验收费用承担方式：</w:t>
      </w:r>
    </w:p>
    <w:p w14:paraId="690EC38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第七条 知识产权</w:t>
      </w:r>
    </w:p>
    <w:p w14:paraId="4509182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乙方应保证所提供的服务或其任何一部分均不会侵犯任何第三方的专利权、商标权或著作权。</w:t>
      </w:r>
    </w:p>
    <w:p w14:paraId="2105AF4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第八条 无产权瑕疵条款</w:t>
      </w:r>
    </w:p>
    <w:p w14:paraId="5D4D4DF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725D191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第九条  履约（或质量）保证金</w:t>
      </w:r>
    </w:p>
    <w:p w14:paraId="3C1363C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1.本项目不收取履约保证金。确需收取履约保证金的，甲方不得要求乙方以现款的形式提供。乙方提供的履约保证金按规定格式以银行保函形式提供，与此有关的费用由服务方承担。</w:t>
      </w:r>
    </w:p>
    <w:p w14:paraId="0D5E318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2.若确需质量保证金的，质量保证金不得超过合同总价款的5%。</w:t>
      </w:r>
    </w:p>
    <w:p w14:paraId="158EFE4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3.如乙方未能履行其合同规定的任何义务，甲方有权从履约保证金中取得补偿。</w:t>
      </w:r>
    </w:p>
    <w:p w14:paraId="7446395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第十条 甲方的权利和义务</w:t>
      </w:r>
    </w:p>
    <w:p w14:paraId="02FFDFA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1、甲方有权对合同规定范围内乙方的行为进行监督和检查，拥有监管权。有权定期核对乙方提供服务所配备的人员数量。对甲方认为不合理的部分有权下达整改通知书，并要求乙方限期整改。</w:t>
      </w:r>
    </w:p>
    <w:p w14:paraId="37A3DFD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2、甲方有权依据双方签订的考评办法对乙方提供的服务进行定期考评。当考评结果未达到标准时，有权依据考评办法约定的数额扣除履约保证金。</w:t>
      </w:r>
    </w:p>
    <w:p w14:paraId="071B3D2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3、负责检查监督乙方管理工作的实施及制度的执行情况。</w:t>
      </w:r>
    </w:p>
    <w:p w14:paraId="4605653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4、根据本合同规定，按时向乙方支付应付服务费用。</w:t>
      </w:r>
    </w:p>
    <w:p w14:paraId="080920D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5、国家法律法规所规定由甲方承担的其他责任               </w:t>
      </w:r>
    </w:p>
    <w:p w14:paraId="619C6EF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第十一条 乙方的权利和义务</w:t>
      </w:r>
    </w:p>
    <w:p w14:paraId="780B664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1、对本合同规定的委托服务范围内的项目享有管理权及服务义务。</w:t>
      </w:r>
    </w:p>
    <w:p w14:paraId="428C930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2、根据本合同的规定向甲方收取相关服务费用，并有权在本项目管理范围内管理及合理使用。</w:t>
      </w:r>
    </w:p>
    <w:p w14:paraId="61891D6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3、供应商应及时向甲方通告本项目服务范围内有关服务的重大事项，及时配合处理投诉。若因投诉处理不及时给采购人造成的损失，供应商须自行承担。</w:t>
      </w:r>
    </w:p>
    <w:p w14:paraId="651B3E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4、接受项目行业管理部门及政府有关部门的指导，接受甲方的监督。</w:t>
      </w:r>
    </w:p>
    <w:p w14:paraId="1512BB3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5、国家法律法规所规定由乙方承担的其他责任。</w:t>
      </w:r>
    </w:p>
    <w:p w14:paraId="0249E8B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第十二条 违约责任</w:t>
      </w:r>
    </w:p>
    <w:p w14:paraId="7F394D3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1、甲乙双方必须遵守本合同并执行合同中的各项规定，保证本合同的正常履行。</w:t>
      </w:r>
    </w:p>
    <w:p w14:paraId="67A6544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2、甲方逾期付款的，除应及时付足款项外，应向乙方偿付欠款总额万分之 /天的违约金；逾期付款超过 天的，乙方有权终止合同。</w:t>
      </w:r>
    </w:p>
    <w:p w14:paraId="2FEDF45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如因自己工作人员在履行职务过程中的疏忽、失职、过错等故意或者过失原因给甲方造成损失或侵害，包括但不限于甲方本身的财产损失、由此而导致的甲方对任何第三方的法律责任等，对此均应承担全部的赔偿责任。</w:t>
      </w:r>
    </w:p>
    <w:p w14:paraId="7371433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4、变更、中止或者终止合同，有过错的一方应当承担赔偿责任，双方都有过错的，各自承担相应的责任。</w:t>
      </w:r>
    </w:p>
    <w:p w14:paraId="296B985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第十三条 转让与分包</w:t>
      </w:r>
    </w:p>
    <w:p w14:paraId="223A6A8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1.除甲方事先书面同意外，乙方不得部分转让或全部转让其应履行的合同义务。</w:t>
      </w:r>
    </w:p>
    <w:p w14:paraId="30D60C3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2.乙方应在投标文件中或以其他书面形式对甲方确认本合同项下所授予的所有分包合同。但该确认不解除乙方承担的本合同下的任何责任或义务。意即在本合同项下，乙方对甲方负总责。</w:t>
      </w:r>
    </w:p>
    <w:p w14:paraId="68C05CB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第十四条 合同文件及资料的使用</w:t>
      </w:r>
    </w:p>
    <w:p w14:paraId="1D8F890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1.乙方在未经甲方同意的情况下，不得将合同、合同中的规定、有关计划、图纸、样本或甲方为上述内容向乙方提供的资料透露给任何人。</w:t>
      </w:r>
    </w:p>
    <w:p w14:paraId="5B9AC00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2.除非执行合同需要，在事先未得到甲方同意的情况下，乙方不得使用前款所列的任何文件和资料。</w:t>
      </w:r>
    </w:p>
    <w:p w14:paraId="28F248D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第十五条 不可抗力事件处理</w:t>
      </w:r>
    </w:p>
    <w:p w14:paraId="09A7A3C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5053432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乙双方的任何一方由于不可抗力的原因不能履行合同时，应及时向对方通报不能履行或不能完全履行的理由，在取得有关部门证明以后，允许延期履行、部分履行或者不履行合同，并根据情况可部分或全部免于承担违约责任。</w:t>
      </w:r>
    </w:p>
    <w:p w14:paraId="55E7856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第十六条 合同纠纷调处</w:t>
      </w:r>
    </w:p>
    <w:p w14:paraId="45B10E2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1.按本合同规定应该偿付的违约金、赔偿金、保管保养费和各种经济损失，应当在明确责任后10天内，按银行规定的结算办法付清，否则按逾期付款处理。</w:t>
      </w:r>
    </w:p>
    <w:p w14:paraId="42C10F0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2.本合同如发生纠纷，当事人双方应当及时协商解决，协商不成时，任何一方均可请本项目政府采购监督管理部门调解，调解不成，按以下第（② ）项方式处理：①根据《中华人民共和国仲裁法》的规定向周口仲裁委员会申请仲裁。②向合同签订地有级别管辖权的人民法院起诉。</w:t>
      </w:r>
    </w:p>
    <w:p w14:paraId="307CD71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3、甲、乙双方均有权利向本项目具有监管职能的政府采购监督管理部门举报反映对方在合同履约中的违法违纪行为。</w:t>
      </w:r>
    </w:p>
    <w:p w14:paraId="0378C1F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第十七条 其他</w:t>
      </w:r>
    </w:p>
    <w:p w14:paraId="17CBFA5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下列关于周口市公共资源交易中心政府采购代理机构名称某项目（项目编号：某编号）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CAA2C9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本合同一式</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份，自双方当事人签字盖章之日起生效。</w:t>
      </w:r>
    </w:p>
    <w:p w14:paraId="147129A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采购人（甲方）：    （公章）           供货人（乙方）：     （公章）  </w:t>
      </w:r>
    </w:p>
    <w:p w14:paraId="2E9BE6E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                               地址：</w:t>
      </w:r>
    </w:p>
    <w:p w14:paraId="45D370F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14:paraId="35AAFCD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                         委托代理人：</w:t>
      </w:r>
    </w:p>
    <w:p w14:paraId="1583235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                               电话：</w:t>
      </w:r>
    </w:p>
    <w:p w14:paraId="099AE42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                           开户银行：</w:t>
      </w:r>
    </w:p>
    <w:p w14:paraId="776187C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账号：                               账号：</w:t>
      </w:r>
    </w:p>
    <w:p w14:paraId="3DB530B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                  年    月  日</w:t>
      </w:r>
    </w:p>
    <w:p w14:paraId="787A5985">
      <w:pPr>
        <w:spacing w:line="360" w:lineRule="auto"/>
        <w:rPr>
          <w:rFonts w:ascii="宋体" w:hAnsi="宋体"/>
          <w:color w:val="000000" w:themeColor="text1"/>
          <w:sz w:val="24"/>
          <w14:textFill>
            <w14:solidFill>
              <w14:schemeClr w14:val="tx1"/>
            </w14:solidFill>
          </w14:textFill>
        </w:rPr>
        <w:sectPr>
          <w:pgSz w:w="11900" w:h="16820"/>
          <w:pgMar w:top="1440" w:right="1080" w:bottom="1440" w:left="1080" w:header="0" w:footer="518" w:gutter="0"/>
          <w:cols w:space="720" w:num="1"/>
        </w:sectPr>
      </w:pPr>
    </w:p>
    <w:p w14:paraId="45F75F9A">
      <w:pPr>
        <w:pStyle w:val="30"/>
        <w:ind w:firstLine="0" w:firstLineChars="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周口市政府采购合同融资政策告知函</w:t>
      </w:r>
    </w:p>
    <w:p w14:paraId="537EF09E">
      <w:pPr>
        <w:pStyle w:val="30"/>
        <w:ind w:firstLine="240"/>
        <w:rPr>
          <w:rFonts w:ascii="宋体" w:hAnsi="宋体"/>
          <w:color w:val="000000" w:themeColor="text1"/>
          <w:sz w:val="24"/>
          <w14:textFill>
            <w14:solidFill>
              <w14:schemeClr w14:val="tx1"/>
            </w14:solidFill>
          </w14:textFill>
        </w:rPr>
      </w:pPr>
    </w:p>
    <w:p w14:paraId="3C886A4D">
      <w:pPr>
        <w:pStyle w:val="30"/>
        <w:ind w:firstLine="240"/>
        <w:rPr>
          <w:rFonts w:ascii="宋体" w:hAnsi="宋体"/>
          <w:color w:val="000000" w:themeColor="text1"/>
          <w:sz w:val="24"/>
          <w14:textFill>
            <w14:solidFill>
              <w14:schemeClr w14:val="tx1"/>
            </w14:solidFill>
          </w14:textFill>
        </w:rPr>
      </w:pPr>
    </w:p>
    <w:p w14:paraId="23A9D8CE">
      <w:pPr>
        <w:pStyle w:val="30"/>
        <w:ind w:firstLine="240"/>
        <w:rPr>
          <w:rFonts w:ascii="宋体" w:hAnsi="宋体"/>
          <w:color w:val="000000" w:themeColor="text1"/>
          <w:sz w:val="24"/>
          <w14:textFill>
            <w14:solidFill>
              <w14:schemeClr w14:val="tx1"/>
            </w14:solidFill>
          </w14:textFill>
        </w:rPr>
      </w:pPr>
    </w:p>
    <w:p w14:paraId="6AF3FF5A">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各供应商：</w:t>
      </w:r>
    </w:p>
    <w:p w14:paraId="771DDBBA">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欢迎贵公司参与周口市政府采购活动！</w:t>
      </w:r>
    </w:p>
    <w:p w14:paraId="2641F2F0">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2C3FBA2">
      <w:pPr>
        <w:pStyle w:val="30"/>
        <w:ind w:firstLine="24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贷款渠道和提供贷款的金融机构，可在河南省政府采购网“河南省政府采购合同融资平台”查询联系。</w:t>
      </w:r>
    </w:p>
    <w:p w14:paraId="0206C57F">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106D2735">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657FFABB">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5D388603">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210ADEDF">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50CEB770">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27B735F6">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0435B32B">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04028E5A">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271D45EB">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17E0FC28">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3640E2C4">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2D794463">
      <w:pPr>
        <w:pStyle w:val="21"/>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3BF789F0">
      <w:pPr>
        <w:pStyle w:val="30"/>
        <w:ind w:firstLine="210"/>
        <w:rPr>
          <w:rFonts w:ascii="宋体" w:hAnsi="宋体"/>
          <w:color w:val="000000" w:themeColor="text1"/>
          <w14:textFill>
            <w14:solidFill>
              <w14:schemeClr w14:val="tx1"/>
            </w14:solidFill>
          </w14:textFill>
        </w:rPr>
      </w:pPr>
    </w:p>
    <w:p w14:paraId="467E1255">
      <w:pPr>
        <w:rPr>
          <w:rFonts w:ascii="宋体" w:hAnsi="宋体"/>
          <w:color w:val="000000" w:themeColor="text1"/>
          <w14:textFill>
            <w14:solidFill>
              <w14:schemeClr w14:val="tx1"/>
            </w14:solidFill>
          </w14:textFill>
        </w:rPr>
      </w:pPr>
    </w:p>
    <w:p w14:paraId="7F54C1CF">
      <w:pPr>
        <w:rPr>
          <w:rFonts w:ascii="宋体" w:hAnsi="宋体"/>
          <w:color w:val="000000" w:themeColor="text1"/>
          <w14:textFill>
            <w14:solidFill>
              <w14:schemeClr w14:val="tx1"/>
            </w14:solidFill>
          </w14:textFill>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4682931"/>
      <w:docPartObj>
        <w:docPartGallery w:val="autotext"/>
      </w:docPartObj>
    </w:sdtPr>
    <w:sdtContent>
      <w:p w14:paraId="4055CE56">
        <w:pPr>
          <w:pStyle w:val="15"/>
          <w:jc w:val="center"/>
        </w:pPr>
        <w:r>
          <w:fldChar w:fldCharType="begin"/>
        </w:r>
        <w:r>
          <w:instrText xml:space="preserve">PAGE   \* MERGEFORMAT</w:instrText>
        </w:r>
        <w:r>
          <w:fldChar w:fldCharType="separate"/>
        </w:r>
        <w:r>
          <w:rPr>
            <w:lang w:val="zh-CN"/>
          </w:rPr>
          <w:t>8</w:t>
        </w:r>
        <w:r>
          <w:fldChar w:fldCharType="end"/>
        </w:r>
      </w:p>
      <w:p w14:paraId="2C1D8CCF">
        <w:pPr>
          <w:pStyle w:val="15"/>
          <w:jc w:val="center"/>
        </w:pPr>
      </w:p>
      <w:p w14:paraId="5A45E893">
        <w:pPr>
          <w:pStyle w:val="15"/>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638A">
    <w:pPr>
      <w:pStyle w:val="16"/>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tabs>
          <w:tab w:val="left" w:pos="420"/>
        </w:tabs>
        <w:ind w:left="63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NTY5NWM5NDAxMmUwZmJmM2QyOGM1OGJlNmJiM2MifQ=="/>
  </w:docVars>
  <w:rsids>
    <w:rsidRoot w:val="00660FDA"/>
    <w:rsid w:val="00012EFE"/>
    <w:rsid w:val="000305B7"/>
    <w:rsid w:val="000769CB"/>
    <w:rsid w:val="0009415E"/>
    <w:rsid w:val="000B734E"/>
    <w:rsid w:val="000C4EA8"/>
    <w:rsid w:val="000E658D"/>
    <w:rsid w:val="00120342"/>
    <w:rsid w:val="00121D2E"/>
    <w:rsid w:val="00123B2E"/>
    <w:rsid w:val="00152AD7"/>
    <w:rsid w:val="001D3B8B"/>
    <w:rsid w:val="001E2AC1"/>
    <w:rsid w:val="002020F2"/>
    <w:rsid w:val="00222C97"/>
    <w:rsid w:val="00261AC8"/>
    <w:rsid w:val="00262B9D"/>
    <w:rsid w:val="002676FF"/>
    <w:rsid w:val="0028598A"/>
    <w:rsid w:val="002A0694"/>
    <w:rsid w:val="002C5F21"/>
    <w:rsid w:val="002E125B"/>
    <w:rsid w:val="00303DCC"/>
    <w:rsid w:val="00313394"/>
    <w:rsid w:val="00323618"/>
    <w:rsid w:val="003714CA"/>
    <w:rsid w:val="00375D78"/>
    <w:rsid w:val="0038177C"/>
    <w:rsid w:val="00390BEF"/>
    <w:rsid w:val="003941AE"/>
    <w:rsid w:val="003B2D19"/>
    <w:rsid w:val="003E379F"/>
    <w:rsid w:val="00423C02"/>
    <w:rsid w:val="00445496"/>
    <w:rsid w:val="00481CD2"/>
    <w:rsid w:val="004C507B"/>
    <w:rsid w:val="00500F2A"/>
    <w:rsid w:val="005245F8"/>
    <w:rsid w:val="005250BB"/>
    <w:rsid w:val="005413F7"/>
    <w:rsid w:val="00543559"/>
    <w:rsid w:val="0057594B"/>
    <w:rsid w:val="005832C6"/>
    <w:rsid w:val="005858D7"/>
    <w:rsid w:val="00612B0A"/>
    <w:rsid w:val="00637056"/>
    <w:rsid w:val="006407A9"/>
    <w:rsid w:val="00660FDA"/>
    <w:rsid w:val="00664A96"/>
    <w:rsid w:val="006B51E6"/>
    <w:rsid w:val="006E1FFD"/>
    <w:rsid w:val="006F2F66"/>
    <w:rsid w:val="00715B00"/>
    <w:rsid w:val="0072311B"/>
    <w:rsid w:val="00743BD6"/>
    <w:rsid w:val="00746C88"/>
    <w:rsid w:val="0075481D"/>
    <w:rsid w:val="00786DC6"/>
    <w:rsid w:val="007A4CDD"/>
    <w:rsid w:val="007A6FF5"/>
    <w:rsid w:val="007C1738"/>
    <w:rsid w:val="007C268F"/>
    <w:rsid w:val="007D228F"/>
    <w:rsid w:val="007D3706"/>
    <w:rsid w:val="007F30BC"/>
    <w:rsid w:val="007F35AB"/>
    <w:rsid w:val="00815CE5"/>
    <w:rsid w:val="0083164E"/>
    <w:rsid w:val="00837A0E"/>
    <w:rsid w:val="0084343A"/>
    <w:rsid w:val="00852F39"/>
    <w:rsid w:val="008557BE"/>
    <w:rsid w:val="0089254B"/>
    <w:rsid w:val="008D68BE"/>
    <w:rsid w:val="008D733C"/>
    <w:rsid w:val="008F5B9B"/>
    <w:rsid w:val="009172A4"/>
    <w:rsid w:val="00923BF0"/>
    <w:rsid w:val="00924E54"/>
    <w:rsid w:val="00981792"/>
    <w:rsid w:val="00982279"/>
    <w:rsid w:val="009B1FFD"/>
    <w:rsid w:val="009B2D12"/>
    <w:rsid w:val="009D664C"/>
    <w:rsid w:val="009E363E"/>
    <w:rsid w:val="00A14CBF"/>
    <w:rsid w:val="00A25F1B"/>
    <w:rsid w:val="00A36157"/>
    <w:rsid w:val="00A453EB"/>
    <w:rsid w:val="00A56787"/>
    <w:rsid w:val="00A732D3"/>
    <w:rsid w:val="00AB605C"/>
    <w:rsid w:val="00AC129B"/>
    <w:rsid w:val="00AE1287"/>
    <w:rsid w:val="00AF40A9"/>
    <w:rsid w:val="00AF5995"/>
    <w:rsid w:val="00B00D09"/>
    <w:rsid w:val="00B21C2A"/>
    <w:rsid w:val="00B35406"/>
    <w:rsid w:val="00B35911"/>
    <w:rsid w:val="00B42A0F"/>
    <w:rsid w:val="00B463E3"/>
    <w:rsid w:val="00B6602F"/>
    <w:rsid w:val="00B6748B"/>
    <w:rsid w:val="00BA78B8"/>
    <w:rsid w:val="00BB015A"/>
    <w:rsid w:val="00BB0A0A"/>
    <w:rsid w:val="00C20B58"/>
    <w:rsid w:val="00C43F98"/>
    <w:rsid w:val="00C66196"/>
    <w:rsid w:val="00CA0A95"/>
    <w:rsid w:val="00CC2E29"/>
    <w:rsid w:val="00CD44FE"/>
    <w:rsid w:val="00D12D39"/>
    <w:rsid w:val="00D60CE8"/>
    <w:rsid w:val="00DA4469"/>
    <w:rsid w:val="00DA635C"/>
    <w:rsid w:val="00DB7805"/>
    <w:rsid w:val="00DD6E73"/>
    <w:rsid w:val="00DF0CAE"/>
    <w:rsid w:val="00DF6A02"/>
    <w:rsid w:val="00E1625D"/>
    <w:rsid w:val="00E1665D"/>
    <w:rsid w:val="00E54CA6"/>
    <w:rsid w:val="00E576A3"/>
    <w:rsid w:val="00E70FED"/>
    <w:rsid w:val="00E877A4"/>
    <w:rsid w:val="00EA0024"/>
    <w:rsid w:val="00EC4DB1"/>
    <w:rsid w:val="00EC6D3B"/>
    <w:rsid w:val="00EF67DB"/>
    <w:rsid w:val="00F010A5"/>
    <w:rsid w:val="00F14E72"/>
    <w:rsid w:val="00F16016"/>
    <w:rsid w:val="00F322E8"/>
    <w:rsid w:val="00F80527"/>
    <w:rsid w:val="00F87B20"/>
    <w:rsid w:val="00FC7BFD"/>
    <w:rsid w:val="00FE43EE"/>
    <w:rsid w:val="00FF5261"/>
    <w:rsid w:val="013D3934"/>
    <w:rsid w:val="015007B6"/>
    <w:rsid w:val="01664743"/>
    <w:rsid w:val="016C134C"/>
    <w:rsid w:val="02AB0B17"/>
    <w:rsid w:val="03A013F2"/>
    <w:rsid w:val="03A26B8E"/>
    <w:rsid w:val="04131BA8"/>
    <w:rsid w:val="050C2C6B"/>
    <w:rsid w:val="05370C0F"/>
    <w:rsid w:val="05600DF4"/>
    <w:rsid w:val="06B949BB"/>
    <w:rsid w:val="06D356D1"/>
    <w:rsid w:val="07063DE2"/>
    <w:rsid w:val="078B6E2B"/>
    <w:rsid w:val="08404F36"/>
    <w:rsid w:val="08752E31"/>
    <w:rsid w:val="08A60005"/>
    <w:rsid w:val="08CA7F34"/>
    <w:rsid w:val="096B4234"/>
    <w:rsid w:val="0A2E4339"/>
    <w:rsid w:val="0A3E54A5"/>
    <w:rsid w:val="0A427979"/>
    <w:rsid w:val="0A7315F2"/>
    <w:rsid w:val="0BA5708B"/>
    <w:rsid w:val="0BB11572"/>
    <w:rsid w:val="0C050269"/>
    <w:rsid w:val="0C3B6D6D"/>
    <w:rsid w:val="0D5527FE"/>
    <w:rsid w:val="0E230C39"/>
    <w:rsid w:val="0E8B7795"/>
    <w:rsid w:val="0EAA62A3"/>
    <w:rsid w:val="0F6C4862"/>
    <w:rsid w:val="0F6F7B99"/>
    <w:rsid w:val="10643980"/>
    <w:rsid w:val="10C7395A"/>
    <w:rsid w:val="113F5177"/>
    <w:rsid w:val="1210778C"/>
    <w:rsid w:val="130549BB"/>
    <w:rsid w:val="13201BEB"/>
    <w:rsid w:val="139275C9"/>
    <w:rsid w:val="143F754A"/>
    <w:rsid w:val="144D6A10"/>
    <w:rsid w:val="156363BD"/>
    <w:rsid w:val="16A9014A"/>
    <w:rsid w:val="16B32D77"/>
    <w:rsid w:val="174457A9"/>
    <w:rsid w:val="177C13BA"/>
    <w:rsid w:val="181B23C9"/>
    <w:rsid w:val="18333308"/>
    <w:rsid w:val="184616E2"/>
    <w:rsid w:val="189D5A8C"/>
    <w:rsid w:val="18F3752E"/>
    <w:rsid w:val="19E27BFB"/>
    <w:rsid w:val="19F53DD2"/>
    <w:rsid w:val="1A1C1438"/>
    <w:rsid w:val="1A2D3846"/>
    <w:rsid w:val="1A853153"/>
    <w:rsid w:val="1ADF2731"/>
    <w:rsid w:val="1B4C6C57"/>
    <w:rsid w:val="1CA078F9"/>
    <w:rsid w:val="1DDB169B"/>
    <w:rsid w:val="1E110C64"/>
    <w:rsid w:val="1E13515F"/>
    <w:rsid w:val="1E1E31CB"/>
    <w:rsid w:val="202F4A91"/>
    <w:rsid w:val="203211B0"/>
    <w:rsid w:val="20344F28"/>
    <w:rsid w:val="205B4263"/>
    <w:rsid w:val="20692E24"/>
    <w:rsid w:val="21A34ECE"/>
    <w:rsid w:val="21C53F84"/>
    <w:rsid w:val="22C03C12"/>
    <w:rsid w:val="22F32E79"/>
    <w:rsid w:val="22FA4207"/>
    <w:rsid w:val="239D1036"/>
    <w:rsid w:val="23E32EED"/>
    <w:rsid w:val="23F35C21"/>
    <w:rsid w:val="249C7C31"/>
    <w:rsid w:val="24A93EDD"/>
    <w:rsid w:val="24BD10D6"/>
    <w:rsid w:val="252F5CBE"/>
    <w:rsid w:val="255409E7"/>
    <w:rsid w:val="25585215"/>
    <w:rsid w:val="256911D0"/>
    <w:rsid w:val="26233A75"/>
    <w:rsid w:val="26752664"/>
    <w:rsid w:val="283200BF"/>
    <w:rsid w:val="28793E20"/>
    <w:rsid w:val="29601DE6"/>
    <w:rsid w:val="2A331DAD"/>
    <w:rsid w:val="2A4B3D8E"/>
    <w:rsid w:val="2A8A5D4D"/>
    <w:rsid w:val="2B744625"/>
    <w:rsid w:val="2C373598"/>
    <w:rsid w:val="2C934D84"/>
    <w:rsid w:val="2D4A18E7"/>
    <w:rsid w:val="2D4C4236"/>
    <w:rsid w:val="2DF838F9"/>
    <w:rsid w:val="2E14405A"/>
    <w:rsid w:val="2FC31E25"/>
    <w:rsid w:val="2FE71A7E"/>
    <w:rsid w:val="30115C1C"/>
    <w:rsid w:val="308521A0"/>
    <w:rsid w:val="308D5BD0"/>
    <w:rsid w:val="31034AC5"/>
    <w:rsid w:val="31403146"/>
    <w:rsid w:val="31A54EF5"/>
    <w:rsid w:val="31B87D9B"/>
    <w:rsid w:val="32494863"/>
    <w:rsid w:val="32B3444F"/>
    <w:rsid w:val="32BF2D77"/>
    <w:rsid w:val="33022D55"/>
    <w:rsid w:val="332F3627"/>
    <w:rsid w:val="338D313B"/>
    <w:rsid w:val="34BF0E0C"/>
    <w:rsid w:val="364721AA"/>
    <w:rsid w:val="36850080"/>
    <w:rsid w:val="3753694F"/>
    <w:rsid w:val="375F68D7"/>
    <w:rsid w:val="383B014F"/>
    <w:rsid w:val="39253208"/>
    <w:rsid w:val="3A5D1C13"/>
    <w:rsid w:val="3AEE1E1D"/>
    <w:rsid w:val="3B4007CD"/>
    <w:rsid w:val="3B4D4F66"/>
    <w:rsid w:val="3B783AC3"/>
    <w:rsid w:val="3BC44F5A"/>
    <w:rsid w:val="3C4147FD"/>
    <w:rsid w:val="3C456BAD"/>
    <w:rsid w:val="3CC9176A"/>
    <w:rsid w:val="3E014244"/>
    <w:rsid w:val="3E0F1961"/>
    <w:rsid w:val="3EFB14C4"/>
    <w:rsid w:val="3F193A6C"/>
    <w:rsid w:val="3F5860E5"/>
    <w:rsid w:val="3F966D63"/>
    <w:rsid w:val="40AB45C6"/>
    <w:rsid w:val="40AB7B12"/>
    <w:rsid w:val="40D878EC"/>
    <w:rsid w:val="41070D14"/>
    <w:rsid w:val="414473B0"/>
    <w:rsid w:val="416C231C"/>
    <w:rsid w:val="4177653C"/>
    <w:rsid w:val="41D74209"/>
    <w:rsid w:val="41D8150D"/>
    <w:rsid w:val="420C7479"/>
    <w:rsid w:val="4242307D"/>
    <w:rsid w:val="424B0572"/>
    <w:rsid w:val="42643C06"/>
    <w:rsid w:val="4268268D"/>
    <w:rsid w:val="42E14644"/>
    <w:rsid w:val="4347117C"/>
    <w:rsid w:val="434929F0"/>
    <w:rsid w:val="43C755E8"/>
    <w:rsid w:val="43DD4E0B"/>
    <w:rsid w:val="43DE2931"/>
    <w:rsid w:val="441775F9"/>
    <w:rsid w:val="44B82928"/>
    <w:rsid w:val="44C9538F"/>
    <w:rsid w:val="44E93C84"/>
    <w:rsid w:val="46144D30"/>
    <w:rsid w:val="46B207D1"/>
    <w:rsid w:val="47A149E5"/>
    <w:rsid w:val="484336AB"/>
    <w:rsid w:val="484A2C8B"/>
    <w:rsid w:val="484C5680"/>
    <w:rsid w:val="488F68F0"/>
    <w:rsid w:val="48D01AA7"/>
    <w:rsid w:val="48FA7BF0"/>
    <w:rsid w:val="490F3E8C"/>
    <w:rsid w:val="49A04C0B"/>
    <w:rsid w:val="4A471146"/>
    <w:rsid w:val="4AD96341"/>
    <w:rsid w:val="4B2C0B56"/>
    <w:rsid w:val="4B751DCD"/>
    <w:rsid w:val="4EE51018"/>
    <w:rsid w:val="4EFB4CDF"/>
    <w:rsid w:val="503C55AF"/>
    <w:rsid w:val="507808FC"/>
    <w:rsid w:val="50834F8C"/>
    <w:rsid w:val="51E4305C"/>
    <w:rsid w:val="52A01E26"/>
    <w:rsid w:val="531B76FE"/>
    <w:rsid w:val="53446C55"/>
    <w:rsid w:val="539B4B5F"/>
    <w:rsid w:val="53E43F94"/>
    <w:rsid w:val="540A3A96"/>
    <w:rsid w:val="54232B17"/>
    <w:rsid w:val="54522561"/>
    <w:rsid w:val="55734998"/>
    <w:rsid w:val="558C043F"/>
    <w:rsid w:val="55997E7C"/>
    <w:rsid w:val="55CC2F32"/>
    <w:rsid w:val="565A22EB"/>
    <w:rsid w:val="56A91802"/>
    <w:rsid w:val="57671CF1"/>
    <w:rsid w:val="57F70580"/>
    <w:rsid w:val="591744C4"/>
    <w:rsid w:val="5A760B2C"/>
    <w:rsid w:val="5AB7324F"/>
    <w:rsid w:val="5B531D7D"/>
    <w:rsid w:val="5BB73DB5"/>
    <w:rsid w:val="5BF81E12"/>
    <w:rsid w:val="5CC04E72"/>
    <w:rsid w:val="5CE65281"/>
    <w:rsid w:val="5D7F5C75"/>
    <w:rsid w:val="5DA4085F"/>
    <w:rsid w:val="5E145476"/>
    <w:rsid w:val="5E5F0DD7"/>
    <w:rsid w:val="5EBB1D95"/>
    <w:rsid w:val="5F1A6F9E"/>
    <w:rsid w:val="5F452001"/>
    <w:rsid w:val="5F5D6265"/>
    <w:rsid w:val="5F9433DD"/>
    <w:rsid w:val="5FF05E71"/>
    <w:rsid w:val="5FF774BE"/>
    <w:rsid w:val="5FFC1289"/>
    <w:rsid w:val="60472DDC"/>
    <w:rsid w:val="60863F57"/>
    <w:rsid w:val="609A237A"/>
    <w:rsid w:val="60DB671F"/>
    <w:rsid w:val="61343622"/>
    <w:rsid w:val="617701F5"/>
    <w:rsid w:val="61DE6BAB"/>
    <w:rsid w:val="61F419AE"/>
    <w:rsid w:val="624D354F"/>
    <w:rsid w:val="62B45479"/>
    <w:rsid w:val="63147CC6"/>
    <w:rsid w:val="631771E9"/>
    <w:rsid w:val="638E5CCA"/>
    <w:rsid w:val="63FE5509"/>
    <w:rsid w:val="644840CB"/>
    <w:rsid w:val="64C00105"/>
    <w:rsid w:val="6509582C"/>
    <w:rsid w:val="65194781"/>
    <w:rsid w:val="65424FBE"/>
    <w:rsid w:val="65AD121A"/>
    <w:rsid w:val="65C757C7"/>
    <w:rsid w:val="65F629E0"/>
    <w:rsid w:val="66D8501F"/>
    <w:rsid w:val="68C77CB4"/>
    <w:rsid w:val="68DE0B5A"/>
    <w:rsid w:val="69117181"/>
    <w:rsid w:val="69825B76"/>
    <w:rsid w:val="69A61A9E"/>
    <w:rsid w:val="69BD6C81"/>
    <w:rsid w:val="69F820EF"/>
    <w:rsid w:val="6A6B466F"/>
    <w:rsid w:val="6C295DE8"/>
    <w:rsid w:val="6CB66857"/>
    <w:rsid w:val="6D2D34EE"/>
    <w:rsid w:val="6D7026B9"/>
    <w:rsid w:val="6DA22398"/>
    <w:rsid w:val="6DBB590E"/>
    <w:rsid w:val="6EE025C2"/>
    <w:rsid w:val="6FB46AB9"/>
    <w:rsid w:val="6FD20CED"/>
    <w:rsid w:val="6FD902CD"/>
    <w:rsid w:val="706B0310"/>
    <w:rsid w:val="70804B10"/>
    <w:rsid w:val="715D03C3"/>
    <w:rsid w:val="71997D14"/>
    <w:rsid w:val="72800ED4"/>
    <w:rsid w:val="72AC3A77"/>
    <w:rsid w:val="72B14D59"/>
    <w:rsid w:val="731F0181"/>
    <w:rsid w:val="74842EFD"/>
    <w:rsid w:val="74DD1716"/>
    <w:rsid w:val="74EC2851"/>
    <w:rsid w:val="752E10BB"/>
    <w:rsid w:val="75381B96"/>
    <w:rsid w:val="75A44ED9"/>
    <w:rsid w:val="75AF6236"/>
    <w:rsid w:val="75DA3651"/>
    <w:rsid w:val="76212B2F"/>
    <w:rsid w:val="769D4813"/>
    <w:rsid w:val="784604CA"/>
    <w:rsid w:val="784F3822"/>
    <w:rsid w:val="78724754"/>
    <w:rsid w:val="797057FE"/>
    <w:rsid w:val="79C04885"/>
    <w:rsid w:val="79E043AE"/>
    <w:rsid w:val="7A5736F2"/>
    <w:rsid w:val="7A8760AF"/>
    <w:rsid w:val="7AD46E57"/>
    <w:rsid w:val="7B340346"/>
    <w:rsid w:val="7C75137E"/>
    <w:rsid w:val="7C98614A"/>
    <w:rsid w:val="7CA642AE"/>
    <w:rsid w:val="7D7B5762"/>
    <w:rsid w:val="7DA17541"/>
    <w:rsid w:val="7DB83C18"/>
    <w:rsid w:val="7E0B2D72"/>
    <w:rsid w:val="7E5D031B"/>
    <w:rsid w:val="7E977CD1"/>
    <w:rsid w:val="7EEE32D5"/>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qFormat/>
    <w:uiPriority w:val="99"/>
    <w:pPr>
      <w:spacing w:after="120"/>
    </w:pPr>
  </w:style>
  <w:style w:type="paragraph" w:styleId="9">
    <w:name w:val="Body Text Indent"/>
    <w:basedOn w:val="1"/>
    <w:next w:val="10"/>
    <w:qFormat/>
    <w:uiPriority w:val="0"/>
    <w:pPr>
      <w:ind w:firstLine="632" w:firstLineChars="200"/>
    </w:pPr>
    <w:rPr>
      <w:rFonts w:ascii="仿宋_GB2312" w:hAnsi="华文楷体" w:eastAsia="仿宋_GB2312"/>
      <w:sz w:val="32"/>
    </w:rPr>
  </w:style>
  <w:style w:type="paragraph" w:styleId="10">
    <w:name w:val="envelope return"/>
    <w:basedOn w:val="1"/>
    <w:qFormat/>
    <w:uiPriority w:val="99"/>
    <w:pPr>
      <w:snapToGrid w:val="0"/>
    </w:pPr>
    <w:rPr>
      <w:rFonts w:ascii="Arial" w:hAnsi="Arial"/>
    </w:rPr>
  </w:style>
  <w:style w:type="paragraph" w:styleId="11">
    <w:name w:val="Plain Text"/>
    <w:basedOn w:val="1"/>
    <w:qFormat/>
    <w:uiPriority w:val="99"/>
    <w:rPr>
      <w:rFonts w:ascii="宋体" w:hAnsi="Courier New"/>
      <w:szCs w:val="20"/>
    </w:rPr>
  </w:style>
  <w:style w:type="paragraph" w:styleId="12">
    <w:name w:val="Date"/>
    <w:basedOn w:val="1"/>
    <w:next w:val="1"/>
    <w:link w:val="51"/>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9"/>
    <w:qFormat/>
    <w:uiPriority w:val="0"/>
    <w:rPr>
      <w:sz w:val="18"/>
      <w:szCs w:val="18"/>
    </w:rPr>
  </w:style>
  <w:style w:type="paragraph" w:styleId="15">
    <w:name w:val="footer"/>
    <w:basedOn w:val="1"/>
    <w:link w:val="53"/>
    <w:qFormat/>
    <w:uiPriority w:val="99"/>
    <w:pPr>
      <w:tabs>
        <w:tab w:val="center" w:pos="4153"/>
        <w:tab w:val="right" w:pos="8306"/>
      </w:tabs>
      <w:snapToGrid w:val="0"/>
      <w:jc w:val="left"/>
    </w:pPr>
    <w:rPr>
      <w:sz w:val="18"/>
      <w:szCs w:val="18"/>
    </w:rPr>
  </w:style>
  <w:style w:type="paragraph" w:styleId="16">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Subtitle"/>
    <w:basedOn w:val="1"/>
    <w:next w:val="1"/>
    <w:link w:val="52"/>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9">
    <w:name w:val="footnote text"/>
    <w:basedOn w:val="1"/>
    <w:qFormat/>
    <w:uiPriority w:val="99"/>
    <w:pPr>
      <w:snapToGrid w:val="0"/>
      <w:jc w:val="left"/>
    </w:pPr>
    <w:rPr>
      <w:sz w:val="18"/>
      <w:szCs w:val="18"/>
    </w:rPr>
  </w:style>
  <w:style w:type="paragraph" w:styleId="20">
    <w:name w:val="toc 2"/>
    <w:basedOn w:val="1"/>
    <w:next w:val="1"/>
    <w:autoRedefine/>
    <w:qFormat/>
    <w:uiPriority w:val="39"/>
    <w:pPr>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2">
    <w:name w:val="Title"/>
    <w:basedOn w:val="1"/>
    <w:next w:val="1"/>
    <w:link w:val="50"/>
    <w:qFormat/>
    <w:uiPriority w:val="0"/>
    <w:pPr>
      <w:spacing w:before="240" w:after="60"/>
      <w:jc w:val="center"/>
      <w:outlineLvl w:val="0"/>
    </w:pPr>
    <w:rPr>
      <w:rFonts w:asciiTheme="majorHAnsi" w:hAnsiTheme="majorHAnsi" w:cstheme="majorBidi"/>
      <w:b/>
      <w:bCs/>
      <w:sz w:val="32"/>
      <w:szCs w:val="32"/>
    </w:rPr>
  </w:style>
  <w:style w:type="paragraph" w:styleId="23">
    <w:name w:val="Body Text First Indent"/>
    <w:basedOn w:val="8"/>
    <w:next w:val="24"/>
    <w:qFormat/>
    <w:uiPriority w:val="0"/>
    <w:pPr>
      <w:ind w:firstLine="420" w:firstLineChars="100"/>
    </w:pPr>
  </w:style>
  <w:style w:type="paragraph" w:styleId="24">
    <w:name w:val="Body Text First Indent 2"/>
    <w:basedOn w:val="9"/>
    <w:qFormat/>
    <w:uiPriority w:val="99"/>
    <w:pPr>
      <w:tabs>
        <w:tab w:val="left" w:pos="0"/>
        <w:tab w:val="left" w:pos="993"/>
        <w:tab w:val="left" w:pos="1134"/>
      </w:tabs>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qFormat/>
    <w:uiPriority w:val="99"/>
    <w:rPr>
      <w:color w:val="0000FF" w:themeColor="hyperlink"/>
      <w:u w:val="single"/>
      <w14:textFill>
        <w14:solidFill>
          <w14:schemeClr w14:val="hlink"/>
        </w14:solidFill>
      </w14:textFill>
    </w:rPr>
  </w:style>
  <w:style w:type="paragraph" w:customStyle="1" w:styleId="29">
    <w:name w:val="Default"/>
    <w:next w:val="19"/>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0">
    <w:name w:val="BodyText1I"/>
    <w:basedOn w:val="31"/>
    <w:qFormat/>
    <w:uiPriority w:val="99"/>
    <w:pPr>
      <w:ind w:firstLine="420" w:firstLineChars="100"/>
    </w:pPr>
  </w:style>
  <w:style w:type="paragraph" w:customStyle="1" w:styleId="31">
    <w:name w:val="BodyText"/>
    <w:basedOn w:val="1"/>
    <w:qFormat/>
    <w:uiPriority w:val="99"/>
    <w:pPr>
      <w:spacing w:after="120"/>
    </w:pPr>
  </w:style>
  <w:style w:type="paragraph" w:customStyle="1" w:styleId="32">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3">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Body Text First Indent1"/>
    <w:basedOn w:val="8"/>
    <w:qFormat/>
    <w:uiPriority w:val="0"/>
    <w:pPr>
      <w:autoSpaceDE w:val="0"/>
      <w:autoSpaceDN w:val="0"/>
      <w:ind w:firstLine="420" w:firstLineChars="100"/>
      <w:jc w:val="left"/>
    </w:pPr>
    <w:rPr>
      <w:rFonts w:ascii="宋体" w:hAnsi="等线" w:eastAsia="等线" w:cs="宋体"/>
      <w:kern w:val="0"/>
      <w:lang w:val="zh-CN"/>
    </w:rPr>
  </w:style>
  <w:style w:type="paragraph" w:customStyle="1" w:styleId="35">
    <w:name w:val="p0"/>
    <w:basedOn w:val="1"/>
    <w:qFormat/>
    <w:uiPriority w:val="0"/>
    <w:pPr>
      <w:widowControl/>
    </w:pPr>
    <w:rPr>
      <w:rFonts w:ascii="Calibri" w:hAnsi="Calibri" w:cs="宋体"/>
      <w:kern w:val="0"/>
      <w:szCs w:val="21"/>
    </w:rPr>
  </w:style>
  <w:style w:type="paragraph" w:customStyle="1" w:styleId="36">
    <w:name w:val="D&amp;L"/>
    <w:basedOn w:val="16"/>
    <w:qFormat/>
    <w:uiPriority w:val="0"/>
    <w:pPr>
      <w:pBdr>
        <w:bottom w:val="thinThickSmallGap" w:color="auto" w:sz="18" w:space="1"/>
      </w:pBdr>
      <w:adjustRightInd w:val="0"/>
      <w:snapToGrid/>
      <w:spacing w:line="240" w:lineRule="atLeast"/>
      <w:textAlignment w:val="baseline"/>
    </w:pPr>
    <w:rPr>
      <w:kern w:val="0"/>
      <w:sz w:val="24"/>
    </w:rPr>
  </w:style>
  <w:style w:type="paragraph" w:styleId="37">
    <w:name w:val="List Paragraph"/>
    <w:basedOn w:val="1"/>
    <w:qFormat/>
    <w:uiPriority w:val="34"/>
    <w:pPr>
      <w:ind w:firstLine="420" w:firstLineChars="200"/>
    </w:p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paragraph" w:customStyle="1" w:styleId="3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0">
    <w:name w:val="Char Char Char Char Char Char Char1 Char"/>
    <w:basedOn w:val="1"/>
    <w:qFormat/>
    <w:uiPriority w:val="0"/>
    <w:rPr>
      <w:rFonts w:ascii="Tahoma" w:hAnsi="Tahoma"/>
      <w:sz w:val="24"/>
      <w:szCs w:val="20"/>
    </w:rPr>
  </w:style>
  <w:style w:type="paragraph" w:customStyle="1" w:styleId="41">
    <w:name w:val="正文1"/>
    <w:basedOn w:val="1"/>
    <w:qFormat/>
    <w:uiPriority w:val="0"/>
    <w:pPr>
      <w:widowControl/>
      <w:topLinePunct/>
      <w:spacing w:beforeLines="50" w:afterLines="50" w:line="300" w:lineRule="auto"/>
      <w:ind w:left="420"/>
    </w:pPr>
  </w:style>
  <w:style w:type="paragraph" w:customStyle="1" w:styleId="42">
    <w:name w:val="样式 标题 3 + (中文) 黑体 小四 非加粗 段前: 7.8 磅 段后: 0 磅 行距: 固定值 20 磅"/>
    <w:basedOn w:val="4"/>
    <w:qFormat/>
    <w:uiPriority w:val="99"/>
    <w:pPr>
      <w:tabs>
        <w:tab w:val="left" w:pos="0"/>
      </w:tabs>
      <w:spacing w:before="0" w:after="0" w:line="400" w:lineRule="exact"/>
    </w:pPr>
    <w:rPr>
      <w:rFonts w:ascii="Calibri" w:hAnsi="Calibri" w:eastAsia="黑体" w:cs="宋体"/>
      <w:b w:val="0"/>
      <w:kern w:val="0"/>
      <w:sz w:val="24"/>
      <w:szCs w:val="24"/>
      <w:lang w:val="en-GB"/>
    </w:rPr>
  </w:style>
  <w:style w:type="paragraph" w:customStyle="1" w:styleId="4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4">
    <w:name w:val="Table Text"/>
    <w:basedOn w:val="1"/>
    <w:semiHidden/>
    <w:qFormat/>
    <w:uiPriority w:val="0"/>
    <w:rPr>
      <w:rFonts w:ascii="宋体" w:hAnsi="宋体" w:cs="宋体"/>
      <w:szCs w:val="21"/>
      <w:lang w:eastAsia="en-US"/>
    </w:rPr>
  </w:style>
  <w:style w:type="table" w:customStyle="1" w:styleId="45">
    <w:name w:val="Table Normal"/>
    <w:unhideWhenUsed/>
    <w:qFormat/>
    <w:uiPriority w:val="0"/>
    <w:tblPr>
      <w:tblCellMar>
        <w:top w:w="0" w:type="dxa"/>
        <w:left w:w="0" w:type="dxa"/>
        <w:bottom w:w="0" w:type="dxa"/>
        <w:right w:w="0" w:type="dxa"/>
      </w:tblCellMar>
    </w:tblPr>
  </w:style>
  <w:style w:type="paragraph" w:customStyle="1" w:styleId="46">
    <w:name w:val="UserStyle_0"/>
    <w:basedOn w:val="1"/>
    <w:qFormat/>
    <w:uiPriority w:val="0"/>
    <w:pPr>
      <w:spacing w:line="400" w:lineRule="exact"/>
      <w:textAlignment w:val="baseline"/>
    </w:pPr>
    <w:rPr>
      <w:rFonts w:ascii="宋体" w:hAnsi="宋体"/>
      <w:sz w:val="24"/>
      <w:szCs w:val="22"/>
      <w:lang w:val="zh-CN" w:bidi="zh-CN"/>
    </w:rPr>
  </w:style>
  <w:style w:type="paragraph" w:customStyle="1" w:styleId="47">
    <w:name w:val="179"/>
    <w:basedOn w:val="1"/>
    <w:qFormat/>
    <w:uiPriority w:val="0"/>
    <w:pPr>
      <w:spacing w:before="158"/>
      <w:ind w:left="311" w:hanging="602"/>
      <w:textAlignment w:val="baseline"/>
    </w:pPr>
    <w:rPr>
      <w:rFonts w:ascii="宋体" w:hAnsi="宋体"/>
      <w:sz w:val="22"/>
      <w:szCs w:val="22"/>
      <w:lang w:val="zh-CN" w:bidi="zh-CN"/>
    </w:rPr>
  </w:style>
  <w:style w:type="character" w:customStyle="1" w:styleId="48">
    <w:name w:val="页眉 Char"/>
    <w:basedOn w:val="27"/>
    <w:link w:val="16"/>
    <w:qFormat/>
    <w:uiPriority w:val="99"/>
    <w:rPr>
      <w:kern w:val="2"/>
      <w:sz w:val="18"/>
      <w:szCs w:val="18"/>
    </w:rPr>
  </w:style>
  <w:style w:type="character" w:customStyle="1" w:styleId="49">
    <w:name w:val="批注框文本 Char"/>
    <w:basedOn w:val="27"/>
    <w:link w:val="14"/>
    <w:qFormat/>
    <w:uiPriority w:val="0"/>
    <w:rPr>
      <w:kern w:val="2"/>
      <w:sz w:val="18"/>
      <w:szCs w:val="18"/>
    </w:rPr>
  </w:style>
  <w:style w:type="character" w:customStyle="1" w:styleId="50">
    <w:name w:val="标题 Char"/>
    <w:basedOn w:val="27"/>
    <w:link w:val="22"/>
    <w:qFormat/>
    <w:uiPriority w:val="0"/>
    <w:rPr>
      <w:rFonts w:asciiTheme="majorHAnsi" w:hAnsiTheme="majorHAnsi" w:cstheme="majorBidi"/>
      <w:b/>
      <w:bCs/>
      <w:kern w:val="2"/>
      <w:sz w:val="32"/>
      <w:szCs w:val="32"/>
    </w:rPr>
  </w:style>
  <w:style w:type="character" w:customStyle="1" w:styleId="51">
    <w:name w:val="日期 Char"/>
    <w:basedOn w:val="27"/>
    <w:link w:val="12"/>
    <w:qFormat/>
    <w:uiPriority w:val="0"/>
    <w:rPr>
      <w:kern w:val="2"/>
      <w:sz w:val="21"/>
      <w:szCs w:val="24"/>
    </w:rPr>
  </w:style>
  <w:style w:type="character" w:customStyle="1" w:styleId="52">
    <w:name w:val="副标题 Char"/>
    <w:basedOn w:val="27"/>
    <w:link w:val="18"/>
    <w:qFormat/>
    <w:uiPriority w:val="0"/>
    <w:rPr>
      <w:rFonts w:asciiTheme="majorHAnsi" w:hAnsiTheme="majorHAnsi" w:cstheme="majorBidi"/>
      <w:b/>
      <w:bCs/>
      <w:kern w:val="28"/>
      <w:sz w:val="32"/>
      <w:szCs w:val="32"/>
    </w:rPr>
  </w:style>
  <w:style w:type="character" w:customStyle="1" w:styleId="53">
    <w:name w:val="页脚 Char"/>
    <w:basedOn w:val="27"/>
    <w:link w:val="15"/>
    <w:qFormat/>
    <w:uiPriority w:val="99"/>
    <w:rPr>
      <w:kern w:val="2"/>
      <w:sz w:val="18"/>
      <w:szCs w:val="18"/>
    </w:rPr>
  </w:style>
  <w:style w:type="character" w:customStyle="1" w:styleId="54">
    <w:name w:val="标题 1 Char"/>
    <w:basedOn w:val="27"/>
    <w:link w:val="2"/>
    <w:qFormat/>
    <w:uiPriority w:val="0"/>
    <w:rPr>
      <w:b/>
      <w:bCs/>
      <w:kern w:val="44"/>
      <w:sz w:val="44"/>
      <w:szCs w:val="44"/>
    </w:rPr>
  </w:style>
  <w:style w:type="paragraph" w:customStyle="1" w:styleId="5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1D5E-CB3F-4F47-B417-0BF77D955EF2}">
  <ds:schemaRefs/>
</ds:datastoreItem>
</file>

<file path=docProps/app.xml><?xml version="1.0" encoding="utf-8"?>
<Properties xmlns="http://schemas.openxmlformats.org/officeDocument/2006/extended-properties" xmlns:vt="http://schemas.openxmlformats.org/officeDocument/2006/docPropsVTypes">
  <Template>Normal</Template>
  <Pages>47</Pages>
  <Words>13295</Words>
  <Characters>14152</Characters>
  <Lines>171</Lines>
  <Paragraphs>48</Paragraphs>
  <TotalTime>865</TotalTime>
  <ScaleCrop>false</ScaleCrop>
  <LinksUpToDate>false</LinksUpToDate>
  <CharactersWithSpaces>14317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2023-10-18T03:09:00Z</dcterms:created>
  <dc:creator>Administrator</dc:creator>
  <cp:lastModifiedBy>user</cp:lastModifiedBy>
  <dcterms:modified xsi:type="dcterms:W3CDTF">2025-09-28T08:47:21Z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5E8F34F7A90C4125BC6B74950BF7C95A_13</vt:lpwstr>
  </property>
  <property fmtid="{D5CDD505-2E9C-101B-9397-08002B2CF9AE}" pid="4" name="KSOTemplateDocerSaveRecord">
    <vt:lpwstr>eyJoZGlkIjoiMGI2ZDFmZmVjNjhiYmI3Nzg5YTgxNzM4YzkzMWZjMzEiLCJ1c2VySWQiOiIxMDQyNjE2NTI1In0=</vt:lpwstr>
  </property>
</Properties>
</file>