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720" w:lineRule="auto"/>
        <w:jc w:val="center"/>
        <w:rPr>
          <w:rFonts w:ascii="宋体" w:hAnsi="宋体"/>
          <w:b/>
          <w:bCs/>
          <w:color w:val="000000" w:themeColor="text1"/>
          <w:sz w:val="36"/>
          <w:szCs w:val="36"/>
          <w:highlight w:val="none"/>
          <w14:textFill>
            <w14:solidFill>
              <w14:schemeClr w14:val="tx1"/>
            </w14:solidFill>
          </w14:textFill>
        </w:rPr>
      </w:pPr>
      <w:r>
        <w:drawing>
          <wp:inline distT="0" distB="0" distL="114300" distR="114300">
            <wp:extent cx="5467350" cy="7858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67350" cy="7858125"/>
                    </a:xfrm>
                    <a:prstGeom prst="rect">
                      <a:avLst/>
                    </a:prstGeom>
                    <a:noFill/>
                    <a:ln>
                      <a:noFill/>
                    </a:ln>
                  </pic:spPr>
                </pic:pic>
              </a:graphicData>
            </a:graphic>
          </wp:inline>
        </w:drawing>
      </w:r>
      <w:bookmarkStart w:id="68" w:name="_GoBack"/>
      <w:bookmarkEnd w:id="68"/>
      <w:r>
        <w:rPr>
          <w:rFonts w:hint="eastAsia" w:ascii="宋体" w:hAnsi="宋体"/>
          <w:b/>
          <w:bCs/>
          <w:color w:val="000000" w:themeColor="text1"/>
          <w:sz w:val="36"/>
          <w:szCs w:val="36"/>
          <w:highlight w:val="none"/>
          <w14:textFill>
            <w14:solidFill>
              <w14:schemeClr w14:val="tx1"/>
            </w14:solidFill>
          </w14:textFill>
        </w:rPr>
        <w:t xml:space="preserve"> </w:t>
      </w:r>
    </w:p>
    <w:sdt>
      <w:sdt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id w:val="1894857289"/>
        <w:docPartObj>
          <w:docPartGallery w:val="Table of Contents"/>
          <w:docPartUnique/>
        </w:docPartObj>
      </w:sdtPr>
      <w:sdtEnd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sdtEndPr>
      <w:sdtContent>
        <w:p>
          <w:pPr>
            <w:pStyle w:val="55"/>
            <w:jc w:val="center"/>
            <w:rPr>
              <w:color w:val="000000" w:themeColor="text1"/>
              <w:sz w:val="44"/>
              <w:szCs w:val="44"/>
              <w14:textFill>
                <w14:solidFill>
                  <w14:schemeClr w14:val="tx1"/>
                </w14:solidFill>
              </w14:textFill>
            </w:rPr>
          </w:pPr>
          <w:r>
            <w:rPr>
              <w:color w:val="000000" w:themeColor="text1"/>
              <w:sz w:val="44"/>
              <w:szCs w:val="44"/>
              <w:lang w:val="zh-CN"/>
              <w14:textFill>
                <w14:solidFill>
                  <w14:schemeClr w14:val="tx1"/>
                </w14:solidFill>
              </w14:textFill>
            </w:rPr>
            <w:t>目</w:t>
          </w:r>
          <w:r>
            <w:rPr>
              <w:rFonts w:hint="eastAsia"/>
              <w:color w:val="000000" w:themeColor="text1"/>
              <w:sz w:val="44"/>
              <w:szCs w:val="44"/>
              <w:lang w:val="zh-CN"/>
              <w14:textFill>
                <w14:solidFill>
                  <w14:schemeClr w14:val="tx1"/>
                </w14:solidFill>
              </w14:textFill>
            </w:rPr>
            <w:t xml:space="preserve">  </w:t>
          </w:r>
          <w:r>
            <w:rPr>
              <w:color w:val="000000" w:themeColor="text1"/>
              <w:sz w:val="44"/>
              <w:szCs w:val="44"/>
              <w:lang w:val="zh-CN"/>
              <w14:textFill>
                <w14:solidFill>
                  <w14:schemeClr w14:val="tx1"/>
                </w14:solidFill>
              </w14:textFill>
            </w:rPr>
            <w:t>录</w:t>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"_Toc195875463" </w:instrText>
          </w:r>
          <w:r>
            <w:fldChar w:fldCharType="separate"/>
          </w:r>
          <w:r>
            <w:rPr>
              <w:rStyle w:val="28"/>
              <w:rFonts w:hint="eastAsia" w:ascii="宋体" w:hAnsi="宋体"/>
              <w:color w:val="000000" w:themeColor="text1"/>
              <w:sz w:val="28"/>
              <w:szCs w:val="28"/>
              <w14:textFill>
                <w14:solidFill>
                  <w14:schemeClr w14:val="tx1"/>
                </w14:solidFill>
              </w14:textFill>
            </w:rPr>
            <w:t>第一章</w:t>
          </w:r>
          <w:r>
            <w:rPr>
              <w:rStyle w:val="28"/>
              <w:rFonts w:ascii="宋体" w:hAnsi="宋体"/>
              <w:color w:val="000000" w:themeColor="text1"/>
              <w:sz w:val="28"/>
              <w:szCs w:val="28"/>
              <w14:textFill>
                <w14:solidFill>
                  <w14:schemeClr w14:val="tx1"/>
                </w14:solidFill>
              </w14:textFill>
            </w:rPr>
            <w:t xml:space="preserve">    </w:t>
          </w:r>
          <w:r>
            <w:rPr>
              <w:rStyle w:val="28"/>
              <w:rFonts w:hint="eastAsia" w:ascii="宋体" w:hAnsi="宋体"/>
              <w:color w:val="000000" w:themeColor="text1"/>
              <w:sz w:val="28"/>
              <w:szCs w:val="28"/>
              <w14:textFill>
                <w14:solidFill>
                  <w14:schemeClr w14:val="tx1"/>
                </w14:solidFill>
              </w14:textFill>
            </w:rPr>
            <w:t>竞争性磋商邀请函</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"_Toc195875464" </w:instrText>
          </w:r>
          <w:r>
            <w:fldChar w:fldCharType="separate"/>
          </w:r>
          <w:r>
            <w:rPr>
              <w:rStyle w:val="28"/>
              <w:rFonts w:hint="eastAsia"/>
              <w:color w:val="000000" w:themeColor="text1"/>
              <w:sz w:val="28"/>
              <w:szCs w:val="28"/>
              <w14:textFill>
                <w14:solidFill>
                  <w14:schemeClr w14:val="tx1"/>
                </w14:solidFill>
              </w14:textFill>
            </w:rPr>
            <w:t>第二章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"_Toc195875465" </w:instrText>
          </w:r>
          <w:r>
            <w:fldChar w:fldCharType="separate"/>
          </w:r>
          <w:r>
            <w:rPr>
              <w:rStyle w:val="28"/>
              <w:rFonts w:hint="eastAsia"/>
              <w:color w:val="000000" w:themeColor="text1"/>
              <w:sz w:val="28"/>
              <w:szCs w:val="28"/>
              <w14:textFill>
                <w14:solidFill>
                  <w14:schemeClr w14:val="tx1"/>
                </w14:solidFill>
              </w14:textFill>
            </w:rPr>
            <w:t>一、总则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"_Toc195875466" </w:instrText>
          </w:r>
          <w:r>
            <w:fldChar w:fldCharType="separate"/>
          </w:r>
          <w:r>
            <w:rPr>
              <w:rStyle w:val="28"/>
              <w:rFonts w:hint="eastAsia"/>
              <w:color w:val="000000" w:themeColor="text1"/>
              <w:sz w:val="28"/>
              <w:szCs w:val="28"/>
              <w14:textFill>
                <w14:solidFill>
                  <w14:schemeClr w14:val="tx1"/>
                </w14:solidFill>
              </w14:textFill>
            </w:rPr>
            <w:t>二、竞争性磋商文件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_Toc195875466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"_Toc195875467" </w:instrText>
          </w:r>
          <w:r>
            <w:fldChar w:fldCharType="separate"/>
          </w:r>
          <w:r>
            <w:rPr>
              <w:rStyle w:val="28"/>
              <w:rFonts w:hint="eastAsia"/>
              <w:color w:val="000000" w:themeColor="text1"/>
              <w:sz w:val="28"/>
              <w:szCs w:val="28"/>
              <w14:textFill>
                <w14:solidFill>
                  <w14:schemeClr w14:val="tx1"/>
                </w14:solidFill>
              </w14:textFill>
            </w:rPr>
            <w:t>三、响应性文件的编制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"_Toc195875468" </w:instrText>
          </w:r>
          <w:r>
            <w:fldChar w:fldCharType="separate"/>
          </w:r>
          <w:r>
            <w:rPr>
              <w:rStyle w:val="28"/>
              <w:rFonts w:hint="eastAsia"/>
              <w:color w:val="000000" w:themeColor="text1"/>
              <w:sz w:val="28"/>
              <w:szCs w:val="28"/>
              <w14:textFill>
                <w14:solidFill>
                  <w14:schemeClr w14:val="tx1"/>
                </w14:solidFill>
              </w14:textFill>
            </w:rPr>
            <w:t>四、响应性文件的递交</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"_Toc195875469" </w:instrText>
          </w:r>
          <w:r>
            <w:fldChar w:fldCharType="separate"/>
          </w:r>
          <w:r>
            <w:rPr>
              <w:rStyle w:val="28"/>
              <w:rFonts w:hint="eastAsia"/>
              <w:color w:val="000000" w:themeColor="text1"/>
              <w:sz w:val="28"/>
              <w:szCs w:val="28"/>
              <w14:textFill>
                <w14:solidFill>
                  <w14:schemeClr w14:val="tx1"/>
                </w14:solidFill>
              </w14:textFill>
            </w:rPr>
            <w:t>五、竞争性磋商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"_Toc195875470" </w:instrText>
          </w:r>
          <w:r>
            <w:fldChar w:fldCharType="separate"/>
          </w:r>
          <w:r>
            <w:rPr>
              <w:rStyle w:val="28"/>
              <w:rFonts w:hint="eastAsia"/>
              <w:color w:val="000000" w:themeColor="text1"/>
              <w:sz w:val="28"/>
              <w:szCs w:val="28"/>
              <w14:textFill>
                <w14:solidFill>
                  <w14:schemeClr w14:val="tx1"/>
                </w14:solidFill>
              </w14:textFill>
            </w:rPr>
            <w:t>六、评定标准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"_Toc195875471" </w:instrText>
          </w:r>
          <w:r>
            <w:fldChar w:fldCharType="separate"/>
          </w:r>
          <w:r>
            <w:rPr>
              <w:rStyle w:val="28"/>
              <w:rFonts w:hint="eastAsia"/>
              <w:color w:val="000000" w:themeColor="text1"/>
              <w:sz w:val="28"/>
              <w:szCs w:val="28"/>
              <w14:textFill>
                <w14:solidFill>
                  <w14:schemeClr w14:val="tx1"/>
                </w14:solidFill>
              </w14:textFill>
            </w:rPr>
            <w:t>七、成交通知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"_Toc195875472" </w:instrText>
          </w:r>
          <w:r>
            <w:fldChar w:fldCharType="separate"/>
          </w:r>
          <w:r>
            <w:rPr>
              <w:rStyle w:val="28"/>
              <w:rFonts w:hint="eastAsia"/>
              <w:color w:val="000000" w:themeColor="text1"/>
              <w:sz w:val="28"/>
              <w:szCs w:val="28"/>
              <w14:textFill>
                <w14:solidFill>
                  <w14:schemeClr w14:val="tx1"/>
                </w14:solidFill>
              </w14:textFill>
            </w:rPr>
            <w:t>八、合同授予</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"_Toc195875473" </w:instrText>
          </w:r>
          <w:r>
            <w:fldChar w:fldCharType="separate"/>
          </w:r>
          <w:r>
            <w:rPr>
              <w:rStyle w:val="28"/>
              <w:rFonts w:hint="eastAsia"/>
              <w:color w:val="000000" w:themeColor="text1"/>
              <w:sz w:val="28"/>
              <w:szCs w:val="28"/>
              <w14:textFill>
                <w14:solidFill>
                  <w14:schemeClr w14:val="tx1"/>
                </w14:solidFill>
              </w14:textFill>
            </w:rPr>
            <w:t>九、质疑处理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"_Toc195875474" </w:instrText>
          </w:r>
          <w:r>
            <w:fldChar w:fldCharType="separate"/>
          </w:r>
          <w:r>
            <w:rPr>
              <w:rStyle w:val="28"/>
              <w:rFonts w:hint="eastAsia"/>
              <w:color w:val="000000" w:themeColor="text1"/>
              <w:sz w:val="28"/>
              <w:szCs w:val="28"/>
              <w14:textFill>
                <w14:solidFill>
                  <w14:schemeClr w14:val="tx1"/>
                </w14:solidFill>
              </w14:textFill>
            </w:rPr>
            <w:t>第三章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采购项目内容及要求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"_Toc195875475" </w:instrText>
          </w:r>
          <w:r>
            <w:fldChar w:fldCharType="separate"/>
          </w:r>
          <w:r>
            <w:rPr>
              <w:rStyle w:val="28"/>
              <w:rFonts w:hint="eastAsia"/>
              <w:color w:val="000000" w:themeColor="text1"/>
              <w:sz w:val="28"/>
              <w:szCs w:val="28"/>
              <w14:textFill>
                <w14:solidFill>
                  <w14:schemeClr w14:val="tx1"/>
                </w14:solidFill>
              </w14:textFill>
            </w:rPr>
            <w:t>第四章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响应性文件内容及格式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"_Toc195875489" </w:instrText>
          </w:r>
          <w:r>
            <w:fldChar w:fldCharType="separate"/>
          </w:r>
          <w:r>
            <w:rPr>
              <w:rStyle w:val="28"/>
              <w:rFonts w:hint="eastAsia"/>
              <w:color w:val="000000" w:themeColor="text1"/>
              <w:sz w:val="28"/>
              <w:szCs w:val="28"/>
              <w14:textFill>
                <w14:solidFill>
                  <w14:schemeClr w14:val="tx1"/>
                </w14:solidFill>
              </w14:textFill>
            </w:rPr>
            <w:t>第五章</w:t>
          </w:r>
          <w:r>
            <w:rPr>
              <w:rStyle w:val="28"/>
              <w:color w:val="000000" w:themeColor="text1"/>
              <w:sz w:val="28"/>
              <w:szCs w:val="28"/>
              <w14:textFill>
                <w14:solidFill>
                  <w14:schemeClr w14:val="tx1"/>
                </w14:solidFill>
              </w14:textFill>
            </w:rPr>
            <w:t xml:space="preserve">  </w:t>
          </w:r>
          <w:r>
            <w:rPr>
              <w:rStyle w:val="28"/>
              <w:rFonts w:hint="eastAsia"/>
              <w:color w:val="000000" w:themeColor="text1"/>
              <w:w w:val="92"/>
              <w:sz w:val="28"/>
              <w:szCs w:val="28"/>
              <w14:textFill>
                <w14:solidFill>
                  <w14:schemeClr w14:val="tx1"/>
                </w14:solidFill>
              </w14:textFill>
            </w:rPr>
            <w:t>周口市</w:t>
          </w:r>
          <w:r>
            <w:rPr>
              <w:rStyle w:val="28"/>
              <w:rFonts w:hint="eastAsia"/>
              <w:color w:val="000000" w:themeColor="text1"/>
              <w:sz w:val="28"/>
              <w:szCs w:val="28"/>
              <w14:textFill>
                <w14:solidFill>
                  <w14:schemeClr w14:val="tx1"/>
                </w14:solidFill>
              </w14:textFill>
            </w:rPr>
            <w:t>政府采购合同（服务类）标准文本</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_Toc195875489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spacing w:line="800" w:lineRule="exact"/>
        <w:ind w:firstLine="2249" w:firstLineChars="700"/>
        <w:rPr>
          <w:rFonts w:ascii="宋体" w:hAnsi="宋体" w:cs="宋体"/>
          <w:b/>
          <w:color w:val="000000" w:themeColor="text1"/>
          <w:sz w:val="32"/>
          <w:szCs w:val="32"/>
          <w14:textFill>
            <w14:solidFill>
              <w14:schemeClr w14:val="tx1"/>
            </w14:solidFill>
          </w14:textFill>
        </w:rPr>
      </w:pPr>
    </w:p>
    <w:p>
      <w:pPr>
        <w:spacing w:line="800" w:lineRule="exact"/>
        <w:ind w:firstLine="2249" w:firstLineChars="700"/>
        <w:rPr>
          <w:rFonts w:ascii="宋体" w:hAnsi="宋体" w:cs="宋体"/>
          <w:b/>
          <w:color w:val="000000" w:themeColor="text1"/>
          <w:sz w:val="32"/>
          <w:szCs w:val="32"/>
          <w14:textFill>
            <w14:solidFill>
              <w14:schemeClr w14:val="tx1"/>
            </w14:solidFill>
          </w14:textFill>
        </w:rPr>
      </w:pPr>
    </w:p>
    <w:p>
      <w:pPr>
        <w:spacing w:line="800" w:lineRule="exact"/>
        <w:ind w:firstLine="2249" w:firstLineChars="700"/>
        <w:rPr>
          <w:rFonts w:ascii="宋体" w:hAnsi="宋体" w:cs="宋体"/>
          <w:b/>
          <w:color w:val="000000" w:themeColor="text1"/>
          <w:sz w:val="32"/>
          <w:szCs w:val="32"/>
          <w14:textFill>
            <w14:solidFill>
              <w14:schemeClr w14:val="tx1"/>
            </w14:solidFill>
          </w14:textFill>
        </w:rPr>
      </w:pPr>
    </w:p>
    <w:p>
      <w:pPr>
        <w:pStyle w:val="22"/>
        <w:rPr>
          <w:rFonts w:ascii="宋体" w:hAnsi="宋体"/>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br w:type="page"/>
      </w:r>
      <w:bookmarkStart w:id="0" w:name="_Toc195875463"/>
      <w:r>
        <w:rPr>
          <w:rFonts w:hint="eastAsia" w:ascii="宋体" w:hAnsi="宋体"/>
          <w:color w:val="000000" w:themeColor="text1"/>
          <w:sz w:val="30"/>
          <w:szCs w:val="30"/>
          <w14:textFill>
            <w14:solidFill>
              <w14:schemeClr w14:val="tx1"/>
            </w14:solidFill>
          </w14:textFill>
        </w:rPr>
        <w:t>第一章    竞争性磋商邀请函</w:t>
      </w:r>
      <w:bookmarkEnd w:id="0"/>
    </w:p>
    <w:p>
      <w:pPr>
        <w:spacing w:line="500" w:lineRule="exact"/>
        <w:ind w:firstLine="960" w:firstLineChars="400"/>
        <w:jc w:val="left"/>
        <w:rPr>
          <w:rFonts w:ascii="宋体" w:hAnsi="宋体" w:cs="宋体"/>
          <w:color w:val="000000" w:themeColor="text1"/>
          <w:sz w:val="24"/>
          <w14:textFill>
            <w14:solidFill>
              <w14:schemeClr w14:val="tx1"/>
            </w14:solidFill>
          </w14:textFill>
        </w:rPr>
      </w:pPr>
      <w:bookmarkStart w:id="1" w:name="_Toc35393798"/>
      <w:bookmarkStart w:id="2" w:name="_Toc35393629"/>
      <w:bookmarkStart w:id="3" w:name="_Toc28359012"/>
      <w:bookmarkStart w:id="4" w:name="_Toc28359089"/>
      <w:r>
        <w:rPr>
          <w:rFonts w:hint="eastAsia" w:ascii="宋体" w:hAnsi="宋体" w:cs="宋体"/>
          <w:color w:val="000000" w:themeColor="text1"/>
          <w:sz w:val="24"/>
          <w:lang w:eastAsia="zh-CN"/>
          <w14:textFill>
            <w14:solidFill>
              <w14:schemeClr w14:val="tx1"/>
            </w14:solidFill>
          </w14:textFill>
        </w:rPr>
        <w:t>项城市社会信用体系建设综合运维服务项目</w:t>
      </w:r>
      <w:r>
        <w:rPr>
          <w:rFonts w:hint="eastAsia" w:ascii="宋体" w:hAnsi="宋体" w:cs="宋体"/>
          <w:color w:val="000000" w:themeColor="text1"/>
          <w:sz w:val="24"/>
          <w14:textFill>
            <w14:solidFill>
              <w14:schemeClr w14:val="tx1"/>
            </w14:solidFill>
          </w14:textFill>
        </w:rPr>
        <w:t>的潜在投标人应在周口市公共资源交易中心网（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w:instrText>
      </w:r>
      <w:r>
        <w:rPr>
          <w:color w:val="000000" w:themeColor="text1"/>
          <w14:textFill>
            <w14:solidFill>
              <w14:schemeClr w14:val="tx1"/>
            </w14:solidFill>
          </w14:textFill>
        </w:rPr>
        <w:fldChar w:fldCharType="separate"/>
      </w:r>
      <w:r>
        <w:rPr>
          <w:rStyle w:val="28"/>
          <w:rFonts w:hint="eastAsia" w:ascii="宋体" w:hAnsi="宋体" w:cs="宋体"/>
          <w:color w:val="000000" w:themeColor="text1"/>
          <w:sz w:val="24"/>
          <w14:textFill>
            <w14:solidFill>
              <w14:schemeClr w14:val="tx1"/>
            </w14:solidFill>
          </w14:textFill>
        </w:rPr>
        <w:t>http://jyzx.zhoukou.gov.cn）获取招标文件，并于2025</w:t>
      </w:r>
      <w:r>
        <w:rPr>
          <w:rStyle w:val="28"/>
          <w:rFonts w:hint="eastAsia" w:ascii="宋体" w:hAnsi="宋体" w:cs="宋体"/>
          <w:bCs/>
          <w:color w:val="000000" w:themeColor="text1"/>
          <w:sz w:val="24"/>
          <w14:textFill>
            <w14:solidFill>
              <w14:schemeClr w14:val="tx1"/>
            </w14:solidFill>
          </w14:textFill>
        </w:rPr>
        <w:t>年 1</w:t>
      </w:r>
      <w:r>
        <w:rPr>
          <w:rStyle w:val="28"/>
          <w:rFonts w:hint="eastAsia" w:ascii="宋体" w:hAnsi="宋体" w:cs="宋体"/>
          <w:bCs/>
          <w:color w:val="000000" w:themeColor="text1"/>
          <w:sz w:val="24"/>
          <w:lang w:val="en-US" w:eastAsia="zh-CN"/>
          <w14:textFill>
            <w14:solidFill>
              <w14:schemeClr w14:val="tx1"/>
            </w14:solidFill>
          </w14:textFill>
        </w:rPr>
        <w:t>2</w:t>
      </w:r>
      <w:r>
        <w:rPr>
          <w:rStyle w:val="28"/>
          <w:rFonts w:hint="eastAsia" w:ascii="宋体" w:hAnsi="宋体" w:cs="宋体"/>
          <w:bCs/>
          <w:color w:val="000000" w:themeColor="text1"/>
          <w:sz w:val="24"/>
          <w14:textFill>
            <w14:solidFill>
              <w14:schemeClr w14:val="tx1"/>
            </w14:solidFill>
          </w14:textFill>
        </w:rPr>
        <w:t>月</w:t>
      </w:r>
      <w:r>
        <w:rPr>
          <w:rStyle w:val="28"/>
          <w:rFonts w:hint="eastAsia" w:ascii="宋体" w:hAnsi="宋体" w:cs="宋体"/>
          <w:bCs/>
          <w:color w:val="000000" w:themeColor="text1"/>
          <w:sz w:val="24"/>
          <w14:textFill>
            <w14:solidFill>
              <w14:schemeClr w14:val="tx1"/>
            </w14:solidFill>
          </w14:textFill>
        </w:rPr>
        <w:fldChar w:fldCharType="end"/>
      </w:r>
      <w:r>
        <w:rPr>
          <w:rStyle w:val="28"/>
          <w:rFonts w:hint="eastAsia" w:ascii="宋体" w:hAnsi="宋体" w:cs="宋体"/>
          <w:bCs/>
          <w:color w:val="000000" w:themeColor="text1"/>
          <w:sz w:val="24"/>
          <w:highlight w:val="none"/>
          <w:lang w:val="en-US" w:eastAsia="zh-CN"/>
          <w14:textFill>
            <w14:solidFill>
              <w14:schemeClr w14:val="tx1"/>
            </w14:solidFill>
          </w14:textFill>
        </w:rPr>
        <w:t>9</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9</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14:textFill>
            <w14:solidFill>
              <w14:schemeClr w14:val="tx1"/>
            </w14:solidFill>
          </w14:textFill>
        </w:rPr>
        <w:t>（北京时间）</w:t>
      </w:r>
      <w:r>
        <w:rPr>
          <w:rFonts w:hint="eastAsia" w:ascii="宋体" w:hAnsi="宋体" w:cs="宋体"/>
          <w:color w:val="000000" w:themeColor="text1"/>
          <w:sz w:val="24"/>
          <w14:textFill>
            <w14:solidFill>
              <w14:schemeClr w14:val="tx1"/>
            </w14:solidFill>
          </w14:textFill>
        </w:rPr>
        <w:t>前递交投标文件。</w:t>
      </w:r>
    </w:p>
    <w:bookmarkEnd w:id="1"/>
    <w:bookmarkEnd w:id="2"/>
    <w:bookmarkEnd w:id="3"/>
    <w:bookmarkEnd w:id="4"/>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一、项目基本情况</w:t>
      </w:r>
    </w:p>
    <w:p>
      <w:pPr>
        <w:autoSpaceDE w:val="0"/>
        <w:autoSpaceDN w:val="0"/>
        <w:spacing w:line="5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项财磋商采购-2025-76</w:t>
      </w:r>
    </w:p>
    <w:p>
      <w:pPr>
        <w:autoSpaceDE w:val="0"/>
        <w:autoSpaceDN w:val="0"/>
        <w:spacing w:line="50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bookmarkStart w:id="5" w:name="OLE_LINK2"/>
      <w:r>
        <w:rPr>
          <w:rFonts w:hint="eastAsia" w:ascii="宋体" w:hAnsi="宋体" w:cs="宋体"/>
          <w:color w:val="000000" w:themeColor="text1"/>
          <w:sz w:val="24"/>
          <w:lang w:eastAsia="zh-CN"/>
          <w14:textFill>
            <w14:solidFill>
              <w14:schemeClr w14:val="tx1"/>
            </w14:solidFill>
          </w14:textFill>
        </w:rPr>
        <w:t>项城市社会信用体系建设综合运维服务项目</w:t>
      </w:r>
      <w:bookmarkEnd w:id="5"/>
    </w:p>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采购方式：竞争性磋商</w:t>
      </w:r>
    </w:p>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w:t>
      </w:r>
      <w:r>
        <w:rPr>
          <w:rFonts w:hint="eastAsia" w:ascii="宋体" w:hAnsi="宋体" w:cs="宋体"/>
          <w:color w:val="000000" w:themeColor="text1"/>
          <w:sz w:val="24"/>
          <w:lang w:val="en-US" w:eastAsia="zh-CN"/>
          <w14:textFill>
            <w14:solidFill>
              <w14:schemeClr w14:val="tx1"/>
            </w14:solidFill>
          </w14:textFill>
        </w:rPr>
        <w:t>38.00</w:t>
      </w:r>
      <w:r>
        <w:rPr>
          <w:rFonts w:hint="eastAsia" w:ascii="宋体" w:hAnsi="宋体" w:cs="宋体"/>
          <w:color w:val="000000" w:themeColor="text1"/>
          <w:sz w:val="24"/>
          <w14:textFill>
            <w14:solidFill>
              <w14:schemeClr w14:val="tx1"/>
            </w14:solidFill>
          </w14:textFill>
        </w:rPr>
        <w:t>万元</w:t>
      </w:r>
    </w:p>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r>
        <w:rPr>
          <w:rFonts w:hint="eastAsia" w:ascii="宋体" w:hAnsi="宋体" w:cs="宋体"/>
          <w:color w:val="000000" w:themeColor="text1"/>
          <w:sz w:val="24"/>
          <w:lang w:val="en-US" w:eastAsia="zh-CN"/>
          <w14:textFill>
            <w14:solidFill>
              <w14:schemeClr w14:val="tx1"/>
            </w14:solidFill>
          </w14:textFill>
        </w:rPr>
        <w:t>38.00</w:t>
      </w:r>
      <w:r>
        <w:rPr>
          <w:rFonts w:hint="eastAsia" w:ascii="宋体" w:hAnsi="宋体" w:cs="宋体"/>
          <w:color w:val="000000" w:themeColor="text1"/>
          <w:sz w:val="24"/>
          <w14:textFill>
            <w14:solidFill>
              <w14:schemeClr w14:val="tx1"/>
            </w14:solidFill>
          </w14:textFill>
        </w:rPr>
        <w:t>万元</w:t>
      </w:r>
    </w:p>
    <w:p>
      <w:pPr>
        <w:pStyle w:val="21"/>
        <w:snapToGrid w:val="0"/>
        <w:spacing w:before="0" w:beforeAutospacing="0" w:after="0" w:afterAutospacing="0" w:line="500" w:lineRule="exact"/>
        <w:ind w:firstLine="48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包划分：1个包</w:t>
      </w:r>
    </w:p>
    <w:tbl>
      <w:tblPr>
        <w:tblStyle w:val="25"/>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38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5" w:type="pct"/>
            <w:vAlign w:val="center"/>
          </w:tcPr>
          <w:p>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包号</w:t>
            </w:r>
          </w:p>
        </w:tc>
        <w:tc>
          <w:tcPr>
            <w:tcW w:w="3320" w:type="pct"/>
            <w:vAlign w:val="center"/>
          </w:tcPr>
          <w:p>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包名称</w:t>
            </w:r>
          </w:p>
        </w:tc>
        <w:tc>
          <w:tcPr>
            <w:tcW w:w="1254" w:type="pct"/>
            <w:vAlign w:val="center"/>
          </w:tcPr>
          <w:p>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25" w:type="pct"/>
            <w:vAlign w:val="center"/>
          </w:tcPr>
          <w:p>
            <w:pPr>
              <w:adjustRightInd w:val="0"/>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320" w:type="pct"/>
            <w:vAlign w:val="center"/>
          </w:tcPr>
          <w:p>
            <w:pPr>
              <w:adjustRightInd w:val="0"/>
              <w:snapToGrid w:val="0"/>
              <w:spacing w:line="50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项城市社会信用体系建设综合运维服务项目</w:t>
            </w:r>
          </w:p>
        </w:tc>
        <w:tc>
          <w:tcPr>
            <w:tcW w:w="1254" w:type="pct"/>
            <w:vAlign w:val="center"/>
          </w:tcPr>
          <w:p>
            <w:pPr>
              <w:adjustRightInd w:val="0"/>
              <w:snapToGrid w:val="0"/>
              <w:spacing w:line="5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38.00</w:t>
            </w:r>
          </w:p>
        </w:tc>
      </w:tr>
    </w:tbl>
    <w:p>
      <w:pPr>
        <w:autoSpaceDE w:val="0"/>
        <w:autoSpaceDN w:val="0"/>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w:t>
      </w:r>
      <w:bookmarkStart w:id="6" w:name="OLE_LINK3"/>
      <w:r>
        <w:rPr>
          <w:rFonts w:hint="eastAsia" w:ascii="宋体" w:hAnsi="宋体" w:cs="宋体"/>
          <w:color w:val="000000" w:themeColor="text1"/>
          <w:sz w:val="24"/>
          <w:lang w:eastAsia="zh-CN"/>
          <w14:textFill>
            <w14:solidFill>
              <w14:schemeClr w14:val="tx1"/>
            </w14:solidFill>
          </w14:textFill>
        </w:rPr>
        <w:t>社会信用体系建设综合运维服务</w:t>
      </w:r>
    </w:p>
    <w:bookmarkEnd w:id="6"/>
    <w:p>
      <w:pPr>
        <w:autoSpaceDE w:val="0"/>
        <w:autoSpaceDN w:val="0"/>
        <w:spacing w:line="5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合同履行期限：</w:t>
      </w:r>
      <w:r>
        <w:rPr>
          <w:rFonts w:hint="eastAsia" w:ascii="宋体" w:hAnsi="宋体"/>
          <w:color w:val="000000" w:themeColor="text1"/>
          <w:sz w:val="24"/>
          <w14:textFill>
            <w14:solidFill>
              <w14:schemeClr w14:val="tx1"/>
            </w14:solidFill>
          </w14:textFill>
        </w:rPr>
        <w:t>本次一年，满后合同约定</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bookmarkStart w:id="7" w:name="_Toc28359013"/>
      <w:bookmarkStart w:id="8" w:name="_Toc35393799"/>
      <w:bookmarkStart w:id="9" w:name="_Toc35393630"/>
      <w:bookmarkStart w:id="10" w:name="_Toc28359090"/>
      <w:r>
        <w:rPr>
          <w:rFonts w:hint="eastAsia" w:ascii="宋体" w:hAnsi="宋体" w:cs="宋体"/>
          <w:color w:val="000000" w:themeColor="text1"/>
          <w:sz w:val="24"/>
          <w14:textFill>
            <w14:solidFill>
              <w14:schemeClr w14:val="tx1"/>
            </w14:solidFill>
          </w14:textFill>
        </w:rPr>
        <w:t>是否接受进口产品：否</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本项目是否接受联合体投标：否</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本项目是否为只面向中小企业采购：是，采购预留金额</w:t>
      </w:r>
      <w:r>
        <w:rPr>
          <w:rFonts w:hint="eastAsia" w:ascii="宋体" w:hAnsi="宋体" w:cs="宋体"/>
          <w:color w:val="000000" w:themeColor="text1"/>
          <w:sz w:val="24"/>
          <w:lang w:val="en-US" w:eastAsia="zh-CN"/>
          <w14:textFill>
            <w14:solidFill>
              <w14:schemeClr w14:val="tx1"/>
            </w14:solidFill>
          </w14:textFill>
        </w:rPr>
        <w:t>38.00</w:t>
      </w:r>
      <w:r>
        <w:rPr>
          <w:rFonts w:hint="eastAsia" w:ascii="宋体" w:hAnsi="宋体" w:cs="宋体"/>
          <w:color w:val="000000" w:themeColor="text1"/>
          <w:sz w:val="24"/>
          <w14:textFill>
            <w14:solidFill>
              <w14:schemeClr w14:val="tx1"/>
            </w14:solidFill>
          </w14:textFill>
        </w:rPr>
        <w:t>（万元），必须提供中小企业声明函。</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二、申请人的资格要求：</w:t>
      </w:r>
      <w:bookmarkEnd w:id="7"/>
      <w:bookmarkEnd w:id="8"/>
      <w:bookmarkEnd w:id="9"/>
      <w:bookmarkEnd w:id="10"/>
    </w:p>
    <w:p>
      <w:pPr>
        <w:spacing w:line="500" w:lineRule="exact"/>
        <w:ind w:firstLine="480" w:firstLineChars="200"/>
        <w:rPr>
          <w:rFonts w:ascii="宋体" w:hAnsi="宋体"/>
          <w:color w:val="000000" w:themeColor="text1"/>
          <w:sz w:val="24"/>
          <w14:textFill>
            <w14:solidFill>
              <w14:schemeClr w14:val="tx1"/>
            </w14:solidFill>
          </w14:textFill>
        </w:rPr>
      </w:pPr>
      <w:bookmarkStart w:id="11" w:name="_Toc28359091"/>
      <w:bookmarkStart w:id="12" w:name="_Toc28359014"/>
      <w:bookmarkStart w:id="13" w:name="_Toc35393631"/>
      <w:bookmarkStart w:id="14" w:name="_Toc35393800"/>
      <w:r>
        <w:rPr>
          <w:rFonts w:hint="eastAsia" w:ascii="宋体" w:hAnsi="宋体"/>
          <w:color w:val="000000" w:themeColor="text1"/>
          <w:sz w:val="24"/>
          <w14:textFill>
            <w14:solidFill>
              <w14:schemeClr w14:val="tx1"/>
            </w14:solidFill>
          </w14:textFill>
        </w:rPr>
        <w:t>1.满足《中华人民共和国政府采购法》第二十二条规定；</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（1）具有独立承担民事责任的能力（企业营业执照等证明文件）；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（3）具有履行合同所必需的设备和专业技术能力；</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（4）有依法缴纳税收和社会保障资金的良好记录（缴纳的税收凭据、社会保险凭据，依法免税或不需要缴纳社会保障资金的供应商应提供相应的证明文件）；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（5）参加政府采购活动前三年内，在经营活动中没有重大违法记录（提供没有重大违法记录的书面声明函，格式自拟）；</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项目的特定资格要求：（1）根据《关于在政府采购活动中查询及使用信用记录有关问题的通知》(财库[2016]125号)和豫财购【2016】15号的规定，对列入“信用中国”网站（www.creditchina.gov.cn）的“失信被执行人”、“重大税收违法失信主体”、 “政府采购严重违法失信行为记录名单”和“中国政府采购”网站(www.ccgp.gov.cn)的“政府采购严重违法失信行为记录名单”的供应商，将拒绝其参加政府采购活动；在标书中附加盖公章的网页查询扫描件，查询日期为公告发布之日起至投标截止之日止。</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三、获取采购文件</w:t>
      </w:r>
      <w:bookmarkEnd w:id="11"/>
      <w:bookmarkEnd w:id="12"/>
      <w:bookmarkEnd w:id="13"/>
      <w:bookmarkEnd w:id="14"/>
    </w:p>
    <w:p>
      <w:pPr>
        <w:autoSpaceDE w:val="0"/>
        <w:autoSpaceDN w:val="0"/>
        <w:spacing w:line="500" w:lineRule="exact"/>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2025年</w:t>
      </w:r>
      <w:r>
        <w:rPr>
          <w:rFonts w:hint="eastAsia" w:ascii="宋体" w:hAnsi="宋体" w:cs="宋体"/>
          <w:color w:val="000000" w:themeColor="text1"/>
          <w:sz w:val="24"/>
          <w:highlight w:val="none"/>
          <w:u w:val="single"/>
          <w:lang w:val="en-US" w:eastAsia="zh-CN"/>
          <w14:textFill>
            <w14:solidFill>
              <w14:schemeClr w14:val="tx1"/>
            </w14:solidFill>
          </w14:textFill>
        </w:rPr>
        <w:t>11</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28 </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2025年</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（北京时间，法定节假日除外）</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地点：周口市公共资源交易中心网（http://jyzx.zhoukou.gov.cn）</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pPr>
        <w:autoSpaceDE w:val="0"/>
        <w:autoSpaceDN w:val="0"/>
        <w:spacing w:line="500" w:lineRule="exact"/>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售价：0</w:t>
      </w:r>
    </w:p>
    <w:p>
      <w:pPr>
        <w:spacing w:line="500" w:lineRule="exact"/>
        <w:rPr>
          <w:color w:val="000000" w:themeColor="text1"/>
          <w:sz w:val="24"/>
          <w14:textFill>
            <w14:solidFill>
              <w14:schemeClr w14:val="tx1"/>
            </w14:solidFill>
          </w14:textFill>
        </w:rPr>
      </w:pPr>
      <w:bookmarkStart w:id="15" w:name="_Toc28359015"/>
      <w:bookmarkStart w:id="16" w:name="_Toc28359092"/>
      <w:bookmarkStart w:id="17" w:name="_Toc35393801"/>
      <w:bookmarkStart w:id="18" w:name="_Toc35393632"/>
      <w:r>
        <w:rPr>
          <w:rFonts w:hint="eastAsia"/>
          <w:color w:val="000000" w:themeColor="text1"/>
          <w:sz w:val="24"/>
          <w14:textFill>
            <w14:solidFill>
              <w14:schemeClr w14:val="tx1"/>
            </w14:solidFill>
          </w14:textFill>
        </w:rPr>
        <w:t>四、响应文件提交</w:t>
      </w:r>
      <w:bookmarkEnd w:id="15"/>
      <w:bookmarkEnd w:id="16"/>
      <w:bookmarkEnd w:id="17"/>
      <w:bookmarkEnd w:id="18"/>
    </w:p>
    <w:p>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bCs/>
          <w:color w:val="000000" w:themeColor="text1"/>
          <w:sz w:val="24"/>
          <w:highlight w:val="none"/>
          <w:u w:val="single"/>
          <w14:textFill>
            <w14:solidFill>
              <w14:schemeClr w14:val="tx1"/>
            </w14:solidFill>
          </w14:textFill>
        </w:rPr>
        <w:t>年</w:t>
      </w:r>
      <w:r>
        <w:rPr>
          <w:rFonts w:hint="eastAsia" w:ascii="宋体" w:hAnsi="宋体" w:cs="宋体"/>
          <w:bCs/>
          <w:color w:val="000000" w:themeColor="text1"/>
          <w:sz w:val="24"/>
          <w:highlight w:val="none"/>
          <w:u w:val="single"/>
          <w:lang w:val="en-US" w:eastAsia="zh-CN"/>
          <w14:textFill>
            <w14:solidFill>
              <w14:schemeClr w14:val="tx1"/>
            </w14:solidFill>
          </w14:textFill>
        </w:rPr>
        <w:t>12</w:t>
      </w:r>
      <w:r>
        <w:rPr>
          <w:rFonts w:hint="eastAsia" w:ascii="宋体" w:hAnsi="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9 </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9</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w:t>
      </w:r>
      <w:r>
        <w:rPr>
          <w:rFonts w:hint="eastAsia" w:ascii="宋体" w:hAnsi="宋体" w:cs="宋体"/>
          <w:bCs/>
          <w:color w:val="000000" w:themeColor="text1"/>
          <w:sz w:val="24"/>
          <w14:textFill>
            <w14:solidFill>
              <w14:schemeClr w14:val="tx1"/>
            </w14:solidFill>
          </w14:textFill>
        </w:rPr>
        <w:t>时间）</w:t>
      </w:r>
    </w:p>
    <w:p>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地点：加密电子响应文件须在投标截止时间前通过</w:t>
      </w:r>
      <w:r>
        <w:rPr>
          <w:rFonts w:hint="eastAsia" w:ascii="宋体" w:hAnsi="宋体" w:cs="宋体"/>
          <w:color w:val="000000" w:themeColor="text1"/>
          <w:spacing w:val="-6"/>
          <w:sz w:val="24"/>
          <w14:textFill>
            <w14:solidFill>
              <w14:schemeClr w14:val="tx1"/>
            </w14:solidFill>
          </w14:textFill>
        </w:rPr>
        <w:t>周口市公共资源交易中心网</w:t>
      </w:r>
      <w:r>
        <w:rPr>
          <w:rFonts w:hint="eastAsia" w:ascii="宋体" w:hAnsi="宋体" w:cs="宋体"/>
          <w:color w:val="000000" w:themeColor="text1"/>
          <w:sz w:val="24"/>
          <w14:textFill>
            <w14:solidFill>
              <w14:schemeClr w14:val="tx1"/>
            </w14:solidFill>
          </w14:textFill>
        </w:rPr>
        <w:t>（网址http://jyzx.zhoukou.gov.cn）。</w:t>
      </w:r>
    </w:p>
    <w:p>
      <w:pPr>
        <w:spacing w:line="500" w:lineRule="exact"/>
        <w:rPr>
          <w:color w:val="000000" w:themeColor="text1"/>
          <w:sz w:val="24"/>
          <w14:textFill>
            <w14:solidFill>
              <w14:schemeClr w14:val="tx1"/>
            </w14:solidFill>
          </w14:textFill>
        </w:rPr>
      </w:pPr>
      <w:bookmarkStart w:id="19" w:name="_Toc28359093"/>
      <w:bookmarkStart w:id="20" w:name="_Toc35393633"/>
      <w:bookmarkStart w:id="21" w:name="_Toc35393802"/>
      <w:bookmarkStart w:id="22" w:name="_Toc28359016"/>
      <w:r>
        <w:rPr>
          <w:rFonts w:hint="eastAsia"/>
          <w:color w:val="000000" w:themeColor="text1"/>
          <w:sz w:val="24"/>
          <w14:textFill>
            <w14:solidFill>
              <w14:schemeClr w14:val="tx1"/>
            </w14:solidFill>
          </w14:textFill>
        </w:rPr>
        <w:t>五、开启</w:t>
      </w:r>
      <w:bookmarkEnd w:id="19"/>
      <w:bookmarkEnd w:id="20"/>
      <w:bookmarkEnd w:id="21"/>
      <w:bookmarkEnd w:id="22"/>
    </w:p>
    <w:p>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bCs/>
          <w:color w:val="000000" w:themeColor="text1"/>
          <w:sz w:val="24"/>
          <w:highlight w:val="none"/>
          <w:u w:val="single"/>
          <w14:textFill>
            <w14:solidFill>
              <w14:schemeClr w14:val="tx1"/>
            </w14:solidFill>
          </w14:textFill>
        </w:rPr>
        <w:t>年</w:t>
      </w:r>
      <w:r>
        <w:rPr>
          <w:rFonts w:hint="eastAsia" w:ascii="宋体" w:hAnsi="宋体" w:cs="宋体"/>
          <w:bCs/>
          <w:color w:val="000000" w:themeColor="text1"/>
          <w:sz w:val="24"/>
          <w:highlight w:val="none"/>
          <w:u w:val="single"/>
          <w:lang w:val="en-US" w:eastAsia="zh-CN"/>
          <w14:textFill>
            <w14:solidFill>
              <w14:schemeClr w14:val="tx1"/>
            </w14:solidFill>
          </w14:textFill>
        </w:rPr>
        <w:t>12</w:t>
      </w:r>
      <w:r>
        <w:rPr>
          <w:rFonts w:hint="eastAsia" w:ascii="宋体" w:hAnsi="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 9 </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9</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14:textFill>
            <w14:solidFill>
              <w14:schemeClr w14:val="tx1"/>
            </w14:solidFill>
          </w14:textFill>
        </w:rPr>
        <w:t>（北京时间）</w:t>
      </w:r>
    </w:p>
    <w:p>
      <w:pPr>
        <w:autoSpaceDE w:val="0"/>
        <w:autoSpaceDN w:val="0"/>
        <w:spacing w:line="500" w:lineRule="exact"/>
        <w:ind w:firstLine="480" w:firstLineChars="200"/>
        <w:jc w:val="left"/>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地点：周口市公共资源交易中心开标室</w:t>
      </w:r>
    </w:p>
    <w:p>
      <w:pPr>
        <w:spacing w:line="500" w:lineRule="exact"/>
        <w:rPr>
          <w:color w:val="000000" w:themeColor="text1"/>
          <w:sz w:val="24"/>
          <w14:textFill>
            <w14:solidFill>
              <w14:schemeClr w14:val="tx1"/>
            </w14:solidFill>
          </w14:textFill>
        </w:rPr>
      </w:pPr>
      <w:bookmarkStart w:id="23" w:name="_Toc35393803"/>
      <w:bookmarkStart w:id="24" w:name="_Toc28359017"/>
      <w:bookmarkStart w:id="25" w:name="_Toc28359094"/>
      <w:bookmarkStart w:id="26" w:name="_Toc35393634"/>
      <w:r>
        <w:rPr>
          <w:rFonts w:hint="eastAsia"/>
          <w:color w:val="000000" w:themeColor="text1"/>
          <w:sz w:val="24"/>
          <w14:textFill>
            <w14:solidFill>
              <w14:schemeClr w14:val="tx1"/>
            </w14:solidFill>
          </w14:textFill>
        </w:rPr>
        <w:t>六、公告期限</w:t>
      </w:r>
      <w:bookmarkEnd w:id="23"/>
      <w:bookmarkEnd w:id="24"/>
      <w:bookmarkEnd w:id="25"/>
      <w:bookmarkEnd w:id="26"/>
    </w:p>
    <w:p>
      <w:pPr>
        <w:autoSpaceDE w:val="0"/>
        <w:autoSpaceDN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本次招标公告在《河南省政府采购网》《周口市公共资源交易中心网》上发布</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自本公告发布之日起5个工作日。</w:t>
      </w:r>
    </w:p>
    <w:p>
      <w:pPr>
        <w:spacing w:line="500" w:lineRule="exact"/>
        <w:rPr>
          <w:color w:val="000000" w:themeColor="text1"/>
          <w:sz w:val="24"/>
          <w14:textFill>
            <w14:solidFill>
              <w14:schemeClr w14:val="tx1"/>
            </w14:solidFill>
          </w14:textFill>
        </w:rPr>
      </w:pPr>
      <w:bookmarkStart w:id="27" w:name="_Toc35393635"/>
      <w:bookmarkStart w:id="28" w:name="_Toc35393804"/>
      <w:r>
        <w:rPr>
          <w:rFonts w:hint="eastAsia"/>
          <w:color w:val="000000" w:themeColor="text1"/>
          <w:sz w:val="24"/>
          <w14:textFill>
            <w14:solidFill>
              <w14:schemeClr w14:val="tx1"/>
            </w14:solidFill>
          </w14:textFill>
        </w:rPr>
        <w:t>七、其他补充事宜</w:t>
      </w:r>
      <w:bookmarkEnd w:id="27"/>
      <w:bookmarkEnd w:id="28"/>
    </w:p>
    <w:p>
      <w:pPr>
        <w:spacing w:line="5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p>
      <w:pPr>
        <w:spacing w:line="500" w:lineRule="exact"/>
        <w:rPr>
          <w:color w:val="000000" w:themeColor="text1"/>
          <w:sz w:val="24"/>
          <w14:textFill>
            <w14:solidFill>
              <w14:schemeClr w14:val="tx1"/>
            </w14:solidFill>
          </w14:textFill>
        </w:rPr>
      </w:pPr>
      <w:bookmarkStart w:id="29" w:name="_Toc35393805"/>
      <w:bookmarkStart w:id="30" w:name="_Toc35393636"/>
      <w:bookmarkStart w:id="31" w:name="_Toc28359095"/>
      <w:bookmarkStart w:id="32" w:name="_Toc28359018"/>
      <w:r>
        <w:rPr>
          <w:rFonts w:hint="eastAsia"/>
          <w:color w:val="000000" w:themeColor="text1"/>
          <w:sz w:val="24"/>
          <w14:textFill>
            <w14:solidFill>
              <w14:schemeClr w14:val="tx1"/>
            </w14:solidFill>
          </w14:textFill>
        </w:rPr>
        <w:t>八、凡对本次采购提出询问，请按以下方式联系</w:t>
      </w:r>
      <w:bookmarkEnd w:id="29"/>
      <w:bookmarkEnd w:id="30"/>
      <w:bookmarkEnd w:id="31"/>
      <w:bookmarkEnd w:id="32"/>
    </w:p>
    <w:p>
      <w:pPr>
        <w:spacing w:line="500" w:lineRule="exact"/>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1.采购人信息</w:t>
      </w:r>
    </w:p>
    <w:p>
      <w:pPr>
        <w:pStyle w:val="30"/>
        <w:adjustRightInd w:val="0"/>
        <w:snapToGrid w:val="0"/>
        <w:spacing w:after="0"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val="en-US" w:eastAsia="zh-CN"/>
          <w14:textFill>
            <w14:solidFill>
              <w14:schemeClr w14:val="tx1"/>
            </w14:solidFill>
          </w14:textFill>
        </w:rPr>
        <w:t>项城市发展和改革委员会</w:t>
      </w:r>
      <w:r>
        <w:rPr>
          <w:rFonts w:hint="eastAsia" w:ascii="宋体" w:hAnsi="宋体"/>
          <w:color w:val="000000" w:themeColor="text1"/>
          <w:sz w:val="24"/>
          <w:highlight w:val="none"/>
          <w14:textFill>
            <w14:solidFill>
              <w14:schemeClr w14:val="tx1"/>
            </w14:solidFill>
          </w14:textFill>
        </w:rPr>
        <w:t>　　　　　　　　　　　　</w:t>
      </w:r>
    </w:p>
    <w:p>
      <w:pPr>
        <w:pStyle w:val="30"/>
        <w:adjustRightInd w:val="0"/>
        <w:snapToGrid w:val="0"/>
        <w:spacing w:after="0"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地址：河南省</w:t>
      </w:r>
      <w:r>
        <w:rPr>
          <w:rFonts w:hint="eastAsia" w:ascii="宋体" w:hAnsi="宋体"/>
          <w:color w:val="000000" w:themeColor="text1"/>
          <w:sz w:val="24"/>
          <w:highlight w:val="none"/>
          <w:lang w:val="en-US" w:eastAsia="zh-CN"/>
          <w14:textFill>
            <w14:solidFill>
              <w14:schemeClr w14:val="tx1"/>
            </w14:solidFill>
          </w14:textFill>
        </w:rPr>
        <w:t>项城市境内</w:t>
      </w:r>
      <w:r>
        <w:rPr>
          <w:rFonts w:hint="eastAsia" w:ascii="宋体" w:hAnsi="宋体"/>
          <w:color w:val="000000" w:themeColor="text1"/>
          <w:sz w:val="24"/>
          <w:highlight w:val="none"/>
          <w14:textFill>
            <w14:solidFill>
              <w14:schemeClr w14:val="tx1"/>
            </w14:solidFill>
          </w14:textFill>
        </w:rPr>
        <w:t>　　　　　　　　　　　　</w:t>
      </w:r>
    </w:p>
    <w:p>
      <w:pPr>
        <w:pStyle w:val="30"/>
        <w:adjustRightInd w:val="0"/>
        <w:snapToGrid w:val="0"/>
        <w:spacing w:after="0"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项目联系人：王</w:t>
      </w:r>
      <w:r>
        <w:rPr>
          <w:rFonts w:hint="eastAsia" w:ascii="宋体" w:hAnsi="宋体"/>
          <w:color w:val="000000" w:themeColor="text1"/>
          <w:sz w:val="24"/>
          <w:highlight w:val="none"/>
          <w:lang w:val="en-US" w:eastAsia="zh-CN"/>
          <w14:textFill>
            <w14:solidFill>
              <w14:schemeClr w14:val="tx1"/>
            </w14:solidFill>
          </w14:textFill>
        </w:rPr>
        <w:t>先生</w:t>
      </w:r>
      <w:r>
        <w:rPr>
          <w:rFonts w:hint="eastAsia" w:ascii="宋体" w:hAnsi="宋体"/>
          <w:color w:val="000000" w:themeColor="text1"/>
          <w:sz w:val="24"/>
          <w:highlight w:val="none"/>
          <w14:textFill>
            <w14:solidFill>
              <w14:schemeClr w14:val="tx1"/>
            </w14:solidFill>
          </w14:textFill>
        </w:rPr>
        <w:t xml:space="preserve">    </w:t>
      </w:r>
    </w:p>
    <w:p>
      <w:pPr>
        <w:pStyle w:val="30"/>
        <w:adjustRightInd w:val="0"/>
        <w:snapToGrid w:val="0"/>
        <w:spacing w:after="0"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r>
        <w:rPr>
          <w:rFonts w:hint="eastAsia" w:ascii="宋体" w:hAnsi="宋体"/>
          <w:color w:val="000000" w:themeColor="text1"/>
          <w:sz w:val="24"/>
          <w:highlight w:val="none"/>
          <w:lang w:val="en-US" w:eastAsia="zh-CN"/>
          <w14:textFill>
            <w14:solidFill>
              <w14:schemeClr w14:val="tx1"/>
            </w14:solidFill>
          </w14:textFill>
        </w:rPr>
        <w:t>13673855598</w:t>
      </w:r>
      <w:r>
        <w:rPr>
          <w:rFonts w:hint="eastAsia" w:ascii="宋体" w:hAnsi="宋体"/>
          <w:color w:val="000000" w:themeColor="text1"/>
          <w:sz w:val="24"/>
          <w:highlight w:val="none"/>
          <w14:textFill>
            <w14:solidFill>
              <w14:schemeClr w14:val="tx1"/>
            </w14:solidFill>
          </w14:textFill>
        </w:rPr>
        <w:t>　　</w:t>
      </w:r>
      <w:r>
        <w:rPr>
          <w:rFonts w:hint="eastAsia" w:ascii="宋体" w:hAnsi="宋体"/>
          <w:color w:val="000000" w:themeColor="text1"/>
          <w:sz w:val="24"/>
          <w14:textFill>
            <w14:solidFill>
              <w14:schemeClr w14:val="tx1"/>
            </w14:solidFill>
          </w14:textFill>
        </w:rPr>
        <w:t xml:space="preserve">　　　　　　　　　　　 </w:t>
      </w:r>
      <w:bookmarkStart w:id="33" w:name="_Toc28359009"/>
      <w:bookmarkStart w:id="34" w:name="_Toc28359086"/>
    </w:p>
    <w:p>
      <w:pPr>
        <w:pStyle w:val="30"/>
        <w:adjustRightInd w:val="0"/>
        <w:snapToGrid w:val="0"/>
        <w:spacing w:after="0"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2.采购代理机构信息</w:t>
      </w:r>
      <w:bookmarkEnd w:id="33"/>
      <w:bookmarkEnd w:id="34"/>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招标代理机构名称：永道工程咨询（江苏）有限公司</w:t>
      </w:r>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地址：</w:t>
      </w:r>
      <w:bookmarkStart w:id="35" w:name="OLE_LINK1"/>
      <w:r>
        <w:rPr>
          <w:rFonts w:hint="eastAsia" w:ascii="宋体" w:hAnsi="宋体"/>
          <w:color w:val="000000" w:themeColor="text1"/>
          <w:sz w:val="24"/>
          <w:lang w:val="en-US" w:eastAsia="zh-CN"/>
          <w14:textFill>
            <w14:solidFill>
              <w14:schemeClr w14:val="tx1"/>
            </w14:solidFill>
          </w14:textFill>
        </w:rPr>
        <w:t>周口市交通路与工农路交叉口周口国贸1302室</w:t>
      </w:r>
      <w:bookmarkEnd w:id="35"/>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联系人：陈女士</w:t>
      </w:r>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联系方式：0394-7866627</w:t>
      </w:r>
    </w:p>
    <w:p>
      <w:pPr>
        <w:pStyle w:val="30"/>
        <w:numPr>
          <w:ilvl w:val="0"/>
          <w:numId w:val="1"/>
        </w:numPr>
        <w:adjustRightInd w:val="0"/>
        <w:snapToGrid w:val="0"/>
        <w:spacing w:after="0" w:line="50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监督部门</w:t>
      </w:r>
    </w:p>
    <w:p>
      <w:pPr>
        <w:pStyle w:val="30"/>
        <w:numPr>
          <w:ilvl w:val="0"/>
          <w:numId w:val="0"/>
        </w:numPr>
        <w:adjustRightInd w:val="0"/>
        <w:snapToGrid w:val="0"/>
        <w:spacing w:after="0" w:line="500" w:lineRule="exact"/>
        <w:rPr>
          <w:rFonts w:hint="default" w:ascii="宋体" w:hAnsi="宋体"/>
          <w:color w:val="000000"/>
          <w:sz w:val="24"/>
          <w:lang w:val="en-US" w:eastAsia="zh-CN"/>
        </w:rPr>
      </w:pPr>
      <w:r>
        <w:rPr>
          <w:rFonts w:hint="eastAsia" w:ascii="宋体" w:hAnsi="宋体"/>
          <w:color w:val="000000"/>
          <w:sz w:val="24"/>
          <w:lang w:val="en-US" w:eastAsia="zh-CN"/>
        </w:rPr>
        <w:t xml:space="preserve">    监督单位：项城市财政局</w:t>
      </w:r>
    </w:p>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p>
    <w:p>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pStyle w:val="8"/>
        <w:adjustRightInd w:val="0"/>
        <w:snapToGrid w:val="0"/>
        <w:spacing w:line="500" w:lineRule="exact"/>
        <w:ind w:firstLine="3240" w:firstLineChars="1350"/>
        <w:rPr>
          <w:rFonts w:ascii="宋体" w:hAnsi="宋体" w:cs="宋体"/>
          <w:color w:val="000000" w:themeColor="text1"/>
          <w:sz w:val="24"/>
          <w14:textFill>
            <w14:solidFill>
              <w14:schemeClr w14:val="tx1"/>
            </w14:solidFill>
          </w14:textFill>
        </w:rPr>
      </w:pPr>
    </w:p>
    <w:p>
      <w:pPr>
        <w:pStyle w:val="8"/>
        <w:adjustRightInd w:val="0"/>
        <w:snapToGrid w:val="0"/>
        <w:spacing w:line="500" w:lineRule="exact"/>
        <w:ind w:firstLine="3240" w:firstLineChars="1350"/>
        <w:rPr>
          <w:rFonts w:ascii="宋体" w:hAnsi="宋体" w:cs="宋体"/>
          <w:color w:val="000000" w:themeColor="text1"/>
          <w:sz w:val="24"/>
          <w14:textFill>
            <w14:solidFill>
              <w14:schemeClr w14:val="tx1"/>
            </w14:solidFill>
          </w14:textFill>
        </w:rPr>
      </w:pPr>
    </w:p>
    <w:p>
      <w:pPr>
        <w:pStyle w:val="8"/>
        <w:adjustRightInd w:val="0"/>
        <w:snapToGrid w:val="0"/>
        <w:spacing w:line="500" w:lineRule="exact"/>
        <w:ind w:firstLine="3240" w:firstLineChars="1350"/>
        <w:rPr>
          <w:rFonts w:ascii="宋体" w:hAnsi="宋体" w:cs="宋体"/>
          <w:color w:val="000000" w:themeColor="text1"/>
          <w:sz w:val="24"/>
          <w14:textFill>
            <w14:solidFill>
              <w14:schemeClr w14:val="tx1"/>
            </w14:solidFill>
          </w14:textFill>
        </w:rPr>
      </w:pPr>
    </w:p>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pStyle w:val="22"/>
        <w:ind w:firstLine="3213" w:firstLineChars="1000"/>
        <w:jc w:val="both"/>
        <w:rPr>
          <w:color w:val="000000" w:themeColor="text1"/>
          <w14:textFill>
            <w14:solidFill>
              <w14:schemeClr w14:val="tx1"/>
            </w14:solidFill>
          </w14:textFill>
        </w:rPr>
      </w:pPr>
      <w:bookmarkStart w:id="36" w:name="_Toc195875464"/>
      <w:r>
        <w:rPr>
          <w:rFonts w:hint="eastAsia"/>
          <w:color w:val="000000" w:themeColor="text1"/>
          <w14:textFill>
            <w14:solidFill>
              <w14:schemeClr w14:val="tx1"/>
            </w14:solidFill>
          </w14:textFill>
        </w:rPr>
        <w:t>第二章    供应商须知</w:t>
      </w:r>
      <w:bookmarkEnd w:id="36"/>
    </w:p>
    <w:tbl>
      <w:tblPr>
        <w:tblStyle w:val="25"/>
        <w:tblW w:w="985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50"/>
        <w:gridCol w:w="68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59"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 w:val="32"/>
                <w:szCs w:val="32"/>
                <w14:textFill>
                  <w14:solidFill>
                    <w14:schemeClr w14:val="tx1"/>
                  </w14:solidFill>
                </w14:textFill>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条款</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tc>
        <w:tc>
          <w:tcPr>
            <w:tcW w:w="6834" w:type="dxa"/>
            <w:vAlign w:val="center"/>
          </w:tcPr>
          <w:p>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项城市社会信用体系建设综合运维服务项目</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采购内容：</w:t>
            </w:r>
            <w:r>
              <w:rPr>
                <w:rFonts w:hint="eastAsia" w:ascii="宋体" w:hAnsi="宋体" w:cs="宋体"/>
                <w:color w:val="000000" w:themeColor="text1"/>
                <w:sz w:val="24"/>
                <w:lang w:eastAsia="zh-CN"/>
                <w14:textFill>
                  <w14:solidFill>
                    <w14:schemeClr w14:val="tx1"/>
                  </w14:solidFill>
                </w14:textFill>
              </w:rPr>
              <w:t>社会信用体系建设综合运维服务</w:t>
            </w:r>
            <w:r>
              <w:rPr>
                <w:rFonts w:hint="eastAsia" w:ascii="宋体" w:hAnsi="宋体" w:cs="宋体"/>
                <w:color w:val="000000" w:themeColor="text1"/>
                <w:sz w:val="24"/>
                <w14:textFill>
                  <w14:solidFill>
                    <w14:schemeClr w14:val="tx1"/>
                  </w14:solidFill>
                </w14:textFill>
              </w:rPr>
              <w:t>。</w:t>
            </w:r>
          </w:p>
          <w:p>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lang w:eastAsia="zh-CN"/>
                <w14:textFill>
                  <w14:solidFill>
                    <w14:schemeClr w14:val="tx1"/>
                  </w14:solidFill>
                </w14:textFill>
              </w:rPr>
              <w:t>项城市发展和改革委员会</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w:t>
            </w:r>
            <w:r>
              <w:rPr>
                <w:rFonts w:hint="eastAsia" w:ascii="宋体" w:hAnsi="宋体"/>
                <w:color w:val="000000" w:themeColor="text1"/>
                <w:sz w:val="24"/>
                <w:lang w:val="en-US" w:eastAsia="zh-CN"/>
                <w14:textFill>
                  <w14:solidFill>
                    <w14:schemeClr w14:val="tx1"/>
                  </w14:solidFill>
                </w14:textFill>
              </w:rPr>
              <w:t>永道工程咨询（江苏）有限公司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left="-4" w:leftChars="-4" w:hanging="4" w:hangingChars="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对供应商的资格要求</w:t>
            </w:r>
          </w:p>
        </w:tc>
        <w:tc>
          <w:tcPr>
            <w:tcW w:w="6834" w:type="dxa"/>
            <w:vAlign w:val="center"/>
          </w:tcPr>
          <w:p>
            <w:pPr>
              <w:spacing w:before="156" w:beforeLines="50"/>
              <w:ind w:left="-4" w:leftChars="-4" w:hanging="4" w:hangingChars="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报价费用</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75" w:type="dxa"/>
            <w:vAlign w:val="center"/>
          </w:tcPr>
          <w:p>
            <w:pPr>
              <w:numPr>
                <w:ilvl w:val="0"/>
                <w:numId w:val="2"/>
              </w:numPr>
              <w:spacing w:before="156" w:beforeLines="50"/>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响应文件语言</w:t>
            </w:r>
          </w:p>
        </w:tc>
        <w:tc>
          <w:tcPr>
            <w:tcW w:w="6834" w:type="dxa"/>
            <w:vAlign w:val="center"/>
          </w:tcPr>
          <w:p>
            <w:pPr>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75" w:type="dxa"/>
            <w:vAlign w:val="center"/>
          </w:tcPr>
          <w:p>
            <w:pPr>
              <w:numPr>
                <w:ilvl w:val="0"/>
                <w:numId w:val="2"/>
              </w:numPr>
              <w:spacing w:before="156" w:beforeLines="50"/>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报价货币</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报价范围及说明</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报价包括本项目所招标的服务、保险、税费、验收等（采购项目技术规格、参数及要求）。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响应文件有效期</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响应文件的组成</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响应文件封面要求</w:t>
            </w:r>
          </w:p>
        </w:tc>
        <w:tc>
          <w:tcPr>
            <w:tcW w:w="6834"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响应文件封面须包含项目名称、项目编号、供应商名称、地址、联系人及联系电话等内容。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响应文件份数要求</w:t>
            </w:r>
          </w:p>
        </w:tc>
        <w:tc>
          <w:tcPr>
            <w:tcW w:w="6834"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响应文件装订和密封要求</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竞争性磋商文件的澄清</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响应文件递交截止时间</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响应文件递交地点</w:t>
            </w:r>
          </w:p>
        </w:tc>
        <w:tc>
          <w:tcPr>
            <w:tcW w:w="683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周口市公共资源交易中心网</w:t>
            </w:r>
          </w:p>
          <w:p>
            <w:pP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宋体" w:hAnsi="宋体"/>
                <w:color w:val="000000" w:themeColor="text1"/>
                <w14:textFill>
                  <w14:solidFill>
                    <w14:schemeClr w14:val="tx1"/>
                  </w14:solidFill>
                </w14:textFill>
              </w:rPr>
              <w:t>http://jyzx.zhoukou.gov.cn）</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磋商时间</w:t>
            </w:r>
          </w:p>
        </w:tc>
        <w:tc>
          <w:tcPr>
            <w:tcW w:w="6834"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磋商程序和内容</w:t>
            </w:r>
          </w:p>
        </w:tc>
        <w:tc>
          <w:tcPr>
            <w:tcW w:w="6834"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授予合同</w:t>
            </w:r>
          </w:p>
        </w:tc>
        <w:tc>
          <w:tcPr>
            <w:tcW w:w="6834" w:type="dxa"/>
            <w:vAlign w:val="center"/>
          </w:tcPr>
          <w:p>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签订合同</w:t>
            </w:r>
          </w:p>
        </w:tc>
        <w:tc>
          <w:tcPr>
            <w:tcW w:w="6834"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1）接到成交通知书30天内，成交供应商应与采购人签订采购合同。</w:t>
            </w:r>
          </w:p>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834"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服务期限</w:t>
            </w:r>
          </w:p>
        </w:tc>
        <w:tc>
          <w:tcPr>
            <w:tcW w:w="6834" w:type="dxa"/>
            <w:vAlign w:val="center"/>
          </w:tcPr>
          <w:p>
            <w:pPr>
              <w:autoSpaceDE w:val="0"/>
              <w:autoSpaceDN w:val="0"/>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本次一年，满后合同约定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6834" w:type="dxa"/>
            <w:vAlign w:val="center"/>
          </w:tcPr>
          <w:p>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sz w:val="24"/>
              </w:rPr>
              <w:t>服务结束验收合格后支付全部费用</w:t>
            </w:r>
            <w:r>
              <w:rPr>
                <w:rFonts w:hint="eastAsia" w:ascii="宋体" w:hAnsi="宋体" w:cs="宋体"/>
                <w:color w:val="000000" w:themeColor="text1"/>
                <w:sz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w:t>
            </w:r>
          </w:p>
        </w:tc>
        <w:tc>
          <w:tcPr>
            <w:tcW w:w="6834" w:type="dxa"/>
            <w:vAlign w:val="center"/>
          </w:tcPr>
          <w:p>
            <w:pPr>
              <w:tabs>
                <w:tab w:val="left" w:pos="8640"/>
              </w:tabs>
              <w:jc w:val="left"/>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一次报价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质量</w:t>
            </w:r>
          </w:p>
        </w:tc>
        <w:tc>
          <w:tcPr>
            <w:tcW w:w="6834" w:type="dxa"/>
            <w:vAlign w:val="center"/>
          </w:tcPr>
          <w:p>
            <w:pPr>
              <w:tabs>
                <w:tab w:val="left" w:pos="8640"/>
              </w:tabs>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所属行业类别</w:t>
            </w:r>
          </w:p>
        </w:tc>
        <w:tc>
          <w:tcPr>
            <w:tcW w:w="6834" w:type="dxa"/>
            <w:vAlign w:val="center"/>
          </w:tcPr>
          <w:p>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技术服务</w:t>
            </w:r>
            <w:r>
              <w:rPr>
                <w:rFonts w:hint="eastAsia" w:ascii="宋体" w:hAnsi="宋体" w:cs="宋体"/>
                <w:b/>
                <w:bCs/>
                <w:color w:val="000000" w:themeColor="text1"/>
                <w:sz w:val="24"/>
                <w14:textFill>
                  <w14:solidFill>
                    <w14:schemeClr w14:val="tx1"/>
                  </w14:solidFill>
                </w14:textFill>
              </w:rPr>
              <w:t>。</w:t>
            </w:r>
          </w:p>
        </w:tc>
      </w:tr>
    </w:tbl>
    <w:p>
      <w:pPr>
        <w:pStyle w:val="24"/>
        <w:ind w:firstLine="0" w:firstLineChars="0"/>
        <w:rPr>
          <w:rFonts w:ascii="宋体" w:hAnsi="宋体" w:eastAsia="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pStyle w:val="18"/>
        <w:rPr>
          <w:color w:val="000000" w:themeColor="text1"/>
          <w:sz w:val="30"/>
          <w:szCs w:val="30"/>
          <w14:textFill>
            <w14:solidFill>
              <w14:schemeClr w14:val="tx1"/>
            </w14:solidFill>
          </w14:textFill>
        </w:rPr>
      </w:pPr>
      <w:bookmarkStart w:id="37" w:name="_Toc195875465"/>
      <w:r>
        <w:rPr>
          <w:rFonts w:hint="eastAsia"/>
          <w:color w:val="000000" w:themeColor="text1"/>
          <w:sz w:val="30"/>
          <w:szCs w:val="30"/>
          <w14:textFill>
            <w14:solidFill>
              <w14:schemeClr w14:val="tx1"/>
            </w14:solidFill>
          </w14:textFill>
        </w:rPr>
        <w:t>一、总则</w:t>
      </w:r>
      <w:bookmarkEnd w:id="37"/>
    </w:p>
    <w:p>
      <w:pPr>
        <w:spacing w:line="5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1．适用范围</w:t>
      </w:r>
    </w:p>
    <w:p>
      <w:pPr>
        <w:spacing w:line="5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1.1本竞争性磋商文件仅适用于本次竞争性磋商邀请函中所述</w:t>
      </w:r>
      <w:r>
        <w:rPr>
          <w:rFonts w:hint="eastAsia" w:ascii="宋体" w:hAnsi="宋体" w:cs="宋体"/>
          <w:bCs/>
          <w:color w:val="000000" w:themeColor="text1"/>
          <w:sz w:val="24"/>
          <w14:textFill>
            <w14:solidFill>
              <w14:schemeClr w14:val="tx1"/>
            </w14:solidFill>
          </w14:textFill>
        </w:rPr>
        <w:t>项目。</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2．定义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2.1“采购代理机构”：</w:t>
      </w:r>
      <w:r>
        <w:rPr>
          <w:rFonts w:hint="eastAsia" w:ascii="宋体" w:hAnsi="宋体" w:cs="宋体"/>
          <w:b/>
          <w:bCs/>
          <w:color w:val="000000" w:themeColor="text1"/>
          <w:sz w:val="24"/>
          <w:lang w:val="en-US" w:eastAsia="zh-CN"/>
          <w14:textFill>
            <w14:solidFill>
              <w14:schemeClr w14:val="tx1"/>
            </w14:solidFill>
          </w14:textFill>
        </w:rPr>
        <w:t>永道工程咨询（江苏）有限公司</w:t>
      </w:r>
      <w:r>
        <w:rPr>
          <w:rFonts w:hint="eastAsia" w:ascii="宋体" w:hAnsi="宋体" w:cs="宋体"/>
          <w:color w:val="000000" w:themeColor="text1"/>
          <w:sz w:val="24"/>
          <w14:textFill>
            <w14:solidFill>
              <w14:schemeClr w14:val="tx1"/>
            </w14:solidFill>
          </w14:textFill>
        </w:rPr>
        <w:t>。</w:t>
      </w:r>
    </w:p>
    <w:p>
      <w:pPr>
        <w:tabs>
          <w:tab w:val="left" w:pos="0"/>
        </w:tabs>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2.2“采购人”：</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lang w:eastAsia="zh-CN"/>
          <w14:textFill>
            <w14:solidFill>
              <w14:schemeClr w14:val="tx1"/>
            </w14:solidFill>
          </w14:textFill>
        </w:rPr>
        <w:t>项城市发展和改革委员会</w:t>
      </w:r>
      <w:r>
        <w:rPr>
          <w:rFonts w:hint="eastAsia" w:ascii="宋体" w:hAnsi="宋体" w:cs="宋体"/>
          <w:color w:val="000000" w:themeColor="text1"/>
          <w:sz w:val="24"/>
          <w14:textFill>
            <w14:solidFill>
              <w14:schemeClr w14:val="tx1"/>
            </w14:solidFill>
          </w14:textFill>
        </w:rPr>
        <w:t>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2.4“供应商代表”：系指代表供应商参加本次竞争性磋商活动的供应商的法定代表人或其委托代理人。（本项目供应商代表须为本单位正式员工，提供劳动合同或社保缴纳证明。）</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2.5“服务”：系指本项目所采购的服务及其他要求等。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2.8“不具备良好的商业信誉”是指：</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（1）有重大违法记录的（满三年的除外）；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（2）被各级财政部门列入政府采购严重违法失信行为信息记录的（期限已满的除外）；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（3）被各级政府采购监督管理部门禁止在一定期限内参加政府采购活动等处罚的（期限已满的除外）；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（4）被各级法院列入失信名单的（已依法解除的除外）；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（5）法律法规规定的其他情形。</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3.采购预算</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3.1本次采购预算：见公告。</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4.合格的供应商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4.1.1符合供应商资格条件（详见第一部分供应商资格条件），合格的供应商须出具声明函，格式自拟。</w:t>
      </w:r>
    </w:p>
    <w:p>
      <w:pPr>
        <w:widowControl/>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4.1.2参加政府采购活动前三年内，在经营活动中没有重大违法记录的声明函；</w:t>
      </w:r>
    </w:p>
    <w:p>
      <w:pPr>
        <w:widowControl/>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4.1.3 政府采购供应商诚信承诺书；</w:t>
      </w:r>
    </w:p>
    <w:p>
      <w:pPr>
        <w:pStyle w:val="34"/>
        <w:spacing w:line="360" w:lineRule="auto"/>
        <w:ind w:firstLine="480" w:firstLineChars="200"/>
        <w:rPr>
          <w:rFonts w:hAnsi="宋体" w:eastAsia="宋体"/>
          <w:color w:val="000000" w:themeColor="text1"/>
          <w:sz w:val="24"/>
          <w14:textFill>
            <w14:solidFill>
              <w14:schemeClr w14:val="tx1"/>
            </w14:solidFill>
          </w14:textFill>
        </w:rPr>
      </w:pPr>
      <w:r>
        <w:rPr>
          <w:rFonts w:hint="eastAsia" w:hAnsi="宋体" w:eastAsia="宋体"/>
          <w:color w:val="000000" w:themeColor="text1"/>
          <w:sz w:val="24"/>
          <w14:textFill>
            <w14:solidFill>
              <w14:schemeClr w14:val="tx1"/>
            </w14:solidFill>
          </w14:textFill>
        </w:rPr>
        <w:t>4.</w:t>
      </w:r>
      <w:r>
        <w:rPr>
          <w:rFonts w:hint="eastAsia" w:hAnsi="宋体" w:eastAsia="宋体"/>
          <w:color w:val="000000" w:themeColor="text1"/>
          <w:sz w:val="24"/>
          <w:lang w:val="en-US"/>
          <w14:textFill>
            <w14:solidFill>
              <w14:schemeClr w14:val="tx1"/>
            </w14:solidFill>
          </w14:textFill>
        </w:rPr>
        <w:t>1.4 供应商</w:t>
      </w:r>
      <w:r>
        <w:rPr>
          <w:rFonts w:hint="eastAsia" w:hAnsi="宋体" w:eastAsia="宋体"/>
          <w:color w:val="000000" w:themeColor="text1"/>
          <w:sz w:val="24"/>
          <w14:textFill>
            <w14:solidFill>
              <w14:schemeClr w14:val="tx1"/>
            </w14:solidFill>
          </w14:textFill>
        </w:rPr>
        <w:t>自觉抵制政府采购领域商业贿赂行为承诺书；</w:t>
      </w:r>
    </w:p>
    <w:p>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4.2 </w:t>
      </w:r>
      <w:r>
        <w:rPr>
          <w:rFonts w:hint="eastAsia" w:ascii="宋体" w:hAnsi="宋体" w:cs="宋体"/>
          <w:color w:val="000000" w:themeColor="text1"/>
          <w:kern w:val="0"/>
          <w:sz w:val="24"/>
          <w14:textFill>
            <w14:solidFill>
              <w14:schemeClr w14:val="tx1"/>
            </w14:solidFill>
          </w14:textFill>
        </w:rPr>
        <w:t>供应商需提供售后服务体系与承诺</w:t>
      </w:r>
      <w:r>
        <w:rPr>
          <w:rFonts w:hint="eastAsia" w:ascii="宋体" w:hAnsi="宋体" w:cs="宋体"/>
          <w:color w:val="000000" w:themeColor="text1"/>
          <w:kern w:val="0"/>
          <w:sz w:val="24"/>
          <w:lang w:val="zh-CN"/>
          <w14:textFill>
            <w14:solidFill>
              <w14:schemeClr w14:val="tx1"/>
            </w14:solidFill>
          </w14:textFill>
        </w:rPr>
        <w:t>。</w:t>
      </w:r>
    </w:p>
    <w:p>
      <w:pPr>
        <w:pStyle w:val="34"/>
        <w:spacing w:line="360" w:lineRule="auto"/>
        <w:ind w:firstLine="480" w:firstLineChars="200"/>
        <w:rPr>
          <w:rFonts w:hAnsi="宋体" w:eastAsia="宋体"/>
          <w:color w:val="000000" w:themeColor="text1"/>
          <w:sz w:val="24"/>
          <w14:textFill>
            <w14:solidFill>
              <w14:schemeClr w14:val="tx1"/>
            </w14:solidFill>
          </w14:textFill>
        </w:rPr>
      </w:pPr>
      <w:r>
        <w:rPr>
          <w:rFonts w:hint="eastAsia" w:hAnsi="宋体" w:eastAsia="宋体"/>
          <w:color w:val="000000" w:themeColor="text1"/>
          <w:sz w:val="24"/>
          <w14:textFill>
            <w14:solidFill>
              <w14:schemeClr w14:val="tx1"/>
            </w14:solidFill>
          </w14:textFill>
        </w:rPr>
        <w:t>4.</w:t>
      </w:r>
      <w:r>
        <w:rPr>
          <w:rFonts w:hint="eastAsia" w:hAnsi="宋体" w:eastAsia="宋体"/>
          <w:color w:val="000000" w:themeColor="text1"/>
          <w:sz w:val="24"/>
          <w:lang w:val="en-US"/>
          <w14:textFill>
            <w14:solidFill>
              <w14:schemeClr w14:val="tx1"/>
            </w14:solidFill>
          </w14:textFill>
        </w:rPr>
        <w:t>3</w:t>
      </w:r>
      <w:r>
        <w:rPr>
          <w:rFonts w:hint="eastAsia" w:hAnsi="宋体" w:eastAsia="宋体"/>
          <w:color w:val="000000" w:themeColor="text1"/>
          <w:sz w:val="24"/>
          <w14:textFill>
            <w14:solidFill>
              <w14:schemeClr w14:val="tx1"/>
            </w14:solidFill>
          </w14:textFill>
        </w:rPr>
        <w:t>符合本竞争性磋商文件规定的供应商资格要求及项目要求的其它条件，并按照要求提供相关证明材料,供应商所提交的涉及投标资格审查、符合性审查的相关证明材料均须标注“与原件一致”字样。</w:t>
      </w:r>
    </w:p>
    <w:p>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4.4供应商应承诺遵守国家法律、法规有关竞争性磋商的规定。</w:t>
      </w:r>
    </w:p>
    <w:p>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4.5 凡通过磋商小组符合性审查的供应商均为合格供应商。未通过符合性审查的供应商将视为不响应本项目的竞争性磋商文件被否决。</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5.竞争性磋商文件的约束力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5.l供应商一旦参加竞争性磋商，即被认为接受了本竞争性磋商文件中的所有条款和规定。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5.3本磋商文件由采购人负责解释。</w:t>
      </w:r>
    </w:p>
    <w:p>
      <w:pPr>
        <w:pStyle w:val="18"/>
        <w:rPr>
          <w:color w:val="000000" w:themeColor="text1"/>
          <w:sz w:val="30"/>
          <w:szCs w:val="30"/>
          <w14:textFill>
            <w14:solidFill>
              <w14:schemeClr w14:val="tx1"/>
            </w14:solidFill>
          </w14:textFill>
        </w:rPr>
      </w:pPr>
      <w:bookmarkStart w:id="38" w:name="_Toc195875466"/>
      <w:r>
        <w:rPr>
          <w:rFonts w:hint="eastAsia"/>
          <w:color w:val="000000" w:themeColor="text1"/>
          <w:sz w:val="30"/>
          <w:szCs w:val="30"/>
          <w14:textFill>
            <w14:solidFill>
              <w14:schemeClr w14:val="tx1"/>
            </w14:solidFill>
          </w14:textFill>
        </w:rPr>
        <w:t>二、竞争性磋商文件</w:t>
      </w:r>
      <w:bookmarkEnd w:id="38"/>
    </w:p>
    <w:p>
      <w:pPr>
        <w:tabs>
          <w:tab w:val="left" w:pos="632"/>
          <w:tab w:val="left" w:pos="790"/>
        </w:tabs>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6．竞争性磋商文件的组成</w:t>
      </w:r>
    </w:p>
    <w:p>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6.1竞争性磋商</w:t>
      </w:r>
      <w:r>
        <w:rPr>
          <w:rFonts w:hint="eastAsia" w:ascii="宋体" w:hAnsi="宋体" w:cs="宋体"/>
          <w:color w:val="000000" w:themeColor="text1"/>
          <w:sz w:val="24"/>
          <w:lang w:val="zh-CN"/>
          <w14:textFill>
            <w14:solidFill>
              <w14:schemeClr w14:val="tx1"/>
            </w14:solidFill>
          </w14:textFill>
        </w:rPr>
        <w:t>文件是用以阐明的采购需求、采购程序和合同格式等的规范性文件。竞争性磋商文件主要由以下部分组成：</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（1）竞争性磋商邀请函；</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（4）响应性文件内容及格式；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（5）合同主要条款。</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6.4供应商必须详阅竞争性磋商文件的所有条款、文件及表格格式等。供应商须承诺按竞争性磋商文件的要求和规范编制、提交响应性文件，否则将有可能导致响应性文件被拒绝接受或被视为无效。</w:t>
      </w:r>
    </w:p>
    <w:p>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7.竞争性磋商文件的澄清与修改</w:t>
      </w:r>
    </w:p>
    <w:p>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7.2供应商应仔细阅读竞争性磋商文件的所有内容，如果有异议在规定的时间内提出，没有异议需做出“无异议”承诺书，承诺书作为响应文件的组织部分，否则为无效响应文件。</w:t>
      </w:r>
    </w:p>
    <w:p>
      <w:pPr>
        <w:pStyle w:val="18"/>
        <w:rPr>
          <w:color w:val="000000" w:themeColor="text1"/>
          <w:sz w:val="30"/>
          <w:szCs w:val="30"/>
          <w14:textFill>
            <w14:solidFill>
              <w14:schemeClr w14:val="tx1"/>
            </w14:solidFill>
          </w14:textFill>
        </w:rPr>
      </w:pPr>
      <w:bookmarkStart w:id="39" w:name="_Toc195875467"/>
      <w:r>
        <w:rPr>
          <w:rFonts w:hint="eastAsia"/>
          <w:color w:val="000000" w:themeColor="text1"/>
          <w:sz w:val="30"/>
          <w:szCs w:val="30"/>
          <w14:textFill>
            <w14:solidFill>
              <w14:schemeClr w14:val="tx1"/>
            </w14:solidFill>
          </w14:textFill>
        </w:rPr>
        <w:t>三、响应性文件的编制</w:t>
      </w:r>
      <w:bookmarkEnd w:id="39"/>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w:t>
      </w:r>
      <w:r>
        <w:rPr>
          <w:rFonts w:hint="eastAsia" w:ascii="宋体" w:hAnsi="宋体"/>
          <w:color w:val="000000" w:themeColor="text1"/>
          <w:spacing w:val="-3"/>
          <w:sz w:val="24"/>
          <w14:textFill>
            <w14:solidFill>
              <w14:schemeClr w14:val="tx1"/>
            </w14:solidFill>
          </w14:textFill>
        </w:rPr>
        <w:t>并声明所提供的全部资料</w:t>
      </w:r>
      <w:r>
        <w:rPr>
          <w:rFonts w:hint="eastAsia" w:ascii="宋体" w:hAnsi="宋体" w:cs="宋体"/>
          <w:color w:val="000000" w:themeColor="text1"/>
          <w:sz w:val="24"/>
          <w14:textFill>
            <w14:solidFill>
              <w14:schemeClr w14:val="tx1"/>
            </w14:solidFill>
          </w14:textFill>
        </w:rPr>
        <w:t>的真实性、合规性，否则其响应性文件将作为无效处理。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8.2任何对竞争性磋商文件的忽略或误解不能作为响应性文件没有完全响应竞争性磋商文件的有效理由。</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磋商文件要求。</w:t>
      </w:r>
    </w:p>
    <w:p>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9.响应性文件的语言及度量衡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9.1响应性文件以及供应商与采购代理机构之间的所有书面往来都应用简体中文书写。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9.2供应商使用其他语言的，以中文翻译为准。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9.4本竞争性磋商文件所表述的时间均为北京时间。</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10.响应性文件的组成</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10.1响应性文件由</w:t>
      </w:r>
      <w:r>
        <w:rPr>
          <w:rFonts w:hint="eastAsia" w:ascii="宋体" w:hAnsi="宋体" w:cs="宋体"/>
          <w:bCs/>
          <w:color w:val="000000" w:themeColor="text1"/>
          <w:sz w:val="24"/>
          <w:u w:val="single"/>
          <w14:textFill>
            <w14:solidFill>
              <w14:schemeClr w14:val="tx1"/>
            </w14:solidFill>
          </w14:textFill>
        </w:rPr>
        <w:t>资格性证明材料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符合性证明材料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其他材料</w:t>
      </w:r>
      <w:r>
        <w:rPr>
          <w:rFonts w:hint="eastAsia" w:ascii="宋体" w:hAnsi="宋体" w:cs="宋体"/>
          <w:color w:val="000000" w:themeColor="text1"/>
          <w:sz w:val="24"/>
          <w14:textFill>
            <w14:solidFill>
              <w14:schemeClr w14:val="tx1"/>
            </w14:solidFill>
          </w14:textFill>
        </w:rPr>
        <w:t>三部分组成。具体内容和格式见竞争性磋商文件</w:t>
      </w:r>
      <w:r>
        <w:rPr>
          <w:rFonts w:hint="eastAsia" w:ascii="宋体" w:hAnsi="宋体" w:cs="宋体"/>
          <w:bCs/>
          <w:color w:val="000000" w:themeColor="text1"/>
          <w:sz w:val="24"/>
          <w14:textFill>
            <w14:solidFill>
              <w14:schemeClr w14:val="tx1"/>
            </w14:solidFill>
          </w14:textFill>
        </w:rPr>
        <w:t>第四章</w:t>
      </w:r>
      <w:r>
        <w:rPr>
          <w:rFonts w:hint="eastAsia" w:ascii="宋体" w:hAnsi="宋体" w:cs="宋体"/>
          <w:color w:val="000000" w:themeColor="text1"/>
          <w:sz w:val="24"/>
          <w14:textFill>
            <w14:solidFill>
              <w14:schemeClr w14:val="tx1"/>
            </w14:solidFill>
          </w14:textFill>
        </w:rPr>
        <w:t>。</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11.响应性文件格式</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11.2竞争性磋商文件应编制详细目录、连续页码，除特殊规格的图纸或方案、图片资料等外，均应按A4规格制作；</w:t>
      </w:r>
    </w:p>
    <w:p>
      <w:pPr>
        <w:widowControl/>
        <w:spacing w:line="56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12.竞争性磋商报价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12.1报价包括所投服务、保险、税费、检测、验收和交付后约定期限内免费维保等工作所发生的一切应有费用。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12.2供应商需保证自行承担参加本次采购活动有关的全部费用，采购组织人在任何情况下均无义务和责任承担上述费用。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12.3经过磋商后进行的报价为供应商的最终报价。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12.4采购人不接受有选择的报价。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12.5最终报价不得超过采购预算。</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12.6报价均须以人民币为计算单位。</w:t>
      </w:r>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13．响应性文件有效期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13.l响应性文件有效期为自竞争性磋商开始之日起60天，有效期短于此规定的响应性文件将被视为无效。供应商须对此作出承诺，并保证在投标有效期内，不得撤销或修改投标响应文件。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14.响应性文件的签署、盖章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14.1</w:t>
      </w:r>
      <w:r>
        <w:rPr>
          <w:rFonts w:hint="eastAsia" w:ascii="宋体" w:hAnsi="宋体" w:cs="宋体"/>
          <w:color w:val="000000" w:themeColor="text1"/>
          <w:sz w:val="24"/>
          <w:lang w:val="zh-CN"/>
          <w14:textFill>
            <w14:solidFill>
              <w14:schemeClr w14:val="tx1"/>
            </w14:solidFill>
          </w14:textFill>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15.电子投标文件制作，见周口市公共资源交易中心网站下载中心版块《投标单位-电子投标文件视频制作手册》的相关规定。</w:t>
      </w:r>
    </w:p>
    <w:p>
      <w:pPr>
        <w:pStyle w:val="18"/>
        <w:rPr>
          <w:color w:val="000000" w:themeColor="text1"/>
          <w:sz w:val="30"/>
          <w:szCs w:val="30"/>
          <w14:textFill>
            <w14:solidFill>
              <w14:schemeClr w14:val="tx1"/>
            </w14:solidFill>
          </w14:textFill>
        </w:rPr>
      </w:pPr>
      <w:bookmarkStart w:id="40" w:name="_Toc195875468"/>
      <w:r>
        <w:rPr>
          <w:rFonts w:hint="eastAsia"/>
          <w:color w:val="000000" w:themeColor="text1"/>
          <w:sz w:val="30"/>
          <w:szCs w:val="30"/>
          <w14:textFill>
            <w14:solidFill>
              <w14:schemeClr w14:val="tx1"/>
            </w14:solidFill>
          </w14:textFill>
        </w:rPr>
        <w:t>四、响应性文件的递交</w:t>
      </w:r>
      <w:bookmarkEnd w:id="40"/>
    </w:p>
    <w:p>
      <w:pPr>
        <w:autoSpaceDE w:val="0"/>
        <w:autoSpaceDN w:val="0"/>
        <w:adjustRightIn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供应商须使用单位CA证书进行电子响应文件远程解密，详见周口市公共资源电子交易中心网站（网址：http://jyzx.zhoukou.gov.cn）办事指南</w:t>
      </w:r>
      <w:r>
        <w:rPr>
          <w:rFonts w:hint="eastAsia" w:ascii="宋体" w:hAnsi="宋体" w:cs="宋体"/>
          <w:bCs/>
          <w:color w:val="000000" w:themeColor="text1"/>
          <w:sz w:val="24"/>
          <w14:textFill>
            <w14:solidFill>
              <w14:schemeClr w14:val="tx1"/>
            </w14:solidFill>
          </w14:textFill>
        </w:rPr>
        <w:t>《不见面开标远程在线解密会员端操作手册操作指南》</w:t>
      </w:r>
      <w:r>
        <w:rPr>
          <w:rFonts w:hint="eastAsia" w:ascii="宋体" w:hAnsi="宋体" w:cs="宋体"/>
          <w:color w:val="000000" w:themeColor="text1"/>
          <w:sz w:val="24"/>
          <w14:textFill>
            <w14:solidFill>
              <w14:schemeClr w14:val="tx1"/>
            </w14:solidFill>
          </w14:textFill>
        </w:rPr>
        <w:t>。</w:t>
      </w:r>
    </w:p>
    <w:p>
      <w:pPr>
        <w:spacing w:line="5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16.响应性文件的递交</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pPr>
        <w:pStyle w:val="35"/>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17</w:t>
      </w:r>
      <w:r>
        <w:rPr>
          <w:rFonts w:hint="eastAsia" w:ascii="宋体" w:hAnsi="宋体"/>
          <w:b/>
          <w:color w:val="000000" w:themeColor="text1"/>
          <w:sz w:val="24"/>
          <w:szCs w:val="24"/>
          <w14:textFill>
            <w14:solidFill>
              <w14:schemeClr w14:val="tx1"/>
            </w14:solidFill>
          </w14:textFill>
        </w:rPr>
        <w:t>.响应性文件的修改和撤回</w:t>
      </w:r>
    </w:p>
    <w:p>
      <w:pPr>
        <w:pStyle w:val="35"/>
        <w:spacing w:line="560" w:lineRule="exact"/>
        <w:ind w:left="279" w:leftChars="133" w:firstLine="240" w:firstLineChars="1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17.3供应商在响应性文件接收截止时间后不得修改、撤回响应性文件。供应商在响应性文件接收截止时间后修改响应性文件的，将被拒绝接受。</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17.4供应商有下列情形之一的，采购人将拒绝接受其响应性文件：</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17.4.1在竞争性磋商文件规定的响应性文件接收截止时间之后递交响应性文件的；</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17.4.2响应性文件未按竞争性磋商文件规定密封、签署、盖章的；</w:t>
      </w:r>
    </w:p>
    <w:p>
      <w:pPr>
        <w:pStyle w:val="35"/>
        <w:spacing w:line="5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17.4.3一个供应商不止递交一套响应性文件的。</w:t>
      </w:r>
    </w:p>
    <w:p>
      <w:pPr>
        <w:pStyle w:val="18"/>
        <w:rPr>
          <w:color w:val="000000" w:themeColor="text1"/>
          <w:sz w:val="30"/>
          <w:szCs w:val="30"/>
          <w14:textFill>
            <w14:solidFill>
              <w14:schemeClr w14:val="tx1"/>
            </w14:solidFill>
          </w14:textFill>
        </w:rPr>
      </w:pPr>
      <w:bookmarkStart w:id="41" w:name="_Toc195875469"/>
      <w:r>
        <w:rPr>
          <w:rFonts w:hint="eastAsia"/>
          <w:color w:val="000000" w:themeColor="text1"/>
          <w:sz w:val="30"/>
          <w:szCs w:val="30"/>
          <w14:textFill>
            <w14:solidFill>
              <w14:schemeClr w14:val="tx1"/>
            </w14:solidFill>
          </w14:textFill>
        </w:rPr>
        <w:t>五、竞争性磋商</w:t>
      </w:r>
      <w:bookmarkEnd w:id="41"/>
    </w:p>
    <w:p>
      <w:pPr>
        <w:spacing w:line="560" w:lineRule="exact"/>
        <w:ind w:firstLine="482" w:firstLineChars="200"/>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18.组建</w:t>
      </w:r>
      <w:r>
        <w:rPr>
          <w:rFonts w:hint="eastAsia" w:ascii="宋体" w:hAnsi="宋体" w:cs="宋体"/>
          <w:b/>
          <w:color w:val="000000" w:themeColor="text1"/>
          <w:sz w:val="24"/>
          <w:lang w:val="zh-CN"/>
          <w14:textFill>
            <w14:solidFill>
              <w14:schemeClr w14:val="tx1"/>
            </w14:solidFill>
          </w14:textFill>
        </w:rPr>
        <w:t>竞争性磋商小组</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18.1采购人根据采购项目的特点依法组建竞争性磋商小组。</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18.2竞争性磋商小组</w:t>
      </w:r>
      <w:r>
        <w:rPr>
          <w:rFonts w:hint="eastAsia" w:ascii="宋体" w:hAnsi="宋体" w:cs="宋体"/>
          <w:bCs/>
          <w:color w:val="000000" w:themeColor="text1"/>
          <w:kern w:val="0"/>
          <w:sz w:val="24"/>
          <w14:textFill>
            <w14:solidFill>
              <w14:schemeClr w14:val="tx1"/>
            </w14:solidFill>
          </w14:textFill>
        </w:rPr>
        <w:t>确认竞争性磋商文件，并</w:t>
      </w:r>
      <w:r>
        <w:rPr>
          <w:rFonts w:hint="eastAsia" w:ascii="宋体" w:hAnsi="宋体" w:cs="宋体"/>
          <w:color w:val="000000" w:themeColor="text1"/>
          <w:kern w:val="0"/>
          <w:sz w:val="24"/>
          <w14:textFill>
            <w14:solidFill>
              <w14:schemeClr w14:val="tx1"/>
            </w14:solidFill>
          </w14:textFill>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19.资格性和符合性审查</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19.1.1资格性审查的内容包括：竞争性磋商文件规定的供应商资格条件；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19.2.1符合性审查的内容包括：</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（1）响应性文件的有效性(签署情况等)；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（2）响应性文件的完整性；</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（3）对竞争性磋商文件的响应程度（是否存在重大负偏离等）。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以上资格性审查和符合性审查的内容只要有一条不满足，则响应性文件无效，将不进入竞争性磋商程序。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注意事项：资格性、符合性证明材料见竞争性磋商文件第四章规定。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19.6竞争性磋商小组审定响应性文件的响应性只根据响应性文件本身的内容而不寻求外部证据。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19.7.1未按竞争性磋商文件规定要求</w:t>
      </w:r>
      <w:r>
        <w:rPr>
          <w:rFonts w:hint="eastAsia" w:ascii="宋体" w:hAnsi="宋体" w:cs="宋体"/>
          <w:color w:val="000000" w:themeColor="text1"/>
          <w:sz w:val="24"/>
          <w:lang w:val="zh-CN"/>
          <w14:textFill>
            <w14:solidFill>
              <w14:schemeClr w14:val="tx1"/>
            </w14:solidFill>
          </w14:textFill>
        </w:rPr>
        <w:t>签署、盖章的；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19.7.2资格证明文件不全的，或不符合竞争性磋商文件中规定的资格要求的；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19.7.3供应商代表未能出具有效身份证明，或与身份不符的；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19.7.4不符合竞争性磋商文件规定的实质性要求的；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19.7.5响应性文件内容不齐全或内容虚假的；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19.7.6响应性文件的实质性内容未使用中文表述；</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19.7.7响应性文件的内容修改处未按规定签名或盖章的；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19.7.8违反法律、行政法规、竞争性磋商文件规定的其他情形的。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19.7.10不同供应商的投标（响应）文件由同一电子设备编制，打印、复印、加密或者上传的；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19.7.12不同供应商的投标（响应）文件的内容存在两处以上细节错误一致；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19.7.13不同供应商的法定代表人、委托代理人、项目经理、项目负责人等由同一个单位缴纳社会保险或者领取报酬的；</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不同供应商投标（响应）文件中法定代表人或者负责人签字出自同一人之手。</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19.8.1不同供应商的响应性文件互相混装的；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19.8.2不同供应商授权同一人作为供应商委托代理人的；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19.8.3不同供应商的响应性文件载明的项目管理成员为同一人的；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19.8.4有证据证明供应商与采购人、采购代理机构或者其他供应商串通的其他情形；</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19.8.5竞争性磋商小组认定的其他串通情形。</w:t>
      </w:r>
    </w:p>
    <w:p>
      <w:pPr>
        <w:pStyle w:val="33"/>
        <w:rPr>
          <w:rFonts w:ascii="宋体" w:hAnsi="宋体" w:cs="宋体"/>
          <w:color w:val="000000" w:themeColor="text1"/>
          <w:sz w:val="24"/>
          <w:szCs w:val="24"/>
          <w14:textFill>
            <w14:solidFill>
              <w14:schemeClr w14:val="tx1"/>
            </w14:solidFill>
          </w14:textFill>
        </w:rPr>
      </w:pPr>
    </w:p>
    <w:tbl>
      <w:tblPr>
        <w:tblStyle w:val="25"/>
        <w:tblW w:w="9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788"/>
        <w:gridCol w:w="3969"/>
        <w:gridCol w:w="85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467" w:type="dxa"/>
            <w:gridSpan w:val="5"/>
            <w:vAlign w:val="center"/>
          </w:tcPr>
          <w:p>
            <w:pPr>
              <w:pStyle w:val="36"/>
              <w:pBdr>
                <w:bottom w:val="none" w:color="auto" w:sz="0" w:space="0"/>
              </w:pBdr>
              <w:tabs>
                <w:tab w:val="clear" w:pos="4153"/>
                <w:tab w:val="clear" w:pos="8306"/>
              </w:tabs>
              <w:snapToGrid w:val="0"/>
              <w:spacing w:line="360" w:lineRule="auto"/>
              <w:ind w:right="-10"/>
              <w:textAlignment w:val="auto"/>
              <w:rPr>
                <w:rFonts w:ascii="宋体" w:hAnsi="宋体" w:cs="宋体"/>
                <w:b/>
                <w:color w:val="000000" w:themeColor="text1"/>
                <w:kern w:val="2"/>
                <w:szCs w:val="24"/>
                <w14:textFill>
                  <w14:solidFill>
                    <w14:schemeClr w14:val="tx1"/>
                  </w14:solidFill>
                </w14:textFill>
              </w:rPr>
            </w:pPr>
            <w:r>
              <w:rPr>
                <w:rFonts w:hint="eastAsia" w:ascii="宋体" w:hAnsi="宋体" w:cs="宋体"/>
                <w:b/>
                <w:color w:val="000000" w:themeColor="text1"/>
                <w:kern w:val="2"/>
                <w:szCs w:val="24"/>
                <w14:textFill>
                  <w14:solidFill>
                    <w14:schemeClr w14:val="tx1"/>
                  </w14:solidFill>
                </w14:textFill>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06"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788" w:type="dxa"/>
            <w:tcBorders>
              <w:bottom w:val="single" w:color="auto" w:sz="4" w:space="0"/>
            </w:tcBorders>
            <w:vAlign w:val="center"/>
          </w:tcPr>
          <w:p>
            <w:pPr>
              <w:pStyle w:val="36"/>
              <w:pBdr>
                <w:bottom w:val="none" w:color="auto" w:sz="0" w:space="0"/>
              </w:pBdr>
              <w:tabs>
                <w:tab w:val="clear" w:pos="4153"/>
                <w:tab w:val="clear" w:pos="8306"/>
              </w:tabs>
              <w:snapToGrid w:val="0"/>
              <w:spacing w:line="360" w:lineRule="auto"/>
              <w:ind w:right="-10"/>
              <w:textAlignment w:val="auto"/>
              <w:rPr>
                <w:rFonts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指标名称</w:t>
            </w:r>
          </w:p>
        </w:tc>
        <w:tc>
          <w:tcPr>
            <w:tcW w:w="3969"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指标要求</w:t>
            </w:r>
          </w:p>
        </w:tc>
        <w:tc>
          <w:tcPr>
            <w:tcW w:w="850"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w:t>
            </w:r>
          </w:p>
        </w:tc>
        <w:tc>
          <w:tcPr>
            <w:tcW w:w="1954"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投标文件格式及</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营业执照</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具有有效的营业执照</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法定代表人及身份证</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有效得法定代表人身份证</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资质要求</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纳税凭证和社保证明</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提供2025年1月份以来任意1个月的缴纳凭证或证明材料，新成立企业从成立之日计算；</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财务审计报告</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提供2024年度的财务审计报告(注：公司成立年限不足的企业应提供其基本户开户银行出具的资信证明）</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“信用中国”“中国政府采购网”查询</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投标文件签字盖章格式</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合格供应商的声明函和承诺书</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服务期</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投标有效期</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服务技术要求</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其他实质性要求</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结论</w:t>
            </w:r>
          </w:p>
        </w:tc>
        <w:tc>
          <w:tcPr>
            <w:tcW w:w="6773" w:type="dxa"/>
            <w:gridSpan w:val="3"/>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是否通过审查</w:t>
            </w:r>
          </w:p>
        </w:tc>
      </w:tr>
    </w:tbl>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20.响应性文件的澄清</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20.4供应商的书面澄清材料作为响应性文件的补充。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20.5竞争性磋商小组不得接受供应商主动提出的澄清和解释。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20.6并非每个供应商都将被询问、澄清。</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21.竞争性磋商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21.1资格性审查和符合性审查合格的供应商，将进入本次竞争性磋商程序。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21.2竞争性磋商将按照供应商的签到顺序进行。</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21.3磋商内容包括：</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21.3.1按照竞争性磋商文件中商务部分的内容，对照供应商提交的响应文件逐一进行比较各项指标和要求。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21.3.2按照竞争性磋商文件中技术部分的内容，对照供应商提交的响应文件逐一进行比较各项指标和要求。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21.3.4在磋商中，磋商的任何一方不得透露与磋商有关的其他供应商的技术资料及其他信息。</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w:t>
      </w:r>
      <w:r>
        <w:rPr>
          <w:rFonts w:hint="eastAsia" w:ascii="宋体" w:hAnsi="宋体" w:cs="宋体"/>
          <w:color w:val="000000" w:themeColor="text1"/>
          <w:sz w:val="24"/>
          <w:lang w:val="zh-CN"/>
          <w14:textFill>
            <w14:solidFill>
              <w14:schemeClr w14:val="tx1"/>
            </w14:solidFill>
          </w14:textFill>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21.4.1</w:t>
      </w:r>
      <w:r>
        <w:rPr>
          <w:rFonts w:hint="eastAsia" w:ascii="宋体" w:hAnsi="宋体" w:cs="宋体"/>
          <w:color w:val="000000" w:themeColor="text1"/>
          <w:sz w:val="24"/>
          <w:lang w:val="zh-CN"/>
          <w14:textFill>
            <w14:solidFill>
              <w14:schemeClr w14:val="tx1"/>
            </w14:solidFill>
          </w14:textFill>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1.本次竞争性磋商的报价选择一次报价。</w:t>
      </w:r>
    </w:p>
    <w:p>
      <w:pPr>
        <w:pStyle w:val="18"/>
        <w:rPr>
          <w:color w:val="000000" w:themeColor="text1"/>
          <w:sz w:val="30"/>
          <w:szCs w:val="30"/>
          <w14:textFill>
            <w14:solidFill>
              <w14:schemeClr w14:val="tx1"/>
            </w14:solidFill>
          </w14:textFill>
        </w:rPr>
      </w:pPr>
      <w:bookmarkStart w:id="42" w:name="_Toc195875470"/>
      <w:r>
        <w:rPr>
          <w:rFonts w:hint="eastAsia"/>
          <w:color w:val="000000" w:themeColor="text1"/>
          <w:sz w:val="30"/>
          <w:szCs w:val="30"/>
          <w14:textFill>
            <w14:solidFill>
              <w14:schemeClr w14:val="tx1"/>
            </w14:solidFill>
          </w14:textFill>
        </w:rPr>
        <w:t>六、评定标准</w:t>
      </w:r>
      <w:bookmarkEnd w:id="42"/>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22.竞争性磋商过程及保密原则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pPr>
        <w:pStyle w:val="13"/>
        <w:spacing w:after="0" w:line="560" w:lineRule="exact"/>
        <w:ind w:left="0" w:leftChars="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22.2对通过初步审查的响应文件，采用百分制综合评分法进行评价。</w:t>
      </w:r>
    </w:p>
    <w:p>
      <w:pPr>
        <w:spacing w:line="360" w:lineRule="auto"/>
        <w:ind w:right="-92" w:rightChars="-44"/>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评标方法：</w:t>
      </w:r>
    </w:p>
    <w:tbl>
      <w:tblPr>
        <w:tblStyle w:val="2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7"/>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208"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5408"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2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报价</w:t>
            </w:r>
          </w:p>
          <w:p>
            <w:pPr>
              <w:jc w:val="center"/>
              <w:rPr>
                <w:rFonts w:hint="eastAsia" w:ascii="宋体" w:hAnsi="宋体" w:eastAsia="宋体" w:cs="宋体"/>
                <w:sz w:val="24"/>
                <w:szCs w:val="24"/>
              </w:rPr>
            </w:pPr>
            <w:r>
              <w:rPr>
                <w:rFonts w:hint="eastAsia" w:ascii="宋体" w:hAnsi="宋体" w:eastAsia="宋体" w:cs="宋体"/>
                <w:sz w:val="24"/>
                <w:szCs w:val="24"/>
              </w:rPr>
              <w:t>部分</w:t>
            </w:r>
          </w:p>
          <w:p>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198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报价得分</w:t>
            </w:r>
          </w:p>
          <w:p>
            <w:pPr>
              <w:jc w:val="center"/>
              <w:rPr>
                <w:rFonts w:hint="eastAsia" w:ascii="宋体" w:hAnsi="宋体" w:eastAsia="宋体" w:cs="宋体"/>
                <w:sz w:val="24"/>
                <w:szCs w:val="24"/>
              </w:rPr>
            </w:pPr>
            <w:r>
              <w:rPr>
                <w:rFonts w:hint="eastAsia" w:ascii="宋体" w:hAnsi="宋体" w:eastAsia="宋体" w:cs="宋体"/>
                <w:sz w:val="24"/>
                <w:szCs w:val="24"/>
              </w:rPr>
              <w:t>(0-10分)</w:t>
            </w:r>
          </w:p>
        </w:tc>
        <w:tc>
          <w:tcPr>
            <w:tcW w:w="5408"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最终报价超过最高限价的，其响应无效。</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满足招标文件要求且投标报价最低的为评标基准价，投标报价最低的为满分</w:t>
            </w:r>
            <w:r>
              <w:rPr>
                <w:rFonts w:hint="eastAsia" w:ascii="宋体" w:hAnsi="宋体" w:eastAsia="宋体" w:cs="宋体"/>
                <w:sz w:val="24"/>
                <w:szCs w:val="24"/>
                <w:lang w:val="en-US"/>
              </w:rPr>
              <w:t>10</w:t>
            </w:r>
            <w:r>
              <w:rPr>
                <w:rFonts w:hint="eastAsia" w:ascii="宋体" w:hAnsi="宋体" w:eastAsia="宋体" w:cs="宋体"/>
                <w:sz w:val="24"/>
                <w:szCs w:val="24"/>
              </w:rPr>
              <w:t>分。其他投标人的价格分别按照下列公式计算：投标报价得分=(评标基准价／投标报价)×</w:t>
            </w:r>
            <w:r>
              <w:rPr>
                <w:rFonts w:hint="eastAsia" w:ascii="宋体" w:hAnsi="宋体" w:eastAsia="宋体" w:cs="宋体"/>
                <w:sz w:val="24"/>
                <w:szCs w:val="24"/>
                <w:lang w:val="en-US"/>
              </w:rPr>
              <w:t>10</w:t>
            </w:r>
            <w:r>
              <w:rPr>
                <w:rFonts w:hint="eastAsia" w:ascii="宋体" w:hAnsi="宋体" w:eastAsia="宋体" w:cs="宋体"/>
                <w:sz w:val="24"/>
                <w:szCs w:val="24"/>
              </w:rPr>
              <w:t>，计算过程按四舍五入，保留两位小数</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商务</w:t>
            </w:r>
            <w:r>
              <w:rPr>
                <w:rFonts w:hint="eastAsia" w:ascii="宋体" w:hAnsi="宋体" w:eastAsia="宋体" w:cs="宋体"/>
                <w:sz w:val="24"/>
                <w:szCs w:val="24"/>
              </w:rPr>
              <w:t>部分（30分）</w:t>
            </w:r>
          </w:p>
        </w:tc>
        <w:tc>
          <w:tcPr>
            <w:tcW w:w="1987" w:type="dxa"/>
            <w:noWrap w:val="0"/>
            <w:vAlign w:val="center"/>
          </w:tcPr>
          <w:p>
            <w:pPr>
              <w:pStyle w:val="43"/>
              <w:spacing w:before="57"/>
              <w:ind w:left="8" w:right="6"/>
              <w:jc w:val="center"/>
              <w:rPr>
                <w:rFonts w:hint="eastAsia" w:ascii="宋体" w:hAnsi="宋体" w:eastAsia="宋体" w:cs="宋体"/>
                <w:sz w:val="24"/>
                <w:szCs w:val="24"/>
              </w:rPr>
            </w:pPr>
            <w:r>
              <w:rPr>
                <w:rFonts w:hint="eastAsia" w:ascii="宋体" w:hAnsi="宋体" w:eastAsia="宋体" w:cs="宋体"/>
                <w:sz w:val="24"/>
                <w:szCs w:val="24"/>
              </w:rPr>
              <w:t>企业能力</w:t>
            </w:r>
          </w:p>
          <w:p>
            <w:pPr>
              <w:pStyle w:val="43"/>
              <w:spacing w:before="57"/>
              <w:ind w:left="8" w:right="6"/>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18分</w:t>
            </w:r>
            <w:r>
              <w:rPr>
                <w:rFonts w:hint="eastAsia" w:ascii="宋体" w:hAnsi="宋体" w:eastAsia="宋体" w:cs="宋体"/>
                <w:sz w:val="24"/>
                <w:szCs w:val="24"/>
              </w:rPr>
              <w:t>）</w:t>
            </w:r>
          </w:p>
        </w:tc>
        <w:tc>
          <w:tcPr>
            <w:tcW w:w="5408" w:type="dxa"/>
            <w:noWrap w:val="0"/>
            <w:vAlign w:val="center"/>
          </w:tcPr>
          <w:p>
            <w:pPr>
              <w:pStyle w:val="43"/>
              <w:numPr>
                <w:ilvl w:val="0"/>
                <w:numId w:val="3"/>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rPr>
              <w:t>具备信息技术服务标准符合性证书</w:t>
            </w:r>
            <w:r>
              <w:rPr>
                <w:rFonts w:hint="eastAsia" w:ascii="宋体" w:hAnsi="宋体" w:eastAsia="宋体" w:cs="宋体"/>
                <w:sz w:val="24"/>
                <w:szCs w:val="24"/>
                <w:lang w:val="en-US"/>
              </w:rPr>
              <w:t>三级或以上证书，得3分；</w:t>
            </w:r>
          </w:p>
          <w:p>
            <w:pPr>
              <w:pStyle w:val="43"/>
              <w:numPr>
                <w:ilvl w:val="0"/>
                <w:numId w:val="3"/>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软件能力成熟度模型CMMI 3级或以上认证的，得3分；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3、具备ISO 9001质量管理体系认证证书、ISO 20000信息技术服务管理体系认证证书、ISO 27001信息安全管理体系认证证书，每具备一个得2分，满分6分。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4、具有信用信息类软件著作权(如:联合奖惩、双公示、运维服务平台、信用修复等），每提供一个得1.5分，满分6分。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（需提供上述证书原件扫描件，否则不得分。）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lang w:val="en-US"/>
              </w:rPr>
            </w:pPr>
          </w:p>
        </w:tc>
        <w:tc>
          <w:tcPr>
            <w:tcW w:w="1987" w:type="dxa"/>
            <w:noWrap w:val="0"/>
            <w:vAlign w:val="center"/>
          </w:tcPr>
          <w:p>
            <w:pPr>
              <w:pStyle w:val="43"/>
              <w:spacing w:before="57"/>
              <w:ind w:left="8" w:right="6"/>
              <w:jc w:val="center"/>
              <w:rPr>
                <w:rFonts w:hint="eastAsia" w:ascii="宋体" w:hAnsi="宋体" w:eastAsia="宋体" w:cs="宋体"/>
                <w:sz w:val="24"/>
                <w:szCs w:val="24"/>
                <w:lang w:val="en-US"/>
              </w:rPr>
            </w:pPr>
            <w:r>
              <w:rPr>
                <w:rFonts w:hint="eastAsia" w:ascii="宋体" w:hAnsi="宋体" w:eastAsia="宋体" w:cs="宋体"/>
                <w:sz w:val="24"/>
                <w:szCs w:val="24"/>
                <w:lang w:val="en-US"/>
              </w:rPr>
              <w:t>团队要求</w:t>
            </w:r>
          </w:p>
          <w:p>
            <w:pPr>
              <w:pStyle w:val="43"/>
              <w:spacing w:before="57"/>
              <w:ind w:left="8" w:right="6"/>
              <w:jc w:val="center"/>
              <w:rPr>
                <w:rFonts w:hint="eastAsia" w:ascii="宋体" w:hAnsi="宋体" w:eastAsia="宋体" w:cs="宋体"/>
                <w:sz w:val="24"/>
                <w:szCs w:val="24"/>
                <w:lang w:val="en-US"/>
              </w:rPr>
            </w:pPr>
            <w:r>
              <w:rPr>
                <w:rFonts w:hint="eastAsia" w:ascii="宋体" w:hAnsi="宋体" w:eastAsia="宋体" w:cs="宋体"/>
                <w:sz w:val="24"/>
                <w:szCs w:val="24"/>
                <w:lang w:val="en-US"/>
              </w:rPr>
              <w:t>（6分）</w:t>
            </w:r>
          </w:p>
        </w:tc>
        <w:tc>
          <w:tcPr>
            <w:tcW w:w="5408" w:type="dxa"/>
            <w:noWrap w:val="0"/>
            <w:vAlign w:val="center"/>
          </w:tcPr>
          <w:p>
            <w:pPr>
              <w:pStyle w:val="43"/>
              <w:numPr>
                <w:ilvl w:val="0"/>
                <w:numId w:val="4"/>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项目负责人具备一级信用管理师，得2分；</w:t>
            </w:r>
          </w:p>
          <w:p>
            <w:pPr>
              <w:pStyle w:val="43"/>
              <w:numPr>
                <w:ilvl w:val="0"/>
                <w:numId w:val="4"/>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项目团队成员（除项目负责人外）具备高级信息系统项目管理师、一级项目管理师、数据库系统工程师、系统集成项目管理工程师，每有1人具备得1分，同一人员具有多个证书不重复计分，满分4分。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（项目组成员需提供近半年社保缴纳证明及证书原件的扫描件，未提供或提供的扫描件不清晰的不得分）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pStyle w:val="43"/>
              <w:spacing w:before="50"/>
              <w:ind w:left="8" w:right="8"/>
              <w:jc w:val="center"/>
              <w:rPr>
                <w:rFonts w:hint="eastAsia" w:ascii="宋体" w:hAnsi="宋体" w:eastAsia="宋体" w:cs="宋体"/>
                <w:sz w:val="24"/>
                <w:szCs w:val="24"/>
                <w:lang w:val="en-US"/>
              </w:rPr>
            </w:pPr>
            <w:r>
              <w:rPr>
                <w:rFonts w:hint="eastAsia" w:ascii="宋体" w:hAnsi="宋体" w:eastAsia="宋体" w:cs="宋体"/>
                <w:sz w:val="24"/>
                <w:szCs w:val="24"/>
                <w:lang w:val="en-US"/>
              </w:rPr>
              <w:t>类似业绩</w:t>
            </w:r>
          </w:p>
          <w:p>
            <w:pPr>
              <w:pStyle w:val="43"/>
              <w:spacing w:before="50"/>
              <w:ind w:left="8" w:right="8"/>
              <w:jc w:val="center"/>
              <w:rPr>
                <w:rFonts w:hint="eastAsia" w:ascii="宋体" w:hAnsi="宋体" w:eastAsia="宋体" w:cs="宋体"/>
                <w:sz w:val="24"/>
                <w:szCs w:val="24"/>
                <w:lang w:val="en-US"/>
              </w:rPr>
            </w:pPr>
            <w:r>
              <w:rPr>
                <w:rFonts w:hint="eastAsia" w:ascii="宋体" w:hAnsi="宋体" w:eastAsia="宋体" w:cs="宋体"/>
                <w:sz w:val="24"/>
                <w:szCs w:val="24"/>
                <w:lang w:val="en-US"/>
              </w:rPr>
              <w:t>（6分）</w:t>
            </w:r>
          </w:p>
          <w:p>
            <w:pPr>
              <w:pStyle w:val="43"/>
              <w:spacing w:before="50"/>
              <w:ind w:left="8" w:right="8"/>
              <w:jc w:val="center"/>
              <w:rPr>
                <w:rFonts w:hint="eastAsia" w:ascii="宋体" w:hAnsi="宋体" w:eastAsia="宋体" w:cs="宋体"/>
                <w:sz w:val="24"/>
                <w:szCs w:val="24"/>
                <w:lang w:val="en-US"/>
              </w:rPr>
            </w:pPr>
          </w:p>
        </w:tc>
        <w:tc>
          <w:tcPr>
            <w:tcW w:w="5408" w:type="dxa"/>
            <w:noWrap w:val="0"/>
            <w:vAlign w:val="center"/>
          </w:tcPr>
          <w:p>
            <w:pPr>
              <w:pStyle w:val="43"/>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lang w:val="en-US"/>
              </w:rPr>
              <w:t>提供</w:t>
            </w:r>
            <w:r>
              <w:rPr>
                <w:rFonts w:hint="eastAsia" w:ascii="宋体" w:hAnsi="宋体" w:eastAsia="宋体" w:cs="宋体"/>
                <w:sz w:val="24"/>
                <w:szCs w:val="24"/>
              </w:rPr>
              <w:t>自</w:t>
            </w:r>
            <w:r>
              <w:rPr>
                <w:rFonts w:hint="eastAsia" w:ascii="宋体" w:hAnsi="宋体" w:eastAsia="宋体" w:cs="宋体"/>
                <w:sz w:val="24"/>
                <w:szCs w:val="24"/>
                <w:lang w:val="en-US"/>
              </w:rPr>
              <w:t>2022</w:t>
            </w:r>
            <w:r>
              <w:rPr>
                <w:rFonts w:hint="eastAsia" w:ascii="宋体" w:hAnsi="宋体" w:eastAsia="宋体" w:cs="宋体"/>
                <w:sz w:val="24"/>
                <w:szCs w:val="24"/>
              </w:rPr>
              <w:t>年</w:t>
            </w:r>
            <w:r>
              <w:rPr>
                <w:rFonts w:hint="eastAsia" w:ascii="宋体" w:hAnsi="宋体" w:eastAsia="宋体" w:cs="宋体"/>
                <w:sz w:val="24"/>
                <w:szCs w:val="24"/>
                <w:lang w:val="en-US"/>
              </w:rPr>
              <w:t>1</w:t>
            </w:r>
            <w:r>
              <w:rPr>
                <w:rFonts w:hint="eastAsia" w:ascii="宋体" w:hAnsi="宋体" w:eastAsia="宋体" w:cs="宋体"/>
                <w:sz w:val="24"/>
                <w:szCs w:val="24"/>
              </w:rPr>
              <w:t>月</w:t>
            </w:r>
            <w:r>
              <w:rPr>
                <w:rFonts w:hint="eastAsia" w:ascii="宋体" w:hAnsi="宋体" w:eastAsia="宋体" w:cs="宋体"/>
                <w:sz w:val="24"/>
                <w:szCs w:val="24"/>
                <w:lang w:val="en-US"/>
              </w:rPr>
              <w:t>1</w:t>
            </w:r>
            <w:r>
              <w:rPr>
                <w:rFonts w:hint="eastAsia" w:ascii="宋体" w:hAnsi="宋体" w:eastAsia="宋体" w:cs="宋体"/>
                <w:sz w:val="24"/>
                <w:szCs w:val="24"/>
              </w:rPr>
              <w:t>日以来承担过类似项目业绩每</w:t>
            </w:r>
            <w:r>
              <w:rPr>
                <w:rFonts w:hint="eastAsia" w:ascii="宋体" w:hAnsi="宋体" w:eastAsia="宋体" w:cs="宋体"/>
                <w:sz w:val="24"/>
                <w:szCs w:val="24"/>
                <w:lang w:val="en-US"/>
              </w:rPr>
              <w:t>有1个</w:t>
            </w:r>
            <w:r>
              <w:rPr>
                <w:rFonts w:hint="eastAsia" w:ascii="宋体" w:hAnsi="宋体" w:eastAsia="宋体" w:cs="宋体"/>
                <w:sz w:val="24"/>
                <w:szCs w:val="24"/>
              </w:rPr>
              <w:t>得</w:t>
            </w:r>
            <w:r>
              <w:rPr>
                <w:rFonts w:hint="eastAsia" w:ascii="宋体" w:hAnsi="宋体" w:eastAsia="宋体" w:cs="宋体"/>
                <w:sz w:val="24"/>
                <w:szCs w:val="24"/>
                <w:lang w:val="en-US"/>
              </w:rPr>
              <w:t>2</w:t>
            </w:r>
            <w:r>
              <w:rPr>
                <w:rFonts w:hint="eastAsia" w:ascii="宋体" w:hAnsi="宋体" w:eastAsia="宋体" w:cs="宋体"/>
                <w:sz w:val="24"/>
                <w:szCs w:val="24"/>
              </w:rPr>
              <w:t>分，</w:t>
            </w:r>
            <w:r>
              <w:rPr>
                <w:rFonts w:hint="eastAsia" w:ascii="宋体" w:hAnsi="宋体" w:eastAsia="宋体" w:cs="宋体"/>
                <w:sz w:val="24"/>
                <w:szCs w:val="24"/>
                <w:lang w:val="en-US"/>
              </w:rPr>
              <w:t>满分6分</w:t>
            </w:r>
            <w:r>
              <w:rPr>
                <w:rFonts w:hint="eastAsia" w:ascii="宋体" w:hAnsi="宋体" w:eastAsia="宋体" w:cs="宋体"/>
                <w:sz w:val="24"/>
                <w:szCs w:val="24"/>
              </w:rPr>
              <w:t>。</w:t>
            </w:r>
          </w:p>
          <w:p>
            <w:pPr>
              <w:pStyle w:val="43"/>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需提供合同及中标通知书扫描件（合同至少应附合同签字盖章页、金额页、项目内容页）</w:t>
            </w:r>
            <w:r>
              <w:rPr>
                <w:rFonts w:hint="eastAsia" w:ascii="宋体" w:hAnsi="宋体" w:eastAsia="宋体" w:cs="宋体"/>
                <w:sz w:val="24"/>
                <w:szCs w:val="24"/>
              </w:rPr>
              <w:t>，时间以合同签订时间为准，否则不予得分）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技术部分</w:t>
            </w:r>
          </w:p>
          <w:p>
            <w:pPr>
              <w:jc w:val="center"/>
              <w:rPr>
                <w:rFonts w:hint="eastAsia" w:ascii="宋体" w:hAnsi="宋体" w:eastAsia="宋体" w:cs="宋体"/>
                <w:sz w:val="24"/>
                <w:szCs w:val="24"/>
              </w:rPr>
            </w:pPr>
            <w:r>
              <w:rPr>
                <w:rFonts w:hint="eastAsia" w:ascii="宋体" w:hAnsi="宋体" w:eastAsia="宋体" w:cs="宋体"/>
                <w:sz w:val="24"/>
                <w:szCs w:val="24"/>
              </w:rPr>
              <w:t>（60分）</w:t>
            </w:r>
          </w:p>
        </w:tc>
        <w:tc>
          <w:tcPr>
            <w:tcW w:w="1987"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方案总</w:t>
            </w:r>
          </w:p>
          <w:p>
            <w:pPr>
              <w:jc w:val="center"/>
              <w:rPr>
                <w:rFonts w:hint="eastAsia" w:ascii="宋体" w:hAnsi="宋体" w:eastAsia="宋体" w:cs="宋体"/>
                <w:bCs/>
                <w:sz w:val="24"/>
                <w:szCs w:val="24"/>
              </w:rPr>
            </w:pPr>
            <w:r>
              <w:rPr>
                <w:rFonts w:hint="eastAsia" w:ascii="宋体" w:hAnsi="宋体" w:eastAsia="宋体" w:cs="宋体"/>
                <w:bCs/>
                <w:sz w:val="24"/>
                <w:szCs w:val="24"/>
              </w:rPr>
              <w:t>体设计</w:t>
            </w:r>
          </w:p>
          <w:p>
            <w:pPr>
              <w:jc w:val="center"/>
              <w:rPr>
                <w:rFonts w:hint="eastAsia" w:ascii="宋体" w:hAnsi="宋体" w:eastAsia="宋体" w:cs="宋体"/>
                <w:sz w:val="24"/>
                <w:szCs w:val="24"/>
              </w:rPr>
            </w:pPr>
            <w:r>
              <w:rPr>
                <w:rFonts w:hint="eastAsia" w:ascii="宋体" w:hAnsi="宋体" w:eastAsia="宋体" w:cs="宋体"/>
                <w:bCs/>
                <w:sz w:val="24"/>
                <w:szCs w:val="24"/>
              </w:rPr>
              <w:t>（10分）</w:t>
            </w:r>
          </w:p>
        </w:tc>
        <w:tc>
          <w:tcPr>
            <w:tcW w:w="5408" w:type="dxa"/>
            <w:noWrap w:val="0"/>
            <w:vAlign w:val="center"/>
          </w:tcPr>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1、投标供应商对服务背景、服务思路、服务目标有清晰的认识与分析，能够根据服务需求针对性的建立完善的服务实施体系，包括服务方案、实施方案以及售后运营方案。整体方案架构完善，逻辑性强得10分；整体方案架构、逻辑一般，得5分；整体方案架构、逻辑混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方案设</w:t>
            </w:r>
          </w:p>
          <w:p>
            <w:pPr>
              <w:jc w:val="center"/>
              <w:rPr>
                <w:rFonts w:hint="eastAsia" w:ascii="宋体" w:hAnsi="宋体" w:eastAsia="宋体" w:cs="宋体"/>
                <w:bCs/>
                <w:sz w:val="24"/>
                <w:szCs w:val="24"/>
              </w:rPr>
            </w:pPr>
            <w:r>
              <w:rPr>
                <w:rFonts w:hint="eastAsia" w:ascii="宋体" w:hAnsi="宋体" w:eastAsia="宋体" w:cs="宋体"/>
                <w:bCs/>
                <w:sz w:val="24"/>
                <w:szCs w:val="24"/>
              </w:rPr>
              <w:t>计与功</w:t>
            </w:r>
          </w:p>
          <w:p>
            <w:pPr>
              <w:jc w:val="center"/>
              <w:rPr>
                <w:rFonts w:hint="eastAsia" w:ascii="宋体" w:hAnsi="宋体" w:eastAsia="宋体" w:cs="宋体"/>
                <w:bCs/>
                <w:sz w:val="24"/>
                <w:szCs w:val="24"/>
              </w:rPr>
            </w:pPr>
            <w:r>
              <w:rPr>
                <w:rFonts w:hint="eastAsia" w:ascii="宋体" w:hAnsi="宋体" w:eastAsia="宋体" w:cs="宋体"/>
                <w:bCs/>
                <w:sz w:val="24"/>
                <w:szCs w:val="24"/>
              </w:rPr>
              <w:t>能响应</w:t>
            </w:r>
          </w:p>
          <w:p>
            <w:pPr>
              <w:jc w:val="center"/>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rPr>
              <w:t>3</w:t>
            </w:r>
            <w:r>
              <w:rPr>
                <w:rFonts w:hint="eastAsia" w:ascii="宋体" w:hAnsi="宋体" w:eastAsia="宋体" w:cs="宋体"/>
                <w:bCs/>
                <w:sz w:val="24"/>
                <w:szCs w:val="24"/>
              </w:rPr>
              <w:t>0分）</w:t>
            </w:r>
          </w:p>
        </w:tc>
        <w:tc>
          <w:tcPr>
            <w:tcW w:w="5408" w:type="dxa"/>
            <w:noWrap w:val="0"/>
            <w:vAlign w:val="center"/>
          </w:tcPr>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根据采购文件采购需求，投标人针对本项目提供完整的运维服务方案,方案内容包括：</w:t>
            </w:r>
          </w:p>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1）基础技术服务：标准规范制定、数据交换支持、接口服务；（2）平台网站服务：系统运维服务、定期巡检服务、系统培训服务、应用推进服务、其他服务、稳定性保障服务；（3）日常工作协同服务：内容更新维护服务、会务服务、专项治理协助服务、联合奖惩推动服务、业务培训服务、制度咨询服务、信息归集协助服务、工作考核协助服；（4）推进运维服务：规划咨询服务、机制建设咨询服务、协助推进信用应用服务、协助推动专项领域信用服务、工作交流辅导服务、宣传策划服务；方案内容完整、逻辑清晰，符合项目实际要求，得30分；每有一项缺项、偏差、缺陷不符合的扣3分，扣完为止。（缺陷是指只提供评分标准标题、凭空编造、内容前后不一致、前后逻辑错误、涉及的规范及标准错误、内容缺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tabs>
                <w:tab w:val="left" w:pos="-22"/>
              </w:tabs>
              <w:spacing w:line="300" w:lineRule="auto"/>
              <w:jc w:val="center"/>
              <w:rPr>
                <w:rFonts w:hint="eastAsia" w:ascii="宋体" w:hAnsi="宋体" w:eastAsia="宋体" w:cs="宋体"/>
                <w:sz w:val="24"/>
                <w:szCs w:val="24"/>
              </w:rPr>
            </w:pPr>
            <w:r>
              <w:rPr>
                <w:rFonts w:hint="eastAsia" w:ascii="宋体" w:hAnsi="宋体" w:eastAsia="宋体" w:cs="宋体"/>
                <w:sz w:val="24"/>
                <w:szCs w:val="24"/>
              </w:rPr>
              <w:t>项目服务方案（10分）</w:t>
            </w:r>
          </w:p>
        </w:tc>
        <w:tc>
          <w:tcPr>
            <w:tcW w:w="5408" w:type="dxa"/>
            <w:noWrap w:val="0"/>
            <w:vAlign w:val="center"/>
          </w:tcPr>
          <w:p>
            <w:pPr>
              <w:pStyle w:val="8"/>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根据采购文件采购需求，投标人针对本项目提供完整的项目实施方案主要包括：（1）实施管理体系；（2）进度安排；（3）质量保障措施；（4）培训工作；（5）组织机构及人员等方面；方案内容完整、逻辑清晰，符合项目实际要求，得10分；每有一项缺项、偏差、缺陷不符合的扣2分，扣完为止。（缺陷是指只提供评分标准标题、凭空编造、内容前后不一致、前后逻辑错误、涉及的规范及标准错误、内容缺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tabs>
                <w:tab w:val="left" w:pos="-22"/>
              </w:tabs>
              <w:spacing w:line="300" w:lineRule="auto"/>
              <w:jc w:val="center"/>
              <w:rPr>
                <w:rFonts w:hint="eastAsia" w:ascii="宋体" w:hAnsi="宋体" w:eastAsia="宋体" w:cs="宋体"/>
                <w:sz w:val="24"/>
                <w:szCs w:val="24"/>
              </w:rPr>
            </w:pPr>
            <w:r>
              <w:rPr>
                <w:rFonts w:hint="eastAsia" w:ascii="宋体" w:hAnsi="宋体" w:eastAsia="宋体" w:cs="宋体"/>
                <w:sz w:val="24"/>
                <w:szCs w:val="24"/>
              </w:rPr>
              <w:t>服务质量保障</w:t>
            </w:r>
          </w:p>
          <w:p>
            <w:pPr>
              <w:tabs>
                <w:tab w:val="left" w:pos="-22"/>
              </w:tabs>
              <w:spacing w:line="300"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5408" w:type="dxa"/>
            <w:noWrap w:val="0"/>
            <w:vAlign w:val="center"/>
          </w:tcPr>
          <w:p>
            <w:pPr>
              <w:tabs>
                <w:tab w:val="left" w:pos="-22"/>
              </w:tabs>
              <w:spacing w:line="300" w:lineRule="auto"/>
              <w:jc w:val="both"/>
              <w:rPr>
                <w:rFonts w:hint="eastAsia" w:ascii="宋体" w:hAnsi="宋体" w:eastAsia="宋体" w:cs="宋体"/>
                <w:sz w:val="24"/>
                <w:szCs w:val="24"/>
              </w:rPr>
            </w:pPr>
            <w:r>
              <w:rPr>
                <w:rFonts w:hint="eastAsia" w:ascii="宋体" w:hAnsi="宋体" w:eastAsia="宋体" w:cs="宋体"/>
                <w:sz w:val="24"/>
                <w:szCs w:val="24"/>
              </w:rPr>
              <w:t>1、投标人提供的服务方案能够无缝融合市公共信息平台信用库对接方案；提供方案，方案可行且对接效果较好，5分；提供方案，但方案无缝对接性非最佳，3分；方案可行性较低，1分。</w:t>
            </w:r>
          </w:p>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2、根据投标人提供的服务时效响应、服务承诺进行打分，提供得5分。无此项叙述不得分。</w:t>
            </w:r>
          </w:p>
        </w:tc>
      </w:tr>
    </w:tbl>
    <w:p>
      <w:pPr>
        <w:spacing w:line="360" w:lineRule="auto"/>
        <w:ind w:right="-92" w:rightChars="-44"/>
        <w:rPr>
          <w:rFonts w:ascii="宋体" w:hAnsi="宋体" w:cs="宋体"/>
          <w:b/>
          <w:color w:val="000000" w:themeColor="text1"/>
          <w:sz w:val="28"/>
          <w:szCs w:val="28"/>
          <w14:textFill>
            <w14:solidFill>
              <w14:schemeClr w14:val="tx1"/>
            </w14:solidFill>
          </w14:textFill>
        </w:rPr>
      </w:pPr>
    </w:p>
    <w:p>
      <w:pPr>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最终得分为磋商小组所有成员计分的算术平均值，计算保留小数点两位，小数点后第三位四舍五入。</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22.5若供应商的报价高于项目预算，磋商小组有权根据采购人意见及其实际情况，拒绝该报价。</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22.7在竞争性磋商期间，供应商不得向竞争性磋商小组成员询问其它供应商竞争性磋商情况，不得进行旨在影响成交结果的活动。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22.8在竞争性磋商期间，采购人将有专门人员与供应商进行联络。</w:t>
      </w:r>
    </w:p>
    <w:p>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23.竞争性磋商终止</w:t>
      </w:r>
    </w:p>
    <w:p>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23.1出现下列情形之一时，采购人有权宣布竞争性磋商终止，并将理由通知所有供应商：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（1）因情况变化，不再符合竞争性磋商适用情形的；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（2）出现影响采购公正的违法、违规行为的；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（3）在采购过程中符合磋商文件要求的供应商不足3家的；</w:t>
      </w:r>
    </w:p>
    <w:p>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（4）在采购活动中因重大变故，采购任务取消的；</w:t>
      </w:r>
    </w:p>
    <w:p>
      <w:pPr>
        <w:pStyle w:val="18"/>
        <w:rPr>
          <w:color w:val="000000" w:themeColor="text1"/>
          <w:sz w:val="30"/>
          <w:szCs w:val="30"/>
          <w14:textFill>
            <w14:solidFill>
              <w14:schemeClr w14:val="tx1"/>
            </w14:solidFill>
          </w14:textFill>
        </w:rPr>
      </w:pPr>
      <w:bookmarkStart w:id="43" w:name="_Toc195875471"/>
      <w:r>
        <w:rPr>
          <w:rFonts w:hint="eastAsia"/>
          <w:color w:val="000000" w:themeColor="text1"/>
          <w:sz w:val="30"/>
          <w:szCs w:val="30"/>
          <w14:textFill>
            <w14:solidFill>
              <w14:schemeClr w14:val="tx1"/>
            </w14:solidFill>
          </w14:textFill>
        </w:rPr>
        <w:t>七、成交通知</w:t>
      </w:r>
      <w:bookmarkEnd w:id="43"/>
    </w:p>
    <w:p>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24.成交通知</w:t>
      </w:r>
    </w:p>
    <w:p>
      <w:pPr>
        <w:pStyle w:val="3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24.1采购人应当自收到评审报告之日起5个工作日内在评审报告推荐的中标或者成交候选人中按顺序确定中标或者成交供应商。</w:t>
      </w:r>
    </w:p>
    <w:p>
      <w:pPr>
        <w:tabs>
          <w:tab w:val="left" w:pos="18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24.2在发出成交公告后请采购人、中标人登录周口市公共资源交易中心网（http://jyzx.zhoukou.gov.cn）自行下载成交通知书。</w:t>
      </w:r>
    </w:p>
    <w:p>
      <w:pPr>
        <w:tabs>
          <w:tab w:val="left" w:pos="18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24.3成交通知书对采购人和成交供应商具有同等法律效力。成交通知书发出后，采购人改变成交结果，或者成交供应商放弃成交，应当承担相应的法律责任。</w:t>
      </w:r>
    </w:p>
    <w:p>
      <w:pPr>
        <w:pStyle w:val="18"/>
        <w:rPr>
          <w:color w:val="000000" w:themeColor="text1"/>
          <w:sz w:val="30"/>
          <w:szCs w:val="30"/>
          <w14:textFill>
            <w14:solidFill>
              <w14:schemeClr w14:val="tx1"/>
            </w14:solidFill>
          </w14:textFill>
        </w:rPr>
      </w:pPr>
      <w:bookmarkStart w:id="44" w:name="_Toc195875472"/>
      <w:r>
        <w:rPr>
          <w:rFonts w:hint="eastAsia"/>
          <w:color w:val="000000" w:themeColor="text1"/>
          <w:sz w:val="30"/>
          <w:szCs w:val="30"/>
          <w14:textFill>
            <w14:solidFill>
              <w14:schemeClr w14:val="tx1"/>
            </w14:solidFill>
          </w14:textFill>
        </w:rPr>
        <w:t>八、合同授予</w:t>
      </w:r>
      <w:bookmarkEnd w:id="44"/>
    </w:p>
    <w:p>
      <w:pPr>
        <w:tabs>
          <w:tab w:val="left" w:pos="1620"/>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25.签订合同及合同的执行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25.1采购人、成交供应商按照竞争性磋商文件确定的合同文本签订政府采购合同。</w:t>
      </w:r>
    </w:p>
    <w:p>
      <w:pPr>
        <w:pStyle w:val="37"/>
        <w:tabs>
          <w:tab w:val="left" w:pos="932"/>
        </w:tabs>
        <w:adjustRightInd w:val="0"/>
        <w:snapToGrid w:val="0"/>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pStyle w:val="3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25.4</w:t>
      </w:r>
      <w:r>
        <w:rPr>
          <w:rFonts w:hint="eastAsia" w:ascii="宋体" w:hAnsi="宋体" w:cs="宋体"/>
          <w:color w:val="000000" w:themeColor="text1"/>
          <w:sz w:val="24"/>
          <w14:textFill>
            <w14:solidFill>
              <w14:schemeClr w14:val="tx1"/>
            </w14:solidFill>
          </w14:textFill>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pStyle w:val="18"/>
        <w:rPr>
          <w:color w:val="000000" w:themeColor="text1"/>
          <w:sz w:val="30"/>
          <w:szCs w:val="30"/>
          <w14:textFill>
            <w14:solidFill>
              <w14:schemeClr w14:val="tx1"/>
            </w14:solidFill>
          </w14:textFill>
        </w:rPr>
      </w:pPr>
      <w:bookmarkStart w:id="45" w:name="_Toc195875473"/>
      <w:r>
        <w:rPr>
          <w:rFonts w:hint="eastAsia"/>
          <w:color w:val="000000" w:themeColor="text1"/>
          <w:sz w:val="30"/>
          <w:szCs w:val="30"/>
          <w14:textFill>
            <w14:solidFill>
              <w14:schemeClr w14:val="tx1"/>
            </w14:solidFill>
          </w14:textFill>
        </w:rPr>
        <w:t>九、质疑处理</w:t>
      </w:r>
      <w:bookmarkEnd w:id="45"/>
    </w:p>
    <w:p>
      <w:pPr>
        <w:tabs>
          <w:tab w:val="left" w:pos="1620"/>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26.质疑程序及处理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w:t>
      </w:r>
      <w:r>
        <w:rPr>
          <w:rFonts w:hint="eastAsia" w:ascii="宋体" w:hAnsi="宋体" w:cs="宋体"/>
          <w:bCs/>
          <w:color w:val="000000" w:themeColor="text1"/>
          <w:sz w:val="24"/>
          <w14:textFill>
            <w14:solidFill>
              <w14:schemeClr w14:val="tx1"/>
            </w14:solidFill>
          </w14:textFill>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26.2采购人在收到供应商的书面质疑后七个工作日内做出答复，并以书面形式通知质疑供应商和其他供应商，但答复内容不得涉及商业秘密。</w:t>
      </w:r>
    </w:p>
    <w:p>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w:t>
      </w:r>
      <w:r>
        <w:rPr>
          <w:rFonts w:hint="eastAsia" w:ascii="宋体" w:hAnsi="宋体" w:cs="宋体"/>
          <w:bCs/>
          <w:color w:val="000000" w:themeColor="text1"/>
          <w:sz w:val="24"/>
          <w14:textFill>
            <w14:solidFill>
              <w14:schemeClr w14:val="tx1"/>
            </w14:solidFill>
          </w14:textFill>
        </w:rPr>
        <w:t>质疑供应商行使质疑权时，必须遵守“实事求是”和“谨慎性”原则，承担使用虚假材料或恶意方式质疑的法律责任，</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bCs/>
          <w:color w:val="000000" w:themeColor="text1"/>
          <w:sz w:val="24"/>
          <w14:textFill>
            <w14:solidFill>
              <w14:schemeClr w14:val="tx1"/>
            </w14:solidFill>
          </w14:textFill>
        </w:rPr>
        <w:t>将遵循“谁过错谁负担”的原则，由过错方提交相关的调查论证费用。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00" w:lineRule="exact"/>
        <w:rPr>
          <w:rFonts w:ascii="宋体" w:hAnsi="宋体" w:cs="宋体"/>
          <w:color w:val="000000" w:themeColor="text1"/>
          <w:sz w:val="24"/>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sectPr>
          <w:headerReference r:id="rId3" w:type="default"/>
          <w:footerReference r:id="rId4" w:type="default"/>
          <w:pgSz w:w="11907" w:h="16840"/>
          <w:pgMar w:top="1440" w:right="1080" w:bottom="1440" w:left="1080" w:header="510" w:footer="0" w:gutter="0"/>
          <w:cols w:space="720" w:num="1"/>
          <w:docGrid w:type="lines" w:linePitch="312" w:charSpace="0"/>
        </w:sectPr>
      </w:pPr>
    </w:p>
    <w:p>
      <w:pPr>
        <w:pStyle w:val="22"/>
        <w:rPr>
          <w:color w:val="000000" w:themeColor="text1"/>
          <w:sz w:val="30"/>
          <w:szCs w:val="30"/>
          <w14:textFill>
            <w14:solidFill>
              <w14:schemeClr w14:val="tx1"/>
            </w14:solidFill>
          </w14:textFill>
        </w:rPr>
      </w:pPr>
      <w:bookmarkStart w:id="46" w:name="_Toc195875474"/>
      <w:r>
        <w:rPr>
          <w:rFonts w:hint="eastAsia"/>
          <w:color w:val="000000" w:themeColor="text1"/>
          <w:sz w:val="30"/>
          <w:szCs w:val="30"/>
          <w14:textFill>
            <w14:solidFill>
              <w14:schemeClr w14:val="tx1"/>
            </w14:solidFill>
          </w14:textFill>
        </w:rPr>
        <w:t>第三章 采购项目内容及要求</w:t>
      </w:r>
      <w:bookmarkEnd w:id="46"/>
    </w:p>
    <w:p>
      <w:pPr>
        <w:spacing w:line="560" w:lineRule="exact"/>
        <w:ind w:firstLine="480" w:firstLineChars="200"/>
        <w:rPr>
          <w:rStyle w:val="38"/>
          <w:sz w:val="24"/>
        </w:rPr>
      </w:pPr>
      <w:bookmarkStart w:id="47" w:name="_Toc11739_WPSOffice_Level1"/>
      <w:bookmarkStart w:id="48" w:name="_Toc40975439"/>
      <w:r>
        <w:rPr>
          <w:rStyle w:val="38"/>
          <w:rFonts w:hint="eastAsia"/>
          <w:sz w:val="24"/>
        </w:rPr>
        <w:t>1、项目概况：项城市社会信用体系建设综合运维服务项目</w:t>
      </w:r>
      <w:r>
        <w:rPr>
          <w:rStyle w:val="38"/>
          <w:sz w:val="24"/>
        </w:rPr>
        <w:t>。</w:t>
      </w:r>
    </w:p>
    <w:p>
      <w:pPr>
        <w:spacing w:line="560" w:lineRule="exact"/>
        <w:ind w:firstLine="480" w:firstLineChars="200"/>
        <w:rPr>
          <w:rStyle w:val="38"/>
          <w:sz w:val="24"/>
        </w:rPr>
      </w:pPr>
      <w:r>
        <w:rPr>
          <w:rStyle w:val="38"/>
          <w:sz w:val="24"/>
        </w:rPr>
        <w:t>2</w:t>
      </w:r>
      <w:r>
        <w:rPr>
          <w:rStyle w:val="38"/>
          <w:rFonts w:hint="eastAsia"/>
          <w:sz w:val="24"/>
        </w:rPr>
        <w:t>、服务思路：按照信息化运维管理理论、方法和标准，结合项城市综合运维服务实际和建设需要，遵循立足需求、统一规划、保障重点、分步实施、务求实效的原则，建立一套融合组织、制度、流程、人员、技术的信息化运维管理体系。</w:t>
      </w:r>
    </w:p>
    <w:p>
      <w:pPr>
        <w:spacing w:line="560" w:lineRule="exact"/>
        <w:ind w:firstLine="480" w:firstLineChars="200"/>
        <w:rPr>
          <w:rStyle w:val="38"/>
        </w:rPr>
      </w:pPr>
      <w:r>
        <w:rPr>
          <w:rStyle w:val="38"/>
          <w:sz w:val="24"/>
        </w:rPr>
        <w:t>3</w:t>
      </w:r>
      <w:r>
        <w:rPr>
          <w:rStyle w:val="38"/>
          <w:rFonts w:hint="eastAsia"/>
          <w:sz w:val="24"/>
        </w:rPr>
        <w:t>、服务要求：按照《中共中央办公厅 国务院办公厅关于健全社会信用体系的意见</w:t>
      </w:r>
      <w:r>
        <w:rPr>
          <w:rStyle w:val="38"/>
          <w:sz w:val="24"/>
        </w:rPr>
        <w:t>》</w:t>
      </w:r>
      <w:r>
        <w:rPr>
          <w:rStyle w:val="38"/>
          <w:rFonts w:hint="eastAsia"/>
          <w:sz w:val="24"/>
        </w:rPr>
        <w:t>《国家发展改革委办公厅关于印发&lt;2024—2025年社会信用体系建设行动计划&gt;的通知》</w:t>
      </w:r>
      <w:r>
        <w:rPr>
          <w:rStyle w:val="38"/>
          <w:sz w:val="24"/>
        </w:rPr>
        <w:t>等文件的相关要求，充分结合实际情况，建设法人、个人等基础信用数据库，统一数据标准，以覆盖全社会的公共信用平台为基础，以政务诚信、商务诚信、社会诚信、司法公信建设为主要内容进一步推进信用信息归集、信用宣传工作开展、信用应用推广落地等方面的工作，促进</w:t>
      </w:r>
      <w:r>
        <w:rPr>
          <w:rStyle w:val="38"/>
          <w:rFonts w:hint="eastAsia"/>
          <w:sz w:val="24"/>
        </w:rPr>
        <w:t>项城市</w:t>
      </w:r>
      <w:r>
        <w:rPr>
          <w:rStyle w:val="38"/>
          <w:sz w:val="24"/>
        </w:rPr>
        <w:t>社会信用体系建设的高效发展</w:t>
      </w:r>
      <w:r>
        <w:rPr>
          <w:rStyle w:val="38"/>
          <w:rFonts w:hint="eastAsia"/>
          <w:sz w:val="24"/>
        </w:rPr>
        <w:t>。</w:t>
      </w:r>
    </w:p>
    <w:tbl>
      <w:tblPr>
        <w:tblStyle w:val="25"/>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137"/>
        <w:gridCol w:w="1319"/>
        <w:gridCol w:w="54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124" w:type="dxa"/>
            <w:gridSpan w:val="5"/>
            <w:noWrap/>
            <w:vAlign w:val="center"/>
          </w:tcPr>
          <w:p>
            <w:pPr>
              <w:pStyle w:val="56"/>
              <w:jc w:val="center"/>
              <w:rPr>
                <w:rFonts w:hint="eastAsia" w:ascii="宋体" w:hAnsi="宋体" w:eastAsia="宋体" w:cs="宋体"/>
                <w:b/>
                <w:bCs/>
                <w:szCs w:val="24"/>
              </w:rPr>
            </w:pPr>
            <w:r>
              <w:rPr>
                <w:rFonts w:hint="eastAsia" w:ascii="宋体" w:hAnsi="宋体" w:eastAsia="宋体" w:cs="宋体"/>
                <w:b/>
                <w:bCs/>
                <w:sz w:val="28"/>
                <w:szCs w:val="21"/>
              </w:rPr>
              <w:t>周口市项城市社会信用体系建设综合运维服务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498" w:type="dxa"/>
            <w:noWrap/>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序号</w:t>
            </w:r>
          </w:p>
        </w:tc>
        <w:tc>
          <w:tcPr>
            <w:tcW w:w="1137" w:type="dxa"/>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服务内容</w:t>
            </w:r>
          </w:p>
        </w:tc>
        <w:tc>
          <w:tcPr>
            <w:tcW w:w="1319" w:type="dxa"/>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详细内容</w:t>
            </w:r>
          </w:p>
        </w:tc>
        <w:tc>
          <w:tcPr>
            <w:tcW w:w="5461" w:type="dxa"/>
            <w:noWrap/>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内容描述</w:t>
            </w:r>
          </w:p>
        </w:tc>
        <w:tc>
          <w:tcPr>
            <w:tcW w:w="709" w:type="dxa"/>
            <w:noWrap/>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基础技术服务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标准规范制定</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制定基础数据规范，包括基础数据的范围定义、每个基础数据的业务语义定义与表示、每个基础数据元的类型定义与取值范围等。</w:t>
            </w:r>
          </w:p>
          <w:p>
            <w:pPr>
              <w:pStyle w:val="56"/>
              <w:rPr>
                <w:rFonts w:hint="eastAsia" w:ascii="宋体" w:hAnsi="宋体" w:eastAsia="宋体" w:cs="宋体"/>
                <w:szCs w:val="24"/>
              </w:rPr>
            </w:pPr>
            <w:r>
              <w:rPr>
                <w:rFonts w:hint="eastAsia" w:ascii="宋体" w:hAnsi="宋体" w:eastAsia="宋体" w:cs="宋体"/>
                <w:szCs w:val="24"/>
              </w:rPr>
              <w:t>为保障本项目数据传输的实时性、准确性、安全性等方面，需对数据交换方面编制相应的要求，需制定应用集成运行平台数据对接标准。</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数据交换支持服务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客户的需求及各部门信用数据对接的需求，提供公共信用信息共享交换平台的交换扩展支持服务。在通过数据模板导入和系统录入的基础上，在具备条件时使更多的部门以数据交换方式进行数据归集，确保数据归集的效率和准确度，拓展数据共享交换实现数据互联互通的新路径。</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3</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接口服务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目前国内公共信用平台接口标准规范体系要求，服务团队将会协助构建动态的接口管理机制，实现公共信用信息平台与其他部门、业务系统或第三方数据服务机构等接口连接，保障不同应用平台/系统间数据的互联互通。</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4</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平台网站服务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系统运维服务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为项城市公共信用信息平台及“信用项城”门户网站提供维护服务，保障平台和网站安全可靠运行，及时解答各参建部门在系统使用过程中遇到的问题。通过现场、远程等服务方式及时解决相关问题，保障平台和网站的正常运行，并能使系统不断得到改善和提高，以充分发挥作用。具体将提供信用信息平台维护、系统补丁、系统优化、软件升级、系统崩溃恢复等多样化服务等。解决系统运行过程中出现的系统故障（包括日常故障排除、系统崩溃恢复等），同时对建设中的相关业务开展建议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5</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定期巡检服务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建立定期巡检工作机制，提供月、季、年度巡检等服务。除故障响应服务外，服务团队定期提供对系统的巡检及维护服务，及时监控系统运行状态，并提供系统故障预防措施的建议，确保平台一直处于最佳运行状态。通过定期巡检等方式对平台提供预防性维护和系统性能优化。</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6</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系统培训服务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负责对用户进行全面的技术培训，针对“项城市公共信用信息平台”提供定期的培训服务，包含平台应用和维护所需要的配套培训服务，采用现场集中培训和分散培训相结合的方式，确保主管部门及各相关部门用户、管理人员能够掌握平台的使用。除应用培训外，服务团队负责对用户进行全面的技术培训，使用户达到能独立进行管理、维护和故障处理等工作，以便用户所使用的软件产品能够正常、安全地运行。</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7</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应用推进服务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多地社会信用体系建设的发展经验以及平台、网站的创新应用对项城市现有的基础平台不断提出升级和优化的建议，促进完善以实现更好的应用体验。同时，后续可以根据客户的需求，拓展创新领域应用，开辟新的功能点，进一步打造信用项城市新模式。</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8</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其他服务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提供包括共建单位服务、数据管理服务、网络及安全系统运维服务、主机及存储系统运维服务、数据库运维服务、中间件运维服务等其他服务。</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9</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稳定性保障服务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提供的信用平台应用了先进的访问控制、身份认证等技术防止非法用户的入侵，保证系统能够正常、可靠的运行。数据在采集、存储、传输和处理的过程中，始终保持完整性和一致性。保证系统在后台维护与数据安全层次及业务层次都是可靠的，确保系统极高的可靠性。</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10</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日常工作协同服务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内容更新维护服务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运维服务人员将会根据项城市信用门户网站的更新的要求，配合项城市信用办做好门户网站的信息更新与维护工作，充分体现信用展示的活跃度。</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11</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会务服务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服务人员将结合项城市社会信用体系建设的工作需要，辅助开展其余临时事项。完成信用办交办的临时事项，如协助信用办下发会议通知、到某委办局对接开展专项信用领域的信用应用、协调数据采集等事务等。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12</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专项治理工作协助服务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协助信用办根据国家、省、市的相关工作部署，完成各项信用专项治理工作。具体将在电信网络诈骗专项治理；互联网虚假信息、造谣传谣专项治理；涉金融领域失信问题专项治理和互联网金融风险专项整治;生态环境保护失信行为专项治理等领域开展专项治理。</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13</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联合奖惩推动服务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以《全国失信惩戒措施基础清单（2025版）》为依据，通过模块化的方式实现联合奖惩措施的入库，并依法依规建立健全失信联合惩戒对象名单制度。协助项城市建立并落实联合惩戒措施，实现措施清单动态更新并向社会公开，形成行政性、市场性和行业性等惩戒措施多管齐下，社会力量广泛参与的失信联合惩戒大格局。奖惩的发起部门建立起备忘录关联的对象名单后，实现名单自动推送给联合参与部门。各部门在办理相关业务时，通过项城市联合奖惩的奖惩插件或者客户端等形式接收对象名单后在行政事项中对对象库里的成员进行惩戒（激励）措施的记录，最终形成奖惩结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14</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业务培训服务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协助项城市信用办提供培训活动的组织策划服务，帮助政府联系国内权威的专家担任培训导师，配套科学的教材，结合培训活动的实际情况量身定制开展相应培训。培训形式包括现场培训会和线上培训等；培训对象包括企业、信用主管单位、信用参建单位等；培训的主题涵盖：“信用修复培训”专题培训、信用承诺培训、联合奖惩培训、“双公示数据规范”专题培训、“诚信大讲堂”主题培训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15</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制度咨询服务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服务团队将协助项城市建立完善已有的的信用体系相关规范、制度、办法，为信用体系建设提供良好的保障基础。同时，可以辅助信用办制定新的信用制度文件，为信用办收集可参考素材、提供合理化建议。</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16</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信息归集指导服务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人员将会协助项城市信用办指导各单位信息归集工作，协助信用办推动各部门信用数据报送相关工作，保持数据通道畅通，由下自上归集高质量的信用信息。针对平台各共建单位在数据提报、接入平台等方面提供服务，配合项目建设单位完成各数据源单位数据采集、处理和入库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17</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工作考核协助服务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针对项城市的信用工作推进要求，协助制定考核评价办法与措施，同时协助信用办完成上级单位的考核工作和下达的工作任务。主要是通过协助信用办进行信用工作考核，能够实现基于系统应用情况，并提供各部门的平台应用情况、数据归集情况统计、分析表，从而作为项城市信用工作考核的参考依据，以推动平台良好应用。另外，将会配合信用办完成上级单位对信用体系相关的考核任务，协助信用办进行考察接待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18</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推广及运维服务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规划咨询服务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结合最新的信用政策制度和发展动态，遵循国家标准，河南省、周口市主管部门的统一规划，协助信用办，为项城市后续的信用体系建设提供必要的建议。同时协助信用办对目前项城市的基础平台和功能提出优化和完善方案，进而完善当前的信用体系建设和信用平台应用状态，共同推进信用体系建设和应用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19</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社会信用体系体制机制建设咨询服务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根据国家和河南省社会信用体系建设工作的相关要求，结合项城市实际需求，协同规划设计项城市社会信用体系建设体制机制工作。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20</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协助推动信用应用服务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积极推广运维服务项目，协助进行应用场景的宣传，提供应用场景的操作指导，并对应用场景的实际开展工作进行统计分析，支持各类运营应用更好的开展，并在具体运营工作开展时，基于现有平台和网站功能，为第三方提供必要的技术和服务支持，保障运营方案有效落地。</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21</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协助推动专项领域信用服务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项城市在建立各类专项信用管理体系时，服务团队可以协助信用办完成与对应主管部门的对接、沟通，协助主管部门落实专项信用管理要求。在专项领域信用应用建设工作中，服务团队后期也可以提供支持。</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22</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信用工作相关交流辅导服务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根据综合运维服务需求，我们对于信用工作对内和对外的考察和交流提供服务，配合信用办与各主要相关参建部门进行交流协调。如上级单位视察工作时，对信用平台和相关工作的汇报、讲解等。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23</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宣传策划服务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在运维服务期间，我方将协助信用办对既有的信用工作成果进行包装和宣传，按照工作需要策划宣传活动，协助信用办做好信用宣传工作，展现工作成绩，营造良好的诚信氛围。</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bl>
    <w:p>
      <w:pPr>
        <w:pStyle w:val="3"/>
        <w:ind w:firstLine="0"/>
        <w:rPr>
          <w:rFonts w:hint="eastAsia" w:ascii="宋体" w:hAnsi="宋体" w:eastAsia="宋体" w:cs="宋体"/>
        </w:rPr>
      </w:pPr>
    </w:p>
    <w:bookmarkEnd w:id="47"/>
    <w:bookmarkEnd w:id="48"/>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pStyle w:val="22"/>
        <w:rPr>
          <w:color w:val="000000" w:themeColor="text1"/>
          <w:sz w:val="30"/>
          <w:szCs w:val="30"/>
          <w14:textFill>
            <w14:solidFill>
              <w14:schemeClr w14:val="tx1"/>
            </w14:solidFill>
          </w14:textFill>
        </w:rPr>
      </w:pPr>
      <w:bookmarkStart w:id="49" w:name="_Toc195875475"/>
      <w:r>
        <w:rPr>
          <w:rFonts w:hint="eastAsia"/>
          <w:color w:val="000000" w:themeColor="text1"/>
          <w:sz w:val="30"/>
          <w:szCs w:val="30"/>
          <w14:textFill>
            <w14:solidFill>
              <w14:schemeClr w14:val="tx1"/>
            </w14:solidFill>
          </w14:textFill>
        </w:rPr>
        <w:t>第四章  响应性文件内容及格式</w:t>
      </w:r>
      <w:bookmarkEnd w:id="49"/>
    </w:p>
    <w:p>
      <w:pPr>
        <w:widowControl/>
        <w:spacing w:line="520" w:lineRule="exact"/>
        <w:ind w:firstLine="480" w:firstLineChars="200"/>
        <w:jc w:val="center"/>
        <w:rPr>
          <w:rFonts w:ascii="宋体" w:hAnsi="宋体" w:cs="宋体"/>
          <w:color w:val="000000" w:themeColor="text1"/>
          <w:sz w:val="24"/>
          <w14:textFill>
            <w14:solidFill>
              <w14:schemeClr w14:val="tx1"/>
            </w14:solidFill>
          </w14:textFill>
        </w:rPr>
      </w:pP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w:t>
      </w:r>
    </w:p>
    <w:p>
      <w:pPr>
        <w:snapToGri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2.法定代表人本人参加竞争性磋商的，不需提供授权委托书。</w:t>
      </w:r>
    </w:p>
    <w:p>
      <w:pPr>
        <w:snapToGrid w:val="0"/>
        <w:spacing w:line="560" w:lineRule="exact"/>
        <w:ind w:firstLine="480" w:firstLineChars="200"/>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50" w:name="_Toc195875476"/>
      <w:r>
        <w:rPr>
          <w:rFonts w:hint="eastAsia"/>
          <w:color w:val="000000" w:themeColor="text1"/>
          <w:sz w:val="30"/>
          <w:szCs w:val="30"/>
          <w14:textFill>
            <w14:solidFill>
              <w14:schemeClr w14:val="tx1"/>
            </w14:solidFill>
          </w14:textFill>
        </w:rPr>
        <w:t>格式2-1企业营业执照副本及资格性证明材料</w:t>
      </w:r>
      <w:bookmarkEnd w:id="50"/>
    </w:p>
    <w:p>
      <w:pPr>
        <w:pStyle w:val="30"/>
        <w:ind w:firstLine="210"/>
        <w:rPr>
          <w:rFonts w:ascii="宋体" w:hAnsi="宋体"/>
          <w:color w:val="000000" w:themeColor="text1"/>
          <w14:textFill>
            <w14:solidFill>
              <w14:schemeClr w14:val="tx1"/>
            </w14:solidFill>
          </w14:textFill>
        </w:rPr>
      </w:pPr>
    </w:p>
    <w:p>
      <w:pPr>
        <w:pStyle w:val="18"/>
        <w:rPr>
          <w:color w:val="000000" w:themeColor="text1"/>
          <w:sz w:val="30"/>
          <w:szCs w:val="30"/>
          <w14:textFill>
            <w14:solidFill>
              <w14:schemeClr w14:val="tx1"/>
            </w14:solidFill>
          </w14:textFill>
        </w:rPr>
      </w:pPr>
      <w:bookmarkStart w:id="51" w:name="_Toc195875477"/>
      <w:r>
        <w:rPr>
          <w:rFonts w:hint="eastAsia"/>
          <w:color w:val="000000" w:themeColor="text1"/>
          <w:sz w:val="30"/>
          <w:szCs w:val="30"/>
          <w14:textFill>
            <w14:solidFill>
              <w14:schemeClr w14:val="tx1"/>
            </w14:solidFill>
          </w14:textFill>
        </w:rPr>
        <w:t>格式2-2 法定代表人身份证明书</w:t>
      </w:r>
      <w:bookmarkEnd w:id="51"/>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（法定代表人参加竞争性磋商的，出具此证明书）</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1440" w:firstLineChars="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同志，系我单位法定代表人，任    职务。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附：联系地址：</w:t>
      </w:r>
    </w:p>
    <w:p>
      <w:pPr>
        <w:spacing w:line="360" w:lineRule="auto"/>
        <w:ind w:firstLine="960" w:firstLineChars="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bl>
      <w:tblPr>
        <w:tblStyle w:val="25"/>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color w:val="000000" w:themeColor="text1"/>
                <w:sz w:val="24"/>
                <w14:textFill>
                  <w14:solidFill>
                    <w14:schemeClr w14:val="tx1"/>
                  </w14:solidFill>
                </w14:textFill>
              </w:rPr>
            </w:pPr>
          </w:p>
          <w:p>
            <w:pPr>
              <w:spacing w:line="480" w:lineRule="exact"/>
              <w:rPr>
                <w:rFonts w:ascii="宋体" w:hAnsi="宋体" w:cs="宋体"/>
                <w:b/>
                <w:bCs/>
                <w:color w:val="000000" w:themeColor="text1"/>
                <w:sz w:val="24"/>
                <w14:textFill>
                  <w14:solidFill>
                    <w14:schemeClr w14:val="tx1"/>
                  </w14:solidFill>
                </w14:textFill>
              </w:rPr>
            </w:pPr>
          </w:p>
          <w:p>
            <w:pPr>
              <w:spacing w:line="48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（※附：法定代表人身份证复印件※）</w:t>
            </w:r>
          </w:p>
          <w:p>
            <w:pPr>
              <w:spacing w:line="480" w:lineRule="exact"/>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24"/>
                <w14:textFill>
                  <w14:solidFill>
                    <w14:schemeClr w14:val="tx1"/>
                  </w14:solidFill>
                </w14:textFill>
              </w:rPr>
            </w:pPr>
          </w:p>
        </w:tc>
      </w:tr>
    </w:tbl>
    <w:p>
      <w:pPr>
        <w:spacing w:line="360" w:lineRule="auto"/>
        <w:ind w:firstLine="960" w:firstLineChars="4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52" w:name="_Toc195875478"/>
      <w:r>
        <w:rPr>
          <w:rFonts w:hint="eastAsia"/>
          <w:color w:val="000000" w:themeColor="text1"/>
          <w:sz w:val="30"/>
          <w:szCs w:val="30"/>
          <w14:textFill>
            <w14:solidFill>
              <w14:schemeClr w14:val="tx1"/>
            </w14:solidFill>
          </w14:textFill>
        </w:rPr>
        <w:t>格式2-3 授权委托书</w:t>
      </w:r>
      <w:bookmarkEnd w:id="52"/>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（委托代理人参加竞争性磋商的，出具此证明书）</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委托人授权    （被委托人的姓名、职务）为委托人的委托代理人，就项目编号为    的项目及合同的执行，以本单位名义处理一切与之有关的事务。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   年   月    日签字生效，特此声明。</w:t>
      </w: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供应商电子签章：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被委托人：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bl>
      <w:tblPr>
        <w:tblStyle w:val="25"/>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color w:val="000000" w:themeColor="text1"/>
                <w:sz w:val="24"/>
                <w14:textFill>
                  <w14:solidFill>
                    <w14:schemeClr w14:val="tx1"/>
                  </w14:solidFill>
                </w14:textFill>
              </w:rPr>
            </w:pPr>
          </w:p>
          <w:p>
            <w:pPr>
              <w:spacing w:line="480" w:lineRule="exact"/>
              <w:rPr>
                <w:rFonts w:ascii="宋体" w:hAnsi="宋体" w:cs="宋体"/>
                <w:b/>
                <w:bCs/>
                <w:color w:val="000000" w:themeColor="text1"/>
                <w:sz w:val="24"/>
                <w14:textFill>
                  <w14:solidFill>
                    <w14:schemeClr w14:val="tx1"/>
                  </w14:solidFill>
                </w14:textFill>
              </w:rPr>
            </w:pPr>
          </w:p>
          <w:p>
            <w:pPr>
              <w:spacing w:line="480" w:lineRule="exact"/>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（※附：被委托人身份证复印件※）</w:t>
            </w:r>
          </w:p>
        </w:tc>
      </w:tr>
    </w:tbl>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920" w:firstLineChars="205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pStyle w:val="30"/>
        <w:ind w:firstLine="210"/>
        <w:rPr>
          <w:rFonts w:ascii="宋体" w:hAnsi="宋体"/>
          <w:color w:val="000000" w:themeColor="text1"/>
          <w14:textFill>
            <w14:solidFill>
              <w14:schemeClr w14:val="tx1"/>
            </w14:solidFill>
          </w14:textFill>
        </w:rPr>
      </w:pPr>
    </w:p>
    <w:p>
      <w:pPr>
        <w:pStyle w:val="30"/>
        <w:ind w:firstLine="210"/>
        <w:rPr>
          <w:rFonts w:ascii="宋体" w:hAnsi="宋体"/>
          <w:color w:val="000000" w:themeColor="text1"/>
          <w14:textFill>
            <w14:solidFill>
              <w14:schemeClr w14:val="tx1"/>
            </w14:solidFill>
          </w14:textFill>
        </w:rPr>
      </w:pPr>
    </w:p>
    <w:p>
      <w:pPr>
        <w:pStyle w:val="30"/>
        <w:ind w:firstLine="21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18"/>
        <w:rPr>
          <w:rFonts w:ascii="宋体" w:hAnsi="宋体"/>
          <w:color w:val="000000" w:themeColor="text1"/>
          <w:sz w:val="30"/>
          <w:szCs w:val="30"/>
          <w14:textFill>
            <w14:solidFill>
              <w14:schemeClr w14:val="tx1"/>
            </w14:solidFill>
          </w14:textFill>
        </w:rPr>
      </w:pPr>
      <w:bookmarkStart w:id="53" w:name="_Toc195875479"/>
      <w:r>
        <w:rPr>
          <w:rFonts w:hint="eastAsia" w:ascii="宋体" w:hAnsi="宋体"/>
          <w:color w:val="000000" w:themeColor="text1"/>
          <w:sz w:val="30"/>
          <w:szCs w:val="30"/>
          <w14:textFill>
            <w14:solidFill>
              <w14:schemeClr w14:val="tx1"/>
            </w14:solidFill>
          </w14:textFill>
        </w:rPr>
        <w:t>格式2-4政府采购法第二十二条及参加政府采购活动前三年内无重大违法记录的书面声明</w:t>
      </w:r>
      <w:bookmarkEnd w:id="53"/>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36" w:lineRule="auto"/>
        <w:jc w:val="left"/>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54" w:name="_Toc195875480"/>
      <w:r>
        <w:rPr>
          <w:rFonts w:hint="eastAsia"/>
          <w:color w:val="000000" w:themeColor="text1"/>
          <w:sz w:val="30"/>
          <w:szCs w:val="30"/>
          <w14:textFill>
            <w14:solidFill>
              <w14:schemeClr w14:val="tx1"/>
            </w14:solidFill>
          </w14:textFill>
        </w:rPr>
        <w:t>格式3 投标函</w:t>
      </w:r>
      <w:bookmarkEnd w:id="54"/>
    </w:p>
    <w:p>
      <w:pPr>
        <w:pStyle w:val="21"/>
        <w:shd w:val="clear" w:color="auto" w:fill="FFFFFF"/>
        <w:adjustRightInd w:val="0"/>
        <w:snapToGrid w:val="0"/>
        <w:spacing w:before="0" w:beforeAutospacing="0" w:after="0" w:afterAutospacing="0" w:line="336" w:lineRule="auto"/>
        <w:rPr>
          <w:rFonts w:cs="宋体"/>
          <w:color w:val="000000" w:themeColor="text1"/>
          <w14:textFill>
            <w14:solidFill>
              <w14:schemeClr w14:val="tx1"/>
            </w14:solidFill>
          </w14:textFill>
        </w:rPr>
      </w:pPr>
      <w:r>
        <w:rPr>
          <w:rFonts w:hint="eastAsia" w:cs="宋体"/>
          <w:color w:val="000000" w:themeColor="text1"/>
          <w:szCs w:val="24"/>
          <w14:textFill>
            <w14:solidFill>
              <w14:schemeClr w14:val="tx1"/>
            </w14:solidFill>
          </w14:textFill>
        </w:rPr>
        <w:t>致：</w:t>
      </w:r>
      <w:r>
        <w:rPr>
          <w:rFonts w:hint="eastAsia" w:cs="宋体"/>
          <w:color w:val="000000" w:themeColor="text1"/>
          <w:kern w:val="2"/>
          <w14:textFill>
            <w14:solidFill>
              <w14:schemeClr w14:val="tx1"/>
            </w14:solidFill>
          </w14:textFill>
        </w:rPr>
        <w:t>（采购人或采购代理机构）</w:t>
      </w:r>
    </w:p>
    <w:p>
      <w:pPr>
        <w:pStyle w:val="35"/>
        <w:spacing w:line="336"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w:t>
      </w:r>
      <w:r>
        <w:rPr>
          <w:rFonts w:hint="eastAsia" w:ascii="宋体" w:hAnsi="宋体"/>
          <w:color w:val="000000" w:themeColor="text1"/>
          <w:sz w:val="24"/>
          <w:szCs w:val="24"/>
          <w:u w:val="single"/>
          <w14:textFill>
            <w14:solidFill>
              <w14:schemeClr w14:val="tx1"/>
            </w14:solidFill>
          </w14:textFill>
        </w:rPr>
        <w:t>（本项目名称）</w:t>
      </w:r>
      <w:r>
        <w:rPr>
          <w:rFonts w:hint="eastAsia" w:ascii="宋体" w:hAnsi="宋体"/>
          <w:color w:val="000000" w:themeColor="text1"/>
          <w:sz w:val="24"/>
          <w:szCs w:val="24"/>
          <w14:textFill>
            <w14:solidFill>
              <w14:schemeClr w14:val="tx1"/>
            </w14:solidFill>
          </w14:textFill>
        </w:rPr>
        <w:t>项目的竞争性磋商邀请（项目编号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），委托代理人         (全名、职务)代表         供应商名称、地址)提交投标文件，报价为</w:t>
      </w:r>
      <w:r>
        <w:rPr>
          <w:rFonts w:hint="eastAsia" w:ascii="宋体" w:hAnsi="宋体"/>
          <w:color w:val="000000" w:themeColor="text1"/>
          <w:sz w:val="24"/>
          <w:szCs w:val="24"/>
          <w:u w:val="single"/>
          <w14:textFill>
            <w14:solidFill>
              <w14:schemeClr w14:val="tx1"/>
            </w14:solidFill>
          </w14:textFill>
        </w:rPr>
        <w:t>：    元，</w:t>
      </w:r>
      <w:r>
        <w:rPr>
          <w:rFonts w:hint="eastAsia" w:ascii="宋体" w:hAnsi="宋体"/>
          <w:color w:val="000000" w:themeColor="text1"/>
          <w:sz w:val="24"/>
          <w:szCs w:val="24"/>
          <w14:textFill>
            <w14:solidFill>
              <w14:schemeClr w14:val="tx1"/>
            </w14:solidFill>
          </w14:textFill>
        </w:rPr>
        <w:t>并对之负法律责任。</w:t>
      </w:r>
    </w:p>
    <w:p>
      <w:pPr>
        <w:spacing w:line="336" w:lineRule="auto"/>
        <w:ind w:firstLine="568" w:firstLineChars="23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据此函，宣布同意如下：</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(1)我们完全理解贵方不一定要接受最低报价，并同意本文件规定的响应性文件有效期。</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(2)我们已详细审核全部竞争性磋商文件，我们知道必须放弃提出含糊不清或误解的问题的权利。</w:t>
      </w:r>
    </w:p>
    <w:p>
      <w:pPr>
        <w:numPr>
          <w:ilvl w:val="0"/>
          <w:numId w:val="5"/>
        </w:num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同意向贵方提供贵方可能另外要求的与其竞争性磋商有关的任何证据和资料。</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(4)一旦我们成交，我们将严格履行合同责任和义务。</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(5)我们完全理解不向未成交人解释未成交理由的义务。</w:t>
      </w:r>
    </w:p>
    <w:p>
      <w:pPr>
        <w:spacing w:line="336"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如果我们的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color w:val="000000" w:themeColor="text1"/>
          <w:sz w:val="24"/>
          <w:lang w:val="zh-CN"/>
          <w14:textFill>
            <w14:solidFill>
              <w14:schemeClr w14:val="tx1"/>
            </w14:solidFill>
          </w14:textFill>
        </w:rPr>
        <w:t>响应文件被接受，我们将履行</w:t>
      </w:r>
      <w:r>
        <w:rPr>
          <w:rFonts w:hint="eastAsia" w:ascii="宋体" w:hAnsi="宋体" w:cs="宋体"/>
          <w:color w:val="000000" w:themeColor="text1"/>
          <w:sz w:val="24"/>
          <w14:textFill>
            <w14:solidFill>
              <w14:schemeClr w14:val="tx1"/>
            </w14:solidFill>
          </w14:textFill>
        </w:rPr>
        <w:t>磋商</w:t>
      </w:r>
      <w:r>
        <w:rPr>
          <w:rFonts w:hint="eastAsia" w:ascii="宋体" w:hAnsi="宋体" w:cs="宋体"/>
          <w:color w:val="000000" w:themeColor="text1"/>
          <w:sz w:val="24"/>
          <w:lang w:val="zh-CN"/>
          <w14:textFill>
            <w14:solidFill>
              <w14:schemeClr w14:val="tx1"/>
            </w14:solidFill>
          </w14:textFill>
        </w:rPr>
        <w:t>文件中规定的每一项要求，按期、按质、按量履行合同。</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lang w:val="zh-CN"/>
          <w14:textFill>
            <w14:solidFill>
              <w14:schemeClr w14:val="tx1"/>
            </w14:solidFill>
          </w14:textFill>
        </w:rPr>
        <w:t>我方愿按《中华人民共和国民法典》履行我方的全部责任。</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(8)与本次竞争性磋商有关的正式通讯地址为：</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                  邮 编：</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                  电子信箱：</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我们保证：</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(1)不提供虚假材料谋取成交；</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(2)不以不正当手段抵毁、排挤其他供应商；</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(3)不与采购人和其它供应商恶意串通；</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(4)不向采购人和采购代理机构提供不正当利益；</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(5)不拒绝有关部门监督检查或提供虚假情况。</w:t>
      </w:r>
    </w:p>
    <w:p>
      <w:pPr>
        <w:spacing w:line="336" w:lineRule="auto"/>
        <w:jc w:val="left"/>
        <w:rPr>
          <w:rFonts w:ascii="宋体" w:hAnsi="宋体" w:cs="宋体"/>
          <w:color w:val="000000" w:themeColor="text1"/>
          <w:sz w:val="24"/>
          <w14:textFill>
            <w14:solidFill>
              <w14:schemeClr w14:val="tx1"/>
            </w14:solidFill>
          </w14:textFill>
        </w:rPr>
      </w:pPr>
    </w:p>
    <w:p>
      <w:pPr>
        <w:spacing w:line="336"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联系人：              联系电话：</w:t>
      </w:r>
    </w:p>
    <w:p>
      <w:pPr>
        <w:spacing w:line="336"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36"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pStyle w:val="18"/>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55" w:name="_Toc195875481"/>
      <w:r>
        <w:rPr>
          <w:rFonts w:hint="eastAsia" w:ascii="宋体" w:hAnsi="宋体"/>
          <w:color w:val="000000" w:themeColor="text1"/>
          <w14:textFill>
            <w14:solidFill>
              <w14:schemeClr w14:val="tx1"/>
            </w14:solidFill>
          </w14:textFill>
        </w:rPr>
        <w:t>格式4</w:t>
      </w:r>
      <w:bookmarkStart w:id="56" w:name="_Toc495414231"/>
      <w:bookmarkStart w:id="57" w:name="_Toc197934561"/>
      <w:r>
        <w:rPr>
          <w:rFonts w:hint="eastAsia" w:ascii="宋体" w:hAnsi="宋体"/>
          <w:color w:val="000000" w:themeColor="text1"/>
          <w14:textFill>
            <w14:solidFill>
              <w14:schemeClr w14:val="tx1"/>
            </w14:solidFill>
          </w14:textFill>
        </w:rPr>
        <w:t xml:space="preserve"> 报价一览表</w:t>
      </w:r>
      <w:bookmarkEnd w:id="55"/>
      <w:bookmarkEnd w:id="56"/>
      <w:bookmarkEnd w:id="57"/>
    </w:p>
    <w:tbl>
      <w:tblPr>
        <w:tblStyle w:val="2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最终投标报价（包：）</w:t>
            </w:r>
          </w:p>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14:textFill>
                  <w14:solidFill>
                    <w14:schemeClr w14:val="tx1"/>
                  </w14:solidFill>
                </w14:textFill>
              </w:rPr>
            </w:pPr>
          </w:p>
        </w:tc>
      </w:tr>
    </w:tbl>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1、此表用于开标会唱标之用。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2、表中最终投标报价即为优惠后报价，并作为评审及定标依据。任何有选择或有条件的最终投标报价，或者表中某一包填写多个报价，均为无效报价，供应商须在报价处加盖单位公章。</w:t>
      </w:r>
    </w:p>
    <w:p>
      <w:pPr>
        <w:spacing w:line="360" w:lineRule="auto"/>
        <w:jc w:val="left"/>
        <w:rPr>
          <w:rFonts w:ascii="宋体" w:hAnsi="宋体" w:cs="宋体"/>
          <w:color w:val="000000" w:themeColor="text1"/>
          <w:sz w:val="24"/>
          <w14:textFill>
            <w14:solidFill>
              <w14:schemeClr w14:val="tx1"/>
            </w14:solidFill>
          </w14:textFill>
        </w:rPr>
      </w:pPr>
      <w:bookmarkStart w:id="58" w:name="_Toc495414234"/>
      <w:bookmarkStart w:id="59" w:name="_Toc220232409"/>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60" w:name="_Toc195875482"/>
      <w:r>
        <w:rPr>
          <w:rFonts w:hint="eastAsia"/>
          <w:color w:val="000000" w:themeColor="text1"/>
          <w:sz w:val="30"/>
          <w:szCs w:val="30"/>
          <w14:textFill>
            <w14:solidFill>
              <w14:schemeClr w14:val="tx1"/>
            </w14:solidFill>
          </w14:textFill>
        </w:rPr>
        <w:t>格式5 投标分项报价表</w:t>
      </w:r>
      <w:bookmarkEnd w:id="58"/>
      <w:bookmarkEnd w:id="59"/>
      <w:bookmarkEnd w:id="60"/>
    </w:p>
    <w:tbl>
      <w:tblPr>
        <w:tblStyle w:val="25"/>
        <w:tblW w:w="98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22"/>
        <w:gridCol w:w="1190"/>
        <w:gridCol w:w="1570"/>
        <w:gridCol w:w="1080"/>
        <w:gridCol w:w="675"/>
        <w:gridCol w:w="975"/>
        <w:gridCol w:w="1147"/>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vAlign w:val="center"/>
          </w:tcPr>
          <w:p>
            <w:pPr>
              <w:pStyle w:val="39"/>
              <w:widowControl w:val="0"/>
              <w:spacing w:before="0" w:beforeAutospacing="0" w:after="0" w:afterAutospacing="0" w:line="340" w:lineRule="exact"/>
              <w:rPr>
                <w:rFonts w:cs="宋体"/>
                <w:b w:val="0"/>
                <w:bCs w:val="0"/>
                <w:color w:val="000000" w:themeColor="text1"/>
                <w:kern w:val="2"/>
                <w:sz w:val="24"/>
                <w:szCs w:val="24"/>
                <w14:textFill>
                  <w14:solidFill>
                    <w14:schemeClr w14:val="tx1"/>
                  </w14:solidFill>
                </w14:textFill>
              </w:rPr>
            </w:pPr>
            <w:r>
              <w:rPr>
                <w:rFonts w:hint="eastAsia" w:cs="宋体"/>
                <w:b w:val="0"/>
                <w:bCs w:val="0"/>
                <w:color w:val="000000" w:themeColor="text1"/>
                <w:kern w:val="2"/>
                <w:sz w:val="24"/>
                <w:szCs w:val="24"/>
                <w14:textFill>
                  <w14:solidFill>
                    <w14:schemeClr w14:val="tx1"/>
                  </w14:solidFill>
                </w14:textFill>
              </w:rPr>
              <w:t>序号</w:t>
            </w:r>
          </w:p>
        </w:tc>
        <w:tc>
          <w:tcPr>
            <w:tcW w:w="1722" w:type="dxa"/>
            <w:vAlign w:val="center"/>
          </w:tcPr>
          <w:p>
            <w:pPr>
              <w:spacing w:line="3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服务内容</w:t>
            </w:r>
          </w:p>
        </w:tc>
        <w:tc>
          <w:tcPr>
            <w:tcW w:w="1190" w:type="dxa"/>
            <w:vAlign w:val="center"/>
          </w:tcPr>
          <w:p>
            <w:pPr>
              <w:spacing w:line="3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详细内容</w:t>
            </w:r>
          </w:p>
        </w:tc>
        <w:tc>
          <w:tcPr>
            <w:tcW w:w="1570" w:type="dxa"/>
            <w:vAlign w:val="center"/>
          </w:tcPr>
          <w:p>
            <w:pPr>
              <w:spacing w:line="3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内容描述</w:t>
            </w:r>
          </w:p>
        </w:tc>
        <w:tc>
          <w:tcPr>
            <w:tcW w:w="1080"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675"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975"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1147"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小计</w:t>
            </w:r>
          </w:p>
        </w:tc>
        <w:tc>
          <w:tcPr>
            <w:tcW w:w="653" w:type="dxa"/>
            <w:shd w:val="clear" w:color="auto" w:fill="auto"/>
            <w:vAlign w:val="center"/>
          </w:tcPr>
          <w:p>
            <w:pPr>
              <w:spacing w:line="34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Borders>
              <w:bottom w:val="single" w:color="auto" w:sz="4" w:space="0"/>
            </w:tcBorders>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vAlign w:val="center"/>
          </w:tcPr>
          <w:p>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tcPr>
          <w:p>
            <w:pPr>
              <w:spacing w:line="3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tcPr>
          <w:p>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tcPr>
          <w:p>
            <w:pPr>
              <w:spacing w:line="3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vAlign w:val="center"/>
          </w:tcPr>
          <w:p>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合计</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bl>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ind w:right="960" w:firstLine="5760" w:firstLineChars="2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表中所列内容为对应本项目需求的全部要求。如有漏项或缺项，投标人承担全部责任。</w:t>
      </w: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pStyle w:val="30"/>
        <w:ind w:firstLine="241"/>
        <w:rPr>
          <w:rFonts w:ascii="宋体" w:hAnsi="宋体" w:cs="宋体"/>
          <w:b/>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pStyle w:val="18"/>
        <w:rPr>
          <w:color w:val="000000" w:themeColor="text1"/>
          <w:sz w:val="30"/>
          <w:szCs w:val="30"/>
          <w14:textFill>
            <w14:solidFill>
              <w14:schemeClr w14:val="tx1"/>
            </w14:solidFill>
          </w14:textFill>
        </w:rPr>
      </w:pPr>
      <w:bookmarkStart w:id="61" w:name="_Toc195875483"/>
      <w:r>
        <w:rPr>
          <w:rFonts w:hint="eastAsia"/>
          <w:color w:val="000000" w:themeColor="text1"/>
          <w:sz w:val="30"/>
          <w:szCs w:val="30"/>
          <w14:textFill>
            <w14:solidFill>
              <w14:schemeClr w14:val="tx1"/>
            </w14:solidFill>
          </w14:textFill>
        </w:rPr>
        <w:t>格式6  技术参数响应表</w:t>
      </w:r>
      <w:bookmarkEnd w:id="61"/>
    </w:p>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tbl>
      <w:tblPr>
        <w:tblStyle w:val="25"/>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序号</w:t>
            </w:r>
          </w:p>
        </w:tc>
        <w:tc>
          <w:tcPr>
            <w:tcW w:w="723"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品名</w:t>
            </w:r>
          </w:p>
        </w:tc>
        <w:tc>
          <w:tcPr>
            <w:tcW w:w="3490"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响应</w:t>
            </w:r>
          </w:p>
        </w:tc>
        <w:tc>
          <w:tcPr>
            <w:tcW w:w="1336"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color w:val="000000" w:themeColor="text1"/>
                <w:kern w:val="0"/>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(可根据需求自行更改)</w:t>
      </w:r>
    </w:p>
    <w:p>
      <w:pPr>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pStyle w:val="18"/>
        <w:rPr>
          <w:rFonts w:ascii="宋体" w:hAnsi="宋体"/>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br w:type="page"/>
      </w:r>
      <w:bookmarkStart w:id="62" w:name="_Toc195875484"/>
      <w:r>
        <w:rPr>
          <w:rFonts w:hint="eastAsia" w:ascii="宋体" w:hAnsi="宋体"/>
          <w:color w:val="000000" w:themeColor="text1"/>
          <w:sz w:val="30"/>
          <w:szCs w:val="30"/>
          <w14:textFill>
            <w14:solidFill>
              <w14:schemeClr w14:val="tx1"/>
            </w14:solidFill>
          </w14:textFill>
        </w:rPr>
        <w:t>格式7 服务方案及服务承诺</w:t>
      </w:r>
      <w:bookmarkEnd w:id="62"/>
    </w:p>
    <w:p>
      <w:pPr>
        <w:spacing w:line="380" w:lineRule="exact"/>
        <w:rPr>
          <w:rFonts w:ascii="宋体" w:hAnsi="宋体" w:cs="宋体"/>
          <w:color w:val="000000" w:themeColor="text1"/>
          <w:sz w:val="24"/>
          <w14:textFill>
            <w14:solidFill>
              <w14:schemeClr w14:val="tx1"/>
            </w14:solidFill>
          </w14:textFill>
        </w:rPr>
      </w:pPr>
    </w:p>
    <w:p>
      <w:pPr>
        <w:spacing w:line="380" w:lineRule="exact"/>
        <w:ind w:firstLine="360" w:firstLineChars="150"/>
        <w:rPr>
          <w:rFonts w:ascii="宋体" w:hAnsi="宋体" w:cs="宋体"/>
          <w:color w:val="000000" w:themeColor="text1"/>
          <w:sz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80" w:lineRule="exact"/>
        <w:ind w:right="640" w:firstLine="4680" w:firstLineChars="1950"/>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pPr>
        <w:pStyle w:val="18"/>
        <w:rPr>
          <w:color w:val="000000" w:themeColor="text1"/>
          <w:sz w:val="30"/>
          <w:szCs w:val="30"/>
          <w14:textFill>
            <w14:solidFill>
              <w14:schemeClr w14:val="tx1"/>
            </w14:solidFill>
          </w14:textFill>
        </w:rPr>
      </w:pPr>
      <w:bookmarkStart w:id="63" w:name="_Toc195875485"/>
      <w:r>
        <w:rPr>
          <w:rFonts w:hint="eastAsia"/>
          <w:color w:val="000000" w:themeColor="text1"/>
          <w:sz w:val="30"/>
          <w:szCs w:val="30"/>
          <w14:textFill>
            <w14:solidFill>
              <w14:schemeClr w14:val="tx1"/>
            </w14:solidFill>
          </w14:textFill>
        </w:rPr>
        <w:t>格式8 合格供应商的声明函和承诺书</w:t>
      </w:r>
      <w:bookmarkEnd w:id="63"/>
    </w:p>
    <w:p>
      <w:pPr>
        <w:spacing w:line="360" w:lineRule="auto"/>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p>
    <w:p>
      <w:pPr>
        <w:pStyle w:val="33"/>
        <w:rPr>
          <w:rFonts w:ascii="宋体" w:hAnsi="宋体"/>
          <w:color w:val="000000" w:themeColor="text1"/>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64" w:name="_Toc195875486"/>
      <w:r>
        <w:rPr>
          <w:rFonts w:hint="eastAsia"/>
          <w:color w:val="000000" w:themeColor="text1"/>
          <w:sz w:val="30"/>
          <w:szCs w:val="30"/>
          <w14:textFill>
            <w14:solidFill>
              <w14:schemeClr w14:val="tx1"/>
            </w14:solidFill>
          </w14:textFill>
        </w:rPr>
        <w:t>格式9 中小企业声明函（工程、服务）</w:t>
      </w:r>
      <w:bookmarkEnd w:id="64"/>
    </w:p>
    <w:p>
      <w:pPr>
        <w:spacing w:line="360" w:lineRule="auto"/>
        <w:rPr>
          <w:rFonts w:ascii="宋体" w:hAnsi="宋体"/>
          <w:b/>
          <w:bCs/>
          <w:color w:val="000000" w:themeColor="text1"/>
          <w:sz w:val="32"/>
          <w:szCs w:val="32"/>
          <w14:textFill>
            <w14:solidFill>
              <w14:schemeClr w14:val="tx1"/>
            </w14:solidFill>
          </w14:textFill>
        </w:rPr>
      </w:pP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w:t>
      </w:r>
      <w:r>
        <w:rPr>
          <w:rFonts w:hint="eastAsia" w:ascii="宋体" w:hAnsi="宋体" w:cs="宋体"/>
          <w:color w:val="000000" w:themeColor="text1"/>
          <w:sz w:val="24"/>
          <w:u w:val="single"/>
          <w14:textFill>
            <w14:solidFill>
              <w14:schemeClr w14:val="tx1"/>
            </w14:solidFill>
          </w14:textFill>
        </w:rPr>
        <w:t>（或者：服务全部由符合政策要求的中小企业承接）</w:t>
      </w:r>
      <w:r>
        <w:rPr>
          <w:rFonts w:hint="eastAsia" w:ascii="宋体" w:hAnsi="宋体" w:cs="宋体"/>
          <w:color w:val="000000" w:themeColor="text1"/>
          <w:sz w:val="24"/>
          <w14:textFill>
            <w14:solidFill>
              <w14:schemeClr w14:val="tx1"/>
            </w14:solidFill>
          </w14:textFill>
        </w:rPr>
        <w:t>。相关企业</w:t>
      </w:r>
      <w:r>
        <w:rPr>
          <w:rFonts w:hint="eastAsia" w:ascii="宋体" w:hAnsi="宋体" w:cs="宋体"/>
          <w:color w:val="000000" w:themeColor="text1"/>
          <w:sz w:val="24"/>
          <w:u w:val="single"/>
          <w14:textFill>
            <w14:solidFill>
              <w14:schemeClr w14:val="tx1"/>
            </w14:solidFill>
          </w14:textFill>
        </w:rPr>
        <w:t>（含联合 体中的中小企业、签订分包意向协议的中小企业）</w:t>
      </w:r>
      <w:r>
        <w:rPr>
          <w:rFonts w:hint="eastAsia" w:ascii="宋体" w:hAnsi="宋体" w:cs="宋体"/>
          <w:color w:val="000000" w:themeColor="text1"/>
          <w:sz w:val="24"/>
          <w14:textFill>
            <w14:solidFill>
              <w14:schemeClr w14:val="tx1"/>
            </w14:solidFill>
          </w14:textFill>
        </w:rPr>
        <w:t>的具体情 况如下：</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承建（承接）企业为（企业名称），从业人员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（中型企业、小型企业、微型企业）； </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（中型企业、小型企业、微型企业）；  ……</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 为大企业的情形，也不存在与大企业的负责人为同一人的情形。</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本企业对上述声明内容的真实性负责。如有虚假，将依 法承担相应责任。 </w:t>
      </w:r>
    </w:p>
    <w:p>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企业名称（盖章）： </w:t>
      </w:r>
    </w:p>
    <w:p>
      <w:pPr>
        <w:spacing w:line="360" w:lineRule="auto"/>
        <w:ind w:firstLine="4800" w:firstLineChars="2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 期：  </w:t>
      </w:r>
    </w:p>
    <w:p>
      <w:pPr>
        <w:pStyle w:val="33"/>
        <w:rPr>
          <w:rFonts w:ascii="宋体" w:hAnsi="宋体" w:cs="宋体"/>
          <w:color w:val="000000" w:themeColor="text1"/>
          <w:sz w:val="24"/>
          <w:szCs w:val="24"/>
          <w14:textFill>
            <w14:solidFill>
              <w14:schemeClr w14:val="tx1"/>
            </w14:solidFill>
          </w14:textFill>
        </w:rPr>
      </w:pPr>
    </w:p>
    <w:p>
      <w:pPr>
        <w:pStyle w:val="5"/>
        <w:rPr>
          <w:rFonts w:ascii="宋体" w:hAnsi="宋体" w:eastAsia="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5"/>
        <w:rPr>
          <w:rFonts w:ascii="宋体" w:hAnsi="宋体" w:eastAsia="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注：1.从业人员、营业收入、资产总额填报上一年度数据，无上一年度数据的新成立企业可不填报。</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2.本项目如是只面向中小企业采购的应当必须提供。</w:t>
      </w:r>
    </w:p>
    <w:p>
      <w:pPr>
        <w:spacing w:line="360" w:lineRule="auto"/>
        <w:jc w:val="center"/>
        <w:rPr>
          <w:rFonts w:ascii="宋体" w:hAnsi="宋体" w:cs="宋体"/>
          <w:b/>
          <w:bCs/>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p>
    <w:p>
      <w:pPr>
        <w:pStyle w:val="33"/>
        <w:rPr>
          <w:rFonts w:ascii="宋体" w:hAnsi="宋体" w:cs="宋体"/>
          <w:b/>
          <w:bCs/>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65" w:name="_Toc195875487"/>
      <w:r>
        <w:rPr>
          <w:rFonts w:hint="eastAsia"/>
          <w:color w:val="000000" w:themeColor="text1"/>
          <w:sz w:val="30"/>
          <w:szCs w:val="30"/>
          <w14:textFill>
            <w14:solidFill>
              <w14:schemeClr w14:val="tx1"/>
            </w14:solidFill>
          </w14:textFill>
        </w:rPr>
        <w:t>格式10 供应商认为需要提供的其他资料</w:t>
      </w:r>
      <w:bookmarkEnd w:id="65"/>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18"/>
        <w:rPr>
          <w:rStyle w:val="38"/>
          <w:rFonts w:ascii="宋体" w:hAnsi="宋体"/>
          <w:bCs w:val="0"/>
          <w:color w:val="000000" w:themeColor="text1"/>
          <w:sz w:val="30"/>
          <w:szCs w:val="30"/>
          <w14:textFill>
            <w14:solidFill>
              <w14:schemeClr w14:val="tx1"/>
            </w14:solidFill>
          </w14:textFill>
        </w:rPr>
      </w:pPr>
      <w:bookmarkStart w:id="66" w:name="_Toc195875488"/>
      <w:r>
        <w:rPr>
          <w:rFonts w:hint="eastAsia" w:ascii="宋体" w:hAnsi="宋体"/>
          <w:color w:val="000000" w:themeColor="text1"/>
          <w:sz w:val="30"/>
          <w:szCs w:val="30"/>
          <w14:textFill>
            <w14:solidFill>
              <w14:schemeClr w14:val="tx1"/>
            </w14:solidFill>
          </w14:textFill>
        </w:rPr>
        <w:t xml:space="preserve">格式11 </w:t>
      </w:r>
      <w:r>
        <w:rPr>
          <w:rStyle w:val="38"/>
          <w:rFonts w:hint="eastAsia" w:ascii="宋体" w:hAnsi="宋体" w:cs="宋体"/>
          <w:bCs w:val="0"/>
          <w:color w:val="000000" w:themeColor="text1"/>
          <w:sz w:val="30"/>
          <w:szCs w:val="30"/>
          <w14:textFill>
            <w14:solidFill>
              <w14:schemeClr w14:val="tx1"/>
            </w14:solidFill>
          </w14:textFill>
        </w:rPr>
        <w:t>政府采购供应商诚信承诺书</w:t>
      </w:r>
      <w:bookmarkEnd w:id="66"/>
    </w:p>
    <w:p>
      <w:pPr>
        <w:spacing w:line="380" w:lineRule="exact"/>
        <w:jc w:val="center"/>
        <w:rPr>
          <w:rStyle w:val="38"/>
          <w:rFonts w:ascii="宋体" w:hAnsi="宋体"/>
          <w:b/>
          <w:bCs/>
          <w:color w:val="000000" w:themeColor="text1"/>
          <w:sz w:val="24"/>
          <w14:textFill>
            <w14:solidFill>
              <w14:schemeClr w14:val="tx1"/>
            </w14:solidFill>
          </w14:textFill>
        </w:rPr>
      </w:pPr>
    </w:p>
    <w:p>
      <w:pPr>
        <w:spacing w:line="380" w:lineRule="exact"/>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（一）提供虚假材料谋取中标;</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（二）采取不正当手段诋毁、排挤其他供应商;</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（三）与招标采购单位、其他投标人恶意串通;</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（四）向招标采购单位或提供其他不正当利益;</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（五）在招标过程中与招标采购单位进行协商谈判、不按照招标文件和投标文件订立合同，或者与采购人另立背离合同实质性内容协议;</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（六）开标后擅自撤销投标，影响招标继续进行的或领取招标文件纳投标保证金后不投标导致废标;</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（七）中标后无正当理由，在规定时间内不与采购单位签订合同;</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（八）将中标项目转让给他人或非法分包他人;</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（九）无正当理由，拒绝履行合同义务;</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（十）无正当理由放弃中标（成交）项目;</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（十二）与采购人串通，对尚未履约完毕的采购项目出具虚假验收报告；</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（十三）无不可抗力因素，拒绝提供售后服务、售后服务态度恶劣、故意提高维修配件价格（高于市场平均价）；</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（十四）开标后对招标文件的相关内容再进行质疑；</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（十五）恶意投诉的行为：投诉经查无实据的、捏造事实或者提供虚假设诉材料；</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（十六）拒绝有关部门监督检查或者提供虚假情况；</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（十七）政府采购监管部门认定的其他政府采购活动中的不诚信行为。</w:t>
      </w:r>
    </w:p>
    <w:p>
      <w:pPr>
        <w:spacing w:line="380" w:lineRule="exact"/>
        <w:ind w:firstLine="3360" w:firstLineChars="1400"/>
        <w:rPr>
          <w:rFonts w:ascii="宋体" w:hAnsi="宋体" w:cs="宋体"/>
          <w:color w:val="000000" w:themeColor="text1"/>
          <w:sz w:val="24"/>
          <w14:textFill>
            <w14:solidFill>
              <w14:schemeClr w14:val="tx1"/>
            </w14:solidFill>
          </w14:textFill>
        </w:rPr>
      </w:pPr>
    </w:p>
    <w:p>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 （盖章）</w:t>
      </w:r>
    </w:p>
    <w:p>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     （签字）</w:t>
      </w:r>
    </w:p>
    <w:p>
      <w:pPr>
        <w:spacing w:line="380" w:lineRule="exact"/>
        <w:ind w:firstLine="3360" w:firstLineChars="1400"/>
        <w:rPr>
          <w:rFonts w:ascii="宋体" w:hAnsi="宋体" w:cs="宋体"/>
          <w:color w:val="000000" w:themeColor="text1"/>
          <w:sz w:val="24"/>
          <w14:textFill>
            <w14:solidFill>
              <w14:schemeClr w14:val="tx1"/>
            </w14:solidFill>
          </w14:textFill>
        </w:rPr>
      </w:pPr>
    </w:p>
    <w:p>
      <w:pPr>
        <w:spacing w:line="380" w:lineRule="exact"/>
        <w:ind w:firstLine="3360" w:firstLineChars="1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 月 日</w:t>
      </w:r>
    </w:p>
    <w:p>
      <w:pPr>
        <w:pStyle w:val="30"/>
        <w:ind w:firstLine="0" w:firstLineChars="0"/>
        <w:rPr>
          <w:rFonts w:ascii="宋体" w:hAnsi="宋体" w:cs="宋体"/>
          <w:b/>
          <w:color w:val="000000" w:themeColor="text1"/>
          <w:sz w:val="24"/>
          <w14:textFill>
            <w14:solidFill>
              <w14:schemeClr w14:val="tx1"/>
            </w14:solidFill>
          </w14:textFill>
        </w:rPr>
      </w:pPr>
    </w:p>
    <w:p>
      <w:pPr>
        <w:pStyle w:val="30"/>
        <w:ind w:firstLine="241"/>
        <w:rPr>
          <w:rFonts w:ascii="宋体" w:hAnsi="宋体" w:cs="宋体"/>
          <w:b/>
          <w:color w:val="000000" w:themeColor="text1"/>
          <w:sz w:val="24"/>
          <w14:textFill>
            <w14:solidFill>
              <w14:schemeClr w14:val="tx1"/>
            </w14:solidFill>
          </w14:textFill>
        </w:rPr>
      </w:pPr>
    </w:p>
    <w:p>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67" w:name="_Toc195875489"/>
      <w:r>
        <w:rPr>
          <w:rFonts w:hint="eastAsia"/>
          <w:color w:val="000000" w:themeColor="text1"/>
          <w14:textFill>
            <w14:solidFill>
              <w14:schemeClr w14:val="tx1"/>
            </w14:solidFill>
          </w14:textFill>
        </w:rPr>
        <w:t xml:space="preserve">第五章  </w:t>
      </w:r>
      <w:r>
        <w:rPr>
          <w:rFonts w:hint="eastAsia"/>
          <w:color w:val="000000" w:themeColor="text1"/>
          <w:w w:val="92"/>
          <w14:textFill>
            <w14:solidFill>
              <w14:schemeClr w14:val="tx1"/>
            </w14:solidFill>
          </w14:textFill>
        </w:rPr>
        <w:t>周口市</w:t>
      </w:r>
      <w:r>
        <w:rPr>
          <w:rFonts w:hint="eastAsia"/>
          <w:color w:val="000000" w:themeColor="text1"/>
          <w14:textFill>
            <w14:solidFill>
              <w14:schemeClr w14:val="tx1"/>
            </w14:solidFill>
          </w14:textFill>
        </w:rPr>
        <w:t>政府采购合同（服务类）标准文本</w:t>
      </w:r>
      <w:bookmarkEnd w:id="67"/>
    </w:p>
    <w:p>
      <w:pPr>
        <w:ind w:firstLine="640" w:firstLineChars="200"/>
        <w:rPr>
          <w:rFonts w:ascii="宋体" w:hAnsi="宋体" w:cs="宋体"/>
          <w:color w:val="000000" w:themeColor="text1"/>
          <w:sz w:val="32"/>
          <w:szCs w:val="32"/>
          <w14:textFill>
            <w14:solidFill>
              <w14:schemeClr w14:val="tx1"/>
            </w14:solidFill>
          </w14:textFill>
        </w:rPr>
      </w:pPr>
    </w:p>
    <w:p>
      <w:pPr>
        <w:pStyle w:val="41"/>
        <w:spacing w:beforeLines="0" w:afterLines="0"/>
        <w:ind w:left="0" w:firstLine="640" w:firstLineChars="200"/>
        <w:rPr>
          <w:rFonts w:ascii="宋体" w:hAnsi="宋体" w:cs="宋体"/>
          <w:color w:val="000000" w:themeColor="text1"/>
          <w:sz w:val="32"/>
          <w:szCs w:val="32"/>
          <w14:textFill>
            <w14:solidFill>
              <w14:schemeClr w14:val="tx1"/>
            </w14:solidFill>
          </w14:textFill>
        </w:rPr>
      </w:pPr>
    </w:p>
    <w:p>
      <w:pPr>
        <w:pStyle w:val="41"/>
        <w:spacing w:beforeLines="0" w:afterLines="0"/>
        <w:ind w:left="0" w:firstLine="640" w:firstLineChars="200"/>
        <w:rPr>
          <w:rFonts w:ascii="宋体" w:hAnsi="宋体" w:cs="宋体"/>
          <w:color w:val="000000" w:themeColor="text1"/>
          <w:sz w:val="32"/>
          <w:szCs w:val="32"/>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政府采购项目名称：</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政府采购项目编号：</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采      购    人：</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      应    商：</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  同  签 订 地：</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 同 签订 时 间：</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line="440" w:lineRule="exact"/>
        <w:ind w:left="0"/>
        <w:jc w:val="center"/>
        <w:rPr>
          <w:rFonts w:ascii="宋体" w:hAnsi="宋体" w:cs="宋体"/>
          <w:color w:val="000000" w:themeColor="text1"/>
          <w:sz w:val="32"/>
          <w:szCs w:val="32"/>
          <w14:textFill>
            <w14:solidFill>
              <w14:schemeClr w14:val="tx1"/>
            </w14:solidFill>
          </w14:textFill>
        </w:rPr>
        <w:sectPr>
          <w:pgSz w:w="11900" w:h="16820"/>
          <w:pgMar w:top="1440" w:right="1080" w:bottom="1440" w:left="1080" w:header="0" w:footer="518" w:gutter="0"/>
          <w:cols w:space="720" w:num="1"/>
        </w:sectPr>
      </w:pPr>
    </w:p>
    <w:p>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合同签订指引</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一、采购人在签订合同时应提供的资料：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1、该政府采购项目的招标采购文件（以网上发布内容为准）；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2、该政府采购项目招标文件的澄清和修改内容（公告内容）；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3、该政府采购项目评审报告；</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4、采购单位法人授权委托书（法人到场并签字的除外）；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5、采购单位被授权人身份证件（法人到场并签字的除外）；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6、采购人和中标供应商（或服务商，下同）约定的其他内容（不得超出招标采购文件实质性内容）。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二、供应商在签订合同时应提供的资料：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1、该政府采购项目的投标文件（纸质或PDF格式的电子投标文件）；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2、针对该项目评审时评审委员会提出的质询答复（纸质并签章）；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3、该政府采购项目中标通知书；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4、供应商法人授权委托书（法人到场并签字的除外）；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5、供应商被授权人身份证件（法人到场并签字的除外）；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6、供应商和采购人约定的其他内容（不得超出招标采购文件实质性内容）。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三、本合同签订后两个工作日内有采购人在“周口市政府采购网”上进行合同公示。</w:t>
      </w:r>
    </w:p>
    <w:p>
      <w:pPr>
        <w:spacing w:line="360" w:lineRule="auto"/>
        <w:ind w:firstLine="480" w:firstLineChars="200"/>
        <w:jc w:val="center"/>
        <w:rPr>
          <w:rFonts w:ascii="宋体" w:hAnsi="宋体"/>
          <w:color w:val="000000" w:themeColor="text1"/>
          <w:sz w:val="24"/>
          <w14:textFill>
            <w14:solidFill>
              <w14:schemeClr w14:val="tx1"/>
            </w14:solidFill>
          </w14:textFill>
        </w:rPr>
      </w:pPr>
    </w:p>
    <w:p>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供应商履约验收指引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1、供应商不得擅自变更合同标的服务内容；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2、不得以次充优，随意降低服务标准和水平；</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3、对因客观上采购人采购需求发生变化造成的，应提供采、供双方的纸质备忘录材料；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4、在满足验收条件5个工作日内通知采购人组织验收；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5、供应商应提供需验收服务的清单、标准、达到的水平等量化资料；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6、采、供双方约定的验收机构及相关人员组成情况。</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7、督促采购人在项目验收结束并达到相关要求后一个工作日内，在“周口市政府采购网”上进行“履约验收”公示。</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960" w:firstLineChars="200"/>
        <w:jc w:val="center"/>
        <w:rPr>
          <w:rFonts w:ascii="宋体" w:hAnsi="宋体"/>
          <w:color w:val="000000" w:themeColor="text1"/>
          <w:sz w:val="48"/>
          <w:szCs w:val="48"/>
          <w14:textFill>
            <w14:solidFill>
              <w14:schemeClr w14:val="tx1"/>
            </w14:solidFill>
          </w14:textFill>
        </w:rPr>
      </w:pPr>
      <w:r>
        <w:rPr>
          <w:rFonts w:hint="eastAsia" w:ascii="宋体" w:hAnsi="宋体"/>
          <w:color w:val="000000" w:themeColor="text1"/>
          <w:sz w:val="48"/>
          <w:szCs w:val="48"/>
          <w14:textFill>
            <w14:solidFill>
              <w14:schemeClr w14:val="tx1"/>
            </w14:solidFill>
          </w14:textFill>
        </w:rPr>
        <w:t>服务合同内容</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采购人（甲方）：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供应商（乙方）：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签订地点：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财政委托号：      （财政资金项目必须填写)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本项目经批准采用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方式，经本项目评审委员会认真评审，决定将采购合同授予乙方。为进一步明确双方的责任，确保合同的顺利履行，根据《中华人民共和国政府采购法》《中华人民共和国民法典》（第三编合同）之规定，经甲乙双方充分协商，特订立本合同，以便共同遵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第一条   服务的内容、标准、数量和价格：（若服务项目过多则见附表，如有附表则必须加盖印章）</w:t>
      </w:r>
    </w:p>
    <w:tbl>
      <w:tblPr>
        <w:tblStyle w:val="25"/>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服务内容</w:t>
            </w:r>
          </w:p>
        </w:tc>
        <w:tc>
          <w:tcPr>
            <w:tcW w:w="1623"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标准水平</w:t>
            </w:r>
          </w:p>
        </w:tc>
        <w:tc>
          <w:tcPr>
            <w:tcW w:w="902"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02"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071"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250"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小计</w:t>
            </w:r>
          </w:p>
        </w:tc>
        <w:tc>
          <w:tcPr>
            <w:tcW w:w="1106"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p>
        </w:tc>
        <w:tc>
          <w:tcPr>
            <w:tcW w:w="1623"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1071" w:type="dxa"/>
          </w:tcPr>
          <w:p>
            <w:pPr>
              <w:spacing w:line="360" w:lineRule="auto"/>
              <w:rPr>
                <w:rFonts w:ascii="宋体" w:hAnsi="宋体"/>
                <w:color w:val="000000" w:themeColor="text1"/>
                <w:sz w:val="24"/>
                <w14:textFill>
                  <w14:solidFill>
                    <w14:schemeClr w14:val="tx1"/>
                  </w14:solidFill>
                </w14:textFill>
              </w:rPr>
            </w:pPr>
          </w:p>
        </w:tc>
        <w:tc>
          <w:tcPr>
            <w:tcW w:w="1250" w:type="dxa"/>
          </w:tcPr>
          <w:p>
            <w:pPr>
              <w:spacing w:line="360" w:lineRule="auto"/>
              <w:rPr>
                <w:rFonts w:ascii="宋体" w:hAnsi="宋体"/>
                <w:color w:val="000000" w:themeColor="text1"/>
                <w:sz w:val="24"/>
                <w14:textFill>
                  <w14:solidFill>
                    <w14:schemeClr w14:val="tx1"/>
                  </w14:solidFill>
                </w14:textFill>
              </w:rPr>
            </w:pPr>
          </w:p>
        </w:tc>
        <w:tc>
          <w:tcPr>
            <w:tcW w:w="1106" w:type="dxa"/>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p>
        </w:tc>
        <w:tc>
          <w:tcPr>
            <w:tcW w:w="1623"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1071" w:type="dxa"/>
          </w:tcPr>
          <w:p>
            <w:pPr>
              <w:spacing w:line="360" w:lineRule="auto"/>
              <w:rPr>
                <w:rFonts w:ascii="宋体" w:hAnsi="宋体"/>
                <w:color w:val="000000" w:themeColor="text1"/>
                <w:sz w:val="24"/>
                <w14:textFill>
                  <w14:solidFill>
                    <w14:schemeClr w14:val="tx1"/>
                  </w14:solidFill>
                </w14:textFill>
              </w:rPr>
            </w:pPr>
          </w:p>
        </w:tc>
        <w:tc>
          <w:tcPr>
            <w:tcW w:w="1250" w:type="dxa"/>
          </w:tcPr>
          <w:p>
            <w:pPr>
              <w:spacing w:line="360" w:lineRule="auto"/>
              <w:rPr>
                <w:rFonts w:ascii="宋体" w:hAnsi="宋体"/>
                <w:color w:val="000000" w:themeColor="text1"/>
                <w:sz w:val="24"/>
                <w14:textFill>
                  <w14:solidFill>
                    <w14:schemeClr w14:val="tx1"/>
                  </w14:solidFill>
                </w14:textFill>
              </w:rPr>
            </w:pPr>
          </w:p>
        </w:tc>
        <w:tc>
          <w:tcPr>
            <w:tcW w:w="1106" w:type="dxa"/>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p>
        </w:tc>
        <w:tc>
          <w:tcPr>
            <w:tcW w:w="1623"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1071" w:type="dxa"/>
          </w:tcPr>
          <w:p>
            <w:pPr>
              <w:spacing w:line="360" w:lineRule="auto"/>
              <w:rPr>
                <w:rFonts w:ascii="宋体" w:hAnsi="宋体"/>
                <w:color w:val="000000" w:themeColor="text1"/>
                <w:sz w:val="24"/>
                <w14:textFill>
                  <w14:solidFill>
                    <w14:schemeClr w14:val="tx1"/>
                  </w14:solidFill>
                </w14:textFill>
              </w:rPr>
            </w:pPr>
          </w:p>
        </w:tc>
        <w:tc>
          <w:tcPr>
            <w:tcW w:w="1250" w:type="dxa"/>
          </w:tcPr>
          <w:p>
            <w:pPr>
              <w:spacing w:line="360" w:lineRule="auto"/>
              <w:rPr>
                <w:rFonts w:ascii="宋体" w:hAnsi="宋体"/>
                <w:color w:val="000000" w:themeColor="text1"/>
                <w:sz w:val="24"/>
                <w14:textFill>
                  <w14:solidFill>
                    <w14:schemeClr w14:val="tx1"/>
                  </w14:solidFill>
                </w14:textFill>
              </w:rPr>
            </w:pPr>
          </w:p>
        </w:tc>
        <w:tc>
          <w:tcPr>
            <w:tcW w:w="1106" w:type="dxa"/>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合同总价款（大小写）：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备注：上述服务包含相关设备购置、人员工资及售后服务、税金、劳保基金、人员培训等费用。</w:t>
            </w:r>
          </w:p>
        </w:tc>
      </w:tr>
    </w:tbl>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第二条  服务标准（包括达到的水平要求），按下列第（ ）项执行：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①按国家标准执行；②按部颁标准执行；③若无以上标准，则应不低于同行业服务标准；④有特殊要求的，按甲乙双方在合同中商定的要求执行；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乙方提供的服务标准和水平应与招标采购文件规定的标准和水平相一致，并满足采购人需求。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第三条  服务的方式、方法、地点和期限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1、服务方式：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2、服务方法：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2、服务地点：</w:t>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3、服务期限：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第四条（ 费用及支付方式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(一)本项目费用有以下组成：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1、XX 万元；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2、（X 万元；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(二)费用支付方式：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1、XXXX；</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2、XXXX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3、在支付前甲方对乙方的服务进行考核或验收，合格的支付相应款 项。乙方须向甲方出具合法有效完整的完税发票及凭证资料进行支付结算。</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第五条  付款条件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本合同以人民币付款。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该项目是否实行预付款：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实行预付款的条件和比例：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合同款项结算方式（支付比例：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(具体付款方式按投标人须知前附表以及采、购双方的具体约定)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第六条  验收方法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视情况可以邀请参加本项目的其他投标人或者第三方机构参与验收，参与验收的投标人或者第三方机构的意见作为验收书的参考资料一并存档。第三方机构参与验收的所需费用由供应商承担，采购人不承担此费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检测、验收费用承担方式：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第七条 知识产权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乙方应保证所提供的服务或其任何一部分均不会侵犯任何第三方的专利权、商标权或著作权。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第八条 无产权瑕疵条款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乙方保证所提供的服务的所有权完全属于乙方且无任何抵押、查封等产权瑕疵。如有产权瑕疵的，视为乙方违约。乙方应负担由此而产生的一切损失。</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第九条  履约（或质量）保证金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2.若确需质量保证金的，质量保证金不得超过合同总价款的5%。</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3.如乙方未能履行其合同规定的任何义务，甲方有权从履约保证金中取得补偿。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第十条 甲方的权利和义务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2、甲方有权依据双方签订的考评办法对乙方提供的服务进行定期考评。当考评结果未达到标准时，有权依据考评办法约定的数额扣除履约保证金。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3、负责检查监督乙方管理工作的实施及制度的执行情况。</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4、根据本合同规定，按时向乙方支付应付服务费用。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5、国家法律法规所规定由甲方承担的其他责任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第十一条 乙方的权利和义务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1、对本合同规定的委托服务范围内的项目享有管理权及服务义务。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2、根据本合同的规定向甲方收取相关服务费用，并有权在本项目管理范围内管理及合理使用。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3、供应商应及时向甲方通告本项目服务范围内有关服务的重大事项，及时配合处理投诉。若因投诉处理不及时给采购人造成的损失，供应商须自行承担。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4、接受项目行业管理部门及政府有关部门的指导，接受甲方的监督。</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5、国家法律法规所规定由乙方承担的其他责任。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第十二条 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1、甲乙双方必须遵守本合同并执行合同中的各项规定，保证本合同的正常履行。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2、甲方逾期付款的，除应及时付足款项外，应向乙方偿付欠款总额万分之 /天的违约金；逾期付款超过 天的，乙方有权终止合同。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如因自己工作人员在履行职务过程中的疏忽、失职、过错等故意或者过失原因给甲方造成损失或侵害，包括但不限于甲方本身的财产损失、由此而导致的甲方对任何第三方的法律责任等，对此均应承担全部的赔偿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4、变更、中止或者终止合同，有过错的一方应当承担赔偿责任，双方都有过错的，各自承担相应的责任。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第十三条 转让与分包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1.除甲方事先书面同意外，乙方不得部分转让或全部转让其应履行的合同义务。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第十四条 合同文件及资料的使用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1.乙方在未经甲方同意的情况下，不得将合同、合同中的规定、有关计划、图纸、样本或甲方为上述内容向乙方提供的资料透露给任何人。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2.除非执行合同需要，在事先未得到甲方同意的情况下，乙方不得使用前款所列的任何文件和资料。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第十五条 不可抗力事件处理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乙双方的任何一方由于不可抗力的原因不能履行合同时，应及时向对方通报不能履行或不能完全履行的理由，在取得有关部门证明以后，允许延期履行、部分履行或者不履行合同，并根据情况可部分或全部免于承担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第十六条 合同纠纷调处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1.按本合同规定应该偿付的违约金、赔偿金、保管保养费和各种经济损失，应当在明确责任后10天内，按银行规定的结算办法付清，否则按逾期付款处理。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2.本合同如发生纠纷，当事人双方应当及时协商解决，协商不成时，任何一方均可请本项目政府采购监督管理部门调解，调解不成，按以下第（② ）项方式处理：①根据《中华人民共和国仲裁法》的规定向周口仲裁委员会申请仲裁。②向合同签订地有级别管辖权的人民法院起诉。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3、甲、乙双方均有权利向本项目具有监管职能的政府采购监督管理部门举报反映对方在合同履约中的违法违纪行为。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第十七条 其他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下列关于周口市公共资源交易中心政府采购代理机构名称某项目（项目编号：某编号）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本合同一式</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份，自双方当事人签字盖章之日起生效。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采购人（甲方）：    （公章）           供货人（乙方）：     （公章）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                               地址：</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                         委托代理人：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                               电话：</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                           开户银行：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账号：                               账号：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年    月  日</w:t>
      </w:r>
    </w:p>
    <w:p>
      <w:pPr>
        <w:spacing w:line="360" w:lineRule="auto"/>
        <w:rPr>
          <w:rFonts w:ascii="宋体" w:hAnsi="宋体"/>
          <w:color w:val="000000" w:themeColor="text1"/>
          <w:sz w:val="24"/>
          <w14:textFill>
            <w14:solidFill>
              <w14:schemeClr w14:val="tx1"/>
            </w14:solidFill>
          </w14:textFill>
        </w:rPr>
        <w:sectPr>
          <w:pgSz w:w="11900" w:h="16820"/>
          <w:pgMar w:top="1440" w:right="1080" w:bottom="1440" w:left="1080" w:header="0" w:footer="518" w:gutter="0"/>
          <w:cols w:space="720" w:num="1"/>
        </w:sectPr>
      </w:pPr>
    </w:p>
    <w:p>
      <w:pPr>
        <w:pStyle w:val="30"/>
        <w:ind w:firstLine="0" w:firstLineChars="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周口市政府采购合同融资政策告知函</w:t>
      </w:r>
    </w:p>
    <w:p>
      <w:pPr>
        <w:pStyle w:val="30"/>
        <w:ind w:firstLine="240"/>
        <w:rPr>
          <w:rFonts w:ascii="宋体" w:hAnsi="宋体"/>
          <w:color w:val="000000" w:themeColor="text1"/>
          <w:sz w:val="24"/>
          <w14:textFill>
            <w14:solidFill>
              <w14:schemeClr w14:val="tx1"/>
            </w14:solidFill>
          </w14:textFill>
        </w:rPr>
      </w:pPr>
    </w:p>
    <w:p>
      <w:pPr>
        <w:pStyle w:val="30"/>
        <w:ind w:firstLine="240"/>
        <w:rPr>
          <w:rFonts w:ascii="宋体" w:hAnsi="宋体"/>
          <w:color w:val="000000" w:themeColor="text1"/>
          <w:sz w:val="24"/>
          <w14:textFill>
            <w14:solidFill>
              <w14:schemeClr w14:val="tx1"/>
            </w14:solidFill>
          </w14:textFill>
        </w:rPr>
      </w:pPr>
    </w:p>
    <w:p>
      <w:pPr>
        <w:pStyle w:val="30"/>
        <w:ind w:firstLine="240"/>
        <w:rPr>
          <w:rFonts w:ascii="宋体" w:hAnsi="宋体"/>
          <w:color w:val="000000" w:themeColor="text1"/>
          <w:sz w:val="24"/>
          <w14:textFill>
            <w14:solidFill>
              <w14:schemeClr w14:val="tx1"/>
            </w14:solidFill>
          </w14:textFill>
        </w:rPr>
      </w:pP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各供应商：</w:t>
      </w: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欢迎贵公司参与周口市政府采购活动！</w:t>
      </w: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贷款渠道和提供贷款的金融机构，可在河南省政府采购网“河南省政府采购合同融资平台”查询联系。</w:t>
      </w: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30"/>
        <w:ind w:firstLine="210"/>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4682931"/>
    </w:sdtPr>
    <w:sdtContent>
      <w:p>
        <w:pPr>
          <w:pStyle w:val="15"/>
          <w:jc w:val="center"/>
        </w:pPr>
        <w:r>
          <w:fldChar w:fldCharType="begin"/>
        </w:r>
        <w:r>
          <w:instrText xml:space="preserve">PAGE   \* MERGEFORMAT</w:instrText>
        </w:r>
        <w:r>
          <w:fldChar w:fldCharType="separate"/>
        </w:r>
        <w:r>
          <w:rPr>
            <w:lang w:val="zh-CN"/>
          </w:rPr>
          <w:t>12</w:t>
        </w:r>
        <w:r>
          <w:fldChar w:fldCharType="end"/>
        </w:r>
      </w:p>
      <w:p>
        <w:pPr>
          <w:pStyle w:val="15"/>
          <w:jc w:val="center"/>
        </w:pPr>
      </w:p>
      <w:p>
        <w:pPr>
          <w:pStyle w:val="15"/>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C2EF4"/>
    <w:multiLevelType w:val="singleLevel"/>
    <w:tmpl w:val="A55C2EF4"/>
    <w:lvl w:ilvl="0" w:tentative="0">
      <w:start w:val="3"/>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8"/>
    <w:multiLevelType w:val="multilevel"/>
    <w:tmpl w:val="00000008"/>
    <w:lvl w:ilvl="0" w:tentative="0">
      <w:start w:val="1"/>
      <w:numFmt w:val="decimal"/>
      <w:lvlText w:val="%1."/>
      <w:lvlJc w:val="left"/>
      <w:pPr>
        <w:tabs>
          <w:tab w:val="left" w:pos="420"/>
        </w:tabs>
        <w:ind w:left="63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403AD80"/>
    <w:multiLevelType w:val="singleLevel"/>
    <w:tmpl w:val="1403AD80"/>
    <w:lvl w:ilvl="0" w:tentative="0">
      <w:start w:val="1"/>
      <w:numFmt w:val="decimal"/>
      <w:suff w:val="nothing"/>
      <w:lvlText w:val="%1、"/>
      <w:lvlJc w:val="left"/>
    </w:lvl>
  </w:abstractNum>
  <w:abstractNum w:abstractNumId="4">
    <w:nsid w:val="7998933E"/>
    <w:multiLevelType w:val="singleLevel"/>
    <w:tmpl w:val="7998933E"/>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GI1Yjk2MGQzY2NmMjJiN2E4ZTQyNDQyZjFiMDEifQ=="/>
  </w:docVars>
  <w:rsids>
    <w:rsidRoot w:val="00660FDA"/>
    <w:rsid w:val="00012EFE"/>
    <w:rsid w:val="000305B7"/>
    <w:rsid w:val="00032C00"/>
    <w:rsid w:val="00045701"/>
    <w:rsid w:val="00075155"/>
    <w:rsid w:val="000769CB"/>
    <w:rsid w:val="000819BE"/>
    <w:rsid w:val="00092053"/>
    <w:rsid w:val="0009415E"/>
    <w:rsid w:val="000B734E"/>
    <w:rsid w:val="000C4EA8"/>
    <w:rsid w:val="000E658D"/>
    <w:rsid w:val="00115257"/>
    <w:rsid w:val="00120342"/>
    <w:rsid w:val="00121D2E"/>
    <w:rsid w:val="00123B2E"/>
    <w:rsid w:val="00152AD7"/>
    <w:rsid w:val="001D3B8B"/>
    <w:rsid w:val="001E2AC1"/>
    <w:rsid w:val="002020F2"/>
    <w:rsid w:val="00222C97"/>
    <w:rsid w:val="00261AC8"/>
    <w:rsid w:val="00262B9D"/>
    <w:rsid w:val="002676FF"/>
    <w:rsid w:val="0028598A"/>
    <w:rsid w:val="002A0694"/>
    <w:rsid w:val="002C5F21"/>
    <w:rsid w:val="002E125B"/>
    <w:rsid w:val="00303DCC"/>
    <w:rsid w:val="00313394"/>
    <w:rsid w:val="00323618"/>
    <w:rsid w:val="00351D17"/>
    <w:rsid w:val="003714CA"/>
    <w:rsid w:val="00375D78"/>
    <w:rsid w:val="0038177C"/>
    <w:rsid w:val="00390BEF"/>
    <w:rsid w:val="00391CA5"/>
    <w:rsid w:val="003941AE"/>
    <w:rsid w:val="003B2D19"/>
    <w:rsid w:val="003E379F"/>
    <w:rsid w:val="00441901"/>
    <w:rsid w:val="00445496"/>
    <w:rsid w:val="004641DD"/>
    <w:rsid w:val="00481CD2"/>
    <w:rsid w:val="004B212A"/>
    <w:rsid w:val="004C507B"/>
    <w:rsid w:val="00500F2A"/>
    <w:rsid w:val="005245F8"/>
    <w:rsid w:val="00524F2A"/>
    <w:rsid w:val="005250BB"/>
    <w:rsid w:val="005413F7"/>
    <w:rsid w:val="00543559"/>
    <w:rsid w:val="0057594B"/>
    <w:rsid w:val="005832C6"/>
    <w:rsid w:val="005858D7"/>
    <w:rsid w:val="00606686"/>
    <w:rsid w:val="00607F47"/>
    <w:rsid w:val="00612B0A"/>
    <w:rsid w:val="00631A20"/>
    <w:rsid w:val="00637056"/>
    <w:rsid w:val="006407A9"/>
    <w:rsid w:val="00644ACB"/>
    <w:rsid w:val="00660FDA"/>
    <w:rsid w:val="00664A96"/>
    <w:rsid w:val="00665645"/>
    <w:rsid w:val="006B51E6"/>
    <w:rsid w:val="006E1FFD"/>
    <w:rsid w:val="006F2F66"/>
    <w:rsid w:val="00715B00"/>
    <w:rsid w:val="0072311B"/>
    <w:rsid w:val="00743BD6"/>
    <w:rsid w:val="00746C88"/>
    <w:rsid w:val="0075481D"/>
    <w:rsid w:val="00786DC6"/>
    <w:rsid w:val="007A4CDD"/>
    <w:rsid w:val="007A6FF5"/>
    <w:rsid w:val="007C1738"/>
    <w:rsid w:val="007C268F"/>
    <w:rsid w:val="007D228F"/>
    <w:rsid w:val="007F30BC"/>
    <w:rsid w:val="007F35AB"/>
    <w:rsid w:val="00815CE5"/>
    <w:rsid w:val="0083164E"/>
    <w:rsid w:val="00837A0E"/>
    <w:rsid w:val="0084343A"/>
    <w:rsid w:val="00852F39"/>
    <w:rsid w:val="008557BE"/>
    <w:rsid w:val="0089254B"/>
    <w:rsid w:val="008D68BE"/>
    <w:rsid w:val="008D733C"/>
    <w:rsid w:val="008E5FA3"/>
    <w:rsid w:val="008F5B9B"/>
    <w:rsid w:val="009172A4"/>
    <w:rsid w:val="00923BF0"/>
    <w:rsid w:val="00924E54"/>
    <w:rsid w:val="0092766B"/>
    <w:rsid w:val="009328FF"/>
    <w:rsid w:val="00935C4E"/>
    <w:rsid w:val="00981792"/>
    <w:rsid w:val="00982279"/>
    <w:rsid w:val="0099682E"/>
    <w:rsid w:val="009B1FFD"/>
    <w:rsid w:val="009B2D12"/>
    <w:rsid w:val="009E363E"/>
    <w:rsid w:val="00A14CBF"/>
    <w:rsid w:val="00A25F1B"/>
    <w:rsid w:val="00A36157"/>
    <w:rsid w:val="00A453EB"/>
    <w:rsid w:val="00A56787"/>
    <w:rsid w:val="00A732D3"/>
    <w:rsid w:val="00AB605C"/>
    <w:rsid w:val="00AC129B"/>
    <w:rsid w:val="00AC210D"/>
    <w:rsid w:val="00AE1287"/>
    <w:rsid w:val="00AF40A9"/>
    <w:rsid w:val="00AF5995"/>
    <w:rsid w:val="00B00D09"/>
    <w:rsid w:val="00B21C2A"/>
    <w:rsid w:val="00B35406"/>
    <w:rsid w:val="00B35911"/>
    <w:rsid w:val="00B42A0F"/>
    <w:rsid w:val="00B4416F"/>
    <w:rsid w:val="00B6602F"/>
    <w:rsid w:val="00B6748B"/>
    <w:rsid w:val="00BA78B8"/>
    <w:rsid w:val="00BB015A"/>
    <w:rsid w:val="00BB0A0A"/>
    <w:rsid w:val="00C20B58"/>
    <w:rsid w:val="00C307B8"/>
    <w:rsid w:val="00C43F98"/>
    <w:rsid w:val="00C47447"/>
    <w:rsid w:val="00C53079"/>
    <w:rsid w:val="00C57D4C"/>
    <w:rsid w:val="00C66196"/>
    <w:rsid w:val="00CA0A95"/>
    <w:rsid w:val="00CC2E29"/>
    <w:rsid w:val="00CD44FE"/>
    <w:rsid w:val="00CD5828"/>
    <w:rsid w:val="00CE0926"/>
    <w:rsid w:val="00D12D39"/>
    <w:rsid w:val="00D60CE8"/>
    <w:rsid w:val="00DA4469"/>
    <w:rsid w:val="00DA635C"/>
    <w:rsid w:val="00DB7805"/>
    <w:rsid w:val="00DD6E73"/>
    <w:rsid w:val="00DF0CAE"/>
    <w:rsid w:val="00DF6A02"/>
    <w:rsid w:val="00E1625D"/>
    <w:rsid w:val="00E1665D"/>
    <w:rsid w:val="00E54CA6"/>
    <w:rsid w:val="00E576A3"/>
    <w:rsid w:val="00E70FED"/>
    <w:rsid w:val="00E877A4"/>
    <w:rsid w:val="00E94935"/>
    <w:rsid w:val="00EA0024"/>
    <w:rsid w:val="00EC4DB1"/>
    <w:rsid w:val="00EC6D3B"/>
    <w:rsid w:val="00EF67DB"/>
    <w:rsid w:val="00F010A5"/>
    <w:rsid w:val="00F14DA2"/>
    <w:rsid w:val="00F14E72"/>
    <w:rsid w:val="00F16016"/>
    <w:rsid w:val="00F322E8"/>
    <w:rsid w:val="00F80527"/>
    <w:rsid w:val="00F87B20"/>
    <w:rsid w:val="00FC7BFD"/>
    <w:rsid w:val="00FD0B33"/>
    <w:rsid w:val="00FE406F"/>
    <w:rsid w:val="00FE43EE"/>
    <w:rsid w:val="00FF5261"/>
    <w:rsid w:val="00FF7324"/>
    <w:rsid w:val="013D3934"/>
    <w:rsid w:val="015007B6"/>
    <w:rsid w:val="01664743"/>
    <w:rsid w:val="016C134C"/>
    <w:rsid w:val="02AB0B17"/>
    <w:rsid w:val="03A013F2"/>
    <w:rsid w:val="03A26B8E"/>
    <w:rsid w:val="04131BA8"/>
    <w:rsid w:val="050C2C6B"/>
    <w:rsid w:val="05370C0F"/>
    <w:rsid w:val="05600DF4"/>
    <w:rsid w:val="06B949BB"/>
    <w:rsid w:val="06D356D1"/>
    <w:rsid w:val="07063DE2"/>
    <w:rsid w:val="078B6E2B"/>
    <w:rsid w:val="08404F36"/>
    <w:rsid w:val="08752E31"/>
    <w:rsid w:val="08A60005"/>
    <w:rsid w:val="08CA7F34"/>
    <w:rsid w:val="096B4234"/>
    <w:rsid w:val="0A2E4339"/>
    <w:rsid w:val="0A3E54A5"/>
    <w:rsid w:val="0A427979"/>
    <w:rsid w:val="0A7315F2"/>
    <w:rsid w:val="0BA5708B"/>
    <w:rsid w:val="0BB11572"/>
    <w:rsid w:val="0C050269"/>
    <w:rsid w:val="0C3B6D6D"/>
    <w:rsid w:val="0D5527FE"/>
    <w:rsid w:val="0DDC5DDD"/>
    <w:rsid w:val="0E230C39"/>
    <w:rsid w:val="0E8B7795"/>
    <w:rsid w:val="0EAA62A3"/>
    <w:rsid w:val="0F6C4862"/>
    <w:rsid w:val="0F6F7B99"/>
    <w:rsid w:val="101B0D50"/>
    <w:rsid w:val="10643980"/>
    <w:rsid w:val="10C7395A"/>
    <w:rsid w:val="113F5177"/>
    <w:rsid w:val="11B74920"/>
    <w:rsid w:val="1210778C"/>
    <w:rsid w:val="130549BB"/>
    <w:rsid w:val="13201BEB"/>
    <w:rsid w:val="139275C9"/>
    <w:rsid w:val="143F754A"/>
    <w:rsid w:val="144D6A10"/>
    <w:rsid w:val="156363BD"/>
    <w:rsid w:val="16A9014A"/>
    <w:rsid w:val="16B32D77"/>
    <w:rsid w:val="174457A9"/>
    <w:rsid w:val="17493D7C"/>
    <w:rsid w:val="177C13BA"/>
    <w:rsid w:val="181B23C9"/>
    <w:rsid w:val="18333308"/>
    <w:rsid w:val="184616E2"/>
    <w:rsid w:val="189D5A8C"/>
    <w:rsid w:val="18F3752E"/>
    <w:rsid w:val="19E27BFB"/>
    <w:rsid w:val="19F53DD2"/>
    <w:rsid w:val="1A1C1438"/>
    <w:rsid w:val="1A2D3846"/>
    <w:rsid w:val="1A853153"/>
    <w:rsid w:val="1ADF2731"/>
    <w:rsid w:val="1B4C6C57"/>
    <w:rsid w:val="1CA078F9"/>
    <w:rsid w:val="1DDB169B"/>
    <w:rsid w:val="1E110C64"/>
    <w:rsid w:val="1E13515F"/>
    <w:rsid w:val="1E1E31CB"/>
    <w:rsid w:val="1FDD0151"/>
    <w:rsid w:val="202F4A91"/>
    <w:rsid w:val="203211B0"/>
    <w:rsid w:val="20344F28"/>
    <w:rsid w:val="205B4263"/>
    <w:rsid w:val="20692E24"/>
    <w:rsid w:val="21A34ECE"/>
    <w:rsid w:val="21C53F84"/>
    <w:rsid w:val="22C03C12"/>
    <w:rsid w:val="22F32E79"/>
    <w:rsid w:val="22FA4207"/>
    <w:rsid w:val="239D1036"/>
    <w:rsid w:val="23E32EED"/>
    <w:rsid w:val="23F35C21"/>
    <w:rsid w:val="249C7C31"/>
    <w:rsid w:val="24A93EDD"/>
    <w:rsid w:val="24BD10D6"/>
    <w:rsid w:val="252F5CBE"/>
    <w:rsid w:val="255409E7"/>
    <w:rsid w:val="25585215"/>
    <w:rsid w:val="256911D0"/>
    <w:rsid w:val="26233A75"/>
    <w:rsid w:val="26752664"/>
    <w:rsid w:val="26974C2A"/>
    <w:rsid w:val="283200BF"/>
    <w:rsid w:val="28793E20"/>
    <w:rsid w:val="29601DE6"/>
    <w:rsid w:val="2A331DAD"/>
    <w:rsid w:val="2A4B3D8E"/>
    <w:rsid w:val="2A8A5D4D"/>
    <w:rsid w:val="2B744625"/>
    <w:rsid w:val="2C373598"/>
    <w:rsid w:val="2C934D84"/>
    <w:rsid w:val="2D4A18E7"/>
    <w:rsid w:val="2D4C4236"/>
    <w:rsid w:val="2DF838F9"/>
    <w:rsid w:val="2E14405A"/>
    <w:rsid w:val="2EC358A3"/>
    <w:rsid w:val="2FC31E25"/>
    <w:rsid w:val="2FE71A7E"/>
    <w:rsid w:val="30115C1C"/>
    <w:rsid w:val="308521A0"/>
    <w:rsid w:val="308D5BD0"/>
    <w:rsid w:val="31034AC5"/>
    <w:rsid w:val="31403146"/>
    <w:rsid w:val="31A54EF5"/>
    <w:rsid w:val="31B87D9B"/>
    <w:rsid w:val="32494863"/>
    <w:rsid w:val="32B3444F"/>
    <w:rsid w:val="32BF2D77"/>
    <w:rsid w:val="33022D55"/>
    <w:rsid w:val="332F3627"/>
    <w:rsid w:val="338D313B"/>
    <w:rsid w:val="34BF0E0C"/>
    <w:rsid w:val="364721AA"/>
    <w:rsid w:val="36850080"/>
    <w:rsid w:val="3753694F"/>
    <w:rsid w:val="375F68D7"/>
    <w:rsid w:val="383B014F"/>
    <w:rsid w:val="39253208"/>
    <w:rsid w:val="3A5D1C13"/>
    <w:rsid w:val="3AEE1E1D"/>
    <w:rsid w:val="3B4007CD"/>
    <w:rsid w:val="3B4D4F66"/>
    <w:rsid w:val="3B783AC3"/>
    <w:rsid w:val="3BC44F5A"/>
    <w:rsid w:val="3C4147FD"/>
    <w:rsid w:val="3C456BAD"/>
    <w:rsid w:val="3CC9176A"/>
    <w:rsid w:val="3E014244"/>
    <w:rsid w:val="3E0F1961"/>
    <w:rsid w:val="3EFB14C4"/>
    <w:rsid w:val="3F193A6C"/>
    <w:rsid w:val="3F5860E5"/>
    <w:rsid w:val="3F966D63"/>
    <w:rsid w:val="40AB45C6"/>
    <w:rsid w:val="40AB7B12"/>
    <w:rsid w:val="40D878EC"/>
    <w:rsid w:val="41070D14"/>
    <w:rsid w:val="414473B0"/>
    <w:rsid w:val="416C231C"/>
    <w:rsid w:val="4177653C"/>
    <w:rsid w:val="41D8150D"/>
    <w:rsid w:val="420C7479"/>
    <w:rsid w:val="4242307D"/>
    <w:rsid w:val="424B0572"/>
    <w:rsid w:val="42643C06"/>
    <w:rsid w:val="4268268D"/>
    <w:rsid w:val="42E14644"/>
    <w:rsid w:val="42FD00DA"/>
    <w:rsid w:val="4347117C"/>
    <w:rsid w:val="434929F0"/>
    <w:rsid w:val="43C755E8"/>
    <w:rsid w:val="43DD4E0B"/>
    <w:rsid w:val="43DE2931"/>
    <w:rsid w:val="441775F9"/>
    <w:rsid w:val="44B82928"/>
    <w:rsid w:val="44C9538F"/>
    <w:rsid w:val="44E93C84"/>
    <w:rsid w:val="46144D30"/>
    <w:rsid w:val="46B207D1"/>
    <w:rsid w:val="47A149E5"/>
    <w:rsid w:val="484336AB"/>
    <w:rsid w:val="484A2C8B"/>
    <w:rsid w:val="484C5680"/>
    <w:rsid w:val="488F68F0"/>
    <w:rsid w:val="48D01AA7"/>
    <w:rsid w:val="48FA7BF0"/>
    <w:rsid w:val="490F3E8C"/>
    <w:rsid w:val="49A04C0B"/>
    <w:rsid w:val="4A471146"/>
    <w:rsid w:val="4AD96341"/>
    <w:rsid w:val="4B2C0B56"/>
    <w:rsid w:val="4B751DCD"/>
    <w:rsid w:val="4EE51018"/>
    <w:rsid w:val="4EFB4CDF"/>
    <w:rsid w:val="503C55AF"/>
    <w:rsid w:val="507808FC"/>
    <w:rsid w:val="50834F8C"/>
    <w:rsid w:val="51E4305C"/>
    <w:rsid w:val="52A01E26"/>
    <w:rsid w:val="531B76FE"/>
    <w:rsid w:val="53446C55"/>
    <w:rsid w:val="539B4B5F"/>
    <w:rsid w:val="53E43F94"/>
    <w:rsid w:val="540A3A96"/>
    <w:rsid w:val="54232B17"/>
    <w:rsid w:val="54522561"/>
    <w:rsid w:val="55734998"/>
    <w:rsid w:val="558C043F"/>
    <w:rsid w:val="55997E7C"/>
    <w:rsid w:val="55CC2F32"/>
    <w:rsid w:val="565A22EB"/>
    <w:rsid w:val="56A91802"/>
    <w:rsid w:val="57671CF1"/>
    <w:rsid w:val="57F70580"/>
    <w:rsid w:val="591744C4"/>
    <w:rsid w:val="5A760B2C"/>
    <w:rsid w:val="5AB7324F"/>
    <w:rsid w:val="5B531D7D"/>
    <w:rsid w:val="5BB73DB5"/>
    <w:rsid w:val="5BF81E12"/>
    <w:rsid w:val="5C6206BF"/>
    <w:rsid w:val="5CC04E72"/>
    <w:rsid w:val="5CE65281"/>
    <w:rsid w:val="5D7F5C75"/>
    <w:rsid w:val="5DA4085F"/>
    <w:rsid w:val="5E145476"/>
    <w:rsid w:val="5E5F0DD7"/>
    <w:rsid w:val="5EBB1D95"/>
    <w:rsid w:val="5F1A6F9E"/>
    <w:rsid w:val="5F452001"/>
    <w:rsid w:val="5F5D6265"/>
    <w:rsid w:val="5F9433DD"/>
    <w:rsid w:val="5FB20CF5"/>
    <w:rsid w:val="5FF05E71"/>
    <w:rsid w:val="5FF774BE"/>
    <w:rsid w:val="5FFC1289"/>
    <w:rsid w:val="60472DDC"/>
    <w:rsid w:val="60863F57"/>
    <w:rsid w:val="609A237A"/>
    <w:rsid w:val="60DB671F"/>
    <w:rsid w:val="61343622"/>
    <w:rsid w:val="617701F5"/>
    <w:rsid w:val="61DE6BAB"/>
    <w:rsid w:val="61F419AE"/>
    <w:rsid w:val="624D354F"/>
    <w:rsid w:val="62B45479"/>
    <w:rsid w:val="63147CC6"/>
    <w:rsid w:val="631771E9"/>
    <w:rsid w:val="638E5CCA"/>
    <w:rsid w:val="63FE5509"/>
    <w:rsid w:val="644840CB"/>
    <w:rsid w:val="64C00105"/>
    <w:rsid w:val="6509582C"/>
    <w:rsid w:val="65194781"/>
    <w:rsid w:val="65424FBE"/>
    <w:rsid w:val="65AD121A"/>
    <w:rsid w:val="65C757C7"/>
    <w:rsid w:val="65F629E0"/>
    <w:rsid w:val="66B8294F"/>
    <w:rsid w:val="66D8501F"/>
    <w:rsid w:val="68C77CB4"/>
    <w:rsid w:val="68DE0B5A"/>
    <w:rsid w:val="69117181"/>
    <w:rsid w:val="69825B76"/>
    <w:rsid w:val="69A61A9E"/>
    <w:rsid w:val="69BD6C81"/>
    <w:rsid w:val="69F820EF"/>
    <w:rsid w:val="6A6B466F"/>
    <w:rsid w:val="6C295DE8"/>
    <w:rsid w:val="6CB66857"/>
    <w:rsid w:val="6D2D34EE"/>
    <w:rsid w:val="6D7026B9"/>
    <w:rsid w:val="6DA22398"/>
    <w:rsid w:val="6DBB590E"/>
    <w:rsid w:val="6EE025C2"/>
    <w:rsid w:val="6FB46AB9"/>
    <w:rsid w:val="6FD20CED"/>
    <w:rsid w:val="6FD902CD"/>
    <w:rsid w:val="706B0310"/>
    <w:rsid w:val="70804B10"/>
    <w:rsid w:val="715D03C3"/>
    <w:rsid w:val="71997D14"/>
    <w:rsid w:val="727E0E37"/>
    <w:rsid w:val="72800ED4"/>
    <w:rsid w:val="72AC3A77"/>
    <w:rsid w:val="72B14D59"/>
    <w:rsid w:val="731F0181"/>
    <w:rsid w:val="74842EFD"/>
    <w:rsid w:val="74DD1716"/>
    <w:rsid w:val="74EC2851"/>
    <w:rsid w:val="752E10BB"/>
    <w:rsid w:val="75381B96"/>
    <w:rsid w:val="75A44ED9"/>
    <w:rsid w:val="75AF6236"/>
    <w:rsid w:val="75DA3651"/>
    <w:rsid w:val="76212B2F"/>
    <w:rsid w:val="769D4813"/>
    <w:rsid w:val="784604CA"/>
    <w:rsid w:val="784F3822"/>
    <w:rsid w:val="78724754"/>
    <w:rsid w:val="797057FE"/>
    <w:rsid w:val="79C04885"/>
    <w:rsid w:val="79E043AE"/>
    <w:rsid w:val="7A5736F2"/>
    <w:rsid w:val="7A8760AF"/>
    <w:rsid w:val="7AD46E57"/>
    <w:rsid w:val="7B340346"/>
    <w:rsid w:val="7C75137E"/>
    <w:rsid w:val="7C98614A"/>
    <w:rsid w:val="7CA642AE"/>
    <w:rsid w:val="7D7B5762"/>
    <w:rsid w:val="7DA17541"/>
    <w:rsid w:val="7DB83C18"/>
    <w:rsid w:val="7E0B2D72"/>
    <w:rsid w:val="7E586806"/>
    <w:rsid w:val="7E5D031B"/>
    <w:rsid w:val="7E977CD1"/>
    <w:rsid w:val="7EB048EF"/>
    <w:rsid w:val="7EEE32D5"/>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spacing w:line="0" w:lineRule="atLeast"/>
      <w:jc w:val="center"/>
      <w:outlineLvl w:val="1"/>
    </w:pPr>
    <w:rPr>
      <w:kern w:val="0"/>
      <w:sz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0"/>
    <w:rPr>
      <w:rFonts w:ascii="Cambria" w:hAnsi="Cambria" w:eastAsia="黑体"/>
      <w:sz w:val="20"/>
    </w:rPr>
  </w:style>
  <w:style w:type="paragraph" w:styleId="6">
    <w:name w:val="annotation text"/>
    <w:basedOn w:val="1"/>
    <w:autoRedefine/>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qFormat/>
    <w:uiPriority w:val="99"/>
    <w:pPr>
      <w:spacing w:after="120"/>
    </w:pPr>
  </w:style>
  <w:style w:type="paragraph" w:styleId="9">
    <w:name w:val="Body Text Indent"/>
    <w:basedOn w:val="1"/>
    <w:next w:val="10"/>
    <w:autoRedefine/>
    <w:qFormat/>
    <w:uiPriority w:val="0"/>
    <w:pPr>
      <w:ind w:firstLine="632" w:firstLineChars="200"/>
    </w:pPr>
    <w:rPr>
      <w:rFonts w:ascii="仿宋_GB2312" w:hAnsi="华文楷体" w:eastAsia="仿宋_GB2312"/>
      <w:sz w:val="32"/>
    </w:rPr>
  </w:style>
  <w:style w:type="paragraph" w:styleId="10">
    <w:name w:val="envelope return"/>
    <w:basedOn w:val="1"/>
    <w:qFormat/>
    <w:uiPriority w:val="99"/>
    <w:pPr>
      <w:snapToGrid w:val="0"/>
    </w:pPr>
    <w:rPr>
      <w:rFonts w:ascii="Arial" w:hAnsi="Arial"/>
    </w:rPr>
  </w:style>
  <w:style w:type="paragraph" w:styleId="11">
    <w:name w:val="Plain Text"/>
    <w:basedOn w:val="1"/>
    <w:autoRedefine/>
    <w:qFormat/>
    <w:uiPriority w:val="99"/>
    <w:rPr>
      <w:rFonts w:ascii="宋体" w:hAnsi="Courier New"/>
      <w:szCs w:val="20"/>
    </w:rPr>
  </w:style>
  <w:style w:type="paragraph" w:styleId="12">
    <w:name w:val="Date"/>
    <w:basedOn w:val="1"/>
    <w:next w:val="1"/>
    <w:link w:val="51"/>
    <w:qFormat/>
    <w:uiPriority w:val="0"/>
    <w:pPr>
      <w:ind w:left="100" w:leftChars="2500"/>
    </w:pPr>
  </w:style>
  <w:style w:type="paragraph" w:styleId="13">
    <w:name w:val="Body Text Indent 2"/>
    <w:basedOn w:val="1"/>
    <w:autoRedefine/>
    <w:qFormat/>
    <w:uiPriority w:val="0"/>
    <w:pPr>
      <w:spacing w:after="120" w:line="480" w:lineRule="auto"/>
      <w:ind w:left="420" w:leftChars="200"/>
    </w:pPr>
  </w:style>
  <w:style w:type="paragraph" w:styleId="14">
    <w:name w:val="Balloon Text"/>
    <w:basedOn w:val="1"/>
    <w:link w:val="49"/>
    <w:qFormat/>
    <w:uiPriority w:val="0"/>
    <w:rPr>
      <w:sz w:val="18"/>
      <w:szCs w:val="18"/>
    </w:rPr>
  </w:style>
  <w:style w:type="paragraph" w:styleId="15">
    <w:name w:val="footer"/>
    <w:basedOn w:val="1"/>
    <w:link w:val="53"/>
    <w:qFormat/>
    <w:uiPriority w:val="99"/>
    <w:pPr>
      <w:tabs>
        <w:tab w:val="center" w:pos="4153"/>
        <w:tab w:val="right" w:pos="8306"/>
      </w:tabs>
      <w:snapToGrid w:val="0"/>
      <w:jc w:val="left"/>
    </w:pPr>
    <w:rPr>
      <w:sz w:val="18"/>
      <w:szCs w:val="18"/>
    </w:rPr>
  </w:style>
  <w:style w:type="paragraph" w:styleId="16">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Subtitle"/>
    <w:basedOn w:val="1"/>
    <w:next w:val="1"/>
    <w:link w:val="52"/>
    <w:autoRedefine/>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9">
    <w:name w:val="footnote text"/>
    <w:basedOn w:val="1"/>
    <w:autoRedefine/>
    <w:qFormat/>
    <w:uiPriority w:val="99"/>
    <w:pPr>
      <w:snapToGrid w:val="0"/>
      <w:jc w:val="left"/>
    </w:pPr>
    <w:rPr>
      <w:sz w:val="18"/>
      <w:szCs w:val="18"/>
    </w:rPr>
  </w:style>
  <w:style w:type="paragraph" w:styleId="20">
    <w:name w:val="toc 2"/>
    <w:basedOn w:val="1"/>
    <w:next w:val="1"/>
    <w:autoRedefine/>
    <w:qFormat/>
    <w:uiPriority w:val="39"/>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2">
    <w:name w:val="Title"/>
    <w:basedOn w:val="1"/>
    <w:next w:val="1"/>
    <w:link w:val="50"/>
    <w:autoRedefine/>
    <w:qFormat/>
    <w:uiPriority w:val="0"/>
    <w:pPr>
      <w:spacing w:before="240" w:after="60"/>
      <w:jc w:val="center"/>
      <w:outlineLvl w:val="0"/>
    </w:pPr>
    <w:rPr>
      <w:rFonts w:asciiTheme="majorHAnsi" w:hAnsiTheme="majorHAnsi" w:cstheme="majorBidi"/>
      <w:b/>
      <w:bCs/>
      <w:sz w:val="32"/>
      <w:szCs w:val="32"/>
    </w:rPr>
  </w:style>
  <w:style w:type="paragraph" w:styleId="23">
    <w:name w:val="Body Text First Indent"/>
    <w:basedOn w:val="8"/>
    <w:next w:val="24"/>
    <w:qFormat/>
    <w:uiPriority w:val="0"/>
    <w:pPr>
      <w:ind w:firstLine="420" w:firstLineChars="100"/>
    </w:pPr>
  </w:style>
  <w:style w:type="paragraph" w:styleId="24">
    <w:name w:val="Body Text First Indent 2"/>
    <w:basedOn w:val="9"/>
    <w:qFormat/>
    <w:uiPriority w:val="99"/>
    <w:pPr>
      <w:tabs>
        <w:tab w:val="left" w:pos="0"/>
        <w:tab w:val="left" w:pos="993"/>
        <w:tab w:val="left" w:pos="1134"/>
      </w:tabs>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qFormat/>
    <w:uiPriority w:val="99"/>
    <w:rPr>
      <w:color w:val="0000FF" w:themeColor="hyperlink"/>
      <w:u w:val="single"/>
      <w14:textFill>
        <w14:solidFill>
          <w14:schemeClr w14:val="hlink"/>
        </w14:solidFill>
      </w14:textFill>
    </w:rPr>
  </w:style>
  <w:style w:type="paragraph" w:customStyle="1" w:styleId="29">
    <w:name w:val="Default"/>
    <w:next w:val="19"/>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0">
    <w:name w:val="BodyText1I"/>
    <w:basedOn w:val="31"/>
    <w:autoRedefine/>
    <w:qFormat/>
    <w:uiPriority w:val="99"/>
    <w:pPr>
      <w:ind w:firstLine="420" w:firstLineChars="100"/>
    </w:pPr>
  </w:style>
  <w:style w:type="paragraph" w:customStyle="1" w:styleId="31">
    <w:name w:val="BodyText"/>
    <w:basedOn w:val="1"/>
    <w:qFormat/>
    <w:uiPriority w:val="99"/>
    <w:pPr>
      <w:spacing w:after="120"/>
    </w:pPr>
  </w:style>
  <w:style w:type="paragraph" w:customStyle="1" w:styleId="32">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3">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Body Text First Indent1"/>
    <w:basedOn w:val="8"/>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35">
    <w:name w:val="p0"/>
    <w:basedOn w:val="1"/>
    <w:autoRedefine/>
    <w:qFormat/>
    <w:uiPriority w:val="0"/>
    <w:pPr>
      <w:widowControl/>
    </w:pPr>
    <w:rPr>
      <w:rFonts w:ascii="Calibri" w:hAnsi="Calibri" w:cs="宋体"/>
      <w:kern w:val="0"/>
      <w:szCs w:val="21"/>
    </w:rPr>
  </w:style>
  <w:style w:type="paragraph" w:customStyle="1" w:styleId="36">
    <w:name w:val="D&amp;L"/>
    <w:basedOn w:val="16"/>
    <w:autoRedefine/>
    <w:qFormat/>
    <w:uiPriority w:val="0"/>
    <w:pPr>
      <w:pBdr>
        <w:bottom w:val="thinThickSmallGap" w:color="auto" w:sz="18" w:space="1"/>
      </w:pBdr>
      <w:adjustRightInd w:val="0"/>
      <w:snapToGrid/>
      <w:spacing w:line="240" w:lineRule="atLeast"/>
      <w:textAlignment w:val="baseline"/>
    </w:pPr>
    <w:rPr>
      <w:kern w:val="0"/>
      <w:sz w:val="24"/>
    </w:rPr>
  </w:style>
  <w:style w:type="paragraph" w:styleId="37">
    <w:name w:val="List Paragraph"/>
    <w:basedOn w:val="1"/>
    <w:qFormat/>
    <w:uiPriority w:val="34"/>
    <w:pPr>
      <w:ind w:firstLine="420" w:firstLineChars="200"/>
    </w:p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0">
    <w:name w:val="Char Char Char Char Char Char Char1 Char"/>
    <w:basedOn w:val="1"/>
    <w:qFormat/>
    <w:uiPriority w:val="0"/>
    <w:rPr>
      <w:rFonts w:ascii="Tahoma" w:hAnsi="Tahoma"/>
      <w:sz w:val="24"/>
      <w:szCs w:val="20"/>
    </w:rPr>
  </w:style>
  <w:style w:type="paragraph" w:customStyle="1" w:styleId="41">
    <w:name w:val="正文1"/>
    <w:basedOn w:val="1"/>
    <w:qFormat/>
    <w:uiPriority w:val="0"/>
    <w:pPr>
      <w:widowControl/>
      <w:topLinePunct/>
      <w:spacing w:beforeLines="50" w:afterLines="50" w:line="300" w:lineRule="auto"/>
      <w:ind w:left="420"/>
    </w:pPr>
  </w:style>
  <w:style w:type="paragraph" w:customStyle="1" w:styleId="42">
    <w:name w:val="样式 标题 3 + (中文) 黑体 小四 非加粗 段前: 7.8 磅 段后: 0 磅 行距: 固定值 20 磅"/>
    <w:basedOn w:val="4"/>
    <w:autoRedefine/>
    <w:qFormat/>
    <w:uiPriority w:val="99"/>
    <w:pPr>
      <w:tabs>
        <w:tab w:val="left" w:pos="0"/>
      </w:tabs>
      <w:spacing w:before="0" w:after="0" w:line="400" w:lineRule="exact"/>
    </w:pPr>
    <w:rPr>
      <w:rFonts w:ascii="Calibri" w:hAnsi="Calibri" w:eastAsia="黑体" w:cs="宋体"/>
      <w:b w:val="0"/>
      <w:kern w:val="0"/>
      <w:sz w:val="24"/>
      <w:szCs w:val="24"/>
      <w:lang w:val="en-GB"/>
    </w:rPr>
  </w:style>
  <w:style w:type="paragraph" w:customStyle="1" w:styleId="4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4">
    <w:name w:val="Table Text"/>
    <w:basedOn w:val="1"/>
    <w:autoRedefine/>
    <w:semiHidden/>
    <w:qFormat/>
    <w:uiPriority w:val="0"/>
    <w:rPr>
      <w:rFonts w:ascii="宋体" w:hAnsi="宋体" w:cs="宋体"/>
      <w:szCs w:val="21"/>
      <w:lang w:eastAsia="en-US"/>
    </w:rPr>
  </w:style>
  <w:style w:type="table" w:customStyle="1" w:styleId="45">
    <w:name w:val="Table Normal"/>
    <w:autoRedefine/>
    <w:unhideWhenUsed/>
    <w:qFormat/>
    <w:uiPriority w:val="0"/>
    <w:tblPr>
      <w:tblCellMar>
        <w:top w:w="0" w:type="dxa"/>
        <w:left w:w="0" w:type="dxa"/>
        <w:bottom w:w="0" w:type="dxa"/>
        <w:right w:w="0" w:type="dxa"/>
      </w:tblCellMar>
    </w:tblPr>
  </w:style>
  <w:style w:type="paragraph" w:customStyle="1" w:styleId="46">
    <w:name w:val="UserStyle_0"/>
    <w:basedOn w:val="1"/>
    <w:autoRedefine/>
    <w:qFormat/>
    <w:uiPriority w:val="0"/>
    <w:pPr>
      <w:spacing w:line="400" w:lineRule="exact"/>
      <w:textAlignment w:val="baseline"/>
    </w:pPr>
    <w:rPr>
      <w:rFonts w:ascii="宋体" w:hAnsi="宋体"/>
      <w:sz w:val="24"/>
      <w:szCs w:val="22"/>
      <w:lang w:val="zh-CN" w:bidi="zh-CN"/>
    </w:rPr>
  </w:style>
  <w:style w:type="paragraph" w:customStyle="1" w:styleId="47">
    <w:name w:val="179"/>
    <w:basedOn w:val="1"/>
    <w:qFormat/>
    <w:uiPriority w:val="0"/>
    <w:pPr>
      <w:spacing w:before="158"/>
      <w:ind w:left="311" w:hanging="602"/>
      <w:textAlignment w:val="baseline"/>
    </w:pPr>
    <w:rPr>
      <w:rFonts w:ascii="宋体" w:hAnsi="宋体"/>
      <w:sz w:val="22"/>
      <w:szCs w:val="22"/>
      <w:lang w:val="zh-CN" w:bidi="zh-CN"/>
    </w:rPr>
  </w:style>
  <w:style w:type="character" w:customStyle="1" w:styleId="48">
    <w:name w:val="页眉 Char"/>
    <w:basedOn w:val="27"/>
    <w:link w:val="16"/>
    <w:qFormat/>
    <w:uiPriority w:val="99"/>
    <w:rPr>
      <w:kern w:val="2"/>
      <w:sz w:val="18"/>
      <w:szCs w:val="18"/>
    </w:rPr>
  </w:style>
  <w:style w:type="character" w:customStyle="1" w:styleId="49">
    <w:name w:val="批注框文本 Char"/>
    <w:basedOn w:val="27"/>
    <w:link w:val="14"/>
    <w:autoRedefine/>
    <w:qFormat/>
    <w:uiPriority w:val="0"/>
    <w:rPr>
      <w:kern w:val="2"/>
      <w:sz w:val="18"/>
      <w:szCs w:val="18"/>
    </w:rPr>
  </w:style>
  <w:style w:type="character" w:customStyle="1" w:styleId="50">
    <w:name w:val="标题 Char"/>
    <w:basedOn w:val="27"/>
    <w:link w:val="22"/>
    <w:autoRedefine/>
    <w:qFormat/>
    <w:uiPriority w:val="0"/>
    <w:rPr>
      <w:rFonts w:asciiTheme="majorHAnsi" w:hAnsiTheme="majorHAnsi" w:cstheme="majorBidi"/>
      <w:b/>
      <w:bCs/>
      <w:kern w:val="2"/>
      <w:sz w:val="32"/>
      <w:szCs w:val="32"/>
    </w:rPr>
  </w:style>
  <w:style w:type="character" w:customStyle="1" w:styleId="51">
    <w:name w:val="日期 Char"/>
    <w:basedOn w:val="27"/>
    <w:link w:val="12"/>
    <w:qFormat/>
    <w:uiPriority w:val="0"/>
    <w:rPr>
      <w:kern w:val="2"/>
      <w:sz w:val="21"/>
      <w:szCs w:val="24"/>
    </w:rPr>
  </w:style>
  <w:style w:type="character" w:customStyle="1" w:styleId="52">
    <w:name w:val="副标题 Char"/>
    <w:basedOn w:val="27"/>
    <w:link w:val="18"/>
    <w:autoRedefine/>
    <w:qFormat/>
    <w:uiPriority w:val="0"/>
    <w:rPr>
      <w:rFonts w:asciiTheme="majorHAnsi" w:hAnsiTheme="majorHAnsi" w:cstheme="majorBidi"/>
      <w:b/>
      <w:bCs/>
      <w:kern w:val="28"/>
      <w:sz w:val="32"/>
      <w:szCs w:val="32"/>
    </w:rPr>
  </w:style>
  <w:style w:type="character" w:customStyle="1" w:styleId="53">
    <w:name w:val="页脚 Char"/>
    <w:basedOn w:val="27"/>
    <w:link w:val="15"/>
    <w:autoRedefine/>
    <w:qFormat/>
    <w:uiPriority w:val="99"/>
    <w:rPr>
      <w:kern w:val="2"/>
      <w:sz w:val="18"/>
      <w:szCs w:val="18"/>
    </w:rPr>
  </w:style>
  <w:style w:type="character" w:customStyle="1" w:styleId="54">
    <w:name w:val="标题 1 Char"/>
    <w:basedOn w:val="27"/>
    <w:link w:val="2"/>
    <w:autoRedefine/>
    <w:qFormat/>
    <w:uiPriority w:val="0"/>
    <w:rPr>
      <w:b/>
      <w:bCs/>
      <w:kern w:val="44"/>
      <w:sz w:val="44"/>
      <w:szCs w:val="44"/>
    </w:rPr>
  </w:style>
  <w:style w:type="paragraph" w:customStyle="1" w:styleId="5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正文-表格"/>
    <w:basedOn w:val="1"/>
    <w:autoRedefine/>
    <w:qFormat/>
    <w:uiPriority w:val="0"/>
    <w:pPr>
      <w:autoSpaceDE/>
      <w:autoSpaceDN/>
      <w:spacing w:before="60" w:after="60" w:line="360" w:lineRule="auto"/>
      <w:jc w:val="both"/>
    </w:pPr>
    <w:rPr>
      <w:rFonts w:ascii="Times New Roman" w:hAnsi="Times New Roman" w:cs="Times New Roman"/>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90CC5-57AF-43CA-9BD0-361487CE55F8}">
  <ds:schemaRefs/>
</ds:datastoreItem>
</file>

<file path=docProps/app.xml><?xml version="1.0" encoding="utf-8"?>
<Properties xmlns="http://schemas.openxmlformats.org/officeDocument/2006/extended-properties" xmlns:vt="http://schemas.openxmlformats.org/officeDocument/2006/docPropsVTypes">
  <Template>Normal</Template>
  <Pages>50</Pages>
  <Words>12514</Words>
  <Characters>13349</Characters>
  <Lines>163</Lines>
  <Paragraphs>45</Paragraphs>
  <TotalTime>2</TotalTime>
  <ScaleCrop>false</ScaleCrop>
  <LinksUpToDate>false</LinksUpToDate>
  <CharactersWithSpaces>13570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2023-10-18T03:09:00Z</dcterms:created>
  <dc:creator>Administrator</dc:creator>
  <cp:lastModifiedBy>hero</cp:lastModifiedBy>
  <dcterms:modified xsi:type="dcterms:W3CDTF">2025-11-28T02:52:21Z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172AB8712AF849B4A29C76BBAC5E6E92_13</vt:lpwstr>
  </property>
  <property fmtid="{D5CDD505-2E9C-101B-9397-08002B2CF9AE}" pid="4" name="KSOTemplateDocerSaveRecord">
    <vt:lpwstr>eyJoZGlkIjoiOWExZDI1ZTE4ZjQzMmExYmFmZDI2MWQ3MmVhMTMyYjAiLCJ1c2VySWQiOiI0NDY2MDEzNjIifQ==</vt:lpwstr>
  </property>
</Properties>
</file>