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32D25">
      <w:pPr>
        <w:tabs>
          <w:tab w:val="left" w:pos="420"/>
        </w:tabs>
        <w:spacing w:line="1700" w:lineRule="exact"/>
        <w:jc w:val="center"/>
        <w:rPr>
          <w:rFonts w:ascii="Arial Black" w:hAnsi="Arial Black" w:eastAsia="黑体"/>
          <w:b/>
          <w:color w:val="auto"/>
          <w:spacing w:val="36"/>
          <w:sz w:val="52"/>
          <w:szCs w:val="52"/>
          <w:highlight w:val="none"/>
        </w:rPr>
      </w:pPr>
      <w:r>
        <w:rPr>
          <w:rFonts w:hint="eastAsia" w:ascii="Arial Black" w:hAnsi="Arial Black" w:eastAsia="黑体"/>
          <w:b/>
          <w:bCs/>
          <w:color w:val="auto"/>
          <w:spacing w:val="36"/>
          <w:sz w:val="52"/>
          <w:szCs w:val="52"/>
          <w:highlight w:val="none"/>
        </w:rPr>
        <w:t>周口市公共资源交易中心</w:t>
      </w:r>
    </w:p>
    <w:p w14:paraId="6017D85B">
      <w:pPr>
        <w:tabs>
          <w:tab w:val="left" w:pos="315"/>
          <w:tab w:val="left" w:pos="8820"/>
        </w:tabs>
        <w:spacing w:line="500" w:lineRule="exact"/>
        <w:ind w:right="267" w:rightChars="127"/>
        <w:jc w:val="center"/>
        <w:rPr>
          <w:rFonts w:ascii="仿宋_GB2312" w:eastAsia="仿宋_GB2312"/>
          <w:b/>
          <w:bCs/>
          <w:color w:val="auto"/>
          <w:sz w:val="48"/>
          <w:highlight w:val="none"/>
        </w:rPr>
      </w:pPr>
    </w:p>
    <w:p w14:paraId="0DD3F4D3">
      <w:pPr>
        <w:tabs>
          <w:tab w:val="left" w:pos="315"/>
          <w:tab w:val="left" w:pos="8820"/>
        </w:tabs>
        <w:spacing w:line="360" w:lineRule="auto"/>
        <w:ind w:right="267" w:rightChars="127"/>
        <w:jc w:val="center"/>
        <w:rPr>
          <w:rFonts w:ascii="微软简标宋" w:eastAsia="黑体"/>
          <w:b/>
          <w:bCs/>
          <w:color w:val="auto"/>
          <w:sz w:val="52"/>
          <w:highlight w:val="none"/>
        </w:rPr>
      </w:pPr>
      <w:r>
        <w:rPr>
          <w:rFonts w:hint="eastAsia" w:ascii="微软简标宋" w:eastAsia="黑体"/>
          <w:b/>
          <w:bCs/>
          <w:color w:val="auto"/>
          <w:sz w:val="52"/>
          <w:highlight w:val="none"/>
        </w:rPr>
        <w:t>竞争性磋商文件</w:t>
      </w:r>
    </w:p>
    <w:p w14:paraId="17640D5C">
      <w:pPr>
        <w:tabs>
          <w:tab w:val="left" w:pos="315"/>
          <w:tab w:val="left" w:pos="8820"/>
        </w:tabs>
        <w:spacing w:line="500" w:lineRule="exact"/>
        <w:ind w:right="267" w:rightChars="127"/>
        <w:jc w:val="center"/>
        <w:rPr>
          <w:rFonts w:ascii="仿宋_GB2312" w:eastAsia="仿宋_GB2312"/>
          <w:color w:val="auto"/>
          <w:sz w:val="44"/>
          <w:highlight w:val="none"/>
        </w:rPr>
      </w:pPr>
    </w:p>
    <w:p w14:paraId="74613991">
      <w:pPr>
        <w:tabs>
          <w:tab w:val="left" w:pos="315"/>
          <w:tab w:val="left" w:pos="8820"/>
        </w:tabs>
        <w:ind w:right="267" w:rightChars="127"/>
        <w:rPr>
          <w:rFonts w:ascii="仿宋_GB2312" w:eastAsia="仿宋_GB2312"/>
          <w:color w:val="auto"/>
          <w:sz w:val="44"/>
          <w:highlight w:val="none"/>
        </w:rPr>
      </w:pPr>
    </w:p>
    <w:p w14:paraId="50EA63E4">
      <w:pPr>
        <w:tabs>
          <w:tab w:val="left" w:pos="315"/>
          <w:tab w:val="left" w:pos="8820"/>
        </w:tabs>
        <w:spacing w:line="500" w:lineRule="exact"/>
        <w:ind w:right="267" w:rightChars="127"/>
        <w:rPr>
          <w:rFonts w:ascii="仿宋_GB2312" w:eastAsia="仿宋_GB2312"/>
          <w:b/>
          <w:bCs/>
          <w:color w:val="auto"/>
          <w:sz w:val="36"/>
          <w:highlight w:val="none"/>
        </w:rPr>
      </w:pPr>
    </w:p>
    <w:p w14:paraId="4B06F12D">
      <w:pPr>
        <w:tabs>
          <w:tab w:val="left" w:pos="315"/>
          <w:tab w:val="left" w:pos="8820"/>
        </w:tabs>
        <w:spacing w:line="500" w:lineRule="exact"/>
        <w:ind w:right="267" w:rightChars="127"/>
        <w:rPr>
          <w:rFonts w:ascii="仿宋_GB2312" w:eastAsia="仿宋_GB2312"/>
          <w:b/>
          <w:bCs/>
          <w:color w:val="auto"/>
          <w:sz w:val="36"/>
          <w:highlight w:val="none"/>
        </w:rPr>
      </w:pPr>
    </w:p>
    <w:p w14:paraId="645F32E6">
      <w:pPr>
        <w:tabs>
          <w:tab w:val="left" w:pos="315"/>
          <w:tab w:val="left" w:pos="8820"/>
        </w:tabs>
        <w:spacing w:line="500" w:lineRule="exact"/>
        <w:ind w:right="267" w:rightChars="127"/>
        <w:jc w:val="center"/>
        <w:rPr>
          <w:rFonts w:ascii="宋体" w:hAnsi="宋体"/>
          <w:color w:val="auto"/>
          <w:sz w:val="32"/>
          <w:highlight w:val="none"/>
        </w:rPr>
      </w:pPr>
    </w:p>
    <w:p w14:paraId="33307C72">
      <w:pPr>
        <w:tabs>
          <w:tab w:val="left" w:pos="315"/>
          <w:tab w:val="left" w:pos="8820"/>
        </w:tabs>
        <w:spacing w:line="500" w:lineRule="exact"/>
        <w:ind w:right="267" w:rightChars="127"/>
        <w:jc w:val="center"/>
        <w:rPr>
          <w:rFonts w:ascii="微软简标宋" w:eastAsia="黑体"/>
          <w:b/>
          <w:bCs/>
          <w:color w:val="auto"/>
          <w:sz w:val="52"/>
          <w:highlight w:val="none"/>
        </w:rPr>
      </w:pPr>
    </w:p>
    <w:p w14:paraId="6622E18D">
      <w:pPr>
        <w:tabs>
          <w:tab w:val="left" w:pos="315"/>
          <w:tab w:val="left" w:pos="8820"/>
        </w:tabs>
        <w:spacing w:line="600" w:lineRule="exact"/>
        <w:ind w:left="1506" w:right="267" w:rightChars="127" w:hanging="1506" w:hangingChars="500"/>
        <w:jc w:val="left"/>
        <w:rPr>
          <w:rFonts w:ascii="微软简标宋" w:eastAsia="黑体"/>
          <w:b/>
          <w:bCs/>
          <w:color w:val="auto"/>
          <w:sz w:val="30"/>
          <w:szCs w:val="30"/>
          <w:highlight w:val="none"/>
        </w:rPr>
      </w:pPr>
      <w:r>
        <w:rPr>
          <w:rFonts w:hint="eastAsia" w:ascii="微软简标宋" w:eastAsia="黑体"/>
          <w:b/>
          <w:bCs/>
          <w:color w:val="auto"/>
          <w:sz w:val="30"/>
          <w:szCs w:val="30"/>
          <w:highlight w:val="none"/>
        </w:rPr>
        <w:t>项目名称: 周口市淮阳区供水管网漏损治理和老化更新改造工程设计项目</w:t>
      </w:r>
    </w:p>
    <w:p w14:paraId="6333CAA4">
      <w:pPr>
        <w:tabs>
          <w:tab w:val="left" w:pos="315"/>
          <w:tab w:val="left" w:pos="8820"/>
        </w:tabs>
        <w:spacing w:line="600" w:lineRule="exact"/>
        <w:ind w:right="267" w:rightChars="127"/>
        <w:jc w:val="left"/>
        <w:rPr>
          <w:rFonts w:hint="default" w:ascii="微软简标宋" w:eastAsia="黑体"/>
          <w:b/>
          <w:bCs/>
          <w:color w:val="auto"/>
          <w:sz w:val="30"/>
          <w:szCs w:val="30"/>
          <w:highlight w:val="none"/>
          <w:lang w:val="en-US" w:eastAsia="zh-CN"/>
        </w:rPr>
      </w:pPr>
      <w:r>
        <w:rPr>
          <w:rFonts w:hint="eastAsia" w:ascii="微软简标宋" w:eastAsia="黑体"/>
          <w:b/>
          <w:bCs/>
          <w:color w:val="auto"/>
          <w:sz w:val="30"/>
          <w:szCs w:val="30"/>
          <w:highlight w:val="none"/>
        </w:rPr>
        <w:t xml:space="preserve">项目编号: </w:t>
      </w:r>
      <w:r>
        <w:rPr>
          <w:rFonts w:hint="eastAsia" w:ascii="微软简标宋" w:eastAsia="黑体"/>
          <w:b/>
          <w:bCs/>
          <w:color w:val="auto"/>
          <w:sz w:val="30"/>
          <w:szCs w:val="30"/>
          <w:highlight w:val="none"/>
          <w:lang w:val="en-US" w:eastAsia="zh-CN"/>
        </w:rPr>
        <w:t>淮财磋商采购-2025-69</w:t>
      </w:r>
    </w:p>
    <w:p w14:paraId="54F1EF69">
      <w:pPr>
        <w:pStyle w:val="8"/>
        <w:rPr>
          <w:rFonts w:ascii="微软简标宋" w:eastAsia="黑体"/>
          <w:b/>
          <w:bCs/>
          <w:color w:val="auto"/>
          <w:sz w:val="52"/>
          <w:szCs w:val="24"/>
          <w:highlight w:val="none"/>
        </w:rPr>
      </w:pPr>
    </w:p>
    <w:p w14:paraId="607A7652">
      <w:pPr>
        <w:pStyle w:val="8"/>
        <w:rPr>
          <w:rFonts w:ascii="宋体" w:hAnsi="宋体"/>
          <w:b/>
          <w:color w:val="auto"/>
          <w:sz w:val="32"/>
          <w:highlight w:val="none"/>
        </w:rPr>
      </w:pPr>
    </w:p>
    <w:p w14:paraId="551A0633">
      <w:pPr>
        <w:pStyle w:val="8"/>
        <w:rPr>
          <w:rFonts w:ascii="宋体" w:hAnsi="宋体"/>
          <w:b/>
          <w:color w:val="auto"/>
          <w:sz w:val="32"/>
          <w:highlight w:val="none"/>
        </w:rPr>
      </w:pPr>
    </w:p>
    <w:p w14:paraId="37B13828">
      <w:pPr>
        <w:pStyle w:val="8"/>
        <w:jc w:val="center"/>
        <w:rPr>
          <w:rFonts w:hint="eastAsia" w:ascii="宋体" w:hAnsi="宋体"/>
          <w:b/>
          <w:color w:val="auto"/>
          <w:sz w:val="32"/>
          <w:highlight w:val="none"/>
          <w:lang w:val="en-US" w:eastAsia="zh-CN"/>
        </w:rPr>
      </w:pPr>
    </w:p>
    <w:p w14:paraId="626CA745">
      <w:pPr>
        <w:pStyle w:val="8"/>
        <w:jc w:val="center"/>
        <w:rPr>
          <w:rFonts w:hint="eastAsia" w:ascii="宋体" w:hAnsi="宋体"/>
          <w:b/>
          <w:color w:val="auto"/>
          <w:sz w:val="32"/>
          <w:highlight w:val="none"/>
        </w:rPr>
      </w:pPr>
      <w:r>
        <w:rPr>
          <w:rFonts w:hint="eastAsia" w:ascii="宋体" w:hAnsi="宋体"/>
          <w:b/>
          <w:color w:val="auto"/>
          <w:sz w:val="32"/>
          <w:highlight w:val="none"/>
          <w:lang w:val="en-US" w:eastAsia="zh-CN"/>
        </w:rPr>
        <w:t>2025</w:t>
      </w:r>
      <w:r>
        <w:rPr>
          <w:rFonts w:hint="eastAsia" w:ascii="宋体" w:hAnsi="宋体"/>
          <w:b/>
          <w:color w:val="auto"/>
          <w:sz w:val="32"/>
          <w:highlight w:val="none"/>
        </w:rPr>
        <w:t>年</w:t>
      </w:r>
      <w:r>
        <w:rPr>
          <w:rFonts w:hint="eastAsia" w:ascii="宋体" w:hAnsi="宋体"/>
          <w:b/>
          <w:color w:val="auto"/>
          <w:sz w:val="32"/>
          <w:highlight w:val="none"/>
          <w:lang w:val="en-US" w:eastAsia="zh-CN"/>
        </w:rPr>
        <w:t>12</w:t>
      </w:r>
      <w:r>
        <w:rPr>
          <w:rFonts w:hint="eastAsia" w:ascii="宋体" w:hAnsi="宋体"/>
          <w:b/>
          <w:color w:val="auto"/>
          <w:sz w:val="32"/>
          <w:highlight w:val="none"/>
        </w:rPr>
        <w:t>月</w:t>
      </w:r>
      <w:r>
        <w:rPr>
          <w:rFonts w:hint="eastAsia" w:ascii="宋体" w:hAnsi="宋体"/>
          <w:b/>
          <w:color w:val="auto"/>
          <w:sz w:val="32"/>
          <w:highlight w:val="none"/>
          <w:lang w:val="en-US" w:eastAsia="zh-CN"/>
        </w:rPr>
        <w:t>09</w:t>
      </w:r>
      <w:r>
        <w:rPr>
          <w:rFonts w:hint="eastAsia" w:ascii="宋体" w:hAnsi="宋体"/>
          <w:b/>
          <w:color w:val="auto"/>
          <w:sz w:val="32"/>
          <w:highlight w:val="none"/>
        </w:rPr>
        <w:t>日</w:t>
      </w:r>
    </w:p>
    <w:p w14:paraId="7D59EC9C">
      <w:pPr>
        <w:pStyle w:val="8"/>
        <w:jc w:val="center"/>
        <w:rPr>
          <w:rFonts w:ascii="宋体" w:hAnsi="宋体"/>
          <w:b/>
          <w:color w:val="auto"/>
          <w:sz w:val="32"/>
          <w:highlight w:val="none"/>
        </w:rPr>
      </w:pPr>
    </w:p>
    <w:p w14:paraId="7DD7281C">
      <w:pPr>
        <w:rPr>
          <w:rFonts w:ascii="仿宋_GB2312" w:eastAsia="仿宋_GB2312"/>
          <w:b/>
          <w:color w:val="auto"/>
          <w:sz w:val="30"/>
          <w:szCs w:val="30"/>
          <w:highlight w:val="none"/>
        </w:rPr>
      </w:pPr>
    </w:p>
    <w:p w14:paraId="422ABBB9">
      <w:pPr>
        <w:pStyle w:val="26"/>
        <w:ind w:firstLine="210"/>
        <w:rPr>
          <w:color w:val="auto"/>
          <w:highlight w:val="none"/>
        </w:rPr>
      </w:pPr>
    </w:p>
    <w:p w14:paraId="7C70844A">
      <w:pPr>
        <w:pStyle w:val="26"/>
        <w:ind w:firstLine="210"/>
        <w:rPr>
          <w:color w:val="auto"/>
          <w:highlight w:val="none"/>
        </w:rPr>
      </w:pPr>
    </w:p>
    <w:p w14:paraId="03901428">
      <w:pPr>
        <w:spacing w:line="5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4961ED04">
      <w:pPr>
        <w:rPr>
          <w:rFonts w:ascii="宋体" w:hAnsi="宋体" w:cs="宋体"/>
          <w:b/>
          <w:color w:val="auto"/>
          <w:sz w:val="32"/>
          <w:szCs w:val="32"/>
          <w:highlight w:val="none"/>
        </w:rPr>
      </w:pPr>
    </w:p>
    <w:p w14:paraId="4CCE8BEB">
      <w:pPr>
        <w:spacing w:line="800" w:lineRule="exact"/>
        <w:rPr>
          <w:rFonts w:ascii="宋体" w:hAnsi="宋体" w:cs="宋体"/>
          <w:b/>
          <w:color w:val="auto"/>
          <w:sz w:val="32"/>
          <w:szCs w:val="32"/>
          <w:highlight w:val="none"/>
        </w:rPr>
      </w:pPr>
      <w:r>
        <w:rPr>
          <w:rFonts w:hint="eastAsia" w:ascii="宋体" w:hAnsi="宋体" w:cs="宋体"/>
          <w:b/>
          <w:color w:val="auto"/>
          <w:sz w:val="32"/>
          <w:szCs w:val="32"/>
          <w:highlight w:val="none"/>
        </w:rPr>
        <w:t>第一章  竞争性磋商邀请函 .........................3</w:t>
      </w:r>
    </w:p>
    <w:p w14:paraId="2ADA8B91">
      <w:pPr>
        <w:spacing w:line="800" w:lineRule="exact"/>
        <w:rPr>
          <w:rFonts w:ascii="宋体" w:hAnsi="宋体" w:cs="宋体"/>
          <w:b/>
          <w:color w:val="auto"/>
          <w:sz w:val="32"/>
          <w:szCs w:val="32"/>
          <w:highlight w:val="none"/>
        </w:rPr>
      </w:pPr>
      <w:r>
        <w:rPr>
          <w:rFonts w:hint="eastAsia" w:ascii="宋体" w:hAnsi="宋体" w:cs="宋体"/>
          <w:b/>
          <w:color w:val="auto"/>
          <w:sz w:val="32"/>
          <w:szCs w:val="32"/>
          <w:highlight w:val="none"/>
        </w:rPr>
        <w:t>第二章  供应商须知 ...............................6</w:t>
      </w:r>
    </w:p>
    <w:p w14:paraId="1D29014F">
      <w:pPr>
        <w:spacing w:line="800" w:lineRule="exact"/>
        <w:rPr>
          <w:rFonts w:ascii="宋体" w:hAnsi="宋体" w:cs="宋体"/>
          <w:b/>
          <w:color w:val="auto"/>
          <w:sz w:val="32"/>
          <w:szCs w:val="32"/>
          <w:highlight w:val="none"/>
        </w:rPr>
      </w:pPr>
      <w:r>
        <w:rPr>
          <w:rFonts w:hint="eastAsia" w:ascii="宋体" w:hAnsi="宋体" w:cs="宋体"/>
          <w:b/>
          <w:color w:val="auto"/>
          <w:sz w:val="32"/>
          <w:szCs w:val="32"/>
          <w:highlight w:val="none"/>
        </w:rPr>
        <w:t>第三章  采购项目内容及要求.......................24</w:t>
      </w:r>
    </w:p>
    <w:p w14:paraId="4924000D">
      <w:pPr>
        <w:spacing w:line="800" w:lineRule="exact"/>
        <w:rPr>
          <w:rFonts w:ascii="宋体" w:hAnsi="宋体" w:cs="宋体"/>
          <w:b/>
          <w:color w:val="auto"/>
          <w:sz w:val="32"/>
          <w:szCs w:val="32"/>
          <w:highlight w:val="none"/>
        </w:rPr>
      </w:pPr>
      <w:r>
        <w:rPr>
          <w:rFonts w:hint="eastAsia" w:ascii="宋体" w:hAnsi="宋体" w:cs="宋体"/>
          <w:b/>
          <w:color w:val="auto"/>
          <w:sz w:val="32"/>
          <w:szCs w:val="32"/>
          <w:highlight w:val="none"/>
        </w:rPr>
        <w:t>第四章  响应性文件内容及格式.....................25</w:t>
      </w:r>
    </w:p>
    <w:p w14:paraId="0522D016">
      <w:pPr>
        <w:spacing w:line="800" w:lineRule="exact"/>
        <w:rPr>
          <w:rFonts w:ascii="宋体" w:hAnsi="宋体" w:cs="宋体"/>
          <w:b/>
          <w:color w:val="auto"/>
          <w:sz w:val="32"/>
          <w:szCs w:val="32"/>
          <w:highlight w:val="none"/>
        </w:rPr>
      </w:pPr>
      <w:r>
        <w:rPr>
          <w:rFonts w:hint="eastAsia" w:ascii="宋体" w:hAnsi="宋体" w:cs="宋体"/>
          <w:b/>
          <w:color w:val="auto"/>
          <w:sz w:val="32"/>
          <w:szCs w:val="32"/>
          <w:highlight w:val="none"/>
        </w:rPr>
        <w:t>第五章  合同主要条款 合同签订指引、供应商履约验收指引38</w:t>
      </w:r>
    </w:p>
    <w:p w14:paraId="23959BE8">
      <w:pPr>
        <w:spacing w:line="800" w:lineRule="exact"/>
        <w:ind w:firstLine="2249" w:firstLineChars="700"/>
        <w:rPr>
          <w:rFonts w:ascii="宋体" w:hAnsi="宋体" w:cs="宋体"/>
          <w:b/>
          <w:color w:val="auto"/>
          <w:sz w:val="32"/>
          <w:szCs w:val="32"/>
          <w:highlight w:val="none"/>
        </w:rPr>
      </w:pPr>
    </w:p>
    <w:p w14:paraId="3D8AEACC">
      <w:pPr>
        <w:spacing w:line="800" w:lineRule="exact"/>
        <w:ind w:firstLine="2249" w:firstLineChars="700"/>
        <w:rPr>
          <w:rFonts w:ascii="宋体" w:hAnsi="宋体" w:cs="宋体"/>
          <w:b/>
          <w:color w:val="auto"/>
          <w:sz w:val="32"/>
          <w:szCs w:val="32"/>
          <w:highlight w:val="none"/>
        </w:rPr>
      </w:pPr>
    </w:p>
    <w:p w14:paraId="155E73F2">
      <w:pPr>
        <w:spacing w:line="800" w:lineRule="exact"/>
        <w:ind w:firstLine="2249" w:firstLineChars="700"/>
        <w:rPr>
          <w:rFonts w:ascii="宋体" w:hAnsi="宋体" w:cs="宋体"/>
          <w:b/>
          <w:color w:val="auto"/>
          <w:sz w:val="32"/>
          <w:szCs w:val="32"/>
          <w:highlight w:val="none"/>
        </w:rPr>
      </w:pPr>
    </w:p>
    <w:p w14:paraId="11735EEC">
      <w:pPr>
        <w:jc w:val="center"/>
        <w:rPr>
          <w:color w:val="auto"/>
          <w:highlight w:val="none"/>
        </w:rPr>
      </w:pPr>
      <w:r>
        <w:rPr>
          <w:rFonts w:hint="eastAsia" w:ascii="仿宋_GB2312" w:eastAsia="仿宋_GB2312"/>
          <w:b/>
          <w:color w:val="auto"/>
          <w:sz w:val="32"/>
          <w:szCs w:val="32"/>
          <w:highlight w:val="none"/>
        </w:rPr>
        <w:br w:type="page"/>
      </w:r>
      <w:r>
        <w:rPr>
          <w:rFonts w:hint="eastAsia" w:ascii="宋体" w:hAnsi="宋体" w:cs="宋体"/>
          <w:b/>
          <w:color w:val="auto"/>
          <w:sz w:val="32"/>
          <w:szCs w:val="32"/>
          <w:highlight w:val="none"/>
        </w:rPr>
        <w:t>第一章    竞争性磋商邀请函</w:t>
      </w:r>
    </w:p>
    <w:p w14:paraId="120D499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项目概况</w:t>
      </w:r>
    </w:p>
    <w:p w14:paraId="22CC249B">
      <w:pPr>
        <w:spacing w:line="360" w:lineRule="auto"/>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 xml:space="preserve"> 周口市淮阳区供水管网漏损治理和老化更新改造工程设计项目的潜在投标人应在周口市公共资源交易中心网（http://jyzx.zhoukou.gov.cn）获取招标文件，并于</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分（北京时间）前递交投标文件。</w:t>
      </w:r>
    </w:p>
    <w:p w14:paraId="0CA51B7D">
      <w:pPr>
        <w:pStyle w:val="3"/>
        <w:autoSpaceDE w:val="0"/>
        <w:autoSpaceDN w:val="0"/>
        <w:spacing w:line="360" w:lineRule="auto"/>
        <w:jc w:val="left"/>
        <w:rPr>
          <w:rFonts w:asciiTheme="minorEastAsia" w:hAnsiTheme="minorEastAsia" w:eastAsiaTheme="minorEastAsia" w:cstheme="minorEastAsia"/>
          <w:color w:val="auto"/>
          <w:sz w:val="24"/>
          <w:highlight w:val="none"/>
        </w:rPr>
      </w:pPr>
      <w:bookmarkStart w:id="0" w:name="_Toc35393629"/>
      <w:bookmarkStart w:id="1" w:name="_Toc35393798"/>
      <w:bookmarkStart w:id="2" w:name="_Toc28359012"/>
      <w:bookmarkStart w:id="3" w:name="_Toc28359089"/>
      <w:r>
        <w:rPr>
          <w:rFonts w:hint="eastAsia" w:asciiTheme="minorEastAsia" w:hAnsiTheme="minorEastAsia" w:eastAsiaTheme="minorEastAsia" w:cstheme="minorEastAsia"/>
          <w:color w:val="auto"/>
          <w:sz w:val="24"/>
          <w:highlight w:val="none"/>
        </w:rPr>
        <w:t>一、项目基本情况</w:t>
      </w:r>
      <w:bookmarkEnd w:id="0"/>
      <w:bookmarkEnd w:id="1"/>
      <w:bookmarkEnd w:id="2"/>
      <w:bookmarkEnd w:id="3"/>
    </w:p>
    <w:p w14:paraId="351C4155">
      <w:pPr>
        <w:autoSpaceDE w:val="0"/>
        <w:autoSpaceDN w:val="0"/>
        <w:spacing w:line="360" w:lineRule="auto"/>
        <w:ind w:left="1679" w:leftChars="228" w:hanging="1200" w:hangingChars="5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宋体" w:hAnsi="宋体" w:cs="宋体"/>
          <w:color w:val="auto"/>
          <w:sz w:val="24"/>
          <w:highlight w:val="none"/>
        </w:rPr>
        <w:t>周口市淮阳区供水管网漏损治理和老化更新改造工程设计项目</w:t>
      </w:r>
    </w:p>
    <w:p w14:paraId="3BE43751">
      <w:pPr>
        <w:autoSpaceDE w:val="0"/>
        <w:autoSpaceDN w:val="0"/>
        <w:spacing w:line="360" w:lineRule="auto"/>
        <w:ind w:firstLine="480" w:firstLineChars="200"/>
        <w:rPr>
          <w:rFonts w:hint="eastAsia" w:ascii="宋体" w:hAnsi="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rPr>
        <w:t>项目名称：</w:t>
      </w:r>
      <w:r>
        <w:rPr>
          <w:rFonts w:hint="eastAsia" w:ascii="宋体" w:hAnsi="宋体" w:cs="宋体"/>
          <w:color w:val="auto"/>
          <w:sz w:val="24"/>
          <w:highlight w:val="none"/>
          <w:lang w:val="en-US" w:eastAsia="zh-CN"/>
        </w:rPr>
        <w:t>淮财磋商采购-2025-69</w:t>
      </w:r>
    </w:p>
    <w:p w14:paraId="4EB5C213">
      <w:pPr>
        <w:autoSpaceDE w:val="0"/>
        <w:autoSpaceDN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采购方式：竞争性磋商</w:t>
      </w:r>
    </w:p>
    <w:p w14:paraId="2DE3325D">
      <w:pPr>
        <w:autoSpaceDE w:val="0"/>
        <w:autoSpaceDN w:val="0"/>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预算金额：</w:t>
      </w:r>
      <w:r>
        <w:rPr>
          <w:rFonts w:hint="eastAsia" w:asciiTheme="minorEastAsia" w:hAnsiTheme="minorEastAsia" w:eastAsiaTheme="minorEastAsia" w:cstheme="minorEastAsia"/>
          <w:color w:val="auto"/>
          <w:sz w:val="24"/>
          <w:highlight w:val="none"/>
          <w:lang w:val="en-US" w:eastAsia="zh-CN"/>
        </w:rPr>
        <w:t>97.8万元</w:t>
      </w:r>
    </w:p>
    <w:p w14:paraId="7B9DF9DA">
      <w:pPr>
        <w:pStyle w:val="25"/>
        <w:snapToGrid w:val="0"/>
        <w:spacing w:before="0" w:beforeAutospacing="0" w:after="0" w:afterAutospacing="0" w:line="360" w:lineRule="auto"/>
        <w:ind w:firstLine="480"/>
        <w:jc w:val="both"/>
        <w:rPr>
          <w:rFonts w:cs="宋体"/>
          <w:color w:val="auto"/>
          <w:highlight w:val="none"/>
        </w:rPr>
      </w:pPr>
      <w:r>
        <w:rPr>
          <w:rFonts w:hint="eastAsia" w:cs="宋体"/>
          <w:color w:val="auto"/>
          <w:highlight w:val="none"/>
        </w:rPr>
        <w:t>包划分：</w:t>
      </w:r>
      <w:r>
        <w:rPr>
          <w:rFonts w:hint="eastAsia" w:cs="宋体"/>
          <w:color w:val="auto"/>
          <w:highlight w:val="none"/>
          <w:lang w:val="en-US" w:eastAsia="zh-CN"/>
        </w:rPr>
        <w:t>1</w:t>
      </w:r>
      <w:r>
        <w:rPr>
          <w:rFonts w:hint="eastAsia" w:cs="宋体"/>
          <w:color w:val="auto"/>
          <w:highlight w:val="none"/>
        </w:rPr>
        <w:t>个包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5760"/>
        <w:gridCol w:w="2328"/>
      </w:tblGrid>
      <w:tr w14:paraId="457F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6870A84">
            <w:pPr>
              <w:pStyle w:val="25"/>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包号</w:t>
            </w:r>
          </w:p>
        </w:tc>
        <w:tc>
          <w:tcPr>
            <w:tcW w:w="5760" w:type="dxa"/>
            <w:vAlign w:val="center"/>
          </w:tcPr>
          <w:p w14:paraId="35AB6E34">
            <w:pPr>
              <w:pStyle w:val="25"/>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包名称</w:t>
            </w:r>
          </w:p>
        </w:tc>
        <w:tc>
          <w:tcPr>
            <w:tcW w:w="2328" w:type="dxa"/>
            <w:vAlign w:val="center"/>
          </w:tcPr>
          <w:p w14:paraId="0CAF8B4C">
            <w:pPr>
              <w:pStyle w:val="25"/>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包最高限价万元</w:t>
            </w:r>
          </w:p>
        </w:tc>
      </w:tr>
      <w:tr w14:paraId="755F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38" w:type="dxa"/>
            <w:vAlign w:val="center"/>
          </w:tcPr>
          <w:p w14:paraId="4CCCE339">
            <w:pPr>
              <w:pStyle w:val="25"/>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1</w:t>
            </w:r>
          </w:p>
        </w:tc>
        <w:tc>
          <w:tcPr>
            <w:tcW w:w="5760" w:type="dxa"/>
            <w:vAlign w:val="center"/>
          </w:tcPr>
          <w:p w14:paraId="6B35CF7B">
            <w:pPr>
              <w:adjustRightInd w:val="0"/>
              <w:snapToGrid w:val="0"/>
              <w:spacing w:line="360" w:lineRule="auto"/>
              <w:jc w:val="center"/>
              <w:rPr>
                <w:color w:val="auto"/>
                <w:highlight w:val="none"/>
              </w:rPr>
            </w:pPr>
            <w:r>
              <w:rPr>
                <w:rFonts w:hint="eastAsia" w:ascii="宋体" w:hAnsi="宋体" w:cs="宋体"/>
                <w:color w:val="auto"/>
                <w:sz w:val="24"/>
                <w:highlight w:val="none"/>
              </w:rPr>
              <w:t>周口市淮阳区供水管网漏损治理和老化更新改造工程设计项目</w:t>
            </w:r>
          </w:p>
        </w:tc>
        <w:tc>
          <w:tcPr>
            <w:tcW w:w="2328" w:type="dxa"/>
            <w:vAlign w:val="center"/>
          </w:tcPr>
          <w:p w14:paraId="0A65905B">
            <w:pPr>
              <w:adjustRightInd w:val="0"/>
              <w:snapToGrid w:val="0"/>
              <w:spacing w:line="360" w:lineRule="auto"/>
              <w:jc w:val="center"/>
              <w:rPr>
                <w:rFonts w:hint="default" w:eastAsia="宋体"/>
                <w:color w:val="auto"/>
                <w:highlight w:val="none"/>
                <w:lang w:val="en-US" w:eastAsia="zh-CN"/>
              </w:rPr>
            </w:pPr>
            <w:r>
              <w:rPr>
                <w:rFonts w:hint="eastAsia" w:cs="宋体" w:asciiTheme="minorEastAsia" w:hAnsiTheme="minorEastAsia" w:eastAsiaTheme="minorEastAsia"/>
                <w:color w:val="auto"/>
                <w:sz w:val="24"/>
                <w:highlight w:val="none"/>
                <w:lang w:val="en-US" w:eastAsia="zh-CN"/>
              </w:rPr>
              <w:t>97.8</w:t>
            </w:r>
          </w:p>
        </w:tc>
      </w:tr>
    </w:tbl>
    <w:p w14:paraId="77EF3003">
      <w:pPr>
        <w:autoSpaceDE w:val="0"/>
        <w:autoSpaceDN w:val="0"/>
        <w:spacing w:line="360" w:lineRule="auto"/>
        <w:ind w:firstLine="480" w:firstLineChars="200"/>
        <w:rPr>
          <w:rFonts w:hint="default" w:eastAsia="宋体"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采购需求：</w:t>
      </w:r>
      <w:r>
        <w:rPr>
          <w:rFonts w:hint="eastAsia" w:ascii="宋体" w:hAnsi="宋体" w:cs="宋体"/>
          <w:color w:val="auto"/>
          <w:sz w:val="24"/>
          <w:highlight w:val="none"/>
        </w:rPr>
        <w:t>淮阳区供水管网漏损治理和老化更新改造工程设计</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详见第三章</w:t>
      </w:r>
    </w:p>
    <w:p w14:paraId="2E11CC24">
      <w:pPr>
        <w:autoSpaceDE w:val="0"/>
        <w:autoSpaceDN w:val="0"/>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合同履行期限</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30天</w:t>
      </w:r>
    </w:p>
    <w:p w14:paraId="7BD14E07">
      <w:pPr>
        <w:spacing w:line="360" w:lineRule="auto"/>
        <w:ind w:firstLine="480" w:firstLineChars="200"/>
        <w:jc w:val="left"/>
        <w:rPr>
          <w:rFonts w:ascii="宋体" w:hAnsi="宋体" w:cs="宋体"/>
          <w:color w:val="auto"/>
          <w:sz w:val="24"/>
          <w:highlight w:val="none"/>
        </w:rPr>
      </w:pPr>
      <w:bookmarkStart w:id="4" w:name="_Toc35393630"/>
      <w:bookmarkStart w:id="5" w:name="_Toc35393799"/>
      <w:bookmarkStart w:id="6" w:name="_Toc28359013"/>
      <w:bookmarkStart w:id="7" w:name="_Toc28359090"/>
      <w:r>
        <w:rPr>
          <w:rFonts w:hint="eastAsia" w:ascii="宋体" w:hAnsi="宋体" w:cs="宋体"/>
          <w:color w:val="auto"/>
          <w:sz w:val="24"/>
          <w:highlight w:val="none"/>
        </w:rPr>
        <w:t>是否接受进口产品：否</w:t>
      </w:r>
    </w:p>
    <w:p w14:paraId="27AB514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本项目是否接受联合体投标：否</w:t>
      </w:r>
    </w:p>
    <w:p w14:paraId="725A49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本项目是否为只面向中小企业采购：是，采购预留金额</w:t>
      </w:r>
      <w:r>
        <w:rPr>
          <w:rFonts w:hint="eastAsia" w:ascii="宋体" w:hAnsi="宋体" w:cs="宋体"/>
          <w:color w:val="auto"/>
          <w:sz w:val="24"/>
          <w:highlight w:val="none"/>
          <w:u w:val="single"/>
          <w:lang w:val="en-US" w:eastAsia="zh-CN"/>
        </w:rPr>
        <w:t>97.8</w:t>
      </w:r>
      <w:r>
        <w:rPr>
          <w:rFonts w:hint="eastAsia" w:ascii="宋体" w:hAnsi="宋体" w:cs="宋体"/>
          <w:color w:val="auto"/>
          <w:sz w:val="24"/>
          <w:highlight w:val="none"/>
        </w:rPr>
        <w:t>（万元）必须提供中小企业声明函。</w:t>
      </w:r>
    </w:p>
    <w:p w14:paraId="0CBC770F">
      <w:pPr>
        <w:pStyle w:val="3"/>
        <w:autoSpaceDE w:val="0"/>
        <w:autoSpaceDN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二、申请人的资格要求：</w:t>
      </w:r>
      <w:bookmarkEnd w:id="4"/>
      <w:bookmarkEnd w:id="5"/>
      <w:bookmarkEnd w:id="6"/>
      <w:bookmarkEnd w:id="7"/>
    </w:p>
    <w:p w14:paraId="35303605">
      <w:pPr>
        <w:autoSpaceDE w:val="0"/>
        <w:autoSpaceDN w:val="0"/>
        <w:spacing w:line="360" w:lineRule="auto"/>
        <w:ind w:firstLine="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159520CE">
      <w:pPr>
        <w:adjustRightInd w:val="0"/>
        <w:snapToGrid w:val="0"/>
        <w:spacing w:line="360" w:lineRule="auto"/>
        <w:ind w:firstLine="480" w:firstLineChars="200"/>
        <w:rPr>
          <w:color w:val="auto"/>
          <w:sz w:val="24"/>
          <w:highlight w:val="none"/>
        </w:rPr>
      </w:pPr>
      <w:r>
        <w:rPr>
          <w:rFonts w:hint="eastAsia"/>
          <w:color w:val="auto"/>
          <w:sz w:val="24"/>
          <w:highlight w:val="none"/>
        </w:rPr>
        <w:t xml:space="preserve">（1）具有独立承担民事责任的能力； </w:t>
      </w:r>
    </w:p>
    <w:p w14:paraId="15184127">
      <w:pPr>
        <w:adjustRightInd w:val="0"/>
        <w:snapToGrid w:val="0"/>
        <w:spacing w:line="360" w:lineRule="auto"/>
        <w:ind w:firstLine="480" w:firstLineChars="200"/>
        <w:rPr>
          <w:color w:val="auto"/>
          <w:sz w:val="24"/>
          <w:highlight w:val="none"/>
        </w:rPr>
      </w:pPr>
      <w:r>
        <w:rPr>
          <w:rFonts w:hint="eastAsia"/>
          <w:color w:val="auto"/>
          <w:sz w:val="24"/>
          <w:highlight w:val="none"/>
        </w:rPr>
        <w:t xml:space="preserve">（2）具有良好的商业信誉和健全的财务会计制度； </w:t>
      </w:r>
    </w:p>
    <w:p w14:paraId="5E881F20">
      <w:pPr>
        <w:adjustRightInd w:val="0"/>
        <w:snapToGrid w:val="0"/>
        <w:spacing w:line="360" w:lineRule="auto"/>
        <w:ind w:firstLine="480" w:firstLineChars="200"/>
        <w:rPr>
          <w:color w:val="auto"/>
          <w:sz w:val="24"/>
          <w:highlight w:val="none"/>
        </w:rPr>
      </w:pPr>
      <w:r>
        <w:rPr>
          <w:rFonts w:hint="eastAsia"/>
          <w:color w:val="auto"/>
          <w:sz w:val="24"/>
          <w:highlight w:val="none"/>
        </w:rPr>
        <w:t xml:space="preserve">（3）具有履行合同所必需的设备和专业技术能力； </w:t>
      </w:r>
    </w:p>
    <w:p w14:paraId="271F040A">
      <w:pPr>
        <w:adjustRightInd w:val="0"/>
        <w:snapToGrid w:val="0"/>
        <w:spacing w:line="360" w:lineRule="auto"/>
        <w:ind w:firstLine="480" w:firstLineChars="200"/>
        <w:rPr>
          <w:color w:val="auto"/>
          <w:sz w:val="24"/>
          <w:highlight w:val="none"/>
        </w:rPr>
      </w:pPr>
      <w:r>
        <w:rPr>
          <w:rFonts w:hint="eastAsia"/>
          <w:color w:val="auto"/>
          <w:sz w:val="24"/>
          <w:highlight w:val="none"/>
        </w:rPr>
        <w:t xml:space="preserve">（4）有依法缴纳税收和社会保障资金的良好记录； </w:t>
      </w:r>
    </w:p>
    <w:p w14:paraId="6BEABF4F">
      <w:pPr>
        <w:adjustRightInd w:val="0"/>
        <w:snapToGrid w:val="0"/>
        <w:spacing w:line="360" w:lineRule="auto"/>
        <w:ind w:firstLine="480" w:firstLineChars="200"/>
        <w:rPr>
          <w:color w:val="auto"/>
          <w:sz w:val="24"/>
          <w:highlight w:val="none"/>
        </w:rPr>
      </w:pPr>
      <w:r>
        <w:rPr>
          <w:rFonts w:hint="eastAsia"/>
          <w:color w:val="auto"/>
          <w:sz w:val="24"/>
          <w:highlight w:val="none"/>
        </w:rPr>
        <w:t xml:space="preserve">（5）参加政府采购活动前三年内，在经营活动中没有重大违法记录； </w:t>
      </w:r>
    </w:p>
    <w:p w14:paraId="27BA2513">
      <w:pPr>
        <w:adjustRightInd w:val="0"/>
        <w:snapToGrid w:val="0"/>
        <w:spacing w:line="360" w:lineRule="auto"/>
        <w:ind w:firstLine="480" w:firstLineChars="200"/>
        <w:rPr>
          <w:color w:val="auto"/>
          <w:highlight w:val="none"/>
        </w:rPr>
      </w:pPr>
      <w:r>
        <w:rPr>
          <w:rFonts w:hint="eastAsia"/>
          <w:color w:val="auto"/>
          <w:sz w:val="24"/>
          <w:highlight w:val="none"/>
        </w:rPr>
        <w:t xml:space="preserve">（6）法律、行政法规规定的其他条件。 </w:t>
      </w:r>
    </w:p>
    <w:p w14:paraId="2B2D089E">
      <w:pPr>
        <w:autoSpaceDE w:val="0"/>
        <w:autoSpaceDN w:val="0"/>
        <w:spacing w:line="360" w:lineRule="auto"/>
        <w:ind w:firstLine="540"/>
        <w:rPr>
          <w:rFonts w:asciiTheme="minorEastAsia" w:hAnsiTheme="minorEastAsia" w:eastAsiaTheme="minorEastAsia" w:cstheme="minorEastAsia"/>
          <w:color w:val="auto"/>
          <w:sz w:val="24"/>
          <w:highlight w:val="none"/>
        </w:rPr>
      </w:pPr>
      <w:bookmarkStart w:id="8" w:name="_Toc28359014"/>
      <w:bookmarkStart w:id="9" w:name="_Toc28359091"/>
      <w:r>
        <w:rPr>
          <w:rFonts w:hint="eastAsia" w:asciiTheme="minorEastAsia" w:hAnsiTheme="minorEastAsia" w:eastAsiaTheme="minorEastAsia" w:cstheme="minorEastAsia"/>
          <w:color w:val="auto"/>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79B07082">
      <w:pPr>
        <w:spacing w:line="360" w:lineRule="auto"/>
        <w:ind w:firstLine="480" w:firstLineChars="200"/>
        <w:jc w:val="lef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3.本项目的特定资格要求：</w:t>
      </w:r>
      <w:r>
        <w:rPr>
          <w:rFonts w:hint="eastAsia" w:ascii="宋体" w:hAnsi="宋体" w:cs="宋体"/>
          <w:color w:val="auto"/>
          <w:sz w:val="24"/>
          <w:highlight w:val="none"/>
        </w:rPr>
        <w:t>（1）根据《关于在政府采购活动中查询及使用信用记录有关问题的通知》(财库[2016]125号)和豫财购【2016】15号的规定，对列入“信用中国”网站（</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HYPERLINK "http://www.creditchina.gov.cn/"</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）的“重大税收违法失信主体”、“失信被执行人”和“中国政府采购”网站(</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)的“政府采购严重违法失信行为记录名单”的供应商，将拒绝其参加政府采购活动；在标书中附加盖公章的</w:t>
      </w:r>
      <w:r>
        <w:rPr>
          <w:rFonts w:hint="eastAsia" w:ascii="宋体" w:hAnsi="宋体" w:eastAsia="宋体" w:cs="宋体"/>
          <w:i w:val="0"/>
          <w:iCs w:val="0"/>
          <w:color w:val="auto"/>
          <w:sz w:val="24"/>
          <w:szCs w:val="24"/>
          <w:highlight w:val="none"/>
        </w:rPr>
        <w:t>供应商及法定代表人</w:t>
      </w:r>
      <w:r>
        <w:rPr>
          <w:rFonts w:hint="eastAsia" w:ascii="宋体" w:hAnsi="宋体" w:cs="宋体"/>
          <w:color w:val="auto"/>
          <w:sz w:val="24"/>
          <w:highlight w:val="none"/>
        </w:rPr>
        <w:t>网页查询扫描件，查询日期为公告发布之日起至投标截止之日止。</w:t>
      </w:r>
    </w:p>
    <w:p w14:paraId="00D926A3">
      <w:pPr>
        <w:spacing w:line="360" w:lineRule="auto"/>
        <w:ind w:firstLine="480" w:firstLineChars="200"/>
        <w:jc w:val="left"/>
        <w:rPr>
          <w:color w:val="auto"/>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lang w:val="en-US" w:eastAsia="zh-CN"/>
        </w:rPr>
        <w:t>供应商需具备市政行业（</w:t>
      </w:r>
      <w:r>
        <w:rPr>
          <w:rFonts w:hint="eastAsia" w:ascii="宋体" w:hAnsi="宋体" w:cs="宋体"/>
          <w:color w:val="auto"/>
          <w:sz w:val="24"/>
          <w:highlight w:val="none"/>
          <w:lang w:val="en-US" w:eastAsia="zh-CN"/>
        </w:rPr>
        <w:t>给水工程</w:t>
      </w:r>
      <w:r>
        <w:rPr>
          <w:rFonts w:hint="eastAsia" w:ascii="宋体" w:hAnsi="宋体" w:eastAsia="宋体" w:cs="宋体"/>
          <w:color w:val="auto"/>
          <w:sz w:val="24"/>
          <w:highlight w:val="none"/>
          <w:lang w:val="en-US" w:eastAsia="zh-CN"/>
        </w:rPr>
        <w:t>）专业乙级及以上资质，拟派项目负责人须具有市政</w:t>
      </w:r>
      <w:r>
        <w:rPr>
          <w:rFonts w:hint="eastAsia" w:ascii="宋体" w:hAnsi="宋体" w:cs="宋体"/>
          <w:color w:val="auto"/>
          <w:sz w:val="24"/>
          <w:highlight w:val="none"/>
          <w:lang w:val="en-US" w:eastAsia="zh-CN"/>
        </w:rPr>
        <w:t>相关</w:t>
      </w:r>
      <w:r>
        <w:rPr>
          <w:rFonts w:hint="eastAsia" w:ascii="宋体" w:hAnsi="宋体" w:eastAsia="宋体" w:cs="宋体"/>
          <w:color w:val="auto"/>
          <w:sz w:val="24"/>
          <w:highlight w:val="none"/>
          <w:lang w:val="en-US" w:eastAsia="zh-CN"/>
        </w:rPr>
        <w:t>专业高级工程师</w:t>
      </w:r>
      <w:r>
        <w:rPr>
          <w:rFonts w:hint="eastAsia" w:ascii="宋体" w:hAnsi="宋体" w:cs="宋体"/>
          <w:color w:val="auto"/>
          <w:sz w:val="24"/>
          <w:highlight w:val="none"/>
          <w:lang w:val="en-US" w:eastAsia="zh-CN"/>
        </w:rPr>
        <w:t>及以上</w:t>
      </w:r>
      <w:r>
        <w:rPr>
          <w:rFonts w:hint="eastAsia" w:ascii="宋体" w:hAnsi="宋体" w:eastAsia="宋体" w:cs="宋体"/>
          <w:color w:val="auto"/>
          <w:sz w:val="24"/>
          <w:highlight w:val="none"/>
          <w:lang w:val="en-US" w:eastAsia="zh-CN"/>
        </w:rPr>
        <w:t>职称或具有市政设计</w:t>
      </w:r>
      <w:r>
        <w:rPr>
          <w:rFonts w:hint="eastAsia" w:ascii="宋体" w:hAnsi="宋体" w:cs="宋体"/>
          <w:color w:val="auto"/>
          <w:sz w:val="24"/>
          <w:highlight w:val="none"/>
          <w:lang w:val="en-US" w:eastAsia="zh-CN"/>
        </w:rPr>
        <w:t>类</w:t>
      </w:r>
      <w:r>
        <w:rPr>
          <w:rFonts w:hint="eastAsia" w:ascii="宋体" w:hAnsi="宋体" w:eastAsia="宋体" w:cs="宋体"/>
          <w:color w:val="auto"/>
          <w:sz w:val="24"/>
          <w:highlight w:val="none"/>
          <w:lang w:val="en-US" w:eastAsia="zh-CN"/>
        </w:rPr>
        <w:t>相关专业注册执业资格。</w:t>
      </w:r>
    </w:p>
    <w:p w14:paraId="25ABF4FD">
      <w:pPr>
        <w:pStyle w:val="3"/>
        <w:autoSpaceDE w:val="0"/>
        <w:autoSpaceDN w:val="0"/>
        <w:spacing w:line="360" w:lineRule="auto"/>
        <w:jc w:val="left"/>
        <w:rPr>
          <w:rFonts w:asciiTheme="minorEastAsia" w:hAnsiTheme="minorEastAsia" w:eastAsiaTheme="minorEastAsia" w:cstheme="minorEastAsia"/>
          <w:color w:val="auto"/>
          <w:sz w:val="24"/>
          <w:highlight w:val="none"/>
        </w:rPr>
      </w:pPr>
      <w:bookmarkStart w:id="10" w:name="_Toc35393631"/>
      <w:bookmarkStart w:id="11" w:name="_Toc35393800"/>
      <w:r>
        <w:rPr>
          <w:rFonts w:hint="eastAsia" w:asciiTheme="minorEastAsia" w:hAnsiTheme="minorEastAsia" w:eastAsiaTheme="minorEastAsia" w:cstheme="minorEastAsia"/>
          <w:color w:val="auto"/>
          <w:sz w:val="24"/>
          <w:highlight w:val="none"/>
        </w:rPr>
        <w:t>三、获取采购文件</w:t>
      </w:r>
      <w:bookmarkEnd w:id="8"/>
      <w:bookmarkEnd w:id="9"/>
      <w:bookmarkEnd w:id="10"/>
      <w:bookmarkEnd w:id="11"/>
    </w:p>
    <w:p w14:paraId="50E2431C">
      <w:pPr>
        <w:autoSpaceDE w:val="0"/>
        <w:autoSpaceDN w:val="0"/>
        <w:spacing w:line="360" w:lineRule="auto"/>
        <w:ind w:firstLine="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lang w:val="en-US" w:eastAsia="zh-CN"/>
        </w:rPr>
        <w:t>2025</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09</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至</w:t>
      </w:r>
      <w:r>
        <w:rPr>
          <w:rFonts w:hint="eastAsia" w:asciiTheme="minorEastAsia" w:hAnsiTheme="minorEastAsia" w:eastAsiaTheme="minorEastAsia" w:cstheme="minorEastAsia"/>
          <w:color w:val="auto"/>
          <w:sz w:val="24"/>
          <w:highlight w:val="none"/>
          <w:u w:val="single"/>
          <w:lang w:val="en-US" w:eastAsia="zh-CN"/>
        </w:rPr>
        <w:t>2025</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16</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（北京时间，法定节假日除外 ）</w:t>
      </w:r>
    </w:p>
    <w:p w14:paraId="13356D2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地点：周口市公共资源交易中心网（http://jyzx.zhoukou.gov.cn）</w:t>
      </w:r>
    </w:p>
    <w:p w14:paraId="03A9BA4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方式：供应商请在网站自主注册后下载采购文件（zkzf格式）及资料，需办理CA数字证书后方可提交响应文件，具体办理事宜请查阅周口市公共资源交易中心网站。</w:t>
      </w:r>
    </w:p>
    <w:p w14:paraId="215BFD5A">
      <w:pPr>
        <w:autoSpaceDE w:val="0"/>
        <w:autoSpaceDN w:val="0"/>
        <w:spacing w:line="360" w:lineRule="auto"/>
        <w:ind w:firstLine="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售价：0</w:t>
      </w:r>
    </w:p>
    <w:p w14:paraId="61132B14">
      <w:pPr>
        <w:pStyle w:val="3"/>
        <w:autoSpaceDE w:val="0"/>
        <w:autoSpaceDN w:val="0"/>
        <w:spacing w:line="360" w:lineRule="auto"/>
        <w:jc w:val="left"/>
        <w:rPr>
          <w:rFonts w:asciiTheme="minorEastAsia" w:hAnsiTheme="minorEastAsia" w:eastAsiaTheme="minorEastAsia" w:cstheme="minorEastAsia"/>
          <w:color w:val="auto"/>
          <w:sz w:val="24"/>
          <w:highlight w:val="none"/>
        </w:rPr>
      </w:pPr>
      <w:bookmarkStart w:id="12" w:name="_Toc28359015"/>
      <w:bookmarkStart w:id="13" w:name="_Toc28359092"/>
      <w:bookmarkStart w:id="14" w:name="_Toc35393801"/>
      <w:bookmarkStart w:id="15" w:name="_Toc35393632"/>
      <w:r>
        <w:rPr>
          <w:rFonts w:hint="eastAsia" w:asciiTheme="minorEastAsia" w:hAnsiTheme="minorEastAsia" w:eastAsiaTheme="minorEastAsia" w:cstheme="minorEastAsia"/>
          <w:color w:val="auto"/>
          <w:sz w:val="24"/>
          <w:highlight w:val="none"/>
        </w:rPr>
        <w:t>四、响应文件提交</w:t>
      </w:r>
      <w:bookmarkEnd w:id="12"/>
      <w:bookmarkEnd w:id="13"/>
      <w:bookmarkEnd w:id="14"/>
      <w:bookmarkEnd w:id="15"/>
    </w:p>
    <w:p w14:paraId="37687FC0">
      <w:pPr>
        <w:autoSpaceDE w:val="0"/>
        <w:autoSpaceDN w:val="0"/>
        <w:spacing w:line="360" w:lineRule="auto"/>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截止时间：</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u w:val="single"/>
        </w:rPr>
        <w:t>年1</w:t>
      </w:r>
      <w:r>
        <w:rPr>
          <w:rFonts w:hint="eastAsia" w:asciiTheme="minorEastAsia" w:hAnsiTheme="minorEastAsia" w:eastAsiaTheme="minorEastAsia" w:cstheme="minorEastAsia"/>
          <w:color w:val="auto"/>
          <w:sz w:val="24"/>
          <w:highlight w:val="none"/>
          <w:u w:val="single"/>
          <w:lang w:val="en-US" w:eastAsia="zh-CN"/>
        </w:rPr>
        <w:t>2</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25</w:t>
      </w:r>
      <w:r>
        <w:rPr>
          <w:rFonts w:hint="eastAsia" w:asciiTheme="minorEastAsia" w:hAnsiTheme="minorEastAsia" w:eastAsiaTheme="minorEastAsia" w:cstheme="minorEastAsia"/>
          <w:color w:val="auto"/>
          <w:sz w:val="24"/>
          <w:highlight w:val="none"/>
          <w:u w:val="single"/>
        </w:rPr>
        <w:t>日10点00分</w:t>
      </w:r>
      <w:r>
        <w:rPr>
          <w:rFonts w:hint="eastAsia" w:asciiTheme="minorEastAsia" w:hAnsiTheme="minorEastAsia" w:eastAsiaTheme="minorEastAsia" w:cstheme="minorEastAsia"/>
          <w:bCs/>
          <w:color w:val="auto"/>
          <w:sz w:val="24"/>
          <w:highlight w:val="none"/>
        </w:rPr>
        <w:t>（北京时间）</w:t>
      </w:r>
    </w:p>
    <w:p w14:paraId="3EF9A84A">
      <w:pPr>
        <w:autoSpaceDE w:val="0"/>
        <w:autoSpaceDN w:val="0"/>
        <w:spacing w:line="360" w:lineRule="auto"/>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地点：加密电子响应文件须在投标截止时间前通过</w:t>
      </w:r>
      <w:r>
        <w:rPr>
          <w:rFonts w:hint="eastAsia" w:asciiTheme="minorEastAsia" w:hAnsiTheme="minorEastAsia" w:eastAsiaTheme="minorEastAsia" w:cstheme="minorEastAsia"/>
          <w:color w:val="auto"/>
          <w:spacing w:val="-6"/>
          <w:sz w:val="24"/>
          <w:highlight w:val="none"/>
        </w:rPr>
        <w:t>周口市公共资源交易中心网</w:t>
      </w:r>
      <w:r>
        <w:rPr>
          <w:rFonts w:hint="eastAsia" w:asciiTheme="minorEastAsia" w:hAnsiTheme="minorEastAsia" w:eastAsiaTheme="minorEastAsia" w:cstheme="minorEastAsia"/>
          <w:color w:val="auto"/>
          <w:sz w:val="24"/>
          <w:highlight w:val="none"/>
        </w:rPr>
        <w:t>（网址http://jyzx.zhoukou.gov.cn）。</w:t>
      </w:r>
    </w:p>
    <w:p w14:paraId="0AB9F9ED">
      <w:pPr>
        <w:pStyle w:val="3"/>
        <w:autoSpaceDE w:val="0"/>
        <w:autoSpaceDN w:val="0"/>
        <w:spacing w:line="360" w:lineRule="auto"/>
        <w:jc w:val="left"/>
        <w:rPr>
          <w:rFonts w:asciiTheme="minorEastAsia" w:hAnsiTheme="minorEastAsia" w:eastAsiaTheme="minorEastAsia" w:cstheme="minorEastAsia"/>
          <w:color w:val="auto"/>
          <w:sz w:val="24"/>
          <w:highlight w:val="none"/>
        </w:rPr>
      </w:pPr>
      <w:bookmarkStart w:id="16" w:name="_Toc28359093"/>
      <w:bookmarkStart w:id="17" w:name="_Toc28359016"/>
      <w:bookmarkStart w:id="18" w:name="_Toc35393802"/>
      <w:bookmarkStart w:id="19" w:name="_Toc35393633"/>
      <w:r>
        <w:rPr>
          <w:rFonts w:hint="eastAsia" w:asciiTheme="minorEastAsia" w:hAnsiTheme="minorEastAsia" w:eastAsiaTheme="minorEastAsia" w:cstheme="minorEastAsia"/>
          <w:color w:val="auto"/>
          <w:sz w:val="24"/>
          <w:highlight w:val="none"/>
        </w:rPr>
        <w:t>五、开启</w:t>
      </w:r>
      <w:bookmarkEnd w:id="16"/>
      <w:bookmarkEnd w:id="17"/>
      <w:bookmarkEnd w:id="18"/>
      <w:bookmarkEnd w:id="19"/>
    </w:p>
    <w:p w14:paraId="1BB5A0D0">
      <w:pPr>
        <w:autoSpaceDE w:val="0"/>
        <w:autoSpaceDN w:val="0"/>
        <w:spacing w:line="360" w:lineRule="auto"/>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u w:val="single"/>
        </w:rPr>
        <w:t>年1</w:t>
      </w:r>
      <w:r>
        <w:rPr>
          <w:rFonts w:hint="eastAsia" w:asciiTheme="minorEastAsia" w:hAnsiTheme="minorEastAsia" w:eastAsiaTheme="minorEastAsia" w:cstheme="minorEastAsia"/>
          <w:color w:val="auto"/>
          <w:sz w:val="24"/>
          <w:highlight w:val="none"/>
          <w:u w:val="single"/>
          <w:lang w:val="en-US" w:eastAsia="zh-CN"/>
        </w:rPr>
        <w:t>2</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25</w:t>
      </w:r>
      <w:r>
        <w:rPr>
          <w:rFonts w:hint="eastAsia" w:asciiTheme="minorEastAsia" w:hAnsiTheme="minorEastAsia" w:eastAsiaTheme="minorEastAsia" w:cstheme="minorEastAsia"/>
          <w:color w:val="auto"/>
          <w:sz w:val="24"/>
          <w:highlight w:val="none"/>
          <w:u w:val="single"/>
        </w:rPr>
        <w:t>日10点00分</w:t>
      </w:r>
      <w:r>
        <w:rPr>
          <w:rFonts w:hint="eastAsia" w:asciiTheme="minorEastAsia" w:hAnsiTheme="minorEastAsia" w:eastAsiaTheme="minorEastAsia" w:cstheme="minorEastAsia"/>
          <w:bCs/>
          <w:color w:val="auto"/>
          <w:sz w:val="24"/>
          <w:highlight w:val="none"/>
        </w:rPr>
        <w:t>（北京时间）</w:t>
      </w:r>
    </w:p>
    <w:p w14:paraId="21E70961">
      <w:pPr>
        <w:autoSpaceDE w:val="0"/>
        <w:autoSpaceDN w:val="0"/>
        <w:spacing w:line="360" w:lineRule="auto"/>
        <w:ind w:firstLine="480" w:firstLineChars="200"/>
        <w:jc w:val="left"/>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地点：</w:t>
      </w:r>
      <w:r>
        <w:rPr>
          <w:rFonts w:hint="eastAsia" w:ascii="宋体" w:hAnsi="宋体" w:cs="宋体"/>
          <w:color w:val="auto"/>
          <w:sz w:val="24"/>
          <w:highlight w:val="none"/>
        </w:rPr>
        <w:t>周口市公共资源交易中心开标室</w:t>
      </w:r>
    </w:p>
    <w:p w14:paraId="375FA275">
      <w:pPr>
        <w:pStyle w:val="3"/>
        <w:autoSpaceDE w:val="0"/>
        <w:autoSpaceDN w:val="0"/>
        <w:spacing w:line="360" w:lineRule="auto"/>
        <w:jc w:val="left"/>
        <w:rPr>
          <w:rFonts w:asciiTheme="minorEastAsia" w:hAnsiTheme="minorEastAsia" w:eastAsiaTheme="minorEastAsia" w:cstheme="minorEastAsia"/>
          <w:color w:val="auto"/>
          <w:sz w:val="24"/>
          <w:highlight w:val="none"/>
        </w:rPr>
      </w:pPr>
      <w:bookmarkStart w:id="20" w:name="_Toc35393803"/>
      <w:bookmarkStart w:id="21" w:name="_Toc28359017"/>
      <w:bookmarkStart w:id="22" w:name="_Toc35393634"/>
      <w:bookmarkStart w:id="23" w:name="_Toc28359094"/>
      <w:r>
        <w:rPr>
          <w:rFonts w:hint="eastAsia" w:asciiTheme="minorEastAsia" w:hAnsiTheme="minorEastAsia" w:eastAsiaTheme="minorEastAsia" w:cstheme="minorEastAsia"/>
          <w:color w:val="auto"/>
          <w:sz w:val="24"/>
          <w:highlight w:val="none"/>
        </w:rPr>
        <w:t>六、公告期限</w:t>
      </w:r>
      <w:bookmarkEnd w:id="20"/>
      <w:bookmarkEnd w:id="21"/>
      <w:bookmarkEnd w:id="22"/>
      <w:bookmarkEnd w:id="23"/>
    </w:p>
    <w:p w14:paraId="6AE842A2">
      <w:pPr>
        <w:autoSpaceDE w:val="0"/>
        <w:autoSpaceDN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自本公告发布之日起3个工作日。</w:t>
      </w:r>
    </w:p>
    <w:p w14:paraId="6B5142C6">
      <w:pPr>
        <w:pStyle w:val="3"/>
        <w:autoSpaceDE w:val="0"/>
        <w:autoSpaceDN w:val="0"/>
        <w:spacing w:line="360" w:lineRule="auto"/>
        <w:jc w:val="left"/>
        <w:rPr>
          <w:rFonts w:asciiTheme="minorEastAsia" w:hAnsiTheme="minorEastAsia" w:eastAsiaTheme="minorEastAsia" w:cstheme="minorEastAsia"/>
          <w:color w:val="auto"/>
          <w:sz w:val="24"/>
          <w:highlight w:val="none"/>
        </w:rPr>
      </w:pPr>
      <w:bookmarkStart w:id="24" w:name="_Toc35393635"/>
      <w:bookmarkStart w:id="25" w:name="_Toc35393804"/>
      <w:r>
        <w:rPr>
          <w:rFonts w:hint="eastAsia" w:asciiTheme="minorEastAsia" w:hAnsiTheme="minorEastAsia" w:eastAsiaTheme="minorEastAsia" w:cstheme="minorEastAsia"/>
          <w:color w:val="auto"/>
          <w:sz w:val="24"/>
          <w:highlight w:val="none"/>
        </w:rPr>
        <w:t>七、其他补充事宜</w:t>
      </w:r>
      <w:bookmarkEnd w:id="24"/>
      <w:bookmarkEnd w:id="25"/>
    </w:p>
    <w:p w14:paraId="277BA4EF">
      <w:pPr>
        <w:pStyle w:val="3"/>
        <w:autoSpaceDE w:val="0"/>
        <w:autoSpaceDN w:val="0"/>
        <w:spacing w:line="360" w:lineRule="auto"/>
        <w:jc w:val="left"/>
        <w:rPr>
          <w:rFonts w:asciiTheme="minorEastAsia" w:hAnsiTheme="minorEastAsia" w:eastAsiaTheme="minorEastAsia" w:cstheme="minorEastAsia"/>
          <w:color w:val="auto"/>
          <w:sz w:val="24"/>
          <w:highlight w:val="none"/>
        </w:rPr>
      </w:pPr>
      <w:bookmarkStart w:id="26" w:name="_Toc28359095"/>
      <w:bookmarkStart w:id="27" w:name="_Toc35393805"/>
      <w:bookmarkStart w:id="28" w:name="_Toc28359018"/>
      <w:bookmarkStart w:id="29" w:name="_Toc35393636"/>
      <w:r>
        <w:rPr>
          <w:rFonts w:hint="eastAsia" w:asciiTheme="minorEastAsia" w:hAnsiTheme="minorEastAsia" w:eastAsiaTheme="minorEastAsia" w:cstheme="minorEastAsia"/>
          <w:color w:val="auto"/>
          <w:sz w:val="24"/>
          <w:highlight w:val="none"/>
        </w:rPr>
        <w:t>八、凡对本次采购提出询问，请按以下方式联系。</w:t>
      </w:r>
      <w:bookmarkEnd w:id="26"/>
      <w:bookmarkEnd w:id="27"/>
      <w:bookmarkEnd w:id="28"/>
      <w:bookmarkEnd w:id="29"/>
    </w:p>
    <w:p w14:paraId="4D733A2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14:paraId="588B593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周口市淮阳区城市管理局</w:t>
      </w:r>
      <w:r>
        <w:rPr>
          <w:rFonts w:hint="eastAsia" w:ascii="宋体" w:hAnsi="宋体" w:cs="宋体"/>
          <w:color w:val="auto"/>
          <w:sz w:val="24"/>
          <w:highlight w:val="none"/>
        </w:rPr>
        <w:t>　　　　　　　　　　　　</w:t>
      </w:r>
    </w:p>
    <w:p w14:paraId="74E970E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淮阳区境内</w:t>
      </w:r>
      <w:r>
        <w:rPr>
          <w:rFonts w:hint="eastAsia" w:ascii="宋体" w:hAnsi="宋体" w:cs="宋体"/>
          <w:color w:val="auto"/>
          <w:sz w:val="24"/>
          <w:highlight w:val="none"/>
        </w:rPr>
        <w:t>　　　　　　　　　　　　</w:t>
      </w:r>
    </w:p>
    <w:p w14:paraId="3A9D78C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田凯</w:t>
      </w:r>
      <w:r>
        <w:rPr>
          <w:rFonts w:hint="eastAsia" w:ascii="宋体" w:hAnsi="宋体" w:cs="宋体"/>
          <w:color w:val="auto"/>
          <w:sz w:val="24"/>
          <w:highlight w:val="none"/>
        </w:rPr>
        <w:t xml:space="preserve">  联系方式：</w:t>
      </w:r>
      <w:r>
        <w:rPr>
          <w:rFonts w:hint="eastAsia" w:ascii="宋体" w:hAnsi="宋体" w:cs="宋体"/>
          <w:color w:val="auto"/>
          <w:sz w:val="24"/>
          <w:highlight w:val="none"/>
          <w:lang w:val="en-US" w:eastAsia="zh-CN"/>
        </w:rPr>
        <w:t>18595359383</w:t>
      </w:r>
      <w:r>
        <w:rPr>
          <w:rFonts w:hint="eastAsia" w:ascii="宋体" w:hAnsi="宋体" w:cs="宋体"/>
          <w:color w:val="auto"/>
          <w:sz w:val="24"/>
          <w:highlight w:val="none"/>
        </w:rPr>
        <w:t xml:space="preserve">　　　　　　　　　　　 </w:t>
      </w:r>
      <w:bookmarkStart w:id="30" w:name="_Toc28359086"/>
      <w:bookmarkStart w:id="31" w:name="_Toc28359009"/>
    </w:p>
    <w:p w14:paraId="462E635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2.采购代理机构信息</w:t>
      </w:r>
      <w:bookmarkEnd w:id="30"/>
      <w:bookmarkEnd w:id="31"/>
    </w:p>
    <w:p w14:paraId="7CA621F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称：周口市公共资源交易中心政府采购中心　　　　　　　　　　　　</w:t>
      </w:r>
    </w:p>
    <w:p w14:paraId="0C733D9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址：周口市光明路与政通路交叉口向北100米路东</w:t>
      </w:r>
    </w:p>
    <w:p w14:paraId="3C0E400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 xml:space="preserve">王硕 </w:t>
      </w:r>
      <w:r>
        <w:rPr>
          <w:rFonts w:hint="eastAsia" w:ascii="宋体" w:hAnsi="宋体" w:cs="宋体"/>
          <w:color w:val="auto"/>
          <w:sz w:val="24"/>
          <w:highlight w:val="none"/>
        </w:rPr>
        <w:t xml:space="preserve"> 联系方式：</w:t>
      </w:r>
      <w:bookmarkStart w:id="32" w:name="_Toc28359087"/>
      <w:bookmarkStart w:id="33" w:name="_Toc28359010"/>
      <w:r>
        <w:rPr>
          <w:rFonts w:hint="eastAsia" w:ascii="宋体" w:hAnsi="宋体" w:cs="宋体"/>
          <w:color w:val="auto"/>
          <w:sz w:val="24"/>
          <w:highlight w:val="none"/>
          <w:lang w:val="en-US" w:eastAsia="zh-CN"/>
        </w:rPr>
        <w:t>0394-8106517、13525741688</w:t>
      </w:r>
      <w:r>
        <w:rPr>
          <w:rFonts w:hint="eastAsia" w:ascii="宋体" w:hAnsi="宋体" w:cs="宋体"/>
          <w:color w:val="auto"/>
          <w:sz w:val="24"/>
          <w:highlight w:val="none"/>
        </w:rPr>
        <w:t>　　　　　　　</w:t>
      </w:r>
    </w:p>
    <w:bookmarkEnd w:id="32"/>
    <w:bookmarkEnd w:id="33"/>
    <w:p w14:paraId="09BBA158">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3.监督单位：</w:t>
      </w:r>
      <w:r>
        <w:rPr>
          <w:rFonts w:hint="eastAsia" w:ascii="宋体" w:hAnsi="宋体" w:cs="宋体"/>
          <w:color w:val="auto"/>
          <w:sz w:val="24"/>
          <w:highlight w:val="none"/>
          <w:lang w:val="en-US" w:eastAsia="zh-CN"/>
        </w:rPr>
        <w:t>周口市淮阳区财政局</w:t>
      </w:r>
    </w:p>
    <w:p w14:paraId="7E295B0C">
      <w:pPr>
        <w:pStyle w:val="35"/>
        <w:ind w:firstLine="480" w:firstLineChars="200"/>
        <w:rPr>
          <w:color w:val="auto"/>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0394-8107059</w:t>
      </w:r>
      <w:r>
        <w:rPr>
          <w:rFonts w:hint="eastAsia" w:ascii="宋体" w:hAnsi="宋体" w:cs="宋体"/>
          <w:color w:val="auto"/>
          <w:sz w:val="24"/>
          <w:highlight w:val="none"/>
        </w:rPr>
        <w:t xml:space="preserve">  </w:t>
      </w:r>
    </w:p>
    <w:p w14:paraId="1396D067">
      <w:pPr>
        <w:pStyle w:val="35"/>
        <w:ind w:firstLine="0" w:firstLineChars="0"/>
        <w:rPr>
          <w:color w:val="auto"/>
          <w:highlight w:val="none"/>
        </w:rPr>
      </w:pPr>
    </w:p>
    <w:p w14:paraId="03AEB15C">
      <w:pPr>
        <w:pStyle w:val="9"/>
        <w:adjustRightInd w:val="0"/>
        <w:snapToGrid w:val="0"/>
        <w:spacing w:line="360" w:lineRule="auto"/>
        <w:ind w:firstLine="2040" w:firstLineChars="850"/>
        <w:jc w:val="right"/>
        <w:rPr>
          <w:rFonts w:hint="eastAsia" w:ascii="宋体" w:hAnsi="宋体" w:cs="宋体"/>
          <w:color w:val="auto"/>
          <w:sz w:val="24"/>
          <w:highlight w:val="none"/>
        </w:rPr>
      </w:pPr>
    </w:p>
    <w:p w14:paraId="522293BD">
      <w:pPr>
        <w:pStyle w:val="9"/>
        <w:adjustRightInd w:val="0"/>
        <w:snapToGrid w:val="0"/>
        <w:spacing w:line="360" w:lineRule="auto"/>
        <w:ind w:firstLine="2040" w:firstLineChars="850"/>
        <w:jc w:val="right"/>
        <w:rPr>
          <w:rFonts w:hint="eastAsia" w:ascii="宋体" w:hAnsi="宋体" w:cs="宋体"/>
          <w:color w:val="auto"/>
          <w:sz w:val="24"/>
          <w:highlight w:val="none"/>
        </w:rPr>
      </w:pPr>
    </w:p>
    <w:p w14:paraId="53206CE5">
      <w:pPr>
        <w:pStyle w:val="9"/>
        <w:adjustRightInd w:val="0"/>
        <w:snapToGrid w:val="0"/>
        <w:spacing w:line="360" w:lineRule="auto"/>
        <w:ind w:firstLine="2040" w:firstLineChars="850"/>
        <w:jc w:val="right"/>
        <w:rPr>
          <w:rFonts w:hint="eastAsia" w:ascii="宋体" w:hAnsi="宋体" w:cs="宋体"/>
          <w:color w:val="auto"/>
          <w:sz w:val="24"/>
          <w:highlight w:val="none"/>
        </w:rPr>
      </w:pPr>
    </w:p>
    <w:p w14:paraId="7EAB5592">
      <w:pPr>
        <w:pStyle w:val="9"/>
        <w:adjustRightInd w:val="0"/>
        <w:snapToGrid w:val="0"/>
        <w:spacing w:line="360" w:lineRule="auto"/>
        <w:ind w:firstLine="2040" w:firstLineChars="850"/>
        <w:jc w:val="right"/>
        <w:rPr>
          <w:rFonts w:hint="eastAsia" w:ascii="宋体" w:hAnsi="宋体" w:cs="宋体"/>
          <w:color w:val="auto"/>
          <w:sz w:val="24"/>
          <w:highlight w:val="none"/>
        </w:rPr>
      </w:pPr>
    </w:p>
    <w:p w14:paraId="3DDC653C">
      <w:pPr>
        <w:pStyle w:val="9"/>
        <w:adjustRightInd w:val="0"/>
        <w:snapToGrid w:val="0"/>
        <w:spacing w:line="360" w:lineRule="auto"/>
        <w:ind w:firstLine="2040" w:firstLineChars="850"/>
        <w:jc w:val="right"/>
        <w:rPr>
          <w:rFonts w:hint="eastAsia" w:ascii="宋体" w:hAnsi="宋体" w:cs="宋体"/>
          <w:color w:val="auto"/>
          <w:sz w:val="24"/>
          <w:highlight w:val="none"/>
        </w:rPr>
      </w:pPr>
    </w:p>
    <w:p w14:paraId="7A1C1517">
      <w:pPr>
        <w:pStyle w:val="9"/>
        <w:adjustRightInd w:val="0"/>
        <w:snapToGrid w:val="0"/>
        <w:spacing w:line="360" w:lineRule="auto"/>
        <w:ind w:firstLine="2040" w:firstLineChars="850"/>
        <w:jc w:val="right"/>
        <w:rPr>
          <w:rFonts w:hint="eastAsia" w:ascii="宋体" w:hAnsi="宋体" w:cs="宋体"/>
          <w:color w:val="auto"/>
          <w:sz w:val="24"/>
          <w:highlight w:val="none"/>
        </w:rPr>
      </w:pPr>
    </w:p>
    <w:p w14:paraId="1BC5A868">
      <w:pPr>
        <w:pStyle w:val="9"/>
        <w:adjustRightInd w:val="0"/>
        <w:snapToGrid w:val="0"/>
        <w:spacing w:line="360" w:lineRule="auto"/>
        <w:ind w:firstLine="2040" w:firstLineChars="850"/>
        <w:jc w:val="right"/>
        <w:rPr>
          <w:rFonts w:ascii="宋体" w:hAnsi="宋体" w:cs="宋体"/>
          <w:color w:val="auto"/>
          <w:sz w:val="24"/>
          <w:highlight w:val="none"/>
        </w:rPr>
      </w:pPr>
      <w:r>
        <w:rPr>
          <w:rFonts w:hint="eastAsia" w:ascii="宋体" w:hAnsi="宋体" w:cs="宋体"/>
          <w:color w:val="auto"/>
          <w:sz w:val="24"/>
          <w:highlight w:val="none"/>
        </w:rPr>
        <w:t>周口市公共资源交易中心政府采购中心</w:t>
      </w:r>
    </w:p>
    <w:p w14:paraId="08DA5EF9">
      <w:pPr>
        <w:pStyle w:val="11"/>
        <w:adjustRightInd w:val="0"/>
        <w:spacing w:line="360" w:lineRule="auto"/>
        <w:ind w:firstLine="5760" w:firstLineChars="2400"/>
        <w:rPr>
          <w:rFonts w:ascii="宋体" w:hAnsi="宋体" w:cs="宋体"/>
          <w:color w:val="auto"/>
          <w:highlight w:val="none"/>
        </w:rPr>
      </w:pP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日　　</w:t>
      </w:r>
    </w:p>
    <w:p w14:paraId="3C7A2AFB">
      <w:pPr>
        <w:pStyle w:val="13"/>
        <w:adjustRightInd w:val="0"/>
        <w:snapToGrid w:val="0"/>
        <w:spacing w:line="360" w:lineRule="auto"/>
        <w:ind w:firstLine="0" w:firstLineChars="0"/>
        <w:rPr>
          <w:color w:val="auto"/>
          <w:highlight w:val="none"/>
        </w:rPr>
      </w:pPr>
    </w:p>
    <w:p w14:paraId="7EDFB6FE">
      <w:pPr>
        <w:jc w:val="both"/>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第二章    供应商须知</w:t>
      </w:r>
    </w:p>
    <w:tbl>
      <w:tblPr>
        <w:tblStyle w:val="27"/>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211B7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34" w:hRule="atLeast"/>
        </w:trPr>
        <w:tc>
          <w:tcPr>
            <w:tcW w:w="9345" w:type="dxa"/>
            <w:gridSpan w:val="3"/>
            <w:vAlign w:val="center"/>
          </w:tcPr>
          <w:p w14:paraId="677C281B">
            <w:pPr>
              <w:jc w:val="center"/>
              <w:rPr>
                <w:rFonts w:ascii="宋体" w:hAnsi="宋体"/>
                <w:color w:val="auto"/>
                <w:szCs w:val="21"/>
                <w:highlight w:val="none"/>
              </w:rPr>
            </w:pPr>
            <w:r>
              <w:rPr>
                <w:rFonts w:hint="eastAsia" w:ascii="宋体" w:hAnsi="宋体" w:cs="楷体_GB2312"/>
                <w:color w:val="auto"/>
                <w:sz w:val="32"/>
                <w:szCs w:val="32"/>
                <w:highlight w:val="none"/>
              </w:rPr>
              <w:t>供应商须知前附表</w:t>
            </w:r>
          </w:p>
        </w:tc>
      </w:tr>
      <w:tr w14:paraId="71AE0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364FB3B3">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95" w:type="dxa"/>
            <w:vAlign w:val="center"/>
          </w:tcPr>
          <w:p w14:paraId="2AADA688">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条款</w:t>
            </w:r>
          </w:p>
        </w:tc>
        <w:tc>
          <w:tcPr>
            <w:tcW w:w="6615" w:type="dxa"/>
            <w:vAlign w:val="center"/>
          </w:tcPr>
          <w:p w14:paraId="62DA7457">
            <w:pPr>
              <w:rPr>
                <w:rFonts w:ascii="宋体" w:hAnsi="宋体" w:cs="宋体"/>
                <w:color w:val="auto"/>
                <w:sz w:val="24"/>
                <w:highlight w:val="none"/>
              </w:rPr>
            </w:pPr>
            <w:r>
              <w:rPr>
                <w:rFonts w:hint="eastAsia" w:ascii="宋体" w:hAnsi="宋体" w:cs="宋体"/>
                <w:color w:val="auto"/>
                <w:sz w:val="24"/>
                <w:highlight w:val="none"/>
              </w:rPr>
              <w:t>内  容</w:t>
            </w:r>
          </w:p>
        </w:tc>
      </w:tr>
      <w:tr w14:paraId="5F55F1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3D016AD8">
            <w:pPr>
              <w:numPr>
                <w:ilvl w:val="0"/>
                <w:numId w:val="1"/>
              </w:numPr>
              <w:spacing w:before="156" w:beforeLines="50"/>
              <w:jc w:val="center"/>
              <w:rPr>
                <w:rFonts w:ascii="宋体" w:hAnsi="宋体" w:cs="宋体"/>
                <w:color w:val="auto"/>
                <w:sz w:val="24"/>
                <w:highlight w:val="none"/>
              </w:rPr>
            </w:pPr>
          </w:p>
        </w:tc>
        <w:tc>
          <w:tcPr>
            <w:tcW w:w="1995" w:type="dxa"/>
            <w:vAlign w:val="center"/>
          </w:tcPr>
          <w:p w14:paraId="7A6CB968">
            <w:pPr>
              <w:jc w:val="center"/>
              <w:rPr>
                <w:rFonts w:ascii="宋体" w:hAnsi="宋体" w:cs="宋体"/>
                <w:color w:val="auto"/>
                <w:sz w:val="24"/>
                <w:highlight w:val="none"/>
              </w:rPr>
            </w:pPr>
            <w:r>
              <w:rPr>
                <w:rFonts w:hint="eastAsia" w:ascii="宋体" w:hAnsi="宋体" w:cs="宋体"/>
                <w:color w:val="auto"/>
                <w:sz w:val="24"/>
                <w:highlight w:val="none"/>
              </w:rPr>
              <w:t>项目概况</w:t>
            </w:r>
          </w:p>
        </w:tc>
        <w:tc>
          <w:tcPr>
            <w:tcW w:w="6615" w:type="dxa"/>
            <w:vAlign w:val="center"/>
          </w:tcPr>
          <w:p w14:paraId="3811BBEC">
            <w:pPr>
              <w:ind w:left="1200" w:hanging="1200" w:hangingChars="500"/>
              <w:rPr>
                <w:rFonts w:ascii="宋体" w:hAnsi="宋体" w:cs="宋体"/>
                <w:color w:val="auto"/>
                <w:sz w:val="24"/>
                <w:highlight w:val="none"/>
              </w:rPr>
            </w:pPr>
            <w:r>
              <w:rPr>
                <w:rFonts w:hint="eastAsia" w:ascii="宋体" w:hAnsi="宋体" w:cs="宋体"/>
                <w:color w:val="auto"/>
                <w:sz w:val="24"/>
                <w:highlight w:val="none"/>
              </w:rPr>
              <w:t>项目名称：周口市淮阳区供水管网漏损治理和老化更新改造工程设计项目</w:t>
            </w:r>
          </w:p>
          <w:p w14:paraId="1B63315E">
            <w:pPr>
              <w:rPr>
                <w:rFonts w:ascii="宋体" w:hAnsi="宋体" w:cs="宋体"/>
                <w:color w:val="auto"/>
                <w:sz w:val="24"/>
                <w:highlight w:val="none"/>
              </w:rPr>
            </w:pPr>
            <w:r>
              <w:rPr>
                <w:rFonts w:hint="eastAsia" w:ascii="宋体" w:hAnsi="宋体" w:cs="宋体"/>
                <w:color w:val="auto"/>
                <w:sz w:val="24"/>
                <w:highlight w:val="none"/>
              </w:rPr>
              <w:t>采购内容：淮阳区供水管网漏损治理和老化更新改造工程设计</w:t>
            </w:r>
          </w:p>
          <w:p w14:paraId="47699473">
            <w:pPr>
              <w:rPr>
                <w:rFonts w:ascii="宋体" w:hAnsi="宋体" w:cs="宋体"/>
                <w:color w:val="auto"/>
                <w:sz w:val="24"/>
                <w:highlight w:val="none"/>
              </w:rPr>
            </w:pPr>
            <w:r>
              <w:rPr>
                <w:rFonts w:hint="eastAsia" w:ascii="宋体" w:hAnsi="宋体" w:cs="宋体"/>
                <w:color w:val="auto"/>
                <w:sz w:val="24"/>
                <w:highlight w:val="none"/>
              </w:rPr>
              <w:t>采购人：周口市淮阳区城市管理局</w:t>
            </w:r>
          </w:p>
          <w:p w14:paraId="3870ED8C">
            <w:pPr>
              <w:rPr>
                <w:rFonts w:ascii="宋体" w:hAnsi="宋体" w:cs="宋体"/>
                <w:color w:val="auto"/>
                <w:sz w:val="24"/>
                <w:highlight w:val="none"/>
              </w:rPr>
            </w:pPr>
            <w:r>
              <w:rPr>
                <w:rFonts w:hint="eastAsia" w:ascii="宋体" w:hAnsi="宋体" w:cs="宋体"/>
                <w:color w:val="auto"/>
                <w:sz w:val="24"/>
                <w:highlight w:val="none"/>
              </w:rPr>
              <w:t>采购代理机构：周口市公共资源交易中心政府采购中心</w:t>
            </w:r>
          </w:p>
        </w:tc>
      </w:tr>
      <w:tr w14:paraId="3F50B9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7F2516D7">
            <w:pPr>
              <w:numPr>
                <w:ilvl w:val="0"/>
                <w:numId w:val="1"/>
              </w:numPr>
              <w:spacing w:before="156" w:beforeLines="50"/>
              <w:jc w:val="center"/>
              <w:rPr>
                <w:rFonts w:ascii="宋体" w:hAnsi="宋体" w:cs="宋体"/>
                <w:color w:val="auto"/>
                <w:sz w:val="24"/>
                <w:highlight w:val="none"/>
              </w:rPr>
            </w:pPr>
          </w:p>
        </w:tc>
        <w:tc>
          <w:tcPr>
            <w:tcW w:w="1995" w:type="dxa"/>
            <w:vAlign w:val="center"/>
          </w:tcPr>
          <w:p w14:paraId="4CEA419F">
            <w:pPr>
              <w:spacing w:before="156" w:beforeLines="50"/>
              <w:ind w:left="-4" w:leftChars="-4" w:hanging="4" w:hangingChars="2"/>
              <w:jc w:val="center"/>
              <w:rPr>
                <w:rFonts w:ascii="宋体" w:hAnsi="宋体" w:cs="宋体"/>
                <w:color w:val="auto"/>
                <w:sz w:val="24"/>
                <w:highlight w:val="none"/>
              </w:rPr>
            </w:pPr>
            <w:r>
              <w:rPr>
                <w:rFonts w:hint="eastAsia" w:ascii="宋体" w:hAnsi="宋体" w:cs="宋体"/>
                <w:color w:val="auto"/>
                <w:sz w:val="24"/>
                <w:highlight w:val="none"/>
              </w:rPr>
              <w:t>对供应商的资格要求</w:t>
            </w:r>
          </w:p>
        </w:tc>
        <w:tc>
          <w:tcPr>
            <w:tcW w:w="6615" w:type="dxa"/>
            <w:vAlign w:val="center"/>
          </w:tcPr>
          <w:p w14:paraId="51E452FE">
            <w:pPr>
              <w:spacing w:before="156" w:beforeLines="50"/>
              <w:ind w:left="-4" w:leftChars="-4" w:hanging="4" w:hangingChars="2"/>
              <w:rPr>
                <w:rFonts w:ascii="宋体" w:hAnsi="宋体" w:cs="宋体"/>
                <w:color w:val="auto"/>
                <w:sz w:val="24"/>
                <w:highlight w:val="none"/>
              </w:rPr>
            </w:pPr>
            <w:r>
              <w:rPr>
                <w:rFonts w:hint="eastAsia" w:ascii="宋体" w:hAnsi="宋体" w:cs="宋体"/>
                <w:color w:val="auto"/>
                <w:sz w:val="24"/>
                <w:highlight w:val="none"/>
              </w:rPr>
              <w:t>见竞争性磋商邀请函</w:t>
            </w:r>
          </w:p>
        </w:tc>
      </w:tr>
      <w:tr w14:paraId="4FE763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6DB258C">
            <w:pPr>
              <w:numPr>
                <w:ilvl w:val="0"/>
                <w:numId w:val="1"/>
              </w:numPr>
              <w:spacing w:before="156" w:beforeLines="50"/>
              <w:jc w:val="center"/>
              <w:rPr>
                <w:rFonts w:ascii="宋体" w:hAnsi="宋体" w:cs="宋体"/>
                <w:color w:val="auto"/>
                <w:sz w:val="24"/>
                <w:highlight w:val="none"/>
              </w:rPr>
            </w:pPr>
          </w:p>
        </w:tc>
        <w:tc>
          <w:tcPr>
            <w:tcW w:w="1995" w:type="dxa"/>
            <w:vAlign w:val="center"/>
          </w:tcPr>
          <w:p w14:paraId="703C1751">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报价费用</w:t>
            </w:r>
          </w:p>
        </w:tc>
        <w:tc>
          <w:tcPr>
            <w:tcW w:w="6615" w:type="dxa"/>
            <w:vAlign w:val="center"/>
          </w:tcPr>
          <w:p w14:paraId="4C5765C0">
            <w:pPr>
              <w:rPr>
                <w:rFonts w:ascii="宋体" w:hAnsi="宋体" w:cs="宋体"/>
                <w:color w:val="auto"/>
                <w:sz w:val="24"/>
                <w:highlight w:val="none"/>
              </w:rPr>
            </w:pPr>
            <w:r>
              <w:rPr>
                <w:rFonts w:hint="eastAsia" w:ascii="宋体" w:hAnsi="宋体" w:cs="宋体"/>
                <w:color w:val="auto"/>
                <w:sz w:val="24"/>
                <w:highlight w:val="none"/>
              </w:rPr>
              <w:t>无论报价和磋商的过程和结果如何，供应商</w:t>
            </w:r>
            <w:r>
              <w:rPr>
                <w:rFonts w:hint="eastAsia" w:ascii="宋体" w:hAnsi="宋体" w:cs="宋体"/>
                <w:color w:val="auto"/>
                <w:sz w:val="24"/>
                <w:highlight w:val="none"/>
                <w:lang w:val="en-US" w:eastAsia="zh-CN"/>
              </w:rPr>
              <w:t>须保</w:t>
            </w:r>
            <w:r>
              <w:rPr>
                <w:rFonts w:hint="eastAsia" w:ascii="宋体" w:hAnsi="宋体" w:cs="宋体"/>
                <w:color w:val="auto"/>
                <w:sz w:val="2"/>
                <w:szCs w:val="2"/>
                <w:highlight w:val="none"/>
                <w:vertAlign w:val="superscript"/>
                <w:lang w:val="en-US" w:eastAsia="zh-CN"/>
              </w:rPr>
              <w:t xml:space="preserve"> </w:t>
            </w:r>
            <w:r>
              <w:rPr>
                <w:rFonts w:hint="eastAsia" w:ascii="宋体" w:hAnsi="宋体" w:cs="宋体"/>
                <w:color w:val="auto"/>
                <w:sz w:val="24"/>
                <w:highlight w:val="none"/>
                <w:lang w:val="en-US" w:eastAsia="zh-CN"/>
              </w:rPr>
              <w:t>证</w:t>
            </w:r>
            <w:r>
              <w:rPr>
                <w:rFonts w:hint="eastAsia" w:ascii="宋体" w:hAnsi="宋体" w:cs="宋体"/>
                <w:color w:val="auto"/>
                <w:sz w:val="24"/>
                <w:highlight w:val="none"/>
              </w:rPr>
              <w:t>自行承担所有与参加报价及磋商有关活动的全部费用。</w:t>
            </w:r>
          </w:p>
        </w:tc>
      </w:tr>
      <w:tr w14:paraId="5FCD5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7AD46274">
            <w:pPr>
              <w:numPr>
                <w:ilvl w:val="0"/>
                <w:numId w:val="1"/>
              </w:numPr>
              <w:spacing w:before="156" w:beforeLines="50"/>
              <w:rPr>
                <w:rFonts w:ascii="宋体" w:hAnsi="宋体" w:cs="宋体"/>
                <w:color w:val="auto"/>
                <w:sz w:val="24"/>
                <w:highlight w:val="none"/>
              </w:rPr>
            </w:pPr>
          </w:p>
        </w:tc>
        <w:tc>
          <w:tcPr>
            <w:tcW w:w="1995" w:type="dxa"/>
            <w:vAlign w:val="center"/>
          </w:tcPr>
          <w:p w14:paraId="40D1E351">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响应文件语言</w:t>
            </w:r>
          </w:p>
        </w:tc>
        <w:tc>
          <w:tcPr>
            <w:tcW w:w="6615" w:type="dxa"/>
            <w:vAlign w:val="center"/>
          </w:tcPr>
          <w:p w14:paraId="4F0A78E9">
            <w:pPr>
              <w:snapToGrid w:val="0"/>
              <w:rPr>
                <w:rFonts w:ascii="宋体" w:hAnsi="宋体" w:cs="宋体"/>
                <w:color w:val="auto"/>
                <w:sz w:val="24"/>
                <w:highlight w:val="none"/>
              </w:rPr>
            </w:pPr>
            <w:r>
              <w:rPr>
                <w:rFonts w:hint="eastAsia" w:ascii="宋体" w:hAnsi="宋体" w:cs="宋体"/>
                <w:color w:val="auto"/>
                <w:sz w:val="24"/>
                <w:highlight w:val="none"/>
              </w:rPr>
              <w:t>中文</w:t>
            </w:r>
          </w:p>
        </w:tc>
      </w:tr>
      <w:tr w14:paraId="0A67BC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64A9AF7C">
            <w:pPr>
              <w:numPr>
                <w:ilvl w:val="0"/>
                <w:numId w:val="1"/>
              </w:numPr>
              <w:spacing w:before="156" w:beforeLines="50"/>
              <w:rPr>
                <w:rFonts w:ascii="宋体" w:hAnsi="宋体" w:cs="宋体"/>
                <w:color w:val="auto"/>
                <w:sz w:val="24"/>
                <w:highlight w:val="none"/>
              </w:rPr>
            </w:pPr>
          </w:p>
        </w:tc>
        <w:tc>
          <w:tcPr>
            <w:tcW w:w="1995" w:type="dxa"/>
            <w:vAlign w:val="center"/>
          </w:tcPr>
          <w:p w14:paraId="5CBE0D80">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报价货币</w:t>
            </w:r>
          </w:p>
        </w:tc>
        <w:tc>
          <w:tcPr>
            <w:tcW w:w="6615" w:type="dxa"/>
            <w:vAlign w:val="center"/>
          </w:tcPr>
          <w:p w14:paraId="0218BF18">
            <w:pPr>
              <w:rPr>
                <w:rFonts w:ascii="宋体" w:hAnsi="宋体" w:cs="宋体"/>
                <w:color w:val="auto"/>
                <w:sz w:val="24"/>
                <w:highlight w:val="none"/>
              </w:rPr>
            </w:pPr>
            <w:r>
              <w:rPr>
                <w:rFonts w:hint="eastAsia" w:ascii="宋体" w:hAnsi="宋体" w:cs="宋体"/>
                <w:color w:val="auto"/>
                <w:sz w:val="24"/>
                <w:highlight w:val="none"/>
              </w:rPr>
              <w:t>人民币</w:t>
            </w:r>
          </w:p>
        </w:tc>
      </w:tr>
      <w:tr w14:paraId="31101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48AA2C77">
            <w:pPr>
              <w:numPr>
                <w:ilvl w:val="0"/>
                <w:numId w:val="1"/>
              </w:numPr>
              <w:spacing w:before="156" w:beforeLines="50"/>
              <w:jc w:val="center"/>
              <w:rPr>
                <w:rFonts w:ascii="宋体" w:hAnsi="宋体" w:cs="宋体"/>
                <w:color w:val="auto"/>
                <w:sz w:val="24"/>
                <w:highlight w:val="none"/>
              </w:rPr>
            </w:pPr>
          </w:p>
        </w:tc>
        <w:tc>
          <w:tcPr>
            <w:tcW w:w="1995" w:type="dxa"/>
            <w:vAlign w:val="center"/>
          </w:tcPr>
          <w:p w14:paraId="4378AB36">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报价范围及说明</w:t>
            </w:r>
          </w:p>
        </w:tc>
        <w:tc>
          <w:tcPr>
            <w:tcW w:w="6615" w:type="dxa"/>
            <w:vAlign w:val="center"/>
          </w:tcPr>
          <w:p w14:paraId="074D06F2">
            <w:pPr>
              <w:rPr>
                <w:rFonts w:ascii="宋体" w:hAnsi="宋体" w:cs="宋体"/>
                <w:color w:val="auto"/>
                <w:sz w:val="24"/>
                <w:highlight w:val="none"/>
              </w:rPr>
            </w:pPr>
            <w:r>
              <w:rPr>
                <w:rFonts w:hint="eastAsia" w:ascii="宋体" w:hAnsi="宋体" w:cs="宋体"/>
                <w:color w:val="auto"/>
                <w:sz w:val="24"/>
                <w:highlight w:val="none"/>
              </w:rPr>
              <w:t>报价包括本项目所招标的服务、保险、税费、验收等（采购项目技术规格、参数及要求）</w:t>
            </w:r>
          </w:p>
        </w:tc>
      </w:tr>
      <w:tr w14:paraId="3194EC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51D9519F">
            <w:pPr>
              <w:numPr>
                <w:ilvl w:val="0"/>
                <w:numId w:val="1"/>
              </w:numPr>
              <w:spacing w:before="156" w:beforeLines="50"/>
              <w:jc w:val="center"/>
              <w:rPr>
                <w:rFonts w:ascii="宋体" w:hAnsi="宋体" w:cs="宋体"/>
                <w:color w:val="auto"/>
                <w:sz w:val="24"/>
                <w:highlight w:val="none"/>
              </w:rPr>
            </w:pPr>
          </w:p>
        </w:tc>
        <w:tc>
          <w:tcPr>
            <w:tcW w:w="1995" w:type="dxa"/>
            <w:vAlign w:val="center"/>
          </w:tcPr>
          <w:p w14:paraId="191D2C23">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6615" w:type="dxa"/>
            <w:vAlign w:val="center"/>
          </w:tcPr>
          <w:p w14:paraId="0F32F95C">
            <w:pPr>
              <w:rPr>
                <w:rFonts w:ascii="宋体" w:hAnsi="宋体" w:cs="宋体"/>
                <w:color w:val="auto"/>
                <w:sz w:val="24"/>
                <w:highlight w:val="none"/>
              </w:rPr>
            </w:pPr>
            <w:r>
              <w:rPr>
                <w:rFonts w:hint="eastAsia" w:ascii="宋体" w:hAnsi="宋体" w:cs="宋体"/>
                <w:color w:val="auto"/>
                <w:sz w:val="24"/>
                <w:highlight w:val="none"/>
              </w:rPr>
              <w:t>响应文件递交截止期后60日内有效</w:t>
            </w:r>
          </w:p>
        </w:tc>
      </w:tr>
      <w:tr w14:paraId="504165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3936600E">
            <w:pPr>
              <w:numPr>
                <w:ilvl w:val="0"/>
                <w:numId w:val="1"/>
              </w:numPr>
              <w:spacing w:before="156" w:beforeLines="50"/>
              <w:jc w:val="center"/>
              <w:rPr>
                <w:rFonts w:ascii="宋体" w:hAnsi="宋体" w:cs="宋体"/>
                <w:color w:val="auto"/>
                <w:sz w:val="24"/>
                <w:highlight w:val="none"/>
              </w:rPr>
            </w:pPr>
          </w:p>
        </w:tc>
        <w:tc>
          <w:tcPr>
            <w:tcW w:w="1995" w:type="dxa"/>
            <w:vAlign w:val="center"/>
          </w:tcPr>
          <w:p w14:paraId="760FD8C4">
            <w:pPr>
              <w:tabs>
                <w:tab w:val="left" w:pos="8640"/>
              </w:tabs>
              <w:spacing w:before="156"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响应文件的组成</w:t>
            </w:r>
          </w:p>
        </w:tc>
        <w:tc>
          <w:tcPr>
            <w:tcW w:w="6615" w:type="dxa"/>
            <w:vAlign w:val="center"/>
          </w:tcPr>
          <w:p w14:paraId="58FBD5AE">
            <w:pPr>
              <w:rPr>
                <w:rFonts w:ascii="宋体" w:hAnsi="宋体" w:cs="宋体"/>
                <w:color w:val="auto"/>
                <w:sz w:val="24"/>
                <w:highlight w:val="none"/>
              </w:rPr>
            </w:pPr>
            <w:r>
              <w:rPr>
                <w:rFonts w:hint="eastAsia" w:ascii="宋体" w:hAnsi="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00359D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77DCF20B">
            <w:pPr>
              <w:numPr>
                <w:ilvl w:val="0"/>
                <w:numId w:val="1"/>
              </w:numPr>
              <w:spacing w:before="156" w:beforeLines="50"/>
              <w:jc w:val="center"/>
              <w:rPr>
                <w:rFonts w:ascii="宋体" w:hAnsi="宋体" w:cs="宋体"/>
                <w:color w:val="auto"/>
                <w:sz w:val="24"/>
                <w:highlight w:val="none"/>
              </w:rPr>
            </w:pPr>
          </w:p>
        </w:tc>
        <w:tc>
          <w:tcPr>
            <w:tcW w:w="1995" w:type="dxa"/>
            <w:vAlign w:val="center"/>
          </w:tcPr>
          <w:p w14:paraId="723E7BF7">
            <w:pPr>
              <w:tabs>
                <w:tab w:val="left" w:pos="8640"/>
              </w:tabs>
              <w:spacing w:before="156"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响应文件封面要求</w:t>
            </w:r>
          </w:p>
        </w:tc>
        <w:tc>
          <w:tcPr>
            <w:tcW w:w="6615" w:type="dxa"/>
            <w:vAlign w:val="center"/>
          </w:tcPr>
          <w:p w14:paraId="6226A931">
            <w:pPr>
              <w:tabs>
                <w:tab w:val="left" w:pos="8640"/>
              </w:tabs>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包括项目名称、项目编号，供应商名称、地址、联系人、联系电话、日期等</w:t>
            </w:r>
          </w:p>
        </w:tc>
      </w:tr>
      <w:tr w14:paraId="38E3E5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3E3979D">
            <w:pPr>
              <w:numPr>
                <w:ilvl w:val="0"/>
                <w:numId w:val="1"/>
              </w:numPr>
              <w:spacing w:before="156" w:beforeLines="50"/>
              <w:jc w:val="center"/>
              <w:rPr>
                <w:rFonts w:ascii="宋体" w:hAnsi="宋体" w:cs="宋体"/>
                <w:color w:val="auto"/>
                <w:sz w:val="24"/>
                <w:highlight w:val="none"/>
              </w:rPr>
            </w:pPr>
          </w:p>
        </w:tc>
        <w:tc>
          <w:tcPr>
            <w:tcW w:w="1995" w:type="dxa"/>
            <w:vAlign w:val="center"/>
          </w:tcPr>
          <w:p w14:paraId="6D3C21CC">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响应文件份数要求</w:t>
            </w:r>
          </w:p>
        </w:tc>
        <w:tc>
          <w:tcPr>
            <w:tcW w:w="6615" w:type="dxa"/>
            <w:vAlign w:val="center"/>
          </w:tcPr>
          <w:p w14:paraId="36E98D70">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加密的电子投标文件须在投标截止时间前成功上传</w:t>
            </w:r>
          </w:p>
        </w:tc>
      </w:tr>
      <w:tr w14:paraId="6C7988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9D98B2A">
            <w:pPr>
              <w:numPr>
                <w:ilvl w:val="0"/>
                <w:numId w:val="1"/>
              </w:numPr>
              <w:spacing w:before="156" w:beforeLines="50"/>
              <w:jc w:val="center"/>
              <w:rPr>
                <w:rFonts w:ascii="宋体" w:hAnsi="宋体" w:cs="宋体"/>
                <w:color w:val="auto"/>
                <w:sz w:val="24"/>
                <w:highlight w:val="none"/>
              </w:rPr>
            </w:pPr>
          </w:p>
        </w:tc>
        <w:tc>
          <w:tcPr>
            <w:tcW w:w="1995" w:type="dxa"/>
            <w:vAlign w:val="center"/>
          </w:tcPr>
          <w:p w14:paraId="49BC86E0">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响应文件装订和密封要求</w:t>
            </w:r>
          </w:p>
        </w:tc>
        <w:tc>
          <w:tcPr>
            <w:tcW w:w="6615" w:type="dxa"/>
            <w:vAlign w:val="center"/>
          </w:tcPr>
          <w:p w14:paraId="608F1730">
            <w:pPr>
              <w:rPr>
                <w:rFonts w:ascii="宋体" w:hAnsi="宋体" w:cs="宋体"/>
                <w:color w:val="auto"/>
                <w:sz w:val="24"/>
                <w:highlight w:val="none"/>
              </w:rPr>
            </w:pPr>
            <w:r>
              <w:rPr>
                <w:rFonts w:hint="eastAsia" w:ascii="宋体" w:hAnsi="宋体" w:cs="宋体"/>
                <w:color w:val="auto"/>
                <w:sz w:val="24"/>
                <w:highlight w:val="none"/>
              </w:rPr>
              <w:t>无</w:t>
            </w:r>
          </w:p>
        </w:tc>
      </w:tr>
      <w:tr w14:paraId="2C8076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D68C903">
            <w:pPr>
              <w:numPr>
                <w:ilvl w:val="0"/>
                <w:numId w:val="1"/>
              </w:numPr>
              <w:spacing w:before="156" w:beforeLines="50"/>
              <w:jc w:val="center"/>
              <w:rPr>
                <w:rFonts w:ascii="宋体" w:hAnsi="宋体" w:cs="宋体"/>
                <w:color w:val="auto"/>
                <w:sz w:val="24"/>
                <w:highlight w:val="none"/>
              </w:rPr>
            </w:pPr>
          </w:p>
        </w:tc>
        <w:tc>
          <w:tcPr>
            <w:tcW w:w="1995" w:type="dxa"/>
            <w:vAlign w:val="center"/>
          </w:tcPr>
          <w:p w14:paraId="07F43C5A">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竞争性磋商文件的澄清</w:t>
            </w:r>
          </w:p>
        </w:tc>
        <w:tc>
          <w:tcPr>
            <w:tcW w:w="6615" w:type="dxa"/>
            <w:vAlign w:val="center"/>
          </w:tcPr>
          <w:p w14:paraId="3FBC0E61">
            <w:pPr>
              <w:rPr>
                <w:rFonts w:ascii="宋体" w:hAnsi="宋体" w:cs="宋体"/>
                <w:color w:val="auto"/>
                <w:sz w:val="24"/>
                <w:highlight w:val="none"/>
              </w:rPr>
            </w:pPr>
            <w:r>
              <w:rPr>
                <w:rFonts w:hint="eastAsia" w:ascii="宋体" w:hAnsi="宋体" w:cs="宋体"/>
                <w:color w:val="auto"/>
                <w:sz w:val="24"/>
                <w:highlight w:val="none"/>
              </w:rPr>
              <w:t>对竞争性磋商文件进行的澄清，以网上公告的方式通知供应商。澄清或修改的内容可能影响响应文件编制的，采购人、采购代理机构应当在提交响应文件截止时间至少5日前。</w:t>
            </w:r>
          </w:p>
        </w:tc>
      </w:tr>
      <w:tr w14:paraId="368E3C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57448ADA">
            <w:pPr>
              <w:numPr>
                <w:ilvl w:val="0"/>
                <w:numId w:val="1"/>
              </w:numPr>
              <w:spacing w:before="156" w:beforeLines="50"/>
              <w:jc w:val="center"/>
              <w:rPr>
                <w:rFonts w:ascii="宋体" w:hAnsi="宋体" w:cs="宋体"/>
                <w:color w:val="auto"/>
                <w:sz w:val="24"/>
                <w:highlight w:val="none"/>
              </w:rPr>
            </w:pPr>
          </w:p>
        </w:tc>
        <w:tc>
          <w:tcPr>
            <w:tcW w:w="1995" w:type="dxa"/>
            <w:vAlign w:val="center"/>
          </w:tcPr>
          <w:p w14:paraId="7B8FA9BA">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响应文件递交截止时间</w:t>
            </w:r>
          </w:p>
        </w:tc>
        <w:tc>
          <w:tcPr>
            <w:tcW w:w="6615" w:type="dxa"/>
            <w:vAlign w:val="center"/>
          </w:tcPr>
          <w:p w14:paraId="516F5149">
            <w:pPr>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u w:val="single"/>
              </w:rPr>
              <w:t>年1</w:t>
            </w:r>
            <w:r>
              <w:rPr>
                <w:rFonts w:hint="eastAsia" w:asciiTheme="minorEastAsia" w:hAnsiTheme="minorEastAsia" w:eastAsiaTheme="minorEastAsia" w:cstheme="minorEastAsia"/>
                <w:color w:val="auto"/>
                <w:sz w:val="24"/>
                <w:highlight w:val="none"/>
                <w:u w:val="single"/>
                <w:lang w:val="en-US" w:eastAsia="zh-CN"/>
              </w:rPr>
              <w:t>2</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25</w:t>
            </w:r>
            <w:r>
              <w:rPr>
                <w:rFonts w:hint="eastAsia" w:asciiTheme="minorEastAsia" w:hAnsiTheme="minorEastAsia" w:eastAsiaTheme="minorEastAsia" w:cstheme="minorEastAsia"/>
                <w:color w:val="auto"/>
                <w:sz w:val="24"/>
                <w:highlight w:val="none"/>
                <w:u w:val="single"/>
              </w:rPr>
              <w:t>日10点00分</w:t>
            </w:r>
            <w:r>
              <w:rPr>
                <w:rFonts w:hint="eastAsia" w:asciiTheme="minorEastAsia" w:hAnsiTheme="minorEastAsia" w:eastAsiaTheme="minorEastAsia" w:cstheme="minorEastAsia"/>
                <w:bCs/>
                <w:color w:val="auto"/>
                <w:sz w:val="24"/>
                <w:highlight w:val="none"/>
              </w:rPr>
              <w:t>（北京时间）</w:t>
            </w:r>
            <w:r>
              <w:rPr>
                <w:rFonts w:hint="eastAsia" w:ascii="宋体" w:hAnsi="宋体" w:cs="宋体"/>
                <w:color w:val="auto"/>
                <w:sz w:val="24"/>
                <w:highlight w:val="none"/>
              </w:rPr>
              <w:t xml:space="preserve"> </w:t>
            </w:r>
          </w:p>
        </w:tc>
      </w:tr>
      <w:tr w14:paraId="64AD3A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9A68DD2">
            <w:pPr>
              <w:numPr>
                <w:ilvl w:val="0"/>
                <w:numId w:val="1"/>
              </w:numPr>
              <w:spacing w:before="156" w:beforeLines="50"/>
              <w:jc w:val="center"/>
              <w:rPr>
                <w:rFonts w:ascii="宋体" w:hAnsi="宋体" w:cs="宋体"/>
                <w:color w:val="auto"/>
                <w:sz w:val="24"/>
                <w:highlight w:val="none"/>
              </w:rPr>
            </w:pPr>
          </w:p>
        </w:tc>
        <w:tc>
          <w:tcPr>
            <w:tcW w:w="1995" w:type="dxa"/>
            <w:vAlign w:val="center"/>
          </w:tcPr>
          <w:p w14:paraId="559B691C">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响应文件递交地点</w:t>
            </w:r>
          </w:p>
        </w:tc>
        <w:tc>
          <w:tcPr>
            <w:tcW w:w="6615" w:type="dxa"/>
            <w:vAlign w:val="center"/>
          </w:tcPr>
          <w:p w14:paraId="461C3D60">
            <w:pPr>
              <w:rPr>
                <w:rFonts w:ascii="宋体" w:hAnsi="宋体"/>
                <w:color w:val="auto"/>
                <w:sz w:val="24"/>
                <w:highlight w:val="none"/>
              </w:rPr>
            </w:pPr>
            <w:r>
              <w:rPr>
                <w:rFonts w:hint="eastAsia" w:ascii="宋体" w:hAnsi="宋体"/>
                <w:color w:val="auto"/>
                <w:sz w:val="24"/>
                <w:highlight w:val="none"/>
              </w:rPr>
              <w:t>周口市公共资源交易中心网</w:t>
            </w:r>
          </w:p>
          <w:p w14:paraId="446B5C6C">
            <w:pPr>
              <w:rPr>
                <w:rFonts w:ascii="宋体" w:hAnsi="宋体" w:cs="宋体" w:eastAsiaTheme="minorEastAsia"/>
                <w:color w:val="auto"/>
                <w:sz w:val="24"/>
                <w:highlight w:val="none"/>
              </w:rPr>
            </w:pPr>
            <w:r>
              <w:rPr>
                <w:rFonts w:hint="eastAsia" w:ascii="宋体" w:hAnsi="宋体"/>
                <w:color w:val="auto"/>
                <w:sz w:val="24"/>
                <w:highlight w:val="none"/>
              </w:rPr>
              <w:t>网址：周口市公共资源电子交易服务平台会员系统（网址</w:t>
            </w:r>
            <w:r>
              <w:rPr>
                <w:rFonts w:hint="eastAsia" w:asciiTheme="minorEastAsia" w:hAnsiTheme="minorEastAsia" w:eastAsiaTheme="minorEastAsia"/>
                <w:color w:val="auto"/>
                <w:highlight w:val="none"/>
              </w:rPr>
              <w:t>http://jyzx.zhoukou.gov.cn）</w:t>
            </w:r>
          </w:p>
          <w:p w14:paraId="65C57F30">
            <w:pPr>
              <w:spacing w:line="560" w:lineRule="exact"/>
              <w:rPr>
                <w:rFonts w:ascii="宋体" w:hAnsi="宋体" w:cs="宋体"/>
                <w:color w:val="auto"/>
                <w:sz w:val="24"/>
                <w:highlight w:val="none"/>
              </w:rPr>
            </w:pPr>
            <w:r>
              <w:rPr>
                <w:rFonts w:hint="eastAsia" w:ascii="宋体" w:hAnsi="宋体" w:cs="宋体"/>
                <w:color w:val="auto"/>
                <w:sz w:val="24"/>
                <w:highlight w:val="none"/>
              </w:rPr>
              <w:t>（本项目实行网上远程开标无须到现场提交响应文件）</w:t>
            </w:r>
          </w:p>
        </w:tc>
      </w:tr>
      <w:tr w14:paraId="2AFA9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649B5708">
            <w:pPr>
              <w:numPr>
                <w:ilvl w:val="0"/>
                <w:numId w:val="1"/>
              </w:numPr>
              <w:spacing w:before="156" w:beforeLines="50"/>
              <w:jc w:val="center"/>
              <w:rPr>
                <w:rFonts w:ascii="宋体" w:hAnsi="宋体" w:cs="宋体"/>
                <w:color w:val="auto"/>
                <w:sz w:val="24"/>
                <w:highlight w:val="none"/>
              </w:rPr>
            </w:pPr>
          </w:p>
        </w:tc>
        <w:tc>
          <w:tcPr>
            <w:tcW w:w="1995" w:type="dxa"/>
            <w:vAlign w:val="center"/>
          </w:tcPr>
          <w:p w14:paraId="3666A858">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磋商时间</w:t>
            </w:r>
          </w:p>
        </w:tc>
        <w:tc>
          <w:tcPr>
            <w:tcW w:w="6615" w:type="dxa"/>
            <w:vAlign w:val="center"/>
          </w:tcPr>
          <w:p w14:paraId="1B551B07">
            <w:pPr>
              <w:tabs>
                <w:tab w:val="left" w:pos="8640"/>
              </w:tabs>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u w:val="single"/>
              </w:rPr>
              <w:t>年1</w:t>
            </w:r>
            <w:r>
              <w:rPr>
                <w:rFonts w:hint="eastAsia" w:asciiTheme="minorEastAsia" w:hAnsiTheme="minorEastAsia" w:eastAsiaTheme="minorEastAsia" w:cstheme="minorEastAsia"/>
                <w:color w:val="auto"/>
                <w:sz w:val="24"/>
                <w:highlight w:val="none"/>
                <w:u w:val="single"/>
                <w:lang w:val="en-US" w:eastAsia="zh-CN"/>
              </w:rPr>
              <w:t>2</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25</w:t>
            </w:r>
            <w:r>
              <w:rPr>
                <w:rFonts w:hint="eastAsia" w:asciiTheme="minorEastAsia" w:hAnsiTheme="minorEastAsia" w:eastAsiaTheme="minorEastAsia" w:cstheme="minorEastAsia"/>
                <w:color w:val="auto"/>
                <w:sz w:val="24"/>
                <w:highlight w:val="none"/>
                <w:u w:val="single"/>
              </w:rPr>
              <w:t>日10点00分</w:t>
            </w:r>
            <w:r>
              <w:rPr>
                <w:rFonts w:hint="eastAsia" w:asciiTheme="minorEastAsia" w:hAnsiTheme="minorEastAsia" w:eastAsiaTheme="minorEastAsia" w:cstheme="minorEastAsia"/>
                <w:bCs/>
                <w:color w:val="auto"/>
                <w:sz w:val="24"/>
                <w:highlight w:val="none"/>
              </w:rPr>
              <w:t>（北京时间）</w:t>
            </w:r>
            <w:bookmarkStart w:id="38" w:name="_GoBack"/>
            <w:bookmarkEnd w:id="38"/>
          </w:p>
        </w:tc>
      </w:tr>
      <w:tr w14:paraId="17059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6A0B3BF3">
            <w:pPr>
              <w:numPr>
                <w:ilvl w:val="0"/>
                <w:numId w:val="1"/>
              </w:numPr>
              <w:spacing w:before="156" w:beforeLines="50"/>
              <w:jc w:val="center"/>
              <w:rPr>
                <w:rFonts w:ascii="宋体" w:hAnsi="宋体" w:cs="宋体"/>
                <w:color w:val="auto"/>
                <w:sz w:val="24"/>
                <w:highlight w:val="none"/>
              </w:rPr>
            </w:pPr>
          </w:p>
        </w:tc>
        <w:tc>
          <w:tcPr>
            <w:tcW w:w="1995" w:type="dxa"/>
            <w:vAlign w:val="center"/>
          </w:tcPr>
          <w:p w14:paraId="4C07D595">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磋商程序和内容</w:t>
            </w:r>
          </w:p>
        </w:tc>
        <w:tc>
          <w:tcPr>
            <w:tcW w:w="6615" w:type="dxa"/>
            <w:vAlign w:val="center"/>
          </w:tcPr>
          <w:p w14:paraId="63999C14">
            <w:pPr>
              <w:tabs>
                <w:tab w:val="left" w:pos="8640"/>
              </w:tabs>
              <w:rPr>
                <w:rFonts w:ascii="宋体" w:hAnsi="宋体" w:cs="宋体"/>
                <w:color w:val="auto"/>
                <w:sz w:val="24"/>
                <w:highlight w:val="none"/>
              </w:rPr>
            </w:pPr>
            <w:r>
              <w:rPr>
                <w:rFonts w:hint="eastAsia" w:ascii="宋体" w:hAnsi="宋体" w:cs="宋体"/>
                <w:color w:val="auto"/>
                <w:sz w:val="24"/>
                <w:highlight w:val="none"/>
              </w:rPr>
              <w:t>详见磋商文件第二章</w:t>
            </w:r>
          </w:p>
        </w:tc>
      </w:tr>
      <w:tr w14:paraId="79FB2D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4D1D4875">
            <w:pPr>
              <w:numPr>
                <w:ilvl w:val="0"/>
                <w:numId w:val="1"/>
              </w:numPr>
              <w:spacing w:before="156" w:beforeLines="50"/>
              <w:jc w:val="center"/>
              <w:rPr>
                <w:rFonts w:ascii="宋体" w:hAnsi="宋体" w:cs="宋体"/>
                <w:color w:val="auto"/>
                <w:sz w:val="24"/>
                <w:highlight w:val="none"/>
              </w:rPr>
            </w:pPr>
          </w:p>
        </w:tc>
        <w:tc>
          <w:tcPr>
            <w:tcW w:w="1995" w:type="dxa"/>
            <w:vAlign w:val="center"/>
          </w:tcPr>
          <w:p w14:paraId="777199ED">
            <w:pPr>
              <w:spacing w:before="156" w:beforeLines="50"/>
              <w:jc w:val="center"/>
              <w:rPr>
                <w:rFonts w:ascii="宋体" w:hAnsi="宋体" w:cs="宋体"/>
                <w:color w:val="auto"/>
                <w:sz w:val="24"/>
                <w:highlight w:val="none"/>
              </w:rPr>
            </w:pPr>
            <w:r>
              <w:rPr>
                <w:rFonts w:hint="eastAsia" w:ascii="宋体" w:hAnsi="宋体" w:cs="宋体"/>
                <w:color w:val="auto"/>
                <w:sz w:val="24"/>
                <w:highlight w:val="none"/>
              </w:rPr>
              <w:t>授予合同</w:t>
            </w:r>
          </w:p>
        </w:tc>
        <w:tc>
          <w:tcPr>
            <w:tcW w:w="6615" w:type="dxa"/>
            <w:vAlign w:val="center"/>
          </w:tcPr>
          <w:p w14:paraId="5C2B08BD">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采购人根据磋商小组的推荐意见，确定成交供应商。采购代理机构向成交供应商发出成交通知书。</w:t>
            </w:r>
          </w:p>
        </w:tc>
      </w:tr>
      <w:tr w14:paraId="081354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408993D">
            <w:pPr>
              <w:numPr>
                <w:ilvl w:val="0"/>
                <w:numId w:val="1"/>
              </w:numPr>
              <w:spacing w:before="156" w:beforeLines="50"/>
              <w:jc w:val="center"/>
              <w:rPr>
                <w:rFonts w:ascii="宋体" w:hAnsi="宋体" w:cs="宋体"/>
                <w:color w:val="auto"/>
                <w:sz w:val="24"/>
                <w:highlight w:val="none"/>
              </w:rPr>
            </w:pPr>
          </w:p>
        </w:tc>
        <w:tc>
          <w:tcPr>
            <w:tcW w:w="1995" w:type="dxa"/>
            <w:vAlign w:val="center"/>
          </w:tcPr>
          <w:p w14:paraId="48EB7939">
            <w:pPr>
              <w:spacing w:before="156"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签订合同</w:t>
            </w:r>
          </w:p>
        </w:tc>
        <w:tc>
          <w:tcPr>
            <w:tcW w:w="6615" w:type="dxa"/>
            <w:vAlign w:val="center"/>
          </w:tcPr>
          <w:p w14:paraId="0C96652A">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1）接到成交通知书30天内，成交供应商应与采购人签订采购合同。</w:t>
            </w:r>
          </w:p>
          <w:p w14:paraId="00B3AD7D">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2）本磋商文件、响应文件及磋商、评审过程中有关澄清、承诺文件的内容，将作为签订合同的主要内容。</w:t>
            </w:r>
          </w:p>
        </w:tc>
      </w:tr>
      <w:tr w14:paraId="6F844F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735" w:type="dxa"/>
            <w:vAlign w:val="center"/>
          </w:tcPr>
          <w:p w14:paraId="68AAEAC3">
            <w:pPr>
              <w:numPr>
                <w:ilvl w:val="0"/>
                <w:numId w:val="1"/>
              </w:numPr>
              <w:spacing w:before="156" w:beforeLines="50"/>
              <w:jc w:val="center"/>
              <w:rPr>
                <w:rFonts w:ascii="宋体" w:hAnsi="宋体" w:cs="宋体"/>
                <w:color w:val="auto"/>
                <w:sz w:val="24"/>
                <w:highlight w:val="none"/>
              </w:rPr>
            </w:pPr>
          </w:p>
        </w:tc>
        <w:tc>
          <w:tcPr>
            <w:tcW w:w="1995" w:type="dxa"/>
            <w:vAlign w:val="center"/>
          </w:tcPr>
          <w:p w14:paraId="7FFD2FB0">
            <w:pPr>
              <w:spacing w:before="156"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615" w:type="dxa"/>
            <w:vAlign w:val="center"/>
          </w:tcPr>
          <w:p w14:paraId="49C6ED24">
            <w:pPr>
              <w:rPr>
                <w:rFonts w:hint="eastAsia"/>
                <w:color w:val="auto"/>
                <w:highlight w:val="none"/>
              </w:rPr>
            </w:pPr>
            <w:r>
              <w:rPr>
                <w:rFonts w:hint="eastAsia" w:ascii="宋体" w:hAnsi="宋体" w:cs="宋体"/>
                <w:color w:val="auto"/>
                <w:sz w:val="24"/>
                <w:highlight w:val="none"/>
              </w:rPr>
              <w:t>不需要缴纳投标保证金（</w:t>
            </w:r>
            <w:r>
              <w:rPr>
                <w:rFonts w:hint="eastAsia"/>
                <w:color w:val="auto"/>
                <w:highlight w:val="none"/>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cs="宋体"/>
                <w:color w:val="auto"/>
                <w:sz w:val="24"/>
                <w:highlight w:val="none"/>
              </w:rPr>
              <w:t>）</w:t>
            </w:r>
            <w:r>
              <w:rPr>
                <w:rFonts w:hint="eastAsia"/>
                <w:color w:val="auto"/>
                <w:highlight w:val="none"/>
              </w:rPr>
              <w:t>。</w:t>
            </w:r>
          </w:p>
        </w:tc>
      </w:tr>
      <w:tr w14:paraId="4C639E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1DD532D">
            <w:pPr>
              <w:numPr>
                <w:ilvl w:val="0"/>
                <w:numId w:val="1"/>
              </w:numPr>
              <w:spacing w:before="156" w:beforeLines="50"/>
              <w:jc w:val="center"/>
              <w:rPr>
                <w:rFonts w:ascii="宋体" w:hAnsi="宋体" w:cs="宋体"/>
                <w:color w:val="auto"/>
                <w:sz w:val="24"/>
                <w:highlight w:val="none"/>
              </w:rPr>
            </w:pPr>
          </w:p>
        </w:tc>
        <w:tc>
          <w:tcPr>
            <w:tcW w:w="1995" w:type="dxa"/>
            <w:vAlign w:val="center"/>
          </w:tcPr>
          <w:p w14:paraId="62CCAE40">
            <w:pPr>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615" w:type="dxa"/>
            <w:vAlign w:val="center"/>
          </w:tcPr>
          <w:p w14:paraId="6145C356">
            <w:pPr>
              <w:jc w:val="left"/>
              <w:rPr>
                <w:rFonts w:ascii="宋体" w:hAnsi="宋体" w:cs="宋体"/>
                <w:color w:val="auto"/>
                <w:sz w:val="24"/>
                <w:highlight w:val="none"/>
              </w:rPr>
            </w:pPr>
            <w:r>
              <w:rPr>
                <w:rFonts w:hint="eastAsia" w:ascii="宋体" w:hAnsi="宋体" w:cs="宋体"/>
                <w:color w:val="auto"/>
                <w:sz w:val="24"/>
                <w:highlight w:val="none"/>
                <w:lang w:val="en-US" w:eastAsia="zh-CN"/>
              </w:rPr>
              <w:t>30天</w:t>
            </w:r>
          </w:p>
        </w:tc>
      </w:tr>
      <w:tr w14:paraId="20A1A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14:paraId="24BBA9B7">
            <w:pPr>
              <w:numPr>
                <w:ilvl w:val="0"/>
                <w:numId w:val="1"/>
              </w:numPr>
              <w:spacing w:before="156" w:beforeLines="50"/>
              <w:jc w:val="center"/>
              <w:rPr>
                <w:rFonts w:ascii="宋体" w:hAnsi="宋体" w:cs="宋体"/>
                <w:color w:val="auto"/>
                <w:sz w:val="24"/>
                <w:highlight w:val="none"/>
              </w:rPr>
            </w:pPr>
          </w:p>
        </w:tc>
        <w:tc>
          <w:tcPr>
            <w:tcW w:w="1995" w:type="dxa"/>
            <w:vAlign w:val="center"/>
          </w:tcPr>
          <w:p w14:paraId="4E6A93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color w:val="auto"/>
                <w:sz w:val="24"/>
                <w:highlight w:val="none"/>
              </w:rPr>
            </w:pPr>
            <w:r>
              <w:rPr>
                <w:rFonts w:hint="eastAsia" w:ascii="宋体" w:hAnsi="宋体" w:cs="宋体"/>
                <w:color w:val="auto"/>
                <w:sz w:val="24"/>
                <w:highlight w:val="none"/>
              </w:rPr>
              <w:t>付款方式</w:t>
            </w:r>
          </w:p>
        </w:tc>
        <w:tc>
          <w:tcPr>
            <w:tcW w:w="6615" w:type="dxa"/>
            <w:vAlign w:val="center"/>
          </w:tcPr>
          <w:p w14:paraId="17CCA34E">
            <w:pPr>
              <w:rPr>
                <w:rFonts w:hint="eastAsia" w:eastAsia="宋体"/>
                <w:color w:val="auto"/>
                <w:highlight w:val="none"/>
                <w:lang w:eastAsia="zh-CN"/>
              </w:rPr>
            </w:pPr>
            <w:r>
              <w:rPr>
                <w:rFonts w:hint="eastAsia"/>
                <w:color w:val="auto"/>
                <w:highlight w:val="none"/>
              </w:rPr>
              <w:t>合同签订生效后支付合同价的40%，设计人提交未签章的正式施工图后支付总合同价的50%，施工验收合格后支付剩余总合同价的10%。</w:t>
            </w:r>
          </w:p>
        </w:tc>
      </w:tr>
      <w:tr w14:paraId="5EF06C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7543B222">
            <w:pPr>
              <w:numPr>
                <w:ilvl w:val="0"/>
                <w:numId w:val="1"/>
              </w:numPr>
              <w:spacing w:before="156" w:beforeLines="50"/>
              <w:jc w:val="center"/>
              <w:rPr>
                <w:rFonts w:ascii="宋体" w:hAnsi="宋体" w:cs="宋体"/>
                <w:color w:val="auto"/>
                <w:sz w:val="24"/>
                <w:highlight w:val="none"/>
              </w:rPr>
            </w:pPr>
          </w:p>
        </w:tc>
        <w:tc>
          <w:tcPr>
            <w:tcW w:w="1995" w:type="dxa"/>
            <w:vAlign w:val="center"/>
          </w:tcPr>
          <w:p w14:paraId="4115BB96">
            <w:pPr>
              <w:spacing w:before="156"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勘察现场</w:t>
            </w:r>
          </w:p>
        </w:tc>
        <w:tc>
          <w:tcPr>
            <w:tcW w:w="6615" w:type="dxa"/>
            <w:vAlign w:val="center"/>
          </w:tcPr>
          <w:p w14:paraId="79CA3F6F">
            <w:pPr>
              <w:tabs>
                <w:tab w:val="left" w:pos="8640"/>
              </w:tabs>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自行勘察</w:t>
            </w:r>
          </w:p>
        </w:tc>
      </w:tr>
      <w:tr w14:paraId="51A7BF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35" w:type="dxa"/>
            <w:vAlign w:val="center"/>
          </w:tcPr>
          <w:p w14:paraId="4876A973">
            <w:pPr>
              <w:numPr>
                <w:ilvl w:val="0"/>
                <w:numId w:val="1"/>
              </w:numPr>
              <w:spacing w:before="156" w:beforeLines="50"/>
              <w:jc w:val="center"/>
              <w:rPr>
                <w:rFonts w:ascii="宋体" w:hAnsi="宋体" w:cs="宋体"/>
                <w:color w:val="auto"/>
                <w:sz w:val="24"/>
                <w:highlight w:val="none"/>
              </w:rPr>
            </w:pPr>
          </w:p>
        </w:tc>
        <w:tc>
          <w:tcPr>
            <w:tcW w:w="1995" w:type="dxa"/>
            <w:vAlign w:val="center"/>
          </w:tcPr>
          <w:p w14:paraId="0B4F6976">
            <w:pPr>
              <w:keepNext w:val="0"/>
              <w:keepLines w:val="0"/>
              <w:pageBreakBefore w:val="0"/>
              <w:widowControl w:val="0"/>
              <w:kinsoku/>
              <w:wordWrap/>
              <w:overflowPunct/>
              <w:topLinePunct w:val="0"/>
              <w:autoSpaceDE/>
              <w:autoSpaceDN/>
              <w:bidi w:val="0"/>
              <w:adjustRightInd w:val="0"/>
              <w:snapToGrid w:val="0"/>
              <w:ind w:firstLine="14" w:firstLineChars="6"/>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报价</w:t>
            </w:r>
          </w:p>
        </w:tc>
        <w:tc>
          <w:tcPr>
            <w:tcW w:w="6615" w:type="dxa"/>
            <w:vAlign w:val="center"/>
          </w:tcPr>
          <w:p w14:paraId="008D8EB1">
            <w:pPr>
              <w:keepNext w:val="0"/>
              <w:keepLines w:val="0"/>
              <w:pageBreakBefore w:val="0"/>
              <w:widowControl w:val="0"/>
              <w:tabs>
                <w:tab w:val="left" w:pos="8640"/>
              </w:tabs>
              <w:kinsoku/>
              <w:wordWrap/>
              <w:overflowPunct/>
              <w:topLinePunct w:val="0"/>
              <w:autoSpaceDE/>
              <w:autoSpaceDN/>
              <w:bidi w:val="0"/>
              <w:adjustRightInd w:val="0"/>
              <w:snapToGrid w:val="0"/>
              <w:jc w:val="left"/>
              <w:textAlignment w:val="auto"/>
              <w:rPr>
                <w:rFonts w:ascii="宋体" w:hAnsi="宋体" w:cs="宋体"/>
                <w:b/>
                <w:bCs/>
                <w:color w:val="auto"/>
                <w:sz w:val="24"/>
                <w:highlight w:val="none"/>
                <w:u w:val="single"/>
              </w:rPr>
            </w:pPr>
            <w:r>
              <w:rPr>
                <w:rFonts w:hint="eastAsia" w:ascii="宋体" w:hAnsi="宋体" w:cs="宋体"/>
                <w:b/>
                <w:bCs/>
                <w:color w:val="auto"/>
                <w:sz w:val="24"/>
                <w:highlight w:val="none"/>
              </w:rPr>
              <w:t>一次报价</w:t>
            </w:r>
          </w:p>
        </w:tc>
      </w:tr>
      <w:tr w14:paraId="20B08F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5" w:type="dxa"/>
            <w:vAlign w:val="center"/>
          </w:tcPr>
          <w:p w14:paraId="1BAF63BD">
            <w:pPr>
              <w:numPr>
                <w:ilvl w:val="0"/>
                <w:numId w:val="1"/>
              </w:numPr>
              <w:spacing w:before="156" w:beforeLines="50"/>
              <w:jc w:val="center"/>
              <w:rPr>
                <w:rFonts w:ascii="宋体" w:hAnsi="宋体" w:cs="宋体"/>
                <w:color w:val="auto"/>
                <w:sz w:val="24"/>
                <w:highlight w:val="none"/>
              </w:rPr>
            </w:pPr>
          </w:p>
        </w:tc>
        <w:tc>
          <w:tcPr>
            <w:tcW w:w="1995" w:type="dxa"/>
            <w:vAlign w:val="center"/>
          </w:tcPr>
          <w:p w14:paraId="747AC388">
            <w:pPr>
              <w:keepNext w:val="0"/>
              <w:keepLines w:val="0"/>
              <w:pageBreakBefore w:val="0"/>
              <w:widowControl w:val="0"/>
              <w:kinsoku/>
              <w:wordWrap/>
              <w:overflowPunct/>
              <w:topLinePunct w:val="0"/>
              <w:autoSpaceDE/>
              <w:autoSpaceDN/>
              <w:bidi w:val="0"/>
              <w:adjustRightInd w:val="0"/>
              <w:snapToGrid w:val="0"/>
              <w:ind w:firstLine="14" w:firstLineChars="6"/>
              <w:jc w:val="center"/>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所属行业</w:t>
            </w:r>
          </w:p>
        </w:tc>
        <w:tc>
          <w:tcPr>
            <w:tcW w:w="6615" w:type="dxa"/>
            <w:vAlign w:val="center"/>
          </w:tcPr>
          <w:p w14:paraId="4B85640F">
            <w:pPr>
              <w:keepNext w:val="0"/>
              <w:keepLines w:val="0"/>
              <w:pageBreakBefore w:val="0"/>
              <w:widowControl w:val="0"/>
              <w:tabs>
                <w:tab w:val="left" w:pos="8640"/>
              </w:tabs>
              <w:kinsoku/>
              <w:wordWrap/>
              <w:overflowPunct/>
              <w:topLinePunct w:val="0"/>
              <w:autoSpaceDE/>
              <w:autoSpaceDN/>
              <w:bidi w:val="0"/>
              <w:adjustRightInd w:val="0"/>
              <w:snapToGrid w:val="0"/>
              <w:jc w:val="left"/>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其他未列明行业</w:t>
            </w:r>
          </w:p>
        </w:tc>
      </w:tr>
    </w:tbl>
    <w:p w14:paraId="4EF05020">
      <w:pPr>
        <w:pStyle w:val="13"/>
        <w:ind w:firstLine="0" w:firstLineChars="0"/>
        <w:rPr>
          <w:rFonts w:hint="eastAsia" w:ascii="宋体" w:hAnsi="宋体" w:cs="宋体"/>
          <w:b/>
          <w:color w:val="auto"/>
          <w:sz w:val="30"/>
          <w:szCs w:val="30"/>
          <w:highlight w:val="none"/>
        </w:rPr>
      </w:pPr>
    </w:p>
    <w:p w14:paraId="3C527A77">
      <w:pPr>
        <w:pStyle w:val="13"/>
        <w:ind w:firstLine="0" w:firstLineChars="0"/>
        <w:rPr>
          <w:rFonts w:hint="eastAsia" w:ascii="宋体" w:hAnsi="宋体" w:cs="宋体"/>
          <w:b/>
          <w:color w:val="auto"/>
          <w:sz w:val="30"/>
          <w:szCs w:val="30"/>
          <w:highlight w:val="none"/>
        </w:rPr>
      </w:pPr>
    </w:p>
    <w:p w14:paraId="5D8DD1B6">
      <w:pPr>
        <w:pStyle w:val="13"/>
        <w:ind w:firstLine="0" w:firstLineChars="0"/>
        <w:rPr>
          <w:rFonts w:hint="eastAsia" w:ascii="宋体" w:hAnsi="宋体" w:cs="宋体"/>
          <w:b/>
          <w:color w:val="auto"/>
          <w:sz w:val="30"/>
          <w:szCs w:val="30"/>
          <w:highlight w:val="none"/>
        </w:rPr>
      </w:pPr>
    </w:p>
    <w:p w14:paraId="47FEFC1D">
      <w:pPr>
        <w:pStyle w:val="13"/>
        <w:ind w:firstLine="0" w:firstLineChars="0"/>
        <w:rPr>
          <w:rFonts w:hint="eastAsia" w:ascii="宋体" w:hAnsi="宋体" w:cs="宋体"/>
          <w:b/>
          <w:color w:val="auto"/>
          <w:sz w:val="30"/>
          <w:szCs w:val="30"/>
          <w:highlight w:val="none"/>
        </w:rPr>
      </w:pPr>
    </w:p>
    <w:p w14:paraId="0C0FDA5C">
      <w:pPr>
        <w:pStyle w:val="13"/>
        <w:ind w:firstLine="0" w:firstLineChars="0"/>
        <w:rPr>
          <w:rFonts w:hint="eastAsia" w:ascii="宋体" w:hAnsi="宋体" w:cs="宋体"/>
          <w:b/>
          <w:color w:val="auto"/>
          <w:sz w:val="30"/>
          <w:szCs w:val="30"/>
          <w:highlight w:val="none"/>
        </w:rPr>
      </w:pPr>
    </w:p>
    <w:p w14:paraId="5B6C5FA7">
      <w:pPr>
        <w:spacing w:line="72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一、总则</w:t>
      </w:r>
    </w:p>
    <w:p w14:paraId="679E73EA">
      <w:pPr>
        <w:spacing w:line="5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1．适用范围</w:t>
      </w:r>
    </w:p>
    <w:p w14:paraId="44D1C793">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1.1本竞争性磋商文件仅适用于本次竞争性磋商邀请函中所述</w:t>
      </w:r>
      <w:r>
        <w:rPr>
          <w:rFonts w:hint="eastAsia" w:ascii="宋体" w:hAnsi="宋体" w:cs="宋体"/>
          <w:bCs/>
          <w:color w:val="auto"/>
          <w:sz w:val="24"/>
          <w:highlight w:val="none"/>
        </w:rPr>
        <w:t>项目。</w:t>
      </w:r>
    </w:p>
    <w:p w14:paraId="3EE23E00">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0871598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2.1“采购代理机构”：周口市公共资源交易中心政府采购中心。</w:t>
      </w:r>
    </w:p>
    <w:p w14:paraId="7F8517A3">
      <w:pPr>
        <w:tabs>
          <w:tab w:val="left" w:pos="0"/>
        </w:tabs>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2.2“采购人”：</w:t>
      </w:r>
      <w:r>
        <w:rPr>
          <w:rFonts w:hint="eastAsia" w:ascii="宋体" w:hAnsi="宋体" w:cs="宋体"/>
          <w:color w:val="auto"/>
          <w:sz w:val="24"/>
          <w:highlight w:val="none"/>
          <w:lang w:val="en-US" w:eastAsia="zh-CN"/>
        </w:rPr>
        <w:t>周口市淮阳区城市管理局</w:t>
      </w:r>
    </w:p>
    <w:p w14:paraId="2FE8C8D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2.3“供应商”系指按竞争性磋商文件规定取得竞争性磋商文件并参加竞争性磋商活动的法人、其他组织或者自然人。</w:t>
      </w:r>
    </w:p>
    <w:p w14:paraId="106EC1D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2.4“供应商代表”：系指代表供应商参加本次竞争性磋商活动的供应商的法定代表人或其委托代理人。</w:t>
      </w:r>
    </w:p>
    <w:p w14:paraId="040F431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2.5“服务”：系指本项目所采购的服务及其他要求等。</w:t>
      </w:r>
    </w:p>
    <w:p w14:paraId="588E08C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5BF4577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2.7“重大违法记录”系指供应商因违法经营受到刑事处罚或者责令停产停业、吊销许可证或者执照、较大数额罚款等行政处罚。</w:t>
      </w:r>
    </w:p>
    <w:p w14:paraId="47CC7CD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2.8“不具备良好的商业信誉”是指：</w:t>
      </w:r>
    </w:p>
    <w:p w14:paraId="0ADF4E8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（1）有重大违法记录的（满三年的除外）；</w:t>
      </w:r>
    </w:p>
    <w:p w14:paraId="33D470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（2）被各级财政部门列入政府采购严重违法失信行为信息记录的（期限已满的除外）；</w:t>
      </w:r>
    </w:p>
    <w:p w14:paraId="77FB276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（3）被各级政府采购监督管理部门禁止在一定期限内参加政府采购活动等处罚的（期限已满的除外）；</w:t>
      </w:r>
    </w:p>
    <w:p w14:paraId="7924699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（4）被各级法院列入失信名单的（已依法解除的除外）；</w:t>
      </w:r>
    </w:p>
    <w:p w14:paraId="04F2F25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（5）法律法规规定的其他情形。</w:t>
      </w:r>
    </w:p>
    <w:p w14:paraId="7746ACAB">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3.采购预算</w:t>
      </w:r>
    </w:p>
    <w:p w14:paraId="6D5B128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3.1本次采购预算：见公告。</w:t>
      </w:r>
    </w:p>
    <w:p w14:paraId="59E1DEC4">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4.合格的供应商</w:t>
      </w:r>
    </w:p>
    <w:p w14:paraId="492BE17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4.1.1符合供应商资格条件（详见第一部分供应商资格条件）</w:t>
      </w:r>
    </w:p>
    <w:p w14:paraId="33747688">
      <w:pPr>
        <w:widowControl/>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4.1.2参加政府采购活动前三年内，在经营活动中没有重大违法记录的声明函；</w:t>
      </w:r>
    </w:p>
    <w:p w14:paraId="15F40804">
      <w:pPr>
        <w:widowControl/>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4.1.3 政府采购供应商诚信承诺书；</w:t>
      </w:r>
    </w:p>
    <w:p w14:paraId="4DE4354E">
      <w:pPr>
        <w:pStyle w:val="71"/>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4.</w:t>
      </w:r>
      <w:r>
        <w:rPr>
          <w:rFonts w:hint="eastAsia" w:hAnsi="宋体" w:eastAsia="宋体"/>
          <w:color w:val="auto"/>
          <w:sz w:val="24"/>
          <w:highlight w:val="none"/>
          <w:lang w:val="en-US"/>
        </w:rPr>
        <w:t>1.4 供应商</w:t>
      </w:r>
      <w:r>
        <w:rPr>
          <w:rFonts w:hint="eastAsia" w:hAnsi="宋体" w:eastAsia="宋体"/>
          <w:color w:val="auto"/>
          <w:sz w:val="24"/>
          <w:highlight w:val="none"/>
        </w:rPr>
        <w:t>自觉抵制政府采购领域商业贿赂行为承诺书；</w:t>
      </w:r>
    </w:p>
    <w:p w14:paraId="46DDBF7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4.2 </w:t>
      </w:r>
      <w:r>
        <w:rPr>
          <w:rFonts w:hint="eastAsia" w:ascii="宋体" w:hAnsi="宋体" w:cs="宋体"/>
          <w:color w:val="auto"/>
          <w:kern w:val="0"/>
          <w:sz w:val="24"/>
          <w:highlight w:val="none"/>
        </w:rPr>
        <w:t>供应商需提供售后服务体系与承诺</w:t>
      </w:r>
      <w:r>
        <w:rPr>
          <w:rFonts w:hint="eastAsia" w:ascii="宋体" w:hAnsi="宋体" w:cs="宋体"/>
          <w:color w:val="auto"/>
          <w:kern w:val="0"/>
          <w:sz w:val="24"/>
          <w:highlight w:val="none"/>
          <w:lang w:val="zh-CN"/>
        </w:rPr>
        <w:t>。</w:t>
      </w:r>
    </w:p>
    <w:p w14:paraId="4407E332">
      <w:pPr>
        <w:pStyle w:val="71"/>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4.</w:t>
      </w:r>
      <w:r>
        <w:rPr>
          <w:rFonts w:hint="eastAsia" w:hAnsi="宋体" w:eastAsia="宋体"/>
          <w:color w:val="auto"/>
          <w:sz w:val="24"/>
          <w:highlight w:val="none"/>
          <w:lang w:val="en-US"/>
        </w:rPr>
        <w:t>3</w:t>
      </w:r>
      <w:r>
        <w:rPr>
          <w:rFonts w:hint="eastAsia" w:hAnsi="宋体" w:eastAsia="宋体"/>
          <w:color w:val="auto"/>
          <w:sz w:val="24"/>
          <w:highlight w:val="none"/>
        </w:rPr>
        <w:t>符合本竞争性磋商文件规定的供应商资格要求及项目要求的其它条件，并按照要求提供相关证明材料。</w:t>
      </w:r>
    </w:p>
    <w:p w14:paraId="7DA3C542">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4.4供应商应遵守国家法律、法规有关竞争性磋商的规定。</w:t>
      </w:r>
    </w:p>
    <w:p w14:paraId="33503160">
      <w:pPr>
        <w:autoSpaceDE w:val="0"/>
        <w:autoSpaceDN w:val="0"/>
        <w:adjustRightInd w:val="0"/>
        <w:snapToGrid w:val="0"/>
        <w:spacing w:line="360" w:lineRule="auto"/>
        <w:ind w:firstLine="480" w:firstLineChars="200"/>
        <w:rPr>
          <w:rFonts w:hint="default" w:eastAsia="宋体"/>
          <w:color w:val="auto"/>
          <w:highlight w:val="none"/>
          <w:lang w:val="en-US" w:eastAsia="zh-CN"/>
        </w:rPr>
      </w:pPr>
      <w:r>
        <w:rPr>
          <w:rFonts w:hint="eastAsia" w:ascii="宋体" w:hAnsi="宋体" w:cs="宋体"/>
          <w:color w:val="auto"/>
          <w:kern w:val="0"/>
          <w:sz w:val="24"/>
          <w:highlight w:val="none"/>
          <w:lang w:val="zh-CN"/>
        </w:rPr>
        <w:t>4.5 凡通过磋商小组符合性审查的供应商均为合格供应商。未通过符合性审查的供应商将视为不响应本项目的竞争性磋商文件被否决。</w:t>
      </w:r>
    </w:p>
    <w:p w14:paraId="62430BDF">
      <w:pPr>
        <w:spacing w:line="56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注：</w:t>
      </w:r>
      <w:r>
        <w:rPr>
          <w:rFonts w:hint="eastAsia" w:ascii="宋体" w:hAnsi="宋体" w:cs="宋体"/>
          <w:color w:val="auto"/>
          <w:sz w:val="24"/>
          <w:highlight w:val="none"/>
        </w:rPr>
        <w:t>单位负责人为同一人或者存在直接控股、管理关系的不同供应商，不得参加同一合同项下的政府采购活动。提供</w:t>
      </w:r>
      <w:r>
        <w:rPr>
          <w:rFonts w:hint="eastAsia" w:ascii="宋体" w:hAnsi="宋体" w:cs="宋体"/>
          <w:color w:val="auto"/>
          <w:sz w:val="24"/>
          <w:highlight w:val="none"/>
          <w:lang w:val="en-US" w:eastAsia="zh-CN"/>
        </w:rPr>
        <w:t>经法定代表签字确认的</w:t>
      </w:r>
      <w:r>
        <w:rPr>
          <w:rFonts w:hint="eastAsia" w:ascii="宋体" w:hAnsi="宋体" w:cs="宋体"/>
          <w:color w:val="auto"/>
          <w:sz w:val="24"/>
          <w:highlight w:val="none"/>
        </w:rPr>
        <w:t>国家企业信用信息公示系统公告后查询截图并承诺。</w:t>
      </w:r>
    </w:p>
    <w:p w14:paraId="412B5443">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5.竞争性磋商文件的约束力 </w:t>
      </w:r>
    </w:p>
    <w:p w14:paraId="364C578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5.l供应商一旦参加竞争性磋商，即被认为接受了本竞争性磋商文件中的所有条款和规定。</w:t>
      </w:r>
    </w:p>
    <w:p w14:paraId="29C75B1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0CBA77C">
      <w:pPr>
        <w:spacing w:line="560" w:lineRule="exact"/>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5.3本磋商文件由采购人负责解释。</w:t>
      </w:r>
    </w:p>
    <w:p w14:paraId="5FE51A55">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二、竞争性磋商文件</w:t>
      </w:r>
    </w:p>
    <w:p w14:paraId="73302A5C">
      <w:pPr>
        <w:tabs>
          <w:tab w:val="left" w:pos="632"/>
          <w:tab w:val="left" w:pos="79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6．竞争性磋商文件的组成</w:t>
      </w:r>
    </w:p>
    <w:p w14:paraId="19D5F273">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6.1竞争性磋商</w:t>
      </w:r>
      <w:r>
        <w:rPr>
          <w:rFonts w:hint="eastAsia" w:ascii="宋体" w:hAnsi="宋体" w:cs="宋体"/>
          <w:color w:val="auto"/>
          <w:sz w:val="24"/>
          <w:highlight w:val="none"/>
          <w:lang w:val="zh-CN"/>
        </w:rPr>
        <w:t>文件是用以阐明的采购需求、采购程序和合同格式等的规范性文件。竞争性磋商文件主要由以下部分组成：</w:t>
      </w:r>
    </w:p>
    <w:p w14:paraId="3FC2F65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（1）竞争性磋商邀请函；</w:t>
      </w:r>
    </w:p>
    <w:p w14:paraId="3570B21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（2）供应商须知；</w:t>
      </w:r>
    </w:p>
    <w:p w14:paraId="3F6D9B7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（3）采购需求；</w:t>
      </w:r>
    </w:p>
    <w:p w14:paraId="6AF2D08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（4）响应性文件内容及格式；</w:t>
      </w:r>
    </w:p>
    <w:p w14:paraId="00373EF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（5）合同主要条款。</w:t>
      </w:r>
    </w:p>
    <w:p w14:paraId="627639F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C9A2B6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14:paraId="717F9D2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47BDBF4F">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7.竞争性磋商文件的澄清与修改</w:t>
      </w:r>
    </w:p>
    <w:p w14:paraId="55610C32">
      <w:pPr>
        <w:autoSpaceDE w:val="0"/>
        <w:autoSpaceDN w:val="0"/>
        <w:adjustRightInd w:val="0"/>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071DB37B">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三、响应性文件的编制</w:t>
      </w:r>
    </w:p>
    <w:p w14:paraId="197B3CF1">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8.要求</w:t>
      </w:r>
    </w:p>
    <w:p w14:paraId="27DDB96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001F563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8.2任何对竞争性磋商文件的忽略或误解不能作为响应性文件没有完全响应竞争性磋商文件的有效理由。</w:t>
      </w:r>
    </w:p>
    <w:p w14:paraId="4D3AC6EE">
      <w:pPr>
        <w:spacing w:line="560" w:lineRule="exact"/>
        <w:ind w:firstLine="480" w:firstLineChars="200"/>
        <w:rPr>
          <w:rFonts w:ascii="宋体" w:hAnsi="宋体" w:cs="宋体"/>
          <w:i/>
          <w:iCs/>
          <w:color w:val="auto"/>
          <w:sz w:val="24"/>
          <w:highlight w:val="none"/>
        </w:rPr>
      </w:pPr>
      <w:r>
        <w:rPr>
          <w:rFonts w:hint="eastAsia" w:ascii="宋体" w:hAnsi="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14:paraId="62EE8196">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9.响应性文件的语言及度量衡 </w:t>
      </w:r>
    </w:p>
    <w:p w14:paraId="72EE39A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9.1响应性文件以及供应商与采购代理机构之间的所有书面往来都应用简体中文书写。 </w:t>
      </w:r>
    </w:p>
    <w:p w14:paraId="38266D3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9.2供应商使用其他语言的，以中文翻译为准。 </w:t>
      </w:r>
    </w:p>
    <w:p w14:paraId="3537F38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9.3关于计量单位，竞争性磋商文件已有明确规定的，使用竞争性磋商文件规定的计量单位；竞争性磋商文件没有规定的，应采用中华人民共和国法定计量单位。</w:t>
      </w:r>
    </w:p>
    <w:p w14:paraId="3E8740A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9.4本竞争性磋商文件所表述的时间均为北京时间。</w:t>
      </w:r>
    </w:p>
    <w:p w14:paraId="65C793F1">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10.响应性文件的组成</w:t>
      </w:r>
    </w:p>
    <w:p w14:paraId="34835F84">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10.1响应性文件由</w:t>
      </w:r>
      <w:r>
        <w:rPr>
          <w:rFonts w:hint="eastAsia" w:ascii="宋体" w:hAnsi="宋体" w:cs="宋体"/>
          <w:bCs/>
          <w:color w:val="auto"/>
          <w:sz w:val="24"/>
          <w:highlight w:val="none"/>
          <w:u w:val="single"/>
        </w:rPr>
        <w:t>资格性证明材料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符合性证明材料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其他材料</w:t>
      </w:r>
      <w:r>
        <w:rPr>
          <w:rFonts w:hint="eastAsia" w:ascii="宋体" w:hAnsi="宋体" w:cs="宋体"/>
          <w:color w:val="auto"/>
          <w:sz w:val="24"/>
          <w:highlight w:val="none"/>
        </w:rPr>
        <w:t>三部分组成。具体内容和格式见竞争性磋商文件</w:t>
      </w:r>
      <w:r>
        <w:rPr>
          <w:rFonts w:hint="eastAsia" w:ascii="宋体" w:hAnsi="宋体" w:cs="宋体"/>
          <w:bCs/>
          <w:color w:val="auto"/>
          <w:sz w:val="24"/>
          <w:highlight w:val="none"/>
        </w:rPr>
        <w:t>第四章</w:t>
      </w:r>
      <w:r>
        <w:rPr>
          <w:rFonts w:hint="eastAsia" w:ascii="宋体" w:hAnsi="宋体" w:cs="宋体"/>
          <w:color w:val="auto"/>
          <w:sz w:val="24"/>
          <w:highlight w:val="none"/>
        </w:rPr>
        <w:t>。</w:t>
      </w:r>
    </w:p>
    <w:p w14:paraId="2EF41210">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11.响应性文件格式</w:t>
      </w:r>
    </w:p>
    <w:p w14:paraId="6465B1BF">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11.1供应商应按照竞争性磋商文件提供的格式编写响应性文件，不得缺少、留空或私自更改任何竞争性磋商文件要求填写的表格或提交的资料</w:t>
      </w:r>
      <w:r>
        <w:rPr>
          <w:rFonts w:hint="eastAsia" w:ascii="宋体" w:hAnsi="宋体" w:cs="宋体"/>
          <w:color w:val="auto"/>
          <w:sz w:val="24"/>
          <w:highlight w:val="none"/>
          <w:lang w:eastAsia="zh-CN"/>
        </w:rPr>
        <w:t>，</w:t>
      </w:r>
      <w:r>
        <w:rPr>
          <w:rFonts w:hint="eastAsia" w:ascii="宋体" w:hAnsi="宋体" w:cs="宋体"/>
          <w:color w:val="auto"/>
          <w:sz w:val="24"/>
          <w:highlight w:val="none"/>
        </w:rPr>
        <w:t>扫描件、影印件等标注与原</w:t>
      </w:r>
      <w:r>
        <w:rPr>
          <w:rFonts w:hint="eastAsia" w:ascii="宋体" w:hAnsi="宋体" w:cs="宋体"/>
          <w:color w:val="auto"/>
          <w:sz w:val="2"/>
          <w:szCs w:val="2"/>
          <w:highlight w:val="none"/>
          <w:vertAlign w:val="superscript"/>
          <w:lang w:val="en-US" w:eastAsia="zh-CN"/>
        </w:rPr>
        <w:t xml:space="preserve"> </w:t>
      </w:r>
      <w:r>
        <w:rPr>
          <w:rFonts w:hint="eastAsia" w:ascii="宋体" w:hAnsi="宋体" w:cs="宋体"/>
          <w:color w:val="auto"/>
          <w:sz w:val="24"/>
          <w:highlight w:val="none"/>
        </w:rPr>
        <w:t>件一致。竞争性磋商文件提供格式的按格式填列，未提供格式的可自行拟定。</w:t>
      </w:r>
    </w:p>
    <w:p w14:paraId="2C60E699">
      <w:pPr>
        <w:widowControl/>
        <w:spacing w:line="5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12.竞争性磋商报价</w:t>
      </w:r>
    </w:p>
    <w:p w14:paraId="1C7B38E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12.1报价包括所投服务、保险、税费、检测、验收和交付后约定期限内免费维保等工作所发生的一切应有费用。</w:t>
      </w:r>
    </w:p>
    <w:p w14:paraId="3E41B32E">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12.2供应商应填写报价一览表，如果分项报价与单价不符，则以单价为准；其它表格与报价一览表不符，以报价一览表为准且须在报价大写处加盖公章；小写与大写不符，以大写为准</w:t>
      </w:r>
      <w:r>
        <w:rPr>
          <w:rFonts w:hint="eastAsia" w:ascii="宋体" w:hAnsi="宋体" w:cs="宋体"/>
          <w:color w:val="auto"/>
          <w:sz w:val="24"/>
          <w:highlight w:val="none"/>
          <w:lang w:eastAsia="zh-CN"/>
        </w:rPr>
        <w:t>。</w:t>
      </w:r>
    </w:p>
    <w:p w14:paraId="7983C25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12.3采购人不接受有选择的报价。</w:t>
      </w:r>
    </w:p>
    <w:p w14:paraId="4EC2E97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12.4最终报价不得超过采购预算。</w:t>
      </w:r>
    </w:p>
    <w:p w14:paraId="2682F8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12.5报价均须以人民币为计算单位。</w:t>
      </w:r>
    </w:p>
    <w:p w14:paraId="097EA682">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13．响应性文件有效期 </w:t>
      </w:r>
    </w:p>
    <w:p w14:paraId="5AC68ED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13.l响应性文件有效期为自竞争性磋商开始之日起60天，成交的响应性文件其有效期应延续至合同执行结束，有效期短于此规定的响应性文件将被视为无效。</w:t>
      </w:r>
    </w:p>
    <w:p w14:paraId="0E6277C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729973BD">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14.响应性文件的签署、盖章</w:t>
      </w:r>
    </w:p>
    <w:p w14:paraId="03FA1C30">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2D18211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11BA96C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14.3供应商提交的资料应证明其满足竞争性磋商文件要求，该文件可以是文字资料、图纸和数据等详细描述的资料。</w:t>
      </w:r>
    </w:p>
    <w:p w14:paraId="3E35EEF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15电子投标文件制作，见周口市公共资源交易中心网站下载中心版块《投标单位-电子投标文件视频制作手册》的相关规定。</w:t>
      </w:r>
    </w:p>
    <w:p w14:paraId="361E0BF8">
      <w:pPr>
        <w:numPr>
          <w:ilvl w:val="0"/>
          <w:numId w:val="2"/>
        </w:num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响应性文件的递交</w:t>
      </w:r>
    </w:p>
    <w:p w14:paraId="39BDFB71">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4863E96E">
      <w:pPr>
        <w:spacing w:line="360" w:lineRule="auto"/>
        <w:ind w:firstLine="550"/>
        <w:rPr>
          <w:rFonts w:ascii="宋体" w:hAnsi="宋体" w:cs="宋体"/>
          <w:color w:val="auto"/>
          <w:sz w:val="24"/>
          <w:highlight w:val="none"/>
        </w:rPr>
      </w:pPr>
      <w:r>
        <w:rPr>
          <w:rFonts w:hint="eastAsia" w:ascii="宋体" w:hAnsi="宋体" w:cs="宋体"/>
          <w:color w:val="auto"/>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14:paraId="3BFEF076">
      <w:pPr>
        <w:autoSpaceDE w:val="0"/>
        <w:autoSpaceDN w:val="0"/>
        <w:adjustRightInd w:val="0"/>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供应商须使用单位CA证书进行电子响应文件远程解密，详见周口市公共资源电子交易中心网站（网址：http://jyzx.zhoukou.gov.cn）办事指南</w:t>
      </w:r>
      <w:r>
        <w:rPr>
          <w:rFonts w:hint="eastAsia" w:ascii="宋体" w:hAnsi="宋体" w:cs="宋体"/>
          <w:bCs/>
          <w:color w:val="auto"/>
          <w:sz w:val="24"/>
          <w:highlight w:val="none"/>
        </w:rPr>
        <w:t>《不见面开标远程在线解密会员端操作手册操作指南》</w:t>
      </w:r>
      <w:r>
        <w:rPr>
          <w:rFonts w:hint="eastAsia" w:ascii="宋体" w:hAnsi="宋体" w:cs="宋体"/>
          <w:color w:val="auto"/>
          <w:sz w:val="24"/>
          <w:highlight w:val="none"/>
        </w:rPr>
        <w:t>。</w:t>
      </w:r>
    </w:p>
    <w:p w14:paraId="3E5BADFE">
      <w:pPr>
        <w:spacing w:line="560" w:lineRule="exact"/>
        <w:rPr>
          <w:rFonts w:ascii="宋体" w:hAnsi="宋体" w:cs="宋体"/>
          <w:b/>
          <w:color w:val="auto"/>
          <w:sz w:val="24"/>
          <w:highlight w:val="none"/>
        </w:rPr>
      </w:pPr>
      <w:r>
        <w:rPr>
          <w:rFonts w:hint="eastAsia" w:ascii="宋体" w:hAnsi="宋体" w:cs="宋体"/>
          <w:b/>
          <w:color w:val="auto"/>
          <w:sz w:val="24"/>
          <w:highlight w:val="none"/>
        </w:rPr>
        <w:t>16.响应性文件的递交</w:t>
      </w:r>
    </w:p>
    <w:p w14:paraId="5E2EBBE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16.1供应商应在竞争性磋商邀请函中规定的截止日期和时间前，将响应性文件在会员系统成功上传，递交（接收）地点为竞争性磋商邀请函中规定的地址。</w:t>
      </w:r>
    </w:p>
    <w:p w14:paraId="41EC0D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16.2若采购人推迟了响应性文件接收截止时间，采购人和供应商受响应性文件接收截止时间制约的所有权利和义务均应以新的截止时间为准。 </w:t>
      </w:r>
    </w:p>
    <w:p w14:paraId="17D37224">
      <w:pPr>
        <w:pStyle w:val="55"/>
        <w:spacing w:line="560" w:lineRule="exact"/>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17</w:t>
      </w:r>
      <w:r>
        <w:rPr>
          <w:rFonts w:hint="eastAsia" w:ascii="宋体" w:hAnsi="宋体"/>
          <w:b/>
          <w:color w:val="auto"/>
          <w:sz w:val="24"/>
          <w:szCs w:val="24"/>
          <w:highlight w:val="none"/>
        </w:rPr>
        <w:t>.响应性文件的修改和撤回</w:t>
      </w:r>
    </w:p>
    <w:p w14:paraId="25CE9FB4">
      <w:pPr>
        <w:pStyle w:val="55"/>
        <w:spacing w:line="560" w:lineRule="exact"/>
        <w:ind w:left="279" w:leftChars="133" w:firstLine="240" w:firstLineChars="100"/>
        <w:rPr>
          <w:rFonts w:ascii="宋体" w:hAnsi="宋体"/>
          <w:b/>
          <w:bCs/>
          <w:color w:val="auto"/>
          <w:sz w:val="24"/>
          <w:szCs w:val="24"/>
          <w:highlight w:val="none"/>
        </w:rPr>
      </w:pPr>
      <w:r>
        <w:rPr>
          <w:rFonts w:hint="eastAsia" w:ascii="宋体" w:hAnsi="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02D180F4">
      <w:pPr>
        <w:pStyle w:val="5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14:paraId="3A4CCBD6">
      <w:pPr>
        <w:pStyle w:val="5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17.3供应商在响应性文件接收截止时间后不得修改、撤回响应性文件。供应商在响应性文件接收截止时间后修改响应性文件的，将被拒绝接受。</w:t>
      </w:r>
    </w:p>
    <w:p w14:paraId="2F349741">
      <w:pPr>
        <w:pStyle w:val="5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17.4供应商有下列情形之一的，采购人将拒绝接受其响应性文件：</w:t>
      </w:r>
    </w:p>
    <w:p w14:paraId="0F9B602C">
      <w:pPr>
        <w:pStyle w:val="5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17.4.1在竞争性磋商文件规定的响应性文件接收截止时间之后递交响应性文件的；</w:t>
      </w:r>
    </w:p>
    <w:p w14:paraId="56C53D5E">
      <w:pPr>
        <w:pStyle w:val="5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17.4.2响应性文件未按竞争性磋商文件规定密封、签署、盖章</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未加盖骑缝章的；</w:t>
      </w:r>
    </w:p>
    <w:p w14:paraId="67D020A1">
      <w:pPr>
        <w:pStyle w:val="55"/>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17.4.3一个供应商不止递交一套响应性文件的。</w:t>
      </w:r>
    </w:p>
    <w:p w14:paraId="3680A664">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五、竞争性磋商</w:t>
      </w:r>
    </w:p>
    <w:p w14:paraId="007C255F">
      <w:pPr>
        <w:spacing w:line="56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rPr>
        <w:t>18.组建</w:t>
      </w:r>
      <w:r>
        <w:rPr>
          <w:rFonts w:hint="eastAsia" w:ascii="宋体" w:hAnsi="宋体" w:cs="宋体"/>
          <w:b/>
          <w:color w:val="auto"/>
          <w:sz w:val="24"/>
          <w:highlight w:val="none"/>
          <w:lang w:val="zh-CN"/>
        </w:rPr>
        <w:t>竞争性磋商小组</w:t>
      </w:r>
    </w:p>
    <w:p w14:paraId="35B2553A">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18.1采购人根据采购项目的特点依法组建竞争性磋商小组。</w:t>
      </w:r>
    </w:p>
    <w:p w14:paraId="157C4FE4">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18.2竞争性磋商小组</w:t>
      </w:r>
      <w:r>
        <w:rPr>
          <w:rFonts w:hint="eastAsia" w:ascii="宋体" w:hAnsi="宋体" w:cs="宋体"/>
          <w:bCs/>
          <w:color w:val="auto"/>
          <w:kern w:val="0"/>
          <w:sz w:val="24"/>
          <w:highlight w:val="none"/>
        </w:rPr>
        <w:t>确认竞争性磋商文件，并</w:t>
      </w:r>
      <w:r>
        <w:rPr>
          <w:rFonts w:hint="eastAsia" w:ascii="宋体" w:hAnsi="宋体" w:cs="宋体"/>
          <w:color w:val="auto"/>
          <w:kern w:val="0"/>
          <w:sz w:val="24"/>
          <w:highlight w:val="none"/>
        </w:rPr>
        <w:t>负责具体评审事务，根据有关法律法规和竞争性磋商文件规定的评审程序，按照评审方法及评审标准独立履行竞争性磋商小组职责。</w:t>
      </w:r>
    </w:p>
    <w:p w14:paraId="5D119726">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19.资格性和符合性审查</w:t>
      </w:r>
    </w:p>
    <w:p w14:paraId="06E064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98C7C96">
      <w:pPr>
        <w:spacing w:line="56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19.1.1资格性审查的内容包括：竞争性磋商文件规定的供应商资格条件；</w:t>
      </w:r>
    </w:p>
    <w:p w14:paraId="4D9471F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52E3F0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19.2.1符合性审查的内容包括：</w:t>
      </w:r>
    </w:p>
    <w:p w14:paraId="0D8124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（1）响应性文件的有效性(签署情况等)；</w:t>
      </w:r>
    </w:p>
    <w:p w14:paraId="2E7224E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（2）响应性文件的完整性；</w:t>
      </w:r>
    </w:p>
    <w:p w14:paraId="6BFEDAC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（3）对竞争性磋商文件的响应程度（是否存在重大负偏离等）。 </w:t>
      </w:r>
    </w:p>
    <w:p w14:paraId="2B1CFAB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以上资格性审查和符合性审查的内容只要有一条不满足，则响应性文件无效，将不进入竞争性磋商程序。</w:t>
      </w:r>
    </w:p>
    <w:p w14:paraId="11CAE4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注意事项：资格性、符合性证明材料见竞争性磋商文件第四章规定。</w:t>
      </w:r>
    </w:p>
    <w:p w14:paraId="2FBCEC2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19.3实质性响应的响应性文件是指与竞争性磋商文件的全部条款、条件和规格相符，没有重大偏离；重大负偏离的认定须经竞争性磋商小组三分之二以上同意。</w:t>
      </w:r>
    </w:p>
    <w:p w14:paraId="7DBD6E4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673BDA1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14:paraId="7E2B08A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19.6竞争性磋商小组审定响应性文件的响应性只根据响应性文件本身的内容而不寻求外部证据。</w:t>
      </w:r>
    </w:p>
    <w:p w14:paraId="53F826D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19.7凡有下列情况之一的，其响应性文件也被视为未实质性响应竞争性磋商文件，按照无效处理（不再参加竞争性磋商）：</w:t>
      </w:r>
    </w:p>
    <w:p w14:paraId="71F6F23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19.7.1未按竞争性磋商文件规定要求</w:t>
      </w:r>
      <w:r>
        <w:rPr>
          <w:rFonts w:hint="eastAsia" w:ascii="宋体" w:hAnsi="宋体" w:cs="宋体"/>
          <w:color w:val="auto"/>
          <w:sz w:val="24"/>
          <w:highlight w:val="none"/>
          <w:lang w:val="zh-CN"/>
        </w:rPr>
        <w:t>签署、盖章的；</w:t>
      </w:r>
    </w:p>
    <w:p w14:paraId="29B7790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19.7.2资格证明文件不全的，或不符合竞争性磋商文件中规定的资格要求的；</w:t>
      </w:r>
    </w:p>
    <w:p w14:paraId="7EAAF95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19.7.3供应商代表未能出具有效身份证明，或与身份不符的；</w:t>
      </w:r>
    </w:p>
    <w:p w14:paraId="002CDC8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19.7.4不符合竞争性磋商文件规定的实质性要求的；</w:t>
      </w:r>
    </w:p>
    <w:p w14:paraId="54159B3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19.7.5响应性文件内容不齐全或内容虚假的；</w:t>
      </w:r>
    </w:p>
    <w:p w14:paraId="5BF1255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19.7.6响应性文件的实质性内容未使用中文表述；</w:t>
      </w:r>
    </w:p>
    <w:p w14:paraId="4D333D7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19.7.7响应性文件的内容修改处未按规定签名或盖章及及法定代表人未在其</w:t>
      </w:r>
      <w:r>
        <w:rPr>
          <w:rFonts w:hint="eastAsia" w:ascii="宋体" w:hAnsi="宋体" w:cs="宋体"/>
          <w:color w:val="auto"/>
          <w:sz w:val="24"/>
          <w:highlight w:val="none"/>
          <w:lang w:val="en-US" w:eastAsia="zh-CN"/>
        </w:rPr>
        <w:t>身份证复印件</w:t>
      </w:r>
      <w:r>
        <w:rPr>
          <w:rFonts w:hint="eastAsia" w:ascii="宋体" w:hAnsi="宋体" w:cs="宋体"/>
          <w:color w:val="auto"/>
          <w:sz w:val="24"/>
          <w:highlight w:val="none"/>
        </w:rPr>
        <w:t>上签字</w:t>
      </w:r>
      <w:r>
        <w:rPr>
          <w:rFonts w:hint="eastAsia" w:ascii="宋体" w:hAnsi="宋体" w:cs="宋体"/>
          <w:color w:val="auto"/>
          <w:sz w:val="24"/>
          <w:highlight w:val="none"/>
          <w:lang w:val="en-US" w:eastAsia="zh-CN"/>
        </w:rPr>
        <w:t>确认</w:t>
      </w:r>
      <w:r>
        <w:rPr>
          <w:rFonts w:hint="eastAsia" w:ascii="宋体" w:hAnsi="宋体" w:cs="宋体"/>
          <w:color w:val="auto"/>
          <w:sz w:val="24"/>
          <w:highlight w:val="none"/>
        </w:rPr>
        <w:t>的；</w:t>
      </w:r>
    </w:p>
    <w:p w14:paraId="41CA18E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19.7.8违反法律、行政法规、竞争性磋商文件规定的其他情形的。</w:t>
      </w:r>
    </w:p>
    <w:p w14:paraId="01296C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19.7.9不同供应商的电子投标（响应）文件上传计算机的网卡 MAC 地址、CPU 序列号和硬盘序列号等硬件信息相同的;</w:t>
      </w:r>
    </w:p>
    <w:p w14:paraId="2D2E48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19.7.10不同供应商的投标（响应）文件由同一电子设备编制，打印、复印、加密或者上传的；</w:t>
      </w:r>
    </w:p>
    <w:p w14:paraId="639D83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19.7.11不同供应商的投标（响应）文件由同一人送达或者分发，或者不同供应商联系人为同一人或不同联系人的联系电话一致的；</w:t>
      </w:r>
    </w:p>
    <w:p w14:paraId="2CC4B5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19.7.12不同供应商的投标（响应）文件的内容存在两处以上细节错误一致；</w:t>
      </w:r>
    </w:p>
    <w:p w14:paraId="116383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19.7.13不同供应商的法定代表人、委托代理人、项目经理、项目负责人等由同一个单位缴纳社会保险或者领取报酬的；</w:t>
      </w:r>
    </w:p>
    <w:p w14:paraId="31C615E4">
      <w:pPr>
        <w:spacing w:line="360" w:lineRule="auto"/>
        <w:ind w:firstLine="480" w:firstLineChars="200"/>
        <w:rPr>
          <w:color w:val="auto"/>
          <w:highlight w:val="none"/>
        </w:rPr>
      </w:pPr>
      <w:r>
        <w:rPr>
          <w:rFonts w:hint="eastAsia" w:ascii="宋体" w:hAnsi="宋体" w:cs="宋体"/>
          <w:color w:val="auto"/>
          <w:sz w:val="24"/>
          <w:highlight w:val="none"/>
        </w:rPr>
        <w:t>19.7.14不同供应商投标（响应）文件中法定代表人或者负责人签字出自同一人之手。</w:t>
      </w:r>
    </w:p>
    <w:p w14:paraId="1742A18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19.8在评审过程中，竞争性磋商小组发现供应商有下列情形之一的，视为供应商相互串通，按照无效处理并依据法律、法规追究其相关责任。具体表现形式如下：</w:t>
      </w:r>
    </w:p>
    <w:p w14:paraId="723C49E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19.8.1不同供应商的响应性文件互相混装的；</w:t>
      </w:r>
    </w:p>
    <w:p w14:paraId="0DEC1F2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19.8.2不同供应商授权同一人作为供应商委托代理人的；</w:t>
      </w:r>
    </w:p>
    <w:p w14:paraId="3673D4F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19.8.3不同供应商的响应性文件载明的项目管理成员为同一人的；</w:t>
      </w:r>
    </w:p>
    <w:p w14:paraId="14BCD6C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19.8.4有证据证明供应商与采购人、采购代理机构或者其他供应商串通的其他情形；</w:t>
      </w:r>
    </w:p>
    <w:p w14:paraId="2B875C3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19.8.5竞争性磋商小组认定的其他串通情形。</w:t>
      </w:r>
    </w:p>
    <w:p w14:paraId="02EA7DDC">
      <w:pPr>
        <w:pStyle w:val="37"/>
        <w:rPr>
          <w:rFonts w:ascii="宋体" w:hAnsi="宋体" w:cs="宋体"/>
          <w:color w:val="auto"/>
          <w:sz w:val="24"/>
          <w:szCs w:val="24"/>
          <w:highlight w:val="none"/>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6D07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78EB1166">
            <w:pPr>
              <w:pStyle w:val="72"/>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highlight w:val="none"/>
              </w:rPr>
            </w:pPr>
            <w:r>
              <w:rPr>
                <w:rFonts w:hint="eastAsia" w:ascii="宋体" w:hAnsi="宋体" w:cs="宋体"/>
                <w:b/>
                <w:color w:val="auto"/>
                <w:kern w:val="2"/>
                <w:szCs w:val="24"/>
                <w:highlight w:val="none"/>
              </w:rPr>
              <w:t>项目符合性审查表</w:t>
            </w:r>
          </w:p>
        </w:tc>
      </w:tr>
      <w:tr w14:paraId="5F7E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F906A69">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665" w:type="dxa"/>
            <w:tcBorders>
              <w:bottom w:val="single" w:color="auto" w:sz="4" w:space="0"/>
            </w:tcBorders>
            <w:vAlign w:val="center"/>
          </w:tcPr>
          <w:p w14:paraId="724F21B9">
            <w:pPr>
              <w:pStyle w:val="72"/>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highlight w:val="none"/>
              </w:rPr>
            </w:pPr>
            <w:r>
              <w:rPr>
                <w:rFonts w:hint="eastAsia" w:ascii="宋体" w:hAnsi="宋体" w:cs="宋体"/>
                <w:color w:val="auto"/>
                <w:kern w:val="2"/>
                <w:szCs w:val="24"/>
                <w:highlight w:val="none"/>
              </w:rPr>
              <w:t>指标名称</w:t>
            </w:r>
          </w:p>
        </w:tc>
        <w:tc>
          <w:tcPr>
            <w:tcW w:w="1937" w:type="dxa"/>
            <w:tcBorders>
              <w:bottom w:val="single" w:color="auto" w:sz="4" w:space="0"/>
            </w:tcBorders>
            <w:vAlign w:val="center"/>
          </w:tcPr>
          <w:p w14:paraId="60CD9F6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指标要求</w:t>
            </w:r>
          </w:p>
        </w:tc>
        <w:tc>
          <w:tcPr>
            <w:tcW w:w="825" w:type="dxa"/>
            <w:tcBorders>
              <w:bottom w:val="single" w:color="auto" w:sz="4" w:space="0"/>
            </w:tcBorders>
            <w:vAlign w:val="center"/>
          </w:tcPr>
          <w:p w14:paraId="4B69338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是否</w:t>
            </w:r>
          </w:p>
          <w:p w14:paraId="1DEA4DE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通过</w:t>
            </w:r>
          </w:p>
        </w:tc>
        <w:tc>
          <w:tcPr>
            <w:tcW w:w="2371" w:type="dxa"/>
            <w:tcBorders>
              <w:bottom w:val="single" w:color="auto" w:sz="4" w:space="0"/>
            </w:tcBorders>
            <w:vAlign w:val="center"/>
          </w:tcPr>
          <w:p w14:paraId="40BAA56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投标文件格式及</w:t>
            </w:r>
          </w:p>
          <w:p w14:paraId="5368332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提交资料要求</w:t>
            </w:r>
          </w:p>
        </w:tc>
      </w:tr>
      <w:tr w14:paraId="33A6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AC9B91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w:t>
            </w:r>
          </w:p>
        </w:tc>
        <w:tc>
          <w:tcPr>
            <w:tcW w:w="2665" w:type="dxa"/>
            <w:vAlign w:val="center"/>
          </w:tcPr>
          <w:p w14:paraId="47CE2BA0">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营业执照</w:t>
            </w:r>
          </w:p>
        </w:tc>
        <w:tc>
          <w:tcPr>
            <w:tcW w:w="1937" w:type="dxa"/>
            <w:vAlign w:val="center"/>
          </w:tcPr>
          <w:p w14:paraId="4B6C8087">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C8B87FF">
            <w:pPr>
              <w:adjustRightInd w:val="0"/>
              <w:snapToGrid w:val="0"/>
              <w:spacing w:line="360" w:lineRule="auto"/>
              <w:ind w:right="-10"/>
              <w:rPr>
                <w:rFonts w:ascii="宋体" w:hAnsi="宋体" w:cs="宋体"/>
                <w:color w:val="auto"/>
                <w:sz w:val="24"/>
                <w:highlight w:val="none"/>
              </w:rPr>
            </w:pPr>
          </w:p>
        </w:tc>
        <w:tc>
          <w:tcPr>
            <w:tcW w:w="2371" w:type="dxa"/>
            <w:vAlign w:val="center"/>
          </w:tcPr>
          <w:p w14:paraId="2FED0A0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999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837D12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2</w:t>
            </w:r>
          </w:p>
        </w:tc>
        <w:tc>
          <w:tcPr>
            <w:tcW w:w="2665" w:type="dxa"/>
            <w:vAlign w:val="center"/>
          </w:tcPr>
          <w:p w14:paraId="605F15BD">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法定代表人及身份证</w:t>
            </w:r>
          </w:p>
        </w:tc>
        <w:tc>
          <w:tcPr>
            <w:tcW w:w="1937" w:type="dxa"/>
            <w:vAlign w:val="center"/>
          </w:tcPr>
          <w:p w14:paraId="3AD1CE53">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DE517C0">
            <w:pPr>
              <w:adjustRightInd w:val="0"/>
              <w:snapToGrid w:val="0"/>
              <w:spacing w:line="360" w:lineRule="auto"/>
              <w:ind w:right="-10"/>
              <w:rPr>
                <w:rFonts w:ascii="宋体" w:hAnsi="宋体" w:cs="宋体"/>
                <w:color w:val="auto"/>
                <w:sz w:val="24"/>
                <w:highlight w:val="none"/>
              </w:rPr>
            </w:pPr>
          </w:p>
        </w:tc>
        <w:tc>
          <w:tcPr>
            <w:tcW w:w="2371" w:type="dxa"/>
            <w:vAlign w:val="center"/>
          </w:tcPr>
          <w:p w14:paraId="78CCF32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3FEB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834D55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3</w:t>
            </w:r>
          </w:p>
        </w:tc>
        <w:tc>
          <w:tcPr>
            <w:tcW w:w="2665" w:type="dxa"/>
            <w:vAlign w:val="center"/>
          </w:tcPr>
          <w:p w14:paraId="2DE8F459">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纳税凭证和社保证明</w:t>
            </w:r>
          </w:p>
        </w:tc>
        <w:tc>
          <w:tcPr>
            <w:tcW w:w="1937" w:type="dxa"/>
            <w:vAlign w:val="center"/>
          </w:tcPr>
          <w:p w14:paraId="5CF2C555">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68894743">
            <w:pPr>
              <w:adjustRightInd w:val="0"/>
              <w:snapToGrid w:val="0"/>
              <w:spacing w:line="360" w:lineRule="auto"/>
              <w:ind w:right="-10"/>
              <w:rPr>
                <w:rFonts w:ascii="宋体" w:hAnsi="宋体" w:cs="宋体"/>
                <w:color w:val="auto"/>
                <w:sz w:val="24"/>
                <w:highlight w:val="none"/>
              </w:rPr>
            </w:pPr>
          </w:p>
        </w:tc>
        <w:tc>
          <w:tcPr>
            <w:tcW w:w="2371" w:type="dxa"/>
            <w:vAlign w:val="center"/>
          </w:tcPr>
          <w:p w14:paraId="757FB91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1E5A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510AA7B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4</w:t>
            </w:r>
          </w:p>
        </w:tc>
        <w:tc>
          <w:tcPr>
            <w:tcW w:w="2665" w:type="dxa"/>
            <w:vAlign w:val="center"/>
          </w:tcPr>
          <w:p w14:paraId="20D0B202">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财务审计报告</w:t>
            </w:r>
          </w:p>
        </w:tc>
        <w:tc>
          <w:tcPr>
            <w:tcW w:w="1937" w:type="dxa"/>
            <w:vAlign w:val="center"/>
          </w:tcPr>
          <w:p w14:paraId="0149B5B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3CE0AA6">
            <w:pPr>
              <w:adjustRightInd w:val="0"/>
              <w:snapToGrid w:val="0"/>
              <w:spacing w:line="360" w:lineRule="auto"/>
              <w:ind w:right="-10"/>
              <w:rPr>
                <w:rFonts w:ascii="宋体" w:hAnsi="宋体" w:cs="宋体"/>
                <w:color w:val="auto"/>
                <w:sz w:val="24"/>
                <w:highlight w:val="none"/>
              </w:rPr>
            </w:pPr>
          </w:p>
        </w:tc>
        <w:tc>
          <w:tcPr>
            <w:tcW w:w="2371" w:type="dxa"/>
            <w:vAlign w:val="center"/>
          </w:tcPr>
          <w:p w14:paraId="127B46D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50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0FEDCC2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5</w:t>
            </w:r>
          </w:p>
        </w:tc>
        <w:tc>
          <w:tcPr>
            <w:tcW w:w="2665" w:type="dxa"/>
            <w:vAlign w:val="center"/>
          </w:tcPr>
          <w:p w14:paraId="30BD3C59">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“信用中国”“中国政府采购网”查询</w:t>
            </w:r>
          </w:p>
        </w:tc>
        <w:tc>
          <w:tcPr>
            <w:tcW w:w="1937" w:type="dxa"/>
            <w:vAlign w:val="center"/>
          </w:tcPr>
          <w:p w14:paraId="66C0EFCE">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2BCAB00">
            <w:pPr>
              <w:adjustRightInd w:val="0"/>
              <w:snapToGrid w:val="0"/>
              <w:spacing w:line="360" w:lineRule="auto"/>
              <w:ind w:right="-10"/>
              <w:rPr>
                <w:rFonts w:ascii="宋体" w:hAnsi="宋体" w:cs="宋体"/>
                <w:color w:val="auto"/>
                <w:sz w:val="24"/>
                <w:highlight w:val="none"/>
              </w:rPr>
            </w:pPr>
          </w:p>
        </w:tc>
        <w:tc>
          <w:tcPr>
            <w:tcW w:w="2371" w:type="dxa"/>
            <w:vAlign w:val="center"/>
          </w:tcPr>
          <w:p w14:paraId="6AF8C77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EB3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1F2D12D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6</w:t>
            </w:r>
          </w:p>
        </w:tc>
        <w:tc>
          <w:tcPr>
            <w:tcW w:w="2665" w:type="dxa"/>
            <w:vAlign w:val="center"/>
          </w:tcPr>
          <w:p w14:paraId="1F377A0D">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投标文件签字盖章格式</w:t>
            </w:r>
          </w:p>
        </w:tc>
        <w:tc>
          <w:tcPr>
            <w:tcW w:w="1937" w:type="dxa"/>
            <w:vAlign w:val="center"/>
          </w:tcPr>
          <w:p w14:paraId="2E51F8F3">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9C84CE9">
            <w:pPr>
              <w:adjustRightInd w:val="0"/>
              <w:snapToGrid w:val="0"/>
              <w:spacing w:line="360" w:lineRule="auto"/>
              <w:ind w:right="-10"/>
              <w:rPr>
                <w:rFonts w:ascii="宋体" w:hAnsi="宋体" w:cs="宋体"/>
                <w:color w:val="auto"/>
                <w:sz w:val="24"/>
                <w:highlight w:val="none"/>
              </w:rPr>
            </w:pPr>
          </w:p>
        </w:tc>
        <w:tc>
          <w:tcPr>
            <w:tcW w:w="2371" w:type="dxa"/>
            <w:vAlign w:val="center"/>
          </w:tcPr>
          <w:p w14:paraId="343B36D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7D0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1644DF0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7</w:t>
            </w:r>
          </w:p>
        </w:tc>
        <w:tc>
          <w:tcPr>
            <w:tcW w:w="2665" w:type="dxa"/>
            <w:vAlign w:val="center"/>
          </w:tcPr>
          <w:p w14:paraId="6B2CCD48">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合格供应商的声明函和承诺书</w:t>
            </w:r>
          </w:p>
        </w:tc>
        <w:tc>
          <w:tcPr>
            <w:tcW w:w="1937" w:type="dxa"/>
            <w:vAlign w:val="center"/>
          </w:tcPr>
          <w:p w14:paraId="30CC36C6">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55E07E6">
            <w:pPr>
              <w:adjustRightInd w:val="0"/>
              <w:snapToGrid w:val="0"/>
              <w:spacing w:line="360" w:lineRule="auto"/>
              <w:ind w:right="-10"/>
              <w:rPr>
                <w:rFonts w:ascii="宋体" w:hAnsi="宋体" w:cs="宋体"/>
                <w:color w:val="auto"/>
                <w:sz w:val="24"/>
                <w:highlight w:val="none"/>
              </w:rPr>
            </w:pPr>
          </w:p>
        </w:tc>
        <w:tc>
          <w:tcPr>
            <w:tcW w:w="2371" w:type="dxa"/>
            <w:vAlign w:val="center"/>
          </w:tcPr>
          <w:p w14:paraId="2361BE59">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3FEC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09704B0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8</w:t>
            </w:r>
          </w:p>
        </w:tc>
        <w:tc>
          <w:tcPr>
            <w:tcW w:w="2665" w:type="dxa"/>
            <w:vAlign w:val="center"/>
          </w:tcPr>
          <w:p w14:paraId="33FAD044">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服务期</w:t>
            </w:r>
          </w:p>
        </w:tc>
        <w:tc>
          <w:tcPr>
            <w:tcW w:w="1937" w:type="dxa"/>
            <w:vAlign w:val="center"/>
          </w:tcPr>
          <w:p w14:paraId="38148530">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6465D08">
            <w:pPr>
              <w:adjustRightInd w:val="0"/>
              <w:snapToGrid w:val="0"/>
              <w:spacing w:line="360" w:lineRule="auto"/>
              <w:ind w:right="-10"/>
              <w:rPr>
                <w:rFonts w:ascii="宋体" w:hAnsi="宋体" w:cs="宋体"/>
                <w:color w:val="auto"/>
                <w:sz w:val="24"/>
                <w:highlight w:val="none"/>
              </w:rPr>
            </w:pPr>
          </w:p>
        </w:tc>
        <w:tc>
          <w:tcPr>
            <w:tcW w:w="2371" w:type="dxa"/>
            <w:vAlign w:val="center"/>
          </w:tcPr>
          <w:p w14:paraId="546BA02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2C2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7124A30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9</w:t>
            </w:r>
          </w:p>
        </w:tc>
        <w:tc>
          <w:tcPr>
            <w:tcW w:w="2665" w:type="dxa"/>
            <w:vAlign w:val="center"/>
          </w:tcPr>
          <w:p w14:paraId="258E9F5B">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投标有效期</w:t>
            </w:r>
          </w:p>
        </w:tc>
        <w:tc>
          <w:tcPr>
            <w:tcW w:w="1937" w:type="dxa"/>
            <w:vAlign w:val="center"/>
          </w:tcPr>
          <w:p w14:paraId="6B8423D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7611C98">
            <w:pPr>
              <w:adjustRightInd w:val="0"/>
              <w:snapToGrid w:val="0"/>
              <w:spacing w:line="360" w:lineRule="auto"/>
              <w:ind w:right="-10"/>
              <w:rPr>
                <w:rFonts w:ascii="宋体" w:hAnsi="宋体" w:cs="宋体"/>
                <w:color w:val="auto"/>
                <w:sz w:val="24"/>
                <w:highlight w:val="none"/>
              </w:rPr>
            </w:pPr>
          </w:p>
        </w:tc>
        <w:tc>
          <w:tcPr>
            <w:tcW w:w="2371" w:type="dxa"/>
            <w:vAlign w:val="center"/>
          </w:tcPr>
          <w:p w14:paraId="7392D359">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94C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6DC75F9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10</w:t>
            </w:r>
          </w:p>
        </w:tc>
        <w:tc>
          <w:tcPr>
            <w:tcW w:w="2665" w:type="dxa"/>
            <w:vAlign w:val="center"/>
          </w:tcPr>
          <w:p w14:paraId="14AC05AB">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服务技术要求</w:t>
            </w:r>
          </w:p>
        </w:tc>
        <w:tc>
          <w:tcPr>
            <w:tcW w:w="1937" w:type="dxa"/>
            <w:vAlign w:val="center"/>
          </w:tcPr>
          <w:p w14:paraId="26623FD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239242E">
            <w:pPr>
              <w:adjustRightInd w:val="0"/>
              <w:snapToGrid w:val="0"/>
              <w:spacing w:line="360" w:lineRule="auto"/>
              <w:ind w:right="-10"/>
              <w:rPr>
                <w:rFonts w:ascii="宋体" w:hAnsi="宋体" w:cs="宋体"/>
                <w:color w:val="auto"/>
                <w:sz w:val="24"/>
                <w:highlight w:val="none"/>
              </w:rPr>
            </w:pPr>
          </w:p>
        </w:tc>
        <w:tc>
          <w:tcPr>
            <w:tcW w:w="2371" w:type="dxa"/>
            <w:vAlign w:val="center"/>
          </w:tcPr>
          <w:p w14:paraId="052DCE3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49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177FF8E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11</w:t>
            </w:r>
          </w:p>
        </w:tc>
        <w:tc>
          <w:tcPr>
            <w:tcW w:w="2665" w:type="dxa"/>
            <w:vAlign w:val="center"/>
          </w:tcPr>
          <w:p w14:paraId="237D5498">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其他实质性要求</w:t>
            </w:r>
          </w:p>
        </w:tc>
        <w:tc>
          <w:tcPr>
            <w:tcW w:w="1937" w:type="dxa"/>
            <w:vAlign w:val="center"/>
          </w:tcPr>
          <w:p w14:paraId="1A232369">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511244F7">
            <w:pPr>
              <w:adjustRightInd w:val="0"/>
              <w:snapToGrid w:val="0"/>
              <w:spacing w:line="360" w:lineRule="auto"/>
              <w:ind w:right="-10"/>
              <w:rPr>
                <w:rFonts w:ascii="宋体" w:hAnsi="宋体" w:cs="宋体"/>
                <w:color w:val="auto"/>
                <w:sz w:val="24"/>
                <w:highlight w:val="none"/>
              </w:rPr>
            </w:pPr>
          </w:p>
        </w:tc>
        <w:tc>
          <w:tcPr>
            <w:tcW w:w="2371" w:type="dxa"/>
            <w:vAlign w:val="center"/>
          </w:tcPr>
          <w:p w14:paraId="44EC9F0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449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1A7C16D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12</w:t>
            </w:r>
          </w:p>
        </w:tc>
        <w:tc>
          <w:tcPr>
            <w:tcW w:w="2665" w:type="dxa"/>
            <w:vAlign w:val="center"/>
          </w:tcPr>
          <w:p w14:paraId="258487F4">
            <w:pPr>
              <w:spacing w:after="50" w:line="360" w:lineRule="auto"/>
              <w:ind w:right="-10"/>
              <w:jc w:val="center"/>
              <w:rPr>
                <w:rFonts w:ascii="宋体" w:hAnsi="宋体" w:cs="宋体"/>
                <w:bCs/>
                <w:color w:val="auto"/>
                <w:sz w:val="24"/>
                <w:highlight w:val="none"/>
              </w:rPr>
            </w:pPr>
          </w:p>
        </w:tc>
        <w:tc>
          <w:tcPr>
            <w:tcW w:w="1937" w:type="dxa"/>
            <w:vAlign w:val="center"/>
          </w:tcPr>
          <w:p w14:paraId="6860534F">
            <w:pPr>
              <w:spacing w:after="50" w:line="360" w:lineRule="auto"/>
              <w:ind w:right="-10"/>
              <w:jc w:val="center"/>
              <w:rPr>
                <w:rFonts w:ascii="宋体" w:hAnsi="宋体" w:cs="宋体"/>
                <w:color w:val="auto"/>
                <w:sz w:val="24"/>
                <w:highlight w:val="none"/>
              </w:rPr>
            </w:pPr>
          </w:p>
        </w:tc>
        <w:tc>
          <w:tcPr>
            <w:tcW w:w="825" w:type="dxa"/>
            <w:vAlign w:val="center"/>
          </w:tcPr>
          <w:p w14:paraId="5268FC54">
            <w:pPr>
              <w:adjustRightInd w:val="0"/>
              <w:snapToGrid w:val="0"/>
              <w:spacing w:line="360" w:lineRule="auto"/>
              <w:ind w:right="-10"/>
              <w:rPr>
                <w:rFonts w:ascii="宋体" w:hAnsi="宋体" w:cs="宋体"/>
                <w:color w:val="auto"/>
                <w:sz w:val="24"/>
                <w:highlight w:val="none"/>
              </w:rPr>
            </w:pPr>
          </w:p>
        </w:tc>
        <w:tc>
          <w:tcPr>
            <w:tcW w:w="2371" w:type="dxa"/>
            <w:vAlign w:val="center"/>
          </w:tcPr>
          <w:p w14:paraId="20A4FB4F">
            <w:pPr>
              <w:adjustRightInd w:val="0"/>
              <w:snapToGrid w:val="0"/>
              <w:spacing w:line="360" w:lineRule="auto"/>
              <w:ind w:right="-10"/>
              <w:jc w:val="center"/>
              <w:rPr>
                <w:rFonts w:ascii="宋体" w:hAnsi="宋体" w:cs="宋体"/>
                <w:color w:val="auto"/>
                <w:sz w:val="24"/>
                <w:highlight w:val="none"/>
              </w:rPr>
            </w:pPr>
          </w:p>
        </w:tc>
      </w:tr>
      <w:tr w14:paraId="7A2B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4CB914D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13</w:t>
            </w:r>
          </w:p>
        </w:tc>
        <w:tc>
          <w:tcPr>
            <w:tcW w:w="2665" w:type="dxa"/>
            <w:vAlign w:val="center"/>
          </w:tcPr>
          <w:p w14:paraId="7361DE9C">
            <w:pPr>
              <w:spacing w:after="50" w:line="360" w:lineRule="auto"/>
              <w:ind w:right="-10"/>
              <w:jc w:val="center"/>
              <w:rPr>
                <w:rFonts w:ascii="宋体" w:hAnsi="宋体" w:cs="宋体"/>
                <w:color w:val="auto"/>
                <w:sz w:val="24"/>
                <w:highlight w:val="none"/>
              </w:rPr>
            </w:pPr>
          </w:p>
        </w:tc>
        <w:tc>
          <w:tcPr>
            <w:tcW w:w="1937" w:type="dxa"/>
            <w:vAlign w:val="center"/>
          </w:tcPr>
          <w:p w14:paraId="0CA60AB3">
            <w:pPr>
              <w:spacing w:after="50" w:line="360" w:lineRule="auto"/>
              <w:ind w:right="-10"/>
              <w:jc w:val="center"/>
              <w:rPr>
                <w:rFonts w:ascii="宋体" w:hAnsi="宋体" w:cs="宋体"/>
                <w:color w:val="auto"/>
                <w:sz w:val="24"/>
                <w:highlight w:val="none"/>
              </w:rPr>
            </w:pPr>
          </w:p>
        </w:tc>
        <w:tc>
          <w:tcPr>
            <w:tcW w:w="825" w:type="dxa"/>
            <w:vAlign w:val="center"/>
          </w:tcPr>
          <w:p w14:paraId="58F52A9A">
            <w:pPr>
              <w:adjustRightInd w:val="0"/>
              <w:snapToGrid w:val="0"/>
              <w:spacing w:line="360" w:lineRule="auto"/>
              <w:ind w:right="-10"/>
              <w:rPr>
                <w:rFonts w:ascii="宋体" w:hAnsi="宋体" w:cs="宋体"/>
                <w:color w:val="auto"/>
                <w:sz w:val="24"/>
                <w:highlight w:val="none"/>
              </w:rPr>
            </w:pPr>
          </w:p>
        </w:tc>
        <w:tc>
          <w:tcPr>
            <w:tcW w:w="2371" w:type="dxa"/>
            <w:vAlign w:val="center"/>
          </w:tcPr>
          <w:p w14:paraId="50702AEA">
            <w:pPr>
              <w:adjustRightInd w:val="0"/>
              <w:snapToGrid w:val="0"/>
              <w:spacing w:line="360" w:lineRule="auto"/>
              <w:ind w:right="-10"/>
              <w:jc w:val="center"/>
              <w:rPr>
                <w:rFonts w:ascii="宋体" w:hAnsi="宋体" w:cs="宋体"/>
                <w:color w:val="auto"/>
                <w:sz w:val="24"/>
                <w:highlight w:val="none"/>
              </w:rPr>
            </w:pPr>
          </w:p>
        </w:tc>
      </w:tr>
      <w:tr w14:paraId="59F6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654793C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14</w:t>
            </w:r>
          </w:p>
        </w:tc>
        <w:tc>
          <w:tcPr>
            <w:tcW w:w="2665" w:type="dxa"/>
            <w:vAlign w:val="center"/>
          </w:tcPr>
          <w:p w14:paraId="05FDD55A">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结论</w:t>
            </w:r>
          </w:p>
        </w:tc>
        <w:tc>
          <w:tcPr>
            <w:tcW w:w="5133" w:type="dxa"/>
            <w:gridSpan w:val="3"/>
            <w:vAlign w:val="center"/>
          </w:tcPr>
          <w:p w14:paraId="75EE81C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是否通过审查</w:t>
            </w:r>
          </w:p>
        </w:tc>
      </w:tr>
    </w:tbl>
    <w:p w14:paraId="6CC338E8">
      <w:pPr>
        <w:pStyle w:val="37"/>
        <w:rPr>
          <w:rFonts w:ascii="宋体" w:hAnsi="宋体" w:cs="宋体"/>
          <w:color w:val="auto"/>
          <w:sz w:val="24"/>
          <w:szCs w:val="24"/>
          <w:highlight w:val="none"/>
        </w:rPr>
      </w:pPr>
    </w:p>
    <w:p w14:paraId="30ABFBD5">
      <w:pPr>
        <w:spacing w:line="560" w:lineRule="exact"/>
        <w:ind w:firstLine="482" w:firstLineChars="200"/>
        <w:rPr>
          <w:rFonts w:hint="eastAsia" w:ascii="宋体" w:hAnsi="宋体" w:cs="宋体"/>
          <w:b/>
          <w:color w:val="auto"/>
          <w:sz w:val="24"/>
          <w:highlight w:val="none"/>
        </w:rPr>
      </w:pPr>
    </w:p>
    <w:p w14:paraId="5F7B7ADD">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20.响应性文件的澄清</w:t>
      </w:r>
    </w:p>
    <w:p w14:paraId="1F25672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8F1ED3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742773A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20.3供应商拒不进行澄清、说明、补正的，或者不能在竞争性磋商小组规定时间内作出书面澄清、说明、补正的，其响应性文件将被作为无效处理。</w:t>
      </w:r>
    </w:p>
    <w:p w14:paraId="288DECB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20.4供应商的书面澄清材料作为响应性文件的补充。 </w:t>
      </w:r>
    </w:p>
    <w:p w14:paraId="67BE46B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20.5竞争性磋商小组不得接受供应商主动提出的澄清和解释。 </w:t>
      </w:r>
    </w:p>
    <w:p w14:paraId="09AB19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20.6并非每个供应商都将被询问、澄清。</w:t>
      </w:r>
    </w:p>
    <w:p w14:paraId="03F62B0A">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21.竞争性磋商</w:t>
      </w:r>
    </w:p>
    <w:p w14:paraId="15DDDB7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21.1资格性审查和符合性审查合格的供应商，将进入本次竞争性磋商程序。</w:t>
      </w:r>
    </w:p>
    <w:p w14:paraId="7B399DA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21.2竞争性磋商将按照供应商的签到顺序进行。</w:t>
      </w:r>
    </w:p>
    <w:p w14:paraId="6C62E53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21.3磋商内容包括：</w:t>
      </w:r>
    </w:p>
    <w:p w14:paraId="28FF5FA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21.3.1按照竞争性磋商文件中商务部分的内容，对照供应商提交的响应文件逐一进行比较各项指标和要求。</w:t>
      </w:r>
    </w:p>
    <w:p w14:paraId="680504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21.3.2按照竞争性磋商文件中技术部分的内容，对照供应商提交的响应文件逐一进行比较各项指标和要求。</w:t>
      </w:r>
    </w:p>
    <w:p w14:paraId="238A67E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21.3.3按照竞争性磋商文件中合同条款部分的内容，对照供应商提交的响应文件逐一进行比较各项指标和要求。</w:t>
      </w:r>
    </w:p>
    <w:p w14:paraId="0FC02A9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21.3.4在磋商中，磋商的任何一方不得透露与磋商有关的其他供应商的技术资料及其他信息。</w:t>
      </w:r>
    </w:p>
    <w:p w14:paraId="5A2E7C08">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w:t>
      </w:r>
      <w:r>
        <w:rPr>
          <w:rFonts w:hint="eastAsia" w:ascii="宋体" w:hAnsi="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45919F2">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21.4.1</w:t>
      </w:r>
      <w:r>
        <w:rPr>
          <w:rFonts w:hint="eastAsia" w:ascii="宋体" w:hAnsi="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14:paraId="294526FE">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21.4.2供应商应当按照竞争性磋商文件的变动情况和竞争性磋商小组的要求重新提交响应性文件，并由其法定代表人或授权代表签字或者加盖公章。</w:t>
      </w:r>
    </w:p>
    <w:p w14:paraId="5CF59C16">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21.5报价</w:t>
      </w:r>
    </w:p>
    <w:p w14:paraId="1B5CF4D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21.5.1一次报价，依据是供应商的投标函和开标记录表。</w:t>
      </w:r>
    </w:p>
    <w:p w14:paraId="5829D94F">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六、评定标准</w:t>
      </w:r>
    </w:p>
    <w:p w14:paraId="5882998B">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22.竞争性磋商过程及保密原则</w:t>
      </w:r>
    </w:p>
    <w:p w14:paraId="25494E47">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084CB909">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采购代理机构在评标结束后1个工作日内将评标报告送采购人。采购人自收到评标报告之日起５个工作日内，在评标报告确定的中标候选人名单中确定中标人。</w:t>
      </w:r>
    </w:p>
    <w:p w14:paraId="02634D70">
      <w:pPr>
        <w:pStyle w:val="17"/>
        <w:spacing w:after="0" w:line="560" w:lineRule="exact"/>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rPr>
        <w:t>22.2对通过初步审查的响应文件，采用百分制综合评分法进行评价。</w:t>
      </w:r>
    </w:p>
    <w:p w14:paraId="78B6B5C8">
      <w:pPr>
        <w:spacing w:line="360" w:lineRule="auto"/>
        <w:ind w:right="-92" w:rightChars="-44"/>
        <w:rPr>
          <w:rFonts w:ascii="宋体" w:hAnsi="宋体" w:eastAsia="宋体" w:cs="宋体"/>
          <w:color w:val="auto"/>
          <w:sz w:val="24"/>
          <w:highlight w:val="none"/>
        </w:rPr>
      </w:pPr>
      <w:r>
        <w:rPr>
          <w:rFonts w:hint="eastAsia" w:ascii="宋体" w:hAnsi="宋体" w:cs="宋体"/>
          <w:color w:val="auto"/>
          <w:sz w:val="24"/>
          <w:highlight w:val="none"/>
        </w:rPr>
        <w:t>评标方法：</w:t>
      </w:r>
    </w:p>
    <w:tbl>
      <w:tblPr>
        <w:tblStyle w:val="27"/>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944"/>
        <w:gridCol w:w="4325"/>
        <w:gridCol w:w="2566"/>
      </w:tblGrid>
      <w:tr w14:paraId="788A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187" w:type="dxa"/>
            <w:tcBorders>
              <w:tl2br w:val="nil"/>
              <w:tr2bl w:val="nil"/>
            </w:tcBorders>
            <w:vAlign w:val="center"/>
          </w:tcPr>
          <w:p w14:paraId="6A3560A3">
            <w:pPr>
              <w:widowControl/>
              <w:jc w:val="center"/>
              <w:rPr>
                <w:rFonts w:ascii="宋体" w:hAnsi="宋体" w:cs="宋体"/>
                <w:b/>
                <w:bCs/>
                <w:color w:val="auto"/>
                <w:sz w:val="24"/>
                <w:highlight w:val="none"/>
              </w:rPr>
            </w:pPr>
            <w:r>
              <w:rPr>
                <w:rFonts w:hint="eastAsia" w:ascii="宋体" w:hAnsi="宋体" w:cs="宋体"/>
                <w:b/>
                <w:bCs/>
                <w:color w:val="auto"/>
                <w:sz w:val="24"/>
                <w:highlight w:val="none"/>
              </w:rPr>
              <w:t>评分指标</w:t>
            </w:r>
          </w:p>
        </w:tc>
        <w:tc>
          <w:tcPr>
            <w:tcW w:w="1944" w:type="dxa"/>
            <w:tcBorders>
              <w:tl2br w:val="nil"/>
              <w:tr2bl w:val="nil"/>
            </w:tcBorders>
            <w:vAlign w:val="center"/>
          </w:tcPr>
          <w:p w14:paraId="7E07210E">
            <w:pPr>
              <w:widowControl/>
              <w:jc w:val="center"/>
              <w:rPr>
                <w:rFonts w:ascii="宋体" w:hAnsi="宋体" w:cs="宋体"/>
                <w:b/>
                <w:bCs/>
                <w:color w:val="auto"/>
                <w:sz w:val="24"/>
                <w:highlight w:val="none"/>
              </w:rPr>
            </w:pPr>
            <w:r>
              <w:rPr>
                <w:rFonts w:hint="eastAsia" w:ascii="宋体" w:hAnsi="宋体" w:cs="宋体"/>
                <w:b/>
                <w:bCs/>
                <w:color w:val="auto"/>
                <w:sz w:val="24"/>
                <w:highlight w:val="none"/>
              </w:rPr>
              <w:t>分值</w:t>
            </w:r>
          </w:p>
        </w:tc>
        <w:tc>
          <w:tcPr>
            <w:tcW w:w="4325" w:type="dxa"/>
            <w:tcBorders>
              <w:tl2br w:val="nil"/>
              <w:tr2bl w:val="nil"/>
            </w:tcBorders>
            <w:vAlign w:val="center"/>
          </w:tcPr>
          <w:p w14:paraId="261DDF38">
            <w:pPr>
              <w:widowControl/>
              <w:jc w:val="center"/>
              <w:rPr>
                <w:rFonts w:ascii="宋体" w:hAnsi="宋体" w:cs="宋体"/>
                <w:b/>
                <w:bCs/>
                <w:color w:val="auto"/>
                <w:sz w:val="24"/>
                <w:highlight w:val="none"/>
              </w:rPr>
            </w:pPr>
            <w:r>
              <w:rPr>
                <w:rFonts w:hint="eastAsia" w:ascii="宋体" w:hAnsi="宋体" w:cs="宋体"/>
                <w:b/>
                <w:bCs/>
                <w:color w:val="auto"/>
                <w:sz w:val="24"/>
                <w:highlight w:val="none"/>
              </w:rPr>
              <w:t>指标说明及评分标准</w:t>
            </w:r>
          </w:p>
        </w:tc>
        <w:tc>
          <w:tcPr>
            <w:tcW w:w="2566" w:type="dxa"/>
            <w:tcBorders>
              <w:tl2br w:val="nil"/>
              <w:tr2bl w:val="nil"/>
            </w:tcBorders>
            <w:vAlign w:val="center"/>
          </w:tcPr>
          <w:p w14:paraId="17129F65">
            <w:pPr>
              <w:widowControl/>
              <w:jc w:val="center"/>
              <w:rPr>
                <w:rFonts w:ascii="宋体" w:hAnsi="宋体" w:cs="宋体"/>
                <w:b/>
                <w:bCs/>
                <w:color w:val="auto"/>
                <w:sz w:val="24"/>
                <w:highlight w:val="none"/>
              </w:rPr>
            </w:pPr>
            <w:r>
              <w:rPr>
                <w:rFonts w:hint="eastAsia" w:ascii="宋体" w:hAnsi="宋体" w:cs="宋体"/>
                <w:b/>
                <w:bCs/>
                <w:color w:val="auto"/>
                <w:sz w:val="24"/>
                <w:highlight w:val="none"/>
              </w:rPr>
              <w:t>评分依据</w:t>
            </w:r>
          </w:p>
        </w:tc>
      </w:tr>
      <w:tr w14:paraId="0B64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9" w:hRule="atLeast"/>
          <w:jc w:val="center"/>
        </w:trPr>
        <w:tc>
          <w:tcPr>
            <w:tcW w:w="1187" w:type="dxa"/>
            <w:tcBorders>
              <w:tl2br w:val="nil"/>
              <w:tr2bl w:val="nil"/>
            </w:tcBorders>
            <w:vAlign w:val="center"/>
          </w:tcPr>
          <w:p w14:paraId="1CE97AA3">
            <w:pPr>
              <w:widowControl/>
              <w:jc w:val="left"/>
              <w:rPr>
                <w:rFonts w:ascii="宋体" w:hAnsi="宋体" w:cs="宋体"/>
                <w:b/>
                <w:bCs/>
                <w:color w:val="auto"/>
                <w:sz w:val="24"/>
                <w:highlight w:val="none"/>
              </w:rPr>
            </w:pPr>
            <w:r>
              <w:rPr>
                <w:rFonts w:hint="eastAsia" w:ascii="宋体" w:hAnsi="宋体" w:cs="宋体"/>
                <w:b/>
                <w:bCs/>
                <w:color w:val="auto"/>
                <w:sz w:val="24"/>
                <w:highlight w:val="none"/>
              </w:rPr>
              <w:t>报价得分（10分）</w:t>
            </w:r>
          </w:p>
        </w:tc>
        <w:tc>
          <w:tcPr>
            <w:tcW w:w="1944" w:type="dxa"/>
            <w:tcBorders>
              <w:tl2br w:val="nil"/>
              <w:tr2bl w:val="nil"/>
            </w:tcBorders>
            <w:vAlign w:val="center"/>
          </w:tcPr>
          <w:p w14:paraId="0B7FB04A">
            <w:pPr>
              <w:widowControl/>
              <w:jc w:val="center"/>
              <w:rPr>
                <w:rFonts w:ascii="宋体" w:hAnsi="宋体" w:cs="宋体"/>
                <w:color w:val="auto"/>
                <w:sz w:val="24"/>
                <w:highlight w:val="none"/>
              </w:rPr>
            </w:pPr>
            <w:r>
              <w:rPr>
                <w:rFonts w:hint="eastAsia" w:ascii="宋体" w:hAnsi="宋体" w:cs="宋体"/>
                <w:b/>
                <w:bCs/>
                <w:color w:val="auto"/>
                <w:sz w:val="24"/>
                <w:highlight w:val="none"/>
              </w:rPr>
              <w:t>（10分）</w:t>
            </w:r>
          </w:p>
        </w:tc>
        <w:tc>
          <w:tcPr>
            <w:tcW w:w="6891" w:type="dxa"/>
            <w:gridSpan w:val="2"/>
            <w:tcBorders>
              <w:tl2br w:val="nil"/>
              <w:tr2bl w:val="nil"/>
            </w:tcBorders>
            <w:vAlign w:val="center"/>
          </w:tcPr>
          <w:p w14:paraId="4BA11E63">
            <w:pPr>
              <w:keepNext w:val="0"/>
              <w:keepLines w:val="0"/>
              <w:pageBreakBefore w:val="0"/>
              <w:kinsoku/>
              <w:wordWrap/>
              <w:overflowPunct/>
              <w:topLinePunct w:val="0"/>
              <w:autoSpaceDE/>
              <w:autoSpaceDN/>
              <w:bidi w:val="0"/>
              <w:adjustRightInd w:val="0"/>
              <w:snapToGrid w:val="0"/>
              <w:spacing w:line="288" w:lineRule="auto"/>
              <w:ind w:right="0" w:firstLine="480" w:firstLineChars="200"/>
              <w:textAlignment w:val="auto"/>
              <w:rPr>
                <w:rFonts w:ascii="宋体" w:hAnsi="宋体" w:cs="宋体"/>
                <w:bCs/>
                <w:color w:val="auto"/>
                <w:sz w:val="24"/>
                <w:szCs w:val="20"/>
                <w:highlight w:val="none"/>
              </w:rPr>
            </w:pPr>
            <w:r>
              <w:rPr>
                <w:rFonts w:hint="eastAsia" w:ascii="宋体" w:hAnsi="宋体" w:cs="宋体"/>
                <w:bCs/>
                <w:color w:val="auto"/>
                <w:sz w:val="24"/>
                <w:szCs w:val="20"/>
                <w:highlight w:val="none"/>
              </w:rPr>
              <w:t>满足磋商文件要求且最后报价最低的供应商的价格为磋商基准价，其价格分为满分。其他供应商的价格分统一按照下列公式计算：</w:t>
            </w:r>
          </w:p>
          <w:p w14:paraId="37DDA895">
            <w:pPr>
              <w:keepNext w:val="0"/>
              <w:keepLines w:val="0"/>
              <w:pageBreakBefore w:val="0"/>
              <w:kinsoku/>
              <w:wordWrap/>
              <w:overflowPunct/>
              <w:topLinePunct w:val="0"/>
              <w:autoSpaceDE/>
              <w:autoSpaceDN/>
              <w:bidi w:val="0"/>
              <w:adjustRightInd w:val="0"/>
              <w:snapToGrid w:val="0"/>
              <w:spacing w:line="288" w:lineRule="auto"/>
              <w:ind w:right="0" w:firstLine="480" w:firstLineChars="200"/>
              <w:textAlignment w:val="auto"/>
              <w:rPr>
                <w:rFonts w:ascii="宋体" w:hAnsi="宋体" w:cs="宋体"/>
                <w:bCs/>
                <w:color w:val="auto"/>
                <w:sz w:val="24"/>
                <w:szCs w:val="20"/>
                <w:highlight w:val="none"/>
              </w:rPr>
            </w:pPr>
            <w:r>
              <w:rPr>
                <w:rFonts w:hint="eastAsia" w:ascii="宋体" w:hAnsi="宋体" w:cs="宋体"/>
                <w:bCs/>
                <w:color w:val="auto"/>
                <w:sz w:val="24"/>
                <w:szCs w:val="20"/>
                <w:highlight w:val="none"/>
              </w:rPr>
              <w:t>磋商报价得分=（磋商基准价/最后磋商报价）×价格权值×100</w:t>
            </w:r>
          </w:p>
          <w:p w14:paraId="0BFBEDD8">
            <w:pPr>
              <w:keepNext w:val="0"/>
              <w:keepLines w:val="0"/>
              <w:pageBreakBefore w:val="0"/>
              <w:tabs>
                <w:tab w:val="left" w:pos="5130"/>
              </w:tabs>
              <w:kinsoku/>
              <w:wordWrap/>
              <w:overflowPunct/>
              <w:topLinePunct w:val="0"/>
              <w:autoSpaceDE/>
              <w:autoSpaceDN/>
              <w:bidi w:val="0"/>
              <w:adjustRightInd w:val="0"/>
              <w:snapToGrid w:val="0"/>
              <w:spacing w:line="288" w:lineRule="auto"/>
              <w:ind w:right="0"/>
              <w:textAlignment w:val="auto"/>
              <w:rPr>
                <w:rFonts w:ascii="宋体" w:hAnsi="宋体" w:cs="宋体"/>
                <w:bCs/>
                <w:color w:val="auto"/>
                <w:sz w:val="24"/>
                <w:szCs w:val="20"/>
                <w:highlight w:val="none"/>
              </w:rPr>
            </w:pPr>
            <w:r>
              <w:rPr>
                <w:rFonts w:hint="eastAsia" w:ascii="宋体" w:hAnsi="宋体" w:cs="宋体"/>
                <w:bCs/>
                <w:color w:val="auto"/>
                <w:sz w:val="24"/>
                <w:szCs w:val="20"/>
                <w:highlight w:val="none"/>
              </w:rPr>
              <w:t>备注：价格分计算保留小数点后二位。</w:t>
            </w:r>
          </w:p>
          <w:p w14:paraId="1B211A20">
            <w:pPr>
              <w:pStyle w:val="26"/>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color w:val="auto"/>
                <w:sz w:val="24"/>
                <w:szCs w:val="20"/>
                <w:highlight w:val="none"/>
              </w:rPr>
            </w:pPr>
            <w:r>
              <w:rPr>
                <w:rFonts w:hint="eastAsia" w:ascii="宋体" w:hAnsi="宋体" w:cs="宋体"/>
                <w:bCs/>
                <w:color w:val="auto"/>
                <w:sz w:val="24"/>
                <w:szCs w:val="20"/>
                <w:highlight w:val="none"/>
              </w:rPr>
              <w:t>根据财政部、工信部关于印发《政府采购促进中小企业发展管理办法》的通知（财库〔2020〕46号 ）文件规定：</w:t>
            </w:r>
          </w:p>
          <w:p w14:paraId="17901D7C">
            <w:pPr>
              <w:pStyle w:val="26"/>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color w:val="auto"/>
                <w:sz w:val="24"/>
                <w:szCs w:val="20"/>
                <w:highlight w:val="none"/>
              </w:rPr>
            </w:pPr>
            <w:r>
              <w:rPr>
                <w:rFonts w:hint="eastAsia" w:ascii="宋体" w:hAnsi="宋体" w:cs="宋体"/>
                <w:bCs/>
                <w:color w:val="auto"/>
                <w:sz w:val="24"/>
                <w:szCs w:val="20"/>
                <w:highlight w:val="none"/>
              </w:rPr>
              <w:t>（1）对小微企业报价给</w:t>
            </w:r>
            <w:r>
              <w:rPr>
                <w:rFonts w:hint="eastAsia" w:ascii="宋体" w:hAnsi="宋体" w:eastAsia="宋体" w:cs="宋体"/>
                <w:bCs/>
                <w:color w:val="auto"/>
                <w:sz w:val="24"/>
                <w:szCs w:val="20"/>
                <w:highlight w:val="none"/>
              </w:rPr>
              <w:t>予</w:t>
            </w:r>
            <w:r>
              <w:rPr>
                <w:rFonts w:hint="eastAsia" w:ascii="宋体" w:hAnsi="宋体" w:cs="宋体"/>
                <w:bCs/>
                <w:color w:val="auto"/>
                <w:sz w:val="24"/>
                <w:szCs w:val="20"/>
                <w:highlight w:val="none"/>
                <w:lang w:val="en-US" w:eastAsia="zh-CN"/>
              </w:rPr>
              <w:t>20</w:t>
            </w:r>
            <w:r>
              <w:rPr>
                <w:rFonts w:hint="eastAsia" w:ascii="宋体" w:hAnsi="宋体" w:eastAsia="宋体" w:cs="宋体"/>
                <w:bCs/>
                <w:color w:val="auto"/>
                <w:sz w:val="24"/>
                <w:szCs w:val="20"/>
                <w:highlight w:val="none"/>
              </w:rPr>
              <w:t>%扣除</w:t>
            </w:r>
            <w:r>
              <w:rPr>
                <w:rFonts w:hint="eastAsia" w:ascii="宋体" w:hAnsi="宋体" w:cs="宋体"/>
                <w:bCs/>
                <w:color w:val="auto"/>
                <w:sz w:val="24"/>
                <w:szCs w:val="20"/>
                <w:highlight w:val="none"/>
              </w:rPr>
              <w:t>，请按照《政府采购促进中小企业发展管理办法》要求提供中小企业声明函。</w:t>
            </w:r>
          </w:p>
          <w:p w14:paraId="257FD0F7">
            <w:pPr>
              <w:pStyle w:val="26"/>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color w:val="auto"/>
                <w:sz w:val="24"/>
                <w:szCs w:val="20"/>
                <w:highlight w:val="none"/>
              </w:rPr>
            </w:pPr>
            <w:r>
              <w:rPr>
                <w:rFonts w:hint="eastAsia" w:ascii="宋体" w:hAnsi="宋体" w:cs="宋体"/>
                <w:bCs/>
                <w:color w:val="auto"/>
                <w:sz w:val="24"/>
                <w:szCs w:val="20"/>
                <w:highlight w:val="none"/>
              </w:rPr>
              <w:t>（2）关于监狱企业：视同小微企业。须提供由省级以上监狱管理局、戒毒管理局（含新疆生产建设兵团）出具的属于监狱企业的证明文件，否则不考虑价格扣除。</w:t>
            </w:r>
          </w:p>
          <w:p w14:paraId="44898129">
            <w:pPr>
              <w:pStyle w:val="26"/>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color w:val="auto"/>
                <w:sz w:val="24"/>
                <w:szCs w:val="20"/>
                <w:highlight w:val="none"/>
              </w:rPr>
            </w:pPr>
            <w:r>
              <w:rPr>
                <w:rFonts w:hint="eastAsia" w:ascii="宋体" w:hAnsi="宋体" w:cs="宋体"/>
                <w:bCs/>
                <w:color w:val="auto"/>
                <w:sz w:val="24"/>
                <w:szCs w:val="20"/>
                <w:highlight w:val="none"/>
              </w:rPr>
              <w:t>（3）关于残疾人福利性单位：视同小微企业。须提供完整的“残疾人福利性单位声明函”，否则在价格评审时不予考虑价格扣除。残疾人福利性单位属于小型、微型企业的，不重复享受政策。</w:t>
            </w:r>
          </w:p>
          <w:p w14:paraId="503F133A">
            <w:pPr>
              <w:keepNext w:val="0"/>
              <w:keepLines w:val="0"/>
              <w:pageBreakBefore w:val="0"/>
              <w:widowControl/>
              <w:kinsoku/>
              <w:wordWrap/>
              <w:overflowPunct/>
              <w:topLinePunct w:val="0"/>
              <w:autoSpaceDE/>
              <w:autoSpaceDN/>
              <w:bidi w:val="0"/>
              <w:adjustRightInd w:val="0"/>
              <w:snapToGrid w:val="0"/>
              <w:spacing w:line="288" w:lineRule="auto"/>
              <w:ind w:right="0"/>
              <w:jc w:val="left"/>
              <w:textAlignment w:val="auto"/>
              <w:rPr>
                <w:rFonts w:ascii="宋体" w:hAnsi="宋体" w:cs="宋体"/>
                <w:color w:val="auto"/>
                <w:sz w:val="24"/>
                <w:highlight w:val="none"/>
              </w:rPr>
            </w:pPr>
            <w:r>
              <w:rPr>
                <w:rFonts w:hint="eastAsia" w:ascii="宋体" w:hAnsi="宋体" w:cs="宋体"/>
                <w:bCs/>
                <w:color w:val="auto"/>
                <w:sz w:val="24"/>
                <w:szCs w:val="20"/>
                <w:highlight w:val="none"/>
              </w:rPr>
              <w:t>（4）没有提供有效证明材料的供应商将被视为不接受投标总价的扣除，用原投标总价参与评审。</w:t>
            </w:r>
          </w:p>
        </w:tc>
      </w:tr>
      <w:tr w14:paraId="3B3F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187" w:type="dxa"/>
            <w:vMerge w:val="restart"/>
            <w:tcBorders>
              <w:tl2br w:val="nil"/>
              <w:tr2bl w:val="nil"/>
            </w:tcBorders>
            <w:vAlign w:val="center"/>
          </w:tcPr>
          <w:p w14:paraId="7F6BED8F">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技术方案(</w:t>
            </w:r>
            <w:r>
              <w:rPr>
                <w:rFonts w:hint="eastAsia" w:ascii="宋体" w:hAnsi="宋体" w:cs="宋体"/>
                <w:color w:val="auto"/>
                <w:sz w:val="24"/>
                <w:highlight w:val="none"/>
                <w:lang w:val="en-US" w:eastAsia="zh-CN"/>
              </w:rPr>
              <w:t>60</w:t>
            </w:r>
            <w:r>
              <w:rPr>
                <w:rFonts w:hint="eastAsia" w:ascii="宋体" w:hAnsi="宋体" w:cs="宋体"/>
                <w:color w:val="auto"/>
                <w:sz w:val="24"/>
                <w:highlight w:val="none"/>
              </w:rPr>
              <w:t>分)</w:t>
            </w:r>
          </w:p>
          <w:p w14:paraId="760BD456">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color w:val="auto"/>
                <w:sz w:val="24"/>
                <w:highlight w:val="none"/>
              </w:rPr>
            </w:pPr>
          </w:p>
        </w:tc>
        <w:tc>
          <w:tcPr>
            <w:tcW w:w="1944" w:type="dxa"/>
            <w:tcBorders>
              <w:tl2br w:val="nil"/>
              <w:tr2bl w:val="nil"/>
            </w:tcBorders>
            <w:vAlign w:val="center"/>
          </w:tcPr>
          <w:p w14:paraId="27A6389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服务方案</w:t>
            </w:r>
          </w:p>
          <w:p w14:paraId="57D2AFE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（20分）</w:t>
            </w:r>
          </w:p>
        </w:tc>
        <w:tc>
          <w:tcPr>
            <w:tcW w:w="6891" w:type="dxa"/>
            <w:gridSpan w:val="2"/>
            <w:tcBorders>
              <w:tl2br w:val="nil"/>
              <w:tr2bl w:val="nil"/>
            </w:tcBorders>
            <w:vAlign w:val="center"/>
          </w:tcPr>
          <w:p w14:paraId="3E9091A7">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根据本项目实际情况编制整体实施服务方案，包括但不限于对本项目基本情况的理解、工作步骤、成果提交、总体思路构思，实施方案可行性，保障措施完善得20分</w:t>
            </w:r>
            <w:r>
              <w:rPr>
                <w:rFonts w:hint="eastAsia" w:ascii="宋体" w:hAnsi="宋体" w:cs="宋体"/>
                <w:bCs/>
                <w:color w:val="auto"/>
                <w:kern w:val="2"/>
                <w:sz w:val="24"/>
                <w:szCs w:val="20"/>
                <w:highlight w:val="none"/>
                <w:lang w:val="en-US" w:eastAsia="zh-CN" w:bidi="ar-SA"/>
              </w:rPr>
              <w:t>；</w:t>
            </w:r>
            <w:r>
              <w:rPr>
                <w:rFonts w:hint="eastAsia" w:ascii="宋体" w:hAnsi="宋体" w:eastAsia="宋体" w:cs="宋体"/>
                <w:bCs/>
                <w:color w:val="auto"/>
                <w:kern w:val="2"/>
                <w:sz w:val="24"/>
                <w:szCs w:val="20"/>
                <w:highlight w:val="none"/>
                <w:lang w:val="en-US" w:eastAsia="zh-CN" w:bidi="ar-SA"/>
              </w:rPr>
              <w:t>不提供不得分。</w:t>
            </w:r>
          </w:p>
        </w:tc>
      </w:tr>
      <w:tr w14:paraId="3F45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187" w:type="dxa"/>
            <w:vMerge w:val="continue"/>
            <w:tcBorders>
              <w:tl2br w:val="nil"/>
              <w:tr2bl w:val="nil"/>
            </w:tcBorders>
            <w:vAlign w:val="center"/>
          </w:tcPr>
          <w:p w14:paraId="256D8212">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color w:val="auto"/>
                <w:sz w:val="24"/>
                <w:highlight w:val="none"/>
              </w:rPr>
            </w:pPr>
          </w:p>
        </w:tc>
        <w:tc>
          <w:tcPr>
            <w:tcW w:w="1944" w:type="dxa"/>
            <w:tcBorders>
              <w:tl2br w:val="nil"/>
              <w:tr2bl w:val="nil"/>
            </w:tcBorders>
            <w:vAlign w:val="center"/>
          </w:tcPr>
          <w:p w14:paraId="66BCCFF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服务质量、</w:t>
            </w:r>
          </w:p>
          <w:p w14:paraId="3052E5D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安全保障</w:t>
            </w:r>
          </w:p>
          <w:p w14:paraId="4D8C5FF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cs="宋体"/>
                <w:color w:val="auto"/>
                <w:sz w:val="24"/>
                <w:highlight w:val="none"/>
                <w:lang w:val="en-US" w:eastAsia="zh-CN"/>
              </w:rPr>
            </w:pPr>
            <w:r>
              <w:rPr>
                <w:rFonts w:hint="eastAsia" w:ascii="宋体" w:hAnsi="宋体" w:eastAsia="宋体" w:cs="宋体"/>
                <w:bCs/>
                <w:color w:val="auto"/>
                <w:kern w:val="2"/>
                <w:sz w:val="24"/>
                <w:szCs w:val="20"/>
                <w:highlight w:val="none"/>
                <w:lang w:val="en-US" w:eastAsia="zh-CN" w:bidi="ar-SA"/>
              </w:rPr>
              <w:t>（10分）</w:t>
            </w:r>
          </w:p>
        </w:tc>
        <w:tc>
          <w:tcPr>
            <w:tcW w:w="6891" w:type="dxa"/>
            <w:gridSpan w:val="2"/>
            <w:tcBorders>
              <w:tl2br w:val="nil"/>
              <w:tr2bl w:val="nil"/>
            </w:tcBorders>
            <w:vAlign w:val="center"/>
          </w:tcPr>
          <w:p w14:paraId="35390AF4">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default" w:ascii="宋体" w:hAnsi="宋体" w:cs="宋体"/>
                <w:color w:val="auto"/>
                <w:sz w:val="24"/>
                <w:highlight w:val="none"/>
                <w:lang w:val="en-US"/>
              </w:rPr>
            </w:pPr>
            <w:r>
              <w:rPr>
                <w:rFonts w:hint="eastAsia" w:ascii="宋体" w:hAnsi="宋体" w:eastAsia="宋体" w:cs="宋体"/>
                <w:bCs/>
                <w:color w:val="auto"/>
                <w:kern w:val="2"/>
                <w:sz w:val="24"/>
                <w:szCs w:val="20"/>
                <w:highlight w:val="none"/>
                <w:lang w:val="en-US" w:eastAsia="zh-CN" w:bidi="ar-SA"/>
              </w:rPr>
              <w:t>供应商提供针对本项目的质量、安全的管理、技术措施得</w:t>
            </w:r>
            <w:r>
              <w:rPr>
                <w:rFonts w:hint="eastAsia" w:ascii="宋体" w:hAnsi="宋体" w:cs="宋体"/>
                <w:bCs/>
                <w:color w:val="auto"/>
                <w:kern w:val="2"/>
                <w:sz w:val="24"/>
                <w:szCs w:val="20"/>
                <w:highlight w:val="none"/>
                <w:lang w:val="en-US" w:eastAsia="zh-CN" w:bidi="ar-SA"/>
              </w:rPr>
              <w:t>10</w:t>
            </w:r>
            <w:r>
              <w:rPr>
                <w:rFonts w:hint="eastAsia" w:ascii="宋体" w:hAnsi="宋体" w:eastAsia="宋体" w:cs="宋体"/>
                <w:bCs/>
                <w:color w:val="auto"/>
                <w:kern w:val="2"/>
                <w:sz w:val="24"/>
                <w:szCs w:val="20"/>
                <w:highlight w:val="none"/>
                <w:lang w:val="en-US" w:eastAsia="zh-CN" w:bidi="ar-SA"/>
              </w:rPr>
              <w:t>分</w:t>
            </w:r>
            <w:r>
              <w:rPr>
                <w:rFonts w:hint="eastAsia" w:ascii="宋体" w:hAnsi="宋体" w:cs="宋体"/>
                <w:bCs/>
                <w:color w:val="auto"/>
                <w:kern w:val="2"/>
                <w:sz w:val="24"/>
                <w:szCs w:val="20"/>
                <w:highlight w:val="none"/>
                <w:lang w:val="en-US" w:eastAsia="zh-CN" w:bidi="ar-SA"/>
              </w:rPr>
              <w:t>；</w:t>
            </w:r>
            <w:r>
              <w:rPr>
                <w:rFonts w:hint="eastAsia" w:ascii="宋体" w:hAnsi="宋体" w:eastAsia="宋体" w:cs="宋体"/>
                <w:bCs/>
                <w:color w:val="auto"/>
                <w:kern w:val="2"/>
                <w:sz w:val="24"/>
                <w:szCs w:val="20"/>
                <w:highlight w:val="none"/>
                <w:lang w:val="en-US" w:eastAsia="zh-CN" w:bidi="ar-SA"/>
              </w:rPr>
              <w:t>不提供不得分。</w:t>
            </w:r>
          </w:p>
        </w:tc>
      </w:tr>
      <w:tr w14:paraId="002F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87" w:type="dxa"/>
            <w:vMerge w:val="continue"/>
            <w:tcBorders>
              <w:tl2br w:val="nil"/>
              <w:tr2bl w:val="nil"/>
            </w:tcBorders>
            <w:vAlign w:val="center"/>
          </w:tcPr>
          <w:p w14:paraId="5063DA9F">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color w:val="auto"/>
                <w:sz w:val="24"/>
                <w:highlight w:val="none"/>
              </w:rPr>
            </w:pPr>
          </w:p>
        </w:tc>
        <w:tc>
          <w:tcPr>
            <w:tcW w:w="1944" w:type="dxa"/>
            <w:tcBorders>
              <w:tl2br w:val="nil"/>
              <w:tr2bl w:val="nil"/>
            </w:tcBorders>
            <w:vAlign w:val="center"/>
          </w:tcPr>
          <w:p w14:paraId="4A75605D">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组织机构保障</w:t>
            </w:r>
          </w:p>
          <w:p w14:paraId="33E10D7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（5</w:t>
            </w:r>
            <w:r>
              <w:rPr>
                <w:rFonts w:hint="eastAsia" w:ascii="宋体" w:hAnsi="宋体" w:cs="宋体"/>
                <w:bCs/>
                <w:color w:val="auto"/>
                <w:kern w:val="2"/>
                <w:sz w:val="24"/>
                <w:szCs w:val="20"/>
                <w:highlight w:val="none"/>
                <w:lang w:val="en-US" w:eastAsia="zh-CN" w:bidi="ar-SA"/>
              </w:rPr>
              <w:t>分</w:t>
            </w:r>
            <w:r>
              <w:rPr>
                <w:rFonts w:hint="eastAsia" w:ascii="宋体" w:hAnsi="宋体" w:eastAsia="宋体" w:cs="宋体"/>
                <w:bCs/>
                <w:color w:val="auto"/>
                <w:kern w:val="2"/>
                <w:sz w:val="24"/>
                <w:szCs w:val="20"/>
                <w:highlight w:val="none"/>
                <w:lang w:val="en-US" w:eastAsia="zh-CN" w:bidi="ar-SA"/>
              </w:rPr>
              <w:t>）</w:t>
            </w:r>
          </w:p>
        </w:tc>
        <w:tc>
          <w:tcPr>
            <w:tcW w:w="6891" w:type="dxa"/>
            <w:gridSpan w:val="2"/>
            <w:tcBorders>
              <w:tl2br w:val="nil"/>
              <w:tr2bl w:val="nil"/>
            </w:tcBorders>
            <w:vAlign w:val="center"/>
          </w:tcPr>
          <w:p w14:paraId="4AA5AF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供应商针提供对本项目的组织机构安排，组织机构层级合理分层级责任完整5分</w:t>
            </w:r>
            <w:r>
              <w:rPr>
                <w:rFonts w:hint="eastAsia" w:ascii="宋体" w:hAnsi="宋体" w:cs="宋体"/>
                <w:bCs/>
                <w:color w:val="auto"/>
                <w:kern w:val="2"/>
                <w:sz w:val="24"/>
                <w:szCs w:val="20"/>
                <w:highlight w:val="none"/>
                <w:lang w:val="en-US" w:eastAsia="zh-CN" w:bidi="ar-SA"/>
              </w:rPr>
              <w:t>；</w:t>
            </w:r>
            <w:r>
              <w:rPr>
                <w:rFonts w:hint="eastAsia" w:ascii="宋体" w:hAnsi="宋体" w:eastAsia="宋体" w:cs="宋体"/>
                <w:bCs/>
                <w:color w:val="auto"/>
                <w:kern w:val="2"/>
                <w:sz w:val="24"/>
                <w:szCs w:val="20"/>
                <w:highlight w:val="none"/>
                <w:lang w:val="en-US" w:eastAsia="zh-CN" w:bidi="ar-SA"/>
              </w:rPr>
              <w:t>不提供不得分。</w:t>
            </w:r>
          </w:p>
        </w:tc>
      </w:tr>
      <w:tr w14:paraId="1E86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187" w:type="dxa"/>
            <w:vMerge w:val="continue"/>
            <w:tcBorders>
              <w:tl2br w:val="nil"/>
              <w:tr2bl w:val="nil"/>
            </w:tcBorders>
            <w:vAlign w:val="center"/>
          </w:tcPr>
          <w:p w14:paraId="780AEB12">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color w:val="auto"/>
                <w:sz w:val="24"/>
                <w:highlight w:val="none"/>
              </w:rPr>
            </w:pPr>
          </w:p>
        </w:tc>
        <w:tc>
          <w:tcPr>
            <w:tcW w:w="1944" w:type="dxa"/>
            <w:tcBorders>
              <w:tl2br w:val="nil"/>
              <w:tr2bl w:val="nil"/>
            </w:tcBorders>
            <w:vAlign w:val="center"/>
          </w:tcPr>
          <w:p w14:paraId="17834980">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本底研究</w:t>
            </w:r>
          </w:p>
          <w:p w14:paraId="0F0D0B0F">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w:t>
            </w:r>
            <w:r>
              <w:rPr>
                <w:rFonts w:hint="eastAsia" w:ascii="宋体" w:hAnsi="宋体" w:cs="宋体"/>
                <w:bCs/>
                <w:color w:val="auto"/>
                <w:kern w:val="2"/>
                <w:sz w:val="24"/>
                <w:szCs w:val="20"/>
                <w:highlight w:val="none"/>
                <w:lang w:val="en-US" w:eastAsia="zh-CN" w:bidi="ar-SA"/>
              </w:rPr>
              <w:t>10</w:t>
            </w:r>
            <w:r>
              <w:rPr>
                <w:rFonts w:hint="eastAsia" w:ascii="宋体" w:hAnsi="宋体" w:eastAsia="宋体" w:cs="宋体"/>
                <w:bCs/>
                <w:color w:val="auto"/>
                <w:kern w:val="2"/>
                <w:sz w:val="24"/>
                <w:szCs w:val="20"/>
                <w:highlight w:val="none"/>
                <w:lang w:val="en-US" w:eastAsia="zh-CN" w:bidi="ar-SA"/>
              </w:rPr>
              <w:t>分）</w:t>
            </w:r>
          </w:p>
        </w:tc>
        <w:tc>
          <w:tcPr>
            <w:tcW w:w="6891" w:type="dxa"/>
            <w:gridSpan w:val="2"/>
            <w:tcBorders>
              <w:tl2br w:val="nil"/>
              <w:tr2bl w:val="nil"/>
            </w:tcBorders>
            <w:vAlign w:val="center"/>
          </w:tcPr>
          <w:p w14:paraId="3A5F0E18">
            <w:pPr>
              <w:keepNext w:val="0"/>
              <w:keepLines w:val="0"/>
              <w:pageBreakBefore w:val="0"/>
              <w:widowControl/>
              <w:numPr>
                <w:ilvl w:val="0"/>
                <w:numId w:val="3"/>
              </w:numPr>
              <w:kinsoku/>
              <w:wordWrap/>
              <w:overflowPunct/>
              <w:topLinePunct w:val="0"/>
              <w:autoSpaceDE/>
              <w:autoSpaceDN/>
              <w:bidi w:val="0"/>
              <w:adjustRightInd w:val="0"/>
              <w:snapToGrid w:val="0"/>
              <w:spacing w:line="288" w:lineRule="auto"/>
              <w:jc w:val="left"/>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供应商对项目背景的了解，包括合理地解读项目的规划背景、政策背景、区域背景和文化背景得</w:t>
            </w:r>
            <w:r>
              <w:rPr>
                <w:rFonts w:hint="eastAsia" w:ascii="宋体" w:hAnsi="宋体" w:cs="宋体"/>
                <w:bCs/>
                <w:color w:val="auto"/>
                <w:kern w:val="2"/>
                <w:sz w:val="24"/>
                <w:szCs w:val="20"/>
                <w:highlight w:val="none"/>
                <w:lang w:val="en-US" w:eastAsia="zh-CN" w:bidi="ar-SA"/>
              </w:rPr>
              <w:t>10</w:t>
            </w:r>
            <w:r>
              <w:rPr>
                <w:rFonts w:hint="eastAsia" w:ascii="宋体" w:hAnsi="宋体" w:eastAsia="宋体" w:cs="宋体"/>
                <w:bCs/>
                <w:color w:val="auto"/>
                <w:kern w:val="2"/>
                <w:sz w:val="24"/>
                <w:szCs w:val="20"/>
                <w:highlight w:val="none"/>
                <w:lang w:val="en-US" w:eastAsia="zh-CN" w:bidi="ar-SA"/>
              </w:rPr>
              <w:t>分</w:t>
            </w:r>
            <w:r>
              <w:rPr>
                <w:rFonts w:hint="eastAsia" w:ascii="宋体" w:hAnsi="宋体" w:cs="宋体"/>
                <w:bCs/>
                <w:color w:val="auto"/>
                <w:kern w:val="2"/>
                <w:sz w:val="24"/>
                <w:szCs w:val="20"/>
                <w:highlight w:val="none"/>
                <w:lang w:val="en-US" w:eastAsia="zh-CN" w:bidi="ar-SA"/>
              </w:rPr>
              <w:t>；</w:t>
            </w:r>
            <w:r>
              <w:rPr>
                <w:rFonts w:hint="eastAsia" w:ascii="宋体" w:hAnsi="宋体" w:eastAsia="宋体" w:cs="宋体"/>
                <w:bCs/>
                <w:color w:val="auto"/>
                <w:kern w:val="2"/>
                <w:sz w:val="24"/>
                <w:szCs w:val="20"/>
                <w:highlight w:val="none"/>
                <w:lang w:val="en-US" w:eastAsia="zh-CN" w:bidi="ar-SA"/>
              </w:rPr>
              <w:t>不提供不得分。</w:t>
            </w:r>
          </w:p>
        </w:tc>
      </w:tr>
      <w:tr w14:paraId="3D97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87" w:type="dxa"/>
            <w:vMerge w:val="continue"/>
            <w:tcBorders>
              <w:tl2br w:val="nil"/>
              <w:tr2bl w:val="nil"/>
            </w:tcBorders>
            <w:vAlign w:val="center"/>
          </w:tcPr>
          <w:p w14:paraId="221ED6CA">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color w:val="auto"/>
                <w:sz w:val="24"/>
                <w:highlight w:val="none"/>
              </w:rPr>
            </w:pPr>
          </w:p>
        </w:tc>
        <w:tc>
          <w:tcPr>
            <w:tcW w:w="1944" w:type="dxa"/>
            <w:tcBorders>
              <w:tl2br w:val="nil"/>
              <w:tr2bl w:val="nil"/>
            </w:tcBorders>
            <w:vAlign w:val="center"/>
          </w:tcPr>
          <w:p w14:paraId="221C3AB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计划落地</w:t>
            </w:r>
          </w:p>
          <w:p w14:paraId="3F83B2A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（5分）</w:t>
            </w:r>
          </w:p>
        </w:tc>
        <w:tc>
          <w:tcPr>
            <w:tcW w:w="6891" w:type="dxa"/>
            <w:gridSpan w:val="2"/>
            <w:tcBorders>
              <w:tl2br w:val="nil"/>
              <w:tr2bl w:val="nil"/>
            </w:tcBorders>
            <w:vAlign w:val="center"/>
          </w:tcPr>
          <w:p w14:paraId="4C76B882">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供应商提供对本项目的分期实施计划和对项目的投资估算得5分</w:t>
            </w:r>
            <w:r>
              <w:rPr>
                <w:rFonts w:hint="eastAsia" w:ascii="宋体" w:hAnsi="宋体" w:cs="宋体"/>
                <w:bCs/>
                <w:color w:val="auto"/>
                <w:kern w:val="2"/>
                <w:sz w:val="24"/>
                <w:szCs w:val="20"/>
                <w:highlight w:val="none"/>
                <w:lang w:val="en-US" w:eastAsia="zh-CN" w:bidi="ar-SA"/>
              </w:rPr>
              <w:t>；</w:t>
            </w:r>
            <w:r>
              <w:rPr>
                <w:rFonts w:hint="eastAsia" w:ascii="宋体" w:hAnsi="宋体" w:eastAsia="宋体" w:cs="宋体"/>
                <w:bCs/>
                <w:color w:val="auto"/>
                <w:kern w:val="2"/>
                <w:sz w:val="24"/>
                <w:szCs w:val="20"/>
                <w:highlight w:val="none"/>
                <w:lang w:val="en-US" w:eastAsia="zh-CN" w:bidi="ar-SA"/>
              </w:rPr>
              <w:t>不提供不得分。</w:t>
            </w:r>
          </w:p>
        </w:tc>
      </w:tr>
      <w:tr w14:paraId="2183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187" w:type="dxa"/>
            <w:vMerge w:val="continue"/>
            <w:tcBorders>
              <w:tl2br w:val="nil"/>
              <w:tr2bl w:val="nil"/>
            </w:tcBorders>
            <w:vAlign w:val="center"/>
          </w:tcPr>
          <w:p w14:paraId="48B4DAFD">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color w:val="auto"/>
                <w:sz w:val="24"/>
                <w:highlight w:val="none"/>
              </w:rPr>
            </w:pPr>
          </w:p>
        </w:tc>
        <w:tc>
          <w:tcPr>
            <w:tcW w:w="1944" w:type="dxa"/>
            <w:tcBorders>
              <w:tl2br w:val="nil"/>
              <w:tr2bl w:val="nil"/>
            </w:tcBorders>
            <w:vAlign w:val="center"/>
          </w:tcPr>
          <w:p w14:paraId="45E928CA">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后续服务方案（10</w:t>
            </w:r>
            <w:r>
              <w:rPr>
                <w:rFonts w:hint="eastAsia" w:ascii="宋体" w:hAnsi="宋体" w:cs="宋体"/>
                <w:bCs/>
                <w:color w:val="auto"/>
                <w:kern w:val="2"/>
                <w:sz w:val="24"/>
                <w:szCs w:val="20"/>
                <w:highlight w:val="none"/>
                <w:lang w:val="en-US" w:eastAsia="zh-CN" w:bidi="ar-SA"/>
              </w:rPr>
              <w:t>分</w:t>
            </w:r>
            <w:r>
              <w:rPr>
                <w:rFonts w:hint="eastAsia" w:ascii="宋体" w:hAnsi="宋体" w:eastAsia="宋体" w:cs="宋体"/>
                <w:bCs/>
                <w:color w:val="auto"/>
                <w:kern w:val="2"/>
                <w:sz w:val="24"/>
                <w:szCs w:val="20"/>
                <w:highlight w:val="none"/>
                <w:lang w:val="en-US" w:eastAsia="zh-CN" w:bidi="ar-SA"/>
              </w:rPr>
              <w:t>）</w:t>
            </w:r>
          </w:p>
        </w:tc>
        <w:tc>
          <w:tcPr>
            <w:tcW w:w="6891" w:type="dxa"/>
            <w:gridSpan w:val="2"/>
            <w:tcBorders>
              <w:tl2br w:val="nil"/>
              <w:tr2bl w:val="nil"/>
            </w:tcBorders>
            <w:vAlign w:val="center"/>
          </w:tcPr>
          <w:p w14:paraId="006DC1FF">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default"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供应商提供的售后服务计划，服务期内供应商能针对采购人提出的要求和成果问题及时到场解决、后续服务方案详尽、延续服务完善得10分</w:t>
            </w:r>
            <w:r>
              <w:rPr>
                <w:rFonts w:hint="eastAsia" w:ascii="宋体" w:hAnsi="宋体" w:cs="宋体"/>
                <w:bCs/>
                <w:color w:val="auto"/>
                <w:kern w:val="2"/>
                <w:sz w:val="24"/>
                <w:szCs w:val="20"/>
                <w:highlight w:val="none"/>
                <w:lang w:val="en-US" w:eastAsia="zh-CN" w:bidi="ar-SA"/>
              </w:rPr>
              <w:t>。</w:t>
            </w:r>
            <w:r>
              <w:rPr>
                <w:rFonts w:hint="eastAsia" w:ascii="宋体" w:hAnsi="宋体" w:eastAsia="宋体" w:cs="宋体"/>
                <w:bCs/>
                <w:color w:val="auto"/>
                <w:kern w:val="2"/>
                <w:sz w:val="24"/>
                <w:szCs w:val="20"/>
                <w:highlight w:val="none"/>
                <w:lang w:val="en-US" w:eastAsia="zh-CN" w:bidi="ar-SA"/>
              </w:rPr>
              <w:t>不提供不得分</w:t>
            </w:r>
            <w:r>
              <w:rPr>
                <w:rFonts w:hint="eastAsia" w:ascii="宋体" w:hAnsi="宋体" w:cs="宋体"/>
                <w:bCs/>
                <w:color w:val="auto"/>
                <w:kern w:val="2"/>
                <w:sz w:val="24"/>
                <w:szCs w:val="20"/>
                <w:highlight w:val="none"/>
                <w:lang w:val="en-US" w:eastAsia="zh-CN" w:bidi="ar-SA"/>
              </w:rPr>
              <w:t>。</w:t>
            </w:r>
          </w:p>
        </w:tc>
      </w:tr>
      <w:tr w14:paraId="09DD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87" w:type="dxa"/>
            <w:vMerge w:val="restart"/>
            <w:tcBorders>
              <w:tl2br w:val="nil"/>
              <w:tr2bl w:val="nil"/>
            </w:tcBorders>
            <w:vAlign w:val="center"/>
          </w:tcPr>
          <w:p w14:paraId="1F1D9A6A">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综合</w:t>
            </w:r>
          </w:p>
          <w:p w14:paraId="703A6F55">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p w14:paraId="68E91975">
            <w:pPr>
              <w:keepNext w:val="0"/>
              <w:keepLines w:val="0"/>
              <w:pageBreakBefore w:val="0"/>
              <w:kinsoku/>
              <w:wordWrap/>
              <w:overflowPunct/>
              <w:topLinePunct w:val="0"/>
              <w:autoSpaceDE/>
              <w:autoSpaceDN/>
              <w:bidi w:val="0"/>
              <w:adjustRightInd w:val="0"/>
              <w:snapToGrid w:val="0"/>
              <w:spacing w:line="288" w:lineRule="auto"/>
              <w:jc w:val="center"/>
              <w:textAlignment w:val="auto"/>
              <w:rPr>
                <w:rFonts w:ascii="宋体" w:hAnsi="宋体" w:cs="宋体"/>
                <w:color w:val="auto"/>
                <w:sz w:val="24"/>
                <w:highlight w:val="none"/>
              </w:rPr>
            </w:pPr>
          </w:p>
        </w:tc>
        <w:tc>
          <w:tcPr>
            <w:tcW w:w="1944" w:type="dxa"/>
            <w:tcBorders>
              <w:tl2br w:val="nil"/>
              <w:tr2bl w:val="nil"/>
            </w:tcBorders>
            <w:vAlign w:val="center"/>
          </w:tcPr>
          <w:p w14:paraId="2254EB53">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项目管理机构</w:t>
            </w:r>
          </w:p>
          <w:p w14:paraId="1D7E410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w:t>
            </w:r>
            <w:r>
              <w:rPr>
                <w:rFonts w:hint="eastAsia" w:ascii="宋体" w:hAnsi="宋体" w:cs="宋体"/>
                <w:bCs/>
                <w:color w:val="auto"/>
                <w:kern w:val="2"/>
                <w:sz w:val="24"/>
                <w:szCs w:val="20"/>
                <w:highlight w:val="none"/>
                <w:lang w:val="en-US" w:eastAsia="zh-CN" w:bidi="ar-SA"/>
              </w:rPr>
              <w:t>8</w:t>
            </w:r>
            <w:r>
              <w:rPr>
                <w:rFonts w:hint="eastAsia" w:ascii="宋体" w:hAnsi="宋体" w:eastAsia="宋体" w:cs="宋体"/>
                <w:bCs/>
                <w:color w:val="auto"/>
                <w:kern w:val="2"/>
                <w:sz w:val="24"/>
                <w:szCs w:val="20"/>
                <w:highlight w:val="none"/>
                <w:lang w:val="en-US" w:eastAsia="zh-CN" w:bidi="ar-SA"/>
              </w:rPr>
              <w:t>分）</w:t>
            </w:r>
          </w:p>
        </w:tc>
        <w:tc>
          <w:tcPr>
            <w:tcW w:w="6891" w:type="dxa"/>
            <w:gridSpan w:val="2"/>
            <w:tcBorders>
              <w:tl2br w:val="nil"/>
              <w:tr2bl w:val="nil"/>
            </w:tcBorders>
            <w:vAlign w:val="center"/>
          </w:tcPr>
          <w:p w14:paraId="7FDD5D6D">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拟派本项目的技术人员中，除项目负责人外，每配备一名相关专业</w:t>
            </w:r>
            <w:r>
              <w:rPr>
                <w:rFonts w:hint="eastAsia" w:ascii="宋体" w:hAnsi="宋体" w:cs="宋体"/>
                <w:bCs/>
                <w:color w:val="auto"/>
                <w:kern w:val="2"/>
                <w:sz w:val="24"/>
                <w:szCs w:val="20"/>
                <w:highlight w:val="none"/>
                <w:lang w:val="en-US" w:eastAsia="zh-CN" w:bidi="ar-SA"/>
              </w:rPr>
              <w:t>高级及以上技术职称或注册资格人员</w:t>
            </w:r>
            <w:r>
              <w:rPr>
                <w:rFonts w:hint="eastAsia" w:ascii="宋体" w:hAnsi="宋体" w:eastAsia="宋体" w:cs="宋体"/>
                <w:bCs/>
                <w:color w:val="auto"/>
                <w:kern w:val="2"/>
                <w:sz w:val="24"/>
                <w:szCs w:val="20"/>
                <w:highlight w:val="none"/>
                <w:lang w:val="en-US" w:eastAsia="zh-CN" w:bidi="ar-SA"/>
              </w:rPr>
              <w:t>2分，最高得</w:t>
            </w:r>
            <w:r>
              <w:rPr>
                <w:rFonts w:hint="eastAsia" w:ascii="宋体" w:hAnsi="宋体" w:cs="宋体"/>
                <w:bCs/>
                <w:color w:val="auto"/>
                <w:kern w:val="2"/>
                <w:sz w:val="24"/>
                <w:szCs w:val="20"/>
                <w:highlight w:val="none"/>
                <w:lang w:val="en-US" w:eastAsia="zh-CN" w:bidi="ar-SA"/>
              </w:rPr>
              <w:t>8</w:t>
            </w:r>
            <w:r>
              <w:rPr>
                <w:rFonts w:hint="eastAsia" w:ascii="宋体" w:hAnsi="宋体" w:eastAsia="宋体" w:cs="宋体"/>
                <w:bCs/>
                <w:color w:val="auto"/>
                <w:kern w:val="2"/>
                <w:sz w:val="24"/>
                <w:szCs w:val="20"/>
                <w:highlight w:val="none"/>
                <w:lang w:val="en-US" w:eastAsia="zh-CN" w:bidi="ar-SA"/>
              </w:rPr>
              <w:t>分。</w:t>
            </w:r>
          </w:p>
        </w:tc>
      </w:tr>
      <w:tr w14:paraId="718C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87" w:type="dxa"/>
            <w:vMerge w:val="continue"/>
            <w:tcBorders>
              <w:tl2br w:val="nil"/>
              <w:tr2bl w:val="nil"/>
            </w:tcBorders>
            <w:vAlign w:val="center"/>
          </w:tcPr>
          <w:p w14:paraId="0B4C5522">
            <w:pPr>
              <w:keepNext w:val="0"/>
              <w:keepLines w:val="0"/>
              <w:pageBreakBefore w:val="0"/>
              <w:kinsoku/>
              <w:wordWrap/>
              <w:overflowPunct/>
              <w:topLinePunct w:val="0"/>
              <w:autoSpaceDE/>
              <w:autoSpaceDN/>
              <w:bidi w:val="0"/>
              <w:adjustRightInd w:val="0"/>
              <w:snapToGrid w:val="0"/>
              <w:spacing w:line="288" w:lineRule="auto"/>
              <w:textAlignment w:val="auto"/>
              <w:rPr>
                <w:rFonts w:ascii="宋体" w:hAnsi="宋体" w:cs="宋体"/>
                <w:color w:val="auto"/>
                <w:sz w:val="24"/>
                <w:highlight w:val="none"/>
              </w:rPr>
            </w:pPr>
          </w:p>
        </w:tc>
        <w:tc>
          <w:tcPr>
            <w:tcW w:w="1944" w:type="dxa"/>
            <w:tcBorders>
              <w:tl2br w:val="nil"/>
              <w:tr2bl w:val="nil"/>
            </w:tcBorders>
            <w:vAlign w:val="center"/>
          </w:tcPr>
          <w:p w14:paraId="75B9DE25">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服务质量</w:t>
            </w:r>
          </w:p>
          <w:p w14:paraId="45AF80E6">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w:t>
            </w:r>
            <w:r>
              <w:rPr>
                <w:rFonts w:hint="eastAsia" w:ascii="宋体" w:hAnsi="宋体" w:cs="宋体"/>
                <w:bCs/>
                <w:color w:val="auto"/>
                <w:kern w:val="2"/>
                <w:sz w:val="24"/>
                <w:szCs w:val="20"/>
                <w:highlight w:val="none"/>
                <w:lang w:val="en-US" w:eastAsia="zh-CN" w:bidi="ar-SA"/>
              </w:rPr>
              <w:t>10</w:t>
            </w:r>
            <w:r>
              <w:rPr>
                <w:rFonts w:hint="eastAsia" w:ascii="宋体" w:hAnsi="宋体" w:eastAsia="宋体" w:cs="宋体"/>
                <w:bCs/>
                <w:color w:val="auto"/>
                <w:kern w:val="2"/>
                <w:sz w:val="24"/>
                <w:szCs w:val="20"/>
                <w:highlight w:val="none"/>
                <w:lang w:val="en-US" w:eastAsia="zh-CN" w:bidi="ar-SA"/>
              </w:rPr>
              <w:t>分）</w:t>
            </w:r>
          </w:p>
        </w:tc>
        <w:tc>
          <w:tcPr>
            <w:tcW w:w="6891" w:type="dxa"/>
            <w:gridSpan w:val="2"/>
            <w:tcBorders>
              <w:tl2br w:val="nil"/>
              <w:tr2bl w:val="nil"/>
            </w:tcBorders>
            <w:vAlign w:val="center"/>
          </w:tcPr>
          <w:p w14:paraId="5B5CCF71">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投标人提供服务质量保证和承诺（</w:t>
            </w:r>
            <w:r>
              <w:rPr>
                <w:rFonts w:hint="eastAsia" w:ascii="宋体" w:hAnsi="宋体" w:cs="宋体"/>
                <w:bCs/>
                <w:color w:val="auto"/>
                <w:kern w:val="2"/>
                <w:sz w:val="24"/>
                <w:szCs w:val="20"/>
                <w:highlight w:val="none"/>
                <w:lang w:val="en-US" w:eastAsia="zh-CN" w:bidi="ar-SA"/>
              </w:rPr>
              <w:t>包括但不限于</w:t>
            </w:r>
            <w:r>
              <w:rPr>
                <w:rFonts w:hint="eastAsia" w:ascii="宋体" w:hAnsi="宋体" w:eastAsia="宋体" w:cs="宋体"/>
                <w:bCs/>
                <w:color w:val="auto"/>
                <w:kern w:val="2"/>
                <w:sz w:val="24"/>
                <w:szCs w:val="20"/>
                <w:highlight w:val="none"/>
                <w:lang w:val="en-US" w:eastAsia="zh-CN" w:bidi="ar-SA"/>
              </w:rPr>
              <w:t>整体实力、服务期限内满足釆购人质量要求</w:t>
            </w:r>
            <w:r>
              <w:rPr>
                <w:rFonts w:hint="eastAsia" w:ascii="宋体" w:hAnsi="宋体" w:cs="宋体"/>
                <w:bCs/>
                <w:color w:val="auto"/>
                <w:kern w:val="2"/>
                <w:sz w:val="24"/>
                <w:szCs w:val="20"/>
                <w:highlight w:val="none"/>
                <w:lang w:val="en-US" w:eastAsia="zh-CN" w:bidi="ar-SA"/>
              </w:rPr>
              <w:t>承诺、</w:t>
            </w:r>
            <w:r>
              <w:rPr>
                <w:rFonts w:hint="eastAsia" w:ascii="宋体" w:hAnsi="宋体" w:eastAsia="宋体" w:cs="宋体"/>
                <w:bCs/>
                <w:color w:val="auto"/>
                <w:kern w:val="2"/>
                <w:sz w:val="24"/>
                <w:szCs w:val="20"/>
                <w:highlight w:val="none"/>
                <w:lang w:val="en-US" w:eastAsia="zh-CN" w:bidi="ar-SA"/>
              </w:rPr>
              <w:t>详尽的质量保证措施</w:t>
            </w:r>
            <w:r>
              <w:rPr>
                <w:rFonts w:hint="eastAsia" w:ascii="宋体" w:hAnsi="宋体" w:cs="宋体"/>
                <w:bCs/>
                <w:color w:val="auto"/>
                <w:kern w:val="2"/>
                <w:sz w:val="24"/>
                <w:szCs w:val="20"/>
                <w:highlight w:val="none"/>
                <w:lang w:val="en-US" w:eastAsia="zh-CN" w:bidi="ar-SA"/>
              </w:rPr>
              <w:t>、</w:t>
            </w:r>
            <w:r>
              <w:rPr>
                <w:rFonts w:hint="eastAsia" w:ascii="宋体" w:hAnsi="宋体" w:eastAsia="宋体" w:cs="宋体"/>
                <w:bCs/>
                <w:color w:val="auto"/>
                <w:kern w:val="2"/>
                <w:sz w:val="24"/>
                <w:szCs w:val="20"/>
                <w:highlight w:val="none"/>
                <w:lang w:val="en-US" w:eastAsia="zh-CN" w:bidi="ar-SA"/>
              </w:rPr>
              <w:t>创新能力、严格执行国家或行业规范和标准等）得</w:t>
            </w:r>
            <w:r>
              <w:rPr>
                <w:rFonts w:hint="eastAsia" w:ascii="宋体" w:hAnsi="宋体" w:cs="宋体"/>
                <w:bCs/>
                <w:color w:val="auto"/>
                <w:kern w:val="2"/>
                <w:sz w:val="24"/>
                <w:szCs w:val="20"/>
                <w:highlight w:val="none"/>
                <w:lang w:val="en-US" w:eastAsia="zh-CN" w:bidi="ar-SA"/>
              </w:rPr>
              <w:t>15</w:t>
            </w:r>
            <w:r>
              <w:rPr>
                <w:rFonts w:hint="eastAsia" w:ascii="宋体" w:hAnsi="宋体" w:eastAsia="宋体" w:cs="宋体"/>
                <w:bCs/>
                <w:color w:val="auto"/>
                <w:kern w:val="2"/>
                <w:sz w:val="24"/>
                <w:szCs w:val="20"/>
                <w:highlight w:val="none"/>
                <w:lang w:val="en-US" w:eastAsia="zh-CN" w:bidi="ar-SA"/>
              </w:rPr>
              <w:t>分，不提供不得分。</w:t>
            </w:r>
          </w:p>
        </w:tc>
      </w:tr>
      <w:tr w14:paraId="0725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187" w:type="dxa"/>
            <w:vMerge w:val="continue"/>
            <w:tcBorders>
              <w:tl2br w:val="nil"/>
              <w:tr2bl w:val="nil"/>
            </w:tcBorders>
            <w:vAlign w:val="center"/>
          </w:tcPr>
          <w:p w14:paraId="7344F867">
            <w:pPr>
              <w:keepNext w:val="0"/>
              <w:keepLines w:val="0"/>
              <w:pageBreakBefore w:val="0"/>
              <w:kinsoku/>
              <w:wordWrap/>
              <w:overflowPunct/>
              <w:topLinePunct w:val="0"/>
              <w:autoSpaceDE/>
              <w:autoSpaceDN/>
              <w:bidi w:val="0"/>
              <w:adjustRightInd w:val="0"/>
              <w:snapToGrid w:val="0"/>
              <w:spacing w:line="288" w:lineRule="auto"/>
              <w:textAlignment w:val="auto"/>
              <w:rPr>
                <w:rFonts w:ascii="宋体" w:hAnsi="宋体" w:cs="宋体"/>
                <w:color w:val="auto"/>
                <w:sz w:val="24"/>
                <w:highlight w:val="none"/>
              </w:rPr>
            </w:pPr>
          </w:p>
        </w:tc>
        <w:tc>
          <w:tcPr>
            <w:tcW w:w="1944" w:type="dxa"/>
            <w:tcBorders>
              <w:tl2br w:val="nil"/>
              <w:tr2bl w:val="nil"/>
            </w:tcBorders>
            <w:vAlign w:val="center"/>
          </w:tcPr>
          <w:p w14:paraId="64DA7972">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业绩</w:t>
            </w:r>
          </w:p>
          <w:p w14:paraId="65092C27">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w:t>
            </w:r>
            <w:r>
              <w:rPr>
                <w:rFonts w:hint="eastAsia" w:ascii="宋体" w:hAnsi="宋体" w:cs="宋体"/>
                <w:bCs/>
                <w:color w:val="auto"/>
                <w:kern w:val="2"/>
                <w:sz w:val="24"/>
                <w:szCs w:val="20"/>
                <w:highlight w:val="none"/>
                <w:lang w:val="en-US" w:eastAsia="zh-CN" w:bidi="ar-SA"/>
              </w:rPr>
              <w:t>6</w:t>
            </w:r>
            <w:r>
              <w:rPr>
                <w:rFonts w:hint="eastAsia" w:ascii="宋体" w:hAnsi="宋体" w:eastAsia="宋体" w:cs="宋体"/>
                <w:bCs/>
                <w:color w:val="auto"/>
                <w:kern w:val="2"/>
                <w:sz w:val="24"/>
                <w:szCs w:val="20"/>
                <w:highlight w:val="none"/>
                <w:lang w:val="en-US" w:eastAsia="zh-CN" w:bidi="ar-SA"/>
              </w:rPr>
              <w:t>分）</w:t>
            </w:r>
          </w:p>
        </w:tc>
        <w:tc>
          <w:tcPr>
            <w:tcW w:w="6891" w:type="dxa"/>
            <w:gridSpan w:val="2"/>
            <w:tcBorders>
              <w:tl2br w:val="nil"/>
              <w:tr2bl w:val="nil"/>
            </w:tcBorders>
            <w:vAlign w:val="center"/>
          </w:tcPr>
          <w:p w14:paraId="04178F46">
            <w:pPr>
              <w:keepNext w:val="0"/>
              <w:keepLines w:val="0"/>
              <w:pageBreakBefore w:val="0"/>
              <w:kinsoku/>
              <w:wordWrap/>
              <w:overflowPunct/>
              <w:topLinePunct w:val="0"/>
              <w:autoSpaceDE/>
              <w:autoSpaceDN/>
              <w:bidi w:val="0"/>
              <w:adjustRightInd w:val="0"/>
              <w:snapToGrid w:val="0"/>
              <w:spacing w:line="288" w:lineRule="auto"/>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zh-CN" w:eastAsia="zh-CN" w:bidi="ar-SA"/>
              </w:rPr>
              <w:t>提供</w:t>
            </w:r>
            <w:r>
              <w:rPr>
                <w:rFonts w:hint="eastAsia" w:ascii="宋体" w:hAnsi="宋体" w:eastAsia="宋体" w:cs="宋体"/>
                <w:bCs/>
                <w:color w:val="auto"/>
                <w:kern w:val="2"/>
                <w:sz w:val="24"/>
                <w:szCs w:val="20"/>
                <w:highlight w:val="none"/>
                <w:lang w:val="en-US" w:eastAsia="zh-CN" w:bidi="ar-SA"/>
              </w:rPr>
              <w:t>20</w:t>
            </w:r>
            <w:r>
              <w:rPr>
                <w:rFonts w:hint="eastAsia" w:ascii="宋体" w:hAnsi="宋体" w:cs="宋体"/>
                <w:bCs/>
                <w:color w:val="auto"/>
                <w:kern w:val="2"/>
                <w:sz w:val="24"/>
                <w:szCs w:val="20"/>
                <w:highlight w:val="none"/>
                <w:lang w:val="en-US" w:eastAsia="zh-CN" w:bidi="ar-SA"/>
              </w:rPr>
              <w:t>22</w:t>
            </w:r>
            <w:r>
              <w:rPr>
                <w:rFonts w:hint="eastAsia" w:ascii="宋体" w:hAnsi="宋体" w:eastAsia="宋体" w:cs="宋体"/>
                <w:bCs/>
                <w:color w:val="auto"/>
                <w:kern w:val="2"/>
                <w:sz w:val="24"/>
                <w:szCs w:val="20"/>
                <w:highlight w:val="none"/>
                <w:lang w:val="en-US" w:eastAsia="zh-CN" w:bidi="ar-SA"/>
              </w:rPr>
              <w:t>年1月</w:t>
            </w:r>
            <w:r>
              <w:rPr>
                <w:rFonts w:hint="eastAsia" w:ascii="宋体" w:hAnsi="宋体" w:eastAsia="宋体" w:cs="宋体"/>
                <w:bCs/>
                <w:color w:val="auto"/>
                <w:kern w:val="2"/>
                <w:sz w:val="24"/>
                <w:szCs w:val="20"/>
                <w:highlight w:val="none"/>
                <w:lang w:val="zh-CN" w:eastAsia="zh-CN" w:bidi="ar-SA"/>
              </w:rPr>
              <w:t>以来承担过的类似项目业绩，每提供1个得</w:t>
            </w:r>
            <w:r>
              <w:rPr>
                <w:rFonts w:hint="eastAsia" w:ascii="宋体" w:hAnsi="宋体" w:eastAsia="宋体" w:cs="宋体"/>
                <w:bCs/>
                <w:color w:val="auto"/>
                <w:kern w:val="2"/>
                <w:sz w:val="24"/>
                <w:szCs w:val="20"/>
                <w:highlight w:val="none"/>
                <w:lang w:val="en-US" w:eastAsia="zh-CN" w:bidi="ar-SA"/>
              </w:rPr>
              <w:t>2</w:t>
            </w:r>
            <w:r>
              <w:rPr>
                <w:rFonts w:hint="eastAsia" w:ascii="宋体" w:hAnsi="宋体" w:eastAsia="宋体" w:cs="宋体"/>
                <w:bCs/>
                <w:color w:val="auto"/>
                <w:kern w:val="2"/>
                <w:sz w:val="24"/>
                <w:szCs w:val="20"/>
                <w:highlight w:val="none"/>
                <w:lang w:val="zh-CN" w:eastAsia="zh-CN" w:bidi="ar-SA"/>
              </w:rPr>
              <w:t>分，</w:t>
            </w:r>
            <w:r>
              <w:rPr>
                <w:rFonts w:hint="eastAsia" w:ascii="宋体" w:hAnsi="宋体" w:cs="宋体"/>
                <w:bCs/>
                <w:color w:val="auto"/>
                <w:kern w:val="2"/>
                <w:sz w:val="24"/>
                <w:szCs w:val="20"/>
                <w:highlight w:val="none"/>
                <w:lang w:val="en-US" w:eastAsia="zh-CN" w:bidi="ar-SA"/>
              </w:rPr>
              <w:t>最高得6分</w:t>
            </w:r>
            <w:r>
              <w:rPr>
                <w:rFonts w:hint="eastAsia" w:ascii="宋体" w:hAnsi="宋体" w:eastAsia="宋体" w:cs="宋体"/>
                <w:bCs/>
                <w:color w:val="auto"/>
                <w:kern w:val="2"/>
                <w:sz w:val="24"/>
                <w:szCs w:val="20"/>
                <w:highlight w:val="none"/>
                <w:lang w:val="zh-CN" w:eastAsia="zh-CN" w:bidi="ar-SA"/>
              </w:rPr>
              <w:t>（注：类似项目业绩以合同或协议书为准，要求必须提供与最终用户签订的合同首页、合同金额所在页、签字盖章页、合同签订日期页的复印件作为证明）</w:t>
            </w:r>
            <w:r>
              <w:rPr>
                <w:rFonts w:hint="eastAsia" w:ascii="宋体" w:hAnsi="宋体" w:cs="宋体"/>
                <w:bCs/>
                <w:color w:val="auto"/>
                <w:kern w:val="2"/>
                <w:sz w:val="24"/>
                <w:szCs w:val="20"/>
                <w:highlight w:val="none"/>
                <w:lang w:val="en-US" w:eastAsia="zh-CN" w:bidi="ar-SA"/>
              </w:rPr>
              <w:t>。</w:t>
            </w:r>
          </w:p>
        </w:tc>
      </w:tr>
      <w:tr w14:paraId="4614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187" w:type="dxa"/>
            <w:vMerge w:val="continue"/>
            <w:tcBorders>
              <w:tl2br w:val="nil"/>
              <w:tr2bl w:val="nil"/>
            </w:tcBorders>
            <w:vAlign w:val="center"/>
          </w:tcPr>
          <w:p w14:paraId="77E07795">
            <w:pPr>
              <w:keepNext w:val="0"/>
              <w:keepLines w:val="0"/>
              <w:pageBreakBefore w:val="0"/>
              <w:kinsoku/>
              <w:wordWrap/>
              <w:overflowPunct/>
              <w:topLinePunct w:val="0"/>
              <w:autoSpaceDE/>
              <w:autoSpaceDN/>
              <w:bidi w:val="0"/>
              <w:adjustRightInd w:val="0"/>
              <w:snapToGrid w:val="0"/>
              <w:spacing w:line="288" w:lineRule="auto"/>
              <w:textAlignment w:val="auto"/>
              <w:rPr>
                <w:rFonts w:ascii="宋体" w:hAnsi="宋体" w:cs="宋体"/>
                <w:color w:val="auto"/>
                <w:sz w:val="24"/>
                <w:highlight w:val="none"/>
              </w:rPr>
            </w:pPr>
          </w:p>
        </w:tc>
        <w:tc>
          <w:tcPr>
            <w:tcW w:w="1944" w:type="dxa"/>
            <w:tcBorders>
              <w:tl2br w:val="nil"/>
              <w:tr2bl w:val="nil"/>
            </w:tcBorders>
            <w:shd w:val="clear" w:color="auto" w:fill="auto"/>
            <w:vAlign w:val="center"/>
          </w:tcPr>
          <w:p w14:paraId="4AC4179D">
            <w:pPr>
              <w:pStyle w:val="26"/>
              <w:keepNext w:val="0"/>
              <w:keepLines w:val="0"/>
              <w:pageBreakBefore w:val="0"/>
              <w:kinsoku/>
              <w:wordWrap/>
              <w:overflowPunct/>
              <w:topLinePunct w:val="0"/>
              <w:autoSpaceDE/>
              <w:autoSpaceDN/>
              <w:bidi w:val="0"/>
              <w:adjustRightInd w:val="0"/>
              <w:snapToGrid w:val="0"/>
              <w:spacing w:after="0" w:line="288" w:lineRule="auto"/>
              <w:ind w:right="0" w:firstLine="0" w:firstLineChars="0"/>
              <w:jc w:val="center"/>
              <w:textAlignment w:val="auto"/>
              <w:rPr>
                <w:rFonts w:hint="eastAsia" w:ascii="宋体" w:hAnsi="宋体" w:cs="宋体"/>
                <w:bCs/>
                <w:color w:val="auto"/>
                <w:sz w:val="24"/>
                <w:szCs w:val="20"/>
                <w:highlight w:val="none"/>
              </w:rPr>
            </w:pPr>
            <w:r>
              <w:rPr>
                <w:rFonts w:hint="eastAsia" w:ascii="宋体" w:hAnsi="宋体" w:cs="宋体"/>
                <w:bCs/>
                <w:color w:val="auto"/>
                <w:sz w:val="24"/>
                <w:szCs w:val="20"/>
                <w:highlight w:val="none"/>
              </w:rPr>
              <w:t>企业实力</w:t>
            </w:r>
          </w:p>
          <w:p w14:paraId="32571940">
            <w:pPr>
              <w:pStyle w:val="26"/>
              <w:keepNext w:val="0"/>
              <w:keepLines w:val="0"/>
              <w:pageBreakBefore w:val="0"/>
              <w:kinsoku/>
              <w:wordWrap/>
              <w:overflowPunct/>
              <w:topLinePunct w:val="0"/>
              <w:autoSpaceDE/>
              <w:autoSpaceDN/>
              <w:bidi w:val="0"/>
              <w:adjustRightInd w:val="0"/>
              <w:snapToGrid w:val="0"/>
              <w:spacing w:after="0" w:line="288" w:lineRule="auto"/>
              <w:ind w:right="0" w:rightChars="0" w:firstLine="0" w:firstLineChars="0"/>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cs="宋体"/>
                <w:bCs/>
                <w:color w:val="auto"/>
                <w:sz w:val="24"/>
                <w:szCs w:val="20"/>
                <w:highlight w:val="none"/>
              </w:rPr>
              <w:t>（</w:t>
            </w:r>
            <w:r>
              <w:rPr>
                <w:rFonts w:hint="eastAsia" w:ascii="宋体" w:hAnsi="宋体" w:cs="宋体"/>
                <w:bCs/>
                <w:color w:val="auto"/>
                <w:sz w:val="24"/>
                <w:szCs w:val="20"/>
                <w:highlight w:val="none"/>
                <w:lang w:val="en-US" w:eastAsia="zh-CN"/>
              </w:rPr>
              <w:t>6</w:t>
            </w:r>
            <w:r>
              <w:rPr>
                <w:rFonts w:hint="eastAsia" w:ascii="宋体" w:hAnsi="宋体" w:cs="宋体"/>
                <w:bCs/>
                <w:color w:val="auto"/>
                <w:sz w:val="24"/>
                <w:szCs w:val="20"/>
                <w:highlight w:val="none"/>
              </w:rPr>
              <w:t>分）</w:t>
            </w:r>
          </w:p>
        </w:tc>
        <w:tc>
          <w:tcPr>
            <w:tcW w:w="6891" w:type="dxa"/>
            <w:gridSpan w:val="2"/>
            <w:tcBorders>
              <w:tl2br w:val="nil"/>
              <w:tr2bl w:val="nil"/>
            </w:tcBorders>
            <w:shd w:val="clear" w:color="auto" w:fill="auto"/>
            <w:vAlign w:val="center"/>
          </w:tcPr>
          <w:p w14:paraId="013CF3A2">
            <w:pPr>
              <w:pStyle w:val="26"/>
              <w:keepNext w:val="0"/>
              <w:keepLines w:val="0"/>
              <w:pageBreakBefore w:val="0"/>
              <w:kinsoku/>
              <w:wordWrap/>
              <w:overflowPunct/>
              <w:topLinePunct w:val="0"/>
              <w:autoSpaceDE/>
              <w:autoSpaceDN/>
              <w:bidi w:val="0"/>
              <w:adjustRightInd w:val="0"/>
              <w:snapToGrid w:val="0"/>
              <w:spacing w:after="0" w:line="288" w:lineRule="auto"/>
              <w:ind w:right="0" w:rightChars="0" w:firstLine="0" w:firstLineChars="0"/>
              <w:jc w:val="both"/>
              <w:textAlignment w:val="auto"/>
              <w:rPr>
                <w:rFonts w:hint="eastAsia" w:ascii="宋体" w:hAnsi="宋体" w:eastAsia="宋体" w:cs="宋体"/>
                <w:bCs/>
                <w:color w:val="auto"/>
                <w:kern w:val="2"/>
                <w:sz w:val="24"/>
                <w:szCs w:val="20"/>
                <w:highlight w:val="none"/>
                <w:lang w:val="zh-CN" w:eastAsia="zh-CN" w:bidi="ar-SA"/>
              </w:rPr>
            </w:pPr>
            <w:r>
              <w:rPr>
                <w:rFonts w:hint="eastAsia" w:ascii="宋体" w:hAnsi="宋体" w:cs="宋体"/>
                <w:bCs/>
                <w:color w:val="auto"/>
                <w:sz w:val="24"/>
                <w:szCs w:val="20"/>
                <w:highlight w:val="none"/>
              </w:rPr>
              <w:t>供应商同时具有质量管理体系、环境管理体系、职业健康安全管理体系认证证书等三证齐全的得</w:t>
            </w:r>
            <w:r>
              <w:rPr>
                <w:rFonts w:hint="eastAsia" w:ascii="宋体" w:hAnsi="宋体" w:cs="宋体"/>
                <w:bCs/>
                <w:color w:val="auto"/>
                <w:sz w:val="24"/>
                <w:szCs w:val="20"/>
                <w:highlight w:val="none"/>
                <w:lang w:val="en-US" w:eastAsia="zh-CN"/>
              </w:rPr>
              <w:t>6</w:t>
            </w:r>
            <w:r>
              <w:rPr>
                <w:rFonts w:hint="eastAsia" w:ascii="宋体" w:hAnsi="宋体" w:cs="宋体"/>
                <w:bCs/>
                <w:color w:val="auto"/>
                <w:sz w:val="24"/>
                <w:szCs w:val="20"/>
                <w:highlight w:val="none"/>
              </w:rPr>
              <w:t>分，缺一项</w:t>
            </w:r>
            <w:r>
              <w:rPr>
                <w:rFonts w:hint="eastAsia" w:ascii="宋体" w:hAnsi="宋体" w:cs="宋体"/>
                <w:bCs/>
                <w:color w:val="auto"/>
                <w:sz w:val="24"/>
                <w:szCs w:val="20"/>
                <w:highlight w:val="none"/>
                <w:lang w:val="en-US" w:eastAsia="zh-CN"/>
              </w:rPr>
              <w:t>扣2</w:t>
            </w:r>
            <w:r>
              <w:rPr>
                <w:rFonts w:hint="eastAsia" w:ascii="宋体" w:hAnsi="宋体" w:cs="宋体"/>
                <w:bCs/>
                <w:color w:val="auto"/>
                <w:sz w:val="24"/>
                <w:szCs w:val="20"/>
                <w:highlight w:val="none"/>
              </w:rPr>
              <w:t>分。（提供</w:t>
            </w:r>
            <w:r>
              <w:rPr>
                <w:rFonts w:hint="eastAsia" w:ascii="宋体" w:hAnsi="宋体" w:cs="宋体"/>
                <w:bCs/>
                <w:color w:val="auto"/>
                <w:sz w:val="24"/>
                <w:szCs w:val="20"/>
                <w:highlight w:val="none"/>
                <w:lang w:val="en-US" w:eastAsia="zh-CN"/>
              </w:rPr>
              <w:t>有效期内的</w:t>
            </w:r>
            <w:r>
              <w:rPr>
                <w:rFonts w:hint="eastAsia" w:ascii="宋体" w:hAnsi="宋体" w:cs="宋体"/>
                <w:bCs/>
                <w:color w:val="auto"/>
                <w:sz w:val="24"/>
                <w:szCs w:val="20"/>
                <w:highlight w:val="none"/>
              </w:rPr>
              <w:t>证书扫描件）</w:t>
            </w:r>
          </w:p>
        </w:tc>
      </w:tr>
    </w:tbl>
    <w:p w14:paraId="4B137F9F">
      <w:pPr>
        <w:spacing w:line="560" w:lineRule="exact"/>
        <w:rPr>
          <w:rFonts w:hint="eastAsia" w:ascii="宋体" w:hAnsi="宋体" w:cs="宋体"/>
          <w:b/>
          <w:color w:val="auto"/>
          <w:sz w:val="24"/>
          <w:highlight w:val="none"/>
        </w:rPr>
      </w:pPr>
    </w:p>
    <w:p w14:paraId="2DAE412C">
      <w:pPr>
        <w:spacing w:line="560" w:lineRule="exact"/>
        <w:rPr>
          <w:rFonts w:ascii="宋体" w:hAnsi="宋体" w:cs="宋体"/>
          <w:b/>
          <w:color w:val="auto"/>
          <w:sz w:val="24"/>
          <w:highlight w:val="none"/>
        </w:rPr>
      </w:pPr>
      <w:r>
        <w:rPr>
          <w:rFonts w:hint="eastAsia" w:ascii="宋体" w:hAnsi="宋体" w:cs="宋体"/>
          <w:b/>
          <w:color w:val="auto"/>
          <w:sz w:val="24"/>
          <w:highlight w:val="none"/>
        </w:rPr>
        <w:t xml:space="preserve">  最终得分为磋商小组所有成员计分的算术平均值，计算保留小数点两位，小数点后第三位四舍五入。</w:t>
      </w:r>
    </w:p>
    <w:p w14:paraId="1106ED7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14:paraId="51D15FE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857E632">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22.5若供应商的报价高于项目预算，磋商小组有权根据采购人意见及其实际情况，拒绝该报价。</w:t>
      </w:r>
    </w:p>
    <w:p w14:paraId="0F26F37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6457EEC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22.7在竞争性磋商期间，供应商不得向竞争性磋商小组成员询问其它供应商竞争性磋商情况，不得进行旨在影响成交结果的活动。供应商须保</w:t>
      </w:r>
      <w:r>
        <w:rPr>
          <w:rFonts w:hint="eastAsia" w:ascii="宋体" w:hAnsi="宋体" w:cs="宋体"/>
          <w:color w:val="auto"/>
          <w:sz w:val="2"/>
          <w:szCs w:val="2"/>
          <w:highlight w:val="none"/>
          <w:vertAlign w:val="superscript"/>
        </w:rPr>
        <w:t xml:space="preserve"> </w:t>
      </w:r>
      <w:r>
        <w:rPr>
          <w:rFonts w:hint="eastAsia" w:ascii="宋体" w:hAnsi="宋体" w:cs="宋体"/>
          <w:color w:val="auto"/>
          <w:sz w:val="24"/>
          <w:highlight w:val="none"/>
        </w:rPr>
        <w:t>证不得以任何方式干扰、影响评标工作。</w:t>
      </w:r>
    </w:p>
    <w:p w14:paraId="1C6F54F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22.8在竞争性磋商期间，采购人将有专门人员与供应商进行联络。</w:t>
      </w:r>
    </w:p>
    <w:p w14:paraId="761BE61D">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23.竞争性磋商终止</w:t>
      </w:r>
    </w:p>
    <w:p w14:paraId="2757EAEF">
      <w:pPr>
        <w:spacing w:line="56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23.1出现下列情形之一时，采购人有权宣布竞争性磋商终止，并将理由通知所有供应商：</w:t>
      </w:r>
    </w:p>
    <w:p w14:paraId="72DCAB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（1）因情况变化，不再符合竞争性磋商适用情形的；</w:t>
      </w:r>
    </w:p>
    <w:p w14:paraId="169F4A0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77E75AA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（3）在采购过程中符合磋商文件要求的供应商不足3家的；</w:t>
      </w:r>
    </w:p>
    <w:p w14:paraId="018EE69C">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（4）在采购活动中因重大变故，采购任务取消的；</w:t>
      </w:r>
    </w:p>
    <w:p w14:paraId="6231AC09">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七、成交通知</w:t>
      </w:r>
    </w:p>
    <w:p w14:paraId="26A1CC69">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24.成交通知</w:t>
      </w:r>
    </w:p>
    <w:p w14:paraId="282B8FBE">
      <w:pPr>
        <w:pStyle w:val="3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24.1采购人应当自收到评审报告之日起5个工作日内在评审报告推荐的中标或者成交候选人中按顺序确定中标或者成交供应商。</w:t>
      </w:r>
    </w:p>
    <w:p w14:paraId="2A363D53">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24.2在发出成交公告后请采购人、中标人登录周口市公共资源交易中心网（http://jyzx.zhoukou.gov.cn）自行下载</w:t>
      </w:r>
      <w:r>
        <w:rPr>
          <w:rFonts w:hint="eastAsia" w:cs="宋体"/>
          <w:color w:val="auto"/>
          <w:sz w:val="24"/>
          <w:highlight w:val="none"/>
        </w:rPr>
        <w:t>成交</w:t>
      </w:r>
      <w:r>
        <w:rPr>
          <w:rFonts w:hint="eastAsia" w:ascii="宋体" w:hAnsi="宋体" w:cs="宋体"/>
          <w:color w:val="auto"/>
          <w:sz w:val="24"/>
          <w:highlight w:val="none"/>
        </w:rPr>
        <w:t>通知书。</w:t>
      </w:r>
    </w:p>
    <w:p w14:paraId="7DDB4FB2">
      <w:pPr>
        <w:tabs>
          <w:tab w:val="left" w:pos="180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24.3成交通知书对采购人和成交供应商具有同等法律效力。成交通知书发出后，采购人改变成交结果，或者成交供应商放弃成交，应当承担相应的法律责任。</w:t>
      </w:r>
    </w:p>
    <w:p w14:paraId="618D68DB">
      <w:pPr>
        <w:spacing w:line="720" w:lineRule="auto"/>
        <w:jc w:val="center"/>
        <w:rPr>
          <w:rFonts w:ascii="宋体" w:hAnsi="宋体" w:cs="宋体"/>
          <w:color w:val="auto"/>
          <w:sz w:val="24"/>
          <w:highlight w:val="none"/>
        </w:rPr>
      </w:pPr>
      <w:r>
        <w:rPr>
          <w:rFonts w:hint="eastAsia" w:ascii="宋体" w:hAnsi="宋体" w:cs="宋体"/>
          <w:b/>
          <w:color w:val="auto"/>
          <w:sz w:val="24"/>
          <w:highlight w:val="none"/>
        </w:rPr>
        <w:t>八、合同授予</w:t>
      </w:r>
    </w:p>
    <w:p w14:paraId="08FC89E1">
      <w:pPr>
        <w:tabs>
          <w:tab w:val="left" w:pos="162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25.签订合同及合同的执行</w:t>
      </w:r>
    </w:p>
    <w:p w14:paraId="5B423A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25.1采购人、成交供应商按照竞争性磋商文件确定的合同文本签订政府采购合同。</w:t>
      </w:r>
    </w:p>
    <w:p w14:paraId="16DB8D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7FC3296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D18F1AB">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九、质疑处理</w:t>
      </w:r>
    </w:p>
    <w:p w14:paraId="40FC1A71">
      <w:pPr>
        <w:pStyle w:val="3"/>
        <w:spacing w:line="560" w:lineRule="exact"/>
        <w:ind w:firstLine="482" w:firstLineChars="200"/>
        <w:jc w:val="both"/>
        <w:rPr>
          <w:rFonts w:ascii="宋体" w:hAnsi="宋体" w:cs="宋体"/>
          <w:b/>
          <w:color w:val="auto"/>
          <w:sz w:val="24"/>
          <w:highlight w:val="none"/>
        </w:rPr>
      </w:pPr>
      <w:r>
        <w:rPr>
          <w:rFonts w:hint="eastAsia" w:ascii="宋体" w:hAnsi="宋体" w:cs="宋体"/>
          <w:b/>
          <w:color w:val="auto"/>
          <w:sz w:val="24"/>
          <w:highlight w:val="none"/>
        </w:rPr>
        <w:t>26.质疑程序及处理</w:t>
      </w:r>
    </w:p>
    <w:p w14:paraId="228F3B7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w:t>
      </w:r>
      <w:r>
        <w:rPr>
          <w:rFonts w:hint="eastAsia" w:ascii="宋体" w:hAnsi="宋体" w:cs="宋体"/>
          <w:bCs/>
          <w:color w:val="auto"/>
          <w:sz w:val="24"/>
          <w:highlight w:val="none"/>
        </w:rPr>
        <w:t>投标人认为采购过程、成交结果使自己的合法权益受到损害的，可以在知道或应当知道自己的权益受到损害之日起7个工作日内，由投标人授权代表（或法人代表）按照相关规定，向采购人提出质疑，逾期不予受理。如果对竞争性磋商文件没有异议，需在响应性文件中出具对竞争性磋商文件无异议承诺书，无此承诺将被视为无效。</w:t>
      </w:r>
    </w:p>
    <w:p w14:paraId="6BEA0D7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26.2采购人在收到供应商的书面质疑后七个工作日内做出答复，并以书面形式通知质疑供应商和其他供应商，但答复内容不得涉及商业秘密。</w:t>
      </w:r>
    </w:p>
    <w:p w14:paraId="0D136D05">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26.3</w:t>
      </w:r>
      <w:r>
        <w:rPr>
          <w:rFonts w:hint="eastAsia" w:ascii="宋体" w:hAnsi="宋体" w:cs="宋体"/>
          <w:bCs/>
          <w:color w:val="auto"/>
          <w:sz w:val="24"/>
          <w:highlight w:val="none"/>
        </w:rPr>
        <w:t>质疑供应商行使质疑权时，必须遵守“实事求是”和“谨慎性”原则，承担使用虚假材料或恶意方式质疑的法律责任，</w:t>
      </w:r>
      <w:r>
        <w:rPr>
          <w:rFonts w:hint="eastAsia" w:ascii="宋体" w:hAnsi="宋体" w:cs="宋体"/>
          <w:color w:val="auto"/>
          <w:sz w:val="24"/>
          <w:highlight w:val="none"/>
        </w:rPr>
        <w:t>采购人</w:t>
      </w:r>
      <w:r>
        <w:rPr>
          <w:rFonts w:hint="eastAsia" w:ascii="宋体" w:hAnsi="宋体" w:cs="宋体"/>
          <w:bCs/>
          <w:color w:val="auto"/>
          <w:sz w:val="24"/>
          <w:highlight w:val="none"/>
        </w:rPr>
        <w:t>将遵循“谁过错谁负担”的原则，由过错方提交相关的调查论证费用。</w:t>
      </w:r>
    </w:p>
    <w:p w14:paraId="3D4A03C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7F648A1B">
      <w:pPr>
        <w:spacing w:line="560" w:lineRule="exact"/>
        <w:rPr>
          <w:rFonts w:ascii="宋体" w:hAnsi="宋体" w:cs="宋体"/>
          <w:color w:val="auto"/>
          <w:sz w:val="24"/>
          <w:highlight w:val="none"/>
        </w:rPr>
        <w:sectPr>
          <w:headerReference r:id="rId3" w:type="default"/>
          <w:footerReference r:id="rId4" w:type="default"/>
          <w:pgSz w:w="11907" w:h="16840"/>
          <w:pgMar w:top="2098" w:right="1474" w:bottom="1985" w:left="1588" w:header="851" w:footer="992" w:gutter="0"/>
          <w:pgBorders>
            <w:top w:val="none" w:sz="0" w:space="0"/>
            <w:left w:val="none" w:sz="0" w:space="0"/>
            <w:bottom w:val="none" w:sz="0" w:space="0"/>
            <w:right w:val="none" w:sz="0" w:space="0"/>
          </w:pgBorders>
          <w:cols w:space="720" w:num="1"/>
          <w:docGrid w:type="lines" w:linePitch="312" w:charSpace="0"/>
        </w:sectPr>
      </w:pPr>
    </w:p>
    <w:p w14:paraId="27A56B3A">
      <w:pPr>
        <w:jc w:val="center"/>
        <w:rPr>
          <w:rFonts w:ascii="宋体" w:hAnsi="宋体" w:cs="宋体"/>
          <w:b/>
          <w:color w:val="auto"/>
          <w:sz w:val="24"/>
          <w:highlight w:val="none"/>
        </w:rPr>
      </w:pPr>
      <w:r>
        <w:rPr>
          <w:rFonts w:hint="eastAsia" w:ascii="宋体" w:hAnsi="宋体" w:cs="宋体"/>
          <w:b/>
          <w:color w:val="auto"/>
          <w:sz w:val="36"/>
          <w:szCs w:val="36"/>
          <w:highlight w:val="none"/>
        </w:rPr>
        <w:t>第三章 采购项目内容及要求</w:t>
      </w:r>
    </w:p>
    <w:p w14:paraId="29BE7AA5">
      <w:pPr>
        <w:widowControl w:val="0"/>
        <w:ind w:firstLine="560" w:firstLineChars="200"/>
        <w:jc w:val="both"/>
        <w:rPr>
          <w:rFonts w:hint="eastAsia" w:ascii="仿宋_GB2312" w:hAnsi="Calibri" w:eastAsia="仿宋_GB2312" w:cs="Times New Roman"/>
          <w:b w:val="0"/>
          <w:color w:val="auto"/>
          <w:kern w:val="2"/>
          <w:sz w:val="28"/>
          <w:szCs w:val="28"/>
          <w:highlight w:val="none"/>
          <w:u w:val="none"/>
          <w:lang w:val="zh-CN" w:eastAsia="zh-CN" w:bidi="ar-SA"/>
        </w:rPr>
      </w:pPr>
      <w:r>
        <w:rPr>
          <w:rFonts w:hint="eastAsia" w:ascii="仿宋_GB2312" w:hAnsi="Calibri" w:eastAsia="仿宋_GB2312" w:cs="Times New Roman"/>
          <w:b w:val="0"/>
          <w:color w:val="auto"/>
          <w:kern w:val="2"/>
          <w:sz w:val="28"/>
          <w:szCs w:val="28"/>
          <w:highlight w:val="none"/>
          <w:u w:val="none"/>
          <w:lang w:val="en-US" w:eastAsia="zh-CN" w:bidi="ar-SA"/>
        </w:rPr>
        <w:t>项目建设内容和规模：管网升级改造涉及19条道路供水管道提升改造，6条道路供水管道连通，铺设管网（PE管）总长度63.1千米，其中：改造DN100供水管网0.8千米，改造DN160供水管网0.8千米，改造DN200供水管网2.6千米,改造DN315供水管网18.4千米,改造DN400供水管网30千米，改造DN500供水管网10.5千米，同时配套建设管网管件、管箍、检查井等设施；新建地下式加压泵站设施2座、增设远程分区计量装置92 套、远传压力监测点19套、水质监测系统19套，监测设备覆盖城区供水管道289千米，初步设计、勘察设计。</w:t>
      </w:r>
    </w:p>
    <w:p w14:paraId="24609F1B">
      <w:pPr>
        <w:spacing w:beforeLines="0" w:afterLines="0"/>
        <w:rPr>
          <w:rFonts w:hint="eastAsia" w:ascii="仿宋_GB2312" w:hAnsi="Calibri" w:eastAsia="仿宋_GB2312" w:cs="Times New Roman"/>
          <w:b w:val="0"/>
          <w:color w:val="auto"/>
          <w:kern w:val="2"/>
          <w:sz w:val="28"/>
          <w:szCs w:val="28"/>
          <w:highlight w:val="none"/>
          <w:u w:val="none"/>
          <w:lang w:val="zh-CN" w:eastAsia="zh-CN" w:bidi="ar-SA"/>
        </w:rPr>
      </w:pPr>
      <w:r>
        <w:rPr>
          <w:rFonts w:hint="eastAsia" w:ascii="仿宋_GB2312" w:hAnsi="Calibri" w:eastAsia="仿宋_GB2312" w:cs="Times New Roman"/>
          <w:b w:val="0"/>
          <w:color w:val="auto"/>
          <w:kern w:val="2"/>
          <w:sz w:val="28"/>
          <w:szCs w:val="28"/>
          <w:highlight w:val="none"/>
          <w:u w:val="none"/>
          <w:lang w:val="zh-CN" w:eastAsia="zh-CN" w:bidi="ar-SA"/>
        </w:rPr>
        <w:t>2、服务内容及要求：</w:t>
      </w:r>
    </w:p>
    <w:p w14:paraId="29C499F7">
      <w:pPr>
        <w:spacing w:beforeLines="0" w:afterLines="0"/>
        <w:rPr>
          <w:rFonts w:hint="eastAsia" w:ascii="仿宋_GB2312" w:hAnsi="Calibri" w:eastAsia="仿宋_GB2312" w:cs="Times New Roman"/>
          <w:b w:val="0"/>
          <w:color w:val="auto"/>
          <w:kern w:val="2"/>
          <w:sz w:val="28"/>
          <w:szCs w:val="28"/>
          <w:highlight w:val="none"/>
          <w:u w:val="none"/>
          <w:lang w:val="zh-CN" w:eastAsia="zh-CN" w:bidi="ar-SA"/>
        </w:rPr>
      </w:pPr>
      <w:r>
        <w:rPr>
          <w:rFonts w:hint="eastAsia" w:ascii="仿宋_GB2312" w:hAnsi="Calibri" w:eastAsia="仿宋_GB2312" w:cs="Times New Roman"/>
          <w:b w:val="0"/>
          <w:color w:val="auto"/>
          <w:kern w:val="2"/>
          <w:sz w:val="28"/>
          <w:szCs w:val="28"/>
          <w:highlight w:val="none"/>
          <w:u w:val="none"/>
          <w:lang w:val="zh-CN" w:eastAsia="zh-CN" w:bidi="ar-SA"/>
        </w:rPr>
        <w:t>2.1服务要求：服务年限,在接到采购方服务请求后，1小时响应，2小时内上门解决问题；质保期内提供免费上门服务，质保期外的收费按相关行业规则或由双方协商收取。</w:t>
      </w:r>
    </w:p>
    <w:p w14:paraId="60FE5FF3">
      <w:pPr>
        <w:spacing w:beforeLines="0" w:afterLines="0"/>
        <w:rPr>
          <w:rFonts w:hint="default" w:ascii="仿宋_GB2312" w:hAnsi="Calibri" w:eastAsia="仿宋_GB2312" w:cs="Times New Roman"/>
          <w:b w:val="0"/>
          <w:color w:val="auto"/>
          <w:kern w:val="2"/>
          <w:sz w:val="28"/>
          <w:szCs w:val="28"/>
          <w:highlight w:val="none"/>
          <w:u w:val="none"/>
          <w:lang w:val="en-US" w:eastAsia="zh-CN" w:bidi="ar-SA"/>
        </w:rPr>
      </w:pPr>
      <w:r>
        <w:rPr>
          <w:rFonts w:hint="eastAsia" w:ascii="仿宋_GB2312" w:hAnsi="Calibri" w:eastAsia="仿宋_GB2312" w:cs="Times New Roman"/>
          <w:b w:val="0"/>
          <w:color w:val="auto"/>
          <w:kern w:val="2"/>
          <w:sz w:val="28"/>
          <w:szCs w:val="28"/>
          <w:highlight w:val="none"/>
          <w:u w:val="none"/>
          <w:lang w:val="en-US" w:eastAsia="zh-CN" w:bidi="ar-SA"/>
        </w:rPr>
        <w:t>2.2质量要求：达到国家及行业合格标准。</w:t>
      </w:r>
    </w:p>
    <w:p w14:paraId="76535352">
      <w:pPr>
        <w:spacing w:beforeLines="0" w:afterLines="0"/>
        <w:rPr>
          <w:rFonts w:hint="eastAsia" w:ascii="仿宋_GB2312" w:hAnsi="Calibri" w:eastAsia="仿宋_GB2312" w:cs="Times New Roman"/>
          <w:b w:val="0"/>
          <w:color w:val="auto"/>
          <w:kern w:val="2"/>
          <w:sz w:val="28"/>
          <w:szCs w:val="28"/>
          <w:highlight w:val="none"/>
          <w:u w:val="none"/>
          <w:lang w:val="zh-CN" w:eastAsia="zh-CN" w:bidi="ar-SA"/>
        </w:rPr>
      </w:pPr>
      <w:r>
        <w:rPr>
          <w:rFonts w:hint="eastAsia" w:ascii="仿宋_GB2312" w:hAnsi="Calibri" w:eastAsia="仿宋_GB2312" w:cs="Times New Roman"/>
          <w:b w:val="0"/>
          <w:color w:val="auto"/>
          <w:kern w:val="2"/>
          <w:sz w:val="28"/>
          <w:szCs w:val="28"/>
          <w:highlight w:val="none"/>
          <w:u w:val="none"/>
          <w:lang w:val="zh-CN" w:eastAsia="zh-CN" w:bidi="ar-SA"/>
        </w:rPr>
        <w:t>2.</w:t>
      </w:r>
      <w:r>
        <w:rPr>
          <w:rFonts w:hint="eastAsia" w:ascii="仿宋_GB2312" w:hAnsi="Calibri" w:eastAsia="仿宋_GB2312" w:cs="Times New Roman"/>
          <w:b w:val="0"/>
          <w:color w:val="auto"/>
          <w:kern w:val="2"/>
          <w:sz w:val="28"/>
          <w:szCs w:val="28"/>
          <w:highlight w:val="none"/>
          <w:u w:val="none"/>
          <w:lang w:val="en-US" w:eastAsia="zh-CN" w:bidi="ar-SA"/>
        </w:rPr>
        <w:t>3服务</w:t>
      </w:r>
      <w:r>
        <w:rPr>
          <w:rFonts w:hint="eastAsia" w:ascii="仿宋_GB2312" w:hAnsi="Calibri" w:eastAsia="仿宋_GB2312" w:cs="Times New Roman"/>
          <w:b w:val="0"/>
          <w:color w:val="auto"/>
          <w:kern w:val="2"/>
          <w:sz w:val="28"/>
          <w:szCs w:val="28"/>
          <w:highlight w:val="none"/>
          <w:u w:val="none"/>
          <w:lang w:val="zh-CN" w:eastAsia="zh-CN" w:bidi="ar-SA"/>
        </w:rPr>
        <w:t>地点：采购人指定地点。</w:t>
      </w:r>
    </w:p>
    <w:p w14:paraId="75B072A3">
      <w:pPr>
        <w:spacing w:beforeLines="0" w:afterLines="0"/>
        <w:rPr>
          <w:rFonts w:hint="eastAsia" w:ascii="仿宋_GB2312" w:hAnsi="Calibri" w:eastAsia="仿宋_GB2312" w:cs="Times New Roman"/>
          <w:b w:val="0"/>
          <w:color w:val="auto"/>
          <w:kern w:val="2"/>
          <w:sz w:val="28"/>
          <w:szCs w:val="28"/>
          <w:highlight w:val="none"/>
          <w:u w:val="none"/>
          <w:lang w:val="zh-CN" w:eastAsia="zh-CN" w:bidi="ar-SA"/>
        </w:rPr>
      </w:pPr>
      <w:r>
        <w:rPr>
          <w:rFonts w:hint="eastAsia" w:ascii="仿宋_GB2312" w:hAnsi="Calibri" w:eastAsia="仿宋_GB2312" w:cs="Times New Roman"/>
          <w:b w:val="0"/>
          <w:color w:val="auto"/>
          <w:kern w:val="2"/>
          <w:sz w:val="28"/>
          <w:szCs w:val="28"/>
          <w:highlight w:val="none"/>
          <w:u w:val="none"/>
          <w:lang w:val="zh-CN" w:eastAsia="zh-CN" w:bidi="ar-SA"/>
        </w:rPr>
        <w:t>2.</w:t>
      </w:r>
      <w:r>
        <w:rPr>
          <w:rFonts w:hint="eastAsia" w:ascii="仿宋_GB2312" w:hAnsi="Calibri" w:eastAsia="仿宋_GB2312" w:cs="Times New Roman"/>
          <w:b w:val="0"/>
          <w:color w:val="auto"/>
          <w:kern w:val="2"/>
          <w:sz w:val="28"/>
          <w:szCs w:val="28"/>
          <w:highlight w:val="none"/>
          <w:u w:val="none"/>
          <w:lang w:val="en-US" w:eastAsia="zh-CN" w:bidi="ar-SA"/>
        </w:rPr>
        <w:t>4服务</w:t>
      </w:r>
      <w:r>
        <w:rPr>
          <w:rFonts w:hint="eastAsia" w:ascii="仿宋_GB2312" w:hAnsi="Calibri" w:eastAsia="仿宋_GB2312" w:cs="Times New Roman"/>
          <w:b w:val="0"/>
          <w:color w:val="auto"/>
          <w:kern w:val="2"/>
          <w:sz w:val="28"/>
          <w:szCs w:val="28"/>
          <w:highlight w:val="none"/>
          <w:u w:val="none"/>
          <w:lang w:val="zh-CN" w:eastAsia="zh-CN" w:bidi="ar-SA"/>
        </w:rPr>
        <w:t>日期：</w:t>
      </w:r>
      <w:r>
        <w:rPr>
          <w:rFonts w:hint="eastAsia" w:ascii="仿宋_GB2312" w:hAnsi="Calibri" w:eastAsia="仿宋_GB2312" w:cs="Times New Roman"/>
          <w:b w:val="0"/>
          <w:color w:val="auto"/>
          <w:kern w:val="2"/>
          <w:sz w:val="28"/>
          <w:szCs w:val="28"/>
          <w:highlight w:val="none"/>
          <w:u w:val="none"/>
          <w:lang w:val="en-US" w:eastAsia="zh-CN" w:bidi="ar-SA"/>
        </w:rPr>
        <w:t>30天</w:t>
      </w:r>
      <w:r>
        <w:rPr>
          <w:rFonts w:hint="eastAsia" w:ascii="仿宋_GB2312" w:hAnsi="Calibri" w:eastAsia="仿宋_GB2312" w:cs="Times New Roman"/>
          <w:b w:val="0"/>
          <w:color w:val="auto"/>
          <w:kern w:val="2"/>
          <w:sz w:val="28"/>
          <w:szCs w:val="28"/>
          <w:highlight w:val="none"/>
          <w:u w:val="none"/>
          <w:lang w:val="zh-CN" w:eastAsia="zh-CN" w:bidi="ar-SA"/>
        </w:rPr>
        <w:t>。</w:t>
      </w:r>
    </w:p>
    <w:p w14:paraId="0D2ACF2E">
      <w:pPr>
        <w:spacing w:beforeLines="0" w:afterLines="0"/>
        <w:rPr>
          <w:rFonts w:hint="eastAsia" w:ascii="仿宋_GB2312" w:hAnsi="Calibri" w:eastAsia="仿宋_GB2312" w:cs="Times New Roman"/>
          <w:b w:val="0"/>
          <w:color w:val="auto"/>
          <w:kern w:val="2"/>
          <w:sz w:val="28"/>
          <w:szCs w:val="28"/>
          <w:highlight w:val="none"/>
          <w:u w:val="none"/>
          <w:lang w:val="zh-CN" w:eastAsia="zh-CN" w:bidi="ar-SA"/>
        </w:rPr>
      </w:pPr>
      <w:r>
        <w:rPr>
          <w:rFonts w:hint="eastAsia" w:ascii="仿宋_GB2312" w:hAnsi="Calibri" w:eastAsia="仿宋_GB2312" w:cs="Times New Roman"/>
          <w:b w:val="0"/>
          <w:color w:val="auto"/>
          <w:kern w:val="2"/>
          <w:sz w:val="28"/>
          <w:szCs w:val="28"/>
          <w:highlight w:val="none"/>
          <w:u w:val="none"/>
          <w:lang w:val="zh-CN" w:eastAsia="zh-CN" w:bidi="ar-SA"/>
        </w:rPr>
        <w:t>2.</w:t>
      </w:r>
      <w:r>
        <w:rPr>
          <w:rFonts w:hint="eastAsia" w:ascii="仿宋_GB2312" w:hAnsi="Calibri" w:eastAsia="仿宋_GB2312" w:cs="Times New Roman"/>
          <w:b w:val="0"/>
          <w:color w:val="auto"/>
          <w:kern w:val="2"/>
          <w:sz w:val="28"/>
          <w:szCs w:val="28"/>
          <w:highlight w:val="none"/>
          <w:u w:val="none"/>
          <w:lang w:val="en-US" w:eastAsia="zh-CN" w:bidi="ar-SA"/>
        </w:rPr>
        <w:t>5</w:t>
      </w:r>
      <w:r>
        <w:rPr>
          <w:rFonts w:hint="eastAsia" w:ascii="仿宋_GB2312" w:hAnsi="Calibri" w:eastAsia="仿宋_GB2312" w:cs="Times New Roman"/>
          <w:b w:val="0"/>
          <w:color w:val="auto"/>
          <w:kern w:val="2"/>
          <w:sz w:val="28"/>
          <w:szCs w:val="28"/>
          <w:highlight w:val="none"/>
          <w:u w:val="none"/>
          <w:lang w:val="zh-CN" w:eastAsia="zh-CN" w:bidi="ar-SA"/>
        </w:rPr>
        <w:t>验收：由最终用户组织验收。</w:t>
      </w:r>
    </w:p>
    <w:p w14:paraId="3E5AC3D8">
      <w:pPr>
        <w:spacing w:after="120" w:line="415" w:lineRule="auto"/>
        <w:ind w:firstLine="480" w:firstLineChars="200"/>
        <w:jc w:val="center"/>
        <w:rPr>
          <w:rStyle w:val="66"/>
          <w:rFonts w:ascii="宋体" w:hAnsi="宋体" w:cs="宋体"/>
          <w:color w:val="auto"/>
          <w:sz w:val="24"/>
          <w:highlight w:val="none"/>
          <w:lang w:val="zh-CN"/>
        </w:rPr>
      </w:pPr>
    </w:p>
    <w:p w14:paraId="3B180EC9">
      <w:pPr>
        <w:pStyle w:val="35"/>
        <w:ind w:firstLine="210"/>
        <w:rPr>
          <w:rStyle w:val="66"/>
          <w:color w:val="auto"/>
          <w:highlight w:val="none"/>
          <w:lang w:val="zh-CN"/>
        </w:rPr>
      </w:pPr>
    </w:p>
    <w:p w14:paraId="24FBFC47">
      <w:pPr>
        <w:pStyle w:val="35"/>
        <w:ind w:firstLine="240"/>
        <w:rPr>
          <w:rFonts w:ascii="宋体" w:hAnsi="宋体" w:cs="宋体"/>
          <w:color w:val="auto"/>
          <w:sz w:val="24"/>
          <w:highlight w:val="none"/>
        </w:rPr>
      </w:pPr>
    </w:p>
    <w:p w14:paraId="7209FFAA">
      <w:pPr>
        <w:pStyle w:val="35"/>
        <w:ind w:firstLine="240"/>
        <w:rPr>
          <w:rFonts w:ascii="宋体" w:hAnsi="宋体" w:cs="宋体"/>
          <w:color w:val="auto"/>
          <w:sz w:val="24"/>
          <w:highlight w:val="none"/>
        </w:rPr>
      </w:pPr>
    </w:p>
    <w:p w14:paraId="04A20EBA">
      <w:pPr>
        <w:pStyle w:val="35"/>
        <w:ind w:firstLine="240"/>
        <w:rPr>
          <w:rFonts w:ascii="宋体" w:hAnsi="宋体" w:cs="宋体"/>
          <w:color w:val="auto"/>
          <w:sz w:val="24"/>
          <w:highlight w:val="none"/>
        </w:rPr>
      </w:pPr>
    </w:p>
    <w:p w14:paraId="581BB3AF">
      <w:pPr>
        <w:pStyle w:val="35"/>
        <w:ind w:firstLine="240"/>
        <w:rPr>
          <w:rFonts w:ascii="宋体" w:hAnsi="宋体" w:cs="宋体"/>
          <w:color w:val="auto"/>
          <w:sz w:val="24"/>
          <w:highlight w:val="none"/>
        </w:rPr>
      </w:pPr>
    </w:p>
    <w:p w14:paraId="52D1F2B8">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5034B579">
      <w:pPr>
        <w:spacing w:line="480" w:lineRule="auto"/>
        <w:jc w:val="center"/>
        <w:rPr>
          <w:rFonts w:ascii="宋体" w:hAnsi="宋体" w:cs="宋体"/>
          <w:color w:val="auto"/>
          <w:sz w:val="24"/>
          <w:highlight w:val="none"/>
        </w:rPr>
      </w:pPr>
      <w:r>
        <w:rPr>
          <w:rFonts w:hint="eastAsia" w:ascii="宋体" w:hAnsi="宋体" w:cs="宋体"/>
          <w:b/>
          <w:bCs/>
          <w:color w:val="auto"/>
          <w:sz w:val="24"/>
          <w:highlight w:val="none"/>
        </w:rPr>
        <w:t>第四章  响应性文件内容及格式</w:t>
      </w:r>
    </w:p>
    <w:p w14:paraId="1122B754">
      <w:pPr>
        <w:widowControl/>
        <w:spacing w:line="520" w:lineRule="exact"/>
        <w:ind w:firstLine="480" w:firstLineChars="200"/>
        <w:jc w:val="center"/>
        <w:rPr>
          <w:rFonts w:ascii="宋体" w:hAnsi="宋体" w:cs="宋体"/>
          <w:color w:val="auto"/>
          <w:sz w:val="24"/>
          <w:highlight w:val="none"/>
        </w:rPr>
      </w:pPr>
    </w:p>
    <w:p w14:paraId="7BDFD93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注：请供应商按照以下文件的要求格式、内容，顺序制作响应性文件，并编制目录、页码及总页码，否则可能将影响对响应性文件的评价。 </w:t>
      </w:r>
    </w:p>
    <w:p w14:paraId="559D3307">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重要提示：</w:t>
      </w:r>
    </w:p>
    <w:p w14:paraId="0ABB6CC9">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1．供应商在编制响应性文件时，对于给定格式的文件内容，必须按照给定的标准格式进行填报；对于没有给定标准格式的文件内容，可以由供应商自行设计。</w:t>
      </w:r>
    </w:p>
    <w:p w14:paraId="53491B4F">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2.法定代表人本人参加竞争性磋商的，不需提供授权委托书。</w:t>
      </w:r>
    </w:p>
    <w:p w14:paraId="36A979B2">
      <w:pPr>
        <w:snapToGrid w:val="0"/>
        <w:jc w:val="left"/>
        <w:rPr>
          <w:rFonts w:ascii="宋体" w:hAnsi="宋体" w:cs="宋体"/>
          <w:color w:val="auto"/>
          <w:sz w:val="24"/>
          <w:highlight w:val="none"/>
        </w:rPr>
      </w:pPr>
    </w:p>
    <w:p w14:paraId="1EAE6CE5">
      <w:pPr>
        <w:snapToGrid w:val="0"/>
        <w:jc w:val="left"/>
        <w:rPr>
          <w:rFonts w:ascii="宋体" w:hAnsi="宋体" w:cs="宋体"/>
          <w:color w:val="auto"/>
          <w:sz w:val="24"/>
          <w:highlight w:val="none"/>
        </w:rPr>
      </w:pPr>
    </w:p>
    <w:p w14:paraId="24944EC1">
      <w:pPr>
        <w:snapToGrid w:val="0"/>
        <w:jc w:val="left"/>
        <w:rPr>
          <w:rFonts w:ascii="宋体" w:hAnsi="宋体" w:cs="宋体"/>
          <w:color w:val="auto"/>
          <w:sz w:val="24"/>
          <w:highlight w:val="none"/>
        </w:rPr>
      </w:pPr>
    </w:p>
    <w:p w14:paraId="689E197A">
      <w:pPr>
        <w:snapToGrid w:val="0"/>
        <w:jc w:val="left"/>
        <w:rPr>
          <w:rFonts w:ascii="宋体" w:hAnsi="宋体" w:cs="宋体"/>
          <w:color w:val="auto"/>
          <w:sz w:val="24"/>
          <w:highlight w:val="none"/>
        </w:rPr>
      </w:pPr>
    </w:p>
    <w:p w14:paraId="14445595">
      <w:pPr>
        <w:snapToGrid w:val="0"/>
        <w:jc w:val="left"/>
        <w:rPr>
          <w:rFonts w:ascii="宋体" w:hAnsi="宋体" w:cs="宋体"/>
          <w:color w:val="auto"/>
          <w:sz w:val="24"/>
          <w:highlight w:val="none"/>
        </w:rPr>
      </w:pPr>
    </w:p>
    <w:p w14:paraId="1C93FD10">
      <w:pPr>
        <w:snapToGrid w:val="0"/>
        <w:jc w:val="left"/>
        <w:rPr>
          <w:rFonts w:ascii="宋体" w:hAnsi="宋体" w:cs="宋体"/>
          <w:color w:val="auto"/>
          <w:sz w:val="24"/>
          <w:highlight w:val="none"/>
        </w:rPr>
      </w:pPr>
    </w:p>
    <w:p w14:paraId="746010AC">
      <w:pPr>
        <w:snapToGrid w:val="0"/>
        <w:jc w:val="left"/>
        <w:rPr>
          <w:rFonts w:ascii="宋体" w:hAnsi="宋体" w:cs="宋体"/>
          <w:color w:val="auto"/>
          <w:sz w:val="24"/>
          <w:highlight w:val="none"/>
        </w:rPr>
      </w:pPr>
    </w:p>
    <w:p w14:paraId="246C89BA">
      <w:pPr>
        <w:snapToGrid w:val="0"/>
        <w:jc w:val="left"/>
        <w:rPr>
          <w:rFonts w:ascii="宋体" w:hAnsi="宋体" w:cs="宋体"/>
          <w:color w:val="auto"/>
          <w:sz w:val="24"/>
          <w:highlight w:val="none"/>
        </w:rPr>
      </w:pPr>
    </w:p>
    <w:p w14:paraId="72EC6621">
      <w:pPr>
        <w:snapToGrid w:val="0"/>
        <w:jc w:val="left"/>
        <w:rPr>
          <w:rFonts w:ascii="宋体" w:hAnsi="宋体" w:cs="宋体"/>
          <w:color w:val="auto"/>
          <w:sz w:val="24"/>
          <w:highlight w:val="none"/>
        </w:rPr>
      </w:pPr>
    </w:p>
    <w:p w14:paraId="7216FDB7">
      <w:pPr>
        <w:snapToGrid w:val="0"/>
        <w:jc w:val="left"/>
        <w:rPr>
          <w:rFonts w:ascii="宋体" w:hAnsi="宋体" w:cs="宋体"/>
          <w:color w:val="auto"/>
          <w:sz w:val="24"/>
          <w:highlight w:val="none"/>
        </w:rPr>
      </w:pPr>
    </w:p>
    <w:p w14:paraId="77104DE3">
      <w:pPr>
        <w:snapToGrid w:val="0"/>
        <w:jc w:val="left"/>
        <w:rPr>
          <w:rFonts w:ascii="宋体" w:hAnsi="宋体" w:cs="宋体"/>
          <w:color w:val="auto"/>
          <w:sz w:val="24"/>
          <w:highlight w:val="none"/>
        </w:rPr>
      </w:pPr>
    </w:p>
    <w:p w14:paraId="4788F9C5">
      <w:pPr>
        <w:snapToGrid w:val="0"/>
        <w:jc w:val="left"/>
        <w:rPr>
          <w:rFonts w:ascii="宋体" w:hAnsi="宋体" w:cs="宋体"/>
          <w:color w:val="auto"/>
          <w:sz w:val="24"/>
          <w:highlight w:val="none"/>
        </w:rPr>
      </w:pPr>
    </w:p>
    <w:p w14:paraId="6CE2E197">
      <w:pPr>
        <w:snapToGrid w:val="0"/>
        <w:jc w:val="left"/>
        <w:rPr>
          <w:rFonts w:ascii="宋体" w:hAnsi="宋体" w:cs="宋体"/>
          <w:color w:val="auto"/>
          <w:sz w:val="24"/>
          <w:highlight w:val="none"/>
        </w:rPr>
      </w:pPr>
    </w:p>
    <w:p w14:paraId="56F554B1">
      <w:pPr>
        <w:snapToGrid w:val="0"/>
        <w:jc w:val="left"/>
        <w:rPr>
          <w:rFonts w:ascii="宋体" w:hAnsi="宋体" w:cs="宋体"/>
          <w:color w:val="auto"/>
          <w:sz w:val="24"/>
          <w:highlight w:val="none"/>
        </w:rPr>
      </w:pPr>
    </w:p>
    <w:p w14:paraId="1CBEE770">
      <w:pPr>
        <w:pStyle w:val="13"/>
        <w:ind w:firstLine="480"/>
        <w:rPr>
          <w:rFonts w:ascii="宋体" w:hAnsi="宋体" w:eastAsia="宋体" w:cs="宋体"/>
          <w:color w:val="auto"/>
          <w:sz w:val="24"/>
          <w:highlight w:val="none"/>
        </w:rPr>
      </w:pPr>
    </w:p>
    <w:p w14:paraId="62C1850F">
      <w:pPr>
        <w:pStyle w:val="13"/>
        <w:ind w:firstLine="480"/>
        <w:rPr>
          <w:rFonts w:ascii="宋体" w:hAnsi="宋体" w:eastAsia="宋体" w:cs="宋体"/>
          <w:color w:val="auto"/>
          <w:sz w:val="24"/>
          <w:highlight w:val="none"/>
        </w:rPr>
      </w:pPr>
    </w:p>
    <w:p w14:paraId="351A7454">
      <w:pPr>
        <w:pStyle w:val="13"/>
        <w:ind w:firstLine="480"/>
        <w:rPr>
          <w:rFonts w:ascii="宋体" w:hAnsi="宋体" w:eastAsia="宋体" w:cs="宋体"/>
          <w:color w:val="auto"/>
          <w:sz w:val="24"/>
          <w:highlight w:val="none"/>
        </w:rPr>
      </w:pPr>
    </w:p>
    <w:p w14:paraId="52ED9939">
      <w:pPr>
        <w:pStyle w:val="13"/>
        <w:ind w:firstLine="480"/>
        <w:rPr>
          <w:rFonts w:ascii="宋体" w:hAnsi="宋体" w:eastAsia="宋体" w:cs="宋体"/>
          <w:color w:val="auto"/>
          <w:sz w:val="24"/>
          <w:highlight w:val="none"/>
        </w:rPr>
      </w:pPr>
    </w:p>
    <w:p w14:paraId="001C1054">
      <w:pPr>
        <w:snapToGrid w:val="0"/>
        <w:jc w:val="left"/>
        <w:rPr>
          <w:rFonts w:ascii="宋体" w:hAnsi="宋体" w:cs="宋体"/>
          <w:color w:val="auto"/>
          <w:sz w:val="24"/>
          <w:highlight w:val="none"/>
        </w:rPr>
      </w:pPr>
    </w:p>
    <w:p w14:paraId="4FAB1A37">
      <w:pPr>
        <w:snapToGrid w:val="0"/>
        <w:jc w:val="left"/>
        <w:rPr>
          <w:rFonts w:ascii="宋体" w:hAnsi="宋体" w:cs="宋体"/>
          <w:color w:val="auto"/>
          <w:sz w:val="24"/>
          <w:highlight w:val="none"/>
        </w:rPr>
      </w:pPr>
    </w:p>
    <w:p w14:paraId="7219968E">
      <w:pPr>
        <w:snapToGrid w:val="0"/>
        <w:jc w:val="left"/>
        <w:rPr>
          <w:rFonts w:ascii="宋体" w:hAnsi="宋体" w:cs="宋体"/>
          <w:color w:val="auto"/>
          <w:sz w:val="24"/>
          <w:highlight w:val="none"/>
        </w:rPr>
      </w:pPr>
    </w:p>
    <w:p w14:paraId="5AB1C75C">
      <w:pPr>
        <w:snapToGrid w:val="0"/>
        <w:jc w:val="left"/>
        <w:rPr>
          <w:rFonts w:ascii="宋体" w:hAnsi="宋体" w:cs="宋体"/>
          <w:color w:val="auto"/>
          <w:sz w:val="24"/>
          <w:highlight w:val="none"/>
        </w:rPr>
      </w:pPr>
    </w:p>
    <w:p w14:paraId="713A0556">
      <w:pPr>
        <w:snapToGrid w:val="0"/>
        <w:jc w:val="left"/>
        <w:rPr>
          <w:rFonts w:ascii="宋体" w:hAnsi="宋体" w:cs="宋体"/>
          <w:color w:val="auto"/>
          <w:sz w:val="24"/>
          <w:highlight w:val="none"/>
        </w:rPr>
      </w:pPr>
    </w:p>
    <w:p w14:paraId="59EBAA2E">
      <w:pPr>
        <w:snapToGrid w:val="0"/>
        <w:jc w:val="left"/>
        <w:rPr>
          <w:rFonts w:ascii="宋体" w:hAnsi="宋体" w:cs="宋体"/>
          <w:color w:val="auto"/>
          <w:sz w:val="24"/>
          <w:highlight w:val="none"/>
        </w:rPr>
      </w:pPr>
    </w:p>
    <w:p w14:paraId="40EC7CF4">
      <w:pPr>
        <w:snapToGrid w:val="0"/>
        <w:jc w:val="left"/>
        <w:rPr>
          <w:rFonts w:ascii="宋体" w:hAnsi="宋体" w:cs="宋体"/>
          <w:color w:val="auto"/>
          <w:sz w:val="24"/>
          <w:highlight w:val="none"/>
        </w:rPr>
      </w:pPr>
    </w:p>
    <w:p w14:paraId="4B82791A">
      <w:pPr>
        <w:snapToGrid w:val="0"/>
        <w:jc w:val="left"/>
        <w:rPr>
          <w:rFonts w:ascii="宋体" w:hAnsi="宋体" w:cs="宋体"/>
          <w:color w:val="auto"/>
          <w:sz w:val="24"/>
          <w:highlight w:val="none"/>
        </w:rPr>
      </w:pPr>
    </w:p>
    <w:p w14:paraId="676CB9D4">
      <w:pPr>
        <w:pStyle w:val="13"/>
        <w:ind w:firstLine="480"/>
        <w:rPr>
          <w:rFonts w:ascii="宋体" w:hAnsi="宋体" w:eastAsia="宋体" w:cs="宋体"/>
          <w:color w:val="auto"/>
          <w:sz w:val="24"/>
          <w:highlight w:val="none"/>
        </w:rPr>
      </w:pPr>
    </w:p>
    <w:p w14:paraId="5121DC9F">
      <w:pPr>
        <w:snapToGrid w:val="0"/>
        <w:jc w:val="left"/>
        <w:rPr>
          <w:rFonts w:ascii="宋体" w:hAnsi="宋体" w:cs="宋体"/>
          <w:color w:val="auto"/>
          <w:sz w:val="24"/>
          <w:highlight w:val="none"/>
        </w:rPr>
      </w:pPr>
    </w:p>
    <w:p w14:paraId="1B199B1A">
      <w:pPr>
        <w:snapToGrid w:val="0"/>
        <w:jc w:val="left"/>
        <w:rPr>
          <w:rFonts w:ascii="宋体" w:hAnsi="宋体" w:cs="宋体"/>
          <w:color w:val="auto"/>
          <w:sz w:val="24"/>
          <w:highlight w:val="none"/>
        </w:rPr>
      </w:pPr>
    </w:p>
    <w:p w14:paraId="405FF808">
      <w:pPr>
        <w:pStyle w:val="13"/>
        <w:ind w:firstLine="480"/>
        <w:rPr>
          <w:rFonts w:ascii="宋体" w:hAnsi="宋体" w:eastAsia="宋体" w:cs="宋体"/>
          <w:color w:val="auto"/>
          <w:sz w:val="24"/>
          <w:highlight w:val="none"/>
        </w:rPr>
      </w:pPr>
    </w:p>
    <w:p w14:paraId="40C40B3F">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格式2-1</w:t>
      </w:r>
    </w:p>
    <w:p w14:paraId="3BF05065">
      <w:pPr>
        <w:widowControl/>
        <w:jc w:val="center"/>
        <w:rPr>
          <w:rFonts w:ascii="宋体" w:hAnsi="宋体" w:cs="宋体"/>
          <w:color w:val="auto"/>
          <w:kern w:val="0"/>
          <w:sz w:val="24"/>
          <w:highlight w:val="none"/>
        </w:rPr>
      </w:pPr>
      <w:r>
        <w:rPr>
          <w:rFonts w:hint="eastAsia" w:ascii="宋体" w:hAnsi="宋体" w:cs="宋体"/>
          <w:color w:val="auto"/>
          <w:sz w:val="24"/>
          <w:highlight w:val="none"/>
        </w:rPr>
        <w:t>企业营业执照副本及</w:t>
      </w:r>
      <w:r>
        <w:rPr>
          <w:rFonts w:hint="eastAsia" w:ascii="宋体" w:hAnsi="宋体" w:cs="宋体"/>
          <w:color w:val="auto"/>
          <w:kern w:val="0"/>
          <w:sz w:val="24"/>
          <w:highlight w:val="none"/>
        </w:rPr>
        <w:t>资格性证明材料</w:t>
      </w:r>
    </w:p>
    <w:p w14:paraId="0D490ABC">
      <w:pPr>
        <w:pStyle w:val="35"/>
        <w:ind w:firstLine="210"/>
        <w:rPr>
          <w:color w:val="auto"/>
          <w:highlight w:val="none"/>
        </w:rPr>
      </w:pPr>
    </w:p>
    <w:p w14:paraId="7D9E28EC">
      <w:pPr>
        <w:spacing w:line="360" w:lineRule="auto"/>
        <w:jc w:val="left"/>
        <w:rPr>
          <w:rFonts w:hint="eastAsia" w:ascii="宋体" w:hAnsi="宋体" w:cs="宋体"/>
          <w:color w:val="auto"/>
          <w:sz w:val="24"/>
          <w:highlight w:val="none"/>
        </w:rPr>
      </w:pPr>
    </w:p>
    <w:p w14:paraId="75D47A47">
      <w:pPr>
        <w:spacing w:line="360" w:lineRule="auto"/>
        <w:jc w:val="left"/>
        <w:rPr>
          <w:rFonts w:hint="eastAsia" w:ascii="宋体" w:hAnsi="宋体" w:cs="宋体"/>
          <w:color w:val="auto"/>
          <w:sz w:val="24"/>
          <w:highlight w:val="none"/>
        </w:rPr>
      </w:pPr>
    </w:p>
    <w:p w14:paraId="1655F581">
      <w:pPr>
        <w:spacing w:line="360" w:lineRule="auto"/>
        <w:jc w:val="left"/>
        <w:rPr>
          <w:rFonts w:hint="eastAsia" w:ascii="宋体" w:hAnsi="宋体" w:cs="宋体"/>
          <w:color w:val="auto"/>
          <w:sz w:val="24"/>
          <w:highlight w:val="none"/>
        </w:rPr>
      </w:pPr>
    </w:p>
    <w:p w14:paraId="462D922F">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格式2-2</w:t>
      </w:r>
    </w:p>
    <w:p w14:paraId="5D4DDE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法定代表人身份证明书</w:t>
      </w:r>
    </w:p>
    <w:p w14:paraId="0F5535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（法定代表人参加竞争性磋商的，出具此证明书）</w:t>
      </w:r>
    </w:p>
    <w:p w14:paraId="52EE10DF">
      <w:pPr>
        <w:spacing w:line="360" w:lineRule="auto"/>
        <w:ind w:firstLine="480" w:firstLineChars="200"/>
        <w:rPr>
          <w:rFonts w:ascii="宋体" w:hAnsi="宋体" w:cs="宋体"/>
          <w:color w:val="auto"/>
          <w:sz w:val="24"/>
          <w:highlight w:val="none"/>
        </w:rPr>
      </w:pPr>
    </w:p>
    <w:p w14:paraId="120A29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同志，系我单位法定代表人，任职务。</w:t>
      </w:r>
    </w:p>
    <w:p w14:paraId="2AD9BD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7E53F6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附：联系地址：               </w:t>
      </w:r>
    </w:p>
    <w:p w14:paraId="7620DACE">
      <w:pPr>
        <w:spacing w:line="360" w:lineRule="auto"/>
        <w:ind w:firstLine="960" w:firstLineChars="400"/>
        <w:rPr>
          <w:rFonts w:ascii="宋体" w:hAnsi="宋体" w:cs="宋体"/>
          <w:b/>
          <w:color w:val="auto"/>
          <w:sz w:val="24"/>
          <w:highlight w:val="none"/>
        </w:rPr>
      </w:pPr>
      <w:r>
        <w:rPr>
          <w:rFonts w:hint="eastAsia" w:ascii="宋体" w:hAnsi="宋体" w:cs="宋体"/>
          <w:color w:val="auto"/>
          <w:sz w:val="24"/>
          <w:highlight w:val="none"/>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0FE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657707BF">
            <w:pPr>
              <w:spacing w:line="480" w:lineRule="exact"/>
              <w:rPr>
                <w:rFonts w:ascii="宋体" w:hAnsi="宋体" w:cs="宋体"/>
                <w:b/>
                <w:bCs/>
                <w:color w:val="auto"/>
                <w:sz w:val="24"/>
                <w:highlight w:val="none"/>
              </w:rPr>
            </w:pPr>
          </w:p>
          <w:p w14:paraId="22710E6B">
            <w:pPr>
              <w:spacing w:line="480" w:lineRule="exact"/>
              <w:rPr>
                <w:rFonts w:ascii="宋体" w:hAnsi="宋体" w:cs="宋体"/>
                <w:b/>
                <w:bCs/>
                <w:color w:val="auto"/>
                <w:sz w:val="24"/>
                <w:highlight w:val="none"/>
              </w:rPr>
            </w:pPr>
          </w:p>
          <w:p w14:paraId="6642E527">
            <w:pPr>
              <w:spacing w:line="480" w:lineRule="exact"/>
              <w:jc w:val="center"/>
              <w:rPr>
                <w:rFonts w:ascii="宋体" w:hAnsi="宋体" w:cs="宋体"/>
                <w:b/>
                <w:bCs/>
                <w:color w:val="auto"/>
                <w:sz w:val="24"/>
                <w:highlight w:val="none"/>
              </w:rPr>
            </w:pPr>
            <w:r>
              <w:rPr>
                <w:rFonts w:hint="eastAsia" w:ascii="宋体" w:hAnsi="宋体" w:cs="宋体"/>
                <w:b/>
                <w:bCs/>
                <w:color w:val="auto"/>
                <w:sz w:val="24"/>
                <w:highlight w:val="none"/>
              </w:rPr>
              <w:t>（※附：法定代表人身份证复印件※）</w:t>
            </w:r>
          </w:p>
          <w:p w14:paraId="2F5DF18B">
            <w:pPr>
              <w:spacing w:line="480" w:lineRule="exact"/>
              <w:rPr>
                <w:rFonts w:ascii="宋体" w:hAnsi="宋体" w:cs="宋体"/>
                <w:color w:val="auto"/>
                <w:sz w:val="24"/>
                <w:highlight w:val="none"/>
              </w:rPr>
            </w:pPr>
          </w:p>
          <w:p w14:paraId="42083C4F">
            <w:pPr>
              <w:spacing w:line="480" w:lineRule="exact"/>
              <w:rPr>
                <w:rFonts w:ascii="宋体" w:hAnsi="宋体" w:cs="宋体"/>
                <w:color w:val="auto"/>
                <w:sz w:val="24"/>
                <w:highlight w:val="none"/>
              </w:rPr>
            </w:pPr>
          </w:p>
        </w:tc>
      </w:tr>
    </w:tbl>
    <w:p w14:paraId="4ED701FA">
      <w:pPr>
        <w:spacing w:line="360" w:lineRule="auto"/>
        <w:ind w:firstLine="960" w:firstLineChars="400"/>
        <w:rPr>
          <w:rFonts w:ascii="宋体" w:hAnsi="宋体" w:cs="宋体"/>
          <w:color w:val="auto"/>
          <w:sz w:val="24"/>
          <w:highlight w:val="none"/>
        </w:rPr>
      </w:pPr>
    </w:p>
    <w:p w14:paraId="2973A6EB">
      <w:pPr>
        <w:spacing w:line="360" w:lineRule="auto"/>
        <w:ind w:firstLine="3840" w:firstLineChars="1600"/>
        <w:rPr>
          <w:rFonts w:ascii="宋体" w:hAnsi="宋体" w:cs="宋体"/>
          <w:color w:val="auto"/>
          <w:sz w:val="24"/>
          <w:highlight w:val="none"/>
        </w:rPr>
      </w:pPr>
    </w:p>
    <w:p w14:paraId="54D749B4">
      <w:pPr>
        <w:spacing w:line="360" w:lineRule="auto"/>
        <w:ind w:firstLine="3840" w:firstLineChars="1600"/>
        <w:rPr>
          <w:rFonts w:ascii="宋体" w:hAnsi="宋体" w:cs="宋体"/>
          <w:color w:val="auto"/>
          <w:sz w:val="24"/>
          <w:highlight w:val="none"/>
        </w:rPr>
      </w:pPr>
    </w:p>
    <w:p w14:paraId="62337167">
      <w:pPr>
        <w:spacing w:line="360" w:lineRule="auto"/>
        <w:ind w:firstLine="3840" w:firstLineChars="1600"/>
        <w:rPr>
          <w:rFonts w:ascii="宋体" w:hAnsi="宋体" w:cs="宋体"/>
          <w:color w:val="auto"/>
          <w:sz w:val="24"/>
          <w:highlight w:val="none"/>
        </w:rPr>
      </w:pPr>
    </w:p>
    <w:p w14:paraId="6A9275A6">
      <w:pPr>
        <w:spacing w:line="360" w:lineRule="auto"/>
        <w:jc w:val="center"/>
        <w:rPr>
          <w:rFonts w:ascii="宋体" w:hAnsi="宋体" w:cs="宋体"/>
          <w:color w:val="auto"/>
          <w:sz w:val="24"/>
          <w:highlight w:val="none"/>
        </w:rPr>
      </w:pPr>
    </w:p>
    <w:p w14:paraId="0FB85D77">
      <w:pPr>
        <w:spacing w:line="360" w:lineRule="auto"/>
        <w:jc w:val="center"/>
        <w:rPr>
          <w:rFonts w:ascii="宋体" w:hAnsi="宋体" w:cs="宋体"/>
          <w:color w:val="auto"/>
          <w:sz w:val="24"/>
          <w:highlight w:val="none"/>
        </w:rPr>
      </w:pPr>
    </w:p>
    <w:p w14:paraId="2EE650E2">
      <w:pPr>
        <w:spacing w:line="360" w:lineRule="auto"/>
        <w:jc w:val="center"/>
        <w:rPr>
          <w:rFonts w:ascii="宋体" w:hAnsi="宋体" w:cs="宋体"/>
          <w:color w:val="auto"/>
          <w:sz w:val="24"/>
          <w:highlight w:val="none"/>
        </w:rPr>
      </w:pPr>
    </w:p>
    <w:p w14:paraId="54B9BFD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7501C83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6069C9E7">
      <w:pPr>
        <w:spacing w:line="360" w:lineRule="auto"/>
        <w:jc w:val="center"/>
        <w:rPr>
          <w:rFonts w:ascii="宋体" w:hAnsi="宋体" w:cs="宋体"/>
          <w:color w:val="auto"/>
          <w:sz w:val="24"/>
          <w:highlight w:val="none"/>
        </w:rPr>
      </w:pPr>
    </w:p>
    <w:p w14:paraId="5573957B">
      <w:pPr>
        <w:spacing w:line="360" w:lineRule="auto"/>
        <w:jc w:val="center"/>
        <w:rPr>
          <w:rFonts w:ascii="宋体" w:hAnsi="宋体" w:cs="宋体"/>
          <w:color w:val="auto"/>
          <w:sz w:val="24"/>
          <w:highlight w:val="none"/>
        </w:rPr>
      </w:pPr>
    </w:p>
    <w:p w14:paraId="4E3A8578">
      <w:pPr>
        <w:spacing w:line="360" w:lineRule="auto"/>
        <w:jc w:val="center"/>
        <w:rPr>
          <w:rFonts w:ascii="宋体" w:hAnsi="宋体" w:cs="宋体"/>
          <w:color w:val="auto"/>
          <w:sz w:val="24"/>
          <w:highlight w:val="none"/>
        </w:rPr>
      </w:pPr>
    </w:p>
    <w:p w14:paraId="361F3B1D">
      <w:pPr>
        <w:pStyle w:val="35"/>
        <w:ind w:firstLine="240"/>
        <w:rPr>
          <w:rFonts w:ascii="宋体" w:hAnsi="宋体" w:cs="宋体"/>
          <w:color w:val="auto"/>
          <w:sz w:val="24"/>
          <w:highlight w:val="none"/>
        </w:rPr>
      </w:pPr>
    </w:p>
    <w:p w14:paraId="672B9E4D">
      <w:pPr>
        <w:pStyle w:val="35"/>
        <w:ind w:firstLine="240"/>
        <w:rPr>
          <w:rFonts w:ascii="宋体" w:hAnsi="宋体" w:cs="宋体"/>
          <w:color w:val="auto"/>
          <w:sz w:val="24"/>
          <w:highlight w:val="none"/>
        </w:rPr>
      </w:pPr>
    </w:p>
    <w:p w14:paraId="0F64D6DA">
      <w:pPr>
        <w:pStyle w:val="35"/>
        <w:ind w:firstLine="240"/>
        <w:rPr>
          <w:rFonts w:ascii="宋体" w:hAnsi="宋体" w:cs="宋体"/>
          <w:color w:val="auto"/>
          <w:sz w:val="24"/>
          <w:highlight w:val="none"/>
        </w:rPr>
      </w:pPr>
    </w:p>
    <w:p w14:paraId="2A932BBC">
      <w:pPr>
        <w:pStyle w:val="35"/>
        <w:ind w:firstLine="240"/>
        <w:rPr>
          <w:rFonts w:ascii="宋体" w:hAnsi="宋体" w:cs="宋体"/>
          <w:color w:val="auto"/>
          <w:sz w:val="24"/>
          <w:highlight w:val="none"/>
        </w:rPr>
      </w:pPr>
    </w:p>
    <w:p w14:paraId="7ABC147E">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格式2-3</w:t>
      </w:r>
    </w:p>
    <w:p w14:paraId="1C6B0FCD">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授权委托书</w:t>
      </w:r>
    </w:p>
    <w:p w14:paraId="5249DFD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（委托代理人参加竞争性磋商的，出具此证明书）</w:t>
      </w:r>
    </w:p>
    <w:p w14:paraId="771D6065">
      <w:pPr>
        <w:spacing w:line="360" w:lineRule="auto"/>
        <w:ind w:firstLine="480" w:firstLineChars="200"/>
        <w:rPr>
          <w:rFonts w:ascii="宋体" w:hAnsi="宋体" w:cs="宋体"/>
          <w:color w:val="auto"/>
          <w:sz w:val="24"/>
          <w:highlight w:val="none"/>
        </w:rPr>
      </w:pPr>
    </w:p>
    <w:p w14:paraId="3D07F7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委托人授权（被委托人的姓名、职务）为委托人的委托代理人，就项目编号为的项目及合同的执行，以本单位名义处理一切与之有关的事务。</w:t>
      </w:r>
    </w:p>
    <w:p w14:paraId="75A930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本授权书于年月日签字生效，特此声明。</w:t>
      </w:r>
    </w:p>
    <w:p w14:paraId="76C41061">
      <w:pPr>
        <w:spacing w:line="360" w:lineRule="auto"/>
        <w:rPr>
          <w:rFonts w:ascii="宋体" w:hAnsi="宋体" w:cs="宋体"/>
          <w:color w:val="auto"/>
          <w:sz w:val="24"/>
          <w:highlight w:val="none"/>
        </w:rPr>
      </w:pPr>
    </w:p>
    <w:p w14:paraId="5AB55C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w:t>
      </w:r>
    </w:p>
    <w:p w14:paraId="7AB390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55AC46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被委托人：</w:t>
      </w:r>
    </w:p>
    <w:p w14:paraId="4D1F75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01F2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4AF5DF22">
            <w:pPr>
              <w:spacing w:line="480" w:lineRule="exact"/>
              <w:rPr>
                <w:rFonts w:ascii="宋体" w:hAnsi="宋体" w:cs="宋体"/>
                <w:b/>
                <w:bCs/>
                <w:color w:val="auto"/>
                <w:sz w:val="24"/>
                <w:highlight w:val="none"/>
              </w:rPr>
            </w:pPr>
          </w:p>
          <w:p w14:paraId="557DE9A7">
            <w:pPr>
              <w:spacing w:line="480" w:lineRule="exact"/>
              <w:rPr>
                <w:rFonts w:ascii="宋体" w:hAnsi="宋体" w:cs="宋体"/>
                <w:b/>
                <w:bCs/>
                <w:color w:val="auto"/>
                <w:sz w:val="24"/>
                <w:highlight w:val="none"/>
              </w:rPr>
            </w:pPr>
          </w:p>
          <w:p w14:paraId="5A797E63">
            <w:pPr>
              <w:spacing w:line="480" w:lineRule="exact"/>
              <w:jc w:val="center"/>
              <w:rPr>
                <w:rFonts w:ascii="宋体" w:hAnsi="宋体" w:cs="宋体"/>
                <w:color w:val="auto"/>
                <w:sz w:val="24"/>
                <w:highlight w:val="none"/>
              </w:rPr>
            </w:pPr>
            <w:r>
              <w:rPr>
                <w:rFonts w:hint="eastAsia" w:ascii="宋体" w:hAnsi="宋体" w:cs="宋体"/>
                <w:b/>
                <w:bCs/>
                <w:color w:val="auto"/>
                <w:sz w:val="24"/>
                <w:highlight w:val="none"/>
              </w:rPr>
              <w:t>（※附：被委托人身份证复印件※）</w:t>
            </w:r>
          </w:p>
        </w:tc>
      </w:tr>
    </w:tbl>
    <w:p w14:paraId="50AC0E55">
      <w:pPr>
        <w:spacing w:line="360" w:lineRule="auto"/>
        <w:ind w:firstLine="480" w:firstLineChars="200"/>
        <w:rPr>
          <w:rFonts w:ascii="宋体" w:hAnsi="宋体" w:cs="宋体"/>
          <w:color w:val="auto"/>
          <w:sz w:val="24"/>
          <w:highlight w:val="none"/>
        </w:rPr>
      </w:pPr>
    </w:p>
    <w:p w14:paraId="73AEA3E0">
      <w:pPr>
        <w:spacing w:line="360" w:lineRule="auto"/>
        <w:ind w:firstLine="480" w:firstLineChars="200"/>
        <w:rPr>
          <w:rFonts w:ascii="宋体" w:hAnsi="宋体" w:cs="宋体"/>
          <w:color w:val="auto"/>
          <w:sz w:val="24"/>
          <w:highlight w:val="none"/>
        </w:rPr>
      </w:pPr>
    </w:p>
    <w:p w14:paraId="0DD1C6C8">
      <w:pPr>
        <w:spacing w:line="360" w:lineRule="auto"/>
        <w:ind w:firstLine="480" w:firstLineChars="200"/>
        <w:rPr>
          <w:rFonts w:ascii="宋体" w:hAnsi="宋体" w:cs="宋体"/>
          <w:color w:val="auto"/>
          <w:sz w:val="24"/>
          <w:highlight w:val="none"/>
        </w:rPr>
      </w:pPr>
    </w:p>
    <w:p w14:paraId="43C3AA9E">
      <w:pPr>
        <w:spacing w:line="360" w:lineRule="auto"/>
        <w:ind w:firstLine="4920" w:firstLineChars="2050"/>
        <w:rPr>
          <w:rFonts w:ascii="宋体" w:hAnsi="宋体" w:cs="宋体"/>
          <w:color w:val="auto"/>
          <w:sz w:val="24"/>
          <w:highlight w:val="none"/>
        </w:rPr>
      </w:pPr>
    </w:p>
    <w:p w14:paraId="44753F92">
      <w:pPr>
        <w:spacing w:line="360" w:lineRule="auto"/>
        <w:jc w:val="center"/>
        <w:rPr>
          <w:rFonts w:ascii="宋体" w:hAnsi="宋体" w:cs="宋体"/>
          <w:color w:val="auto"/>
          <w:sz w:val="24"/>
          <w:highlight w:val="none"/>
        </w:rPr>
      </w:pPr>
    </w:p>
    <w:p w14:paraId="6114AB83">
      <w:pPr>
        <w:spacing w:line="360" w:lineRule="auto"/>
        <w:jc w:val="center"/>
        <w:rPr>
          <w:rFonts w:ascii="宋体" w:hAnsi="宋体" w:cs="宋体"/>
          <w:color w:val="auto"/>
          <w:sz w:val="24"/>
          <w:highlight w:val="none"/>
        </w:rPr>
      </w:pPr>
    </w:p>
    <w:p w14:paraId="7104BADF">
      <w:pPr>
        <w:spacing w:line="360" w:lineRule="auto"/>
        <w:jc w:val="center"/>
        <w:rPr>
          <w:rFonts w:ascii="宋体" w:hAnsi="宋体" w:cs="宋体"/>
          <w:color w:val="auto"/>
          <w:sz w:val="24"/>
          <w:highlight w:val="none"/>
        </w:rPr>
      </w:pPr>
    </w:p>
    <w:p w14:paraId="5D81E7A2">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5BA01DF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28AAB76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84B552B">
      <w:pPr>
        <w:pStyle w:val="35"/>
        <w:ind w:firstLine="210"/>
        <w:rPr>
          <w:color w:val="auto"/>
          <w:highlight w:val="none"/>
        </w:rPr>
      </w:pPr>
    </w:p>
    <w:p w14:paraId="3D0F2F88">
      <w:pPr>
        <w:pStyle w:val="35"/>
        <w:ind w:firstLine="210"/>
        <w:rPr>
          <w:color w:val="auto"/>
          <w:highlight w:val="none"/>
        </w:rPr>
      </w:pPr>
    </w:p>
    <w:p w14:paraId="221FC78F">
      <w:pPr>
        <w:spacing w:line="360" w:lineRule="auto"/>
        <w:jc w:val="left"/>
        <w:rPr>
          <w:rFonts w:hint="eastAsia" w:ascii="宋体" w:hAnsi="宋体" w:cs="宋体"/>
          <w:color w:val="auto"/>
          <w:sz w:val="24"/>
          <w:highlight w:val="none"/>
        </w:rPr>
      </w:pPr>
    </w:p>
    <w:p w14:paraId="037E0B79">
      <w:pPr>
        <w:spacing w:line="360" w:lineRule="auto"/>
        <w:jc w:val="left"/>
        <w:rPr>
          <w:rFonts w:hint="eastAsia" w:ascii="宋体" w:hAnsi="宋体" w:cs="宋体"/>
          <w:color w:val="auto"/>
          <w:sz w:val="24"/>
          <w:highlight w:val="none"/>
        </w:rPr>
      </w:pPr>
    </w:p>
    <w:p w14:paraId="481A61E2">
      <w:pPr>
        <w:spacing w:line="360" w:lineRule="auto"/>
        <w:jc w:val="left"/>
        <w:rPr>
          <w:rFonts w:hint="eastAsia" w:ascii="宋体" w:hAnsi="宋体" w:cs="宋体"/>
          <w:color w:val="auto"/>
          <w:sz w:val="24"/>
          <w:highlight w:val="none"/>
        </w:rPr>
      </w:pPr>
    </w:p>
    <w:p w14:paraId="26F99658">
      <w:pPr>
        <w:spacing w:line="360" w:lineRule="auto"/>
        <w:jc w:val="left"/>
        <w:rPr>
          <w:rFonts w:hint="eastAsia" w:ascii="宋体" w:hAnsi="宋体" w:cs="宋体"/>
          <w:color w:val="auto"/>
          <w:sz w:val="24"/>
          <w:highlight w:val="none"/>
        </w:rPr>
      </w:pPr>
    </w:p>
    <w:p w14:paraId="5E306214">
      <w:pPr>
        <w:spacing w:line="360" w:lineRule="auto"/>
        <w:jc w:val="left"/>
        <w:rPr>
          <w:rFonts w:hint="eastAsia" w:ascii="宋体" w:hAnsi="宋体" w:cs="宋体"/>
          <w:color w:val="auto"/>
          <w:sz w:val="24"/>
          <w:highlight w:val="none"/>
        </w:rPr>
      </w:pPr>
    </w:p>
    <w:p w14:paraId="3FAC705A">
      <w:pPr>
        <w:spacing w:line="360" w:lineRule="auto"/>
        <w:jc w:val="left"/>
        <w:rPr>
          <w:rFonts w:hint="eastAsia" w:ascii="宋体" w:hAnsi="宋体" w:cs="宋体"/>
          <w:color w:val="auto"/>
          <w:sz w:val="24"/>
          <w:highlight w:val="none"/>
        </w:rPr>
      </w:pPr>
    </w:p>
    <w:p w14:paraId="316CCECE">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格式2-3政府采购法第二十二条及参加政府采购活动前三年内无重大违法记录的书面声明</w:t>
      </w:r>
    </w:p>
    <w:p w14:paraId="16202B53">
      <w:pPr>
        <w:spacing w:line="360" w:lineRule="auto"/>
        <w:jc w:val="left"/>
        <w:rPr>
          <w:rFonts w:ascii="宋体" w:hAnsi="宋体" w:cs="宋体"/>
          <w:color w:val="auto"/>
          <w:sz w:val="24"/>
          <w:highlight w:val="none"/>
        </w:rPr>
      </w:pPr>
    </w:p>
    <w:p w14:paraId="2C8D6B5B">
      <w:pPr>
        <w:spacing w:line="360" w:lineRule="auto"/>
        <w:jc w:val="left"/>
        <w:rPr>
          <w:rFonts w:hint="eastAsia" w:ascii="宋体" w:hAnsi="宋体" w:cs="宋体"/>
          <w:color w:val="auto"/>
          <w:sz w:val="24"/>
          <w:highlight w:val="none"/>
        </w:rPr>
      </w:pPr>
    </w:p>
    <w:p w14:paraId="31923020">
      <w:pPr>
        <w:spacing w:line="360" w:lineRule="auto"/>
        <w:jc w:val="left"/>
        <w:rPr>
          <w:rFonts w:hint="eastAsia" w:ascii="宋体" w:hAnsi="宋体" w:cs="宋体"/>
          <w:color w:val="auto"/>
          <w:sz w:val="24"/>
          <w:highlight w:val="none"/>
        </w:rPr>
      </w:pPr>
    </w:p>
    <w:p w14:paraId="26FE1847">
      <w:pPr>
        <w:spacing w:line="360" w:lineRule="auto"/>
        <w:jc w:val="left"/>
        <w:rPr>
          <w:rFonts w:hint="eastAsia" w:ascii="宋体" w:hAnsi="宋体" w:cs="宋体"/>
          <w:color w:val="auto"/>
          <w:sz w:val="24"/>
          <w:highlight w:val="none"/>
        </w:rPr>
      </w:pPr>
    </w:p>
    <w:p w14:paraId="239CCF0D">
      <w:pPr>
        <w:spacing w:line="360" w:lineRule="auto"/>
        <w:jc w:val="left"/>
        <w:rPr>
          <w:rFonts w:hint="eastAsia" w:ascii="宋体" w:hAnsi="宋体" w:cs="宋体"/>
          <w:color w:val="auto"/>
          <w:sz w:val="24"/>
          <w:highlight w:val="none"/>
        </w:rPr>
      </w:pPr>
    </w:p>
    <w:p w14:paraId="4B67350F">
      <w:pPr>
        <w:spacing w:line="360" w:lineRule="auto"/>
        <w:jc w:val="left"/>
        <w:rPr>
          <w:rFonts w:hint="eastAsia" w:ascii="宋体" w:hAnsi="宋体" w:cs="宋体"/>
          <w:color w:val="auto"/>
          <w:sz w:val="24"/>
          <w:highlight w:val="none"/>
        </w:rPr>
      </w:pPr>
    </w:p>
    <w:p w14:paraId="125B2A71">
      <w:pPr>
        <w:spacing w:line="360" w:lineRule="auto"/>
        <w:jc w:val="left"/>
        <w:rPr>
          <w:rFonts w:hint="eastAsia" w:ascii="宋体" w:hAnsi="宋体" w:cs="宋体"/>
          <w:color w:val="auto"/>
          <w:sz w:val="24"/>
          <w:highlight w:val="none"/>
        </w:rPr>
      </w:pPr>
    </w:p>
    <w:p w14:paraId="133973A4">
      <w:pPr>
        <w:spacing w:line="360" w:lineRule="auto"/>
        <w:jc w:val="left"/>
        <w:rPr>
          <w:rFonts w:hint="eastAsia" w:ascii="宋体" w:hAnsi="宋体" w:cs="宋体"/>
          <w:color w:val="auto"/>
          <w:sz w:val="24"/>
          <w:highlight w:val="none"/>
        </w:rPr>
      </w:pPr>
    </w:p>
    <w:p w14:paraId="516C7CB1">
      <w:pPr>
        <w:spacing w:line="360" w:lineRule="auto"/>
        <w:jc w:val="left"/>
        <w:rPr>
          <w:rFonts w:hint="eastAsia" w:ascii="宋体" w:hAnsi="宋体" w:cs="宋体"/>
          <w:color w:val="auto"/>
          <w:sz w:val="24"/>
          <w:highlight w:val="none"/>
        </w:rPr>
      </w:pPr>
    </w:p>
    <w:p w14:paraId="6A396F7C">
      <w:pPr>
        <w:spacing w:line="360" w:lineRule="auto"/>
        <w:jc w:val="left"/>
        <w:rPr>
          <w:rFonts w:hint="eastAsia" w:ascii="宋体" w:hAnsi="宋体" w:cs="宋体"/>
          <w:color w:val="auto"/>
          <w:sz w:val="24"/>
          <w:highlight w:val="none"/>
        </w:rPr>
      </w:pPr>
    </w:p>
    <w:p w14:paraId="4C3BA8DF">
      <w:pPr>
        <w:spacing w:line="360" w:lineRule="auto"/>
        <w:jc w:val="left"/>
        <w:rPr>
          <w:rFonts w:hint="eastAsia" w:ascii="宋体" w:hAnsi="宋体" w:cs="宋体"/>
          <w:color w:val="auto"/>
          <w:sz w:val="24"/>
          <w:highlight w:val="none"/>
        </w:rPr>
      </w:pPr>
    </w:p>
    <w:p w14:paraId="4E05694A">
      <w:pPr>
        <w:spacing w:line="360" w:lineRule="auto"/>
        <w:jc w:val="left"/>
        <w:rPr>
          <w:rFonts w:hint="eastAsia" w:ascii="宋体" w:hAnsi="宋体" w:cs="宋体"/>
          <w:color w:val="auto"/>
          <w:sz w:val="24"/>
          <w:highlight w:val="none"/>
        </w:rPr>
      </w:pPr>
    </w:p>
    <w:p w14:paraId="78B52F30">
      <w:pPr>
        <w:spacing w:line="360" w:lineRule="auto"/>
        <w:jc w:val="left"/>
        <w:rPr>
          <w:rFonts w:hint="eastAsia" w:ascii="宋体" w:hAnsi="宋体" w:cs="宋体"/>
          <w:color w:val="auto"/>
          <w:sz w:val="24"/>
          <w:highlight w:val="none"/>
        </w:rPr>
      </w:pPr>
    </w:p>
    <w:p w14:paraId="654D0F04">
      <w:pPr>
        <w:spacing w:line="360" w:lineRule="auto"/>
        <w:jc w:val="left"/>
        <w:rPr>
          <w:rFonts w:hint="eastAsia" w:ascii="宋体" w:hAnsi="宋体" w:cs="宋体"/>
          <w:color w:val="auto"/>
          <w:sz w:val="24"/>
          <w:highlight w:val="none"/>
        </w:rPr>
      </w:pPr>
    </w:p>
    <w:p w14:paraId="1B283110">
      <w:pPr>
        <w:spacing w:line="360" w:lineRule="auto"/>
        <w:jc w:val="left"/>
        <w:rPr>
          <w:rFonts w:hint="eastAsia" w:ascii="宋体" w:hAnsi="宋体" w:cs="宋体"/>
          <w:color w:val="auto"/>
          <w:sz w:val="24"/>
          <w:highlight w:val="none"/>
        </w:rPr>
      </w:pPr>
    </w:p>
    <w:p w14:paraId="49B491AF">
      <w:pPr>
        <w:spacing w:line="360" w:lineRule="auto"/>
        <w:jc w:val="left"/>
        <w:rPr>
          <w:rFonts w:hint="eastAsia" w:ascii="宋体" w:hAnsi="宋体" w:cs="宋体"/>
          <w:color w:val="auto"/>
          <w:sz w:val="24"/>
          <w:highlight w:val="none"/>
        </w:rPr>
      </w:pPr>
    </w:p>
    <w:p w14:paraId="321120FC">
      <w:pPr>
        <w:spacing w:line="360" w:lineRule="auto"/>
        <w:jc w:val="left"/>
        <w:rPr>
          <w:rFonts w:hint="eastAsia" w:ascii="宋体" w:hAnsi="宋体" w:cs="宋体"/>
          <w:color w:val="auto"/>
          <w:sz w:val="24"/>
          <w:highlight w:val="none"/>
        </w:rPr>
      </w:pPr>
    </w:p>
    <w:p w14:paraId="000EA1AA">
      <w:pPr>
        <w:spacing w:line="360" w:lineRule="auto"/>
        <w:jc w:val="left"/>
        <w:rPr>
          <w:rFonts w:hint="eastAsia" w:ascii="宋体" w:hAnsi="宋体" w:cs="宋体"/>
          <w:color w:val="auto"/>
          <w:sz w:val="24"/>
          <w:highlight w:val="none"/>
        </w:rPr>
      </w:pPr>
    </w:p>
    <w:p w14:paraId="05830AAE">
      <w:pPr>
        <w:spacing w:line="360" w:lineRule="auto"/>
        <w:jc w:val="left"/>
        <w:rPr>
          <w:rFonts w:hint="eastAsia" w:ascii="宋体" w:hAnsi="宋体" w:cs="宋体"/>
          <w:color w:val="auto"/>
          <w:sz w:val="24"/>
          <w:highlight w:val="none"/>
        </w:rPr>
      </w:pPr>
    </w:p>
    <w:p w14:paraId="21B566E9">
      <w:pPr>
        <w:spacing w:line="360" w:lineRule="auto"/>
        <w:jc w:val="left"/>
        <w:rPr>
          <w:rFonts w:hint="eastAsia" w:ascii="宋体" w:hAnsi="宋体" w:cs="宋体"/>
          <w:color w:val="auto"/>
          <w:sz w:val="24"/>
          <w:highlight w:val="none"/>
        </w:rPr>
      </w:pPr>
    </w:p>
    <w:p w14:paraId="7AFD8BA9">
      <w:pPr>
        <w:spacing w:line="360" w:lineRule="auto"/>
        <w:jc w:val="left"/>
        <w:rPr>
          <w:rFonts w:hint="eastAsia" w:ascii="宋体" w:hAnsi="宋体" w:cs="宋体"/>
          <w:color w:val="auto"/>
          <w:sz w:val="24"/>
          <w:highlight w:val="none"/>
        </w:rPr>
      </w:pPr>
    </w:p>
    <w:p w14:paraId="5D9F8164">
      <w:pPr>
        <w:spacing w:line="360" w:lineRule="auto"/>
        <w:jc w:val="left"/>
        <w:rPr>
          <w:rFonts w:hint="eastAsia" w:ascii="宋体" w:hAnsi="宋体" w:cs="宋体"/>
          <w:color w:val="auto"/>
          <w:sz w:val="24"/>
          <w:highlight w:val="none"/>
        </w:rPr>
      </w:pPr>
    </w:p>
    <w:p w14:paraId="00960E5C">
      <w:pPr>
        <w:spacing w:line="360" w:lineRule="auto"/>
        <w:jc w:val="left"/>
        <w:rPr>
          <w:rFonts w:hint="eastAsia" w:ascii="宋体" w:hAnsi="宋体" w:cs="宋体"/>
          <w:color w:val="auto"/>
          <w:sz w:val="24"/>
          <w:highlight w:val="none"/>
        </w:rPr>
      </w:pPr>
    </w:p>
    <w:p w14:paraId="7DBC5BCD">
      <w:pPr>
        <w:spacing w:line="360" w:lineRule="auto"/>
        <w:jc w:val="left"/>
        <w:rPr>
          <w:rFonts w:hint="eastAsia" w:ascii="宋体" w:hAnsi="宋体" w:cs="宋体"/>
          <w:color w:val="auto"/>
          <w:sz w:val="24"/>
          <w:highlight w:val="none"/>
        </w:rPr>
      </w:pPr>
    </w:p>
    <w:p w14:paraId="38B00841">
      <w:pPr>
        <w:spacing w:line="360" w:lineRule="auto"/>
        <w:jc w:val="left"/>
        <w:rPr>
          <w:rFonts w:hint="eastAsia" w:ascii="宋体" w:hAnsi="宋体" w:cs="宋体"/>
          <w:color w:val="auto"/>
          <w:sz w:val="24"/>
          <w:highlight w:val="none"/>
        </w:rPr>
      </w:pPr>
    </w:p>
    <w:p w14:paraId="1B1B5EB3">
      <w:pPr>
        <w:spacing w:line="360" w:lineRule="auto"/>
        <w:jc w:val="left"/>
        <w:rPr>
          <w:rFonts w:hint="eastAsia" w:ascii="宋体" w:hAnsi="宋体" w:cs="宋体"/>
          <w:color w:val="auto"/>
          <w:sz w:val="24"/>
          <w:highlight w:val="none"/>
        </w:rPr>
      </w:pPr>
    </w:p>
    <w:p w14:paraId="7D6274C4">
      <w:pPr>
        <w:spacing w:line="360" w:lineRule="auto"/>
        <w:jc w:val="left"/>
        <w:rPr>
          <w:rFonts w:hint="eastAsia" w:ascii="宋体" w:hAnsi="宋体" w:cs="宋体"/>
          <w:color w:val="auto"/>
          <w:sz w:val="24"/>
          <w:highlight w:val="none"/>
        </w:rPr>
      </w:pPr>
    </w:p>
    <w:p w14:paraId="6B2ABDAE">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格式3</w:t>
      </w:r>
    </w:p>
    <w:p w14:paraId="61BBB4B2">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投标函</w:t>
      </w:r>
    </w:p>
    <w:p w14:paraId="790FED7F">
      <w:pPr>
        <w:pStyle w:val="25"/>
        <w:shd w:val="clear" w:color="auto" w:fill="FFFFFF"/>
        <w:adjustRightInd w:val="0"/>
        <w:snapToGrid w:val="0"/>
        <w:spacing w:before="0" w:beforeAutospacing="0" w:after="0" w:afterAutospacing="0" w:line="360" w:lineRule="auto"/>
        <w:rPr>
          <w:rFonts w:cs="宋体"/>
          <w:color w:val="auto"/>
          <w:highlight w:val="none"/>
        </w:rPr>
      </w:pPr>
      <w:r>
        <w:rPr>
          <w:rFonts w:hint="eastAsia" w:cs="宋体"/>
          <w:color w:val="auto"/>
          <w:szCs w:val="24"/>
          <w:highlight w:val="none"/>
        </w:rPr>
        <w:t>致：</w:t>
      </w:r>
      <w:r>
        <w:rPr>
          <w:rFonts w:hint="eastAsia" w:cs="宋体"/>
          <w:color w:val="auto"/>
          <w:kern w:val="2"/>
          <w:highlight w:val="none"/>
        </w:rPr>
        <w:t>（采购人或采购代理机构）</w:t>
      </w:r>
    </w:p>
    <w:p w14:paraId="7317235C">
      <w:pPr>
        <w:pStyle w:val="55"/>
        <w:ind w:firstLine="600" w:firstLineChars="250"/>
        <w:rPr>
          <w:rFonts w:ascii="宋体" w:hAnsi="宋体"/>
          <w:color w:val="auto"/>
          <w:sz w:val="24"/>
          <w:szCs w:val="24"/>
          <w:highlight w:val="none"/>
        </w:rPr>
      </w:pPr>
      <w:r>
        <w:rPr>
          <w:rFonts w:hint="eastAsia" w:ascii="宋体" w:hAnsi="宋体"/>
          <w:color w:val="auto"/>
          <w:sz w:val="24"/>
          <w:szCs w:val="24"/>
          <w:highlight w:val="none"/>
        </w:rPr>
        <w:t>根据贵方</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（本项目名称）</w:t>
      </w:r>
      <w:r>
        <w:rPr>
          <w:rFonts w:hint="eastAsia" w:ascii="宋体" w:hAnsi="宋体"/>
          <w:color w:val="auto"/>
          <w:sz w:val="24"/>
          <w:szCs w:val="24"/>
          <w:highlight w:val="none"/>
        </w:rPr>
        <w:t>项目的竞争性磋商邀请（项目编号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(全名、职务)</w:t>
      </w:r>
      <w:r>
        <w:rPr>
          <w:rFonts w:hint="eastAsia" w:ascii="宋体" w:hAnsi="宋体"/>
          <w:color w:val="auto"/>
          <w:sz w:val="24"/>
          <w:szCs w:val="24"/>
          <w:highlight w:val="none"/>
        </w:rPr>
        <w:t>代表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供应商名称、地址)</w:t>
      </w:r>
      <w:r>
        <w:rPr>
          <w:rFonts w:hint="eastAsia" w:ascii="宋体" w:hAnsi="宋体"/>
          <w:color w:val="auto"/>
          <w:sz w:val="24"/>
          <w:szCs w:val="24"/>
          <w:highlight w:val="none"/>
          <w:u w:val="none"/>
          <w:lang w:val="en-US" w:eastAsia="zh-CN"/>
        </w:rPr>
        <w:t>签字并</w:t>
      </w:r>
      <w:r>
        <w:rPr>
          <w:rFonts w:hint="eastAsia" w:ascii="宋体" w:hAnsi="宋体"/>
          <w:color w:val="auto"/>
          <w:sz w:val="24"/>
          <w:szCs w:val="24"/>
          <w:highlight w:val="none"/>
        </w:rPr>
        <w:t>提交投标文件，报价为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rPr>
        <w:t>元，</w:t>
      </w:r>
      <w:r>
        <w:rPr>
          <w:rFonts w:hint="eastAsia" w:ascii="宋体" w:hAnsi="宋体"/>
          <w:color w:val="auto"/>
          <w:sz w:val="24"/>
          <w:szCs w:val="24"/>
          <w:highlight w:val="none"/>
        </w:rPr>
        <w:t>并对之负法律责任。</w:t>
      </w:r>
    </w:p>
    <w:p w14:paraId="59B474EF">
      <w:pPr>
        <w:ind w:firstLine="568" w:firstLineChars="237"/>
        <w:rPr>
          <w:rFonts w:ascii="宋体" w:hAnsi="宋体" w:cs="宋体"/>
          <w:color w:val="auto"/>
          <w:sz w:val="24"/>
          <w:highlight w:val="none"/>
        </w:rPr>
      </w:pPr>
      <w:r>
        <w:rPr>
          <w:rFonts w:hint="eastAsia" w:ascii="宋体" w:hAnsi="宋体" w:cs="宋体"/>
          <w:color w:val="auto"/>
          <w:sz w:val="24"/>
          <w:highlight w:val="none"/>
        </w:rPr>
        <w:t>据此函，宣布同意如下：</w:t>
      </w:r>
    </w:p>
    <w:p w14:paraId="7AF6E00B">
      <w:pPr>
        <w:ind w:firstLine="480" w:firstLineChars="200"/>
        <w:rPr>
          <w:rFonts w:ascii="宋体" w:hAnsi="宋体" w:cs="宋体"/>
          <w:color w:val="auto"/>
          <w:sz w:val="24"/>
          <w:highlight w:val="none"/>
        </w:rPr>
      </w:pPr>
      <w:r>
        <w:rPr>
          <w:rFonts w:hint="eastAsia" w:ascii="宋体" w:hAnsi="宋体" w:cs="宋体"/>
          <w:color w:val="auto"/>
          <w:sz w:val="24"/>
          <w:highlight w:val="none"/>
        </w:rPr>
        <w:t>(1)我们完全理解贵方不一定要接受最低报价，并同意本文件规定的响应性文件有效期。</w:t>
      </w:r>
    </w:p>
    <w:p w14:paraId="6BFE036C">
      <w:pPr>
        <w:ind w:firstLine="480" w:firstLineChars="200"/>
        <w:rPr>
          <w:rFonts w:ascii="宋体" w:hAnsi="宋体" w:cs="宋体"/>
          <w:color w:val="auto"/>
          <w:sz w:val="24"/>
          <w:highlight w:val="none"/>
        </w:rPr>
      </w:pPr>
      <w:r>
        <w:rPr>
          <w:rFonts w:hint="eastAsia" w:ascii="宋体" w:hAnsi="宋体" w:cs="宋体"/>
          <w:color w:val="auto"/>
          <w:sz w:val="24"/>
          <w:highlight w:val="none"/>
        </w:rPr>
        <w:t>(2)我们已详细审核全部竞争性磋商文件，我们知道必须放弃提出含糊不清或误解的问题的权利。</w:t>
      </w:r>
    </w:p>
    <w:p w14:paraId="0AD64923">
      <w:pPr>
        <w:numPr>
          <w:ilvl w:val="0"/>
          <w:numId w:val="4"/>
        </w:numPr>
        <w:ind w:firstLine="480" w:firstLineChars="200"/>
        <w:rPr>
          <w:rFonts w:ascii="宋体" w:hAnsi="宋体" w:cs="宋体"/>
          <w:color w:val="auto"/>
          <w:sz w:val="24"/>
          <w:highlight w:val="none"/>
        </w:rPr>
      </w:pPr>
      <w:r>
        <w:rPr>
          <w:rFonts w:hint="eastAsia" w:ascii="宋体" w:hAnsi="宋体" w:cs="宋体"/>
          <w:color w:val="auto"/>
          <w:sz w:val="24"/>
          <w:highlight w:val="none"/>
        </w:rPr>
        <w:t>同意向贵方提供贵方可能另外要求的与其竞争性磋商有关的任何证据和资料。</w:t>
      </w:r>
    </w:p>
    <w:p w14:paraId="59C083C7">
      <w:pPr>
        <w:ind w:firstLine="480" w:firstLineChars="200"/>
        <w:rPr>
          <w:rFonts w:ascii="宋体" w:hAnsi="宋体" w:cs="宋体"/>
          <w:color w:val="auto"/>
          <w:sz w:val="24"/>
          <w:highlight w:val="none"/>
        </w:rPr>
      </w:pPr>
      <w:r>
        <w:rPr>
          <w:rFonts w:hint="eastAsia" w:ascii="宋体" w:hAnsi="宋体" w:cs="宋体"/>
          <w:color w:val="auto"/>
          <w:sz w:val="24"/>
          <w:highlight w:val="none"/>
        </w:rPr>
        <w:t>(4)一旦我们成交，我们将严格履行合同责任和义务。</w:t>
      </w:r>
    </w:p>
    <w:p w14:paraId="498C4EBF">
      <w:pPr>
        <w:ind w:firstLine="480" w:firstLineChars="200"/>
        <w:rPr>
          <w:rFonts w:ascii="宋体" w:hAnsi="宋体" w:cs="宋体"/>
          <w:color w:val="auto"/>
          <w:sz w:val="24"/>
          <w:highlight w:val="none"/>
        </w:rPr>
      </w:pPr>
      <w:r>
        <w:rPr>
          <w:rFonts w:hint="eastAsia" w:ascii="宋体" w:hAnsi="宋体" w:cs="宋体"/>
          <w:color w:val="auto"/>
          <w:sz w:val="24"/>
          <w:highlight w:val="none"/>
        </w:rPr>
        <w:t>(5)我们完全理解不向未成交人解释未成交理由的义务。</w:t>
      </w:r>
    </w:p>
    <w:p w14:paraId="26B5CCFB">
      <w:pPr>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(6)</w:t>
      </w:r>
      <w:r>
        <w:rPr>
          <w:rFonts w:hint="eastAsia" w:ascii="宋体" w:hAnsi="宋体" w:cs="宋体"/>
          <w:color w:val="auto"/>
          <w:sz w:val="24"/>
          <w:highlight w:val="none"/>
          <w:lang w:val="zh-CN"/>
        </w:rPr>
        <w:t>如果我们的谈判响应文件被接受，我们将履行谈判文件中规定的每一项要求，按期、按质、按量履行合同。</w:t>
      </w:r>
    </w:p>
    <w:p w14:paraId="278579A0">
      <w:pPr>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我方愿按《中华人民共和国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lang w:val="zh-CN"/>
        </w:rPr>
        <w:t>》履行我方的全部责任。</w:t>
      </w:r>
    </w:p>
    <w:p w14:paraId="4697AAB1">
      <w:pPr>
        <w:ind w:firstLine="480" w:firstLineChars="200"/>
        <w:rPr>
          <w:rFonts w:ascii="宋体" w:hAnsi="宋体" w:cs="宋体"/>
          <w:color w:val="auto"/>
          <w:sz w:val="24"/>
          <w:highlight w:val="none"/>
        </w:rPr>
      </w:pPr>
      <w:r>
        <w:rPr>
          <w:rFonts w:hint="eastAsia" w:ascii="宋体" w:hAnsi="宋体" w:cs="宋体"/>
          <w:color w:val="auto"/>
          <w:sz w:val="24"/>
          <w:highlight w:val="none"/>
        </w:rPr>
        <w:t>(8)与本次竞争性磋商有关的正式通讯地址为：</w:t>
      </w:r>
    </w:p>
    <w:p w14:paraId="437C31A6">
      <w:pPr>
        <w:ind w:firstLine="480" w:firstLineChars="200"/>
        <w:rPr>
          <w:rFonts w:ascii="宋体" w:hAnsi="宋体" w:cs="宋体"/>
          <w:color w:val="auto"/>
          <w:sz w:val="24"/>
          <w:highlight w:val="none"/>
        </w:rPr>
      </w:pPr>
      <w:r>
        <w:rPr>
          <w:rFonts w:hint="eastAsia" w:ascii="宋体" w:hAnsi="宋体" w:cs="宋体"/>
          <w:color w:val="auto"/>
          <w:sz w:val="24"/>
          <w:highlight w:val="none"/>
        </w:rPr>
        <w:t>地 址：                  邮 编：</w:t>
      </w:r>
    </w:p>
    <w:p w14:paraId="0E8995FC">
      <w:pPr>
        <w:ind w:firstLine="480" w:firstLineChars="200"/>
        <w:rPr>
          <w:rFonts w:ascii="宋体" w:hAnsi="宋体" w:cs="宋体"/>
          <w:color w:val="auto"/>
          <w:sz w:val="24"/>
          <w:highlight w:val="none"/>
        </w:rPr>
      </w:pPr>
      <w:r>
        <w:rPr>
          <w:rFonts w:hint="eastAsia" w:ascii="宋体" w:hAnsi="宋体" w:cs="宋体"/>
          <w:color w:val="auto"/>
          <w:sz w:val="24"/>
          <w:highlight w:val="none"/>
        </w:rPr>
        <w:t>电 话：                  电子信箱：</w:t>
      </w:r>
    </w:p>
    <w:p w14:paraId="4F4B8E82">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我们保证：</w:t>
      </w:r>
    </w:p>
    <w:p w14:paraId="20A6E047">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(1)不提供虚假材料谋取成交；</w:t>
      </w:r>
    </w:p>
    <w:p w14:paraId="3CF6CF79">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(2)不以不正当手段抵毁、排挤其他供应商；</w:t>
      </w:r>
    </w:p>
    <w:p w14:paraId="638219F7">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(3)不与采购人和其它供应商恶意串通；</w:t>
      </w:r>
    </w:p>
    <w:p w14:paraId="112AFDBD">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(4)不向采购人和采购代理机构提供不正当利益；</w:t>
      </w:r>
    </w:p>
    <w:p w14:paraId="3954E971">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(5)不拒绝有关部门监督检查或提供虚假情况。</w:t>
      </w:r>
    </w:p>
    <w:p w14:paraId="098C6D38">
      <w:pPr>
        <w:spacing w:line="560" w:lineRule="exact"/>
        <w:jc w:val="left"/>
        <w:rPr>
          <w:rFonts w:ascii="宋体" w:hAnsi="宋体" w:cs="宋体"/>
          <w:color w:val="auto"/>
          <w:sz w:val="24"/>
          <w:highlight w:val="none"/>
        </w:rPr>
      </w:pPr>
    </w:p>
    <w:p w14:paraId="6B46B6A9">
      <w:pPr>
        <w:spacing w:line="560" w:lineRule="exact"/>
        <w:jc w:val="left"/>
        <w:rPr>
          <w:rFonts w:ascii="宋体" w:hAnsi="宋体" w:cs="宋体"/>
          <w:color w:val="auto"/>
          <w:sz w:val="24"/>
          <w:highlight w:val="none"/>
        </w:rPr>
      </w:pPr>
      <w:r>
        <w:rPr>
          <w:rFonts w:hint="eastAsia" w:ascii="宋体" w:hAnsi="宋体" w:cs="宋体"/>
          <w:color w:val="auto"/>
          <w:sz w:val="24"/>
          <w:highlight w:val="none"/>
        </w:rPr>
        <w:t xml:space="preserve">     联系人：              联系电话：</w:t>
      </w:r>
    </w:p>
    <w:p w14:paraId="12DA6FE0">
      <w:pPr>
        <w:spacing w:line="360" w:lineRule="auto"/>
        <w:jc w:val="left"/>
        <w:rPr>
          <w:rFonts w:ascii="宋体" w:hAnsi="宋体" w:cs="宋体"/>
          <w:color w:val="auto"/>
          <w:sz w:val="24"/>
          <w:highlight w:val="none"/>
        </w:rPr>
      </w:pPr>
    </w:p>
    <w:p w14:paraId="3F092F85">
      <w:pPr>
        <w:spacing w:line="360" w:lineRule="auto"/>
        <w:jc w:val="left"/>
        <w:rPr>
          <w:rFonts w:ascii="宋体" w:hAnsi="宋体" w:cs="宋体"/>
          <w:color w:val="auto"/>
          <w:sz w:val="24"/>
          <w:highlight w:val="none"/>
        </w:rPr>
      </w:pPr>
    </w:p>
    <w:p w14:paraId="5E70C6EC">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278C42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AD178CD">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格式4</w:t>
      </w:r>
    </w:p>
    <w:p w14:paraId="61142CA2">
      <w:pPr>
        <w:pStyle w:val="4"/>
        <w:jc w:val="center"/>
        <w:rPr>
          <w:rFonts w:ascii="宋体" w:hAnsi="宋体" w:cs="宋体"/>
          <w:b w:val="0"/>
          <w:color w:val="auto"/>
          <w:sz w:val="24"/>
          <w:szCs w:val="24"/>
          <w:highlight w:val="none"/>
        </w:rPr>
      </w:pPr>
      <w:bookmarkStart w:id="34" w:name="_Toc495414231"/>
      <w:bookmarkStart w:id="35" w:name="_Toc197934561"/>
      <w:r>
        <w:rPr>
          <w:rFonts w:hint="eastAsia" w:ascii="宋体" w:hAnsi="宋体" w:cs="宋体"/>
          <w:b w:val="0"/>
          <w:color w:val="auto"/>
          <w:sz w:val="24"/>
          <w:szCs w:val="24"/>
          <w:highlight w:val="none"/>
        </w:rPr>
        <w:t>一．报价一览表</w:t>
      </w:r>
      <w:bookmarkEnd w:id="34"/>
      <w:bookmarkEnd w:id="35"/>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02CE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5E012CB9">
            <w:pPr>
              <w:widowControl/>
              <w:spacing w:line="3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6E1DA84B">
            <w:pPr>
              <w:spacing w:line="360" w:lineRule="exact"/>
              <w:jc w:val="center"/>
              <w:rPr>
                <w:rFonts w:ascii="宋体" w:hAnsi="宋体" w:cs="宋体"/>
                <w:color w:val="auto"/>
                <w:sz w:val="24"/>
                <w:highlight w:val="none"/>
              </w:rPr>
            </w:pPr>
          </w:p>
        </w:tc>
      </w:tr>
      <w:tr w14:paraId="1A85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E4B1E86">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投标人全称</w:t>
            </w:r>
          </w:p>
        </w:tc>
        <w:tc>
          <w:tcPr>
            <w:tcW w:w="6667" w:type="dxa"/>
            <w:tcBorders>
              <w:top w:val="nil"/>
            </w:tcBorders>
            <w:vAlign w:val="center"/>
          </w:tcPr>
          <w:p w14:paraId="62DEDB0A">
            <w:pPr>
              <w:spacing w:line="360" w:lineRule="auto"/>
              <w:rPr>
                <w:rFonts w:ascii="宋体" w:hAnsi="宋体" w:cs="宋体"/>
                <w:color w:val="auto"/>
                <w:sz w:val="24"/>
                <w:highlight w:val="none"/>
              </w:rPr>
            </w:pPr>
          </w:p>
        </w:tc>
      </w:tr>
      <w:tr w14:paraId="4EC1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F4B0F16">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最终投标报价（包：）</w:t>
            </w:r>
          </w:p>
          <w:p w14:paraId="1D8E8846">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6667" w:type="dxa"/>
            <w:tcBorders>
              <w:top w:val="nil"/>
            </w:tcBorders>
            <w:vAlign w:val="center"/>
          </w:tcPr>
          <w:p w14:paraId="000EB1A3">
            <w:pPr>
              <w:spacing w:line="360" w:lineRule="auto"/>
              <w:ind w:right="-670"/>
              <w:rPr>
                <w:rFonts w:ascii="宋体" w:hAnsi="宋体" w:cs="宋体"/>
                <w:color w:val="auto"/>
                <w:sz w:val="24"/>
                <w:highlight w:val="none"/>
              </w:rPr>
            </w:pPr>
            <w:r>
              <w:rPr>
                <w:rFonts w:hint="eastAsia" w:ascii="宋体" w:hAnsi="宋体" w:cs="宋体"/>
                <w:color w:val="auto"/>
                <w:sz w:val="24"/>
                <w:highlight w:val="none"/>
              </w:rPr>
              <w:t xml:space="preserve">投标总价：       大写：           </w:t>
            </w:r>
          </w:p>
        </w:tc>
      </w:tr>
      <w:tr w14:paraId="6A25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6C0A62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667" w:type="dxa"/>
            <w:tcBorders>
              <w:top w:val="nil"/>
            </w:tcBorders>
            <w:vAlign w:val="center"/>
          </w:tcPr>
          <w:p w14:paraId="6582E8AE">
            <w:pPr>
              <w:spacing w:line="360" w:lineRule="auto"/>
              <w:jc w:val="left"/>
              <w:rPr>
                <w:rFonts w:ascii="宋体" w:hAnsi="宋体" w:cs="宋体"/>
                <w:color w:val="auto"/>
                <w:sz w:val="24"/>
                <w:highlight w:val="none"/>
              </w:rPr>
            </w:pPr>
          </w:p>
        </w:tc>
      </w:tr>
    </w:tbl>
    <w:p w14:paraId="32BB6B03">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5B052EC6">
      <w:pPr>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70E05637">
      <w:pPr>
        <w:spacing w:line="360" w:lineRule="auto"/>
        <w:rPr>
          <w:rFonts w:ascii="宋体" w:hAnsi="宋体" w:cs="宋体"/>
          <w:color w:val="auto"/>
          <w:sz w:val="24"/>
          <w:highlight w:val="none"/>
        </w:rPr>
      </w:pPr>
      <w:r>
        <w:rPr>
          <w:rFonts w:hint="eastAsia" w:ascii="宋体" w:hAnsi="宋体" w:cs="宋体"/>
          <w:color w:val="auto"/>
          <w:sz w:val="24"/>
          <w:highlight w:val="none"/>
        </w:rPr>
        <w:t>1、此表用于开标会唱标之用。</w:t>
      </w:r>
    </w:p>
    <w:p w14:paraId="69587896">
      <w:pPr>
        <w:spacing w:line="360" w:lineRule="auto"/>
        <w:rPr>
          <w:rFonts w:ascii="宋体" w:hAnsi="宋体" w:cs="宋体"/>
          <w:color w:val="auto"/>
          <w:sz w:val="24"/>
          <w:highlight w:val="none"/>
        </w:rPr>
      </w:pPr>
      <w:r>
        <w:rPr>
          <w:rFonts w:hint="eastAsia" w:ascii="宋体" w:hAnsi="宋体" w:cs="宋体"/>
          <w:color w:val="auto"/>
          <w:sz w:val="24"/>
          <w:highlight w:val="none"/>
        </w:rPr>
        <w:t>2、表中最终投标报价即为优惠后报价，并作为评审及定标依据。任何有选择或有条件的最终投标报价，或者表中某一包填写多个报价，均为无效报价。</w:t>
      </w:r>
    </w:p>
    <w:p w14:paraId="0216EF08">
      <w:pPr>
        <w:spacing w:line="360" w:lineRule="auto"/>
        <w:jc w:val="left"/>
        <w:rPr>
          <w:rFonts w:ascii="宋体" w:hAnsi="宋体" w:cs="宋体"/>
          <w:color w:val="auto"/>
          <w:sz w:val="24"/>
          <w:highlight w:val="none"/>
        </w:rPr>
      </w:pPr>
      <w:bookmarkStart w:id="36" w:name="_Toc220232409"/>
      <w:bookmarkStart w:id="37" w:name="_Toc495414234"/>
    </w:p>
    <w:p w14:paraId="44DCC5E5">
      <w:pPr>
        <w:pStyle w:val="35"/>
        <w:ind w:firstLine="240"/>
        <w:rPr>
          <w:rFonts w:ascii="宋体" w:hAnsi="宋体" w:cs="宋体"/>
          <w:color w:val="auto"/>
          <w:sz w:val="24"/>
          <w:highlight w:val="none"/>
        </w:rPr>
      </w:pPr>
    </w:p>
    <w:p w14:paraId="64A0C0AD">
      <w:pPr>
        <w:pStyle w:val="35"/>
        <w:ind w:firstLine="240"/>
        <w:rPr>
          <w:rFonts w:ascii="宋体" w:hAnsi="宋体" w:cs="宋体"/>
          <w:color w:val="auto"/>
          <w:sz w:val="24"/>
          <w:highlight w:val="none"/>
        </w:rPr>
      </w:pPr>
    </w:p>
    <w:p w14:paraId="060C9F91">
      <w:pPr>
        <w:pStyle w:val="35"/>
        <w:ind w:firstLine="240"/>
        <w:rPr>
          <w:rFonts w:ascii="宋体" w:hAnsi="宋体" w:cs="宋体"/>
          <w:color w:val="auto"/>
          <w:sz w:val="24"/>
          <w:highlight w:val="none"/>
        </w:rPr>
      </w:pPr>
    </w:p>
    <w:p w14:paraId="2D5234AD">
      <w:pPr>
        <w:pStyle w:val="35"/>
        <w:ind w:firstLine="240"/>
        <w:rPr>
          <w:rFonts w:ascii="宋体" w:hAnsi="宋体" w:cs="宋体"/>
          <w:color w:val="auto"/>
          <w:sz w:val="24"/>
          <w:highlight w:val="none"/>
        </w:rPr>
      </w:pPr>
    </w:p>
    <w:p w14:paraId="45BB90C3">
      <w:pPr>
        <w:pStyle w:val="35"/>
        <w:ind w:firstLine="240"/>
        <w:rPr>
          <w:rFonts w:ascii="宋体" w:hAnsi="宋体" w:cs="宋体"/>
          <w:color w:val="auto"/>
          <w:sz w:val="24"/>
          <w:highlight w:val="none"/>
        </w:rPr>
      </w:pPr>
    </w:p>
    <w:p w14:paraId="615662E4">
      <w:pPr>
        <w:spacing w:line="360" w:lineRule="auto"/>
        <w:jc w:val="left"/>
        <w:rPr>
          <w:rFonts w:ascii="宋体" w:hAnsi="宋体" w:cs="宋体"/>
          <w:color w:val="auto"/>
          <w:sz w:val="24"/>
          <w:highlight w:val="none"/>
        </w:rPr>
      </w:pPr>
    </w:p>
    <w:p w14:paraId="4A1CAAE1">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格式5</w:t>
      </w:r>
    </w:p>
    <w:p w14:paraId="48D462B6">
      <w:pPr>
        <w:pStyle w:val="4"/>
        <w:jc w:val="center"/>
        <w:rPr>
          <w:rFonts w:ascii="宋体" w:hAnsi="宋体" w:cs="宋体"/>
          <w:b w:val="0"/>
          <w:color w:val="auto"/>
          <w:sz w:val="24"/>
          <w:szCs w:val="24"/>
          <w:highlight w:val="none"/>
        </w:rPr>
      </w:pPr>
      <w:r>
        <w:rPr>
          <w:rFonts w:hint="eastAsia" w:ascii="宋体" w:hAnsi="宋体" w:cs="宋体"/>
          <w:b w:val="0"/>
          <w:color w:val="auto"/>
          <w:sz w:val="24"/>
          <w:szCs w:val="24"/>
          <w:highlight w:val="none"/>
        </w:rPr>
        <w:t>投标分项报价表</w:t>
      </w:r>
      <w:bookmarkEnd w:id="36"/>
      <w:bookmarkEnd w:id="37"/>
    </w:p>
    <w:tbl>
      <w:tblPr>
        <w:tblStyle w:val="2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15D9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16DBCC51">
            <w:pPr>
              <w:pStyle w:val="59"/>
              <w:widowControl w:val="0"/>
              <w:spacing w:before="0" w:beforeAutospacing="0" w:after="0" w:afterAutospacing="0" w:line="340" w:lineRule="exact"/>
              <w:rPr>
                <w:rFonts w:cs="宋体"/>
                <w:b w:val="0"/>
                <w:bCs w:val="0"/>
                <w:color w:val="auto"/>
                <w:kern w:val="2"/>
                <w:sz w:val="24"/>
                <w:szCs w:val="24"/>
                <w:highlight w:val="none"/>
              </w:rPr>
            </w:pPr>
            <w:r>
              <w:rPr>
                <w:rFonts w:hint="eastAsia" w:cs="宋体"/>
                <w:b w:val="0"/>
                <w:bCs w:val="0"/>
                <w:color w:val="auto"/>
                <w:kern w:val="2"/>
                <w:sz w:val="24"/>
                <w:szCs w:val="24"/>
                <w:highlight w:val="none"/>
              </w:rPr>
              <w:t>序号</w:t>
            </w:r>
          </w:p>
        </w:tc>
        <w:tc>
          <w:tcPr>
            <w:tcW w:w="2205" w:type="dxa"/>
            <w:vAlign w:val="center"/>
          </w:tcPr>
          <w:p w14:paraId="0939FDFF">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服务项目名称</w:t>
            </w:r>
          </w:p>
        </w:tc>
        <w:tc>
          <w:tcPr>
            <w:tcW w:w="957" w:type="dxa"/>
            <w:vAlign w:val="center"/>
          </w:tcPr>
          <w:p w14:paraId="10D1C674">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840" w:type="dxa"/>
            <w:vAlign w:val="center"/>
          </w:tcPr>
          <w:p w14:paraId="5AB70710">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60" w:type="dxa"/>
            <w:vAlign w:val="center"/>
          </w:tcPr>
          <w:p w14:paraId="3A96D01F">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1340" w:type="dxa"/>
            <w:vAlign w:val="center"/>
          </w:tcPr>
          <w:p w14:paraId="46BB10E6">
            <w:pPr>
              <w:spacing w:line="340" w:lineRule="exact"/>
              <w:jc w:val="center"/>
              <w:rPr>
                <w:rFonts w:ascii="宋体" w:hAnsi="宋体" w:cs="宋体"/>
                <w:color w:val="auto"/>
                <w:sz w:val="24"/>
                <w:highlight w:val="none"/>
              </w:rPr>
            </w:pPr>
            <w:r>
              <w:rPr>
                <w:rFonts w:hint="eastAsia" w:ascii="宋体" w:hAnsi="宋体" w:cs="宋体"/>
                <w:bCs/>
                <w:color w:val="auto"/>
                <w:sz w:val="24"/>
                <w:highlight w:val="none"/>
              </w:rPr>
              <w:t>小计</w:t>
            </w:r>
          </w:p>
        </w:tc>
        <w:tc>
          <w:tcPr>
            <w:tcW w:w="1347" w:type="dxa"/>
            <w:vAlign w:val="center"/>
          </w:tcPr>
          <w:p w14:paraId="11842704">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28F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55365BF9">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205" w:type="dxa"/>
          </w:tcPr>
          <w:p w14:paraId="217349C8">
            <w:pPr>
              <w:spacing w:line="340" w:lineRule="exact"/>
              <w:rPr>
                <w:rFonts w:ascii="宋体" w:hAnsi="宋体" w:cs="宋体"/>
                <w:color w:val="auto"/>
                <w:sz w:val="24"/>
                <w:highlight w:val="none"/>
              </w:rPr>
            </w:pPr>
          </w:p>
        </w:tc>
        <w:tc>
          <w:tcPr>
            <w:tcW w:w="957" w:type="dxa"/>
          </w:tcPr>
          <w:p w14:paraId="5EE24DD4">
            <w:pPr>
              <w:spacing w:line="340" w:lineRule="exact"/>
              <w:rPr>
                <w:rFonts w:ascii="宋体" w:hAnsi="宋体" w:cs="宋体"/>
                <w:color w:val="auto"/>
                <w:sz w:val="24"/>
                <w:highlight w:val="none"/>
              </w:rPr>
            </w:pPr>
          </w:p>
        </w:tc>
        <w:tc>
          <w:tcPr>
            <w:tcW w:w="840" w:type="dxa"/>
          </w:tcPr>
          <w:p w14:paraId="2AD0A57E">
            <w:pPr>
              <w:spacing w:line="340" w:lineRule="exact"/>
              <w:rPr>
                <w:rFonts w:ascii="宋体" w:hAnsi="宋体" w:cs="宋体"/>
                <w:color w:val="auto"/>
                <w:sz w:val="24"/>
                <w:highlight w:val="none"/>
              </w:rPr>
            </w:pPr>
          </w:p>
        </w:tc>
        <w:tc>
          <w:tcPr>
            <w:tcW w:w="1260" w:type="dxa"/>
          </w:tcPr>
          <w:p w14:paraId="2169A6B2">
            <w:pPr>
              <w:spacing w:line="340" w:lineRule="exact"/>
              <w:rPr>
                <w:rFonts w:ascii="宋体" w:hAnsi="宋体" w:cs="宋体"/>
                <w:color w:val="auto"/>
                <w:sz w:val="24"/>
                <w:highlight w:val="none"/>
              </w:rPr>
            </w:pPr>
          </w:p>
        </w:tc>
        <w:tc>
          <w:tcPr>
            <w:tcW w:w="1340" w:type="dxa"/>
          </w:tcPr>
          <w:p w14:paraId="6D2CBEEC">
            <w:pPr>
              <w:spacing w:line="340" w:lineRule="exact"/>
              <w:rPr>
                <w:rFonts w:ascii="宋体" w:hAnsi="宋体" w:cs="宋体"/>
                <w:color w:val="auto"/>
                <w:sz w:val="24"/>
                <w:highlight w:val="none"/>
              </w:rPr>
            </w:pPr>
          </w:p>
        </w:tc>
        <w:tc>
          <w:tcPr>
            <w:tcW w:w="1347" w:type="dxa"/>
          </w:tcPr>
          <w:p w14:paraId="68A54FC7">
            <w:pPr>
              <w:spacing w:line="340" w:lineRule="exact"/>
              <w:rPr>
                <w:rFonts w:ascii="宋体" w:hAnsi="宋体" w:cs="宋体"/>
                <w:color w:val="auto"/>
                <w:sz w:val="24"/>
                <w:highlight w:val="none"/>
              </w:rPr>
            </w:pPr>
          </w:p>
        </w:tc>
      </w:tr>
      <w:tr w14:paraId="74B0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A90AF76">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205" w:type="dxa"/>
          </w:tcPr>
          <w:p w14:paraId="1BA83C87">
            <w:pPr>
              <w:spacing w:line="340" w:lineRule="exact"/>
              <w:rPr>
                <w:rFonts w:ascii="宋体" w:hAnsi="宋体" w:cs="宋体"/>
                <w:color w:val="auto"/>
                <w:sz w:val="24"/>
                <w:highlight w:val="none"/>
              </w:rPr>
            </w:pPr>
          </w:p>
        </w:tc>
        <w:tc>
          <w:tcPr>
            <w:tcW w:w="957" w:type="dxa"/>
          </w:tcPr>
          <w:p w14:paraId="2026C7DC">
            <w:pPr>
              <w:spacing w:line="340" w:lineRule="exact"/>
              <w:rPr>
                <w:rFonts w:ascii="宋体" w:hAnsi="宋体" w:cs="宋体"/>
                <w:color w:val="auto"/>
                <w:sz w:val="24"/>
                <w:highlight w:val="none"/>
              </w:rPr>
            </w:pPr>
          </w:p>
        </w:tc>
        <w:tc>
          <w:tcPr>
            <w:tcW w:w="840" w:type="dxa"/>
          </w:tcPr>
          <w:p w14:paraId="0ACDFAF9">
            <w:pPr>
              <w:spacing w:line="340" w:lineRule="exact"/>
              <w:rPr>
                <w:rFonts w:ascii="宋体" w:hAnsi="宋体" w:cs="宋体"/>
                <w:color w:val="auto"/>
                <w:sz w:val="24"/>
                <w:highlight w:val="none"/>
              </w:rPr>
            </w:pPr>
          </w:p>
        </w:tc>
        <w:tc>
          <w:tcPr>
            <w:tcW w:w="1260" w:type="dxa"/>
          </w:tcPr>
          <w:p w14:paraId="1B21D0D7">
            <w:pPr>
              <w:spacing w:line="340" w:lineRule="exact"/>
              <w:rPr>
                <w:rFonts w:ascii="宋体" w:hAnsi="宋体" w:cs="宋体"/>
                <w:color w:val="auto"/>
                <w:sz w:val="24"/>
                <w:highlight w:val="none"/>
              </w:rPr>
            </w:pPr>
          </w:p>
        </w:tc>
        <w:tc>
          <w:tcPr>
            <w:tcW w:w="1340" w:type="dxa"/>
          </w:tcPr>
          <w:p w14:paraId="7B558C49">
            <w:pPr>
              <w:spacing w:line="340" w:lineRule="exact"/>
              <w:rPr>
                <w:rFonts w:ascii="宋体" w:hAnsi="宋体" w:cs="宋体"/>
                <w:color w:val="auto"/>
                <w:sz w:val="24"/>
                <w:highlight w:val="none"/>
              </w:rPr>
            </w:pPr>
          </w:p>
        </w:tc>
        <w:tc>
          <w:tcPr>
            <w:tcW w:w="1347" w:type="dxa"/>
          </w:tcPr>
          <w:p w14:paraId="1BF3D7F7">
            <w:pPr>
              <w:spacing w:line="340" w:lineRule="exact"/>
              <w:rPr>
                <w:rFonts w:ascii="宋体" w:hAnsi="宋体" w:cs="宋体"/>
                <w:color w:val="auto"/>
                <w:sz w:val="24"/>
                <w:highlight w:val="none"/>
              </w:rPr>
            </w:pPr>
          </w:p>
        </w:tc>
      </w:tr>
      <w:tr w14:paraId="3890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EB0CA99">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205" w:type="dxa"/>
          </w:tcPr>
          <w:p w14:paraId="1F592B85">
            <w:pPr>
              <w:spacing w:line="340" w:lineRule="exact"/>
              <w:rPr>
                <w:rFonts w:ascii="宋体" w:hAnsi="宋体" w:cs="宋体"/>
                <w:color w:val="auto"/>
                <w:sz w:val="24"/>
                <w:highlight w:val="none"/>
              </w:rPr>
            </w:pPr>
          </w:p>
        </w:tc>
        <w:tc>
          <w:tcPr>
            <w:tcW w:w="957" w:type="dxa"/>
          </w:tcPr>
          <w:p w14:paraId="3AE76249">
            <w:pPr>
              <w:spacing w:line="340" w:lineRule="exact"/>
              <w:rPr>
                <w:rFonts w:ascii="宋体" w:hAnsi="宋体" w:cs="宋体"/>
                <w:color w:val="auto"/>
                <w:sz w:val="24"/>
                <w:highlight w:val="none"/>
              </w:rPr>
            </w:pPr>
          </w:p>
        </w:tc>
        <w:tc>
          <w:tcPr>
            <w:tcW w:w="840" w:type="dxa"/>
          </w:tcPr>
          <w:p w14:paraId="59B2639C">
            <w:pPr>
              <w:spacing w:line="340" w:lineRule="exact"/>
              <w:rPr>
                <w:rFonts w:ascii="宋体" w:hAnsi="宋体" w:cs="宋体"/>
                <w:color w:val="auto"/>
                <w:sz w:val="24"/>
                <w:highlight w:val="none"/>
              </w:rPr>
            </w:pPr>
          </w:p>
        </w:tc>
        <w:tc>
          <w:tcPr>
            <w:tcW w:w="1260" w:type="dxa"/>
          </w:tcPr>
          <w:p w14:paraId="2BA43063">
            <w:pPr>
              <w:spacing w:line="340" w:lineRule="exact"/>
              <w:rPr>
                <w:rFonts w:ascii="宋体" w:hAnsi="宋体" w:cs="宋体"/>
                <w:color w:val="auto"/>
                <w:sz w:val="24"/>
                <w:highlight w:val="none"/>
              </w:rPr>
            </w:pPr>
          </w:p>
        </w:tc>
        <w:tc>
          <w:tcPr>
            <w:tcW w:w="1340" w:type="dxa"/>
          </w:tcPr>
          <w:p w14:paraId="54E12233">
            <w:pPr>
              <w:spacing w:line="340" w:lineRule="exact"/>
              <w:rPr>
                <w:rFonts w:ascii="宋体" w:hAnsi="宋体" w:cs="宋体"/>
                <w:color w:val="auto"/>
                <w:sz w:val="24"/>
                <w:highlight w:val="none"/>
              </w:rPr>
            </w:pPr>
          </w:p>
        </w:tc>
        <w:tc>
          <w:tcPr>
            <w:tcW w:w="1347" w:type="dxa"/>
          </w:tcPr>
          <w:p w14:paraId="5BE9EF5E">
            <w:pPr>
              <w:spacing w:line="340" w:lineRule="exact"/>
              <w:rPr>
                <w:rFonts w:ascii="宋体" w:hAnsi="宋体" w:cs="宋体"/>
                <w:color w:val="auto"/>
                <w:sz w:val="24"/>
                <w:highlight w:val="none"/>
              </w:rPr>
            </w:pPr>
          </w:p>
        </w:tc>
      </w:tr>
      <w:tr w14:paraId="68E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7BFD11D">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205" w:type="dxa"/>
          </w:tcPr>
          <w:p w14:paraId="04C613B0">
            <w:pPr>
              <w:spacing w:line="340" w:lineRule="exact"/>
              <w:rPr>
                <w:rFonts w:ascii="宋体" w:hAnsi="宋体" w:cs="宋体"/>
                <w:color w:val="auto"/>
                <w:sz w:val="24"/>
                <w:highlight w:val="none"/>
              </w:rPr>
            </w:pPr>
          </w:p>
        </w:tc>
        <w:tc>
          <w:tcPr>
            <w:tcW w:w="957" w:type="dxa"/>
          </w:tcPr>
          <w:p w14:paraId="3DEE0BB9">
            <w:pPr>
              <w:spacing w:line="340" w:lineRule="exact"/>
              <w:rPr>
                <w:rFonts w:ascii="宋体" w:hAnsi="宋体" w:cs="宋体"/>
                <w:color w:val="auto"/>
                <w:sz w:val="24"/>
                <w:highlight w:val="none"/>
              </w:rPr>
            </w:pPr>
          </w:p>
        </w:tc>
        <w:tc>
          <w:tcPr>
            <w:tcW w:w="840" w:type="dxa"/>
          </w:tcPr>
          <w:p w14:paraId="7044884E">
            <w:pPr>
              <w:spacing w:line="340" w:lineRule="exact"/>
              <w:rPr>
                <w:rFonts w:ascii="宋体" w:hAnsi="宋体" w:cs="宋体"/>
                <w:color w:val="auto"/>
                <w:sz w:val="24"/>
                <w:highlight w:val="none"/>
              </w:rPr>
            </w:pPr>
          </w:p>
        </w:tc>
        <w:tc>
          <w:tcPr>
            <w:tcW w:w="1260" w:type="dxa"/>
          </w:tcPr>
          <w:p w14:paraId="102DF8D9">
            <w:pPr>
              <w:spacing w:line="340" w:lineRule="exact"/>
              <w:rPr>
                <w:rFonts w:ascii="宋体" w:hAnsi="宋体" w:cs="宋体"/>
                <w:color w:val="auto"/>
                <w:sz w:val="24"/>
                <w:highlight w:val="none"/>
              </w:rPr>
            </w:pPr>
          </w:p>
        </w:tc>
        <w:tc>
          <w:tcPr>
            <w:tcW w:w="1340" w:type="dxa"/>
          </w:tcPr>
          <w:p w14:paraId="4EB04E82">
            <w:pPr>
              <w:spacing w:line="340" w:lineRule="exact"/>
              <w:rPr>
                <w:rFonts w:ascii="宋体" w:hAnsi="宋体" w:cs="宋体"/>
                <w:color w:val="auto"/>
                <w:sz w:val="24"/>
                <w:highlight w:val="none"/>
              </w:rPr>
            </w:pPr>
          </w:p>
        </w:tc>
        <w:tc>
          <w:tcPr>
            <w:tcW w:w="1347" w:type="dxa"/>
          </w:tcPr>
          <w:p w14:paraId="5CC0BB79">
            <w:pPr>
              <w:spacing w:line="340" w:lineRule="exact"/>
              <w:rPr>
                <w:rFonts w:ascii="宋体" w:hAnsi="宋体" w:cs="宋体"/>
                <w:color w:val="auto"/>
                <w:sz w:val="24"/>
                <w:highlight w:val="none"/>
              </w:rPr>
            </w:pPr>
          </w:p>
        </w:tc>
      </w:tr>
      <w:tr w14:paraId="7A49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4520047">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205" w:type="dxa"/>
          </w:tcPr>
          <w:p w14:paraId="48E17756">
            <w:pPr>
              <w:spacing w:line="340" w:lineRule="exact"/>
              <w:rPr>
                <w:rFonts w:ascii="宋体" w:hAnsi="宋体" w:cs="宋体"/>
                <w:color w:val="auto"/>
                <w:sz w:val="24"/>
                <w:highlight w:val="none"/>
              </w:rPr>
            </w:pPr>
          </w:p>
        </w:tc>
        <w:tc>
          <w:tcPr>
            <w:tcW w:w="957" w:type="dxa"/>
          </w:tcPr>
          <w:p w14:paraId="0CAC0C64">
            <w:pPr>
              <w:spacing w:line="340" w:lineRule="exact"/>
              <w:rPr>
                <w:rFonts w:ascii="宋体" w:hAnsi="宋体" w:cs="宋体"/>
                <w:color w:val="auto"/>
                <w:sz w:val="24"/>
                <w:highlight w:val="none"/>
              </w:rPr>
            </w:pPr>
          </w:p>
        </w:tc>
        <w:tc>
          <w:tcPr>
            <w:tcW w:w="840" w:type="dxa"/>
          </w:tcPr>
          <w:p w14:paraId="3F640C41">
            <w:pPr>
              <w:spacing w:line="340" w:lineRule="exact"/>
              <w:rPr>
                <w:rFonts w:ascii="宋体" w:hAnsi="宋体" w:cs="宋体"/>
                <w:color w:val="auto"/>
                <w:sz w:val="24"/>
                <w:highlight w:val="none"/>
              </w:rPr>
            </w:pPr>
          </w:p>
        </w:tc>
        <w:tc>
          <w:tcPr>
            <w:tcW w:w="1260" w:type="dxa"/>
          </w:tcPr>
          <w:p w14:paraId="7C36EEBA">
            <w:pPr>
              <w:spacing w:line="340" w:lineRule="exact"/>
              <w:rPr>
                <w:rFonts w:ascii="宋体" w:hAnsi="宋体" w:cs="宋体"/>
                <w:color w:val="auto"/>
                <w:sz w:val="24"/>
                <w:highlight w:val="none"/>
              </w:rPr>
            </w:pPr>
          </w:p>
        </w:tc>
        <w:tc>
          <w:tcPr>
            <w:tcW w:w="1340" w:type="dxa"/>
          </w:tcPr>
          <w:p w14:paraId="627162F5">
            <w:pPr>
              <w:spacing w:line="340" w:lineRule="exact"/>
              <w:rPr>
                <w:rFonts w:ascii="宋体" w:hAnsi="宋体" w:cs="宋体"/>
                <w:color w:val="auto"/>
                <w:sz w:val="24"/>
                <w:highlight w:val="none"/>
              </w:rPr>
            </w:pPr>
          </w:p>
        </w:tc>
        <w:tc>
          <w:tcPr>
            <w:tcW w:w="1347" w:type="dxa"/>
          </w:tcPr>
          <w:p w14:paraId="32EE47EB">
            <w:pPr>
              <w:spacing w:line="340" w:lineRule="exact"/>
              <w:rPr>
                <w:rFonts w:ascii="宋体" w:hAnsi="宋体" w:cs="宋体"/>
                <w:color w:val="auto"/>
                <w:sz w:val="24"/>
                <w:highlight w:val="none"/>
              </w:rPr>
            </w:pPr>
          </w:p>
        </w:tc>
      </w:tr>
      <w:tr w14:paraId="23BE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A56260B">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205" w:type="dxa"/>
          </w:tcPr>
          <w:p w14:paraId="55FE6091">
            <w:pPr>
              <w:spacing w:line="340" w:lineRule="exact"/>
              <w:rPr>
                <w:rFonts w:ascii="宋体" w:hAnsi="宋体" w:cs="宋体"/>
                <w:color w:val="auto"/>
                <w:sz w:val="24"/>
                <w:highlight w:val="none"/>
              </w:rPr>
            </w:pPr>
          </w:p>
        </w:tc>
        <w:tc>
          <w:tcPr>
            <w:tcW w:w="957" w:type="dxa"/>
          </w:tcPr>
          <w:p w14:paraId="1ACB7C29">
            <w:pPr>
              <w:spacing w:line="340" w:lineRule="exact"/>
              <w:rPr>
                <w:rFonts w:ascii="宋体" w:hAnsi="宋体" w:cs="宋体"/>
                <w:color w:val="auto"/>
                <w:sz w:val="24"/>
                <w:highlight w:val="none"/>
              </w:rPr>
            </w:pPr>
          </w:p>
        </w:tc>
        <w:tc>
          <w:tcPr>
            <w:tcW w:w="840" w:type="dxa"/>
          </w:tcPr>
          <w:p w14:paraId="0B66F070">
            <w:pPr>
              <w:spacing w:line="340" w:lineRule="exact"/>
              <w:rPr>
                <w:rFonts w:ascii="宋体" w:hAnsi="宋体" w:cs="宋体"/>
                <w:color w:val="auto"/>
                <w:sz w:val="24"/>
                <w:highlight w:val="none"/>
              </w:rPr>
            </w:pPr>
          </w:p>
        </w:tc>
        <w:tc>
          <w:tcPr>
            <w:tcW w:w="1260" w:type="dxa"/>
          </w:tcPr>
          <w:p w14:paraId="0722AD5E">
            <w:pPr>
              <w:spacing w:line="340" w:lineRule="exact"/>
              <w:rPr>
                <w:rFonts w:ascii="宋体" w:hAnsi="宋体" w:cs="宋体"/>
                <w:color w:val="auto"/>
                <w:sz w:val="24"/>
                <w:highlight w:val="none"/>
              </w:rPr>
            </w:pPr>
          </w:p>
        </w:tc>
        <w:tc>
          <w:tcPr>
            <w:tcW w:w="1340" w:type="dxa"/>
          </w:tcPr>
          <w:p w14:paraId="586196DC">
            <w:pPr>
              <w:spacing w:line="340" w:lineRule="exact"/>
              <w:rPr>
                <w:rFonts w:ascii="宋体" w:hAnsi="宋体" w:cs="宋体"/>
                <w:color w:val="auto"/>
                <w:sz w:val="24"/>
                <w:highlight w:val="none"/>
              </w:rPr>
            </w:pPr>
          </w:p>
        </w:tc>
        <w:tc>
          <w:tcPr>
            <w:tcW w:w="1347" w:type="dxa"/>
          </w:tcPr>
          <w:p w14:paraId="32E55A1A">
            <w:pPr>
              <w:spacing w:line="340" w:lineRule="exact"/>
              <w:rPr>
                <w:rFonts w:ascii="宋体" w:hAnsi="宋体" w:cs="宋体"/>
                <w:color w:val="auto"/>
                <w:sz w:val="24"/>
                <w:highlight w:val="none"/>
              </w:rPr>
            </w:pPr>
          </w:p>
        </w:tc>
      </w:tr>
      <w:tr w14:paraId="2E8F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B3538E4">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205" w:type="dxa"/>
          </w:tcPr>
          <w:p w14:paraId="23D45E64">
            <w:pPr>
              <w:spacing w:line="340" w:lineRule="exact"/>
              <w:rPr>
                <w:rFonts w:ascii="宋体" w:hAnsi="宋体" w:cs="宋体"/>
                <w:color w:val="auto"/>
                <w:sz w:val="24"/>
                <w:highlight w:val="none"/>
              </w:rPr>
            </w:pPr>
          </w:p>
        </w:tc>
        <w:tc>
          <w:tcPr>
            <w:tcW w:w="957" w:type="dxa"/>
          </w:tcPr>
          <w:p w14:paraId="2535FAD2">
            <w:pPr>
              <w:spacing w:line="340" w:lineRule="exact"/>
              <w:rPr>
                <w:rFonts w:ascii="宋体" w:hAnsi="宋体" w:cs="宋体"/>
                <w:color w:val="auto"/>
                <w:sz w:val="24"/>
                <w:highlight w:val="none"/>
              </w:rPr>
            </w:pPr>
          </w:p>
        </w:tc>
        <w:tc>
          <w:tcPr>
            <w:tcW w:w="840" w:type="dxa"/>
          </w:tcPr>
          <w:p w14:paraId="22E4119F">
            <w:pPr>
              <w:spacing w:line="340" w:lineRule="exact"/>
              <w:rPr>
                <w:rFonts w:ascii="宋体" w:hAnsi="宋体" w:cs="宋体"/>
                <w:color w:val="auto"/>
                <w:sz w:val="24"/>
                <w:highlight w:val="none"/>
              </w:rPr>
            </w:pPr>
          </w:p>
        </w:tc>
        <w:tc>
          <w:tcPr>
            <w:tcW w:w="1260" w:type="dxa"/>
          </w:tcPr>
          <w:p w14:paraId="2284D79B">
            <w:pPr>
              <w:spacing w:line="340" w:lineRule="exact"/>
              <w:rPr>
                <w:rFonts w:ascii="宋体" w:hAnsi="宋体" w:cs="宋体"/>
                <w:color w:val="auto"/>
                <w:sz w:val="24"/>
                <w:highlight w:val="none"/>
              </w:rPr>
            </w:pPr>
          </w:p>
        </w:tc>
        <w:tc>
          <w:tcPr>
            <w:tcW w:w="1340" w:type="dxa"/>
          </w:tcPr>
          <w:p w14:paraId="5D501CCA">
            <w:pPr>
              <w:spacing w:line="340" w:lineRule="exact"/>
              <w:rPr>
                <w:rFonts w:ascii="宋体" w:hAnsi="宋体" w:cs="宋体"/>
                <w:color w:val="auto"/>
                <w:sz w:val="24"/>
                <w:highlight w:val="none"/>
              </w:rPr>
            </w:pPr>
          </w:p>
        </w:tc>
        <w:tc>
          <w:tcPr>
            <w:tcW w:w="1347" w:type="dxa"/>
          </w:tcPr>
          <w:p w14:paraId="656D5629">
            <w:pPr>
              <w:spacing w:line="340" w:lineRule="exact"/>
              <w:rPr>
                <w:rFonts w:ascii="宋体" w:hAnsi="宋体" w:cs="宋体"/>
                <w:color w:val="auto"/>
                <w:sz w:val="24"/>
                <w:highlight w:val="none"/>
              </w:rPr>
            </w:pPr>
          </w:p>
        </w:tc>
      </w:tr>
      <w:tr w14:paraId="51F9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9DD15AA">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2205" w:type="dxa"/>
          </w:tcPr>
          <w:p w14:paraId="4194F951">
            <w:pPr>
              <w:spacing w:line="340" w:lineRule="exact"/>
              <w:rPr>
                <w:rFonts w:ascii="宋体" w:hAnsi="宋体" w:cs="宋体"/>
                <w:color w:val="auto"/>
                <w:sz w:val="24"/>
                <w:highlight w:val="none"/>
              </w:rPr>
            </w:pPr>
          </w:p>
        </w:tc>
        <w:tc>
          <w:tcPr>
            <w:tcW w:w="957" w:type="dxa"/>
          </w:tcPr>
          <w:p w14:paraId="0B2D7B1C">
            <w:pPr>
              <w:spacing w:line="340" w:lineRule="exact"/>
              <w:rPr>
                <w:rFonts w:ascii="宋体" w:hAnsi="宋体" w:cs="宋体"/>
                <w:color w:val="auto"/>
                <w:sz w:val="24"/>
                <w:highlight w:val="none"/>
              </w:rPr>
            </w:pPr>
          </w:p>
        </w:tc>
        <w:tc>
          <w:tcPr>
            <w:tcW w:w="840" w:type="dxa"/>
          </w:tcPr>
          <w:p w14:paraId="6AD89D1D">
            <w:pPr>
              <w:spacing w:line="340" w:lineRule="exact"/>
              <w:rPr>
                <w:rFonts w:ascii="宋体" w:hAnsi="宋体" w:cs="宋体"/>
                <w:color w:val="auto"/>
                <w:sz w:val="24"/>
                <w:highlight w:val="none"/>
              </w:rPr>
            </w:pPr>
          </w:p>
        </w:tc>
        <w:tc>
          <w:tcPr>
            <w:tcW w:w="1260" w:type="dxa"/>
          </w:tcPr>
          <w:p w14:paraId="1310475E">
            <w:pPr>
              <w:spacing w:line="340" w:lineRule="exact"/>
              <w:rPr>
                <w:rFonts w:ascii="宋体" w:hAnsi="宋体" w:cs="宋体"/>
                <w:color w:val="auto"/>
                <w:sz w:val="24"/>
                <w:highlight w:val="none"/>
              </w:rPr>
            </w:pPr>
          </w:p>
        </w:tc>
        <w:tc>
          <w:tcPr>
            <w:tcW w:w="1340" w:type="dxa"/>
          </w:tcPr>
          <w:p w14:paraId="728E8EED">
            <w:pPr>
              <w:spacing w:line="340" w:lineRule="exact"/>
              <w:rPr>
                <w:rFonts w:ascii="宋体" w:hAnsi="宋体" w:cs="宋体"/>
                <w:color w:val="auto"/>
                <w:sz w:val="24"/>
                <w:highlight w:val="none"/>
              </w:rPr>
            </w:pPr>
          </w:p>
        </w:tc>
        <w:tc>
          <w:tcPr>
            <w:tcW w:w="1347" w:type="dxa"/>
          </w:tcPr>
          <w:p w14:paraId="620E19A0">
            <w:pPr>
              <w:spacing w:line="340" w:lineRule="exact"/>
              <w:rPr>
                <w:rFonts w:ascii="宋体" w:hAnsi="宋体" w:cs="宋体"/>
                <w:color w:val="auto"/>
                <w:sz w:val="24"/>
                <w:highlight w:val="none"/>
              </w:rPr>
            </w:pPr>
          </w:p>
        </w:tc>
      </w:tr>
      <w:tr w14:paraId="135A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C51130E">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2205" w:type="dxa"/>
          </w:tcPr>
          <w:p w14:paraId="4D54E90F">
            <w:pPr>
              <w:spacing w:line="340" w:lineRule="exact"/>
              <w:rPr>
                <w:rFonts w:ascii="宋体" w:hAnsi="宋体" w:cs="宋体"/>
                <w:color w:val="auto"/>
                <w:sz w:val="24"/>
                <w:highlight w:val="none"/>
              </w:rPr>
            </w:pPr>
          </w:p>
        </w:tc>
        <w:tc>
          <w:tcPr>
            <w:tcW w:w="957" w:type="dxa"/>
          </w:tcPr>
          <w:p w14:paraId="4D7DD0B8">
            <w:pPr>
              <w:spacing w:line="340" w:lineRule="exact"/>
              <w:rPr>
                <w:rFonts w:ascii="宋体" w:hAnsi="宋体" w:cs="宋体"/>
                <w:color w:val="auto"/>
                <w:sz w:val="24"/>
                <w:highlight w:val="none"/>
              </w:rPr>
            </w:pPr>
          </w:p>
        </w:tc>
        <w:tc>
          <w:tcPr>
            <w:tcW w:w="840" w:type="dxa"/>
          </w:tcPr>
          <w:p w14:paraId="6EBD0EBD">
            <w:pPr>
              <w:spacing w:line="340" w:lineRule="exact"/>
              <w:rPr>
                <w:rFonts w:ascii="宋体" w:hAnsi="宋体" w:cs="宋体"/>
                <w:color w:val="auto"/>
                <w:sz w:val="24"/>
                <w:highlight w:val="none"/>
              </w:rPr>
            </w:pPr>
          </w:p>
        </w:tc>
        <w:tc>
          <w:tcPr>
            <w:tcW w:w="1260" w:type="dxa"/>
          </w:tcPr>
          <w:p w14:paraId="65EB5814">
            <w:pPr>
              <w:spacing w:line="340" w:lineRule="exact"/>
              <w:rPr>
                <w:rFonts w:ascii="宋体" w:hAnsi="宋体" w:cs="宋体"/>
                <w:color w:val="auto"/>
                <w:sz w:val="24"/>
                <w:highlight w:val="none"/>
              </w:rPr>
            </w:pPr>
          </w:p>
        </w:tc>
        <w:tc>
          <w:tcPr>
            <w:tcW w:w="1340" w:type="dxa"/>
          </w:tcPr>
          <w:p w14:paraId="109ED501">
            <w:pPr>
              <w:spacing w:line="340" w:lineRule="exact"/>
              <w:rPr>
                <w:rFonts w:ascii="宋体" w:hAnsi="宋体" w:cs="宋体"/>
                <w:color w:val="auto"/>
                <w:sz w:val="24"/>
                <w:highlight w:val="none"/>
              </w:rPr>
            </w:pPr>
          </w:p>
        </w:tc>
        <w:tc>
          <w:tcPr>
            <w:tcW w:w="1347" w:type="dxa"/>
          </w:tcPr>
          <w:p w14:paraId="385E43C2">
            <w:pPr>
              <w:spacing w:line="340" w:lineRule="exact"/>
              <w:rPr>
                <w:rFonts w:ascii="宋体" w:hAnsi="宋体" w:cs="宋体"/>
                <w:color w:val="auto"/>
                <w:sz w:val="24"/>
                <w:highlight w:val="none"/>
              </w:rPr>
            </w:pPr>
          </w:p>
        </w:tc>
      </w:tr>
      <w:tr w14:paraId="59B9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565B3AD">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205" w:type="dxa"/>
          </w:tcPr>
          <w:p w14:paraId="29AAA1EE">
            <w:pPr>
              <w:spacing w:line="340" w:lineRule="exact"/>
              <w:rPr>
                <w:rFonts w:ascii="宋体" w:hAnsi="宋体" w:cs="宋体"/>
                <w:color w:val="auto"/>
                <w:sz w:val="24"/>
                <w:highlight w:val="none"/>
              </w:rPr>
            </w:pPr>
          </w:p>
        </w:tc>
        <w:tc>
          <w:tcPr>
            <w:tcW w:w="957" w:type="dxa"/>
          </w:tcPr>
          <w:p w14:paraId="1212F624">
            <w:pPr>
              <w:spacing w:line="340" w:lineRule="exact"/>
              <w:rPr>
                <w:rFonts w:ascii="宋体" w:hAnsi="宋体" w:cs="宋体"/>
                <w:color w:val="auto"/>
                <w:sz w:val="24"/>
                <w:highlight w:val="none"/>
              </w:rPr>
            </w:pPr>
          </w:p>
        </w:tc>
        <w:tc>
          <w:tcPr>
            <w:tcW w:w="840" w:type="dxa"/>
          </w:tcPr>
          <w:p w14:paraId="7C796BE9">
            <w:pPr>
              <w:spacing w:line="340" w:lineRule="exact"/>
              <w:rPr>
                <w:rFonts w:ascii="宋体" w:hAnsi="宋体" w:cs="宋体"/>
                <w:color w:val="auto"/>
                <w:sz w:val="24"/>
                <w:highlight w:val="none"/>
              </w:rPr>
            </w:pPr>
          </w:p>
        </w:tc>
        <w:tc>
          <w:tcPr>
            <w:tcW w:w="1260" w:type="dxa"/>
          </w:tcPr>
          <w:p w14:paraId="592DC99F">
            <w:pPr>
              <w:spacing w:line="340" w:lineRule="exact"/>
              <w:rPr>
                <w:rFonts w:ascii="宋体" w:hAnsi="宋体" w:cs="宋体"/>
                <w:color w:val="auto"/>
                <w:sz w:val="24"/>
                <w:highlight w:val="none"/>
              </w:rPr>
            </w:pPr>
          </w:p>
        </w:tc>
        <w:tc>
          <w:tcPr>
            <w:tcW w:w="1340" w:type="dxa"/>
          </w:tcPr>
          <w:p w14:paraId="4C9CBBE4">
            <w:pPr>
              <w:spacing w:line="340" w:lineRule="exact"/>
              <w:rPr>
                <w:rFonts w:ascii="宋体" w:hAnsi="宋体" w:cs="宋体"/>
                <w:color w:val="auto"/>
                <w:sz w:val="24"/>
                <w:highlight w:val="none"/>
              </w:rPr>
            </w:pPr>
          </w:p>
        </w:tc>
        <w:tc>
          <w:tcPr>
            <w:tcW w:w="1347" w:type="dxa"/>
          </w:tcPr>
          <w:p w14:paraId="33E0FF95">
            <w:pPr>
              <w:spacing w:line="340" w:lineRule="exact"/>
              <w:rPr>
                <w:rFonts w:ascii="宋体" w:hAnsi="宋体" w:cs="宋体"/>
                <w:color w:val="auto"/>
                <w:sz w:val="24"/>
                <w:highlight w:val="none"/>
              </w:rPr>
            </w:pPr>
          </w:p>
        </w:tc>
      </w:tr>
      <w:tr w14:paraId="354D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6A9E1C0">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2205" w:type="dxa"/>
          </w:tcPr>
          <w:p w14:paraId="7E46662D">
            <w:pPr>
              <w:spacing w:line="340" w:lineRule="exact"/>
              <w:rPr>
                <w:rFonts w:ascii="宋体" w:hAnsi="宋体" w:cs="宋体"/>
                <w:color w:val="auto"/>
                <w:sz w:val="24"/>
                <w:highlight w:val="none"/>
              </w:rPr>
            </w:pPr>
          </w:p>
        </w:tc>
        <w:tc>
          <w:tcPr>
            <w:tcW w:w="957" w:type="dxa"/>
          </w:tcPr>
          <w:p w14:paraId="6DCACDF9">
            <w:pPr>
              <w:spacing w:line="340" w:lineRule="exact"/>
              <w:rPr>
                <w:rFonts w:ascii="宋体" w:hAnsi="宋体" w:cs="宋体"/>
                <w:color w:val="auto"/>
                <w:sz w:val="24"/>
                <w:highlight w:val="none"/>
              </w:rPr>
            </w:pPr>
          </w:p>
        </w:tc>
        <w:tc>
          <w:tcPr>
            <w:tcW w:w="840" w:type="dxa"/>
          </w:tcPr>
          <w:p w14:paraId="184CAC97">
            <w:pPr>
              <w:spacing w:line="340" w:lineRule="exact"/>
              <w:rPr>
                <w:rFonts w:ascii="宋体" w:hAnsi="宋体" w:cs="宋体"/>
                <w:color w:val="auto"/>
                <w:sz w:val="24"/>
                <w:highlight w:val="none"/>
              </w:rPr>
            </w:pPr>
          </w:p>
        </w:tc>
        <w:tc>
          <w:tcPr>
            <w:tcW w:w="1260" w:type="dxa"/>
          </w:tcPr>
          <w:p w14:paraId="5085DC52">
            <w:pPr>
              <w:spacing w:line="340" w:lineRule="exact"/>
              <w:rPr>
                <w:rFonts w:ascii="宋体" w:hAnsi="宋体" w:cs="宋体"/>
                <w:color w:val="auto"/>
                <w:sz w:val="24"/>
                <w:highlight w:val="none"/>
              </w:rPr>
            </w:pPr>
          </w:p>
        </w:tc>
        <w:tc>
          <w:tcPr>
            <w:tcW w:w="1340" w:type="dxa"/>
          </w:tcPr>
          <w:p w14:paraId="3A6209DC">
            <w:pPr>
              <w:spacing w:line="340" w:lineRule="exact"/>
              <w:rPr>
                <w:rFonts w:ascii="宋体" w:hAnsi="宋体" w:cs="宋体"/>
                <w:color w:val="auto"/>
                <w:sz w:val="24"/>
                <w:highlight w:val="none"/>
              </w:rPr>
            </w:pPr>
          </w:p>
        </w:tc>
        <w:tc>
          <w:tcPr>
            <w:tcW w:w="1347" w:type="dxa"/>
          </w:tcPr>
          <w:p w14:paraId="5E210F1E">
            <w:pPr>
              <w:spacing w:line="340" w:lineRule="exact"/>
              <w:rPr>
                <w:rFonts w:ascii="宋体" w:hAnsi="宋体" w:cs="宋体"/>
                <w:color w:val="auto"/>
                <w:sz w:val="24"/>
                <w:highlight w:val="none"/>
              </w:rPr>
            </w:pPr>
          </w:p>
        </w:tc>
      </w:tr>
      <w:tr w14:paraId="6621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60C3223">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2205" w:type="dxa"/>
          </w:tcPr>
          <w:p w14:paraId="1CEC10BB">
            <w:pPr>
              <w:spacing w:line="340" w:lineRule="exact"/>
              <w:rPr>
                <w:rFonts w:ascii="宋体" w:hAnsi="宋体" w:cs="宋体"/>
                <w:color w:val="auto"/>
                <w:sz w:val="24"/>
                <w:highlight w:val="none"/>
              </w:rPr>
            </w:pPr>
          </w:p>
        </w:tc>
        <w:tc>
          <w:tcPr>
            <w:tcW w:w="957" w:type="dxa"/>
          </w:tcPr>
          <w:p w14:paraId="274A8943">
            <w:pPr>
              <w:spacing w:line="340" w:lineRule="exact"/>
              <w:rPr>
                <w:rFonts w:ascii="宋体" w:hAnsi="宋体" w:cs="宋体"/>
                <w:color w:val="auto"/>
                <w:sz w:val="24"/>
                <w:highlight w:val="none"/>
              </w:rPr>
            </w:pPr>
          </w:p>
        </w:tc>
        <w:tc>
          <w:tcPr>
            <w:tcW w:w="840" w:type="dxa"/>
          </w:tcPr>
          <w:p w14:paraId="71809313">
            <w:pPr>
              <w:spacing w:line="340" w:lineRule="exact"/>
              <w:rPr>
                <w:rFonts w:ascii="宋体" w:hAnsi="宋体" w:cs="宋体"/>
                <w:color w:val="auto"/>
                <w:sz w:val="24"/>
                <w:highlight w:val="none"/>
              </w:rPr>
            </w:pPr>
          </w:p>
        </w:tc>
        <w:tc>
          <w:tcPr>
            <w:tcW w:w="1260" w:type="dxa"/>
          </w:tcPr>
          <w:p w14:paraId="6C972188">
            <w:pPr>
              <w:spacing w:line="340" w:lineRule="exact"/>
              <w:rPr>
                <w:rFonts w:ascii="宋体" w:hAnsi="宋体" w:cs="宋体"/>
                <w:color w:val="auto"/>
                <w:sz w:val="24"/>
                <w:highlight w:val="none"/>
              </w:rPr>
            </w:pPr>
          </w:p>
        </w:tc>
        <w:tc>
          <w:tcPr>
            <w:tcW w:w="1340" w:type="dxa"/>
          </w:tcPr>
          <w:p w14:paraId="7CEE5251">
            <w:pPr>
              <w:spacing w:line="340" w:lineRule="exact"/>
              <w:rPr>
                <w:rFonts w:ascii="宋体" w:hAnsi="宋体" w:cs="宋体"/>
                <w:color w:val="auto"/>
                <w:sz w:val="24"/>
                <w:highlight w:val="none"/>
              </w:rPr>
            </w:pPr>
          </w:p>
        </w:tc>
        <w:tc>
          <w:tcPr>
            <w:tcW w:w="1347" w:type="dxa"/>
          </w:tcPr>
          <w:p w14:paraId="5DD8EDA0">
            <w:pPr>
              <w:spacing w:line="340" w:lineRule="exact"/>
              <w:rPr>
                <w:rFonts w:ascii="宋体" w:hAnsi="宋体" w:cs="宋体"/>
                <w:color w:val="auto"/>
                <w:sz w:val="24"/>
                <w:highlight w:val="none"/>
              </w:rPr>
            </w:pPr>
          </w:p>
        </w:tc>
      </w:tr>
      <w:tr w14:paraId="0AB6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CB8DD28">
            <w:pPr>
              <w:spacing w:line="34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2205" w:type="dxa"/>
          </w:tcPr>
          <w:p w14:paraId="7B0911A2">
            <w:pPr>
              <w:spacing w:line="340" w:lineRule="exact"/>
              <w:rPr>
                <w:rFonts w:ascii="宋体" w:hAnsi="宋体" w:cs="宋体"/>
                <w:color w:val="auto"/>
                <w:sz w:val="24"/>
                <w:highlight w:val="none"/>
              </w:rPr>
            </w:pPr>
          </w:p>
        </w:tc>
        <w:tc>
          <w:tcPr>
            <w:tcW w:w="957" w:type="dxa"/>
          </w:tcPr>
          <w:p w14:paraId="25F66658">
            <w:pPr>
              <w:spacing w:line="340" w:lineRule="exact"/>
              <w:rPr>
                <w:rFonts w:ascii="宋体" w:hAnsi="宋体" w:cs="宋体"/>
                <w:color w:val="auto"/>
                <w:sz w:val="24"/>
                <w:highlight w:val="none"/>
              </w:rPr>
            </w:pPr>
          </w:p>
        </w:tc>
        <w:tc>
          <w:tcPr>
            <w:tcW w:w="840" w:type="dxa"/>
          </w:tcPr>
          <w:p w14:paraId="78C1066C">
            <w:pPr>
              <w:spacing w:line="340" w:lineRule="exact"/>
              <w:rPr>
                <w:rFonts w:ascii="宋体" w:hAnsi="宋体" w:cs="宋体"/>
                <w:color w:val="auto"/>
                <w:sz w:val="24"/>
                <w:highlight w:val="none"/>
              </w:rPr>
            </w:pPr>
          </w:p>
        </w:tc>
        <w:tc>
          <w:tcPr>
            <w:tcW w:w="1260" w:type="dxa"/>
          </w:tcPr>
          <w:p w14:paraId="20204FE0">
            <w:pPr>
              <w:spacing w:line="340" w:lineRule="exact"/>
              <w:rPr>
                <w:rFonts w:ascii="宋体" w:hAnsi="宋体" w:cs="宋体"/>
                <w:color w:val="auto"/>
                <w:sz w:val="24"/>
                <w:highlight w:val="none"/>
              </w:rPr>
            </w:pPr>
          </w:p>
        </w:tc>
        <w:tc>
          <w:tcPr>
            <w:tcW w:w="1340" w:type="dxa"/>
          </w:tcPr>
          <w:p w14:paraId="12A51AEC">
            <w:pPr>
              <w:spacing w:line="340" w:lineRule="exact"/>
              <w:rPr>
                <w:rFonts w:ascii="宋体" w:hAnsi="宋体" w:cs="宋体"/>
                <w:color w:val="auto"/>
                <w:sz w:val="24"/>
                <w:highlight w:val="none"/>
              </w:rPr>
            </w:pPr>
          </w:p>
        </w:tc>
        <w:tc>
          <w:tcPr>
            <w:tcW w:w="1347" w:type="dxa"/>
          </w:tcPr>
          <w:p w14:paraId="63067B57">
            <w:pPr>
              <w:spacing w:line="340" w:lineRule="exact"/>
              <w:rPr>
                <w:rFonts w:ascii="宋体" w:hAnsi="宋体" w:cs="宋体"/>
                <w:color w:val="auto"/>
                <w:sz w:val="24"/>
                <w:highlight w:val="none"/>
              </w:rPr>
            </w:pPr>
          </w:p>
        </w:tc>
      </w:tr>
      <w:tr w14:paraId="462B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D3901C1">
            <w:pPr>
              <w:spacing w:line="340" w:lineRule="exact"/>
              <w:jc w:val="center"/>
              <w:rPr>
                <w:rFonts w:ascii="宋体" w:hAnsi="宋体" w:cs="宋体"/>
                <w:color w:val="auto"/>
                <w:sz w:val="24"/>
                <w:highlight w:val="none"/>
              </w:rPr>
            </w:pPr>
          </w:p>
        </w:tc>
        <w:tc>
          <w:tcPr>
            <w:tcW w:w="2205" w:type="dxa"/>
            <w:vAlign w:val="center"/>
          </w:tcPr>
          <w:p w14:paraId="2F05165E">
            <w:pPr>
              <w:pStyle w:val="60"/>
              <w:spacing w:line="340" w:lineRule="exact"/>
              <w:rPr>
                <w:rFonts w:ascii="宋体" w:hAnsi="宋体" w:cs="宋体"/>
                <w:color w:val="auto"/>
                <w:szCs w:val="24"/>
                <w:highlight w:val="none"/>
              </w:rPr>
            </w:pPr>
            <w:r>
              <w:rPr>
                <w:rFonts w:hint="eastAsia" w:ascii="宋体" w:hAnsi="宋体" w:cs="宋体"/>
                <w:color w:val="auto"/>
                <w:szCs w:val="24"/>
                <w:highlight w:val="none"/>
              </w:rPr>
              <w:t>其他费用</w:t>
            </w:r>
          </w:p>
        </w:tc>
        <w:tc>
          <w:tcPr>
            <w:tcW w:w="957" w:type="dxa"/>
          </w:tcPr>
          <w:p w14:paraId="7137D209">
            <w:pPr>
              <w:spacing w:line="340" w:lineRule="exact"/>
              <w:rPr>
                <w:rFonts w:ascii="宋体" w:hAnsi="宋体" w:cs="宋体"/>
                <w:color w:val="auto"/>
                <w:sz w:val="24"/>
                <w:highlight w:val="none"/>
              </w:rPr>
            </w:pPr>
          </w:p>
        </w:tc>
        <w:tc>
          <w:tcPr>
            <w:tcW w:w="840" w:type="dxa"/>
          </w:tcPr>
          <w:p w14:paraId="0581A4D3">
            <w:pPr>
              <w:spacing w:line="340" w:lineRule="exact"/>
              <w:rPr>
                <w:rFonts w:ascii="宋体" w:hAnsi="宋体" w:cs="宋体"/>
                <w:color w:val="auto"/>
                <w:sz w:val="24"/>
                <w:highlight w:val="none"/>
              </w:rPr>
            </w:pPr>
          </w:p>
        </w:tc>
        <w:tc>
          <w:tcPr>
            <w:tcW w:w="1260" w:type="dxa"/>
          </w:tcPr>
          <w:p w14:paraId="599CE860">
            <w:pPr>
              <w:spacing w:line="340" w:lineRule="exact"/>
              <w:rPr>
                <w:rFonts w:ascii="宋体" w:hAnsi="宋体" w:cs="宋体"/>
                <w:color w:val="auto"/>
                <w:sz w:val="24"/>
                <w:highlight w:val="none"/>
              </w:rPr>
            </w:pPr>
          </w:p>
        </w:tc>
        <w:tc>
          <w:tcPr>
            <w:tcW w:w="1340" w:type="dxa"/>
          </w:tcPr>
          <w:p w14:paraId="738B8DC7">
            <w:pPr>
              <w:spacing w:line="340" w:lineRule="exact"/>
              <w:rPr>
                <w:rFonts w:ascii="宋体" w:hAnsi="宋体" w:cs="宋体"/>
                <w:color w:val="auto"/>
                <w:sz w:val="24"/>
                <w:highlight w:val="none"/>
              </w:rPr>
            </w:pPr>
          </w:p>
        </w:tc>
        <w:tc>
          <w:tcPr>
            <w:tcW w:w="1347" w:type="dxa"/>
          </w:tcPr>
          <w:p w14:paraId="4BCB0281">
            <w:pPr>
              <w:spacing w:line="340" w:lineRule="exact"/>
              <w:rPr>
                <w:rFonts w:ascii="宋体" w:hAnsi="宋体" w:cs="宋体"/>
                <w:color w:val="auto"/>
                <w:sz w:val="24"/>
                <w:highlight w:val="none"/>
              </w:rPr>
            </w:pPr>
          </w:p>
        </w:tc>
      </w:tr>
      <w:tr w14:paraId="6D20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D7F9395">
            <w:pPr>
              <w:spacing w:line="340" w:lineRule="exact"/>
              <w:jc w:val="center"/>
              <w:rPr>
                <w:rFonts w:ascii="宋体" w:hAnsi="宋体" w:cs="宋体"/>
                <w:color w:val="auto"/>
                <w:sz w:val="24"/>
                <w:highlight w:val="none"/>
              </w:rPr>
            </w:pPr>
          </w:p>
        </w:tc>
        <w:tc>
          <w:tcPr>
            <w:tcW w:w="2205" w:type="dxa"/>
          </w:tcPr>
          <w:p w14:paraId="424D7EA4">
            <w:pPr>
              <w:spacing w:line="340" w:lineRule="exact"/>
              <w:rPr>
                <w:rFonts w:ascii="宋体" w:hAnsi="宋体" w:cs="宋体"/>
                <w:color w:val="auto"/>
                <w:sz w:val="24"/>
                <w:highlight w:val="none"/>
              </w:rPr>
            </w:pPr>
            <w:r>
              <w:rPr>
                <w:rFonts w:hint="eastAsia" w:ascii="宋体" w:hAnsi="宋体" w:cs="宋体"/>
                <w:color w:val="auto"/>
                <w:sz w:val="24"/>
                <w:highlight w:val="none"/>
              </w:rPr>
              <w:t>…</w:t>
            </w:r>
          </w:p>
        </w:tc>
        <w:tc>
          <w:tcPr>
            <w:tcW w:w="957" w:type="dxa"/>
          </w:tcPr>
          <w:p w14:paraId="3200264E">
            <w:pPr>
              <w:spacing w:line="340" w:lineRule="exact"/>
              <w:rPr>
                <w:rFonts w:ascii="宋体" w:hAnsi="宋体" w:cs="宋体"/>
                <w:color w:val="auto"/>
                <w:sz w:val="24"/>
                <w:highlight w:val="none"/>
              </w:rPr>
            </w:pPr>
          </w:p>
        </w:tc>
        <w:tc>
          <w:tcPr>
            <w:tcW w:w="840" w:type="dxa"/>
          </w:tcPr>
          <w:p w14:paraId="4ACA582D">
            <w:pPr>
              <w:spacing w:line="340" w:lineRule="exact"/>
              <w:rPr>
                <w:rFonts w:ascii="宋体" w:hAnsi="宋体" w:cs="宋体"/>
                <w:color w:val="auto"/>
                <w:sz w:val="24"/>
                <w:highlight w:val="none"/>
              </w:rPr>
            </w:pPr>
          </w:p>
        </w:tc>
        <w:tc>
          <w:tcPr>
            <w:tcW w:w="1260" w:type="dxa"/>
          </w:tcPr>
          <w:p w14:paraId="4FA58805">
            <w:pPr>
              <w:spacing w:line="340" w:lineRule="exact"/>
              <w:rPr>
                <w:rFonts w:ascii="宋体" w:hAnsi="宋体" w:cs="宋体"/>
                <w:color w:val="auto"/>
                <w:sz w:val="24"/>
                <w:highlight w:val="none"/>
              </w:rPr>
            </w:pPr>
          </w:p>
        </w:tc>
        <w:tc>
          <w:tcPr>
            <w:tcW w:w="1340" w:type="dxa"/>
          </w:tcPr>
          <w:p w14:paraId="1C600135">
            <w:pPr>
              <w:spacing w:line="340" w:lineRule="exact"/>
              <w:rPr>
                <w:rFonts w:ascii="宋体" w:hAnsi="宋体" w:cs="宋体"/>
                <w:color w:val="auto"/>
                <w:sz w:val="24"/>
                <w:highlight w:val="none"/>
              </w:rPr>
            </w:pPr>
          </w:p>
        </w:tc>
        <w:tc>
          <w:tcPr>
            <w:tcW w:w="1347" w:type="dxa"/>
          </w:tcPr>
          <w:p w14:paraId="2A1B1C7B">
            <w:pPr>
              <w:spacing w:line="340" w:lineRule="exact"/>
              <w:rPr>
                <w:rFonts w:ascii="宋体" w:hAnsi="宋体" w:cs="宋体"/>
                <w:color w:val="auto"/>
                <w:sz w:val="24"/>
                <w:highlight w:val="none"/>
              </w:rPr>
            </w:pPr>
          </w:p>
        </w:tc>
      </w:tr>
      <w:tr w14:paraId="404B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F06A2AB">
            <w:pPr>
              <w:spacing w:line="340" w:lineRule="exact"/>
              <w:jc w:val="center"/>
              <w:rPr>
                <w:rFonts w:ascii="宋体" w:hAnsi="宋体" w:cs="宋体"/>
                <w:color w:val="auto"/>
                <w:sz w:val="24"/>
                <w:highlight w:val="none"/>
              </w:rPr>
            </w:pPr>
          </w:p>
        </w:tc>
        <w:tc>
          <w:tcPr>
            <w:tcW w:w="2205" w:type="dxa"/>
          </w:tcPr>
          <w:p w14:paraId="0C9B34CB">
            <w:pPr>
              <w:pStyle w:val="60"/>
              <w:spacing w:line="340" w:lineRule="exact"/>
              <w:rPr>
                <w:rFonts w:ascii="宋体" w:hAnsi="宋体" w:cs="宋体"/>
                <w:color w:val="auto"/>
                <w:szCs w:val="24"/>
                <w:highlight w:val="none"/>
              </w:rPr>
            </w:pPr>
            <w:r>
              <w:rPr>
                <w:rFonts w:hint="eastAsia" w:ascii="宋体" w:hAnsi="宋体" w:cs="宋体"/>
                <w:color w:val="auto"/>
                <w:szCs w:val="24"/>
                <w:highlight w:val="none"/>
              </w:rPr>
              <w:t>…</w:t>
            </w:r>
          </w:p>
        </w:tc>
        <w:tc>
          <w:tcPr>
            <w:tcW w:w="957" w:type="dxa"/>
          </w:tcPr>
          <w:p w14:paraId="39450BD7">
            <w:pPr>
              <w:spacing w:line="340" w:lineRule="exact"/>
              <w:rPr>
                <w:rFonts w:ascii="宋体" w:hAnsi="宋体" w:cs="宋体"/>
                <w:color w:val="auto"/>
                <w:sz w:val="24"/>
                <w:highlight w:val="none"/>
              </w:rPr>
            </w:pPr>
          </w:p>
        </w:tc>
        <w:tc>
          <w:tcPr>
            <w:tcW w:w="840" w:type="dxa"/>
          </w:tcPr>
          <w:p w14:paraId="28E40482">
            <w:pPr>
              <w:spacing w:line="340" w:lineRule="exact"/>
              <w:rPr>
                <w:rFonts w:ascii="宋体" w:hAnsi="宋体" w:cs="宋体"/>
                <w:color w:val="auto"/>
                <w:sz w:val="24"/>
                <w:highlight w:val="none"/>
              </w:rPr>
            </w:pPr>
          </w:p>
        </w:tc>
        <w:tc>
          <w:tcPr>
            <w:tcW w:w="1260" w:type="dxa"/>
          </w:tcPr>
          <w:p w14:paraId="4E8DBB0E">
            <w:pPr>
              <w:spacing w:line="340" w:lineRule="exact"/>
              <w:rPr>
                <w:rFonts w:ascii="宋体" w:hAnsi="宋体" w:cs="宋体"/>
                <w:color w:val="auto"/>
                <w:sz w:val="24"/>
                <w:highlight w:val="none"/>
              </w:rPr>
            </w:pPr>
          </w:p>
        </w:tc>
        <w:tc>
          <w:tcPr>
            <w:tcW w:w="1340" w:type="dxa"/>
          </w:tcPr>
          <w:p w14:paraId="2E4DDB08">
            <w:pPr>
              <w:spacing w:line="340" w:lineRule="exact"/>
              <w:rPr>
                <w:rFonts w:ascii="宋体" w:hAnsi="宋体" w:cs="宋体"/>
                <w:color w:val="auto"/>
                <w:sz w:val="24"/>
                <w:highlight w:val="none"/>
              </w:rPr>
            </w:pPr>
          </w:p>
        </w:tc>
        <w:tc>
          <w:tcPr>
            <w:tcW w:w="1347" w:type="dxa"/>
          </w:tcPr>
          <w:p w14:paraId="7BD89EAA">
            <w:pPr>
              <w:spacing w:line="340" w:lineRule="exact"/>
              <w:rPr>
                <w:rFonts w:ascii="宋体" w:hAnsi="宋体" w:cs="宋体"/>
                <w:color w:val="auto"/>
                <w:sz w:val="24"/>
                <w:highlight w:val="none"/>
              </w:rPr>
            </w:pPr>
          </w:p>
        </w:tc>
      </w:tr>
      <w:tr w14:paraId="7AA3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91DFAA6">
            <w:pPr>
              <w:spacing w:line="340" w:lineRule="exact"/>
              <w:jc w:val="center"/>
              <w:rPr>
                <w:rFonts w:ascii="宋体" w:hAnsi="宋体" w:cs="宋体"/>
                <w:color w:val="auto"/>
                <w:sz w:val="24"/>
                <w:highlight w:val="none"/>
              </w:rPr>
            </w:pPr>
          </w:p>
        </w:tc>
        <w:tc>
          <w:tcPr>
            <w:tcW w:w="2205" w:type="dxa"/>
          </w:tcPr>
          <w:p w14:paraId="4E25961C">
            <w:pPr>
              <w:spacing w:line="340" w:lineRule="exact"/>
              <w:rPr>
                <w:rFonts w:ascii="宋体" w:hAnsi="宋体" w:cs="宋体"/>
                <w:color w:val="auto"/>
                <w:sz w:val="24"/>
                <w:highlight w:val="none"/>
              </w:rPr>
            </w:pPr>
            <w:r>
              <w:rPr>
                <w:rFonts w:hint="eastAsia" w:ascii="宋体" w:hAnsi="宋体" w:cs="宋体"/>
                <w:color w:val="auto"/>
                <w:sz w:val="24"/>
                <w:highlight w:val="none"/>
              </w:rPr>
              <w:t>…</w:t>
            </w:r>
          </w:p>
        </w:tc>
        <w:tc>
          <w:tcPr>
            <w:tcW w:w="957" w:type="dxa"/>
          </w:tcPr>
          <w:p w14:paraId="12FC87EA">
            <w:pPr>
              <w:spacing w:line="340" w:lineRule="exact"/>
              <w:rPr>
                <w:rFonts w:ascii="宋体" w:hAnsi="宋体" w:cs="宋体"/>
                <w:color w:val="auto"/>
                <w:sz w:val="24"/>
                <w:highlight w:val="none"/>
              </w:rPr>
            </w:pPr>
          </w:p>
        </w:tc>
        <w:tc>
          <w:tcPr>
            <w:tcW w:w="840" w:type="dxa"/>
          </w:tcPr>
          <w:p w14:paraId="7CF6EA61">
            <w:pPr>
              <w:spacing w:line="340" w:lineRule="exact"/>
              <w:rPr>
                <w:rFonts w:ascii="宋体" w:hAnsi="宋体" w:cs="宋体"/>
                <w:color w:val="auto"/>
                <w:sz w:val="24"/>
                <w:highlight w:val="none"/>
              </w:rPr>
            </w:pPr>
          </w:p>
        </w:tc>
        <w:tc>
          <w:tcPr>
            <w:tcW w:w="1260" w:type="dxa"/>
          </w:tcPr>
          <w:p w14:paraId="278A8B4B">
            <w:pPr>
              <w:spacing w:line="340" w:lineRule="exact"/>
              <w:rPr>
                <w:rFonts w:ascii="宋体" w:hAnsi="宋体" w:cs="宋体"/>
                <w:color w:val="auto"/>
                <w:sz w:val="24"/>
                <w:highlight w:val="none"/>
              </w:rPr>
            </w:pPr>
          </w:p>
        </w:tc>
        <w:tc>
          <w:tcPr>
            <w:tcW w:w="1340" w:type="dxa"/>
          </w:tcPr>
          <w:p w14:paraId="090E800F">
            <w:pPr>
              <w:spacing w:line="340" w:lineRule="exact"/>
              <w:rPr>
                <w:rFonts w:ascii="宋体" w:hAnsi="宋体" w:cs="宋体"/>
                <w:color w:val="auto"/>
                <w:sz w:val="24"/>
                <w:highlight w:val="none"/>
              </w:rPr>
            </w:pPr>
          </w:p>
        </w:tc>
        <w:tc>
          <w:tcPr>
            <w:tcW w:w="1347" w:type="dxa"/>
          </w:tcPr>
          <w:p w14:paraId="0C5381B0">
            <w:pPr>
              <w:spacing w:line="340" w:lineRule="exact"/>
              <w:rPr>
                <w:rFonts w:ascii="宋体" w:hAnsi="宋体" w:cs="宋体"/>
                <w:color w:val="auto"/>
                <w:sz w:val="24"/>
                <w:highlight w:val="none"/>
              </w:rPr>
            </w:pPr>
          </w:p>
        </w:tc>
      </w:tr>
      <w:tr w14:paraId="3459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B353E6A">
            <w:pPr>
              <w:spacing w:line="340" w:lineRule="exact"/>
              <w:jc w:val="center"/>
              <w:rPr>
                <w:rFonts w:ascii="宋体" w:hAnsi="宋体" w:cs="宋体"/>
                <w:color w:val="auto"/>
                <w:sz w:val="24"/>
                <w:highlight w:val="none"/>
              </w:rPr>
            </w:pPr>
          </w:p>
        </w:tc>
        <w:tc>
          <w:tcPr>
            <w:tcW w:w="2205" w:type="dxa"/>
            <w:vAlign w:val="center"/>
          </w:tcPr>
          <w:p w14:paraId="24A85A53">
            <w:pPr>
              <w:pStyle w:val="60"/>
              <w:spacing w:line="340" w:lineRule="exact"/>
              <w:rPr>
                <w:rFonts w:ascii="宋体" w:hAnsi="宋体" w:cs="宋体"/>
                <w:color w:val="auto"/>
                <w:szCs w:val="24"/>
                <w:highlight w:val="none"/>
              </w:rPr>
            </w:pPr>
            <w:r>
              <w:rPr>
                <w:rFonts w:hint="eastAsia" w:ascii="宋体" w:hAnsi="宋体" w:cs="宋体"/>
                <w:color w:val="auto"/>
                <w:szCs w:val="24"/>
                <w:highlight w:val="none"/>
              </w:rPr>
              <w:t>合计</w:t>
            </w:r>
          </w:p>
        </w:tc>
        <w:tc>
          <w:tcPr>
            <w:tcW w:w="957" w:type="dxa"/>
          </w:tcPr>
          <w:p w14:paraId="699DF89E">
            <w:pPr>
              <w:spacing w:line="340" w:lineRule="exact"/>
              <w:rPr>
                <w:rFonts w:ascii="宋体" w:hAnsi="宋体" w:cs="宋体"/>
                <w:color w:val="auto"/>
                <w:sz w:val="24"/>
                <w:highlight w:val="none"/>
              </w:rPr>
            </w:pPr>
          </w:p>
        </w:tc>
        <w:tc>
          <w:tcPr>
            <w:tcW w:w="840" w:type="dxa"/>
          </w:tcPr>
          <w:p w14:paraId="6C57B6C3">
            <w:pPr>
              <w:spacing w:line="340" w:lineRule="exact"/>
              <w:rPr>
                <w:rFonts w:ascii="宋体" w:hAnsi="宋体" w:cs="宋体"/>
                <w:color w:val="auto"/>
                <w:sz w:val="24"/>
                <w:highlight w:val="none"/>
              </w:rPr>
            </w:pPr>
          </w:p>
        </w:tc>
        <w:tc>
          <w:tcPr>
            <w:tcW w:w="1260" w:type="dxa"/>
          </w:tcPr>
          <w:p w14:paraId="7C0B5038">
            <w:pPr>
              <w:spacing w:line="340" w:lineRule="exact"/>
              <w:rPr>
                <w:rFonts w:ascii="宋体" w:hAnsi="宋体" w:cs="宋体"/>
                <w:color w:val="auto"/>
                <w:sz w:val="24"/>
                <w:highlight w:val="none"/>
              </w:rPr>
            </w:pPr>
          </w:p>
        </w:tc>
        <w:tc>
          <w:tcPr>
            <w:tcW w:w="1340" w:type="dxa"/>
          </w:tcPr>
          <w:p w14:paraId="59117E6F">
            <w:pPr>
              <w:spacing w:line="340" w:lineRule="exact"/>
              <w:rPr>
                <w:rFonts w:ascii="宋体" w:hAnsi="宋体" w:cs="宋体"/>
                <w:color w:val="auto"/>
                <w:sz w:val="24"/>
                <w:highlight w:val="none"/>
              </w:rPr>
            </w:pPr>
          </w:p>
        </w:tc>
        <w:tc>
          <w:tcPr>
            <w:tcW w:w="1347" w:type="dxa"/>
          </w:tcPr>
          <w:p w14:paraId="0F2C5F8A">
            <w:pPr>
              <w:spacing w:line="340" w:lineRule="exact"/>
              <w:rPr>
                <w:rFonts w:ascii="宋体" w:hAnsi="宋体" w:cs="宋体"/>
                <w:color w:val="auto"/>
                <w:sz w:val="24"/>
                <w:highlight w:val="none"/>
              </w:rPr>
            </w:pPr>
          </w:p>
        </w:tc>
      </w:tr>
    </w:tbl>
    <w:p w14:paraId="7795A6FD">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433425E8">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429F01A2">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690E8136">
      <w:pPr>
        <w:spacing w:line="360" w:lineRule="auto"/>
        <w:jc w:val="left"/>
        <w:rPr>
          <w:rFonts w:ascii="宋体" w:hAnsi="宋体" w:cs="宋体"/>
          <w:color w:val="auto"/>
          <w:sz w:val="24"/>
          <w:highlight w:val="none"/>
        </w:rPr>
      </w:pPr>
      <w:r>
        <w:rPr>
          <w:rFonts w:hint="eastAsia" w:ascii="宋体" w:hAnsi="宋体" w:cs="宋体"/>
          <w:color w:val="auto"/>
          <w:sz w:val="24"/>
          <w:highlight w:val="none"/>
        </w:rPr>
        <w:t>表中所列内容为对应本项目需求的全部要求。如有漏项或缺项，投标人承担全部责任。</w:t>
      </w:r>
    </w:p>
    <w:p w14:paraId="6C7FDAE4">
      <w:pPr>
        <w:spacing w:line="360" w:lineRule="auto"/>
        <w:jc w:val="center"/>
        <w:rPr>
          <w:rFonts w:ascii="宋体" w:hAnsi="宋体" w:cs="宋体"/>
          <w:b/>
          <w:color w:val="auto"/>
          <w:sz w:val="24"/>
          <w:highlight w:val="none"/>
        </w:rPr>
      </w:pPr>
    </w:p>
    <w:p w14:paraId="7FFD5AB4">
      <w:pPr>
        <w:spacing w:line="360" w:lineRule="auto"/>
        <w:jc w:val="center"/>
        <w:rPr>
          <w:rFonts w:ascii="宋体" w:hAnsi="宋体" w:cs="宋体"/>
          <w:b/>
          <w:color w:val="auto"/>
          <w:sz w:val="24"/>
          <w:highlight w:val="none"/>
        </w:rPr>
      </w:pPr>
    </w:p>
    <w:p w14:paraId="358DB197">
      <w:pPr>
        <w:pStyle w:val="35"/>
        <w:ind w:firstLine="241"/>
        <w:rPr>
          <w:rFonts w:ascii="宋体" w:hAnsi="宋体" w:cs="宋体"/>
          <w:b/>
          <w:color w:val="auto"/>
          <w:sz w:val="24"/>
          <w:highlight w:val="none"/>
        </w:rPr>
      </w:pPr>
    </w:p>
    <w:p w14:paraId="17E2AD9F">
      <w:pPr>
        <w:pStyle w:val="35"/>
        <w:ind w:firstLine="241"/>
        <w:rPr>
          <w:rFonts w:ascii="宋体" w:hAnsi="宋体" w:cs="宋体"/>
          <w:b/>
          <w:color w:val="auto"/>
          <w:sz w:val="24"/>
          <w:highlight w:val="none"/>
        </w:rPr>
      </w:pPr>
    </w:p>
    <w:p w14:paraId="6E2B7657">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格式6                     </w:t>
      </w:r>
      <w:r>
        <w:rPr>
          <w:rFonts w:hint="eastAsia" w:ascii="宋体" w:hAnsi="宋体" w:cs="宋体"/>
          <w:b/>
          <w:color w:val="auto"/>
          <w:sz w:val="24"/>
          <w:highlight w:val="none"/>
        </w:rPr>
        <w:t>技术参数响应表</w:t>
      </w:r>
    </w:p>
    <w:p w14:paraId="1467CFAF">
      <w:pPr>
        <w:rPr>
          <w:rFonts w:ascii="宋体" w:hAnsi="宋体" w:cs="宋体"/>
          <w:color w:val="auto"/>
          <w:sz w:val="24"/>
          <w:highlight w:val="none"/>
        </w:rPr>
      </w:pPr>
    </w:p>
    <w:p w14:paraId="6D972B96">
      <w:pPr>
        <w:rPr>
          <w:rFonts w:ascii="宋体" w:hAnsi="宋体" w:cs="宋体"/>
          <w:color w:val="auto"/>
          <w:sz w:val="24"/>
          <w:highlight w:val="none"/>
        </w:rPr>
      </w:pPr>
    </w:p>
    <w:tbl>
      <w:tblPr>
        <w:tblStyle w:val="2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0DCA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5B70107A">
            <w:pPr>
              <w:pStyle w:val="16"/>
              <w:jc w:val="center"/>
              <w:rPr>
                <w:rFonts w:hAnsi="宋体" w:cs="宋体"/>
                <w:bCs/>
                <w:color w:val="auto"/>
                <w:sz w:val="24"/>
                <w:szCs w:val="24"/>
                <w:highlight w:val="none"/>
              </w:rPr>
            </w:pPr>
            <w:r>
              <w:rPr>
                <w:rFonts w:hint="eastAsia" w:hAnsi="宋体" w:cs="宋体"/>
                <w:bCs/>
                <w:color w:val="auto"/>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7535033D">
            <w:pPr>
              <w:pStyle w:val="16"/>
              <w:jc w:val="center"/>
              <w:rPr>
                <w:rFonts w:hAnsi="宋体" w:cs="宋体"/>
                <w:bCs/>
                <w:color w:val="auto"/>
                <w:sz w:val="24"/>
                <w:szCs w:val="24"/>
                <w:highlight w:val="none"/>
              </w:rPr>
            </w:pPr>
            <w:r>
              <w:rPr>
                <w:rFonts w:hint="eastAsia" w:hAnsi="宋体" w:cs="宋体"/>
                <w:bCs/>
                <w:color w:val="auto"/>
                <w:sz w:val="24"/>
                <w:szCs w:val="24"/>
                <w:highlight w:val="none"/>
              </w:rPr>
              <w:t>按投标人所投内容填写</w:t>
            </w:r>
          </w:p>
        </w:tc>
      </w:tr>
      <w:tr w14:paraId="4C8B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237C434A">
            <w:pPr>
              <w:pStyle w:val="16"/>
              <w:jc w:val="center"/>
              <w:rPr>
                <w:rFonts w:hAnsi="宋体" w:cs="宋体"/>
                <w:bCs/>
                <w:color w:val="auto"/>
                <w:sz w:val="24"/>
                <w:szCs w:val="24"/>
                <w:highlight w:val="none"/>
              </w:rPr>
            </w:pPr>
            <w:r>
              <w:rPr>
                <w:rFonts w:hint="eastAsia" w:hAnsi="宋体" w:cs="宋体"/>
                <w:bCs/>
                <w:color w:val="auto"/>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712E2C5F">
            <w:pPr>
              <w:pStyle w:val="16"/>
              <w:jc w:val="center"/>
              <w:rPr>
                <w:rFonts w:hAnsi="宋体" w:cs="宋体"/>
                <w:bCs/>
                <w:color w:val="auto"/>
                <w:sz w:val="24"/>
                <w:szCs w:val="24"/>
                <w:highlight w:val="none"/>
              </w:rPr>
            </w:pPr>
            <w:r>
              <w:rPr>
                <w:rFonts w:hint="eastAsia" w:hAnsi="宋体" w:cs="宋体"/>
                <w:bCs/>
                <w:color w:val="auto"/>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13692516">
            <w:pPr>
              <w:pStyle w:val="16"/>
              <w:jc w:val="center"/>
              <w:rPr>
                <w:rFonts w:hAnsi="宋体" w:cs="宋体"/>
                <w:bCs/>
                <w:color w:val="auto"/>
                <w:sz w:val="24"/>
                <w:szCs w:val="24"/>
                <w:highlight w:val="none"/>
              </w:rPr>
            </w:pPr>
            <w:r>
              <w:rPr>
                <w:rFonts w:hint="eastAsia" w:hAnsi="宋体" w:cs="宋体"/>
                <w:color w:val="auto"/>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43C0781C">
            <w:pPr>
              <w:pStyle w:val="16"/>
              <w:jc w:val="center"/>
              <w:rPr>
                <w:rFonts w:hAnsi="宋体" w:cs="宋体"/>
                <w:bCs/>
                <w:color w:val="auto"/>
                <w:sz w:val="24"/>
                <w:szCs w:val="24"/>
                <w:highlight w:val="none"/>
              </w:rPr>
            </w:pPr>
            <w:r>
              <w:rPr>
                <w:rFonts w:hint="eastAsia" w:hAnsi="宋体" w:cs="宋体"/>
                <w:color w:val="auto"/>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49CCB013">
            <w:pPr>
              <w:pStyle w:val="16"/>
              <w:jc w:val="center"/>
              <w:rPr>
                <w:rFonts w:hAnsi="宋体" w:cs="宋体"/>
                <w:bCs/>
                <w:color w:val="auto"/>
                <w:sz w:val="24"/>
                <w:szCs w:val="24"/>
                <w:highlight w:val="none"/>
              </w:rPr>
            </w:pPr>
            <w:r>
              <w:rPr>
                <w:rFonts w:hint="eastAsia" w:hAnsi="宋体" w:cs="宋体"/>
                <w:bCs/>
                <w:color w:val="auto"/>
                <w:sz w:val="24"/>
                <w:szCs w:val="24"/>
                <w:highlight w:val="none"/>
              </w:rPr>
              <w:t>偏离说明</w:t>
            </w:r>
          </w:p>
        </w:tc>
      </w:tr>
      <w:tr w14:paraId="3FB2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41D22A1">
            <w:pPr>
              <w:jc w:val="center"/>
              <w:rPr>
                <w:rFonts w:ascii="宋体" w:hAnsi="宋体" w:cs="宋体"/>
                <w:color w:val="auto"/>
                <w:sz w:val="24"/>
                <w:highlight w:val="none"/>
              </w:rPr>
            </w:pPr>
            <w:r>
              <w:rPr>
                <w:rFonts w:hint="eastAsia" w:ascii="宋体" w:hAnsi="宋体" w:cs="宋体"/>
                <w:color w:val="auto"/>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0CC6384F">
            <w:pPr>
              <w:widowControl/>
              <w:jc w:val="left"/>
              <w:rPr>
                <w:rFonts w:ascii="宋体" w:hAnsi="宋体" w:cs="宋体"/>
                <w:color w:val="auto"/>
                <w:kern w:val="0"/>
                <w:sz w:val="24"/>
                <w:highlight w:val="none"/>
              </w:rPr>
            </w:pPr>
          </w:p>
        </w:tc>
        <w:tc>
          <w:tcPr>
            <w:tcW w:w="3490" w:type="dxa"/>
            <w:tcBorders>
              <w:top w:val="single" w:color="auto" w:sz="4" w:space="0"/>
              <w:left w:val="nil"/>
              <w:bottom w:val="single" w:color="auto" w:sz="4" w:space="0"/>
              <w:right w:val="single" w:color="auto" w:sz="4" w:space="0"/>
            </w:tcBorders>
          </w:tcPr>
          <w:p w14:paraId="2B6ADC8F">
            <w:pPr>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tcPr>
          <w:p w14:paraId="3D9C13B8">
            <w:pPr>
              <w:widowControl/>
              <w:rPr>
                <w:rFonts w:ascii="宋体" w:hAnsi="宋体" w:cs="宋体"/>
                <w:color w:val="auto"/>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27AD5568">
            <w:pPr>
              <w:jc w:val="center"/>
              <w:rPr>
                <w:rFonts w:ascii="宋体" w:hAnsi="宋体" w:cs="宋体"/>
                <w:color w:val="auto"/>
                <w:sz w:val="24"/>
                <w:highlight w:val="none"/>
              </w:rPr>
            </w:pPr>
          </w:p>
        </w:tc>
      </w:tr>
      <w:tr w14:paraId="1170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697F7C3">
            <w:pPr>
              <w:jc w:val="center"/>
              <w:rPr>
                <w:rFonts w:ascii="宋体" w:hAnsi="宋体" w:cs="宋体"/>
                <w:color w:val="auto"/>
                <w:sz w:val="24"/>
                <w:highlight w:val="none"/>
              </w:rPr>
            </w:pPr>
            <w:r>
              <w:rPr>
                <w:rFonts w:hint="eastAsia" w:ascii="宋体" w:hAnsi="宋体" w:cs="宋体"/>
                <w:color w:val="auto"/>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7F08CAAE">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0F54630F">
            <w:pPr>
              <w:ind w:left="240" w:hanging="240" w:hangingChars="100"/>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3368F504">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5C8C67A1">
            <w:pPr>
              <w:jc w:val="center"/>
              <w:rPr>
                <w:rFonts w:ascii="宋体" w:hAnsi="宋体" w:cs="宋体"/>
                <w:color w:val="auto"/>
                <w:sz w:val="24"/>
                <w:highlight w:val="none"/>
              </w:rPr>
            </w:pPr>
          </w:p>
        </w:tc>
      </w:tr>
      <w:tr w14:paraId="647F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070533E">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103626CD">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087B3F92">
            <w:pPr>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7B42873F">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424B7977">
            <w:pPr>
              <w:jc w:val="center"/>
              <w:rPr>
                <w:rFonts w:ascii="宋体" w:hAnsi="宋体" w:cs="宋体"/>
                <w:color w:val="auto"/>
                <w:sz w:val="24"/>
                <w:highlight w:val="none"/>
              </w:rPr>
            </w:pPr>
          </w:p>
        </w:tc>
      </w:tr>
      <w:tr w14:paraId="103A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23E7BC3">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021EA8F5">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6D446C8F">
            <w:pPr>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75059492">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7221A816">
            <w:pPr>
              <w:jc w:val="center"/>
              <w:rPr>
                <w:rFonts w:ascii="宋体" w:hAnsi="宋体" w:cs="宋体"/>
                <w:color w:val="auto"/>
                <w:sz w:val="24"/>
                <w:highlight w:val="none"/>
              </w:rPr>
            </w:pPr>
          </w:p>
        </w:tc>
      </w:tr>
      <w:tr w14:paraId="0D7F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6F6A859">
            <w:pPr>
              <w:rPr>
                <w:rFonts w:ascii="宋体" w:hAnsi="宋体" w:cs="宋体"/>
                <w:color w:val="auto"/>
                <w:sz w:val="24"/>
                <w:highlight w:val="none"/>
              </w:rPr>
            </w:pPr>
          </w:p>
        </w:tc>
        <w:tc>
          <w:tcPr>
            <w:tcW w:w="723" w:type="dxa"/>
            <w:tcBorders>
              <w:top w:val="single" w:color="auto" w:sz="4" w:space="0"/>
              <w:left w:val="nil"/>
              <w:bottom w:val="single" w:color="auto" w:sz="4" w:space="0"/>
              <w:right w:val="single" w:color="auto" w:sz="4" w:space="0"/>
            </w:tcBorders>
            <w:vAlign w:val="center"/>
          </w:tcPr>
          <w:p w14:paraId="5FA51747">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5B7ADA6E">
            <w:pPr>
              <w:ind w:left="240" w:hanging="240" w:hangingChars="100"/>
              <w:jc w:val="left"/>
              <w:rPr>
                <w:rFonts w:ascii="宋体" w:hAnsi="宋体" w:cs="宋体"/>
                <w:color w:val="auto"/>
                <w:sz w:val="24"/>
                <w:highlight w:val="none"/>
              </w:rPr>
            </w:pPr>
          </w:p>
        </w:tc>
        <w:tc>
          <w:tcPr>
            <w:tcW w:w="2810" w:type="dxa"/>
            <w:tcBorders>
              <w:top w:val="single" w:color="auto" w:sz="4" w:space="0"/>
              <w:left w:val="nil"/>
              <w:bottom w:val="single" w:color="auto" w:sz="4" w:space="0"/>
              <w:right w:val="single" w:color="auto" w:sz="4" w:space="0"/>
            </w:tcBorders>
            <w:vAlign w:val="center"/>
          </w:tcPr>
          <w:p w14:paraId="131A8D6C">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7CB02B71">
            <w:pPr>
              <w:jc w:val="center"/>
              <w:rPr>
                <w:rFonts w:ascii="宋体" w:hAnsi="宋体" w:cs="宋体"/>
                <w:color w:val="auto"/>
                <w:sz w:val="24"/>
                <w:highlight w:val="none"/>
              </w:rPr>
            </w:pPr>
          </w:p>
        </w:tc>
      </w:tr>
      <w:tr w14:paraId="75AA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11C89CF">
            <w:pPr>
              <w:jc w:val="center"/>
              <w:rPr>
                <w:rFonts w:ascii="宋体" w:hAnsi="宋体" w:cs="宋体"/>
                <w:color w:val="auto"/>
                <w:sz w:val="24"/>
                <w:highlight w:val="none"/>
              </w:rPr>
            </w:pPr>
            <w:r>
              <w:rPr>
                <w:rFonts w:hint="eastAsia" w:ascii="宋体" w:hAnsi="宋体" w:cs="宋体"/>
                <w:color w:val="auto"/>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6EDFC0BC">
            <w:pPr>
              <w:jc w:val="center"/>
              <w:rPr>
                <w:rFonts w:ascii="宋体" w:hAnsi="宋体" w:cs="宋体"/>
                <w:color w:val="auto"/>
                <w:sz w:val="24"/>
                <w:highlight w:val="none"/>
              </w:rPr>
            </w:pPr>
          </w:p>
        </w:tc>
        <w:tc>
          <w:tcPr>
            <w:tcW w:w="3490" w:type="dxa"/>
            <w:tcBorders>
              <w:top w:val="single" w:color="auto" w:sz="4" w:space="0"/>
              <w:left w:val="nil"/>
              <w:bottom w:val="single" w:color="auto" w:sz="4" w:space="0"/>
              <w:right w:val="single" w:color="auto" w:sz="4" w:space="0"/>
            </w:tcBorders>
            <w:vAlign w:val="center"/>
          </w:tcPr>
          <w:p w14:paraId="18F1D3ED">
            <w:pPr>
              <w:ind w:left="240" w:hanging="240" w:hangingChars="100"/>
              <w:jc w:val="left"/>
              <w:rPr>
                <w:rFonts w:ascii="宋体" w:hAnsi="宋体" w:cs="宋体"/>
                <w:color w:val="auto"/>
                <w:sz w:val="24"/>
                <w:highlight w:val="none"/>
              </w:rPr>
            </w:pPr>
            <w:r>
              <w:rPr>
                <w:rFonts w:hint="eastAsia" w:ascii="宋体" w:hAnsi="宋体" w:cs="宋体"/>
                <w:color w:val="auto"/>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105BE6AB">
            <w:pPr>
              <w:ind w:left="240" w:hanging="240" w:hangingChars="100"/>
              <w:jc w:val="left"/>
              <w:rPr>
                <w:rFonts w:ascii="宋体" w:hAnsi="宋体" w:cs="宋体"/>
                <w:color w:val="auto"/>
                <w:sz w:val="24"/>
                <w:highlight w:val="none"/>
              </w:rPr>
            </w:pPr>
          </w:p>
        </w:tc>
        <w:tc>
          <w:tcPr>
            <w:tcW w:w="1336" w:type="dxa"/>
            <w:tcBorders>
              <w:top w:val="single" w:color="auto" w:sz="4" w:space="0"/>
              <w:left w:val="nil"/>
              <w:bottom w:val="single" w:color="auto" w:sz="4" w:space="0"/>
              <w:right w:val="single" w:color="auto" w:sz="4" w:space="0"/>
            </w:tcBorders>
            <w:vAlign w:val="center"/>
          </w:tcPr>
          <w:p w14:paraId="30ACF11C">
            <w:pPr>
              <w:jc w:val="center"/>
              <w:rPr>
                <w:rFonts w:ascii="宋体" w:hAnsi="宋体" w:cs="宋体"/>
                <w:color w:val="auto"/>
                <w:sz w:val="24"/>
                <w:highlight w:val="none"/>
              </w:rPr>
            </w:pPr>
          </w:p>
        </w:tc>
      </w:tr>
    </w:tbl>
    <w:p w14:paraId="2936425F">
      <w:pPr>
        <w:rPr>
          <w:rFonts w:ascii="宋体" w:hAnsi="宋体" w:cs="宋体"/>
          <w:color w:val="auto"/>
          <w:sz w:val="24"/>
          <w:highlight w:val="none"/>
        </w:rPr>
      </w:pPr>
    </w:p>
    <w:p w14:paraId="219D0590">
      <w:pPr>
        <w:rPr>
          <w:rFonts w:ascii="宋体" w:hAnsi="宋体" w:cs="宋体"/>
          <w:color w:val="auto"/>
          <w:sz w:val="24"/>
          <w:highlight w:val="none"/>
        </w:rPr>
      </w:pPr>
      <w:r>
        <w:rPr>
          <w:rFonts w:hint="eastAsia" w:ascii="宋体" w:hAnsi="宋体" w:cs="宋体"/>
          <w:color w:val="auto"/>
          <w:sz w:val="24"/>
          <w:highlight w:val="none"/>
        </w:rPr>
        <w:t>(可根据需求自行更改)</w:t>
      </w:r>
    </w:p>
    <w:p w14:paraId="1FEB30FE">
      <w:pPr>
        <w:rPr>
          <w:rFonts w:ascii="宋体" w:hAnsi="宋体" w:cs="宋体"/>
          <w:color w:val="auto"/>
          <w:sz w:val="24"/>
          <w:highlight w:val="none"/>
        </w:rPr>
      </w:pPr>
    </w:p>
    <w:p w14:paraId="1CC3454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0A45C02A">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30E9B90A">
      <w:pPr>
        <w:spacing w:line="360" w:lineRule="auto"/>
        <w:rPr>
          <w:rFonts w:ascii="宋体" w:hAnsi="宋体" w:cs="宋体"/>
          <w:b/>
          <w:color w:val="auto"/>
          <w:sz w:val="24"/>
          <w:highlight w:val="none"/>
        </w:rPr>
      </w:pPr>
    </w:p>
    <w:p w14:paraId="116C8DCD">
      <w:pPr>
        <w:spacing w:line="360" w:lineRule="auto"/>
        <w:rPr>
          <w:rFonts w:ascii="宋体" w:hAnsi="宋体" w:cs="宋体"/>
          <w:b/>
          <w:color w:val="auto"/>
          <w:sz w:val="24"/>
          <w:highlight w:val="none"/>
        </w:rPr>
      </w:pPr>
    </w:p>
    <w:p w14:paraId="0C88AACC">
      <w:pPr>
        <w:spacing w:line="360" w:lineRule="auto"/>
        <w:rPr>
          <w:rFonts w:ascii="宋体" w:hAnsi="宋体" w:cs="宋体"/>
          <w:b/>
          <w:color w:val="auto"/>
          <w:sz w:val="24"/>
          <w:highlight w:val="none"/>
        </w:rPr>
      </w:pPr>
    </w:p>
    <w:p w14:paraId="720D05DC">
      <w:pPr>
        <w:spacing w:line="360" w:lineRule="auto"/>
        <w:rPr>
          <w:rFonts w:ascii="宋体" w:hAnsi="宋体" w:cs="宋体"/>
          <w:b/>
          <w:color w:val="auto"/>
          <w:sz w:val="24"/>
          <w:highlight w:val="none"/>
        </w:rPr>
      </w:pPr>
    </w:p>
    <w:p w14:paraId="78A6BA23">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格式7</w:t>
      </w:r>
    </w:p>
    <w:p w14:paraId="2F3FBC3D">
      <w:pPr>
        <w:pStyle w:val="13"/>
        <w:ind w:firstLine="480"/>
        <w:rPr>
          <w:rFonts w:ascii="宋体" w:hAnsi="宋体" w:eastAsia="宋体" w:cs="宋体"/>
          <w:color w:val="auto"/>
          <w:sz w:val="24"/>
          <w:highlight w:val="none"/>
        </w:rPr>
      </w:pPr>
    </w:p>
    <w:p w14:paraId="3B253CD0">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服务方案及服务承诺</w:t>
      </w:r>
    </w:p>
    <w:p w14:paraId="1E9ACA70">
      <w:pPr>
        <w:spacing w:line="380" w:lineRule="exact"/>
        <w:jc w:val="center"/>
        <w:rPr>
          <w:rFonts w:ascii="宋体" w:hAnsi="宋体" w:cs="宋体"/>
          <w:color w:val="auto"/>
          <w:sz w:val="24"/>
          <w:highlight w:val="none"/>
        </w:rPr>
      </w:pPr>
    </w:p>
    <w:p w14:paraId="3354DA1E">
      <w:pPr>
        <w:spacing w:line="380" w:lineRule="exact"/>
        <w:ind w:firstLine="360" w:firstLineChars="150"/>
        <w:rPr>
          <w:rFonts w:ascii="宋体" w:hAnsi="宋体" w:cs="宋体"/>
          <w:color w:val="auto"/>
          <w:sz w:val="24"/>
          <w:highlight w:val="none"/>
        </w:rPr>
      </w:pPr>
    </w:p>
    <w:p w14:paraId="594089E9">
      <w:pPr>
        <w:pStyle w:val="37"/>
        <w:rPr>
          <w:rFonts w:ascii="宋体" w:hAnsi="宋体" w:cs="宋体"/>
          <w:color w:val="auto"/>
          <w:sz w:val="24"/>
          <w:szCs w:val="24"/>
          <w:highlight w:val="none"/>
        </w:rPr>
      </w:pPr>
    </w:p>
    <w:p w14:paraId="1BF7A7C2">
      <w:pPr>
        <w:pStyle w:val="37"/>
        <w:rPr>
          <w:rFonts w:ascii="宋体" w:hAnsi="宋体" w:cs="宋体"/>
          <w:color w:val="auto"/>
          <w:sz w:val="24"/>
          <w:szCs w:val="24"/>
          <w:highlight w:val="none"/>
        </w:rPr>
      </w:pPr>
    </w:p>
    <w:p w14:paraId="06EB777A">
      <w:pPr>
        <w:pStyle w:val="37"/>
        <w:rPr>
          <w:rFonts w:ascii="宋体" w:hAnsi="宋体" w:cs="宋体"/>
          <w:color w:val="auto"/>
          <w:sz w:val="24"/>
          <w:szCs w:val="24"/>
          <w:highlight w:val="none"/>
        </w:rPr>
      </w:pPr>
    </w:p>
    <w:p w14:paraId="12532710">
      <w:pPr>
        <w:pStyle w:val="37"/>
        <w:rPr>
          <w:rFonts w:ascii="宋体" w:hAnsi="宋体" w:cs="宋体"/>
          <w:color w:val="auto"/>
          <w:sz w:val="24"/>
          <w:szCs w:val="24"/>
          <w:highlight w:val="none"/>
        </w:rPr>
      </w:pPr>
    </w:p>
    <w:p w14:paraId="1B0E5CF1">
      <w:pPr>
        <w:pStyle w:val="37"/>
        <w:rPr>
          <w:rFonts w:ascii="宋体" w:hAnsi="宋体" w:cs="宋体"/>
          <w:color w:val="auto"/>
          <w:sz w:val="24"/>
          <w:szCs w:val="24"/>
          <w:highlight w:val="none"/>
        </w:rPr>
      </w:pPr>
    </w:p>
    <w:p w14:paraId="11105202">
      <w:pPr>
        <w:pStyle w:val="37"/>
        <w:rPr>
          <w:rFonts w:ascii="宋体" w:hAnsi="宋体" w:cs="宋体"/>
          <w:color w:val="auto"/>
          <w:sz w:val="24"/>
          <w:szCs w:val="24"/>
          <w:highlight w:val="none"/>
        </w:rPr>
      </w:pPr>
    </w:p>
    <w:p w14:paraId="3A26E301">
      <w:pPr>
        <w:spacing w:line="380" w:lineRule="exact"/>
        <w:rPr>
          <w:rFonts w:ascii="宋体" w:hAnsi="宋体" w:cs="宋体"/>
          <w:color w:val="auto"/>
          <w:sz w:val="24"/>
          <w:highlight w:val="none"/>
        </w:rPr>
      </w:pPr>
    </w:p>
    <w:p w14:paraId="00DF73C3">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17689D84">
      <w:pPr>
        <w:spacing w:line="380" w:lineRule="exact"/>
        <w:ind w:right="640" w:firstLine="1560" w:firstLineChars="650"/>
        <w:rPr>
          <w:rFonts w:ascii="宋体" w:hAnsi="宋体" w:cs="宋体"/>
          <w:color w:val="auto"/>
          <w:sz w:val="24"/>
          <w:highlight w:val="none"/>
        </w:rPr>
      </w:pPr>
    </w:p>
    <w:p w14:paraId="236F81BC">
      <w:pPr>
        <w:spacing w:line="380" w:lineRule="exact"/>
        <w:ind w:right="640" w:firstLine="4680" w:firstLineChars="1950"/>
        <w:rPr>
          <w:rFonts w:ascii="宋体" w:hAnsi="宋体" w:cs="宋体"/>
          <w:color w:val="auto"/>
          <w:sz w:val="24"/>
          <w:highlight w:val="none"/>
        </w:rPr>
      </w:pPr>
    </w:p>
    <w:p w14:paraId="07D0D1CB">
      <w:pPr>
        <w:spacing w:line="380" w:lineRule="exact"/>
        <w:jc w:val="center"/>
        <w:rPr>
          <w:rFonts w:ascii="宋体" w:hAnsi="宋体" w:cs="宋体"/>
          <w:color w:val="auto"/>
          <w:sz w:val="24"/>
          <w:highlight w:val="none"/>
        </w:rPr>
      </w:pPr>
    </w:p>
    <w:p w14:paraId="710D1553">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      年   月    日</w:t>
      </w:r>
    </w:p>
    <w:p w14:paraId="1DF7F8AB">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4D0B7C61">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格式8合格供应商的声明函和承诺书</w:t>
      </w:r>
    </w:p>
    <w:p w14:paraId="4CAF8149">
      <w:pPr>
        <w:spacing w:line="360" w:lineRule="auto"/>
        <w:rPr>
          <w:rFonts w:ascii="宋体" w:hAnsi="宋体" w:cs="宋体"/>
          <w:color w:val="auto"/>
          <w:sz w:val="24"/>
          <w:highlight w:val="none"/>
        </w:rPr>
      </w:pPr>
    </w:p>
    <w:p w14:paraId="03FFA484">
      <w:pPr>
        <w:spacing w:line="360" w:lineRule="auto"/>
        <w:jc w:val="center"/>
        <w:rPr>
          <w:rFonts w:ascii="宋体" w:hAnsi="宋体" w:cs="宋体"/>
          <w:b/>
          <w:bCs/>
          <w:color w:val="auto"/>
          <w:sz w:val="24"/>
          <w:highlight w:val="none"/>
        </w:rPr>
      </w:pPr>
    </w:p>
    <w:p w14:paraId="01570B03">
      <w:pPr>
        <w:pStyle w:val="37"/>
        <w:rPr>
          <w:color w:val="auto"/>
          <w:highlight w:val="none"/>
        </w:rPr>
      </w:pPr>
    </w:p>
    <w:p w14:paraId="034E2844">
      <w:pPr>
        <w:spacing w:line="360" w:lineRule="auto"/>
        <w:jc w:val="center"/>
        <w:rPr>
          <w:rFonts w:ascii="宋体" w:hAnsi="宋体" w:cs="宋体"/>
          <w:b/>
          <w:color w:val="auto"/>
          <w:sz w:val="24"/>
          <w:highlight w:val="none"/>
        </w:rPr>
      </w:pPr>
    </w:p>
    <w:p w14:paraId="686B78B1">
      <w:pPr>
        <w:spacing w:line="360" w:lineRule="auto"/>
        <w:jc w:val="center"/>
        <w:rPr>
          <w:rFonts w:ascii="宋体" w:hAnsi="宋体" w:cs="宋体"/>
          <w:b/>
          <w:color w:val="auto"/>
          <w:sz w:val="24"/>
          <w:highlight w:val="none"/>
        </w:rPr>
      </w:pPr>
    </w:p>
    <w:p w14:paraId="7E020848">
      <w:pPr>
        <w:spacing w:line="360" w:lineRule="auto"/>
        <w:jc w:val="center"/>
        <w:rPr>
          <w:rFonts w:ascii="宋体" w:hAnsi="宋体" w:cs="宋体"/>
          <w:b/>
          <w:color w:val="auto"/>
          <w:sz w:val="24"/>
          <w:highlight w:val="none"/>
        </w:rPr>
      </w:pPr>
    </w:p>
    <w:p w14:paraId="2F04ABEB">
      <w:pPr>
        <w:spacing w:line="360" w:lineRule="auto"/>
        <w:jc w:val="center"/>
        <w:rPr>
          <w:rFonts w:ascii="宋体" w:hAnsi="宋体" w:cs="宋体"/>
          <w:b/>
          <w:color w:val="auto"/>
          <w:sz w:val="24"/>
          <w:highlight w:val="none"/>
        </w:rPr>
      </w:pPr>
    </w:p>
    <w:p w14:paraId="6144104A">
      <w:pPr>
        <w:spacing w:line="360" w:lineRule="auto"/>
        <w:jc w:val="center"/>
        <w:rPr>
          <w:rFonts w:ascii="宋体" w:hAnsi="宋体" w:cs="宋体"/>
          <w:b/>
          <w:color w:val="auto"/>
          <w:sz w:val="24"/>
          <w:highlight w:val="none"/>
        </w:rPr>
      </w:pPr>
    </w:p>
    <w:p w14:paraId="0B31D063">
      <w:pPr>
        <w:spacing w:line="360" w:lineRule="auto"/>
        <w:jc w:val="center"/>
        <w:rPr>
          <w:rFonts w:ascii="宋体" w:hAnsi="宋体" w:cs="宋体"/>
          <w:b/>
          <w:color w:val="auto"/>
          <w:sz w:val="24"/>
          <w:highlight w:val="none"/>
        </w:rPr>
      </w:pPr>
    </w:p>
    <w:p w14:paraId="11140FDA">
      <w:pPr>
        <w:spacing w:line="360" w:lineRule="auto"/>
        <w:jc w:val="center"/>
        <w:rPr>
          <w:rFonts w:ascii="宋体" w:hAnsi="宋体" w:cs="宋体"/>
          <w:b/>
          <w:color w:val="auto"/>
          <w:sz w:val="24"/>
          <w:highlight w:val="none"/>
        </w:rPr>
      </w:pPr>
    </w:p>
    <w:p w14:paraId="49B0E647">
      <w:pPr>
        <w:spacing w:line="360" w:lineRule="auto"/>
        <w:jc w:val="center"/>
        <w:rPr>
          <w:rFonts w:ascii="宋体" w:hAnsi="宋体" w:cs="宋体"/>
          <w:b/>
          <w:color w:val="auto"/>
          <w:sz w:val="24"/>
          <w:highlight w:val="none"/>
        </w:rPr>
      </w:pPr>
    </w:p>
    <w:p w14:paraId="227F0198">
      <w:pPr>
        <w:spacing w:line="360" w:lineRule="auto"/>
        <w:jc w:val="center"/>
        <w:rPr>
          <w:rFonts w:ascii="宋体" w:hAnsi="宋体" w:cs="宋体"/>
          <w:b/>
          <w:color w:val="auto"/>
          <w:sz w:val="24"/>
          <w:highlight w:val="none"/>
        </w:rPr>
      </w:pPr>
    </w:p>
    <w:p w14:paraId="7D6CE8DA">
      <w:pPr>
        <w:spacing w:line="360" w:lineRule="auto"/>
        <w:jc w:val="center"/>
        <w:rPr>
          <w:rFonts w:ascii="宋体" w:hAnsi="宋体" w:cs="宋体"/>
          <w:b/>
          <w:color w:val="auto"/>
          <w:sz w:val="24"/>
          <w:highlight w:val="none"/>
        </w:rPr>
      </w:pPr>
    </w:p>
    <w:p w14:paraId="562DDBB8">
      <w:pPr>
        <w:spacing w:line="360" w:lineRule="auto"/>
        <w:jc w:val="center"/>
        <w:rPr>
          <w:rFonts w:ascii="宋体" w:hAnsi="宋体" w:cs="宋体"/>
          <w:b/>
          <w:color w:val="auto"/>
          <w:sz w:val="24"/>
          <w:highlight w:val="none"/>
        </w:rPr>
      </w:pPr>
    </w:p>
    <w:p w14:paraId="38530AAB">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供应商电子公章： </w:t>
      </w:r>
    </w:p>
    <w:p w14:paraId="64CD2061">
      <w:pPr>
        <w:spacing w:line="380" w:lineRule="exact"/>
        <w:ind w:right="640" w:firstLine="1560" w:firstLineChars="650"/>
        <w:rPr>
          <w:rFonts w:ascii="宋体" w:hAnsi="宋体" w:cs="宋体"/>
          <w:color w:val="auto"/>
          <w:sz w:val="24"/>
          <w:highlight w:val="none"/>
        </w:rPr>
      </w:pPr>
    </w:p>
    <w:p w14:paraId="2C6016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D488691">
      <w:pPr>
        <w:spacing w:line="360" w:lineRule="auto"/>
        <w:rPr>
          <w:rFonts w:ascii="宋体" w:hAnsi="宋体" w:cs="宋体"/>
          <w:color w:val="auto"/>
          <w:sz w:val="24"/>
          <w:highlight w:val="none"/>
        </w:rPr>
      </w:pPr>
    </w:p>
    <w:p w14:paraId="625F735E">
      <w:pPr>
        <w:spacing w:line="360" w:lineRule="auto"/>
        <w:rPr>
          <w:rFonts w:ascii="宋体" w:hAnsi="宋体" w:cs="宋体"/>
          <w:color w:val="auto"/>
          <w:sz w:val="24"/>
          <w:highlight w:val="none"/>
        </w:rPr>
      </w:pPr>
    </w:p>
    <w:p w14:paraId="02D9BF62">
      <w:pPr>
        <w:spacing w:line="360" w:lineRule="auto"/>
        <w:rPr>
          <w:rFonts w:ascii="宋体" w:hAnsi="宋体" w:cs="宋体"/>
          <w:color w:val="auto"/>
          <w:sz w:val="24"/>
          <w:highlight w:val="none"/>
        </w:rPr>
      </w:pPr>
    </w:p>
    <w:p w14:paraId="768FCB18">
      <w:pPr>
        <w:spacing w:line="360" w:lineRule="auto"/>
        <w:rPr>
          <w:rFonts w:ascii="宋体" w:hAnsi="宋体" w:cs="宋体"/>
          <w:color w:val="auto"/>
          <w:sz w:val="24"/>
          <w:highlight w:val="none"/>
        </w:rPr>
      </w:pPr>
    </w:p>
    <w:p w14:paraId="056F5647">
      <w:pPr>
        <w:spacing w:line="380" w:lineRule="exact"/>
        <w:jc w:val="center"/>
        <w:rPr>
          <w:rFonts w:ascii="宋体" w:hAnsi="宋体" w:cs="宋体"/>
          <w:color w:val="auto"/>
          <w:sz w:val="24"/>
          <w:highlight w:val="none"/>
        </w:rPr>
      </w:pPr>
    </w:p>
    <w:p w14:paraId="1B4DA442">
      <w:pPr>
        <w:spacing w:line="380" w:lineRule="exact"/>
        <w:jc w:val="center"/>
        <w:rPr>
          <w:rFonts w:ascii="宋体" w:hAnsi="宋体" w:cs="宋体"/>
          <w:color w:val="auto"/>
          <w:sz w:val="24"/>
          <w:highlight w:val="none"/>
        </w:rPr>
      </w:pPr>
    </w:p>
    <w:p w14:paraId="0CA32FE0">
      <w:pPr>
        <w:spacing w:line="380" w:lineRule="exact"/>
        <w:jc w:val="center"/>
        <w:rPr>
          <w:rFonts w:ascii="宋体" w:hAnsi="宋体" w:cs="宋体"/>
          <w:color w:val="auto"/>
          <w:sz w:val="24"/>
          <w:highlight w:val="none"/>
        </w:rPr>
      </w:pPr>
    </w:p>
    <w:p w14:paraId="6B706B2E">
      <w:pPr>
        <w:spacing w:line="380" w:lineRule="exact"/>
        <w:jc w:val="center"/>
        <w:rPr>
          <w:rFonts w:ascii="宋体" w:hAnsi="宋体" w:cs="宋体"/>
          <w:color w:val="auto"/>
          <w:sz w:val="24"/>
          <w:highlight w:val="none"/>
        </w:rPr>
      </w:pPr>
    </w:p>
    <w:p w14:paraId="52CCB680">
      <w:pPr>
        <w:spacing w:line="380" w:lineRule="exact"/>
        <w:jc w:val="center"/>
        <w:rPr>
          <w:rFonts w:ascii="宋体" w:hAnsi="宋体" w:cs="宋体"/>
          <w:color w:val="auto"/>
          <w:sz w:val="24"/>
          <w:highlight w:val="none"/>
        </w:rPr>
      </w:pPr>
    </w:p>
    <w:p w14:paraId="128230D5">
      <w:pPr>
        <w:spacing w:line="380" w:lineRule="exact"/>
        <w:jc w:val="center"/>
        <w:rPr>
          <w:rFonts w:ascii="宋体" w:hAnsi="宋体" w:cs="宋体"/>
          <w:color w:val="auto"/>
          <w:sz w:val="24"/>
          <w:highlight w:val="none"/>
        </w:rPr>
      </w:pPr>
    </w:p>
    <w:p w14:paraId="2798172C">
      <w:pPr>
        <w:spacing w:line="380" w:lineRule="exact"/>
        <w:jc w:val="center"/>
        <w:rPr>
          <w:rFonts w:ascii="宋体" w:hAnsi="宋体" w:cs="宋体"/>
          <w:color w:val="auto"/>
          <w:sz w:val="24"/>
          <w:highlight w:val="none"/>
        </w:rPr>
      </w:pPr>
    </w:p>
    <w:p w14:paraId="10BDCAE1">
      <w:pPr>
        <w:spacing w:line="380" w:lineRule="exact"/>
        <w:jc w:val="center"/>
        <w:rPr>
          <w:rFonts w:ascii="宋体" w:hAnsi="宋体" w:cs="宋体"/>
          <w:color w:val="auto"/>
          <w:sz w:val="24"/>
          <w:highlight w:val="none"/>
        </w:rPr>
      </w:pPr>
    </w:p>
    <w:p w14:paraId="5C1CCFAF">
      <w:pPr>
        <w:spacing w:line="380" w:lineRule="exact"/>
        <w:jc w:val="center"/>
        <w:rPr>
          <w:rFonts w:ascii="宋体" w:hAnsi="宋体" w:cs="宋体"/>
          <w:color w:val="auto"/>
          <w:sz w:val="24"/>
          <w:highlight w:val="none"/>
        </w:rPr>
      </w:pPr>
    </w:p>
    <w:p w14:paraId="58586462">
      <w:pPr>
        <w:spacing w:line="380" w:lineRule="exact"/>
        <w:jc w:val="center"/>
        <w:rPr>
          <w:rFonts w:ascii="宋体" w:hAnsi="宋体" w:cs="宋体"/>
          <w:color w:val="auto"/>
          <w:sz w:val="24"/>
          <w:highlight w:val="none"/>
        </w:rPr>
      </w:pPr>
    </w:p>
    <w:p w14:paraId="520FEE73">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格式9中小企业声明函（工程、服务）</w:t>
      </w:r>
    </w:p>
    <w:p w14:paraId="483B8C5E">
      <w:pPr>
        <w:spacing w:line="360" w:lineRule="auto"/>
        <w:rPr>
          <w:b/>
          <w:bCs/>
          <w:color w:val="auto"/>
          <w:sz w:val="32"/>
          <w:szCs w:val="32"/>
          <w:highlight w:val="none"/>
        </w:rPr>
      </w:pPr>
    </w:p>
    <w:p w14:paraId="2F84BC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w:t>
      </w:r>
      <w:r>
        <w:rPr>
          <w:rFonts w:hint="eastAsia" w:ascii="宋体" w:hAnsi="宋体" w:cs="宋体"/>
          <w:color w:val="auto"/>
          <w:sz w:val="24"/>
          <w:highlight w:val="none"/>
          <w:u w:val="single"/>
        </w:rPr>
        <w:t>（或者：服务全部由符合政策要求的中小企业承接）</w:t>
      </w:r>
      <w:r>
        <w:rPr>
          <w:rFonts w:hint="eastAsia" w:ascii="宋体" w:hAnsi="宋体" w:cs="宋体"/>
          <w:color w:val="auto"/>
          <w:sz w:val="24"/>
          <w:highlight w:val="none"/>
        </w:rPr>
        <w:t>。相关企业</w:t>
      </w:r>
      <w:r>
        <w:rPr>
          <w:rFonts w:hint="eastAsia" w:ascii="宋体" w:hAnsi="宋体" w:cs="宋体"/>
          <w:color w:val="auto"/>
          <w:sz w:val="24"/>
          <w:highlight w:val="none"/>
          <w:u w:val="single"/>
        </w:rPr>
        <w:t>（含联合 体中的中小企业、签订分包意向协议的中小企业）</w:t>
      </w:r>
      <w:r>
        <w:rPr>
          <w:rFonts w:hint="eastAsia" w:ascii="宋体" w:hAnsi="宋体" w:cs="宋体"/>
          <w:color w:val="auto"/>
          <w:sz w:val="24"/>
          <w:highlight w:val="none"/>
        </w:rPr>
        <w:t>的具体情 况如下：</w:t>
      </w:r>
    </w:p>
    <w:p w14:paraId="124AF4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承建（承接）企业为（企业名称），从业人员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万元1，属于（中型企业、小型企业、微型企业）； </w:t>
      </w:r>
    </w:p>
    <w:p w14:paraId="609F87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 小型企业、微型企业）</w:t>
      </w:r>
      <w:r>
        <w:rPr>
          <w:rFonts w:hint="eastAsia" w:ascii="宋体" w:hAnsi="宋体" w:cs="宋体"/>
          <w:color w:val="auto"/>
          <w:sz w:val="24"/>
          <w:highlight w:val="none"/>
        </w:rPr>
        <w:t>； ……</w:t>
      </w:r>
    </w:p>
    <w:p w14:paraId="632646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 为大企业的情形，也不存在与大企业的负责人为同一人的情形。</w:t>
      </w:r>
    </w:p>
    <w:p w14:paraId="4E66DB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 法承担相应责任。 </w:t>
      </w:r>
    </w:p>
    <w:p w14:paraId="5AF98C3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企业名称（盖章）： </w:t>
      </w:r>
    </w:p>
    <w:p w14:paraId="32852499">
      <w:pPr>
        <w:spacing w:line="360" w:lineRule="auto"/>
        <w:ind w:firstLine="4800" w:firstLineChars="2000"/>
        <w:rPr>
          <w:rFonts w:ascii="宋体" w:hAnsi="宋体" w:cs="宋体"/>
          <w:color w:val="auto"/>
          <w:sz w:val="24"/>
          <w:highlight w:val="none"/>
        </w:rPr>
      </w:pPr>
      <w:r>
        <w:rPr>
          <w:rFonts w:hint="eastAsia" w:ascii="宋体" w:hAnsi="宋体" w:cs="宋体"/>
          <w:color w:val="auto"/>
          <w:sz w:val="24"/>
          <w:highlight w:val="none"/>
        </w:rPr>
        <w:t xml:space="preserve">日 期： </w:t>
      </w:r>
    </w:p>
    <w:p w14:paraId="38D9DCC5">
      <w:pPr>
        <w:pStyle w:val="37"/>
        <w:rPr>
          <w:rFonts w:ascii="宋体" w:hAnsi="宋体" w:cs="宋体"/>
          <w:color w:val="auto"/>
          <w:sz w:val="24"/>
          <w:szCs w:val="24"/>
          <w:highlight w:val="none"/>
        </w:rPr>
      </w:pPr>
    </w:p>
    <w:p w14:paraId="18F74D95">
      <w:pPr>
        <w:pStyle w:val="5"/>
        <w:rPr>
          <w:rFonts w:ascii="宋体" w:hAnsi="宋体" w:eastAsia="宋体" w:cs="宋体"/>
          <w:color w:val="auto"/>
          <w:sz w:val="24"/>
          <w:highlight w:val="none"/>
        </w:rPr>
      </w:pPr>
    </w:p>
    <w:p w14:paraId="626802B3">
      <w:pPr>
        <w:rPr>
          <w:rFonts w:ascii="宋体" w:hAnsi="宋体" w:cs="宋体"/>
          <w:color w:val="auto"/>
          <w:sz w:val="24"/>
          <w:highlight w:val="none"/>
        </w:rPr>
      </w:pPr>
    </w:p>
    <w:p w14:paraId="4B3C885C">
      <w:pPr>
        <w:pStyle w:val="37"/>
        <w:rPr>
          <w:rFonts w:ascii="宋体" w:hAnsi="宋体" w:cs="宋体"/>
          <w:color w:val="auto"/>
          <w:sz w:val="24"/>
          <w:szCs w:val="24"/>
          <w:highlight w:val="none"/>
        </w:rPr>
      </w:pPr>
    </w:p>
    <w:p w14:paraId="6C480A82">
      <w:pPr>
        <w:pStyle w:val="5"/>
        <w:rPr>
          <w:color w:val="auto"/>
          <w:highlight w:val="none"/>
        </w:rPr>
      </w:pPr>
    </w:p>
    <w:p w14:paraId="22C81C4F">
      <w:pPr>
        <w:spacing w:line="360" w:lineRule="auto"/>
        <w:ind w:firstLine="420" w:firstLineChars="200"/>
        <w:rPr>
          <w:color w:val="auto"/>
          <w:highlight w:val="none"/>
        </w:rPr>
      </w:pPr>
      <w:r>
        <w:rPr>
          <w:rFonts w:hint="eastAsia"/>
          <w:color w:val="auto"/>
          <w:highlight w:val="none"/>
        </w:rPr>
        <w:t>注：1.从业人员、营业收入、资产总额填报上一年度数据，无上一年度数据的新成立企业可不填报。</w:t>
      </w:r>
    </w:p>
    <w:p w14:paraId="71F2B892">
      <w:pPr>
        <w:spacing w:line="360" w:lineRule="auto"/>
        <w:ind w:firstLine="420" w:firstLineChars="200"/>
        <w:rPr>
          <w:color w:val="auto"/>
          <w:highlight w:val="none"/>
        </w:rPr>
      </w:pPr>
      <w:r>
        <w:rPr>
          <w:rFonts w:hint="eastAsia"/>
          <w:color w:val="auto"/>
          <w:highlight w:val="none"/>
        </w:rPr>
        <w:t>2.本项目如是只面向中小企业采购的应当必须提供。</w:t>
      </w:r>
    </w:p>
    <w:p w14:paraId="079FA9E3">
      <w:pPr>
        <w:spacing w:line="360" w:lineRule="auto"/>
        <w:jc w:val="center"/>
        <w:rPr>
          <w:rFonts w:ascii="宋体" w:hAnsi="宋体" w:cs="宋体"/>
          <w:b/>
          <w:bCs/>
          <w:color w:val="auto"/>
          <w:sz w:val="24"/>
          <w:highlight w:val="none"/>
        </w:rPr>
      </w:pPr>
    </w:p>
    <w:p w14:paraId="5AE4B8B5">
      <w:pPr>
        <w:pStyle w:val="37"/>
        <w:rPr>
          <w:rFonts w:ascii="宋体" w:hAnsi="宋体" w:cs="宋体"/>
          <w:b/>
          <w:bCs/>
          <w:color w:val="auto"/>
          <w:sz w:val="24"/>
          <w:highlight w:val="none"/>
        </w:rPr>
      </w:pPr>
    </w:p>
    <w:p w14:paraId="138EE407">
      <w:pPr>
        <w:pStyle w:val="5"/>
        <w:rPr>
          <w:color w:val="auto"/>
          <w:highlight w:val="none"/>
        </w:rPr>
      </w:pPr>
    </w:p>
    <w:p w14:paraId="6BCEA613">
      <w:pPr>
        <w:spacing w:line="360" w:lineRule="auto"/>
        <w:rPr>
          <w:rFonts w:ascii="宋体" w:hAnsi="宋体" w:cs="宋体"/>
          <w:color w:val="auto"/>
          <w:sz w:val="24"/>
          <w:highlight w:val="none"/>
        </w:rPr>
      </w:pPr>
    </w:p>
    <w:p w14:paraId="49A6B94E">
      <w:pPr>
        <w:spacing w:line="360" w:lineRule="auto"/>
        <w:rPr>
          <w:rFonts w:hint="eastAsia" w:ascii="宋体" w:hAnsi="宋体" w:cs="宋体"/>
          <w:color w:val="auto"/>
          <w:sz w:val="24"/>
          <w:highlight w:val="none"/>
        </w:rPr>
      </w:pPr>
    </w:p>
    <w:p w14:paraId="79F5CF73">
      <w:pPr>
        <w:spacing w:line="360" w:lineRule="auto"/>
        <w:rPr>
          <w:rFonts w:hint="eastAsia" w:ascii="宋体" w:hAnsi="宋体" w:cs="宋体"/>
          <w:color w:val="auto"/>
          <w:sz w:val="24"/>
          <w:highlight w:val="none"/>
        </w:rPr>
      </w:pPr>
    </w:p>
    <w:p w14:paraId="71C61651">
      <w:pPr>
        <w:spacing w:line="360" w:lineRule="auto"/>
        <w:rPr>
          <w:rFonts w:ascii="宋体" w:hAnsi="宋体" w:cs="宋体"/>
          <w:color w:val="auto"/>
          <w:sz w:val="24"/>
          <w:highlight w:val="none"/>
        </w:rPr>
      </w:pPr>
      <w:r>
        <w:rPr>
          <w:rFonts w:hint="eastAsia" w:ascii="宋体" w:hAnsi="宋体" w:cs="宋体"/>
          <w:color w:val="auto"/>
          <w:sz w:val="24"/>
          <w:highlight w:val="none"/>
        </w:rPr>
        <w:t>格式10其他资料</w:t>
      </w:r>
    </w:p>
    <w:p w14:paraId="0F0BEA87">
      <w:pPr>
        <w:spacing w:line="360" w:lineRule="auto"/>
        <w:rPr>
          <w:rFonts w:hint="eastAsia" w:ascii="宋体" w:hAnsi="宋体" w:cs="宋体"/>
          <w:color w:val="auto"/>
          <w:sz w:val="24"/>
          <w:highlight w:val="none"/>
        </w:rPr>
      </w:pPr>
    </w:p>
    <w:p w14:paraId="3C590B1A">
      <w:pPr>
        <w:spacing w:line="360" w:lineRule="auto"/>
        <w:rPr>
          <w:rFonts w:hint="eastAsia" w:ascii="宋体" w:hAnsi="宋体" w:cs="宋体"/>
          <w:color w:val="auto"/>
          <w:sz w:val="24"/>
          <w:highlight w:val="none"/>
        </w:rPr>
      </w:pPr>
    </w:p>
    <w:p w14:paraId="7940A0D2">
      <w:pPr>
        <w:spacing w:line="360" w:lineRule="auto"/>
        <w:rPr>
          <w:rFonts w:hint="eastAsia" w:ascii="宋体" w:hAnsi="宋体" w:cs="宋体"/>
          <w:color w:val="auto"/>
          <w:sz w:val="24"/>
          <w:highlight w:val="none"/>
        </w:rPr>
      </w:pPr>
    </w:p>
    <w:p w14:paraId="14DC1558">
      <w:pPr>
        <w:spacing w:line="360" w:lineRule="auto"/>
        <w:rPr>
          <w:rFonts w:hint="eastAsia" w:ascii="宋体" w:hAnsi="宋体" w:cs="宋体"/>
          <w:color w:val="auto"/>
          <w:sz w:val="24"/>
          <w:highlight w:val="none"/>
        </w:rPr>
      </w:pPr>
    </w:p>
    <w:p w14:paraId="0B87F2E4">
      <w:pPr>
        <w:spacing w:line="360" w:lineRule="auto"/>
        <w:rPr>
          <w:rFonts w:hint="eastAsia" w:ascii="宋体" w:hAnsi="宋体" w:cs="宋体"/>
          <w:color w:val="auto"/>
          <w:sz w:val="24"/>
          <w:highlight w:val="none"/>
        </w:rPr>
      </w:pPr>
    </w:p>
    <w:p w14:paraId="21E3697E">
      <w:pPr>
        <w:spacing w:line="360" w:lineRule="auto"/>
        <w:rPr>
          <w:rFonts w:hint="eastAsia" w:ascii="宋体" w:hAnsi="宋体" w:cs="宋体"/>
          <w:color w:val="auto"/>
          <w:sz w:val="24"/>
          <w:highlight w:val="none"/>
        </w:rPr>
      </w:pPr>
    </w:p>
    <w:p w14:paraId="58EAF67B">
      <w:pPr>
        <w:spacing w:line="360" w:lineRule="auto"/>
        <w:rPr>
          <w:rFonts w:hint="eastAsia" w:ascii="宋体" w:hAnsi="宋体" w:cs="宋体"/>
          <w:color w:val="auto"/>
          <w:sz w:val="24"/>
          <w:highlight w:val="none"/>
        </w:rPr>
      </w:pPr>
    </w:p>
    <w:p w14:paraId="2E4ED32F">
      <w:pPr>
        <w:spacing w:line="360" w:lineRule="auto"/>
        <w:rPr>
          <w:rFonts w:hint="eastAsia" w:ascii="宋体" w:hAnsi="宋体" w:cs="宋体"/>
          <w:color w:val="auto"/>
          <w:sz w:val="24"/>
          <w:highlight w:val="none"/>
        </w:rPr>
      </w:pPr>
    </w:p>
    <w:p w14:paraId="0A78E239">
      <w:pPr>
        <w:spacing w:line="360" w:lineRule="auto"/>
        <w:rPr>
          <w:rFonts w:hint="eastAsia" w:ascii="宋体" w:hAnsi="宋体" w:cs="宋体"/>
          <w:color w:val="auto"/>
          <w:sz w:val="24"/>
          <w:highlight w:val="none"/>
        </w:rPr>
      </w:pPr>
    </w:p>
    <w:p w14:paraId="4F10CD34">
      <w:pPr>
        <w:spacing w:line="360" w:lineRule="auto"/>
        <w:rPr>
          <w:rFonts w:hint="eastAsia" w:ascii="宋体" w:hAnsi="宋体" w:cs="宋体"/>
          <w:color w:val="auto"/>
          <w:sz w:val="24"/>
          <w:highlight w:val="none"/>
        </w:rPr>
      </w:pPr>
    </w:p>
    <w:p w14:paraId="55F01974">
      <w:pPr>
        <w:spacing w:line="360" w:lineRule="auto"/>
        <w:rPr>
          <w:rFonts w:hint="eastAsia" w:ascii="宋体" w:hAnsi="宋体" w:cs="宋体"/>
          <w:color w:val="auto"/>
          <w:sz w:val="24"/>
          <w:highlight w:val="none"/>
        </w:rPr>
      </w:pPr>
    </w:p>
    <w:p w14:paraId="44C823FC">
      <w:pPr>
        <w:spacing w:line="360" w:lineRule="auto"/>
        <w:rPr>
          <w:rFonts w:hint="eastAsia" w:ascii="宋体" w:hAnsi="宋体" w:cs="宋体"/>
          <w:color w:val="auto"/>
          <w:sz w:val="24"/>
          <w:highlight w:val="none"/>
        </w:rPr>
      </w:pPr>
    </w:p>
    <w:p w14:paraId="2C52EA2E">
      <w:pPr>
        <w:spacing w:line="360" w:lineRule="auto"/>
        <w:rPr>
          <w:rFonts w:hint="eastAsia" w:ascii="宋体" w:hAnsi="宋体" w:cs="宋体"/>
          <w:color w:val="auto"/>
          <w:sz w:val="24"/>
          <w:highlight w:val="none"/>
        </w:rPr>
      </w:pPr>
    </w:p>
    <w:p w14:paraId="593654C8">
      <w:pPr>
        <w:spacing w:line="360" w:lineRule="auto"/>
        <w:rPr>
          <w:rFonts w:hint="eastAsia" w:ascii="宋体" w:hAnsi="宋体" w:cs="宋体"/>
          <w:color w:val="auto"/>
          <w:sz w:val="24"/>
          <w:highlight w:val="none"/>
        </w:rPr>
      </w:pPr>
    </w:p>
    <w:p w14:paraId="7098B16C">
      <w:pPr>
        <w:spacing w:line="360" w:lineRule="auto"/>
        <w:rPr>
          <w:rFonts w:hint="eastAsia" w:ascii="宋体" w:hAnsi="宋体" w:cs="宋体"/>
          <w:color w:val="auto"/>
          <w:sz w:val="24"/>
          <w:highlight w:val="none"/>
        </w:rPr>
      </w:pPr>
    </w:p>
    <w:p w14:paraId="3988B682">
      <w:pPr>
        <w:spacing w:line="360" w:lineRule="auto"/>
        <w:rPr>
          <w:rFonts w:hint="eastAsia" w:ascii="宋体" w:hAnsi="宋体" w:cs="宋体"/>
          <w:color w:val="auto"/>
          <w:sz w:val="24"/>
          <w:highlight w:val="none"/>
        </w:rPr>
      </w:pPr>
    </w:p>
    <w:p w14:paraId="0886CBEC">
      <w:pPr>
        <w:spacing w:line="360" w:lineRule="auto"/>
        <w:rPr>
          <w:rFonts w:hint="eastAsia" w:ascii="宋体" w:hAnsi="宋体" w:cs="宋体"/>
          <w:color w:val="auto"/>
          <w:sz w:val="24"/>
          <w:highlight w:val="none"/>
        </w:rPr>
      </w:pPr>
    </w:p>
    <w:p w14:paraId="370159BF">
      <w:pPr>
        <w:spacing w:line="360" w:lineRule="auto"/>
        <w:rPr>
          <w:rFonts w:hint="eastAsia" w:ascii="宋体" w:hAnsi="宋体" w:cs="宋体"/>
          <w:color w:val="auto"/>
          <w:sz w:val="24"/>
          <w:highlight w:val="none"/>
        </w:rPr>
      </w:pPr>
    </w:p>
    <w:p w14:paraId="2F1A2AE5">
      <w:pPr>
        <w:spacing w:line="360" w:lineRule="auto"/>
        <w:rPr>
          <w:rFonts w:hint="eastAsia" w:ascii="宋体" w:hAnsi="宋体" w:cs="宋体"/>
          <w:color w:val="auto"/>
          <w:sz w:val="24"/>
          <w:highlight w:val="none"/>
        </w:rPr>
      </w:pPr>
    </w:p>
    <w:p w14:paraId="515CD1F0">
      <w:pPr>
        <w:spacing w:line="360" w:lineRule="auto"/>
        <w:rPr>
          <w:rFonts w:hint="eastAsia" w:ascii="宋体" w:hAnsi="宋体" w:cs="宋体"/>
          <w:color w:val="auto"/>
          <w:sz w:val="24"/>
          <w:highlight w:val="none"/>
        </w:rPr>
      </w:pPr>
    </w:p>
    <w:p w14:paraId="063A7F6C">
      <w:pPr>
        <w:spacing w:line="360" w:lineRule="auto"/>
        <w:rPr>
          <w:rFonts w:hint="eastAsia" w:ascii="宋体" w:hAnsi="宋体" w:cs="宋体"/>
          <w:color w:val="auto"/>
          <w:sz w:val="24"/>
          <w:highlight w:val="none"/>
        </w:rPr>
      </w:pPr>
    </w:p>
    <w:p w14:paraId="57EF0FD0">
      <w:pPr>
        <w:spacing w:line="360" w:lineRule="auto"/>
        <w:rPr>
          <w:rFonts w:hint="eastAsia" w:ascii="宋体" w:hAnsi="宋体" w:cs="宋体"/>
          <w:color w:val="auto"/>
          <w:sz w:val="24"/>
          <w:highlight w:val="none"/>
        </w:rPr>
      </w:pPr>
    </w:p>
    <w:p w14:paraId="6EE06ABD">
      <w:pPr>
        <w:spacing w:line="360" w:lineRule="auto"/>
        <w:rPr>
          <w:rFonts w:hint="eastAsia" w:ascii="宋体" w:hAnsi="宋体" w:cs="宋体"/>
          <w:color w:val="auto"/>
          <w:sz w:val="24"/>
          <w:highlight w:val="none"/>
        </w:rPr>
      </w:pPr>
    </w:p>
    <w:p w14:paraId="7B566ECB">
      <w:pPr>
        <w:spacing w:line="360" w:lineRule="auto"/>
        <w:rPr>
          <w:rFonts w:hint="eastAsia" w:ascii="宋体" w:hAnsi="宋体" w:cs="宋体"/>
          <w:color w:val="auto"/>
          <w:sz w:val="24"/>
          <w:highlight w:val="none"/>
        </w:rPr>
      </w:pPr>
    </w:p>
    <w:p w14:paraId="44367A37">
      <w:pPr>
        <w:spacing w:line="360" w:lineRule="auto"/>
        <w:rPr>
          <w:rFonts w:hint="eastAsia" w:ascii="宋体" w:hAnsi="宋体" w:cs="宋体"/>
          <w:color w:val="auto"/>
          <w:sz w:val="24"/>
          <w:highlight w:val="none"/>
        </w:rPr>
      </w:pPr>
    </w:p>
    <w:p w14:paraId="01F540E0">
      <w:pPr>
        <w:spacing w:line="360" w:lineRule="auto"/>
        <w:rPr>
          <w:rFonts w:hint="eastAsia" w:ascii="宋体" w:hAnsi="宋体" w:cs="宋体"/>
          <w:color w:val="auto"/>
          <w:sz w:val="24"/>
          <w:highlight w:val="none"/>
        </w:rPr>
      </w:pPr>
    </w:p>
    <w:p w14:paraId="597A0530">
      <w:pPr>
        <w:spacing w:line="360" w:lineRule="auto"/>
        <w:rPr>
          <w:rFonts w:hint="eastAsia" w:ascii="宋体" w:hAnsi="宋体" w:cs="宋体"/>
          <w:color w:val="auto"/>
          <w:sz w:val="24"/>
          <w:highlight w:val="none"/>
        </w:rPr>
      </w:pPr>
    </w:p>
    <w:p w14:paraId="68EFD3C9">
      <w:pPr>
        <w:spacing w:line="360" w:lineRule="auto"/>
        <w:rPr>
          <w:rFonts w:hint="eastAsia" w:ascii="宋体" w:hAnsi="宋体" w:cs="宋体"/>
          <w:color w:val="auto"/>
          <w:sz w:val="24"/>
          <w:highlight w:val="none"/>
        </w:rPr>
      </w:pPr>
    </w:p>
    <w:p w14:paraId="240D4FFF">
      <w:pPr>
        <w:spacing w:line="360" w:lineRule="auto"/>
        <w:rPr>
          <w:color w:val="auto"/>
          <w:highlight w:val="none"/>
        </w:rPr>
      </w:pPr>
      <w:r>
        <w:rPr>
          <w:rFonts w:hint="eastAsia" w:ascii="宋体" w:hAnsi="宋体" w:cs="宋体"/>
          <w:color w:val="auto"/>
          <w:sz w:val="24"/>
          <w:highlight w:val="none"/>
        </w:rPr>
        <w:t>格式11</w:t>
      </w:r>
    </w:p>
    <w:p w14:paraId="2DC2B88A">
      <w:pPr>
        <w:spacing w:line="380" w:lineRule="exact"/>
        <w:jc w:val="center"/>
        <w:rPr>
          <w:rStyle w:val="66"/>
          <w:rFonts w:ascii="宋体"/>
          <w:b/>
          <w:bCs/>
          <w:color w:val="auto"/>
          <w:sz w:val="28"/>
          <w:szCs w:val="28"/>
          <w:highlight w:val="none"/>
        </w:rPr>
      </w:pPr>
      <w:r>
        <w:rPr>
          <w:rStyle w:val="66"/>
          <w:rFonts w:hint="eastAsia" w:ascii="宋体" w:hAnsi="宋体" w:cs="宋体"/>
          <w:b/>
          <w:bCs/>
          <w:color w:val="auto"/>
          <w:sz w:val="28"/>
          <w:szCs w:val="28"/>
          <w:highlight w:val="none"/>
        </w:rPr>
        <w:t>政府采购供应商诚信承诺书</w:t>
      </w:r>
    </w:p>
    <w:p w14:paraId="222E43E0">
      <w:pPr>
        <w:spacing w:line="380" w:lineRule="exact"/>
        <w:jc w:val="center"/>
        <w:rPr>
          <w:rStyle w:val="66"/>
          <w:rFonts w:ascii="宋体"/>
          <w:b/>
          <w:bCs/>
          <w:color w:val="auto"/>
          <w:sz w:val="24"/>
          <w:highlight w:val="none"/>
        </w:rPr>
      </w:pPr>
    </w:p>
    <w:p w14:paraId="63EEB5A0">
      <w:pPr>
        <w:spacing w:line="38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57BA9F61">
      <w:pPr>
        <w:spacing w:line="380" w:lineRule="exact"/>
        <w:rPr>
          <w:rFonts w:ascii="宋体" w:hAnsi="宋体" w:cs="宋体"/>
          <w:color w:val="auto"/>
          <w:sz w:val="24"/>
          <w:highlight w:val="none"/>
        </w:rPr>
      </w:pPr>
      <w:r>
        <w:rPr>
          <w:rFonts w:hint="eastAsia" w:ascii="宋体" w:hAnsi="宋体" w:cs="宋体"/>
          <w:color w:val="auto"/>
          <w:sz w:val="24"/>
          <w:highlight w:val="none"/>
        </w:rPr>
        <w:t>（一）提供虚假材料谋取中标;</w:t>
      </w:r>
    </w:p>
    <w:p w14:paraId="2D81276D">
      <w:pPr>
        <w:spacing w:line="380" w:lineRule="exact"/>
        <w:rPr>
          <w:rFonts w:ascii="宋体" w:hAnsi="宋体" w:cs="宋体"/>
          <w:color w:val="auto"/>
          <w:sz w:val="24"/>
          <w:highlight w:val="none"/>
        </w:rPr>
      </w:pPr>
      <w:r>
        <w:rPr>
          <w:rFonts w:hint="eastAsia" w:ascii="宋体" w:hAnsi="宋体" w:cs="宋体"/>
          <w:color w:val="auto"/>
          <w:sz w:val="24"/>
          <w:highlight w:val="none"/>
        </w:rPr>
        <w:t>（二）采取不正当手段诋毁、排挤其他供应商;</w:t>
      </w:r>
    </w:p>
    <w:p w14:paraId="4ED25C9C">
      <w:pPr>
        <w:spacing w:line="380" w:lineRule="exact"/>
        <w:rPr>
          <w:rFonts w:ascii="宋体" w:hAnsi="宋体" w:cs="宋体"/>
          <w:color w:val="auto"/>
          <w:sz w:val="24"/>
          <w:highlight w:val="none"/>
        </w:rPr>
      </w:pPr>
      <w:r>
        <w:rPr>
          <w:rFonts w:hint="eastAsia" w:ascii="宋体" w:hAnsi="宋体" w:cs="宋体"/>
          <w:color w:val="auto"/>
          <w:sz w:val="24"/>
          <w:highlight w:val="none"/>
        </w:rPr>
        <w:t>（三）与招标采购单位、其他投标人恶意串通;</w:t>
      </w:r>
    </w:p>
    <w:p w14:paraId="7737A89B">
      <w:pPr>
        <w:spacing w:line="380" w:lineRule="exact"/>
        <w:rPr>
          <w:rFonts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14:paraId="2D4C3DA4">
      <w:pPr>
        <w:spacing w:line="380" w:lineRule="exact"/>
        <w:rPr>
          <w:rFonts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14:paraId="60E595D1">
      <w:pPr>
        <w:spacing w:line="380" w:lineRule="exact"/>
        <w:rPr>
          <w:rFonts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14:paraId="62B15993">
      <w:pPr>
        <w:spacing w:line="380" w:lineRule="exact"/>
        <w:rPr>
          <w:rFonts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14:paraId="48C656C3">
      <w:pPr>
        <w:spacing w:line="380" w:lineRule="exact"/>
        <w:rPr>
          <w:rFonts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14:paraId="7BFB4211">
      <w:pPr>
        <w:spacing w:line="380" w:lineRule="exact"/>
        <w:rPr>
          <w:rFonts w:ascii="宋体" w:hAnsi="宋体" w:cs="宋体"/>
          <w:color w:val="auto"/>
          <w:sz w:val="24"/>
          <w:highlight w:val="none"/>
        </w:rPr>
      </w:pPr>
      <w:r>
        <w:rPr>
          <w:rFonts w:hint="eastAsia" w:ascii="宋体" w:hAnsi="宋体" w:cs="宋体"/>
          <w:color w:val="auto"/>
          <w:sz w:val="24"/>
          <w:highlight w:val="none"/>
        </w:rPr>
        <w:t>（九）无正当理由，拒绝履行合同义务;</w:t>
      </w:r>
    </w:p>
    <w:p w14:paraId="71226E19">
      <w:pPr>
        <w:spacing w:line="380" w:lineRule="exact"/>
        <w:rPr>
          <w:rFonts w:ascii="宋体" w:hAnsi="宋体" w:cs="宋体"/>
          <w:color w:val="auto"/>
          <w:sz w:val="24"/>
          <w:highlight w:val="none"/>
        </w:rPr>
      </w:pPr>
      <w:r>
        <w:rPr>
          <w:rFonts w:hint="eastAsia" w:ascii="宋体" w:hAnsi="宋体" w:cs="宋体"/>
          <w:color w:val="auto"/>
          <w:sz w:val="24"/>
          <w:highlight w:val="none"/>
        </w:rPr>
        <w:t>（十）无正当理由放弃中标（成交）项目;</w:t>
      </w:r>
    </w:p>
    <w:p w14:paraId="50E6B2E3">
      <w:pPr>
        <w:spacing w:line="380" w:lineRule="exact"/>
        <w:rPr>
          <w:rFonts w:ascii="宋体" w:hAnsi="宋体" w:cs="宋体"/>
          <w:color w:val="auto"/>
          <w:sz w:val="24"/>
          <w:highlight w:val="none"/>
        </w:rPr>
      </w:pPr>
      <w:r>
        <w:rPr>
          <w:rFonts w:hint="eastAsia" w:ascii="宋体" w:hAnsi="宋体" w:cs="宋体"/>
          <w:color w:val="auto"/>
          <w:sz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3D698768">
      <w:pPr>
        <w:spacing w:line="380" w:lineRule="exact"/>
        <w:rPr>
          <w:rFonts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14:paraId="147C6B90">
      <w:pPr>
        <w:spacing w:line="380" w:lineRule="exact"/>
        <w:rPr>
          <w:rFonts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14:paraId="0437316F">
      <w:pPr>
        <w:spacing w:line="380" w:lineRule="exact"/>
        <w:rPr>
          <w:rFonts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14:paraId="547012B1">
      <w:pPr>
        <w:spacing w:line="380" w:lineRule="exact"/>
        <w:rPr>
          <w:rFonts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14:paraId="6A89DFF3">
      <w:pPr>
        <w:spacing w:line="380" w:lineRule="exact"/>
        <w:rPr>
          <w:rFonts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14:paraId="46614A57">
      <w:pPr>
        <w:spacing w:line="380" w:lineRule="exact"/>
        <w:rPr>
          <w:rFonts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14:paraId="1D6DB603">
      <w:pPr>
        <w:spacing w:line="380" w:lineRule="exact"/>
        <w:ind w:firstLine="3360" w:firstLineChars="1400"/>
        <w:rPr>
          <w:rFonts w:ascii="宋体" w:hAnsi="宋体" w:cs="宋体"/>
          <w:color w:val="auto"/>
          <w:sz w:val="24"/>
          <w:highlight w:val="none"/>
        </w:rPr>
      </w:pPr>
    </w:p>
    <w:p w14:paraId="14EC52BB">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供应商名称：（盖章）</w:t>
      </w:r>
    </w:p>
    <w:p w14:paraId="492E87E8">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字或盖章</w:t>
      </w:r>
      <w:r>
        <w:rPr>
          <w:rFonts w:hint="eastAsia" w:ascii="宋体" w:hAnsi="宋体" w:cs="宋体"/>
          <w:color w:val="auto"/>
          <w:sz w:val="24"/>
          <w:highlight w:val="none"/>
        </w:rPr>
        <w:t>）</w:t>
      </w:r>
    </w:p>
    <w:p w14:paraId="19209D0F">
      <w:pPr>
        <w:spacing w:line="380" w:lineRule="exact"/>
        <w:ind w:firstLine="3360" w:firstLineChars="1400"/>
        <w:rPr>
          <w:rFonts w:ascii="宋体" w:hAnsi="宋体" w:cs="宋体"/>
          <w:color w:val="auto"/>
          <w:sz w:val="24"/>
          <w:highlight w:val="none"/>
        </w:rPr>
      </w:pPr>
    </w:p>
    <w:p w14:paraId="133610C2">
      <w:pPr>
        <w:spacing w:line="380" w:lineRule="exact"/>
        <w:ind w:firstLine="3360" w:firstLineChars="1400"/>
        <w:rPr>
          <w:rFonts w:ascii="宋体" w:hAnsi="宋体" w:cs="宋体"/>
          <w:b/>
          <w:color w:val="auto"/>
          <w:sz w:val="24"/>
          <w:highlight w:val="none"/>
        </w:rPr>
      </w:pPr>
      <w:r>
        <w:rPr>
          <w:rFonts w:hint="eastAsia" w:ascii="宋体" w:hAnsi="宋体" w:cs="宋体"/>
          <w:color w:val="auto"/>
          <w:sz w:val="24"/>
          <w:highlight w:val="none"/>
        </w:rPr>
        <w:t>日期：年月日</w:t>
      </w:r>
    </w:p>
    <w:p w14:paraId="1C2DA0D2">
      <w:pPr>
        <w:pStyle w:val="35"/>
        <w:ind w:firstLine="0" w:firstLineChars="0"/>
        <w:rPr>
          <w:rFonts w:ascii="宋体" w:hAnsi="宋体" w:cs="宋体"/>
          <w:b/>
          <w:color w:val="auto"/>
          <w:sz w:val="24"/>
          <w:highlight w:val="none"/>
        </w:rPr>
      </w:pPr>
    </w:p>
    <w:p w14:paraId="1D7F5090">
      <w:pPr>
        <w:spacing w:line="360" w:lineRule="auto"/>
        <w:rPr>
          <w:rFonts w:ascii="宋体" w:hAnsi="宋体" w:cs="宋体"/>
          <w:b/>
          <w:bCs/>
          <w:color w:val="auto"/>
          <w:sz w:val="24"/>
          <w:highlight w:val="none"/>
        </w:rPr>
      </w:pPr>
    </w:p>
    <w:p w14:paraId="38426799">
      <w:pPr>
        <w:pStyle w:val="35"/>
        <w:ind w:firstLine="0" w:firstLineChars="0"/>
        <w:rPr>
          <w:rFonts w:ascii="宋体" w:hAnsi="宋体" w:cs="宋体"/>
          <w:b/>
          <w:color w:val="auto"/>
          <w:sz w:val="24"/>
          <w:highlight w:val="none"/>
        </w:rPr>
      </w:pPr>
    </w:p>
    <w:p w14:paraId="08B1241F">
      <w:pPr>
        <w:pStyle w:val="35"/>
        <w:ind w:firstLine="241"/>
        <w:rPr>
          <w:rFonts w:ascii="宋体" w:hAnsi="宋体" w:cs="宋体"/>
          <w:b/>
          <w:color w:val="auto"/>
          <w:sz w:val="24"/>
          <w:highlight w:val="none"/>
        </w:rPr>
      </w:pPr>
    </w:p>
    <w:p w14:paraId="0EC35CEE">
      <w:pPr>
        <w:pStyle w:val="35"/>
        <w:ind w:firstLine="241"/>
        <w:rPr>
          <w:rFonts w:ascii="宋体" w:hAnsi="宋体" w:cs="宋体"/>
          <w:b/>
          <w:color w:val="auto"/>
          <w:sz w:val="24"/>
          <w:highlight w:val="none"/>
        </w:rPr>
      </w:pPr>
    </w:p>
    <w:p w14:paraId="77D0DB9E">
      <w:pPr>
        <w:pStyle w:val="35"/>
        <w:ind w:firstLine="241"/>
        <w:rPr>
          <w:rFonts w:ascii="宋体" w:hAnsi="宋体" w:cs="宋体"/>
          <w:b/>
          <w:color w:val="auto"/>
          <w:sz w:val="24"/>
          <w:highlight w:val="none"/>
        </w:rPr>
      </w:pPr>
    </w:p>
    <w:p w14:paraId="22862F57">
      <w:pPr>
        <w:pStyle w:val="3"/>
        <w:spacing w:line="500" w:lineRule="exact"/>
        <w:rPr>
          <w:rFonts w:ascii="宋体" w:hAnsi="宋体" w:cs="宋体"/>
          <w:b/>
          <w:color w:val="auto"/>
          <w:sz w:val="32"/>
          <w:szCs w:val="32"/>
          <w:highlight w:val="none"/>
        </w:rPr>
      </w:pPr>
      <w:r>
        <w:rPr>
          <w:rFonts w:hint="eastAsia" w:ascii="宋体" w:hAnsi="宋体" w:cs="宋体"/>
          <w:b/>
          <w:color w:val="auto"/>
          <w:sz w:val="32"/>
          <w:szCs w:val="32"/>
          <w:highlight w:val="none"/>
        </w:rPr>
        <w:t xml:space="preserve">第五章  </w:t>
      </w:r>
      <w:r>
        <w:rPr>
          <w:rFonts w:hint="eastAsia" w:ascii="宋体" w:hAnsi="宋体" w:cs="宋体"/>
          <w:b/>
          <w:color w:val="auto"/>
          <w:w w:val="92"/>
          <w:sz w:val="32"/>
          <w:szCs w:val="32"/>
          <w:highlight w:val="none"/>
        </w:rPr>
        <w:t>周口市</w:t>
      </w:r>
      <w:r>
        <w:rPr>
          <w:rFonts w:hint="eastAsia" w:ascii="宋体" w:hAnsi="宋体" w:cs="宋体"/>
          <w:b/>
          <w:color w:val="auto"/>
          <w:sz w:val="32"/>
          <w:szCs w:val="32"/>
          <w:highlight w:val="none"/>
        </w:rPr>
        <w:t>政府采购合同（服务类）标准文本</w:t>
      </w:r>
    </w:p>
    <w:p w14:paraId="10D2E8A9">
      <w:pPr>
        <w:ind w:firstLine="640" w:firstLineChars="200"/>
        <w:rPr>
          <w:rFonts w:ascii="宋体" w:hAnsi="宋体" w:cs="宋体"/>
          <w:color w:val="auto"/>
          <w:sz w:val="32"/>
          <w:szCs w:val="32"/>
          <w:highlight w:val="none"/>
        </w:rPr>
      </w:pPr>
    </w:p>
    <w:p w14:paraId="06345CE3">
      <w:pPr>
        <w:pStyle w:val="79"/>
        <w:spacing w:beforeLines="0" w:afterLines="0"/>
        <w:ind w:left="0" w:firstLine="640" w:firstLineChars="200"/>
        <w:rPr>
          <w:rFonts w:ascii="宋体" w:hAnsi="宋体" w:cs="宋体"/>
          <w:color w:val="auto"/>
          <w:sz w:val="32"/>
          <w:szCs w:val="32"/>
          <w:highlight w:val="none"/>
        </w:rPr>
      </w:pPr>
    </w:p>
    <w:p w14:paraId="21DC1A80">
      <w:pPr>
        <w:pStyle w:val="79"/>
        <w:spacing w:beforeLines="0" w:afterLines="0"/>
        <w:ind w:left="0" w:firstLine="640" w:firstLineChars="200"/>
        <w:rPr>
          <w:rFonts w:ascii="宋体" w:hAnsi="宋体" w:cs="宋体"/>
          <w:color w:val="auto"/>
          <w:sz w:val="32"/>
          <w:szCs w:val="32"/>
          <w:highlight w:val="none"/>
        </w:rPr>
      </w:pPr>
    </w:p>
    <w:p w14:paraId="13F17685">
      <w:pPr>
        <w:pStyle w:val="79"/>
        <w:spacing w:beforeLines="0" w:afterLines="0"/>
        <w:ind w:left="0" w:firstLine="600" w:firstLineChars="200"/>
        <w:rPr>
          <w:rFonts w:ascii="宋体" w:hAnsi="宋体" w:cs="宋体"/>
          <w:color w:val="auto"/>
          <w:sz w:val="30"/>
          <w:szCs w:val="30"/>
          <w:highlight w:val="none"/>
        </w:rPr>
      </w:pPr>
    </w:p>
    <w:p w14:paraId="315C93E0">
      <w:pPr>
        <w:pStyle w:val="79"/>
        <w:spacing w:beforeLines="0" w:afterLines="0"/>
        <w:rPr>
          <w:rFonts w:ascii="宋体" w:hAnsi="宋体" w:cs="宋体"/>
          <w:color w:val="auto"/>
          <w:sz w:val="30"/>
          <w:szCs w:val="30"/>
          <w:highlight w:val="none"/>
        </w:rPr>
      </w:pPr>
    </w:p>
    <w:p w14:paraId="7619C92B">
      <w:pPr>
        <w:pStyle w:val="79"/>
        <w:spacing w:beforeLines="0" w:afterLines="0"/>
        <w:rPr>
          <w:rFonts w:ascii="宋体" w:hAnsi="宋体" w:cs="宋体"/>
          <w:color w:val="auto"/>
          <w:sz w:val="30"/>
          <w:szCs w:val="30"/>
          <w:highlight w:val="none"/>
        </w:rPr>
      </w:pPr>
    </w:p>
    <w:p w14:paraId="47A1BDC2">
      <w:pPr>
        <w:pStyle w:val="79"/>
        <w:spacing w:beforeLines="0" w:afterLines="0"/>
        <w:ind w:left="0" w:firstLine="600" w:firstLineChars="200"/>
        <w:rPr>
          <w:rFonts w:ascii="宋体" w:hAnsi="宋体" w:cs="宋体"/>
          <w:color w:val="auto"/>
          <w:sz w:val="30"/>
          <w:szCs w:val="30"/>
          <w:highlight w:val="none"/>
        </w:rPr>
      </w:pPr>
    </w:p>
    <w:p w14:paraId="22F99CF6">
      <w:pPr>
        <w:pStyle w:val="79"/>
        <w:spacing w:beforeLines="0" w:afterLines="0"/>
        <w:ind w:left="0" w:firstLine="600" w:firstLineChars="200"/>
        <w:rPr>
          <w:rFonts w:ascii="宋体" w:hAnsi="宋体" w:cs="宋体"/>
          <w:color w:val="auto"/>
          <w:sz w:val="30"/>
          <w:szCs w:val="30"/>
          <w:highlight w:val="none"/>
        </w:rPr>
      </w:pPr>
    </w:p>
    <w:p w14:paraId="5D0748E8">
      <w:pPr>
        <w:pStyle w:val="79"/>
        <w:spacing w:beforeLines="0" w:afterLines="0"/>
        <w:ind w:left="0" w:firstLine="600" w:firstLineChars="200"/>
        <w:rPr>
          <w:rFonts w:ascii="宋体" w:hAnsi="宋体" w:cs="宋体"/>
          <w:color w:val="auto"/>
          <w:sz w:val="30"/>
          <w:szCs w:val="30"/>
          <w:highlight w:val="none"/>
        </w:rPr>
      </w:pPr>
    </w:p>
    <w:p w14:paraId="7B84C751">
      <w:pPr>
        <w:pStyle w:val="79"/>
        <w:spacing w:beforeLines="0" w:afterLines="0"/>
        <w:ind w:left="0" w:firstLine="600" w:firstLineChars="200"/>
        <w:rPr>
          <w:rFonts w:ascii="宋体" w:hAnsi="宋体" w:cs="宋体"/>
          <w:color w:val="auto"/>
          <w:sz w:val="30"/>
          <w:szCs w:val="30"/>
          <w:highlight w:val="none"/>
        </w:rPr>
      </w:pPr>
    </w:p>
    <w:p w14:paraId="2FDF62DE">
      <w:pPr>
        <w:pStyle w:val="79"/>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政府采购项目名称：</w:t>
      </w:r>
    </w:p>
    <w:p w14:paraId="27E09C9E">
      <w:pPr>
        <w:pStyle w:val="79"/>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政府采购项目编号：</w:t>
      </w:r>
    </w:p>
    <w:p w14:paraId="6EE51530">
      <w:pPr>
        <w:pStyle w:val="79"/>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采      购    人：</w:t>
      </w:r>
    </w:p>
    <w:p w14:paraId="656AD0B1">
      <w:pPr>
        <w:pStyle w:val="79"/>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供      应    商：</w:t>
      </w:r>
    </w:p>
    <w:p w14:paraId="4DD4F2B0">
      <w:pPr>
        <w:pStyle w:val="79"/>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合  同  签 订 地：</w:t>
      </w:r>
    </w:p>
    <w:p w14:paraId="7D6F2259">
      <w:pPr>
        <w:pStyle w:val="79"/>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合 同 签订 时 间：</w:t>
      </w:r>
    </w:p>
    <w:p w14:paraId="2B85BD6C">
      <w:pPr>
        <w:pStyle w:val="79"/>
        <w:spacing w:beforeLines="0" w:afterLines="0"/>
        <w:ind w:left="0" w:firstLine="600" w:firstLineChars="200"/>
        <w:rPr>
          <w:rFonts w:ascii="宋体" w:hAnsi="宋体" w:cs="宋体"/>
          <w:color w:val="auto"/>
          <w:sz w:val="30"/>
          <w:szCs w:val="30"/>
          <w:highlight w:val="none"/>
        </w:rPr>
      </w:pPr>
    </w:p>
    <w:p w14:paraId="44C0B346">
      <w:pPr>
        <w:pStyle w:val="79"/>
        <w:spacing w:beforeLines="0" w:afterLines="0"/>
        <w:ind w:left="0" w:firstLine="600" w:firstLineChars="200"/>
        <w:rPr>
          <w:rFonts w:ascii="宋体" w:hAnsi="宋体" w:cs="宋体"/>
          <w:color w:val="auto"/>
          <w:sz w:val="30"/>
          <w:szCs w:val="30"/>
          <w:highlight w:val="none"/>
        </w:rPr>
      </w:pPr>
    </w:p>
    <w:p w14:paraId="2FAA5282">
      <w:pPr>
        <w:pStyle w:val="79"/>
        <w:spacing w:beforeLines="0" w:afterLines="0"/>
        <w:ind w:left="0" w:firstLine="600" w:firstLineChars="200"/>
        <w:rPr>
          <w:rFonts w:ascii="宋体" w:hAnsi="宋体" w:cs="宋体"/>
          <w:color w:val="auto"/>
          <w:sz w:val="30"/>
          <w:szCs w:val="30"/>
          <w:highlight w:val="none"/>
        </w:rPr>
      </w:pPr>
    </w:p>
    <w:p w14:paraId="342C030B">
      <w:pPr>
        <w:pStyle w:val="79"/>
        <w:spacing w:beforeLines="0" w:afterLines="0" w:line="440" w:lineRule="exact"/>
        <w:ind w:left="0"/>
        <w:jc w:val="center"/>
        <w:rPr>
          <w:rFonts w:ascii="宋体" w:hAnsi="宋体" w:cs="宋体"/>
          <w:color w:val="auto"/>
          <w:sz w:val="32"/>
          <w:szCs w:val="32"/>
          <w:highlight w:val="none"/>
        </w:rPr>
      </w:pPr>
      <w:r>
        <w:rPr>
          <w:rFonts w:hint="eastAsia" w:ascii="宋体" w:hAnsi="宋体" w:cs="宋体"/>
          <w:color w:val="auto"/>
          <w:sz w:val="32"/>
          <w:szCs w:val="32"/>
          <w:highlight w:val="none"/>
        </w:rPr>
        <w:t>合同签订指引</w:t>
      </w:r>
    </w:p>
    <w:p w14:paraId="177D9138">
      <w:pPr>
        <w:pStyle w:val="79"/>
        <w:spacing w:beforeLines="0" w:afterLines="0" w:line="440" w:lineRule="exact"/>
        <w:ind w:left="0"/>
        <w:rPr>
          <w:rFonts w:ascii="宋体" w:hAnsi="宋体" w:cs="宋体"/>
          <w:color w:val="auto"/>
          <w:sz w:val="30"/>
          <w:szCs w:val="30"/>
          <w:highlight w:val="none"/>
        </w:rPr>
      </w:pPr>
    </w:p>
    <w:p w14:paraId="4738CB1D">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一、采购人在签订合同时应提供的资料：</w:t>
      </w:r>
    </w:p>
    <w:p w14:paraId="68D4F318">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1、该政府采购项目的招标采购文件（以网上发布内容为准）；</w:t>
      </w:r>
    </w:p>
    <w:p w14:paraId="4C7EDE92">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2、该政府采购项目招标文件的澄清和修改内容（公告内容）；</w:t>
      </w:r>
    </w:p>
    <w:p w14:paraId="3A2D74BC">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3、该政府采购项目评审报告；</w:t>
      </w:r>
    </w:p>
    <w:p w14:paraId="7CE42723">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4、采购单位法人授权委托书（法人到场并签字的除外）；</w:t>
      </w:r>
    </w:p>
    <w:p w14:paraId="57BE578F">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5、采购单位被授权人身份证件（法人到场并签字的除外）；</w:t>
      </w:r>
    </w:p>
    <w:p w14:paraId="3C31EDE1">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6、采购人和中标供应商（或服务商，下同）约定的其它内容（不得超出招标采购文件实质性内容）。</w:t>
      </w:r>
    </w:p>
    <w:p w14:paraId="627F9DEA">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二、供应商在签订合同时应提供的资料：</w:t>
      </w:r>
    </w:p>
    <w:p w14:paraId="54D9F74B">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1、该政府采购项目的投标文件（纸质或DPF格式的电子投标文件）；</w:t>
      </w:r>
    </w:p>
    <w:p w14:paraId="48F0D78E">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2、针对该项目评审时评审委员会提出的质询答复（纸质并签章）；</w:t>
      </w:r>
    </w:p>
    <w:p w14:paraId="5A8A3E39">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3、该政府采购项目中标通知书；</w:t>
      </w:r>
    </w:p>
    <w:p w14:paraId="0481F02B">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4、供应商法人授权委托书（法人到场并签字的除外）；</w:t>
      </w:r>
    </w:p>
    <w:p w14:paraId="07E764D6">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5、供应商被授权人身份证件（法人到场并签字的除外）；</w:t>
      </w:r>
    </w:p>
    <w:p w14:paraId="53141698">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6、供应商和采购人约定的其它内容（不得超出招标采购文件实质性内容）。</w:t>
      </w:r>
    </w:p>
    <w:p w14:paraId="44B3AF8B">
      <w:pPr>
        <w:pStyle w:val="79"/>
        <w:spacing w:beforeLines="0" w:afterLines="0" w:line="440" w:lineRule="exact"/>
        <w:ind w:left="0" w:firstLine="420" w:firstLineChars="200"/>
        <w:rPr>
          <w:rFonts w:ascii="宋体" w:hAnsi="宋体" w:cs="宋体"/>
          <w:color w:val="auto"/>
          <w:sz w:val="30"/>
          <w:szCs w:val="30"/>
          <w:highlight w:val="none"/>
        </w:rPr>
      </w:pPr>
      <w:r>
        <w:rPr>
          <w:rFonts w:hint="eastAsia" w:ascii="宋体" w:hAnsi="宋体" w:cs="宋体"/>
          <w:color w:val="auto"/>
          <w:szCs w:val="21"/>
          <w:highlight w:val="none"/>
        </w:rPr>
        <w:t>三、本合同签订后二个工作日内有采购人在“周口市政府采购网”上进行合同公示。</w:t>
      </w:r>
    </w:p>
    <w:p w14:paraId="3C6237AB">
      <w:pPr>
        <w:pStyle w:val="79"/>
        <w:spacing w:beforeLines="0" w:afterLines="0" w:line="440" w:lineRule="exact"/>
        <w:ind w:left="0"/>
        <w:jc w:val="center"/>
        <w:rPr>
          <w:rFonts w:ascii="宋体" w:hAnsi="宋体" w:cs="宋体"/>
          <w:bCs/>
          <w:color w:val="auto"/>
          <w:sz w:val="32"/>
          <w:szCs w:val="32"/>
          <w:highlight w:val="none"/>
        </w:rPr>
      </w:pPr>
    </w:p>
    <w:p w14:paraId="1EFE8299">
      <w:pPr>
        <w:pStyle w:val="79"/>
        <w:spacing w:beforeLines="0" w:afterLines="0" w:line="440" w:lineRule="exact"/>
        <w:ind w:left="0"/>
        <w:jc w:val="center"/>
        <w:rPr>
          <w:rFonts w:ascii="宋体" w:hAnsi="宋体" w:cs="宋体"/>
          <w:color w:val="auto"/>
          <w:sz w:val="32"/>
          <w:szCs w:val="32"/>
          <w:highlight w:val="none"/>
        </w:rPr>
      </w:pPr>
      <w:r>
        <w:rPr>
          <w:rFonts w:hint="eastAsia" w:ascii="宋体" w:hAnsi="宋体" w:cs="宋体"/>
          <w:bCs/>
          <w:color w:val="auto"/>
          <w:sz w:val="32"/>
          <w:szCs w:val="32"/>
          <w:highlight w:val="none"/>
        </w:rPr>
        <w:t>供应商履约验收指引</w:t>
      </w:r>
    </w:p>
    <w:p w14:paraId="24E4FB81">
      <w:pPr>
        <w:pStyle w:val="79"/>
        <w:spacing w:beforeLines="0" w:afterLines="0" w:line="440" w:lineRule="exact"/>
        <w:ind w:left="0" w:firstLine="420" w:firstLineChars="200"/>
        <w:rPr>
          <w:rFonts w:ascii="宋体" w:hAnsi="宋体" w:cs="宋体"/>
          <w:color w:val="auto"/>
          <w:szCs w:val="27"/>
          <w:highlight w:val="none"/>
        </w:rPr>
      </w:pPr>
      <w:r>
        <w:rPr>
          <w:rFonts w:hint="eastAsia" w:ascii="宋体" w:hAnsi="宋体" w:cs="宋体"/>
          <w:color w:val="auto"/>
          <w:szCs w:val="21"/>
          <w:highlight w:val="none"/>
        </w:rPr>
        <w:t>1、供应商不得擅自变更合同标的服务内容；</w:t>
      </w:r>
    </w:p>
    <w:p w14:paraId="7F91481F">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2、不得以次充优，随意降低服务标准和水平；</w:t>
      </w:r>
    </w:p>
    <w:p w14:paraId="0388B950">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3、对因客观上采购人采购需求发生变化造成的，应提供采、供双方的纸质备忘录材料；</w:t>
      </w:r>
    </w:p>
    <w:p w14:paraId="2F39E2D8">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4、在满足验收条件5个工作日内通知采购人组织验收；</w:t>
      </w:r>
    </w:p>
    <w:p w14:paraId="5AC03576">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5、供应商应提供需验收服务的清单、标准、达到的水平等量化资料；</w:t>
      </w:r>
    </w:p>
    <w:p w14:paraId="1ACFC42A">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6、采、供双方约定的验收机构及相关人员组成情况。</w:t>
      </w:r>
    </w:p>
    <w:p w14:paraId="2FA53FFF">
      <w:pPr>
        <w:pStyle w:val="79"/>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7、督促采购人在项目验收结束并达到相关要求后一个工作日内，在“周口市政府采购网”上进行“履约验收”公示。</w:t>
      </w:r>
    </w:p>
    <w:p w14:paraId="7194F113">
      <w:pPr>
        <w:bidi w:val="0"/>
        <w:rPr>
          <w:color w:val="auto"/>
          <w:highlight w:val="none"/>
        </w:rPr>
      </w:pPr>
    </w:p>
    <w:p w14:paraId="0EDA750E">
      <w:pPr>
        <w:bidi w:val="0"/>
        <w:rPr>
          <w:rFonts w:hint="eastAsia"/>
          <w:color w:val="auto"/>
          <w:highlight w:val="none"/>
        </w:rPr>
      </w:pPr>
    </w:p>
    <w:p w14:paraId="79F16521">
      <w:pPr>
        <w:pStyle w:val="3"/>
        <w:spacing w:line="500" w:lineRule="exact"/>
        <w:rPr>
          <w:rFonts w:ascii="宋体" w:hAnsi="宋体" w:cs="宋体"/>
          <w:color w:val="auto"/>
          <w:sz w:val="44"/>
          <w:szCs w:val="44"/>
          <w:highlight w:val="none"/>
        </w:rPr>
      </w:pPr>
      <w:r>
        <w:rPr>
          <w:rFonts w:hint="eastAsia" w:ascii="宋体" w:hAnsi="宋体" w:cs="宋体"/>
          <w:color w:val="auto"/>
          <w:sz w:val="44"/>
          <w:szCs w:val="44"/>
          <w:highlight w:val="none"/>
        </w:rPr>
        <w:t>服务合同内容</w:t>
      </w:r>
    </w:p>
    <w:p w14:paraId="3CC18D50">
      <w:pPr>
        <w:spacing w:line="360" w:lineRule="auto"/>
        <w:ind w:firstLine="420" w:firstLineChars="200"/>
        <w:rPr>
          <w:rFonts w:ascii="宋体" w:hAnsi="宋体" w:cs="宋体"/>
          <w:color w:val="auto"/>
          <w:szCs w:val="27"/>
          <w:highlight w:val="none"/>
        </w:rPr>
      </w:pPr>
    </w:p>
    <w:p w14:paraId="6857064F">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 xml:space="preserve">采购人（甲方）： </w:t>
      </w:r>
    </w:p>
    <w:p w14:paraId="6D99F324">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供应商（乙方）：</w:t>
      </w:r>
    </w:p>
    <w:p w14:paraId="4611A23D">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签订地点：</w:t>
      </w:r>
    </w:p>
    <w:p w14:paraId="2D89E93C">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项目名称：</w:t>
      </w:r>
    </w:p>
    <w:p w14:paraId="1EC56BEE">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szCs w:val="27"/>
          <w:highlight w:val="none"/>
        </w:rPr>
        <w:t>项目编号：</w:t>
      </w:r>
    </w:p>
    <w:p w14:paraId="16CA47BB">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财政委托号：</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(财政资金项目必须填写)</w:t>
      </w:r>
    </w:p>
    <w:p w14:paraId="692E823C">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本项目经批准采用</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采购方式，经本项目评审委员会认真评审，决定将采购合同授予乙方。为进一步明确双方的责任，确保合同的顺利履行，根据《中华人民共和</w:t>
      </w:r>
      <w:r>
        <w:rPr>
          <w:rFonts w:hint="eastAsia" w:ascii="宋体" w:hAnsi="宋体" w:cs="宋体"/>
          <w:color w:val="auto"/>
          <w:szCs w:val="27"/>
          <w:highlight w:val="none"/>
          <w:lang w:val="en-US" w:eastAsia="zh-CN"/>
        </w:rPr>
        <w:t>国政府</w:t>
      </w:r>
      <w:r>
        <w:rPr>
          <w:rFonts w:hint="eastAsia" w:ascii="宋体" w:hAnsi="宋体" w:cs="宋体"/>
          <w:color w:val="auto"/>
          <w:szCs w:val="27"/>
          <w:highlight w:val="none"/>
        </w:rPr>
        <w:t>采购法》、《中华人民共和国</w:t>
      </w:r>
      <w:r>
        <w:rPr>
          <w:rFonts w:hint="eastAsia" w:ascii="宋体" w:hAnsi="宋体" w:cs="宋体"/>
          <w:color w:val="auto"/>
          <w:szCs w:val="27"/>
          <w:highlight w:val="none"/>
          <w:lang w:val="en-US" w:eastAsia="zh-CN"/>
        </w:rPr>
        <w:t>民法典</w:t>
      </w:r>
      <w:r>
        <w:rPr>
          <w:rFonts w:hint="eastAsia" w:ascii="宋体" w:hAnsi="宋体" w:cs="宋体"/>
          <w:color w:val="auto"/>
          <w:szCs w:val="27"/>
          <w:highlight w:val="none"/>
        </w:rPr>
        <w:t>》之规定，经甲乙双方充分协商，特订立本合同，以便共同遵守。</w:t>
      </w:r>
    </w:p>
    <w:p w14:paraId="38472591">
      <w:pPr>
        <w:spacing w:line="360" w:lineRule="auto"/>
        <w:ind w:firstLine="422" w:firstLineChars="200"/>
        <w:rPr>
          <w:rFonts w:ascii="宋体" w:hAnsi="宋体" w:cs="宋体"/>
          <w:color w:val="auto"/>
          <w:highlight w:val="none"/>
          <w:u w:val="single"/>
        </w:rPr>
      </w:pPr>
      <w:r>
        <w:rPr>
          <w:rFonts w:hint="eastAsia" w:ascii="宋体" w:hAnsi="宋体" w:cs="宋体"/>
          <w:b/>
          <w:bCs/>
          <w:color w:val="auto"/>
          <w:szCs w:val="27"/>
          <w:highlight w:val="none"/>
        </w:rPr>
        <w:t>第一条</w:t>
      </w:r>
      <w:r>
        <w:rPr>
          <w:rFonts w:hint="eastAsia" w:ascii="宋体" w:hAnsi="宋体" w:cs="宋体"/>
          <w:color w:val="auto"/>
          <w:szCs w:val="27"/>
          <w:highlight w:val="none"/>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8D0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C79097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服务内容</w:t>
            </w:r>
          </w:p>
        </w:tc>
        <w:tc>
          <w:tcPr>
            <w:tcW w:w="1623" w:type="dxa"/>
          </w:tcPr>
          <w:p w14:paraId="6A6DC3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标准水平</w:t>
            </w:r>
          </w:p>
        </w:tc>
        <w:tc>
          <w:tcPr>
            <w:tcW w:w="902" w:type="dxa"/>
          </w:tcPr>
          <w:p w14:paraId="0FFC41B9">
            <w:pPr>
              <w:spacing w:line="360" w:lineRule="auto"/>
              <w:rPr>
                <w:rFonts w:ascii="宋体" w:hAnsi="宋体" w:cs="宋体"/>
                <w:color w:val="auto"/>
                <w:highlight w:val="none"/>
              </w:rPr>
            </w:pPr>
            <w:r>
              <w:rPr>
                <w:rFonts w:hint="eastAsia" w:ascii="宋体" w:hAnsi="宋体" w:cs="宋体"/>
                <w:color w:val="auto"/>
                <w:highlight w:val="none"/>
              </w:rPr>
              <w:t>单位</w:t>
            </w:r>
          </w:p>
        </w:tc>
        <w:tc>
          <w:tcPr>
            <w:tcW w:w="902" w:type="dxa"/>
          </w:tcPr>
          <w:p w14:paraId="5B7211EC">
            <w:pPr>
              <w:spacing w:line="360" w:lineRule="auto"/>
              <w:rPr>
                <w:rFonts w:ascii="宋体" w:hAnsi="宋体" w:cs="宋体"/>
                <w:color w:val="auto"/>
                <w:highlight w:val="none"/>
              </w:rPr>
            </w:pPr>
            <w:r>
              <w:rPr>
                <w:rFonts w:hint="eastAsia" w:ascii="宋体" w:hAnsi="宋体" w:cs="宋体"/>
                <w:color w:val="auto"/>
                <w:highlight w:val="none"/>
              </w:rPr>
              <w:t>数量</w:t>
            </w:r>
          </w:p>
        </w:tc>
        <w:tc>
          <w:tcPr>
            <w:tcW w:w="1071" w:type="dxa"/>
          </w:tcPr>
          <w:p w14:paraId="422682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单价</w:t>
            </w:r>
          </w:p>
        </w:tc>
        <w:tc>
          <w:tcPr>
            <w:tcW w:w="1250" w:type="dxa"/>
          </w:tcPr>
          <w:p w14:paraId="5A56DA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小计</w:t>
            </w:r>
          </w:p>
        </w:tc>
        <w:tc>
          <w:tcPr>
            <w:tcW w:w="1106" w:type="dxa"/>
          </w:tcPr>
          <w:p w14:paraId="50FF9A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备注</w:t>
            </w:r>
          </w:p>
        </w:tc>
      </w:tr>
      <w:tr w14:paraId="128F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4EE2FB9">
            <w:pPr>
              <w:spacing w:line="360" w:lineRule="auto"/>
              <w:ind w:firstLine="420" w:firstLineChars="200"/>
              <w:rPr>
                <w:rFonts w:ascii="宋体" w:hAnsi="宋体" w:cs="宋体"/>
                <w:color w:val="auto"/>
                <w:highlight w:val="none"/>
              </w:rPr>
            </w:pPr>
          </w:p>
        </w:tc>
        <w:tc>
          <w:tcPr>
            <w:tcW w:w="1623" w:type="dxa"/>
          </w:tcPr>
          <w:p w14:paraId="20A9BB54">
            <w:pPr>
              <w:spacing w:line="360" w:lineRule="auto"/>
              <w:ind w:firstLine="420" w:firstLineChars="200"/>
              <w:rPr>
                <w:rFonts w:ascii="宋体" w:hAnsi="宋体" w:cs="宋体"/>
                <w:color w:val="auto"/>
                <w:highlight w:val="none"/>
              </w:rPr>
            </w:pPr>
          </w:p>
        </w:tc>
        <w:tc>
          <w:tcPr>
            <w:tcW w:w="902" w:type="dxa"/>
          </w:tcPr>
          <w:p w14:paraId="2A84474E">
            <w:pPr>
              <w:spacing w:line="360" w:lineRule="auto"/>
              <w:ind w:firstLine="420" w:firstLineChars="200"/>
              <w:rPr>
                <w:rFonts w:ascii="宋体" w:hAnsi="宋体" w:cs="宋体"/>
                <w:color w:val="auto"/>
                <w:highlight w:val="none"/>
              </w:rPr>
            </w:pPr>
          </w:p>
        </w:tc>
        <w:tc>
          <w:tcPr>
            <w:tcW w:w="902" w:type="dxa"/>
          </w:tcPr>
          <w:p w14:paraId="2FB0413F">
            <w:pPr>
              <w:spacing w:line="360" w:lineRule="auto"/>
              <w:ind w:firstLine="420" w:firstLineChars="200"/>
              <w:rPr>
                <w:rFonts w:ascii="宋体" w:hAnsi="宋体" w:cs="宋体"/>
                <w:color w:val="auto"/>
                <w:highlight w:val="none"/>
              </w:rPr>
            </w:pPr>
          </w:p>
        </w:tc>
        <w:tc>
          <w:tcPr>
            <w:tcW w:w="1071" w:type="dxa"/>
          </w:tcPr>
          <w:p w14:paraId="17C3D36C">
            <w:pPr>
              <w:spacing w:line="360" w:lineRule="auto"/>
              <w:ind w:firstLine="420" w:firstLineChars="200"/>
              <w:rPr>
                <w:rFonts w:ascii="宋体" w:hAnsi="宋体" w:cs="宋体"/>
                <w:color w:val="auto"/>
                <w:highlight w:val="none"/>
              </w:rPr>
            </w:pPr>
          </w:p>
        </w:tc>
        <w:tc>
          <w:tcPr>
            <w:tcW w:w="1250" w:type="dxa"/>
          </w:tcPr>
          <w:p w14:paraId="4E929F4A">
            <w:pPr>
              <w:spacing w:line="360" w:lineRule="auto"/>
              <w:ind w:firstLine="420" w:firstLineChars="200"/>
              <w:rPr>
                <w:rFonts w:ascii="宋体" w:hAnsi="宋体" w:cs="宋体"/>
                <w:color w:val="auto"/>
                <w:highlight w:val="none"/>
              </w:rPr>
            </w:pPr>
          </w:p>
        </w:tc>
        <w:tc>
          <w:tcPr>
            <w:tcW w:w="1106" w:type="dxa"/>
          </w:tcPr>
          <w:p w14:paraId="69F5B78A">
            <w:pPr>
              <w:spacing w:line="360" w:lineRule="auto"/>
              <w:ind w:firstLine="420" w:firstLineChars="200"/>
              <w:rPr>
                <w:rFonts w:ascii="宋体" w:hAnsi="宋体" w:cs="宋体"/>
                <w:color w:val="auto"/>
                <w:highlight w:val="none"/>
              </w:rPr>
            </w:pPr>
          </w:p>
        </w:tc>
      </w:tr>
      <w:tr w14:paraId="18DF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97C568E">
            <w:pPr>
              <w:spacing w:line="360" w:lineRule="auto"/>
              <w:ind w:firstLine="420" w:firstLineChars="200"/>
              <w:rPr>
                <w:rFonts w:ascii="宋体" w:hAnsi="宋体" w:cs="宋体"/>
                <w:color w:val="auto"/>
                <w:highlight w:val="none"/>
              </w:rPr>
            </w:pPr>
          </w:p>
        </w:tc>
        <w:tc>
          <w:tcPr>
            <w:tcW w:w="1623" w:type="dxa"/>
          </w:tcPr>
          <w:p w14:paraId="5211408E">
            <w:pPr>
              <w:spacing w:line="360" w:lineRule="auto"/>
              <w:ind w:firstLine="420" w:firstLineChars="200"/>
              <w:rPr>
                <w:rFonts w:ascii="宋体" w:hAnsi="宋体" w:cs="宋体"/>
                <w:color w:val="auto"/>
                <w:highlight w:val="none"/>
              </w:rPr>
            </w:pPr>
          </w:p>
        </w:tc>
        <w:tc>
          <w:tcPr>
            <w:tcW w:w="902" w:type="dxa"/>
          </w:tcPr>
          <w:p w14:paraId="7AE65F8C">
            <w:pPr>
              <w:spacing w:line="360" w:lineRule="auto"/>
              <w:ind w:firstLine="420" w:firstLineChars="200"/>
              <w:rPr>
                <w:rFonts w:ascii="宋体" w:hAnsi="宋体" w:cs="宋体"/>
                <w:color w:val="auto"/>
                <w:highlight w:val="none"/>
              </w:rPr>
            </w:pPr>
          </w:p>
        </w:tc>
        <w:tc>
          <w:tcPr>
            <w:tcW w:w="902" w:type="dxa"/>
          </w:tcPr>
          <w:p w14:paraId="72EC8780">
            <w:pPr>
              <w:spacing w:line="360" w:lineRule="auto"/>
              <w:ind w:firstLine="420" w:firstLineChars="200"/>
              <w:rPr>
                <w:rFonts w:ascii="宋体" w:hAnsi="宋体" w:cs="宋体"/>
                <w:color w:val="auto"/>
                <w:highlight w:val="none"/>
              </w:rPr>
            </w:pPr>
          </w:p>
        </w:tc>
        <w:tc>
          <w:tcPr>
            <w:tcW w:w="1071" w:type="dxa"/>
          </w:tcPr>
          <w:p w14:paraId="77172D43">
            <w:pPr>
              <w:spacing w:line="360" w:lineRule="auto"/>
              <w:ind w:firstLine="420" w:firstLineChars="200"/>
              <w:rPr>
                <w:rFonts w:ascii="宋体" w:hAnsi="宋体" w:cs="宋体"/>
                <w:color w:val="auto"/>
                <w:highlight w:val="none"/>
              </w:rPr>
            </w:pPr>
          </w:p>
        </w:tc>
        <w:tc>
          <w:tcPr>
            <w:tcW w:w="1250" w:type="dxa"/>
          </w:tcPr>
          <w:p w14:paraId="4F30559B">
            <w:pPr>
              <w:spacing w:line="360" w:lineRule="auto"/>
              <w:ind w:firstLine="420" w:firstLineChars="200"/>
              <w:rPr>
                <w:rFonts w:ascii="宋体" w:hAnsi="宋体" w:cs="宋体"/>
                <w:color w:val="auto"/>
                <w:highlight w:val="none"/>
              </w:rPr>
            </w:pPr>
          </w:p>
        </w:tc>
        <w:tc>
          <w:tcPr>
            <w:tcW w:w="1106" w:type="dxa"/>
          </w:tcPr>
          <w:p w14:paraId="0C50F54D">
            <w:pPr>
              <w:spacing w:line="360" w:lineRule="auto"/>
              <w:ind w:firstLine="420" w:firstLineChars="200"/>
              <w:rPr>
                <w:rFonts w:ascii="宋体" w:hAnsi="宋体" w:cs="宋体"/>
                <w:color w:val="auto"/>
                <w:highlight w:val="none"/>
              </w:rPr>
            </w:pPr>
          </w:p>
        </w:tc>
      </w:tr>
      <w:tr w14:paraId="660E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4848E97E">
            <w:pPr>
              <w:spacing w:line="360" w:lineRule="auto"/>
              <w:ind w:firstLine="420" w:firstLineChars="200"/>
              <w:rPr>
                <w:rFonts w:ascii="宋体" w:hAnsi="宋体" w:cs="宋体"/>
                <w:color w:val="auto"/>
                <w:highlight w:val="none"/>
              </w:rPr>
            </w:pPr>
          </w:p>
        </w:tc>
        <w:tc>
          <w:tcPr>
            <w:tcW w:w="1623" w:type="dxa"/>
          </w:tcPr>
          <w:p w14:paraId="303255C0">
            <w:pPr>
              <w:spacing w:line="360" w:lineRule="auto"/>
              <w:ind w:firstLine="420" w:firstLineChars="200"/>
              <w:rPr>
                <w:rFonts w:ascii="宋体" w:hAnsi="宋体" w:cs="宋体"/>
                <w:color w:val="auto"/>
                <w:highlight w:val="none"/>
              </w:rPr>
            </w:pPr>
          </w:p>
        </w:tc>
        <w:tc>
          <w:tcPr>
            <w:tcW w:w="902" w:type="dxa"/>
          </w:tcPr>
          <w:p w14:paraId="16106B76">
            <w:pPr>
              <w:spacing w:line="360" w:lineRule="auto"/>
              <w:ind w:firstLine="420" w:firstLineChars="200"/>
              <w:rPr>
                <w:rFonts w:ascii="宋体" w:hAnsi="宋体" w:cs="宋体"/>
                <w:color w:val="auto"/>
                <w:highlight w:val="none"/>
              </w:rPr>
            </w:pPr>
          </w:p>
        </w:tc>
        <w:tc>
          <w:tcPr>
            <w:tcW w:w="902" w:type="dxa"/>
          </w:tcPr>
          <w:p w14:paraId="0EF75700">
            <w:pPr>
              <w:spacing w:line="360" w:lineRule="auto"/>
              <w:ind w:firstLine="420" w:firstLineChars="200"/>
              <w:rPr>
                <w:rFonts w:ascii="宋体" w:hAnsi="宋体" w:cs="宋体"/>
                <w:color w:val="auto"/>
                <w:highlight w:val="none"/>
              </w:rPr>
            </w:pPr>
          </w:p>
        </w:tc>
        <w:tc>
          <w:tcPr>
            <w:tcW w:w="1071" w:type="dxa"/>
          </w:tcPr>
          <w:p w14:paraId="41D15944">
            <w:pPr>
              <w:spacing w:line="360" w:lineRule="auto"/>
              <w:ind w:firstLine="420" w:firstLineChars="200"/>
              <w:rPr>
                <w:rFonts w:ascii="宋体" w:hAnsi="宋体" w:cs="宋体"/>
                <w:color w:val="auto"/>
                <w:highlight w:val="none"/>
              </w:rPr>
            </w:pPr>
          </w:p>
        </w:tc>
        <w:tc>
          <w:tcPr>
            <w:tcW w:w="1250" w:type="dxa"/>
          </w:tcPr>
          <w:p w14:paraId="175A5D5F">
            <w:pPr>
              <w:spacing w:line="360" w:lineRule="auto"/>
              <w:ind w:firstLine="420" w:firstLineChars="200"/>
              <w:rPr>
                <w:rFonts w:ascii="宋体" w:hAnsi="宋体" w:cs="宋体"/>
                <w:color w:val="auto"/>
                <w:highlight w:val="none"/>
              </w:rPr>
            </w:pPr>
          </w:p>
        </w:tc>
        <w:tc>
          <w:tcPr>
            <w:tcW w:w="1106" w:type="dxa"/>
          </w:tcPr>
          <w:p w14:paraId="00BCCCEC">
            <w:pPr>
              <w:spacing w:line="360" w:lineRule="auto"/>
              <w:ind w:firstLine="420" w:firstLineChars="200"/>
              <w:rPr>
                <w:rFonts w:ascii="宋体" w:hAnsi="宋体" w:cs="宋体"/>
                <w:color w:val="auto"/>
                <w:highlight w:val="none"/>
              </w:rPr>
            </w:pPr>
          </w:p>
        </w:tc>
      </w:tr>
      <w:tr w14:paraId="63CC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49819B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合同总价款（大小写）：</w:t>
            </w:r>
          </w:p>
          <w:p w14:paraId="0C34E1F2">
            <w:pPr>
              <w:spacing w:line="360" w:lineRule="auto"/>
              <w:ind w:firstLine="420" w:firstLineChars="200"/>
              <w:rPr>
                <w:rFonts w:ascii="宋体" w:hAnsi="宋体" w:cs="宋体"/>
                <w:color w:val="auto"/>
                <w:highlight w:val="none"/>
              </w:rPr>
            </w:pPr>
            <w:r>
              <w:rPr>
                <w:rFonts w:hint="eastAsia" w:ascii="宋体" w:hAnsi="宋体" w:cs="宋体"/>
                <w:color w:val="auto"/>
                <w:szCs w:val="28"/>
                <w:highlight w:val="none"/>
              </w:rPr>
              <w:t>备注：上述服务包含相关设备购置、人员工资及售后服务、税金、劳保基金、人员培训等费用。</w:t>
            </w:r>
          </w:p>
        </w:tc>
      </w:tr>
    </w:tbl>
    <w:p w14:paraId="3F39D19D">
      <w:pPr>
        <w:spacing w:line="360" w:lineRule="auto"/>
        <w:ind w:firstLine="422" w:firstLineChars="200"/>
        <w:rPr>
          <w:rFonts w:ascii="宋体" w:hAnsi="宋体" w:cs="宋体"/>
          <w:color w:val="auto"/>
          <w:highlight w:val="none"/>
        </w:rPr>
      </w:pPr>
      <w:r>
        <w:rPr>
          <w:rFonts w:hint="eastAsia" w:ascii="宋体" w:hAnsi="宋体" w:cs="宋体"/>
          <w:b/>
          <w:bCs/>
          <w:color w:val="auto"/>
          <w:szCs w:val="27"/>
          <w:highlight w:val="none"/>
        </w:rPr>
        <w:t xml:space="preserve">第二条  </w:t>
      </w:r>
      <w:r>
        <w:rPr>
          <w:rFonts w:hint="eastAsia" w:ascii="宋体" w:hAnsi="宋体" w:cs="宋体"/>
          <w:color w:val="auto"/>
          <w:szCs w:val="27"/>
          <w:highlight w:val="none"/>
        </w:rPr>
        <w:t>服务标准（包括达到的水平要求），按下列第（ ）项执行：</w:t>
      </w:r>
    </w:p>
    <w:p w14:paraId="282B4110">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①按国家标准执行；②按部颁标准执行；③若无以上标准，则应不低于同行业服务标准；④有特殊要求的，按甲乙双方在合同中商定的要求执行；</w:t>
      </w:r>
    </w:p>
    <w:p w14:paraId="1E6BD22A">
      <w:pPr>
        <w:spacing w:line="360" w:lineRule="auto"/>
        <w:ind w:firstLine="420" w:firstLineChars="200"/>
        <w:rPr>
          <w:rFonts w:ascii="宋体" w:hAnsi="宋体" w:cs="宋体"/>
          <w:color w:val="auto"/>
          <w:szCs w:val="27"/>
          <w:highlight w:val="none"/>
          <w:u w:val="single"/>
        </w:rPr>
      </w:pPr>
      <w:r>
        <w:rPr>
          <w:rFonts w:hint="eastAsia" w:ascii="宋体" w:hAnsi="宋体" w:cs="宋体"/>
          <w:color w:val="auto"/>
          <w:highlight w:val="none"/>
        </w:rPr>
        <w:t>乙方提供的服务标准和水平应与招标采购文件规定的标准和水平相一致。</w:t>
      </w:r>
    </w:p>
    <w:p w14:paraId="296A5672">
      <w:pPr>
        <w:spacing w:line="360" w:lineRule="auto"/>
        <w:ind w:firstLine="422" w:firstLineChars="200"/>
        <w:rPr>
          <w:rFonts w:ascii="宋体" w:hAnsi="宋体" w:cs="宋体"/>
          <w:color w:val="auto"/>
          <w:szCs w:val="27"/>
          <w:highlight w:val="none"/>
        </w:rPr>
      </w:pPr>
      <w:r>
        <w:rPr>
          <w:rFonts w:hint="eastAsia" w:ascii="宋体" w:hAnsi="宋体" w:cs="宋体"/>
          <w:b/>
          <w:bCs/>
          <w:color w:val="auto"/>
          <w:szCs w:val="27"/>
          <w:highlight w:val="none"/>
        </w:rPr>
        <w:t xml:space="preserve">第三条  </w:t>
      </w:r>
      <w:r>
        <w:rPr>
          <w:rFonts w:hint="eastAsia" w:ascii="宋体" w:hAnsi="宋体" w:cs="宋体"/>
          <w:color w:val="auto"/>
          <w:szCs w:val="27"/>
          <w:highlight w:val="none"/>
        </w:rPr>
        <w:t>服务的方式、方法、地点和期限</w:t>
      </w:r>
    </w:p>
    <w:p w14:paraId="6F832E4D">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1、服务方式：</w:t>
      </w:r>
    </w:p>
    <w:p w14:paraId="1694267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2、服务方法：</w:t>
      </w:r>
    </w:p>
    <w:p w14:paraId="4C94DC61">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2、服务地点：</w:t>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r>
        <w:rPr>
          <w:rFonts w:hint="eastAsia" w:ascii="宋体" w:hAnsi="宋体" w:cs="宋体"/>
          <w:color w:val="auto"/>
          <w:szCs w:val="27"/>
          <w:highlight w:val="none"/>
        </w:rPr>
        <w:softHyphen/>
      </w:r>
    </w:p>
    <w:p w14:paraId="05D748B6">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3、服务期限：</w:t>
      </w:r>
    </w:p>
    <w:p w14:paraId="2F0D2E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第四条  费用及支付方式</w:t>
      </w:r>
    </w:p>
    <w:p w14:paraId="27CE3EDF">
      <w:pPr>
        <w:pStyle w:val="9"/>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(一)本项目费用有以下组成：</w:t>
      </w:r>
    </w:p>
    <w:p w14:paraId="2E4EC5C2">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 xml:space="preserve"> 1、XX 万元；</w:t>
      </w:r>
    </w:p>
    <w:p w14:paraId="1F0567AA">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2、XX 万元；</w:t>
      </w:r>
    </w:p>
    <w:p w14:paraId="2D66A379">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w:t>
      </w:r>
    </w:p>
    <w:p w14:paraId="559A3412">
      <w:pPr>
        <w:pStyle w:val="9"/>
        <w:kinsoku w:val="0"/>
        <w:overflowPunct w:val="0"/>
        <w:ind w:firstLine="422" w:firstLineChars="200"/>
        <w:rPr>
          <w:rFonts w:ascii="宋体" w:hAnsi="宋体" w:cs="宋体"/>
          <w:b/>
          <w:color w:val="auto"/>
          <w:highlight w:val="none"/>
        </w:rPr>
      </w:pPr>
      <w:r>
        <w:rPr>
          <w:rFonts w:hint="eastAsia" w:ascii="宋体" w:hAnsi="宋体" w:cs="宋体"/>
          <w:b/>
          <w:color w:val="auto"/>
          <w:highlight w:val="none"/>
        </w:rPr>
        <w:t>(二)费用支付方式：</w:t>
      </w:r>
    </w:p>
    <w:p w14:paraId="17CC6B96">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1、XXXX；</w:t>
      </w:r>
    </w:p>
    <w:p w14:paraId="18481331">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2、XXXX ；</w:t>
      </w:r>
    </w:p>
    <w:p w14:paraId="2014ED09">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3、在支付前甲方对乙方的服务进行考核或验收，合格的支付相应款 项。乙方须向甲方出具合法有效完整的完税发票及凭证资料进行支付结算。</w:t>
      </w:r>
    </w:p>
    <w:p w14:paraId="5DD62884">
      <w:pPr>
        <w:pStyle w:val="9"/>
        <w:kinsoku w:val="0"/>
        <w:overflowPunct w:val="0"/>
        <w:ind w:firstLine="422" w:firstLineChars="200"/>
        <w:rPr>
          <w:rFonts w:ascii="宋体" w:hAnsi="宋体" w:cs="宋体"/>
          <w:color w:val="auto"/>
          <w:highlight w:val="none"/>
        </w:rPr>
      </w:pPr>
      <w:r>
        <w:rPr>
          <w:rFonts w:hint="eastAsia" w:ascii="宋体" w:hAnsi="宋体" w:cs="宋体"/>
          <w:b/>
          <w:color w:val="auto"/>
          <w:highlight w:val="none"/>
        </w:rPr>
        <w:t xml:space="preserve">第五条  付款条件   </w:t>
      </w:r>
      <w:r>
        <w:rPr>
          <w:rFonts w:hint="eastAsia" w:ascii="宋体" w:hAnsi="宋体" w:cs="宋体"/>
          <w:color w:val="auto"/>
          <w:highlight w:val="none"/>
        </w:rPr>
        <w:t xml:space="preserve">               </w:t>
      </w:r>
    </w:p>
    <w:p w14:paraId="7BDD3D4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本合同以人民币付款。</w:t>
      </w:r>
    </w:p>
    <w:p w14:paraId="718480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该项目是否实行预付款：</w:t>
      </w:r>
    </w:p>
    <w:p w14:paraId="034DC7F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实行预付款的条件和比例：</w:t>
      </w:r>
    </w:p>
    <w:p w14:paraId="59FDD9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合同款项结算方式和支付比例：   </w:t>
      </w:r>
    </w:p>
    <w:p w14:paraId="7A7E8A0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(具体付款方式</w:t>
      </w:r>
      <w:r>
        <w:rPr>
          <w:rFonts w:hint="eastAsia" w:ascii="宋体" w:hAnsi="宋体" w:cs="宋体"/>
          <w:color w:val="auto"/>
          <w:highlight w:val="none"/>
          <w:u w:val="single"/>
        </w:rPr>
        <w:t>按投标人须知前附表以及采、购双方的具体约定</w:t>
      </w:r>
    </w:p>
    <w:p w14:paraId="6381CEE9">
      <w:pPr>
        <w:pStyle w:val="2"/>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第六条  验收方法</w:t>
      </w:r>
    </w:p>
    <w:p w14:paraId="05EBAC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1.甲、乙双方应严格履行合同有关条款，如果验收过程中发现乙方在没有征得采购人同意的情况下擅自变更合同服务内容，将拒绝通过验收，由此引起的一切后果及损失由乙方承担。</w:t>
      </w:r>
    </w:p>
    <w:p w14:paraId="3D4439A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7D65A9F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3、甲方视情况可以邀请参加本项目的其他投标人或者第三方机构参与验收，参与验收的投标人或者第三方机构的意见作为验收书的参考资料一并存档。</w:t>
      </w:r>
    </w:p>
    <w:p w14:paraId="403750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4、涉及安全、消防、环保等其他需要由质检或行业主管部门进行验收的项目，必须邀请相关部门或相关专家参与验收。涉及社会化服务的项目，甲方将要求社会公众人员参与验收。</w:t>
      </w:r>
    </w:p>
    <w:p w14:paraId="251F3A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检测、验收费用承担方式：</w:t>
      </w:r>
    </w:p>
    <w:p w14:paraId="3A13C359">
      <w:pPr>
        <w:pStyle w:val="9"/>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第七条 知识产权</w:t>
      </w:r>
    </w:p>
    <w:p w14:paraId="233A036D">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乙方应保证所提供的服务或其任何一部分均不会侵犯任何第三方的专利权、商标权或著作权。</w:t>
      </w:r>
    </w:p>
    <w:p w14:paraId="03A23B20">
      <w:pPr>
        <w:pStyle w:val="2"/>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第八条 无产权瑕疵条款</w:t>
      </w:r>
    </w:p>
    <w:p w14:paraId="01C2FBE4">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30461553">
      <w:pPr>
        <w:spacing w:line="400" w:lineRule="exact"/>
        <w:ind w:firstLine="422" w:firstLineChars="200"/>
        <w:rPr>
          <w:rFonts w:ascii="宋体" w:hAnsi="宋体" w:cs="宋体"/>
          <w:b/>
          <w:bCs/>
          <w:color w:val="auto"/>
          <w:szCs w:val="27"/>
          <w:highlight w:val="none"/>
        </w:rPr>
      </w:pPr>
      <w:r>
        <w:rPr>
          <w:rFonts w:hint="eastAsia" w:ascii="宋体" w:hAnsi="宋体" w:cs="宋体"/>
          <w:b/>
          <w:bCs/>
          <w:color w:val="auto"/>
          <w:szCs w:val="27"/>
          <w:highlight w:val="none"/>
        </w:rPr>
        <w:t xml:space="preserve">第九条  </w:t>
      </w:r>
      <w:r>
        <w:rPr>
          <w:rFonts w:hint="eastAsia" w:ascii="宋体" w:hAnsi="宋体" w:cs="宋体"/>
          <w:color w:val="auto"/>
          <w:szCs w:val="27"/>
          <w:highlight w:val="none"/>
        </w:rPr>
        <w:t>履约（或质量）保证金</w:t>
      </w:r>
    </w:p>
    <w:p w14:paraId="0BACCD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1.本项目不收取履约保证金。确需收取履约保证金的，甲方不得要求乙方以现款的形式提供。乙方提供的履约保证金按规定格式以银行保函形式提供，与此有关的费用由服务方承担。</w:t>
      </w:r>
    </w:p>
    <w:p w14:paraId="7F47EE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2.若确需质量保证金的，质量保证金不得超过合同总价款的5%</w:t>
      </w:r>
    </w:p>
    <w:p w14:paraId="05926C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3.如乙方未能履行其合同规定的任何义务，甲方有权从履约保证金中取得补偿。</w:t>
      </w:r>
    </w:p>
    <w:p w14:paraId="5D4A8E71">
      <w:pPr>
        <w:pStyle w:val="2"/>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第十条 甲方的权利和义务</w:t>
      </w:r>
    </w:p>
    <w:p w14:paraId="104773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1、甲方有权对合同规定范围内乙方的行为进行监督和检查，拥有监管权。有权定期核对乙方提供服务所配备的人员数量。对甲方认为不合理的部分有权下达整改通知书，并要求乙方限期整改。</w:t>
      </w:r>
    </w:p>
    <w:p w14:paraId="201B1F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2、甲方有权依据双方签订的考评办法对乙方提供的服务进行定期考评。当考评结果未达到标准时，有权依据考评办法约定的数额扣除履约保证金。</w:t>
      </w:r>
    </w:p>
    <w:p w14:paraId="4B927A4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3、负责检查监督乙方管理工作的实施及制度的执行情况。</w:t>
      </w:r>
    </w:p>
    <w:p w14:paraId="4D691D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4、根据本合同规定，按时向乙方支付应付服务费用。</w:t>
      </w:r>
    </w:p>
    <w:p w14:paraId="548A7F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5、国家法律、法规所规定由甲方承担的其他责任               </w:t>
      </w:r>
    </w:p>
    <w:p w14:paraId="605711BA">
      <w:pPr>
        <w:pStyle w:val="9"/>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第十一条 乙方的权利和义务</w:t>
      </w:r>
    </w:p>
    <w:p w14:paraId="074FF6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1、对本合同规定的委托服务范围内的项目享有管理权及服务义务。</w:t>
      </w:r>
    </w:p>
    <w:p w14:paraId="21AB60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2、根据本合同的规定向甲方收取相关服务费用，并有权在本项目管理范围内管理及合理使用。</w:t>
      </w:r>
    </w:p>
    <w:p w14:paraId="469915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3、及时向甲方通告本项目服务范围内有关服务的重大事项，及时配合处理投诉。</w:t>
      </w:r>
    </w:p>
    <w:p w14:paraId="79C87E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4、接受项目行业管理部门及政府有关部门的指导，接受甲方的监督。</w:t>
      </w:r>
    </w:p>
    <w:p w14:paraId="1BB6DB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5、国家法律、法规所规定由乙方承担的其它责任。</w:t>
      </w:r>
    </w:p>
    <w:p w14:paraId="50FD0B48">
      <w:pPr>
        <w:pStyle w:val="9"/>
        <w:kinsoku w:val="0"/>
        <w:overflowPunct w:val="0"/>
        <w:spacing w:line="364" w:lineRule="auto"/>
        <w:ind w:firstLine="422" w:firstLineChars="200"/>
        <w:rPr>
          <w:rFonts w:ascii="宋体" w:hAnsi="宋体" w:cs="宋体"/>
          <w:b/>
          <w:color w:val="auto"/>
          <w:highlight w:val="none"/>
        </w:rPr>
      </w:pPr>
      <w:r>
        <w:rPr>
          <w:rFonts w:hint="eastAsia" w:ascii="宋体" w:hAnsi="宋体" w:cs="宋体"/>
          <w:b/>
          <w:color w:val="auto"/>
          <w:highlight w:val="none"/>
        </w:rPr>
        <w:t>第十二条 违约责任</w:t>
      </w:r>
    </w:p>
    <w:p w14:paraId="16A6B967">
      <w:pPr>
        <w:pStyle w:val="9"/>
        <w:kinsoku w:val="0"/>
        <w:overflowPunct w:val="0"/>
        <w:ind w:firstLine="420" w:firstLineChars="200"/>
        <w:rPr>
          <w:rFonts w:ascii="宋体" w:hAnsi="宋体" w:cs="宋体"/>
          <w:color w:val="auto"/>
          <w:highlight w:val="none"/>
        </w:rPr>
      </w:pPr>
      <w:r>
        <w:rPr>
          <w:rFonts w:hint="eastAsia" w:ascii="宋体" w:hAnsi="宋体" w:cs="宋体"/>
          <w:color w:val="auto"/>
          <w:highlight w:val="none"/>
        </w:rPr>
        <w:t>1、甲乙双方必须遵守本合同并执行合同中的各项规定，保证本合同的正常履行。</w:t>
      </w:r>
    </w:p>
    <w:p w14:paraId="15235BA5">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2、甲方逾期付款的，除应及时付足款项外，应向乙方偿付欠款总额万分之 /天的违约金；逾期付款超过 天的，乙方有权终止合同。</w:t>
      </w:r>
    </w:p>
    <w:p w14:paraId="087F7767">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D144F36">
      <w:pPr>
        <w:pStyle w:val="9"/>
        <w:kinsoku w:val="0"/>
        <w:overflowPunct w:val="0"/>
        <w:spacing w:line="364" w:lineRule="auto"/>
        <w:ind w:firstLine="420" w:firstLineChars="200"/>
        <w:rPr>
          <w:rFonts w:ascii="宋体" w:hAnsi="宋体" w:cs="宋体"/>
          <w:color w:val="auto"/>
          <w:highlight w:val="none"/>
        </w:rPr>
      </w:pPr>
      <w:r>
        <w:rPr>
          <w:rFonts w:hint="eastAsia" w:ascii="宋体" w:hAnsi="宋体" w:cs="宋体"/>
          <w:color w:val="auto"/>
          <w:highlight w:val="none"/>
        </w:rPr>
        <w:t>4、变更、中止或者终止合同，有过错的一方应当承担赔偿责任，双方都有过错的，各自承担相应的责任。</w:t>
      </w:r>
    </w:p>
    <w:p w14:paraId="2F2F8536">
      <w:pPr>
        <w:spacing w:line="360" w:lineRule="auto"/>
        <w:ind w:firstLine="422" w:firstLineChars="200"/>
        <w:rPr>
          <w:rFonts w:ascii="宋体" w:hAnsi="宋体" w:cs="宋体"/>
          <w:b/>
          <w:color w:val="auto"/>
          <w:highlight w:val="none"/>
        </w:rPr>
      </w:pPr>
      <w:r>
        <w:rPr>
          <w:rFonts w:hint="eastAsia" w:ascii="宋体" w:hAnsi="宋体" w:cs="宋体"/>
          <w:b/>
          <w:bCs/>
          <w:color w:val="auto"/>
          <w:szCs w:val="27"/>
          <w:highlight w:val="none"/>
        </w:rPr>
        <w:t xml:space="preserve">第十三条 </w:t>
      </w:r>
      <w:r>
        <w:rPr>
          <w:rFonts w:hint="eastAsia" w:ascii="宋体" w:hAnsi="宋体" w:cs="宋体"/>
          <w:bCs/>
          <w:color w:val="auto"/>
          <w:highlight w:val="none"/>
        </w:rPr>
        <w:t>转让与分包</w:t>
      </w:r>
    </w:p>
    <w:p w14:paraId="4D1644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w:t>
      </w:r>
      <w:r>
        <w:rPr>
          <w:rFonts w:hint="eastAsia" w:ascii="宋体" w:hAnsi="宋体" w:cs="宋体"/>
          <w:color w:val="auto"/>
          <w:highlight w:val="none"/>
        </w:rPr>
        <w:t>除甲方事先书面同意外，乙方不得部分转让或全部转让其应履行的合同义务。</w:t>
      </w:r>
    </w:p>
    <w:p w14:paraId="6A3F91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7"/>
          <w:highlight w:val="none"/>
        </w:rPr>
        <w:t>.</w:t>
      </w:r>
      <w:r>
        <w:rPr>
          <w:rFonts w:hint="eastAsia" w:ascii="宋体" w:hAnsi="宋体" w:cs="宋体"/>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23B73555">
      <w:pPr>
        <w:spacing w:line="360" w:lineRule="auto"/>
        <w:ind w:firstLine="422" w:firstLineChars="200"/>
        <w:rPr>
          <w:rFonts w:ascii="宋体" w:hAnsi="宋体" w:cs="宋体"/>
          <w:b/>
          <w:color w:val="auto"/>
          <w:highlight w:val="none"/>
        </w:rPr>
      </w:pPr>
      <w:r>
        <w:rPr>
          <w:rFonts w:hint="eastAsia" w:ascii="宋体" w:hAnsi="宋体" w:cs="宋体"/>
          <w:b/>
          <w:bCs/>
          <w:color w:val="auto"/>
          <w:szCs w:val="27"/>
          <w:highlight w:val="none"/>
        </w:rPr>
        <w:t xml:space="preserve">第十四条 </w:t>
      </w:r>
      <w:r>
        <w:rPr>
          <w:rFonts w:hint="eastAsia" w:ascii="宋体" w:hAnsi="宋体" w:cs="宋体"/>
          <w:bCs/>
          <w:color w:val="auto"/>
          <w:highlight w:val="none"/>
        </w:rPr>
        <w:t>合同文件及资料的使用</w:t>
      </w:r>
    </w:p>
    <w:p w14:paraId="4685D4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w:t>
      </w:r>
      <w:r>
        <w:rPr>
          <w:rFonts w:hint="eastAsia" w:ascii="宋体" w:hAnsi="宋体" w:cs="宋体"/>
          <w:color w:val="auto"/>
          <w:highlight w:val="none"/>
        </w:rPr>
        <w:t>乙方在未经甲方同意的情况下，不得将合同、合同中的规定、有关计划、图纸、样本或甲方为上述内容向乙方提供的资料透露给任何人。</w:t>
      </w:r>
    </w:p>
    <w:p w14:paraId="173025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7"/>
          <w:highlight w:val="none"/>
        </w:rPr>
        <w:t>.</w:t>
      </w:r>
      <w:r>
        <w:rPr>
          <w:rFonts w:hint="eastAsia" w:ascii="宋体" w:hAnsi="宋体" w:cs="宋体"/>
          <w:color w:val="auto"/>
          <w:highlight w:val="none"/>
        </w:rPr>
        <w:t>除非执行合同需要，在事先未得到甲方同意的情况下，乙方不得使用前款所列的任何文件和资料。</w:t>
      </w:r>
    </w:p>
    <w:p w14:paraId="2D152744">
      <w:pPr>
        <w:pStyle w:val="2"/>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第十五条 不可抗力事件处理</w:t>
      </w:r>
    </w:p>
    <w:p w14:paraId="1F9019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w:t>
      </w:r>
      <w:r>
        <w:rPr>
          <w:rFonts w:hint="eastAsia" w:ascii="宋体" w:hAnsi="宋体" w:cs="宋体"/>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61E984F">
      <w:pPr>
        <w:spacing w:line="360" w:lineRule="auto"/>
        <w:ind w:firstLine="420" w:firstLineChars="200"/>
        <w:rPr>
          <w:rFonts w:ascii="宋体" w:hAnsi="宋体" w:cs="宋体"/>
          <w:color w:val="auto"/>
          <w:szCs w:val="27"/>
          <w:highlight w:val="none"/>
        </w:rPr>
      </w:pPr>
      <w:r>
        <w:rPr>
          <w:rFonts w:hint="eastAsia" w:ascii="宋体" w:hAnsi="宋体" w:cs="宋体"/>
          <w:color w:val="auto"/>
          <w:highlight w:val="none"/>
        </w:rPr>
        <w:t>2</w:t>
      </w:r>
      <w:r>
        <w:rPr>
          <w:rFonts w:hint="eastAsia" w:ascii="宋体" w:hAnsi="宋体" w:cs="宋体"/>
          <w:color w:val="auto"/>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0EC60790">
      <w:pPr>
        <w:pStyle w:val="2"/>
        <w:kinsoku w:val="0"/>
        <w:overflowPunct w:val="0"/>
        <w:ind w:firstLine="422" w:firstLineChars="200"/>
        <w:rPr>
          <w:rFonts w:ascii="宋体" w:hAnsi="宋体" w:cs="宋体"/>
          <w:color w:val="auto"/>
          <w:kern w:val="2"/>
          <w:sz w:val="21"/>
          <w:szCs w:val="27"/>
          <w:highlight w:val="none"/>
        </w:rPr>
      </w:pPr>
      <w:r>
        <w:rPr>
          <w:rFonts w:hint="eastAsia" w:ascii="宋体" w:hAnsi="宋体" w:cs="宋体"/>
          <w:color w:val="auto"/>
          <w:kern w:val="2"/>
          <w:sz w:val="21"/>
          <w:szCs w:val="27"/>
          <w:highlight w:val="none"/>
        </w:rPr>
        <w:t>第十六条 合同纠纷调处</w:t>
      </w:r>
    </w:p>
    <w:p w14:paraId="5E1CD25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7"/>
          <w:highlight w:val="none"/>
        </w:rPr>
        <w:t>.按本合同规定应该偿付的违约金、赔偿金、保管保养费和各种经济损失，应当在明确责任后10天内，按银行规定的结算办法付清，否则按逾期付款处理。</w:t>
      </w:r>
    </w:p>
    <w:p w14:paraId="12BE21D5">
      <w:pPr>
        <w:spacing w:line="360" w:lineRule="auto"/>
        <w:ind w:firstLine="420" w:firstLineChars="200"/>
        <w:rPr>
          <w:rFonts w:ascii="宋体" w:hAnsi="宋体" w:cs="宋体"/>
          <w:color w:val="auto"/>
          <w:szCs w:val="27"/>
          <w:highlight w:val="none"/>
        </w:rPr>
      </w:pPr>
      <w:r>
        <w:rPr>
          <w:rFonts w:hint="eastAsia" w:ascii="宋体" w:hAnsi="宋体" w:cs="宋体"/>
          <w:color w:val="auto"/>
          <w:highlight w:val="none"/>
        </w:rPr>
        <w:t>2</w:t>
      </w:r>
      <w:r>
        <w:rPr>
          <w:rFonts w:hint="eastAsia" w:ascii="宋体" w:hAnsi="宋体" w:cs="宋体"/>
          <w:color w:val="auto"/>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auto"/>
          <w:szCs w:val="27"/>
          <w:highlight w:val="none"/>
          <w:u w:val="single"/>
        </w:rPr>
        <w:t>周口仲裁委员会</w:t>
      </w:r>
      <w:r>
        <w:rPr>
          <w:rFonts w:hint="eastAsia" w:ascii="宋体" w:hAnsi="宋体" w:cs="宋体"/>
          <w:color w:val="auto"/>
          <w:szCs w:val="27"/>
          <w:highlight w:val="none"/>
        </w:rPr>
        <w:t>申请仲裁。②向</w:t>
      </w:r>
      <w:r>
        <w:rPr>
          <w:rFonts w:hint="eastAsia" w:ascii="宋体" w:hAnsi="宋体" w:cs="宋体"/>
          <w:color w:val="auto"/>
          <w:highlight w:val="none"/>
        </w:rPr>
        <w:t>合同签订地有级别管辖权的</w:t>
      </w:r>
      <w:r>
        <w:rPr>
          <w:rFonts w:hint="eastAsia" w:ascii="宋体" w:hAnsi="宋体" w:cs="宋体"/>
          <w:color w:val="auto"/>
          <w:szCs w:val="27"/>
          <w:highlight w:val="none"/>
        </w:rPr>
        <w:t>人民法院起诉。</w:t>
      </w:r>
    </w:p>
    <w:p w14:paraId="2324B422">
      <w:pPr>
        <w:pStyle w:val="2"/>
        <w:kinsoku w:val="0"/>
        <w:overflowPunct w:val="0"/>
        <w:ind w:firstLine="420" w:firstLineChars="200"/>
        <w:rPr>
          <w:rFonts w:ascii="宋体" w:hAnsi="宋体" w:cs="宋体"/>
          <w:b w:val="0"/>
          <w:bCs w:val="0"/>
          <w:color w:val="auto"/>
          <w:kern w:val="2"/>
          <w:sz w:val="21"/>
          <w:szCs w:val="27"/>
          <w:highlight w:val="none"/>
        </w:rPr>
      </w:pPr>
      <w:r>
        <w:rPr>
          <w:rFonts w:hint="eastAsia" w:ascii="宋体" w:hAnsi="宋体" w:cs="宋体"/>
          <w:b w:val="0"/>
          <w:bCs w:val="0"/>
          <w:color w:val="auto"/>
          <w:kern w:val="2"/>
          <w:sz w:val="21"/>
          <w:szCs w:val="27"/>
          <w:highlight w:val="none"/>
        </w:rPr>
        <w:t>3、甲、乙双方均有权利向本项目具有监管职能的政府采购监督管理部门举报反映对方在合同履约中的违法违纪行为。</w:t>
      </w:r>
    </w:p>
    <w:p w14:paraId="521F4854">
      <w:pPr>
        <w:spacing w:line="360" w:lineRule="auto"/>
        <w:ind w:firstLine="422" w:firstLineChars="200"/>
        <w:rPr>
          <w:rFonts w:ascii="宋体" w:hAnsi="宋体" w:cs="宋体"/>
          <w:b/>
          <w:bCs/>
          <w:color w:val="auto"/>
          <w:szCs w:val="27"/>
          <w:highlight w:val="none"/>
        </w:rPr>
      </w:pPr>
      <w:r>
        <w:rPr>
          <w:rFonts w:hint="eastAsia" w:ascii="宋体" w:hAnsi="宋体" w:cs="宋体"/>
          <w:b/>
          <w:bCs/>
          <w:color w:val="auto"/>
          <w:szCs w:val="27"/>
          <w:highlight w:val="none"/>
        </w:rPr>
        <w:t>第十七条 其他</w:t>
      </w:r>
    </w:p>
    <w:p w14:paraId="15269F67">
      <w:pPr>
        <w:spacing w:line="360" w:lineRule="auto"/>
        <w:ind w:firstLine="422" w:firstLineChars="200"/>
        <w:rPr>
          <w:rFonts w:ascii="宋体" w:hAnsi="宋体" w:cs="宋体"/>
          <w:color w:val="auto"/>
          <w:szCs w:val="27"/>
          <w:highlight w:val="none"/>
        </w:rPr>
      </w:pPr>
      <w:r>
        <w:rPr>
          <w:rFonts w:hint="eastAsia" w:ascii="宋体" w:hAnsi="宋体" w:cs="宋体"/>
          <w:b/>
          <w:bCs/>
          <w:color w:val="auto"/>
          <w:szCs w:val="27"/>
          <w:highlight w:val="none"/>
        </w:rPr>
        <w:t xml:space="preserve"> </w:t>
      </w:r>
      <w:r>
        <w:rPr>
          <w:rFonts w:hint="eastAsia" w:ascii="宋体" w:hAnsi="宋体" w:cs="宋体"/>
          <w:color w:val="auto"/>
          <w:szCs w:val="27"/>
          <w:highlight w:val="none"/>
        </w:rPr>
        <w:t>下列关于周口市公共资源交易中心政府采购代理机构名称</w:t>
      </w:r>
      <w:r>
        <w:rPr>
          <w:rFonts w:hint="eastAsia" w:ascii="宋体" w:hAnsi="宋体" w:cs="宋体"/>
          <w:color w:val="auto"/>
          <w:szCs w:val="27"/>
          <w:highlight w:val="none"/>
          <w:u w:val="single"/>
        </w:rPr>
        <w:t>某项目（项目编号：某编号）</w:t>
      </w:r>
      <w:r>
        <w:rPr>
          <w:rFonts w:hint="eastAsia" w:ascii="宋体" w:hAnsi="宋体" w:cs="宋体"/>
          <w:color w:val="auto"/>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5BDE094">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 xml:space="preserve">    </w:t>
      </w:r>
      <w:r>
        <w:rPr>
          <w:rFonts w:hint="eastAsia" w:ascii="宋体" w:hAnsi="宋体" w:cs="宋体"/>
          <w:color w:val="auto"/>
          <w:highlight w:val="none"/>
        </w:rPr>
        <w:t>本合同一式</w:t>
      </w:r>
      <w:r>
        <w:rPr>
          <w:rFonts w:hint="eastAsia" w:ascii="宋体" w:hAnsi="宋体" w:cs="宋体"/>
          <w:color w:val="auto"/>
          <w:highlight w:val="none"/>
          <w:u w:val="single"/>
        </w:rPr>
        <w:t xml:space="preserve">   </w:t>
      </w:r>
      <w:r>
        <w:rPr>
          <w:rFonts w:hint="eastAsia" w:ascii="宋体" w:hAnsi="宋体" w:cs="宋体"/>
          <w:color w:val="auto"/>
          <w:highlight w:val="none"/>
        </w:rPr>
        <w:t>份，甲乙双方各执</w:t>
      </w:r>
      <w:r>
        <w:rPr>
          <w:rFonts w:hint="eastAsia" w:ascii="宋体" w:hAnsi="宋体" w:cs="宋体"/>
          <w:color w:val="auto"/>
          <w:highlight w:val="none"/>
          <w:u w:val="single"/>
        </w:rPr>
        <w:t xml:space="preserve">   </w:t>
      </w:r>
      <w:r>
        <w:rPr>
          <w:rFonts w:hint="eastAsia" w:ascii="宋体" w:hAnsi="宋体" w:cs="宋体"/>
          <w:color w:val="auto"/>
          <w:highlight w:val="none"/>
        </w:rPr>
        <w:t>份，自双方当事人签字盖章之日起生效。</w:t>
      </w:r>
    </w:p>
    <w:p w14:paraId="605D3D0B">
      <w:pPr>
        <w:spacing w:line="360" w:lineRule="auto"/>
        <w:ind w:firstLine="420" w:firstLineChars="200"/>
        <w:rPr>
          <w:rFonts w:ascii="宋体" w:hAnsi="宋体" w:cs="宋体"/>
          <w:color w:val="auto"/>
          <w:szCs w:val="27"/>
          <w:highlight w:val="none"/>
        </w:rPr>
      </w:pPr>
    </w:p>
    <w:p w14:paraId="73FBC06F">
      <w:pPr>
        <w:pStyle w:val="35"/>
        <w:ind w:firstLine="210"/>
        <w:rPr>
          <w:rFonts w:ascii="宋体" w:hAnsi="宋体" w:cs="宋体"/>
          <w:color w:val="auto"/>
          <w:highlight w:val="none"/>
        </w:rPr>
      </w:pPr>
    </w:p>
    <w:p w14:paraId="1C1262AE">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 xml:space="preserve">采购人（甲方）：    （公章）           供货人（乙方）：     （公章）  </w:t>
      </w:r>
    </w:p>
    <w:p w14:paraId="08606689">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地址：                               地址：</w:t>
      </w:r>
    </w:p>
    <w:p w14:paraId="754A4785">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法定代表人：                         法定代表人：</w:t>
      </w:r>
    </w:p>
    <w:p w14:paraId="3DA6AA89">
      <w:pPr>
        <w:spacing w:line="360" w:lineRule="auto"/>
        <w:ind w:firstLine="420" w:firstLineChars="200"/>
        <w:rPr>
          <w:rFonts w:ascii="宋体" w:hAnsi="宋体" w:cs="宋体"/>
          <w:color w:val="auto"/>
          <w:highlight w:val="none"/>
          <w:u w:val="single"/>
        </w:rPr>
      </w:pPr>
      <w:r>
        <w:rPr>
          <w:rFonts w:hint="eastAsia" w:ascii="宋体" w:hAnsi="宋体" w:cs="宋体"/>
          <w:color w:val="auto"/>
          <w:szCs w:val="27"/>
          <w:highlight w:val="none"/>
        </w:rPr>
        <w:t>委托代理人：                         委托代理人：</w:t>
      </w:r>
    </w:p>
    <w:p w14:paraId="3DE90E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电话：                               电话：</w:t>
      </w:r>
    </w:p>
    <w:p w14:paraId="30EE8D0A">
      <w:pPr>
        <w:spacing w:line="360" w:lineRule="auto"/>
        <w:ind w:firstLine="420" w:firstLineChars="200"/>
        <w:rPr>
          <w:rFonts w:ascii="宋体" w:hAnsi="宋体" w:cs="宋体"/>
          <w:color w:val="auto"/>
          <w:szCs w:val="27"/>
          <w:highlight w:val="none"/>
        </w:rPr>
      </w:pPr>
      <w:r>
        <w:rPr>
          <w:rFonts w:hint="eastAsia" w:ascii="宋体" w:hAnsi="宋体" w:cs="宋体"/>
          <w:color w:val="auto"/>
          <w:szCs w:val="27"/>
          <w:highlight w:val="none"/>
        </w:rPr>
        <w:t>开户银行：                           开户银行：</w:t>
      </w:r>
    </w:p>
    <w:p w14:paraId="4AA58489">
      <w:pPr>
        <w:spacing w:line="360" w:lineRule="auto"/>
        <w:ind w:firstLine="420" w:firstLineChars="200"/>
        <w:rPr>
          <w:rFonts w:ascii="宋体" w:hAnsi="宋体" w:cs="宋体"/>
          <w:color w:val="auto"/>
          <w:highlight w:val="none"/>
        </w:rPr>
      </w:pPr>
      <w:r>
        <w:rPr>
          <w:rFonts w:hint="eastAsia" w:ascii="宋体" w:hAnsi="宋体" w:cs="宋体"/>
          <w:color w:val="auto"/>
          <w:szCs w:val="27"/>
          <w:highlight w:val="none"/>
        </w:rPr>
        <w:t>账号：                               账号：</w:t>
      </w:r>
    </w:p>
    <w:p w14:paraId="4ADA55AF">
      <w:pPr>
        <w:spacing w:line="640" w:lineRule="exact"/>
        <w:ind w:firstLine="420" w:firstLineChars="200"/>
        <w:rPr>
          <w:rFonts w:ascii="宋体" w:hAnsi="宋体" w:cs="宋体"/>
          <w:color w:val="auto"/>
          <w:szCs w:val="27"/>
          <w:highlight w:val="none"/>
          <w:u w:val="single"/>
        </w:rPr>
      </w:pPr>
    </w:p>
    <w:p w14:paraId="3515F337">
      <w:pPr>
        <w:pStyle w:val="35"/>
        <w:ind w:firstLine="210"/>
        <w:jc w:val="center"/>
        <w:rPr>
          <w:b/>
          <w:color w:val="auto"/>
          <w:sz w:val="32"/>
          <w:szCs w:val="32"/>
          <w:highlight w:val="none"/>
        </w:rPr>
      </w:pPr>
      <w:r>
        <w:rPr>
          <w:rFonts w:hint="eastAsia" w:ascii="宋体" w:hAnsi="宋体" w:cs="宋体"/>
          <w:color w:val="auto"/>
          <w:szCs w:val="27"/>
          <w:highlight w:val="none"/>
          <w:u w:val="single"/>
        </w:rPr>
        <w:t>        </w:t>
      </w:r>
      <w:r>
        <w:rPr>
          <w:rFonts w:hint="eastAsia" w:ascii="宋体" w:hAnsi="宋体" w:cs="宋体"/>
          <w:color w:val="auto"/>
          <w:szCs w:val="27"/>
          <w:highlight w:val="none"/>
        </w:rPr>
        <w:t>年</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月</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 xml:space="preserve">日                      </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年</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月</w:t>
      </w:r>
      <w:r>
        <w:rPr>
          <w:rFonts w:hint="eastAsia" w:ascii="宋体" w:hAnsi="宋体" w:cs="宋体"/>
          <w:color w:val="auto"/>
          <w:szCs w:val="27"/>
          <w:highlight w:val="none"/>
          <w:u w:val="single"/>
        </w:rPr>
        <w:t xml:space="preserve">  </w:t>
      </w:r>
      <w:r>
        <w:rPr>
          <w:rFonts w:hint="eastAsia" w:ascii="宋体" w:hAnsi="宋体" w:cs="宋体"/>
          <w:color w:val="auto"/>
          <w:szCs w:val="27"/>
          <w:highlight w:val="none"/>
        </w:rPr>
        <w:t>日</w:t>
      </w:r>
    </w:p>
    <w:p w14:paraId="26205A40">
      <w:pPr>
        <w:pStyle w:val="35"/>
        <w:ind w:firstLine="321"/>
        <w:jc w:val="center"/>
        <w:rPr>
          <w:b/>
          <w:color w:val="auto"/>
          <w:sz w:val="32"/>
          <w:szCs w:val="32"/>
          <w:highlight w:val="none"/>
        </w:rPr>
      </w:pPr>
    </w:p>
    <w:p w14:paraId="423317DA">
      <w:pPr>
        <w:pStyle w:val="35"/>
        <w:ind w:firstLine="321"/>
        <w:jc w:val="center"/>
        <w:rPr>
          <w:b/>
          <w:color w:val="auto"/>
          <w:sz w:val="32"/>
          <w:szCs w:val="32"/>
          <w:highlight w:val="none"/>
        </w:rPr>
      </w:pPr>
    </w:p>
    <w:p w14:paraId="3D26CE6D">
      <w:pPr>
        <w:pStyle w:val="35"/>
        <w:ind w:firstLine="321"/>
        <w:jc w:val="center"/>
        <w:rPr>
          <w:b/>
          <w:color w:val="auto"/>
          <w:sz w:val="32"/>
          <w:szCs w:val="32"/>
          <w:highlight w:val="none"/>
        </w:rPr>
      </w:pPr>
    </w:p>
    <w:p w14:paraId="14CA0956">
      <w:pPr>
        <w:pStyle w:val="35"/>
        <w:ind w:firstLine="321"/>
        <w:jc w:val="center"/>
        <w:rPr>
          <w:b/>
          <w:color w:val="auto"/>
          <w:sz w:val="32"/>
          <w:szCs w:val="32"/>
          <w:highlight w:val="none"/>
        </w:rPr>
      </w:pPr>
    </w:p>
    <w:p w14:paraId="25D4E4A3">
      <w:pPr>
        <w:pStyle w:val="35"/>
        <w:ind w:firstLine="321"/>
        <w:jc w:val="center"/>
        <w:rPr>
          <w:b/>
          <w:color w:val="auto"/>
          <w:sz w:val="32"/>
          <w:szCs w:val="32"/>
          <w:highlight w:val="none"/>
        </w:rPr>
      </w:pPr>
      <w:r>
        <w:rPr>
          <w:rFonts w:hint="eastAsia"/>
          <w:b/>
          <w:color w:val="auto"/>
          <w:sz w:val="32"/>
          <w:szCs w:val="32"/>
          <w:highlight w:val="none"/>
        </w:rPr>
        <w:t>周口市政府采购合同融资政策告知函</w:t>
      </w:r>
    </w:p>
    <w:p w14:paraId="7354041F">
      <w:pPr>
        <w:pStyle w:val="35"/>
        <w:ind w:firstLine="240"/>
        <w:rPr>
          <w:rFonts w:asciiTheme="minorEastAsia" w:hAnsiTheme="minorEastAsia" w:eastAsiaTheme="minorEastAsia"/>
          <w:color w:val="auto"/>
          <w:sz w:val="24"/>
          <w:highlight w:val="none"/>
        </w:rPr>
      </w:pPr>
    </w:p>
    <w:p w14:paraId="792F2154">
      <w:pPr>
        <w:pStyle w:val="35"/>
        <w:ind w:firstLine="240"/>
        <w:rPr>
          <w:rFonts w:asciiTheme="minorEastAsia" w:hAnsiTheme="minorEastAsia" w:eastAsiaTheme="minorEastAsia"/>
          <w:color w:val="auto"/>
          <w:sz w:val="24"/>
          <w:highlight w:val="none"/>
        </w:rPr>
      </w:pPr>
    </w:p>
    <w:p w14:paraId="201E8E53">
      <w:pPr>
        <w:pStyle w:val="35"/>
        <w:ind w:firstLine="240"/>
        <w:rPr>
          <w:rFonts w:asciiTheme="minorEastAsia" w:hAnsiTheme="minorEastAsia" w:eastAsiaTheme="minorEastAsia"/>
          <w:color w:val="auto"/>
          <w:sz w:val="24"/>
          <w:highlight w:val="none"/>
        </w:rPr>
      </w:pPr>
    </w:p>
    <w:p w14:paraId="4F46D4E7">
      <w:pPr>
        <w:pStyle w:val="35"/>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各供应商：</w:t>
      </w:r>
    </w:p>
    <w:p w14:paraId="6B627815">
      <w:pPr>
        <w:pStyle w:val="35"/>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欢迎贵公司参与周口市政府采购活动！</w:t>
      </w:r>
    </w:p>
    <w:p w14:paraId="3BA5B97C">
      <w:pPr>
        <w:pStyle w:val="35"/>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F7003B6">
      <w:pPr>
        <w:ind w:firstLine="240"/>
        <w:jc w:val="left"/>
        <w:rPr>
          <w:rFonts w:hint="eastAsia"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highlight w:val="none"/>
        </w:rPr>
        <w:t>贷款渠道和提供贷款的金融机构，可在河南省政府采购网“河南省政府采购合同融资平台”查询</w:t>
      </w:r>
      <w:r>
        <w:rPr>
          <w:rFonts w:hint="eastAsia" w:cs="Times New Roman" w:asciiTheme="minorEastAsia" w:hAnsiTheme="minorEastAsia" w:eastAsiaTheme="minorEastAsia"/>
          <w:color w:val="auto"/>
          <w:kern w:val="2"/>
          <w:sz w:val="24"/>
          <w:szCs w:val="24"/>
          <w:highlight w:val="none"/>
          <w:lang w:val="en-US" w:eastAsia="zh-CN" w:bidi="ar-SA"/>
        </w:rPr>
        <w:t>联系。供应商须将此函附于响应文件中。</w:t>
      </w:r>
    </w:p>
    <w:p w14:paraId="074B5E99">
      <w:pPr>
        <w:jc w:val="left"/>
        <w:rPr>
          <w:rFonts w:ascii="Times New Roman" w:hAnsi="Times New Roman" w:eastAsia="Times New Roman" w:cs="Times New Roman"/>
          <w:color w:val="auto"/>
          <w:sz w:val="22"/>
          <w:highlight w:val="none"/>
        </w:rPr>
      </w:pPr>
    </w:p>
    <w:p w14:paraId="407443C0">
      <w:pPr>
        <w:pStyle w:val="35"/>
        <w:ind w:firstLine="240"/>
        <w:rPr>
          <w:rFonts w:asciiTheme="minorEastAsia" w:hAnsiTheme="minorEastAsia" w:eastAsiaTheme="minorEastAsia"/>
          <w:color w:val="auto"/>
          <w:sz w:val="24"/>
          <w:highlight w:val="none"/>
        </w:rPr>
      </w:pPr>
    </w:p>
    <w:p w14:paraId="4A620523">
      <w:pPr>
        <w:pStyle w:val="25"/>
        <w:spacing w:before="0" w:beforeAutospacing="0" w:after="0" w:afterAutospacing="0" w:line="330" w:lineRule="atLeast"/>
        <w:rPr>
          <w:rFonts w:cs="仿宋_GB2312"/>
          <w:b/>
          <w:bCs/>
          <w:color w:val="auto"/>
          <w:sz w:val="21"/>
          <w:szCs w:val="21"/>
          <w:highlight w:val="none"/>
        </w:rPr>
      </w:pPr>
    </w:p>
    <w:sectPr>
      <w:pgSz w:w="11907" w:h="16840"/>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宋体"/>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B5DA4">
    <w:pPr>
      <w:pStyle w:val="19"/>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6582D">
    <w:pPr>
      <w:pStyle w:val="21"/>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0C06B40"/>
    <w:multiLevelType w:val="singleLevel"/>
    <w:tmpl w:val="60C06B40"/>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FiMjJkNDgwMmU3N2Q0M2IxYzVlNWM3NjFmOTNkODk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1B3678D"/>
    <w:rsid w:val="01B64536"/>
    <w:rsid w:val="02B07FF7"/>
    <w:rsid w:val="03733BDF"/>
    <w:rsid w:val="03A308DC"/>
    <w:rsid w:val="03A6045D"/>
    <w:rsid w:val="040532BA"/>
    <w:rsid w:val="04176582"/>
    <w:rsid w:val="051259ED"/>
    <w:rsid w:val="07041580"/>
    <w:rsid w:val="07932A4C"/>
    <w:rsid w:val="07BB2CD0"/>
    <w:rsid w:val="084519B8"/>
    <w:rsid w:val="08DB1CFF"/>
    <w:rsid w:val="08FA28DE"/>
    <w:rsid w:val="0A9E30AD"/>
    <w:rsid w:val="0BEB3B44"/>
    <w:rsid w:val="0C0644C0"/>
    <w:rsid w:val="0DBE40EC"/>
    <w:rsid w:val="10D62AA4"/>
    <w:rsid w:val="1128459B"/>
    <w:rsid w:val="13552B79"/>
    <w:rsid w:val="13793DF7"/>
    <w:rsid w:val="141C4A83"/>
    <w:rsid w:val="14354A58"/>
    <w:rsid w:val="14677422"/>
    <w:rsid w:val="152E6B10"/>
    <w:rsid w:val="15BF1042"/>
    <w:rsid w:val="1656732A"/>
    <w:rsid w:val="168066B9"/>
    <w:rsid w:val="181939B9"/>
    <w:rsid w:val="18D74DC1"/>
    <w:rsid w:val="1AED58EF"/>
    <w:rsid w:val="1F397F3B"/>
    <w:rsid w:val="1F3A0BB5"/>
    <w:rsid w:val="1F72319F"/>
    <w:rsid w:val="1FA92FCB"/>
    <w:rsid w:val="20193BC8"/>
    <w:rsid w:val="220D398C"/>
    <w:rsid w:val="22704ED7"/>
    <w:rsid w:val="2301566F"/>
    <w:rsid w:val="24165293"/>
    <w:rsid w:val="2482721D"/>
    <w:rsid w:val="24A10BF5"/>
    <w:rsid w:val="24D70B68"/>
    <w:rsid w:val="24FE0DD1"/>
    <w:rsid w:val="26AB07CC"/>
    <w:rsid w:val="287B63A6"/>
    <w:rsid w:val="29613C02"/>
    <w:rsid w:val="299873AD"/>
    <w:rsid w:val="2A397C18"/>
    <w:rsid w:val="2A5015D5"/>
    <w:rsid w:val="2AF63392"/>
    <w:rsid w:val="2BA67492"/>
    <w:rsid w:val="2C66791C"/>
    <w:rsid w:val="2D221D01"/>
    <w:rsid w:val="2D676A80"/>
    <w:rsid w:val="2D7A3266"/>
    <w:rsid w:val="2EE455EF"/>
    <w:rsid w:val="2F5F2B72"/>
    <w:rsid w:val="312513B2"/>
    <w:rsid w:val="31B042BF"/>
    <w:rsid w:val="31F12401"/>
    <w:rsid w:val="31FF5F72"/>
    <w:rsid w:val="32035D60"/>
    <w:rsid w:val="326E6953"/>
    <w:rsid w:val="33523A32"/>
    <w:rsid w:val="34B524C1"/>
    <w:rsid w:val="36D23A94"/>
    <w:rsid w:val="376940D0"/>
    <w:rsid w:val="37E40FD4"/>
    <w:rsid w:val="38204506"/>
    <w:rsid w:val="387842BB"/>
    <w:rsid w:val="39321D68"/>
    <w:rsid w:val="3BAE6CD9"/>
    <w:rsid w:val="3C3000ED"/>
    <w:rsid w:val="3D232399"/>
    <w:rsid w:val="3D2E2D19"/>
    <w:rsid w:val="3D31181A"/>
    <w:rsid w:val="3DC87CB2"/>
    <w:rsid w:val="3E4C7893"/>
    <w:rsid w:val="3F1749BD"/>
    <w:rsid w:val="3F426795"/>
    <w:rsid w:val="3F4F365B"/>
    <w:rsid w:val="3F9A5B70"/>
    <w:rsid w:val="3F9D7F9C"/>
    <w:rsid w:val="41093759"/>
    <w:rsid w:val="41380196"/>
    <w:rsid w:val="41415EFF"/>
    <w:rsid w:val="41D026B4"/>
    <w:rsid w:val="452567EA"/>
    <w:rsid w:val="46886BA6"/>
    <w:rsid w:val="48524AAD"/>
    <w:rsid w:val="490552AA"/>
    <w:rsid w:val="49F6175C"/>
    <w:rsid w:val="4B7A4CDC"/>
    <w:rsid w:val="4B881658"/>
    <w:rsid w:val="4C9C07CA"/>
    <w:rsid w:val="4FFA680C"/>
    <w:rsid w:val="50981A4B"/>
    <w:rsid w:val="52390069"/>
    <w:rsid w:val="528D1696"/>
    <w:rsid w:val="52CB2821"/>
    <w:rsid w:val="542F765C"/>
    <w:rsid w:val="54914939"/>
    <w:rsid w:val="54A02A49"/>
    <w:rsid w:val="54EB5EC1"/>
    <w:rsid w:val="554D13F6"/>
    <w:rsid w:val="55880E70"/>
    <w:rsid w:val="57580486"/>
    <w:rsid w:val="59DA41E0"/>
    <w:rsid w:val="5A2424B3"/>
    <w:rsid w:val="5A3906A0"/>
    <w:rsid w:val="5A9919E3"/>
    <w:rsid w:val="5AB75282"/>
    <w:rsid w:val="5B2A7B0A"/>
    <w:rsid w:val="5B417B6B"/>
    <w:rsid w:val="5B54373E"/>
    <w:rsid w:val="5BC745F2"/>
    <w:rsid w:val="5C8D39B1"/>
    <w:rsid w:val="5CA161B2"/>
    <w:rsid w:val="5EE21916"/>
    <w:rsid w:val="5F4417E0"/>
    <w:rsid w:val="5F88669E"/>
    <w:rsid w:val="622F04A1"/>
    <w:rsid w:val="62707B3A"/>
    <w:rsid w:val="62E16835"/>
    <w:rsid w:val="62EF1321"/>
    <w:rsid w:val="645C0879"/>
    <w:rsid w:val="64741C1C"/>
    <w:rsid w:val="648C064A"/>
    <w:rsid w:val="656B3097"/>
    <w:rsid w:val="65EB67A7"/>
    <w:rsid w:val="66AB4942"/>
    <w:rsid w:val="687951D6"/>
    <w:rsid w:val="68AB69AF"/>
    <w:rsid w:val="68B12A1A"/>
    <w:rsid w:val="68D653C8"/>
    <w:rsid w:val="68D85250"/>
    <w:rsid w:val="698D4180"/>
    <w:rsid w:val="6A905EA8"/>
    <w:rsid w:val="6AC36259"/>
    <w:rsid w:val="6D1F0B58"/>
    <w:rsid w:val="6D3654A5"/>
    <w:rsid w:val="6D746C3A"/>
    <w:rsid w:val="6EB24C26"/>
    <w:rsid w:val="74170E85"/>
    <w:rsid w:val="75DC35E9"/>
    <w:rsid w:val="77FA11D3"/>
    <w:rsid w:val="789E6834"/>
    <w:rsid w:val="79DD67E6"/>
    <w:rsid w:val="7BCF79D9"/>
    <w:rsid w:val="7C1A4C7A"/>
    <w:rsid w:val="7C444892"/>
    <w:rsid w:val="7CAE7448"/>
    <w:rsid w:val="7DF36BF7"/>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46"/>
    <w:qFormat/>
    <w:uiPriority w:val="0"/>
    <w:rPr>
      <w:rFonts w:ascii="宋体"/>
      <w:sz w:val="18"/>
      <w:szCs w:val="18"/>
    </w:rPr>
  </w:style>
  <w:style w:type="paragraph" w:styleId="7">
    <w:name w:val="annotation text"/>
    <w:basedOn w:val="1"/>
    <w:link w:val="45"/>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link w:val="43"/>
    <w:qFormat/>
    <w:uiPriority w:val="99"/>
    <w:pPr>
      <w:spacing w:after="120"/>
    </w:pPr>
  </w:style>
  <w:style w:type="paragraph" w:customStyle="1" w:styleId="10">
    <w:name w:val="Default"/>
    <w:next w:val="11"/>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1">
    <w:name w:val="footnote text"/>
    <w:basedOn w:val="1"/>
    <w:qFormat/>
    <w:uiPriority w:val="99"/>
    <w:pPr>
      <w:snapToGrid w:val="0"/>
      <w:jc w:val="left"/>
    </w:pPr>
    <w:rPr>
      <w:sz w:val="18"/>
      <w:szCs w:val="18"/>
    </w:rPr>
  </w:style>
  <w:style w:type="paragraph" w:styleId="12">
    <w:name w:val="Body Text Indent"/>
    <w:basedOn w:val="1"/>
    <w:next w:val="13"/>
    <w:qFormat/>
    <w:uiPriority w:val="0"/>
    <w:pPr>
      <w:ind w:firstLine="632" w:firstLineChars="200"/>
    </w:pPr>
    <w:rPr>
      <w:rFonts w:ascii="仿宋_GB2312" w:hAnsi="华文楷体" w:eastAsia="仿宋_GB2312"/>
      <w:sz w:val="32"/>
    </w:rPr>
  </w:style>
  <w:style w:type="paragraph" w:styleId="13">
    <w:name w:val="Body Text First Indent 2"/>
    <w:basedOn w:val="12"/>
    <w:next w:val="14"/>
    <w:qFormat/>
    <w:uiPriority w:val="99"/>
    <w:pPr>
      <w:tabs>
        <w:tab w:val="left" w:pos="0"/>
        <w:tab w:val="left" w:pos="993"/>
        <w:tab w:val="left" w:pos="1134"/>
      </w:tabs>
      <w:ind w:firstLine="420"/>
    </w:pPr>
  </w:style>
  <w:style w:type="paragraph" w:styleId="14">
    <w:name w:val="Date"/>
    <w:basedOn w:val="1"/>
    <w:next w:val="1"/>
    <w:link w:val="47"/>
    <w:qFormat/>
    <w:uiPriority w:val="0"/>
    <w:pPr>
      <w:ind w:left="100" w:leftChars="2500"/>
    </w:pPr>
  </w:style>
  <w:style w:type="paragraph" w:styleId="15">
    <w:name w:val="List 2"/>
    <w:basedOn w:val="1"/>
    <w:qFormat/>
    <w:uiPriority w:val="0"/>
    <w:pPr>
      <w:ind w:left="400" w:leftChars="200" w:hanging="200" w:hangingChars="200"/>
    </w:pPr>
  </w:style>
  <w:style w:type="paragraph" w:styleId="16">
    <w:name w:val="Plain Text"/>
    <w:basedOn w:val="1"/>
    <w:link w:val="51"/>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68"/>
    <w:qFormat/>
    <w:uiPriority w:val="99"/>
    <w:pPr>
      <w:tabs>
        <w:tab w:val="center" w:pos="4153"/>
        <w:tab w:val="right" w:pos="8306"/>
      </w:tabs>
      <w:snapToGrid w:val="0"/>
      <w:jc w:val="left"/>
    </w:pPr>
    <w:rPr>
      <w:sz w:val="18"/>
      <w:szCs w:val="18"/>
    </w:rPr>
  </w:style>
  <w:style w:type="paragraph" w:styleId="20">
    <w:name w:val="envelope return"/>
    <w:basedOn w:val="1"/>
    <w:qFormat/>
    <w:uiPriority w:val="99"/>
    <w:pPr>
      <w:snapToGrid w:val="0"/>
    </w:pPr>
    <w:rPr>
      <w:rFonts w:ascii="Arial" w:hAnsi="Arial"/>
    </w:rPr>
  </w:style>
  <w:style w:type="paragraph" w:styleId="21">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caps/>
    </w:rPr>
  </w:style>
  <w:style w:type="paragraph" w:styleId="23">
    <w:name w:val="Body Text 2"/>
    <w:basedOn w:val="1"/>
    <w:link w:val="65"/>
    <w:qFormat/>
    <w:uiPriority w:val="0"/>
    <w:pPr>
      <w:spacing w:after="120" w:line="480" w:lineRule="auto"/>
    </w:p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9"/>
    <w:next w:val="13"/>
    <w:link w:val="42"/>
    <w:qFormat/>
    <w:uiPriority w:val="0"/>
    <w:pPr>
      <w:ind w:firstLine="420" w:firstLineChars="100"/>
    </w:p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qFormat/>
    <w:uiPriority w:val="22"/>
    <w:rPr>
      <w:b/>
      <w:bCs/>
    </w:rPr>
  </w:style>
  <w:style w:type="character" w:styleId="31">
    <w:name w:val="page number"/>
    <w:basedOn w:val="29"/>
    <w:qFormat/>
    <w:uiPriority w:val="0"/>
  </w:style>
  <w:style w:type="character" w:styleId="32">
    <w:name w:val="FollowedHyperlink"/>
    <w:basedOn w:val="29"/>
    <w:qFormat/>
    <w:uiPriority w:val="0"/>
    <w:rPr>
      <w:color w:val="000000"/>
      <w:u w:val="none"/>
    </w:rPr>
  </w:style>
  <w:style w:type="character" w:styleId="33">
    <w:name w:val="Hyperlink"/>
    <w:qFormat/>
    <w:uiPriority w:val="0"/>
    <w:rPr>
      <w:color w:val="333333"/>
      <w:u w:val="none"/>
    </w:rPr>
  </w:style>
  <w:style w:type="character" w:styleId="34">
    <w:name w:val="annotation reference"/>
    <w:qFormat/>
    <w:uiPriority w:val="99"/>
    <w:rPr>
      <w:sz w:val="21"/>
    </w:rPr>
  </w:style>
  <w:style w:type="paragraph" w:customStyle="1" w:styleId="35">
    <w:name w:val="BodyText1I"/>
    <w:basedOn w:val="36"/>
    <w:qFormat/>
    <w:uiPriority w:val="99"/>
    <w:pPr>
      <w:ind w:firstLine="420" w:firstLineChars="100"/>
    </w:pPr>
  </w:style>
  <w:style w:type="paragraph" w:customStyle="1" w:styleId="36">
    <w:name w:val="BodyText"/>
    <w:basedOn w:val="1"/>
    <w:qFormat/>
    <w:uiPriority w:val="99"/>
    <w:pPr>
      <w:spacing w:after="120"/>
    </w:pPr>
  </w:style>
  <w:style w:type="paragraph" w:customStyle="1" w:styleId="37">
    <w:name w:val="无间隔1"/>
    <w:next w:val="5"/>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标题 3 字符"/>
    <w:link w:val="4"/>
    <w:semiHidden/>
    <w:qFormat/>
    <w:uiPriority w:val="0"/>
    <w:rPr>
      <w:b/>
      <w:bCs/>
      <w:kern w:val="2"/>
      <w:sz w:val="32"/>
      <w:szCs w:val="32"/>
    </w:rPr>
  </w:style>
  <w:style w:type="character" w:customStyle="1" w:styleId="39">
    <w:name w:val="font231"/>
    <w:qFormat/>
    <w:uiPriority w:val="0"/>
    <w:rPr>
      <w:rFonts w:hint="eastAsia" w:ascii="宋体" w:hAnsi="宋体" w:eastAsia="宋体" w:cs="宋体"/>
      <w:color w:val="000000"/>
      <w:sz w:val="22"/>
      <w:szCs w:val="22"/>
      <w:u w:val="none"/>
    </w:rPr>
  </w:style>
  <w:style w:type="character" w:customStyle="1" w:styleId="40">
    <w:name w:val="font11"/>
    <w:qFormat/>
    <w:uiPriority w:val="0"/>
    <w:rPr>
      <w:rFonts w:hint="default" w:ascii="Times New Roman" w:hAnsi="Times New Roman" w:cs="Times New Roman"/>
      <w:color w:val="000000"/>
      <w:sz w:val="18"/>
      <w:szCs w:val="18"/>
      <w:u w:val="none"/>
    </w:rPr>
  </w:style>
  <w:style w:type="character" w:customStyle="1" w:styleId="41">
    <w:name w:val="font191"/>
    <w:qFormat/>
    <w:uiPriority w:val="0"/>
    <w:rPr>
      <w:rFonts w:hint="default" w:ascii="Calibri" w:hAnsi="Calibri" w:cs="Calibri"/>
      <w:color w:val="000000"/>
      <w:sz w:val="22"/>
      <w:szCs w:val="22"/>
      <w:u w:val="none"/>
    </w:rPr>
  </w:style>
  <w:style w:type="character" w:customStyle="1" w:styleId="42">
    <w:name w:val="正文文本首行缩进 字符"/>
    <w:link w:val="26"/>
    <w:qFormat/>
    <w:uiPriority w:val="0"/>
    <w:rPr>
      <w:kern w:val="2"/>
      <w:sz w:val="21"/>
      <w:szCs w:val="24"/>
    </w:rPr>
  </w:style>
  <w:style w:type="character" w:customStyle="1" w:styleId="43">
    <w:name w:val="正文文本 字符"/>
    <w:link w:val="9"/>
    <w:qFormat/>
    <w:uiPriority w:val="99"/>
    <w:rPr>
      <w:kern w:val="2"/>
      <w:sz w:val="21"/>
      <w:szCs w:val="24"/>
    </w:rPr>
  </w:style>
  <w:style w:type="character" w:customStyle="1" w:styleId="44">
    <w:name w:val="font151"/>
    <w:qFormat/>
    <w:uiPriority w:val="0"/>
    <w:rPr>
      <w:rFonts w:hint="default" w:ascii="Calibri" w:hAnsi="Calibri" w:cs="Calibri"/>
      <w:color w:val="000000"/>
      <w:sz w:val="22"/>
      <w:szCs w:val="22"/>
      <w:u w:val="none"/>
    </w:rPr>
  </w:style>
  <w:style w:type="character" w:customStyle="1" w:styleId="45">
    <w:name w:val="批注文字 字符"/>
    <w:link w:val="7"/>
    <w:qFormat/>
    <w:uiPriority w:val="0"/>
    <w:rPr>
      <w:kern w:val="2"/>
      <w:sz w:val="21"/>
      <w:szCs w:val="24"/>
    </w:rPr>
  </w:style>
  <w:style w:type="character" w:customStyle="1" w:styleId="46">
    <w:name w:val="文档结构图 字符"/>
    <w:link w:val="6"/>
    <w:qFormat/>
    <w:uiPriority w:val="0"/>
    <w:rPr>
      <w:rFonts w:ascii="宋体"/>
      <w:kern w:val="2"/>
      <w:sz w:val="18"/>
      <w:szCs w:val="18"/>
    </w:rPr>
  </w:style>
  <w:style w:type="character" w:customStyle="1" w:styleId="47">
    <w:name w:val="日期 字符"/>
    <w:link w:val="14"/>
    <w:qFormat/>
    <w:uiPriority w:val="0"/>
    <w:rPr>
      <w:kern w:val="2"/>
      <w:sz w:val="21"/>
      <w:szCs w:val="24"/>
    </w:rPr>
  </w:style>
  <w:style w:type="character" w:customStyle="1" w:styleId="48">
    <w:name w:val="font221"/>
    <w:qFormat/>
    <w:uiPriority w:val="0"/>
    <w:rPr>
      <w:rFonts w:hint="eastAsia" w:ascii="宋体" w:hAnsi="宋体" w:eastAsia="宋体" w:cs="宋体"/>
      <w:color w:val="000000"/>
      <w:sz w:val="20"/>
      <w:szCs w:val="20"/>
      <w:u w:val="none"/>
    </w:rPr>
  </w:style>
  <w:style w:type="character" w:customStyle="1" w:styleId="49">
    <w:name w:val="font61"/>
    <w:qFormat/>
    <w:uiPriority w:val="0"/>
    <w:rPr>
      <w:rFonts w:hint="eastAsia" w:ascii="宋体" w:hAnsi="宋体" w:eastAsia="宋体" w:cs="宋体"/>
      <w:color w:val="FF0000"/>
      <w:sz w:val="22"/>
      <w:szCs w:val="22"/>
      <w:u w:val="none"/>
    </w:rPr>
  </w:style>
  <w:style w:type="character" w:customStyle="1" w:styleId="50">
    <w:name w:val="font31"/>
    <w:qFormat/>
    <w:uiPriority w:val="0"/>
    <w:rPr>
      <w:rFonts w:hint="eastAsia" w:ascii="宋体" w:hAnsi="宋体" w:eastAsia="宋体" w:cs="宋体"/>
      <w:color w:val="000000"/>
      <w:sz w:val="18"/>
      <w:szCs w:val="18"/>
      <w:u w:val="none"/>
    </w:rPr>
  </w:style>
  <w:style w:type="character" w:customStyle="1" w:styleId="51">
    <w:name w:val="纯文本 字符"/>
    <w:link w:val="16"/>
    <w:qFormat/>
    <w:uiPriority w:val="99"/>
    <w:rPr>
      <w:rFonts w:ascii="宋体" w:hAnsi="Courier New"/>
      <w:kern w:val="2"/>
      <w:sz w:val="21"/>
    </w:rPr>
  </w:style>
  <w:style w:type="character" w:customStyle="1" w:styleId="52">
    <w:name w:val="访问过的超链接1"/>
    <w:qFormat/>
    <w:uiPriority w:val="0"/>
    <w:rPr>
      <w:color w:val="333333"/>
      <w:u w:val="none"/>
    </w:rPr>
  </w:style>
  <w:style w:type="character" w:customStyle="1" w:styleId="53">
    <w:name w:val="font01"/>
    <w:qFormat/>
    <w:uiPriority w:val="0"/>
    <w:rPr>
      <w:rFonts w:hint="eastAsia" w:ascii="宋体" w:hAnsi="宋体" w:eastAsia="宋体" w:cs="宋体"/>
      <w:color w:val="000000"/>
      <w:sz w:val="22"/>
      <w:szCs w:val="22"/>
      <w:u w:val="none"/>
    </w:rPr>
  </w:style>
  <w:style w:type="character" w:customStyle="1" w:styleId="54">
    <w:name w:val="font21"/>
    <w:qFormat/>
    <w:uiPriority w:val="0"/>
    <w:rPr>
      <w:rFonts w:hint="default" w:ascii="Times New Roman" w:hAnsi="Times New Roman" w:cs="Times New Roman"/>
      <w:color w:val="000000"/>
      <w:sz w:val="18"/>
      <w:szCs w:val="18"/>
      <w:u w:val="none"/>
    </w:rPr>
  </w:style>
  <w:style w:type="paragraph" w:customStyle="1" w:styleId="55">
    <w:name w:val="p0"/>
    <w:basedOn w:val="1"/>
    <w:qFormat/>
    <w:uiPriority w:val="0"/>
    <w:pPr>
      <w:widowControl/>
    </w:pPr>
    <w:rPr>
      <w:rFonts w:ascii="Calibri" w:hAnsi="Calibri" w:cs="宋体"/>
      <w:kern w:val="0"/>
      <w:szCs w:val="21"/>
    </w:rPr>
  </w:style>
  <w:style w:type="paragraph" w:customStyle="1" w:styleId="56">
    <w:name w:val="List Paragraph1"/>
    <w:basedOn w:val="1"/>
    <w:qFormat/>
    <w:uiPriority w:val="0"/>
    <w:pPr>
      <w:ind w:firstLine="420" w:firstLineChars="200"/>
    </w:pPr>
  </w:style>
  <w:style w:type="paragraph" w:customStyle="1" w:styleId="57">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8">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5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0">
    <w:name w:val="Char Char Char Char Char Char Char1 Char"/>
    <w:basedOn w:val="1"/>
    <w:qFormat/>
    <w:uiPriority w:val="0"/>
    <w:rPr>
      <w:rFonts w:ascii="Tahoma" w:hAnsi="Tahoma"/>
      <w:sz w:val="24"/>
      <w:szCs w:val="20"/>
    </w:rPr>
  </w:style>
  <w:style w:type="paragraph" w:styleId="61">
    <w:name w:val="List Paragraph"/>
    <w:basedOn w:val="1"/>
    <w:qFormat/>
    <w:uiPriority w:val="34"/>
    <w:pPr>
      <w:ind w:firstLine="420" w:firstLineChars="200"/>
    </w:pPr>
  </w:style>
  <w:style w:type="paragraph" w:customStyle="1" w:styleId="62">
    <w:name w:val="Char Char Char1 Char"/>
    <w:basedOn w:val="1"/>
    <w:qFormat/>
    <w:uiPriority w:val="0"/>
    <w:pPr>
      <w:spacing w:line="360" w:lineRule="auto"/>
      <w:ind w:firstLine="200" w:firstLineChars="200"/>
    </w:pPr>
    <w:rPr>
      <w:rFonts w:ascii="宋体" w:hAnsi="宋体" w:cs="宋体"/>
      <w:sz w:val="24"/>
    </w:rPr>
  </w:style>
  <w:style w:type="paragraph" w:customStyle="1" w:styleId="63">
    <w:name w:val="默认段落字体 Para Char Char Char Char Char Char Char Char Char Char"/>
    <w:basedOn w:val="1"/>
    <w:qFormat/>
    <w:uiPriority w:val="0"/>
    <w:pPr>
      <w:tabs>
        <w:tab w:val="right" w:pos="-2120"/>
      </w:tabs>
      <w:snapToGrid w:val="0"/>
    </w:pPr>
  </w:style>
  <w:style w:type="character" w:customStyle="1" w:styleId="64">
    <w:name w:val="generalinfo-address-text"/>
    <w:basedOn w:val="29"/>
    <w:qFormat/>
    <w:uiPriority w:val="0"/>
  </w:style>
  <w:style w:type="character" w:customStyle="1" w:styleId="65">
    <w:name w:val="正文文本 2 字符"/>
    <w:link w:val="23"/>
    <w:qFormat/>
    <w:uiPriority w:val="0"/>
    <w:rPr>
      <w:kern w:val="2"/>
      <w:sz w:val="21"/>
      <w:szCs w:val="24"/>
    </w:rPr>
  </w:style>
  <w:style w:type="character" w:customStyle="1" w:styleId="66">
    <w:name w:val="NormalCharacter"/>
    <w:qFormat/>
    <w:uiPriority w:val="0"/>
  </w:style>
  <w:style w:type="character" w:customStyle="1" w:styleId="67">
    <w:name w:val="页眉 字符"/>
    <w:link w:val="21"/>
    <w:qFormat/>
    <w:uiPriority w:val="99"/>
    <w:rPr>
      <w:kern w:val="2"/>
      <w:sz w:val="18"/>
      <w:szCs w:val="18"/>
    </w:rPr>
  </w:style>
  <w:style w:type="character" w:customStyle="1" w:styleId="68">
    <w:name w:val="页脚 字符"/>
    <w:link w:val="19"/>
    <w:qFormat/>
    <w:uiPriority w:val="99"/>
    <w:rPr>
      <w:kern w:val="2"/>
      <w:sz w:val="18"/>
      <w:szCs w:val="18"/>
    </w:rPr>
  </w:style>
  <w:style w:type="paragraph" w:customStyle="1" w:styleId="69">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0">
    <w:name w:val="contentlabel"/>
    <w:qFormat/>
    <w:uiPriority w:val="0"/>
  </w:style>
  <w:style w:type="paragraph" w:customStyle="1" w:styleId="71">
    <w:name w:val="Body Text First Indent1"/>
    <w:basedOn w:val="9"/>
    <w:qFormat/>
    <w:uiPriority w:val="0"/>
    <w:pPr>
      <w:autoSpaceDE w:val="0"/>
      <w:autoSpaceDN w:val="0"/>
      <w:ind w:firstLine="420" w:firstLineChars="100"/>
      <w:jc w:val="left"/>
    </w:pPr>
    <w:rPr>
      <w:rFonts w:ascii="宋体" w:hAnsi="等线" w:eastAsia="等线" w:cs="宋体"/>
      <w:kern w:val="0"/>
      <w:lang w:val="zh-CN"/>
    </w:rPr>
  </w:style>
  <w:style w:type="paragraph" w:customStyle="1" w:styleId="72">
    <w:name w:val="D&amp;L"/>
    <w:basedOn w:val="2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3">
    <w:name w:val="icon_gys"/>
    <w:basedOn w:val="29"/>
    <w:qFormat/>
    <w:uiPriority w:val="0"/>
    <w:rPr>
      <w:sz w:val="21"/>
      <w:szCs w:val="21"/>
    </w:rPr>
  </w:style>
  <w:style w:type="character" w:customStyle="1" w:styleId="74">
    <w:name w:val="first-child"/>
    <w:basedOn w:val="29"/>
    <w:qFormat/>
    <w:uiPriority w:val="0"/>
    <w:rPr>
      <w:color w:val="1F3149"/>
      <w:sz w:val="24"/>
      <w:szCs w:val="24"/>
    </w:rPr>
  </w:style>
  <w:style w:type="character" w:customStyle="1" w:styleId="75">
    <w:name w:val="first-child1"/>
    <w:basedOn w:val="29"/>
    <w:qFormat/>
    <w:uiPriority w:val="0"/>
    <w:rPr>
      <w:color w:val="1F3149"/>
      <w:sz w:val="24"/>
      <w:szCs w:val="24"/>
    </w:rPr>
  </w:style>
  <w:style w:type="character" w:customStyle="1" w:styleId="76">
    <w:name w:val="xiadan"/>
    <w:basedOn w:val="29"/>
    <w:qFormat/>
    <w:uiPriority w:val="0"/>
    <w:rPr>
      <w:shd w:val="clear" w:color="auto" w:fill="E4393C"/>
    </w:rPr>
  </w:style>
  <w:style w:type="character" w:customStyle="1" w:styleId="77">
    <w:name w:val="fr"/>
    <w:basedOn w:val="29"/>
    <w:qFormat/>
    <w:uiPriority w:val="0"/>
  </w:style>
  <w:style w:type="character" w:customStyle="1" w:styleId="78">
    <w:name w:val="icon_ds"/>
    <w:basedOn w:val="29"/>
    <w:qFormat/>
    <w:uiPriority w:val="0"/>
  </w:style>
  <w:style w:type="paragraph" w:customStyle="1" w:styleId="79">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46</Pages>
  <Words>18420</Words>
  <Characters>19460</Characters>
  <Lines>146</Lines>
  <Paragraphs>41</Paragraphs>
  <TotalTime>1</TotalTime>
  <ScaleCrop>false</ScaleCrop>
  <LinksUpToDate>false</LinksUpToDate>
  <CharactersWithSpaces>20313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HUAWEI</cp:lastModifiedBy>
  <cp:lastPrinted>2020-11-18T03:21:00Z</cp:lastPrinted>
  <dcterms:modified xsi:type="dcterms:W3CDTF">2025-12-09T03:28:32Z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3F3AEF60031F459BB45F1EB8C7A16E06</vt:lpwstr>
  </property>
  <property fmtid="{D5CDD505-2E9C-101B-9397-08002B2CF9AE}" pid="4" name="KSOTemplateDocerSaveRecord">
    <vt:lpwstr>eyJoZGlkIjoiY2FiZTFmYjI0ODY2NTM4OTI3ZDhiMDA1NjYyNjI2MmMiLCJ1c2VySWQiOiIxNTI3MjQ2NDY1In0=</vt:lpwstr>
  </property>
</Properties>
</file>