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40"/>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0" w:leftChars="200" w:right="-92" w:rightChars="-44" w:hanging="1500" w:hangingChars="500"/>
        <w:jc w:val="left"/>
        <w:rPr>
          <w:rFonts w:hint="eastAsia" w:ascii="宋体" w:hAnsi="宋体" w:eastAsia="宋体" w:cs="宋体"/>
          <w:b w:val="0"/>
          <w:bCs w:val="0"/>
          <w:color w:val="auto"/>
          <w:sz w:val="30"/>
          <w:szCs w:val="30"/>
          <w:lang w:eastAsia="zh-CN"/>
        </w:rPr>
      </w:pPr>
      <w:r>
        <w:rPr>
          <w:rFonts w:hint="eastAsia" w:ascii="宋体" w:hAnsi="宋体" w:eastAsia="宋体" w:cs="宋体"/>
          <w:b w:val="0"/>
          <w:bCs w:val="0"/>
          <w:color w:val="auto"/>
          <w:sz w:val="30"/>
          <w:szCs w:val="30"/>
          <w:lang w:eastAsia="zh-CN"/>
        </w:rPr>
        <w:t>项目名称</w:t>
      </w:r>
      <w:r>
        <w:rPr>
          <w:rFonts w:hint="eastAsia" w:ascii="宋体" w:hAnsi="宋体" w:cs="宋体"/>
          <w:b w:val="0"/>
          <w:bCs w:val="0"/>
          <w:color w:val="auto"/>
          <w:sz w:val="30"/>
          <w:szCs w:val="30"/>
          <w:lang w:eastAsia="zh-CN"/>
        </w:rPr>
        <w:t>：</w:t>
      </w:r>
      <w:r>
        <w:rPr>
          <w:rFonts w:hint="eastAsia" w:ascii="宋体" w:hAnsi="宋体" w:eastAsia="宋体" w:cs="宋体"/>
          <w:b w:val="0"/>
          <w:bCs w:val="0"/>
          <w:color w:val="auto"/>
          <w:sz w:val="30"/>
          <w:szCs w:val="30"/>
          <w:lang w:eastAsia="zh-CN"/>
        </w:rPr>
        <w:t>周口市生态环境局郸城分局郸城县高新技术开发区挥发性有机物自动监测站运维项目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val="0"/>
          <w:bCs w:val="0"/>
          <w:color w:val="0C0C0C" w:themeColor="text1" w:themeTint="F2"/>
          <w:sz w:val="30"/>
          <w:szCs w:val="30"/>
          <w:lang w:val="en-US" w:eastAsia="zh-CN"/>
        </w:rPr>
      </w:pPr>
      <w:r>
        <w:rPr>
          <w:rFonts w:hint="eastAsia" w:ascii="宋体" w:hAnsi="宋体" w:eastAsia="宋体" w:cs="宋体"/>
          <w:b w:val="0"/>
          <w:bCs w:val="0"/>
          <w:color w:val="0C0C0C" w:themeColor="text1" w:themeTint="F2"/>
          <w:sz w:val="30"/>
          <w:szCs w:val="30"/>
          <w:lang w:eastAsia="zh-CN"/>
        </w:rPr>
        <w:t>项目编号</w:t>
      </w:r>
      <w:r>
        <w:rPr>
          <w:rFonts w:hint="eastAsia" w:ascii="宋体" w:hAnsi="宋体" w:cs="宋体"/>
          <w:b w:val="0"/>
          <w:bCs w:val="0"/>
          <w:color w:val="0C0C0C" w:themeColor="text1" w:themeTint="F2"/>
          <w:sz w:val="30"/>
          <w:szCs w:val="30"/>
          <w:lang w:eastAsia="zh-CN"/>
        </w:rPr>
        <w:t>：</w:t>
      </w:r>
      <w:r>
        <w:rPr>
          <w:rFonts w:hint="eastAsia" w:ascii="宋体" w:hAnsi="宋体" w:cs="宋体"/>
          <w:b w:val="0"/>
          <w:bCs w:val="0"/>
          <w:color w:val="0C0C0C" w:themeColor="text1" w:themeTint="F2"/>
          <w:sz w:val="30"/>
          <w:szCs w:val="30"/>
          <w:lang w:val="en-US" w:eastAsia="zh-CN"/>
        </w:rPr>
        <w:t>郸财磋商采购-2026-11</w:t>
      </w:r>
    </w:p>
    <w:p w14:paraId="4CF81C97">
      <w:pPr>
        <w:tabs>
          <w:tab w:val="left" w:pos="315"/>
          <w:tab w:val="left" w:pos="8820"/>
        </w:tabs>
        <w:spacing w:line="600" w:lineRule="exact"/>
        <w:ind w:left="1888" w:leftChars="0" w:right="-92" w:rightChars="-44" w:hanging="1888" w:hangingChars="590"/>
        <w:jc w:val="left"/>
        <w:rPr>
          <w:rFonts w:hint="eastAsia" w:ascii="宋体" w:hAnsi="宋体" w:eastAsia="宋体" w:cs="宋体"/>
          <w:b w:val="0"/>
          <w:bCs w:val="0"/>
          <w:color w:val="auto"/>
          <w:sz w:val="32"/>
          <w:szCs w:val="32"/>
          <w:lang w:eastAsia="zh-CN"/>
        </w:rPr>
      </w:pPr>
    </w:p>
    <w:p w14:paraId="7F397FBE">
      <w:pPr>
        <w:tabs>
          <w:tab w:val="left" w:pos="315"/>
          <w:tab w:val="left" w:pos="8820"/>
        </w:tabs>
        <w:spacing w:line="600" w:lineRule="exact"/>
        <w:ind w:left="1888" w:leftChars="0" w:right="-92" w:rightChars="-44" w:hanging="1888" w:hangingChars="590"/>
        <w:jc w:val="center"/>
        <w:rPr>
          <w:rFonts w:hint="default" w:ascii="宋体" w:hAnsi="宋体" w:eastAsia="宋体" w:cs="宋体"/>
          <w:b/>
          <w:bCs/>
          <w:color w:val="auto"/>
          <w:sz w:val="32"/>
          <w:szCs w:val="32"/>
          <w:lang w:val="en-US" w:eastAsia="zh-CN"/>
        </w:rPr>
      </w:pPr>
      <w:r>
        <w:rPr>
          <w:rFonts w:hint="eastAsia" w:ascii="宋体" w:hAnsi="宋体" w:cs="宋体"/>
          <w:b w:val="0"/>
          <w:bCs w:val="0"/>
          <w:color w:val="auto"/>
          <w:sz w:val="32"/>
          <w:szCs w:val="32"/>
          <w:lang w:val="en-US" w:eastAsia="zh-CN"/>
        </w:rPr>
        <w:t>2026年2月28日</w:t>
      </w:r>
    </w:p>
    <w:p w14:paraId="5EF6D59F">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4"/>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周口市生态环境局郸城分局郸城县高新技术开发区挥发性有机物自动监测站运维项目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郸财磋商采购-2026-11</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周口市生态环境局郸城分局郸城县高新技术开发区挥发性有机物自动监测站运维项目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626600.00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626600.00</w:t>
      </w:r>
      <w:r>
        <w:rPr>
          <w:rFonts w:hint="eastAsia" w:asciiTheme="minorEastAsia" w:hAnsiTheme="minorEastAsia" w:eastAsiaTheme="minorEastAsia" w:cstheme="minorEastAsia"/>
          <w:sz w:val="24"/>
          <w:highlight w:val="none"/>
          <w:lang w:eastAsia="zh-CN"/>
        </w:rPr>
        <w:t>元</w:t>
      </w:r>
    </w:p>
    <w:p w14:paraId="39192EAA">
      <w:pPr>
        <w:pStyle w:val="24"/>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385"/>
        <w:gridCol w:w="2585"/>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385" w:type="dxa"/>
            <w:vAlign w:val="center"/>
          </w:tcPr>
          <w:p w14:paraId="6A08CFAF">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585" w:type="dxa"/>
            <w:vAlign w:val="center"/>
          </w:tcPr>
          <w:p w14:paraId="5DA35618">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385" w:type="dxa"/>
            <w:vAlign w:val="center"/>
          </w:tcPr>
          <w:p w14:paraId="05855409">
            <w:pPr>
              <w:adjustRightInd w:val="0"/>
              <w:snapToGrid w:val="0"/>
              <w:spacing w:line="360" w:lineRule="auto"/>
              <w:jc w:val="center"/>
              <w:rPr>
                <w:sz w:val="24"/>
                <w:szCs w:val="24"/>
                <w:highlight w:val="none"/>
              </w:rPr>
            </w:pPr>
            <w:r>
              <w:rPr>
                <w:rFonts w:hint="eastAsia" w:asciiTheme="minorEastAsia" w:hAnsiTheme="minorEastAsia" w:eastAsiaTheme="minorEastAsia" w:cstheme="minorEastAsia"/>
                <w:sz w:val="24"/>
                <w:highlight w:val="none"/>
                <w:lang w:eastAsia="zh-CN"/>
              </w:rPr>
              <w:t>周口市生态环境局郸城分局郸城县高新技术开发区挥发性有机物自动监测站运维项目</w:t>
            </w:r>
          </w:p>
        </w:tc>
        <w:tc>
          <w:tcPr>
            <w:tcW w:w="2585"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626600.00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大气污染治理服务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cstheme="minorEastAsia"/>
          <w:color w:val="auto"/>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90"/>
      <w:bookmarkStart w:id="5" w:name="_Toc28359013"/>
      <w:bookmarkStart w:id="6" w:name="_Toc35393799"/>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highlight w:val="none"/>
          <w:lang w:val="en-US" w:eastAsia="zh-CN"/>
        </w:rPr>
      </w:pPr>
      <w:r>
        <w:rPr>
          <w:rFonts w:hint="eastAsia" w:ascii="宋体" w:hAnsi="宋体" w:cs="宋体"/>
          <w:color w:val="000000" w:themeColor="text1"/>
          <w:sz w:val="24"/>
          <w:highlight w:val="none"/>
        </w:rPr>
        <w:t>本项目是否为只面向中小企业采购：</w:t>
      </w:r>
      <w:r>
        <w:rPr>
          <w:rFonts w:hint="eastAsia" w:ascii="宋体" w:hAnsi="宋体" w:cs="宋体"/>
          <w:color w:val="000000" w:themeColor="text1"/>
          <w:sz w:val="24"/>
          <w:highlight w:val="none"/>
          <w:lang w:val="en-US" w:eastAsia="zh-CN"/>
        </w:rPr>
        <w:t>否</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lang w:val="en-US" w:eastAsia="zh-CN"/>
        </w:rPr>
        <w:t>或负责人</w:t>
      </w:r>
      <w:r>
        <w:rPr>
          <w:rFonts w:hint="eastAsia" w:ascii="宋体" w:hAnsi="宋体" w:cs="宋体"/>
          <w:color w:val="auto"/>
          <w:sz w:val="24"/>
          <w:highlight w:val="none"/>
          <w:lang w:eastAsia="zh-CN"/>
        </w:rPr>
        <w:t>）</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6FA57D01">
      <w:pPr>
        <w:pStyle w:val="26"/>
        <w:spacing w:line="360" w:lineRule="auto"/>
        <w:ind w:left="0" w:leftChars="0" w:firstLine="480" w:firstLineChars="200"/>
        <w:rPr>
          <w:rFonts w:hint="default" w:asciiTheme="minorEastAsia" w:hAnsiTheme="minorEastAsia" w:eastAsiaTheme="minorEastAsia" w:cstheme="minorEastAsia"/>
          <w:bCs/>
          <w:kern w:val="2"/>
          <w:sz w:val="24"/>
          <w:szCs w:val="24"/>
          <w:lang w:val="en-US" w:eastAsia="zh-CN" w:bidi="ar-SA"/>
        </w:rPr>
      </w:pPr>
      <w:r>
        <w:rPr>
          <w:rFonts w:hint="eastAsia" w:asciiTheme="minorEastAsia" w:hAnsiTheme="minorEastAsia" w:eastAsiaTheme="minorEastAsia" w:cstheme="minorEastAsia"/>
          <w:bCs/>
          <w:kern w:val="2"/>
          <w:sz w:val="24"/>
          <w:szCs w:val="24"/>
          <w:lang w:val="en-US" w:eastAsia="zh-CN" w:bidi="ar-SA"/>
        </w:rPr>
        <w:t>3.2供应商须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w:t>
      </w:r>
    </w:p>
    <w:p w14:paraId="24573C6F">
      <w:pPr>
        <w:pStyle w:val="26"/>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Theme="minorEastAsia" w:hAnsiTheme="minorEastAsia" w:eastAsiaTheme="minorEastAsia" w:cstheme="minorEastAsia"/>
          <w:sz w:val="24"/>
          <w:highlight w:val="none"/>
          <w:lang w:eastAsia="zh-CN"/>
        </w:rPr>
        <w:t>周口市生态环境局郸城分局</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sz w:val="24"/>
          <w:lang w:val="en-US" w:eastAsia="zh-CN"/>
        </w:rPr>
        <w:t>郸城县</w:t>
      </w:r>
      <w:r>
        <w:rPr>
          <w:rFonts w:ascii="宋体" w:hAnsi="宋体" w:eastAsia="宋体" w:cs="宋体"/>
          <w:color w:val="auto"/>
          <w:spacing w:val="0"/>
          <w:position w:val="0"/>
          <w:sz w:val="24"/>
          <w:shd w:val="clear" w:fill="auto"/>
        </w:rPr>
        <w:t>　　　　　　　　　　</w:t>
      </w:r>
    </w:p>
    <w:p w14:paraId="48A1CC16">
      <w:pPr>
        <w:spacing w:line="24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sz w:val="24"/>
          <w:szCs w:val="24"/>
          <w:highlight w:val="none"/>
          <w:lang w:val="en-US" w:eastAsia="zh-CN"/>
        </w:rPr>
        <w:t xml:space="preserve">张勇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sz w:val="24"/>
          <w:szCs w:val="24"/>
          <w:highlight w:val="none"/>
          <w:lang w:val="en-US" w:eastAsia="zh-CN"/>
        </w:rPr>
        <w:t>15297129759</w:t>
      </w:r>
      <w:r>
        <w:rPr>
          <w:rFonts w:hint="eastAsia" w:ascii="宋体" w:hAnsi="宋体" w:cs="宋体"/>
          <w:sz w:val="24"/>
          <w:highlight w:val="none"/>
        </w:rPr>
        <w:t>　　　　　</w:t>
      </w:r>
      <w:r>
        <w:rPr>
          <w:rFonts w:hint="eastAsia" w:ascii="宋体" w:hAnsi="宋体" w:cs="宋体"/>
          <w:sz w:val="24"/>
        </w:rPr>
        <w:t xml:space="preserve">　　 </w:t>
      </w:r>
      <w:bookmarkStart w:id="30" w:name="_Toc28359009"/>
      <w:bookmarkStart w:id="31" w:name="_Toc28359086"/>
    </w:p>
    <w:p w14:paraId="7F05E474">
      <w:pPr>
        <w:spacing w:line="24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24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182618C8">
      <w:pPr>
        <w:spacing w:line="24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4B640E59">
      <w:pPr>
        <w:spacing w:line="24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0394-8106517、19913276009</w:t>
      </w:r>
      <w:r>
        <w:rPr>
          <w:rFonts w:hint="eastAsia" w:ascii="宋体" w:hAnsi="宋体" w:cs="宋体"/>
          <w:sz w:val="24"/>
        </w:rPr>
        <w:t>　　　　　　　　</w:t>
      </w:r>
    </w:p>
    <w:bookmarkEnd w:id="32"/>
    <w:bookmarkEnd w:id="33"/>
    <w:p w14:paraId="780F3DC3">
      <w:pPr>
        <w:pStyle w:val="45"/>
        <w:spacing w:line="24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rPr>
        <w:t>3.</w:t>
      </w:r>
      <w:r>
        <w:rPr>
          <w:rFonts w:hint="eastAsia" w:ascii="宋体" w:hAnsi="宋体" w:eastAsia="宋体" w:cs="宋体"/>
          <w:sz w:val="24"/>
          <w:szCs w:val="24"/>
          <w:highlight w:val="none"/>
          <w:lang w:val="en-US" w:eastAsia="zh-CN"/>
        </w:rPr>
        <w:t>监督单位：</w:t>
      </w:r>
      <w:r>
        <w:rPr>
          <w:rFonts w:hint="eastAsia" w:ascii="宋体" w:hAnsi="宋体" w:eastAsia="宋体" w:cs="宋体"/>
          <w:color w:val="auto"/>
          <w:spacing w:val="0"/>
          <w:position w:val="0"/>
          <w:sz w:val="24"/>
          <w:highlight w:val="none"/>
          <w:shd w:val="clear" w:color="auto" w:fill="auto"/>
          <w:lang w:val="en-US" w:eastAsia="zh-CN"/>
        </w:rPr>
        <w:t>郸城县人民政府政府采购管理办公室</w:t>
      </w:r>
    </w:p>
    <w:p w14:paraId="7E284250">
      <w:pPr>
        <w:pStyle w:val="45"/>
        <w:spacing w:line="24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联系方式：</w:t>
      </w:r>
      <w:r>
        <w:rPr>
          <w:rFonts w:hint="eastAsia" w:ascii="宋体" w:hAnsi="宋体" w:eastAsia="宋体" w:cs="宋体"/>
          <w:i w:val="0"/>
          <w:iCs w:val="0"/>
          <w:sz w:val="24"/>
          <w:szCs w:val="24"/>
          <w:highlight w:val="none"/>
          <w:lang w:val="en-US" w:eastAsia="zh-CN"/>
        </w:rPr>
        <w:t>0394-3298829</w:t>
      </w:r>
    </w:p>
    <w:p w14:paraId="2E80E180">
      <w:pPr>
        <w:spacing w:line="240" w:lineRule="auto"/>
        <w:ind w:firstLine="480" w:firstLineChars="200"/>
        <w:jc w:val="right"/>
        <w:rPr>
          <w:rFonts w:hint="eastAsia" w:ascii="宋体" w:hAnsi="宋体" w:cs="宋体"/>
          <w:color w:val="auto"/>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rPr>
        <w:t xml:space="preserve"> </w:t>
      </w:r>
      <w:r>
        <w:rPr>
          <w:rFonts w:hint="eastAsia" w:ascii="宋体" w:hAnsi="宋体" w:cs="宋体"/>
          <w:color w:val="auto"/>
          <w:sz w:val="24"/>
          <w:szCs w:val="24"/>
          <w:highlight w:val="none"/>
        </w:rPr>
        <w:t xml:space="preserve">   </w:t>
      </w:r>
    </w:p>
    <w:p w14:paraId="59FCCA32">
      <w:pPr>
        <w:spacing w:line="240" w:lineRule="auto"/>
        <w:ind w:firstLine="480" w:firstLineChars="200"/>
        <w:jc w:val="right"/>
        <w:rPr>
          <w:rFonts w:ascii="宋体" w:hAnsi="宋体" w:cs="宋体"/>
          <w:sz w:val="24"/>
          <w:highlight w:val="none"/>
        </w:rPr>
      </w:pPr>
      <w:bookmarkStart w:id="38" w:name="_GoBack"/>
      <w:bookmarkEnd w:id="38"/>
      <w:r>
        <w:rPr>
          <w:rFonts w:hint="eastAsia" w:ascii="宋体" w:hAnsi="宋体" w:cs="宋体"/>
          <w:sz w:val="24"/>
          <w:highlight w:val="none"/>
        </w:rPr>
        <w:t>周口市公共资源交易中心政府采购中心</w:t>
      </w:r>
    </w:p>
    <w:p w14:paraId="0BB0BB7C">
      <w:pPr>
        <w:pStyle w:val="21"/>
        <w:adjustRightInd w:val="0"/>
        <w:spacing w:line="240" w:lineRule="auto"/>
        <w:ind w:left="0" w:leftChars="0" w:firstLine="4324" w:firstLineChars="1802"/>
        <w:jc w:val="right"/>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2026年2月28日</w:t>
      </w:r>
      <w:r>
        <w:rPr>
          <w:rFonts w:hint="eastAsia" w:ascii="宋体" w:hAnsi="宋体" w:cs="宋体"/>
          <w:color w:val="000000" w:themeColor="text1"/>
          <w:sz w:val="24"/>
          <w:szCs w:val="24"/>
          <w:highlight w:val="none"/>
        </w:rPr>
        <w:t>　</w:t>
      </w: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345" w:type="dxa"/>
            <w:gridSpan w:val="3"/>
            <w:vAlign w:val="center"/>
          </w:tcPr>
          <w:p w14:paraId="19D67241">
            <w:pPr>
              <w:spacing w:line="240" w:lineRule="auto"/>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243AA6E5">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spacing w:line="240" w:lineRule="auto"/>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0E01C4C3">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1BF9853E">
            <w:pPr>
              <w:spacing w:line="240" w:lineRule="auto"/>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spacing w:line="240" w:lineRule="auto"/>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项目名称：周口市生态环境局郸城分局郸城县高新技术开发区挥发性有机物自动监测站运维项目</w:t>
            </w:r>
          </w:p>
          <w:p w14:paraId="5AB06AC2">
            <w:pPr>
              <w:spacing w:line="240" w:lineRule="auto"/>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大气污染治理服务</w:t>
            </w:r>
          </w:p>
          <w:p w14:paraId="5F5E0913">
            <w:pPr>
              <w:spacing w:line="240" w:lineRule="auto"/>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采购人：周口市生态环境局郸城分局</w:t>
            </w:r>
            <w:r>
              <w:rPr>
                <w:rFonts w:hint="eastAsia" w:ascii="宋体" w:hAnsi="宋体" w:cs="宋体"/>
                <w:color w:val="0C0C0C" w:themeColor="text1" w:themeTint="F2"/>
                <w:sz w:val="24"/>
                <w:szCs w:val="24"/>
                <w:highlight w:val="none"/>
                <w:lang w:val="en-US" w:eastAsia="zh-CN"/>
              </w:rPr>
              <w:t>　</w:t>
            </w:r>
            <w:r>
              <w:rPr>
                <w:rFonts w:hint="eastAsia" w:ascii="宋体" w:hAnsi="宋体" w:cs="宋体"/>
                <w:color w:val="0C0C0C" w:themeColor="text1" w:themeTint="F2"/>
                <w:sz w:val="24"/>
                <w:szCs w:val="24"/>
                <w:highlight w:val="none"/>
                <w:lang w:eastAsia="zh-CN"/>
              </w:rPr>
              <w:t>　　　</w:t>
            </w:r>
          </w:p>
          <w:p w14:paraId="69EBCCD9">
            <w:pPr>
              <w:spacing w:line="240" w:lineRule="auto"/>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6365561">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03B7DD3">
            <w:pPr>
              <w:spacing w:before="156" w:beforeLines="50" w:line="240" w:lineRule="auto"/>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line="240" w:lineRule="auto"/>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BF9A5F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5C10C8B">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spacing w:line="240" w:lineRule="auto"/>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67A614B">
            <w:pPr>
              <w:numPr>
                <w:ilvl w:val="0"/>
                <w:numId w:val="1"/>
              </w:numPr>
              <w:spacing w:before="156" w:beforeLines="50" w:line="240" w:lineRule="auto"/>
              <w:rPr>
                <w:rFonts w:ascii="宋体" w:hAnsi="宋体" w:cs="宋体"/>
                <w:sz w:val="24"/>
                <w:szCs w:val="24"/>
                <w:highlight w:val="none"/>
              </w:rPr>
            </w:pPr>
          </w:p>
        </w:tc>
        <w:tc>
          <w:tcPr>
            <w:tcW w:w="1995" w:type="dxa"/>
            <w:vAlign w:val="center"/>
          </w:tcPr>
          <w:p w14:paraId="2D48080A">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spacing w:line="240" w:lineRule="auto"/>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792EC679">
            <w:pPr>
              <w:numPr>
                <w:ilvl w:val="0"/>
                <w:numId w:val="1"/>
              </w:numPr>
              <w:spacing w:before="156" w:beforeLines="50" w:line="240" w:lineRule="auto"/>
              <w:rPr>
                <w:rFonts w:ascii="宋体" w:hAnsi="宋体" w:cs="宋体"/>
                <w:sz w:val="24"/>
                <w:szCs w:val="24"/>
                <w:highlight w:val="none"/>
              </w:rPr>
            </w:pPr>
          </w:p>
        </w:tc>
        <w:tc>
          <w:tcPr>
            <w:tcW w:w="1995" w:type="dxa"/>
            <w:vAlign w:val="center"/>
          </w:tcPr>
          <w:p w14:paraId="6439ACA0">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spacing w:line="240" w:lineRule="auto"/>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3CE20B0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F9D85E4">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spacing w:line="240" w:lineRule="auto"/>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6DBB4AE0">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870B148">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spacing w:line="240" w:lineRule="auto"/>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6A95765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3F18C83">
            <w:pPr>
              <w:tabs>
                <w:tab w:val="left" w:pos="8640"/>
              </w:tabs>
              <w:spacing w:before="156" w:beforeLines="50" w:line="240" w:lineRule="auto"/>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spacing w:line="240" w:lineRule="auto"/>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499BCE7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7AB27098">
            <w:pPr>
              <w:tabs>
                <w:tab w:val="left" w:pos="8640"/>
              </w:tabs>
              <w:spacing w:before="156" w:beforeLines="50" w:line="240" w:lineRule="auto"/>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spacing w:line="240" w:lineRule="auto"/>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0B75242C">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74013EB8">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3B3F91CF">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1DBBCAD">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spacing w:line="240" w:lineRule="auto"/>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69C86DB1">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DB91394">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spacing w:line="240" w:lineRule="auto"/>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4455CF5D">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5BB0279">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spacing w:line="240" w:lineRule="auto"/>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72A73C02">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C82863F">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spacing w:line="240" w:lineRule="auto"/>
              <w:rPr>
                <w:rFonts w:ascii="宋体" w:hAnsi="宋体"/>
                <w:sz w:val="24"/>
                <w:szCs w:val="24"/>
                <w:highlight w:val="none"/>
              </w:rPr>
            </w:pPr>
            <w:r>
              <w:rPr>
                <w:rFonts w:hint="eastAsia" w:ascii="宋体" w:hAnsi="宋体"/>
                <w:sz w:val="24"/>
                <w:szCs w:val="24"/>
                <w:highlight w:val="none"/>
              </w:rPr>
              <w:t>周口市公共资源交易中心网</w:t>
            </w:r>
          </w:p>
          <w:p w14:paraId="6E39ACD8">
            <w:pPr>
              <w:spacing w:line="240" w:lineRule="auto"/>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240" w:lineRule="auto"/>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4D4476D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A2F5EAE">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spacing w:line="240" w:lineRule="auto"/>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21A45389">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0DC517B">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spacing w:line="240" w:lineRule="auto"/>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35A22B0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5867B60">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spacing w:line="240" w:lineRule="auto"/>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5D341B05">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6F7D1B1">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76017C6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3D0FD18">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spacing w:line="240" w:lineRule="auto"/>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71748F2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12EDB266">
            <w:pPr>
              <w:spacing w:line="24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spacing w:line="240" w:lineRule="auto"/>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735" w:type="dxa"/>
            <w:vAlign w:val="center"/>
          </w:tcPr>
          <w:p w14:paraId="198686E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00012104">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2D1A0850">
            <w:pPr>
              <w:keepNext w:val="0"/>
              <w:keepLines w:val="0"/>
              <w:pageBreakBefore w:val="0"/>
              <w:widowControl w:val="0"/>
              <w:tabs>
                <w:tab w:val="left" w:pos="8640"/>
              </w:tabs>
              <w:kinsoku/>
              <w:wordWrap/>
              <w:overflowPunct/>
              <w:topLinePunct w:val="0"/>
              <w:autoSpaceDE/>
              <w:autoSpaceDN/>
              <w:bidi w:val="0"/>
              <w:adjustRightInd/>
              <w:snapToGrid w:val="0"/>
              <w:spacing w:line="240" w:lineRule="auto"/>
              <w:ind w:left="-2" w:leftChars="-1"/>
              <w:textAlignment w:val="auto"/>
              <w:rPr>
                <w:rFonts w:hint="default" w:eastAsia="宋体"/>
                <w:sz w:val="24"/>
                <w:szCs w:val="24"/>
                <w:highlight w:val="none"/>
                <w:lang w:val="en-US" w:eastAsia="zh-CN"/>
              </w:rPr>
            </w:pPr>
            <w:r>
              <w:rPr>
                <w:rFonts w:hint="default" w:eastAsia="宋体"/>
                <w:sz w:val="24"/>
                <w:szCs w:val="24"/>
                <w:highlight w:val="none"/>
                <w:lang w:val="en-US" w:eastAsia="zh-CN"/>
              </w:rPr>
              <w:t>合同签订15日内付30%，服务期满半年后付40%，服务期满后付剩余30%。</w:t>
            </w:r>
          </w:p>
          <w:p w14:paraId="4AC8998C">
            <w:pPr>
              <w:tabs>
                <w:tab w:val="left" w:pos="8640"/>
              </w:tabs>
              <w:spacing w:line="240" w:lineRule="auto"/>
              <w:ind w:left="-2" w:leftChars="-1"/>
              <w:rPr>
                <w:rFonts w:hint="default" w:eastAsia="宋体"/>
                <w:sz w:val="24"/>
                <w:szCs w:val="24"/>
                <w:highlight w:val="none"/>
                <w:lang w:val="en-US" w:eastAsia="zh-CN"/>
              </w:rPr>
            </w:pP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D20C58F">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E6CC24B">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spacing w:line="240" w:lineRule="auto"/>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0465AD4">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FB2CE76">
            <w:pPr>
              <w:spacing w:before="156" w:beforeLines="50" w:line="240" w:lineRule="auto"/>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spacing w:line="240" w:lineRule="auto"/>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35" w:type="dxa"/>
            <w:vAlign w:val="center"/>
          </w:tcPr>
          <w:p w14:paraId="1C266722">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47DF5A1">
            <w:pPr>
              <w:spacing w:before="156" w:beforeLines="50" w:line="240" w:lineRule="auto"/>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spacing w:line="240" w:lineRule="auto"/>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6"/>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2.2“采购人”：周口市生态环境局郸城分局</w:t>
      </w:r>
      <w:r>
        <w:rPr>
          <w:rFonts w:hint="eastAsia" w:ascii="宋体" w:hAnsi="宋体" w:cs="宋体"/>
          <w:color w:val="0C0C0C" w:themeColor="text1" w:themeTint="F2"/>
          <w:sz w:val="24"/>
          <w:highlight w:val="none"/>
          <w:lang w:val="en-US" w:eastAsia="zh-CN"/>
        </w:rPr>
        <w:t>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83"/>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83"/>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lang w:val="zh-CN"/>
        </w:rPr>
        <w:t>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4"/>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4"/>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bCs/>
                <w:sz w:val="24"/>
                <w:highlight w:val="none"/>
              </w:rPr>
              <w:t>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4"/>
        <w:rPr>
          <w:rFonts w:ascii="宋体" w:hAnsi="宋体" w:cs="宋体"/>
          <w:sz w:val="24"/>
          <w:szCs w:val="24"/>
          <w:highlight w:val="none"/>
        </w:rPr>
      </w:pPr>
    </w:p>
    <w:p w14:paraId="3C2E2FD7">
      <w:pPr>
        <w:pStyle w:val="44"/>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lang w:val="zh-CN"/>
        </w:rPr>
        <w:t>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5"/>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5"/>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36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389"/>
        <w:gridCol w:w="4379"/>
        <w:gridCol w:w="2364"/>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Align w:val="center"/>
          </w:tcPr>
          <w:p w14:paraId="0A5771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767" w:type="pct"/>
            <w:vAlign w:val="center"/>
          </w:tcPr>
          <w:p w14:paraId="6F31A8E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417" w:type="pct"/>
            <w:vAlign w:val="center"/>
          </w:tcPr>
          <w:p w14:paraId="30631C06">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305" w:type="pct"/>
            <w:vAlign w:val="center"/>
          </w:tcPr>
          <w:p w14:paraId="2B806E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Align w:val="center"/>
          </w:tcPr>
          <w:p w14:paraId="01B00E5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报价得分（</w:t>
            </w:r>
            <w:r>
              <w:rPr>
                <w:rFonts w:hint="eastAsia" w:ascii="宋体" w:hAnsi="宋体" w:cs="宋体"/>
                <w:b w:val="0"/>
                <w:bCs w:val="0"/>
                <w:color w:val="000000" w:themeColor="text1"/>
                <w:sz w:val="24"/>
                <w:szCs w:val="24"/>
                <w:highlight w:val="none"/>
                <w:lang w:val="en-US" w:eastAsia="zh-CN"/>
              </w:rPr>
              <w:t>30</w:t>
            </w:r>
            <w:r>
              <w:rPr>
                <w:rFonts w:hint="eastAsia" w:ascii="宋体" w:hAnsi="宋体" w:eastAsia="宋体" w:cs="宋体"/>
                <w:b w:val="0"/>
                <w:bCs w:val="0"/>
                <w:color w:val="000000" w:themeColor="text1"/>
                <w:sz w:val="24"/>
                <w:szCs w:val="24"/>
                <w:highlight w:val="none"/>
              </w:rPr>
              <w:t>分）</w:t>
            </w:r>
          </w:p>
        </w:tc>
        <w:tc>
          <w:tcPr>
            <w:tcW w:w="767" w:type="pct"/>
            <w:vAlign w:val="center"/>
          </w:tcPr>
          <w:p w14:paraId="5B03E135">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w:t>
            </w:r>
          </w:p>
          <w:p w14:paraId="11239E63">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w:t>
            </w:r>
            <w:r>
              <w:rPr>
                <w:rFonts w:hint="eastAsia" w:ascii="宋体" w:hAnsi="宋体" w:cs="宋体"/>
                <w:b w:val="0"/>
                <w:bCs w:val="0"/>
                <w:color w:val="000000" w:themeColor="text1"/>
                <w:sz w:val="24"/>
                <w:szCs w:val="24"/>
                <w:highlight w:val="none"/>
                <w:lang w:val="en-US" w:eastAsia="zh-CN"/>
              </w:rPr>
              <w:t>30</w:t>
            </w:r>
            <w:r>
              <w:rPr>
                <w:rFonts w:hint="eastAsia" w:ascii="宋体" w:hAnsi="宋体" w:eastAsia="宋体" w:cs="宋体"/>
                <w:b w:val="0"/>
                <w:bCs w:val="0"/>
                <w:color w:val="000000" w:themeColor="text1"/>
                <w:sz w:val="24"/>
                <w:szCs w:val="24"/>
                <w:highlight w:val="none"/>
              </w:rPr>
              <w:t>分）</w:t>
            </w:r>
          </w:p>
        </w:tc>
        <w:tc>
          <w:tcPr>
            <w:tcW w:w="3722" w:type="pct"/>
            <w:gridSpan w:val="2"/>
            <w:vAlign w:val="center"/>
          </w:tcPr>
          <w:p w14:paraId="249FD0E4">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30</w:t>
            </w:r>
          </w:p>
          <w:p w14:paraId="11EC91A9">
            <w:pPr>
              <w:keepNext w:val="0"/>
              <w:keepLines w:val="0"/>
              <w:pageBreakBefore w:val="0"/>
              <w:tabs>
                <w:tab w:val="left" w:pos="5130"/>
              </w:tabs>
              <w:kinsoku/>
              <w:wordWrap/>
              <w:overflowPunct/>
              <w:topLinePunct w:val="0"/>
              <w:autoSpaceDE/>
              <w:autoSpaceDN/>
              <w:bidi w:val="0"/>
              <w:adjustRightInd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5"/>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5606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restart"/>
            <w:vAlign w:val="center"/>
          </w:tcPr>
          <w:p w14:paraId="019DE22E">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3C2C04C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50</w:t>
            </w:r>
            <w:r>
              <w:rPr>
                <w:rFonts w:hint="eastAsia" w:ascii="宋体" w:hAnsi="宋体" w:eastAsia="宋体" w:cs="宋体"/>
                <w:b w:val="0"/>
                <w:bCs w:val="0"/>
                <w:color w:val="000000" w:themeColor="text1"/>
                <w:sz w:val="24"/>
                <w:szCs w:val="24"/>
                <w:highlight w:val="none"/>
                <w:lang w:val="en-US" w:eastAsia="zh-CN"/>
              </w:rPr>
              <w:t>分）</w:t>
            </w:r>
          </w:p>
        </w:tc>
        <w:tc>
          <w:tcPr>
            <w:tcW w:w="767" w:type="pct"/>
            <w:vAlign w:val="center"/>
          </w:tcPr>
          <w:p w14:paraId="0966204D">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技术参数（15分）</w:t>
            </w:r>
          </w:p>
        </w:tc>
        <w:tc>
          <w:tcPr>
            <w:tcW w:w="3722" w:type="pct"/>
            <w:gridSpan w:val="2"/>
            <w:vAlign w:val="center"/>
          </w:tcPr>
          <w:p w14:paraId="5ACA79CE">
            <w:pPr>
              <w:autoSpaceDE w:val="0"/>
              <w:autoSpaceDN w:val="0"/>
              <w:adjustRightInd w:val="0"/>
              <w:spacing w:line="360" w:lineRule="auto"/>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投标人所投</w:t>
            </w:r>
            <w:r>
              <w:rPr>
                <w:rFonts w:hint="eastAsia" w:cs="Times New Roman"/>
                <w:sz w:val="24"/>
                <w:szCs w:val="24"/>
                <w:lang w:val="en-US" w:eastAsia="zh-CN"/>
              </w:rPr>
              <w:t>服务</w:t>
            </w:r>
            <w:r>
              <w:rPr>
                <w:rFonts w:hint="eastAsia" w:ascii="Times New Roman" w:hAnsi="Times New Roman" w:cs="Times New Roman"/>
                <w:sz w:val="24"/>
                <w:szCs w:val="24"/>
                <w:lang w:val="en-US" w:eastAsia="zh-CN"/>
              </w:rPr>
              <w:t>的技术参数完全满足</w:t>
            </w:r>
            <w:r>
              <w:rPr>
                <w:rFonts w:hint="eastAsia" w:cs="Times New Roman"/>
                <w:sz w:val="24"/>
                <w:szCs w:val="24"/>
                <w:lang w:val="en-US" w:eastAsia="zh-CN"/>
              </w:rPr>
              <w:t>竞争性磋商</w:t>
            </w:r>
            <w:r>
              <w:rPr>
                <w:rFonts w:hint="eastAsia" w:ascii="Times New Roman" w:hAnsi="Times New Roman" w:cs="Times New Roman"/>
                <w:sz w:val="24"/>
                <w:szCs w:val="24"/>
                <w:lang w:val="en-US" w:eastAsia="zh-CN"/>
              </w:rPr>
              <w:t>文件技术参数要求的得15分，每有一条不满足扣1分，扣完为止。</w:t>
            </w:r>
          </w:p>
        </w:tc>
      </w:tr>
      <w:tr w14:paraId="3895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510" w:type="pct"/>
            <w:vMerge w:val="continue"/>
            <w:vAlign w:val="center"/>
          </w:tcPr>
          <w:p w14:paraId="04704B28">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shd w:val="clear" w:color="auto" w:fill="auto"/>
            <w:vAlign w:val="center"/>
          </w:tcPr>
          <w:p w14:paraId="3CDBD50F">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维护方案  （ 10分） </w:t>
            </w:r>
          </w:p>
        </w:tc>
        <w:tc>
          <w:tcPr>
            <w:tcW w:w="3722" w:type="pct"/>
            <w:gridSpan w:val="2"/>
            <w:shd w:val="clear" w:color="auto" w:fill="auto"/>
            <w:vAlign w:val="center"/>
          </w:tcPr>
          <w:p w14:paraId="77FCD80A">
            <w:pPr>
              <w:widowControl/>
              <w:jc w:val="left"/>
              <w:rPr>
                <w:rFonts w:hint="eastAsia" w:ascii="Times New Roman" w:hAnsi="Times New Roman" w:cs="Times New Roman"/>
                <w:sz w:val="24"/>
                <w:szCs w:val="24"/>
                <w:lang w:val="en-US" w:eastAsia="zh-CN"/>
              </w:rPr>
            </w:pPr>
            <w:r>
              <w:rPr>
                <w:rFonts w:hint="eastAsia" w:ascii="宋体" w:hAnsi="宋体" w:cs="宋体"/>
                <w:sz w:val="24"/>
                <w:szCs w:val="24"/>
              </w:rPr>
              <w:t>投标人</w:t>
            </w:r>
            <w:r>
              <w:rPr>
                <w:rFonts w:hint="eastAsia" w:ascii="宋体" w:hAnsi="宋体" w:cs="宋体"/>
                <w:sz w:val="24"/>
                <w:szCs w:val="24"/>
                <w:lang w:val="en-US" w:eastAsia="zh-CN"/>
              </w:rPr>
              <w:t>提供</w:t>
            </w:r>
            <w:r>
              <w:rPr>
                <w:rFonts w:hint="eastAsia" w:ascii="宋体" w:hAnsi="宋体" w:cs="宋体"/>
                <w:sz w:val="24"/>
                <w:szCs w:val="24"/>
              </w:rPr>
              <w:t>维护</w:t>
            </w:r>
            <w:r>
              <w:rPr>
                <w:rFonts w:ascii="宋体" w:hAnsi="宋体" w:cs="宋体"/>
                <w:sz w:val="24"/>
                <w:szCs w:val="24"/>
              </w:rPr>
              <w:t>方案（包括工作制度</w:t>
            </w:r>
            <w:r>
              <w:rPr>
                <w:rFonts w:hint="eastAsia" w:ascii="宋体" w:hAnsi="宋体" w:cs="宋体"/>
                <w:sz w:val="24"/>
                <w:szCs w:val="24"/>
              </w:rPr>
              <w:t>、</w:t>
            </w:r>
            <w:r>
              <w:rPr>
                <w:rFonts w:ascii="宋体" w:hAnsi="宋体" w:cs="宋体"/>
                <w:sz w:val="24"/>
                <w:szCs w:val="24"/>
              </w:rPr>
              <w:t>安全保障措施</w:t>
            </w:r>
            <w:r>
              <w:rPr>
                <w:rFonts w:hint="eastAsia" w:ascii="宋体" w:hAnsi="宋体" w:cs="宋体"/>
                <w:sz w:val="24"/>
                <w:szCs w:val="24"/>
              </w:rPr>
              <w:t>、</w:t>
            </w:r>
            <w:r>
              <w:rPr>
                <w:rFonts w:ascii="宋体" w:hAnsi="宋体" w:cs="宋体"/>
                <w:sz w:val="24"/>
                <w:szCs w:val="24"/>
              </w:rPr>
              <w:t>具体日常维护</w:t>
            </w:r>
            <w:r>
              <w:rPr>
                <w:rFonts w:hint="eastAsia" w:ascii="宋体" w:hAnsi="宋体" w:cs="宋体"/>
                <w:sz w:val="24"/>
                <w:szCs w:val="24"/>
              </w:rPr>
              <w:t>、</w:t>
            </w:r>
            <w:r>
              <w:rPr>
                <w:rFonts w:ascii="宋体" w:hAnsi="宋体" w:cs="宋体"/>
                <w:sz w:val="24"/>
                <w:szCs w:val="24"/>
              </w:rPr>
              <w:t>定期巡检和校准</w:t>
            </w:r>
            <w:r>
              <w:rPr>
                <w:rFonts w:hint="eastAsia" w:ascii="宋体" w:hAnsi="宋体" w:cs="宋体"/>
                <w:sz w:val="24"/>
                <w:szCs w:val="24"/>
              </w:rPr>
              <w:t>、</w:t>
            </w:r>
            <w:r>
              <w:rPr>
                <w:rFonts w:ascii="宋体" w:hAnsi="宋体" w:cs="宋体"/>
                <w:sz w:val="24"/>
                <w:szCs w:val="24"/>
              </w:rPr>
              <w:t>故障维修等措施）</w:t>
            </w:r>
            <w:r>
              <w:rPr>
                <w:rFonts w:hint="eastAsia" w:ascii="宋体" w:hAnsi="宋体" w:cs="宋体"/>
                <w:sz w:val="24"/>
                <w:szCs w:val="24"/>
              </w:rPr>
              <w:t>的得10分，缺少一项扣2分，扣完为止。</w:t>
            </w:r>
          </w:p>
        </w:tc>
      </w:tr>
      <w:tr w14:paraId="5F6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510" w:type="pct"/>
            <w:vMerge w:val="continue"/>
            <w:vAlign w:val="center"/>
          </w:tcPr>
          <w:p w14:paraId="6BD5DE9B">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vAlign w:val="center"/>
          </w:tcPr>
          <w:p w14:paraId="548DF1B1">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质量保证措施（10分）</w:t>
            </w:r>
          </w:p>
        </w:tc>
        <w:tc>
          <w:tcPr>
            <w:tcW w:w="3722" w:type="pct"/>
            <w:gridSpan w:val="2"/>
            <w:vAlign w:val="center"/>
          </w:tcPr>
          <w:p w14:paraId="4534B08D">
            <w:pPr>
              <w:widowControl/>
              <w:jc w:val="left"/>
              <w:rPr>
                <w:rFonts w:hint="eastAsia" w:ascii="Times New Roman" w:hAnsi="Times New Roman" w:cs="Times New Roman"/>
                <w:sz w:val="24"/>
                <w:szCs w:val="24"/>
                <w:lang w:val="en-US" w:eastAsia="zh-CN"/>
              </w:rPr>
            </w:pPr>
            <w:r>
              <w:rPr>
                <w:rFonts w:hint="eastAsia" w:ascii="宋体" w:hAnsi="宋体" w:cs="宋体"/>
                <w:sz w:val="24"/>
                <w:szCs w:val="24"/>
              </w:rPr>
              <w:t>投标人提供质量保证措施和应急方案</w:t>
            </w:r>
            <w:r>
              <w:rPr>
                <w:rFonts w:hint="eastAsia" w:ascii="宋体" w:hAnsi="宋体" w:cs="宋体"/>
                <w:sz w:val="24"/>
                <w:szCs w:val="24"/>
                <w:lang w:eastAsia="zh-CN"/>
              </w:rPr>
              <w:t>（</w:t>
            </w:r>
            <w:r>
              <w:rPr>
                <w:rFonts w:hint="eastAsia" w:ascii="宋体" w:hAnsi="宋体" w:cs="宋体"/>
                <w:sz w:val="24"/>
                <w:szCs w:val="24"/>
                <w:lang w:val="en-US" w:eastAsia="zh-CN"/>
              </w:rPr>
              <w:t>包括</w:t>
            </w:r>
            <w:r>
              <w:rPr>
                <w:rFonts w:hint="eastAsia" w:ascii="宋体" w:hAnsi="宋体" w:cs="宋体"/>
                <w:sz w:val="24"/>
                <w:szCs w:val="24"/>
              </w:rPr>
              <w:t>仪器维修、数据审核方案、质量控制方案、突发事件的预警、突发事件的处理</w:t>
            </w:r>
            <w:r>
              <w:rPr>
                <w:rFonts w:hint="eastAsia" w:ascii="宋体" w:hAnsi="宋体" w:cs="宋体"/>
                <w:sz w:val="24"/>
                <w:szCs w:val="24"/>
                <w:lang w:eastAsia="zh-CN"/>
              </w:rPr>
              <w:t>）</w:t>
            </w:r>
            <w:r>
              <w:rPr>
                <w:rFonts w:hint="eastAsia" w:ascii="宋体" w:hAnsi="宋体" w:cs="宋体"/>
                <w:sz w:val="24"/>
                <w:szCs w:val="24"/>
              </w:rPr>
              <w:t>的得10分，缺少一项扣2分，扣完为止。</w:t>
            </w:r>
          </w:p>
        </w:tc>
      </w:tr>
      <w:tr w14:paraId="0AB2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jc w:val="center"/>
        </w:trPr>
        <w:tc>
          <w:tcPr>
            <w:tcW w:w="510" w:type="pct"/>
            <w:vMerge w:val="continue"/>
            <w:vAlign w:val="center"/>
          </w:tcPr>
          <w:p w14:paraId="401B04A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shd w:val="clear" w:color="auto" w:fill="auto"/>
            <w:vAlign w:val="center"/>
          </w:tcPr>
          <w:p w14:paraId="26CC5273">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应急预案</w:t>
            </w:r>
          </w:p>
          <w:p w14:paraId="5B1B4EC3">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（10分）</w:t>
            </w:r>
          </w:p>
        </w:tc>
        <w:tc>
          <w:tcPr>
            <w:tcW w:w="3722" w:type="pct"/>
            <w:gridSpan w:val="2"/>
            <w:shd w:val="clear" w:color="auto" w:fill="auto"/>
            <w:vAlign w:val="center"/>
          </w:tcPr>
          <w:p w14:paraId="314E7A61">
            <w:pPr>
              <w:widowControl/>
              <w:jc w:val="left"/>
              <w:rPr>
                <w:rFonts w:hint="eastAsia" w:ascii="Times New Roman" w:hAnsi="Times New Roman" w:cs="Times New Roman"/>
                <w:sz w:val="24"/>
                <w:szCs w:val="24"/>
                <w:lang w:val="en-US" w:eastAsia="zh-CN"/>
              </w:rPr>
            </w:pPr>
            <w:r>
              <w:rPr>
                <w:rFonts w:hint="eastAsia" w:ascii="宋体" w:hAnsi="宋体" w:cs="宋体"/>
                <w:sz w:val="24"/>
                <w:szCs w:val="24"/>
              </w:rPr>
              <w:t>根据投标人提供的应急预案（含应急分类、判别与处置），对运维期间如出现严重影响系统运行和数据质量的重大问题时，（1）具备预防和补救措施；（2）制定了异常数据监控制度和处理处置方法；（3）对应急工作进行了规划并制定计划，同时列出各种应急情景；（4）发现应急情况的方法；（5）应急措施及解决方案，系统地阐述判断和解决方法，制定工作流程</w:t>
            </w:r>
            <w:r>
              <w:rPr>
                <w:rFonts w:hint="eastAsia" w:ascii="宋体" w:hAnsi="宋体" w:cs="宋体"/>
                <w:sz w:val="24"/>
                <w:szCs w:val="24"/>
                <w:lang w:val="en-US" w:eastAsia="zh-CN"/>
              </w:rPr>
              <w:t>的</w:t>
            </w:r>
            <w:r>
              <w:rPr>
                <w:rFonts w:hint="eastAsia" w:ascii="宋体" w:hAnsi="宋体" w:cs="宋体"/>
                <w:sz w:val="24"/>
                <w:szCs w:val="24"/>
              </w:rPr>
              <w:t>得10分。</w:t>
            </w:r>
            <w:r>
              <w:rPr>
                <w:rFonts w:hint="eastAsia" w:ascii="宋体" w:hAnsi="宋体" w:cs="宋体"/>
                <w:sz w:val="24"/>
                <w:szCs w:val="24"/>
                <w:lang w:val="en-US" w:eastAsia="zh-CN"/>
              </w:rPr>
              <w:t>缺</w:t>
            </w:r>
            <w:r>
              <w:rPr>
                <w:rFonts w:hint="eastAsia" w:ascii="宋体" w:hAnsi="宋体" w:cs="宋体"/>
                <w:sz w:val="24"/>
                <w:szCs w:val="24"/>
              </w:rPr>
              <w:t>少一项扣2分，扣完为止。</w:t>
            </w:r>
          </w:p>
        </w:tc>
      </w:tr>
      <w:tr w14:paraId="4C11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510" w:type="pct"/>
            <w:vMerge w:val="continue"/>
            <w:vAlign w:val="center"/>
          </w:tcPr>
          <w:p w14:paraId="1379D47A">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shd w:val="clear" w:color="auto" w:fill="auto"/>
            <w:vAlign w:val="center"/>
          </w:tcPr>
          <w:p w14:paraId="6063F35A">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数据归档方案(5分)</w:t>
            </w:r>
          </w:p>
        </w:tc>
        <w:tc>
          <w:tcPr>
            <w:tcW w:w="3722" w:type="pct"/>
            <w:gridSpan w:val="2"/>
            <w:shd w:val="clear" w:color="auto" w:fill="auto"/>
            <w:vAlign w:val="center"/>
          </w:tcPr>
          <w:p w14:paraId="2A8E7BC0">
            <w:pPr>
              <w:widowControl/>
              <w:jc w:val="left"/>
              <w:rPr>
                <w:rFonts w:hint="eastAsia" w:ascii="Times New Roman" w:hAnsi="Times New Roman" w:cs="Times New Roman"/>
                <w:sz w:val="24"/>
                <w:szCs w:val="24"/>
                <w:lang w:val="en-US" w:eastAsia="zh-CN"/>
              </w:rPr>
            </w:pPr>
            <w:r>
              <w:rPr>
                <w:rFonts w:hint="eastAsia" w:ascii="宋体" w:hAnsi="宋体" w:cs="宋体"/>
                <w:sz w:val="24"/>
                <w:szCs w:val="24"/>
              </w:rPr>
              <w:t>投标人</w:t>
            </w:r>
            <w:r>
              <w:rPr>
                <w:rFonts w:hint="eastAsia" w:ascii="宋体" w:hAnsi="宋体" w:cs="宋体"/>
                <w:sz w:val="24"/>
                <w:szCs w:val="24"/>
                <w:lang w:val="en-US" w:eastAsia="zh-CN"/>
              </w:rPr>
              <w:t>提供</w:t>
            </w:r>
            <w:r>
              <w:rPr>
                <w:rFonts w:hint="eastAsia" w:ascii="宋体" w:hAnsi="宋体" w:cs="宋体"/>
                <w:sz w:val="24"/>
                <w:szCs w:val="24"/>
              </w:rPr>
              <w:t>项目档案资料管理制度</w:t>
            </w:r>
            <w:r>
              <w:rPr>
                <w:rFonts w:hint="eastAsia" w:ascii="宋体" w:hAnsi="宋体" w:cs="宋体"/>
                <w:sz w:val="24"/>
                <w:szCs w:val="24"/>
                <w:lang w:val="en-US" w:eastAsia="zh-CN"/>
              </w:rPr>
              <w:t>的</w:t>
            </w:r>
            <w:r>
              <w:rPr>
                <w:rFonts w:hint="eastAsia" w:ascii="宋体" w:hAnsi="宋体" w:cs="宋体"/>
                <w:sz w:val="24"/>
                <w:szCs w:val="24"/>
              </w:rPr>
              <w:t>得5分，不提供者不得分。</w:t>
            </w:r>
          </w:p>
        </w:tc>
      </w:tr>
      <w:tr w14:paraId="2A9D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restart"/>
            <w:vAlign w:val="center"/>
          </w:tcPr>
          <w:p w14:paraId="209A79EB">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363A954D">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lang w:val="zh-CN"/>
              </w:rPr>
              <w:t>分）</w:t>
            </w:r>
          </w:p>
        </w:tc>
        <w:tc>
          <w:tcPr>
            <w:tcW w:w="767" w:type="pct"/>
            <w:vAlign w:val="center"/>
          </w:tcPr>
          <w:p w14:paraId="14543F93">
            <w:pPr>
              <w:pStyle w:val="44"/>
              <w:spacing w:line="36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业绩</w:t>
            </w:r>
          </w:p>
          <w:p w14:paraId="6A4D8365">
            <w:pPr>
              <w:pStyle w:val="44"/>
              <w:spacing w:line="36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（5分）</w:t>
            </w:r>
          </w:p>
        </w:tc>
        <w:tc>
          <w:tcPr>
            <w:tcW w:w="3722" w:type="pct"/>
            <w:gridSpan w:val="2"/>
            <w:vAlign w:val="center"/>
          </w:tcPr>
          <w:p w14:paraId="6A408B02">
            <w:pPr>
              <w:autoSpaceDE w:val="0"/>
              <w:autoSpaceDN w:val="0"/>
              <w:adjustRightInd w:val="0"/>
              <w:spacing w:line="360" w:lineRule="auto"/>
              <w:ind w:left="0" w:leftChars="0" w:firstLine="218" w:firstLineChars="91"/>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投标人提供2023年1月1日以来完成类似项目业绩，每提供一份业绩得2.5分，满分5分</w:t>
            </w:r>
            <w:r>
              <w:rPr>
                <w:rFonts w:hint="eastAsia" w:cs="Times New Roman"/>
                <w:sz w:val="24"/>
                <w:szCs w:val="24"/>
                <w:lang w:val="en-US" w:eastAsia="zh-CN"/>
              </w:rPr>
              <w:t>。</w:t>
            </w:r>
          </w:p>
          <w:p w14:paraId="2453110A">
            <w:pPr>
              <w:autoSpaceDE w:val="0"/>
              <w:autoSpaceDN w:val="0"/>
              <w:adjustRightInd w:val="0"/>
              <w:spacing w:line="360" w:lineRule="auto"/>
              <w:ind w:left="0" w:leftChars="0" w:firstLine="218" w:firstLineChars="91"/>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aps w:val="0"/>
                <w:kern w:val="2"/>
                <w:sz w:val="24"/>
                <w:szCs w:val="24"/>
                <w:lang w:val="en-US" w:eastAsia="zh-CN" w:bidi="ar-SA"/>
              </w:rPr>
              <w:t>注：</w:t>
            </w:r>
            <w:r>
              <w:rPr>
                <w:rFonts w:hint="default" w:ascii="Times New Roman" w:hAnsi="Times New Roman" w:eastAsia="宋体" w:cs="Times New Roman"/>
                <w:sz w:val="24"/>
                <w:szCs w:val="24"/>
                <w:lang w:val="en-US" w:eastAsia="zh-CN"/>
              </w:rPr>
              <w:t>投标文件中需提供合同的扫描件</w:t>
            </w:r>
          </w:p>
        </w:tc>
      </w:tr>
      <w:tr w14:paraId="2B5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510" w:type="pct"/>
            <w:vMerge w:val="continue"/>
            <w:vAlign w:val="center"/>
          </w:tcPr>
          <w:p w14:paraId="0C585CC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vAlign w:val="center"/>
          </w:tcPr>
          <w:p w14:paraId="030DF576">
            <w:pPr>
              <w:pStyle w:val="44"/>
              <w:spacing w:line="36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综合实力</w:t>
            </w:r>
          </w:p>
          <w:p w14:paraId="76A02AB4">
            <w:pPr>
              <w:pStyle w:val="44"/>
              <w:spacing w:line="360" w:lineRule="auto"/>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(6分)</w:t>
            </w:r>
          </w:p>
        </w:tc>
        <w:tc>
          <w:tcPr>
            <w:tcW w:w="3722" w:type="pct"/>
            <w:gridSpan w:val="2"/>
            <w:vAlign w:val="center"/>
          </w:tcPr>
          <w:p w14:paraId="5BFAA5CB">
            <w:pPr>
              <w:pStyle w:val="20"/>
              <w:ind w:firstLine="480" w:firstLineChars="200"/>
              <w:rPr>
                <w:rFonts w:hint="eastAsia" w:ascii="Times New Roman" w:hAnsi="Times New Roman" w:eastAsia="宋体" w:cs="Times New Roman"/>
                <w:caps w:val="0"/>
                <w:kern w:val="2"/>
                <w:sz w:val="24"/>
                <w:szCs w:val="24"/>
                <w:lang w:val="en-US" w:eastAsia="zh-CN" w:bidi="ar-SA"/>
              </w:rPr>
            </w:pPr>
            <w:r>
              <w:rPr>
                <w:rFonts w:hint="eastAsia" w:ascii="Times New Roman" w:hAnsi="Times New Roman" w:eastAsia="宋体" w:cs="Times New Roman"/>
                <w:caps w:val="0"/>
                <w:kern w:val="2"/>
                <w:sz w:val="24"/>
                <w:szCs w:val="24"/>
                <w:lang w:val="en-US" w:eastAsia="zh-CN" w:bidi="ar-SA"/>
              </w:rPr>
              <w:t>投标人提供环境管理体系认证证书、应急预案管理体系认证证书、通信网络安全服务能力-应急响应服务一级，同时具备的得6分，每少一项扣2分，扣完为止。</w:t>
            </w:r>
          </w:p>
          <w:p w14:paraId="6150F6CE">
            <w:pPr>
              <w:pStyle w:val="20"/>
              <w:ind w:firstLine="480" w:firstLineChars="200"/>
              <w:rPr>
                <w:rFonts w:hint="eastAsia" w:ascii="Times New Roman" w:hAnsi="Times New Roman" w:eastAsia="宋体" w:cs="Times New Roman"/>
                <w:caps w:val="0"/>
                <w:kern w:val="2"/>
                <w:sz w:val="24"/>
                <w:szCs w:val="24"/>
                <w:lang w:val="en-US" w:eastAsia="zh-CN" w:bidi="ar-SA"/>
              </w:rPr>
            </w:pPr>
            <w:r>
              <w:rPr>
                <w:rFonts w:hint="eastAsia" w:ascii="Times New Roman" w:hAnsi="Times New Roman" w:eastAsia="宋体" w:cs="Times New Roman"/>
                <w:caps w:val="0"/>
                <w:kern w:val="2"/>
                <w:sz w:val="24"/>
                <w:szCs w:val="24"/>
                <w:lang w:val="en-US" w:eastAsia="zh-CN" w:bidi="ar-SA"/>
              </w:rPr>
              <w:t>注：</w:t>
            </w:r>
            <w:r>
              <w:rPr>
                <w:rFonts w:hint="default" w:ascii="Times New Roman" w:hAnsi="Times New Roman" w:eastAsia="宋体" w:cs="Times New Roman"/>
                <w:sz w:val="24"/>
                <w:szCs w:val="24"/>
                <w:lang w:val="en-US" w:eastAsia="zh-CN"/>
              </w:rPr>
              <w:t>投标文件中需提供</w:t>
            </w:r>
            <w:r>
              <w:rPr>
                <w:rFonts w:hint="eastAsia" w:ascii="Times New Roman" w:hAnsi="Times New Roman" w:eastAsia="宋体" w:cs="Times New Roman"/>
                <w:caps w:val="0"/>
                <w:kern w:val="2"/>
                <w:sz w:val="24"/>
                <w:szCs w:val="24"/>
                <w:lang w:val="en-US" w:eastAsia="zh-CN" w:bidi="ar-SA"/>
              </w:rPr>
              <w:t>证书扫描件</w:t>
            </w:r>
          </w:p>
        </w:tc>
      </w:tr>
      <w:tr w14:paraId="53A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1B9618A4">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sz w:val="24"/>
                <w:szCs w:val="24"/>
              </w:rPr>
            </w:pPr>
          </w:p>
        </w:tc>
        <w:tc>
          <w:tcPr>
            <w:tcW w:w="767" w:type="pct"/>
            <w:vAlign w:val="center"/>
          </w:tcPr>
          <w:p w14:paraId="37B13E94">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响应等级</w:t>
            </w:r>
          </w:p>
          <w:p w14:paraId="5D7EE8AB">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（3分）</w:t>
            </w:r>
          </w:p>
        </w:tc>
        <w:tc>
          <w:tcPr>
            <w:tcW w:w="3722" w:type="pct"/>
            <w:gridSpan w:val="2"/>
            <w:vAlign w:val="center"/>
          </w:tcPr>
          <w:p w14:paraId="1D1BC3BF">
            <w:pPr>
              <w:ind w:left="0" w:leftChars="0" w:firstLine="420" w:firstLineChars="0"/>
              <w:rPr>
                <w:rFonts w:ascii="宋体" w:hAnsi="宋体" w:cs="宋体"/>
                <w:sz w:val="24"/>
                <w:szCs w:val="24"/>
              </w:rPr>
            </w:pPr>
            <w:r>
              <w:rPr>
                <w:rFonts w:ascii="宋体" w:hAnsi="宋体" w:cs="宋体"/>
                <w:sz w:val="24"/>
                <w:szCs w:val="24"/>
              </w:rPr>
              <w:t>根据投标人承诺在接到采购人通知后到达采购人指定地点开展技术服务的时间响应情况进行评审：</w:t>
            </w:r>
          </w:p>
          <w:p w14:paraId="219429A5">
            <w:pPr>
              <w:ind w:left="0" w:leftChars="0" w:firstLine="420" w:firstLineChars="0"/>
              <w:rPr>
                <w:rFonts w:ascii="宋体" w:hAnsi="宋体" w:cs="宋体"/>
                <w:sz w:val="24"/>
                <w:szCs w:val="24"/>
              </w:rPr>
            </w:pPr>
            <w:r>
              <w:rPr>
                <w:rFonts w:ascii="宋体" w:hAnsi="宋体" w:cs="宋体"/>
                <w:sz w:val="24"/>
                <w:szCs w:val="24"/>
              </w:rPr>
              <w:t>投标人承诺接到采购人通知后</w:t>
            </w:r>
            <w:r>
              <w:rPr>
                <w:rFonts w:hint="eastAsia" w:ascii="宋体" w:hAnsi="宋体" w:cs="宋体"/>
                <w:sz w:val="24"/>
                <w:szCs w:val="24"/>
              </w:rPr>
              <w:t>2</w:t>
            </w:r>
            <w:r>
              <w:rPr>
                <w:rFonts w:ascii="宋体" w:hAnsi="宋体" w:cs="宋体"/>
                <w:sz w:val="24"/>
                <w:szCs w:val="24"/>
              </w:rPr>
              <w:t>小时内达到采购人指定地点开展技术服务的得</w:t>
            </w:r>
            <w:r>
              <w:rPr>
                <w:rFonts w:hint="eastAsia" w:ascii="宋体" w:hAnsi="宋体" w:cs="宋体"/>
                <w:sz w:val="24"/>
                <w:szCs w:val="24"/>
                <w:lang w:val="en-US" w:eastAsia="zh-CN"/>
              </w:rPr>
              <w:t>3</w:t>
            </w:r>
            <w:r>
              <w:rPr>
                <w:rFonts w:ascii="宋体" w:hAnsi="宋体" w:cs="宋体"/>
                <w:sz w:val="24"/>
                <w:szCs w:val="24"/>
              </w:rPr>
              <w:t>分；</w:t>
            </w:r>
          </w:p>
          <w:p w14:paraId="3D80F014">
            <w:pPr>
              <w:ind w:left="0" w:leftChars="0" w:firstLine="420" w:firstLineChars="0"/>
              <w:rPr>
                <w:rFonts w:ascii="宋体" w:hAnsi="宋体" w:cs="宋体"/>
                <w:sz w:val="24"/>
                <w:szCs w:val="24"/>
              </w:rPr>
            </w:pPr>
            <w:r>
              <w:rPr>
                <w:rFonts w:ascii="宋体" w:hAnsi="宋体" w:cs="宋体"/>
                <w:sz w:val="24"/>
                <w:szCs w:val="24"/>
              </w:rPr>
              <w:t>投标人承诺接到采购人通知后</w:t>
            </w:r>
            <w:r>
              <w:rPr>
                <w:rFonts w:hint="eastAsia" w:ascii="宋体" w:hAnsi="宋体" w:cs="宋体"/>
                <w:sz w:val="24"/>
                <w:szCs w:val="24"/>
              </w:rPr>
              <w:t>4</w:t>
            </w:r>
            <w:r>
              <w:rPr>
                <w:rFonts w:ascii="宋体" w:hAnsi="宋体" w:cs="宋体"/>
                <w:sz w:val="24"/>
                <w:szCs w:val="24"/>
              </w:rPr>
              <w:t>小时内达到采购人指定地点开展技术服务的得</w:t>
            </w:r>
            <w:r>
              <w:rPr>
                <w:rFonts w:hint="eastAsia" w:ascii="宋体" w:hAnsi="宋体" w:cs="宋体"/>
                <w:sz w:val="24"/>
                <w:szCs w:val="24"/>
                <w:lang w:val="en-US" w:eastAsia="zh-CN"/>
              </w:rPr>
              <w:t>1</w:t>
            </w:r>
            <w:r>
              <w:rPr>
                <w:rFonts w:ascii="宋体" w:hAnsi="宋体" w:cs="宋体"/>
                <w:sz w:val="24"/>
                <w:szCs w:val="24"/>
              </w:rPr>
              <w:t>分；</w:t>
            </w:r>
          </w:p>
          <w:p w14:paraId="43EC7030">
            <w:pPr>
              <w:ind w:left="0" w:leftChars="0" w:firstLine="420" w:firstLineChars="0"/>
              <w:rPr>
                <w:rFonts w:ascii="宋体" w:hAnsi="宋体" w:cs="宋体"/>
                <w:sz w:val="24"/>
                <w:szCs w:val="24"/>
              </w:rPr>
            </w:pPr>
            <w:r>
              <w:rPr>
                <w:rFonts w:ascii="宋体" w:hAnsi="宋体" w:cs="宋体"/>
                <w:sz w:val="24"/>
                <w:szCs w:val="24"/>
              </w:rPr>
              <w:t>响应时间超过</w:t>
            </w:r>
            <w:r>
              <w:rPr>
                <w:rFonts w:hint="eastAsia" w:ascii="宋体" w:hAnsi="宋体" w:cs="宋体"/>
                <w:sz w:val="24"/>
                <w:szCs w:val="24"/>
              </w:rPr>
              <w:t>4</w:t>
            </w:r>
            <w:r>
              <w:rPr>
                <w:rFonts w:ascii="宋体" w:hAnsi="宋体" w:cs="宋体"/>
                <w:sz w:val="24"/>
                <w:szCs w:val="24"/>
              </w:rPr>
              <w:t>小时或无响应时间的，得</w:t>
            </w:r>
            <w:r>
              <w:rPr>
                <w:rFonts w:hint="eastAsia" w:ascii="宋体" w:hAnsi="宋体" w:cs="宋体"/>
                <w:sz w:val="24"/>
                <w:szCs w:val="24"/>
              </w:rPr>
              <w:t>0</w:t>
            </w:r>
            <w:r>
              <w:rPr>
                <w:rFonts w:ascii="宋体" w:hAnsi="宋体" w:cs="宋体"/>
                <w:sz w:val="24"/>
                <w:szCs w:val="24"/>
              </w:rPr>
              <w:t xml:space="preserve">分； </w:t>
            </w:r>
          </w:p>
          <w:p w14:paraId="46C453DE">
            <w:pPr>
              <w:ind w:left="0" w:leftChars="0" w:firstLine="420" w:firstLineChars="0"/>
              <w:rPr>
                <w:rFonts w:hint="default" w:ascii="Times New Roman" w:hAnsi="Times New Roman" w:eastAsia="宋体" w:cs="Times New Roman"/>
                <w:sz w:val="24"/>
                <w:szCs w:val="24"/>
                <w:lang w:val="en-US" w:eastAsia="zh-CN"/>
              </w:rPr>
            </w:pPr>
            <w:r>
              <w:rPr>
                <w:rFonts w:ascii="宋体" w:hAnsi="宋体" w:cs="宋体"/>
                <w:sz w:val="24"/>
                <w:szCs w:val="24"/>
              </w:rPr>
              <w:t>注：</w:t>
            </w:r>
            <w:r>
              <w:rPr>
                <w:rFonts w:hint="default" w:ascii="Times New Roman" w:hAnsi="Times New Roman" w:eastAsia="宋体" w:cs="Times New Roman"/>
                <w:sz w:val="24"/>
                <w:szCs w:val="24"/>
                <w:lang w:val="en-US" w:eastAsia="zh-CN"/>
              </w:rPr>
              <w:t>投标文件中需</w:t>
            </w:r>
            <w:r>
              <w:rPr>
                <w:rFonts w:ascii="宋体" w:hAnsi="宋体" w:cs="宋体"/>
                <w:sz w:val="24"/>
                <w:szCs w:val="24"/>
              </w:rPr>
              <w:t>提供承诺函，格式自定。</w:t>
            </w:r>
          </w:p>
        </w:tc>
      </w:tr>
      <w:tr w14:paraId="4476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638E074B">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767" w:type="pct"/>
            <w:vAlign w:val="center"/>
          </w:tcPr>
          <w:p w14:paraId="0205E5AD">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人员配置</w:t>
            </w:r>
          </w:p>
          <w:p w14:paraId="01D3996A">
            <w:pPr>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(6分)</w:t>
            </w:r>
          </w:p>
        </w:tc>
        <w:tc>
          <w:tcPr>
            <w:tcW w:w="3722" w:type="pct"/>
            <w:gridSpan w:val="2"/>
            <w:vAlign w:val="center"/>
          </w:tcPr>
          <w:p w14:paraId="09EE129D">
            <w:pPr>
              <w:ind w:left="0" w:leftChars="0" w:firstLine="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项目至少设置一名项目经理，且项目经理同时具备ITSS-IT服务项目经理认证、信息系统项目工程师</w:t>
            </w:r>
            <w:r>
              <w:rPr>
                <w:rFonts w:hint="eastAsia" w:cs="Times New Roman"/>
                <w:sz w:val="24"/>
                <w:szCs w:val="24"/>
                <w:lang w:val="en-US" w:eastAsia="zh-CN"/>
              </w:rPr>
              <w:t>认证</w:t>
            </w:r>
            <w:r>
              <w:rPr>
                <w:rFonts w:hint="eastAsia" w:ascii="Times New Roman" w:hAnsi="Times New Roman" w:cs="Times New Roman"/>
                <w:sz w:val="24"/>
                <w:szCs w:val="24"/>
                <w:lang w:val="en-US" w:eastAsia="zh-CN"/>
              </w:rPr>
              <w:t>、通信工程师中级及以上认证，同时具备的得6分，每少一项扣2分，扣完为止。</w:t>
            </w:r>
          </w:p>
          <w:p w14:paraId="5BC83C68">
            <w:pPr>
              <w:ind w:left="0" w:leftChars="0" w:firstLine="420" w:firstLineChars="0"/>
              <w:rPr>
                <w:rFonts w:hint="default" w:ascii="Times New Roman" w:hAnsi="Times New Roman" w:cs="Times New Roman"/>
                <w:sz w:val="24"/>
                <w:szCs w:val="24"/>
                <w:lang w:val="en-US" w:eastAsia="zh-CN"/>
              </w:rPr>
            </w:pPr>
            <w:r>
              <w:rPr>
                <w:rFonts w:hint="eastAsia" w:ascii="Times New Roman" w:hAnsi="Times New Roman" w:eastAsia="宋体" w:cs="Times New Roman"/>
                <w:caps w:val="0"/>
                <w:kern w:val="2"/>
                <w:sz w:val="24"/>
                <w:szCs w:val="24"/>
                <w:lang w:val="en-US" w:eastAsia="zh-CN" w:bidi="ar-SA"/>
              </w:rPr>
              <w:t>注：</w:t>
            </w:r>
            <w:r>
              <w:rPr>
                <w:rFonts w:hint="default" w:ascii="Times New Roman" w:hAnsi="Times New Roman" w:eastAsia="宋体" w:cs="Times New Roman"/>
                <w:sz w:val="24"/>
                <w:szCs w:val="24"/>
                <w:lang w:val="en-US" w:eastAsia="zh-CN"/>
              </w:rPr>
              <w:t>投标文件中需提供</w:t>
            </w:r>
            <w:r>
              <w:rPr>
                <w:rFonts w:hint="eastAsia" w:ascii="Times New Roman" w:hAnsi="Times New Roman" w:eastAsia="宋体" w:cs="Times New Roman"/>
                <w:caps w:val="0"/>
                <w:kern w:val="2"/>
                <w:sz w:val="24"/>
                <w:szCs w:val="24"/>
                <w:lang w:val="en-US" w:eastAsia="zh-CN" w:bidi="ar-SA"/>
              </w:rPr>
              <w:t>证书扫描件</w:t>
            </w:r>
            <w:r>
              <w:rPr>
                <w:rFonts w:hint="eastAsia" w:cs="Times New Roman"/>
                <w:caps w:val="0"/>
                <w:kern w:val="2"/>
                <w:sz w:val="24"/>
                <w:szCs w:val="24"/>
                <w:lang w:val="en-US" w:eastAsia="zh-CN" w:bidi="ar-SA"/>
              </w:rPr>
              <w:t>。</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或委托代理人（响应性文件中所确定的，如递交质疑者不是响应性文件中确定的委托代理人，须由供应商另行出具授权）以送达的方式提交，未按上述要求提交的质疑函采购人有权不予受理。</w:t>
      </w:r>
    </w:p>
    <w:p w14:paraId="7F6DF946">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3EBC39A3">
      <w:pPr>
        <w:numPr>
          <w:ilvl w:val="0"/>
          <w:numId w:val="0"/>
        </w:numPr>
        <w:spacing w:line="360" w:lineRule="auto"/>
        <w:rPr>
          <w:rFonts w:hint="eastAsia" w:asciiTheme="minorEastAsia" w:hAnsiTheme="minorEastAsia" w:cstheme="minorEastAsia"/>
          <w:b/>
          <w:bCs w:val="0"/>
          <w:sz w:val="32"/>
          <w:szCs w:val="32"/>
          <w:highlight w:val="none"/>
          <w:lang w:eastAsia="zh-CN"/>
        </w:rPr>
      </w:pPr>
      <w:r>
        <w:rPr>
          <w:rFonts w:hint="eastAsia" w:eastAsia="宋体" w:asciiTheme="minorEastAsia" w:hAnsiTheme="minorEastAsia" w:cstheme="minorEastAsia"/>
          <w:b/>
          <w:bCs w:val="0"/>
          <w:kern w:val="2"/>
          <w:sz w:val="32"/>
          <w:szCs w:val="32"/>
          <w:lang w:val="en-US" w:eastAsia="zh-CN" w:bidi="ar-SA"/>
        </w:rPr>
        <w:t>（1）</w:t>
      </w:r>
      <w:r>
        <w:rPr>
          <w:rFonts w:hint="eastAsia" w:asciiTheme="minorEastAsia" w:hAnsiTheme="minorEastAsia" w:cstheme="minorEastAsia"/>
          <w:b/>
          <w:bCs w:val="0"/>
          <w:sz w:val="32"/>
          <w:szCs w:val="32"/>
          <w:highlight w:val="none"/>
          <w:lang w:eastAsia="zh-CN"/>
        </w:rPr>
        <w:t>采购内容</w:t>
      </w:r>
    </w:p>
    <w:tbl>
      <w:tblPr>
        <w:tblStyle w:val="27"/>
        <w:tblW w:w="4998" w:type="pct"/>
        <w:tblInd w:w="0" w:type="dxa"/>
        <w:tblLayout w:type="autofit"/>
        <w:tblCellMar>
          <w:top w:w="0" w:type="dxa"/>
          <w:left w:w="108" w:type="dxa"/>
          <w:bottom w:w="0" w:type="dxa"/>
          <w:right w:w="108" w:type="dxa"/>
        </w:tblCellMar>
      </w:tblPr>
      <w:tblGrid>
        <w:gridCol w:w="796"/>
        <w:gridCol w:w="6555"/>
        <w:gridCol w:w="796"/>
        <w:gridCol w:w="796"/>
      </w:tblGrid>
      <w:tr w14:paraId="791657C8">
        <w:tblPrEx>
          <w:tblCellMar>
            <w:top w:w="0" w:type="dxa"/>
            <w:left w:w="108" w:type="dxa"/>
            <w:bottom w:w="0" w:type="dxa"/>
            <w:right w:w="108" w:type="dxa"/>
          </w:tblCellMar>
        </w:tblPrEx>
        <w:trPr>
          <w:trHeight w:val="500" w:hRule="atLeast"/>
        </w:trPr>
        <w:tc>
          <w:tcPr>
            <w:tcW w:w="445" w:type="pct"/>
            <w:tcBorders>
              <w:top w:val="single" w:color="000000" w:sz="4" w:space="0"/>
              <w:left w:val="single" w:color="000000" w:sz="4" w:space="0"/>
              <w:bottom w:val="single" w:color="000000" w:sz="4" w:space="0"/>
              <w:right w:val="single" w:color="000000" w:sz="4" w:space="0"/>
            </w:tcBorders>
            <w:noWrap w:val="0"/>
            <w:vAlign w:val="center"/>
          </w:tcPr>
          <w:p w14:paraId="07B2E88A">
            <w:pPr>
              <w:widowControl/>
              <w:jc w:val="center"/>
              <w:textAlignment w:val="center"/>
              <w:rPr>
                <w:rFonts w:hint="eastAsia" w:ascii="宋体" w:hAnsi="宋体" w:cs="宋体"/>
                <w:b/>
                <w:bCs/>
                <w:color w:val="000000"/>
                <w:sz w:val="24"/>
                <w:highlight w:val="none"/>
              </w:rPr>
            </w:pPr>
            <w:r>
              <w:rPr>
                <w:rFonts w:hint="eastAsia" w:ascii="宋体" w:hAnsi="宋体" w:cs="宋体"/>
                <w:b/>
                <w:bCs/>
                <w:color w:val="000000"/>
                <w:kern w:val="0"/>
                <w:sz w:val="24"/>
                <w:highlight w:val="none"/>
                <w:lang w:bidi="ar"/>
              </w:rPr>
              <w:t>序号</w:t>
            </w:r>
          </w:p>
        </w:tc>
        <w:tc>
          <w:tcPr>
            <w:tcW w:w="3663" w:type="pct"/>
            <w:tcBorders>
              <w:top w:val="single" w:color="000000" w:sz="4" w:space="0"/>
              <w:left w:val="single" w:color="000000" w:sz="4" w:space="0"/>
              <w:bottom w:val="single" w:color="000000" w:sz="4" w:space="0"/>
              <w:right w:val="single" w:color="000000" w:sz="4" w:space="0"/>
            </w:tcBorders>
            <w:noWrap w:val="0"/>
            <w:vAlign w:val="center"/>
          </w:tcPr>
          <w:p w14:paraId="30F1E58F">
            <w:pPr>
              <w:widowControl/>
              <w:jc w:val="center"/>
              <w:textAlignment w:val="center"/>
              <w:rPr>
                <w:rFonts w:hint="eastAsia"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t>服务内容</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B810D3B">
            <w:pPr>
              <w:widowControl/>
              <w:jc w:val="center"/>
              <w:textAlignment w:val="center"/>
              <w:rPr>
                <w:rFonts w:hint="eastAsia"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t>数量</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353CBB10">
            <w:pPr>
              <w:widowControl/>
              <w:jc w:val="center"/>
              <w:textAlignment w:val="center"/>
              <w:rPr>
                <w:rFonts w:hint="eastAsia" w:ascii="宋体" w:hAnsi="宋体" w:cs="宋体"/>
                <w:b/>
                <w:bCs/>
                <w:color w:val="000000"/>
                <w:sz w:val="24"/>
                <w:highlight w:val="none"/>
              </w:rPr>
            </w:pPr>
            <w:r>
              <w:rPr>
                <w:rFonts w:hint="eastAsia" w:ascii="宋体" w:hAnsi="宋体" w:cs="宋体"/>
                <w:b/>
                <w:bCs/>
                <w:color w:val="000000"/>
                <w:kern w:val="0"/>
                <w:sz w:val="24"/>
                <w:highlight w:val="none"/>
                <w:lang w:bidi="ar"/>
              </w:rPr>
              <w:t>单位</w:t>
            </w:r>
          </w:p>
        </w:tc>
      </w:tr>
      <w:tr w14:paraId="5BA2815D">
        <w:tblPrEx>
          <w:tblCellMar>
            <w:top w:w="0" w:type="dxa"/>
            <w:left w:w="108" w:type="dxa"/>
            <w:bottom w:w="0" w:type="dxa"/>
            <w:right w:w="108" w:type="dxa"/>
          </w:tblCellMar>
        </w:tblPrEx>
        <w:trPr>
          <w:trHeight w:val="500" w:hRule="atLeast"/>
        </w:trPr>
        <w:tc>
          <w:tcPr>
            <w:tcW w:w="445" w:type="pct"/>
            <w:tcBorders>
              <w:top w:val="single" w:color="000000" w:sz="4" w:space="0"/>
              <w:left w:val="single" w:color="000000" w:sz="4" w:space="0"/>
              <w:bottom w:val="single" w:color="000000" w:sz="4" w:space="0"/>
              <w:right w:val="single" w:color="000000" w:sz="4" w:space="0"/>
            </w:tcBorders>
            <w:noWrap w:val="0"/>
            <w:vAlign w:val="center"/>
          </w:tcPr>
          <w:p w14:paraId="6C24647B">
            <w:pPr>
              <w:widowControl/>
              <w:jc w:val="center"/>
              <w:textAlignment w:val="center"/>
              <w:rPr>
                <w:rFonts w:hint="eastAsia" w:ascii="宋体" w:hAnsi="宋体" w:cs="宋体"/>
                <w:color w:val="000000"/>
                <w:sz w:val="24"/>
                <w:highlight w:val="none"/>
              </w:rPr>
            </w:pPr>
            <w:r>
              <w:rPr>
                <w:rFonts w:hint="eastAsia" w:ascii="宋体" w:hAnsi="宋体" w:cs="宋体"/>
                <w:color w:val="000000"/>
                <w:kern w:val="0"/>
                <w:sz w:val="24"/>
                <w:highlight w:val="none"/>
                <w:lang w:bidi="ar"/>
              </w:rPr>
              <w:t>1</w:t>
            </w:r>
          </w:p>
        </w:tc>
        <w:tc>
          <w:tcPr>
            <w:tcW w:w="3663" w:type="pct"/>
            <w:tcBorders>
              <w:top w:val="single" w:color="000000" w:sz="4" w:space="0"/>
              <w:left w:val="single" w:color="000000" w:sz="4" w:space="0"/>
              <w:bottom w:val="single" w:color="000000" w:sz="4" w:space="0"/>
              <w:right w:val="single" w:color="000000" w:sz="4" w:space="0"/>
            </w:tcBorders>
            <w:noWrap w:val="0"/>
            <w:vAlign w:val="center"/>
          </w:tcPr>
          <w:p w14:paraId="2924F311">
            <w:pPr>
              <w:widowControl/>
              <w:jc w:val="center"/>
              <w:textAlignment w:val="center"/>
              <w:rPr>
                <w:rFonts w:hint="eastAsia" w:ascii="宋体" w:hAnsi="宋体" w:cs="宋体"/>
                <w:color w:val="000000"/>
                <w:sz w:val="24"/>
                <w:highlight w:val="none"/>
              </w:rPr>
            </w:pPr>
            <w:r>
              <w:rPr>
                <w:rFonts w:hint="eastAsia" w:ascii="宋体" w:hAnsi="宋体" w:cs="宋体"/>
                <w:color w:val="000000"/>
                <w:sz w:val="24"/>
                <w:highlight w:val="none"/>
              </w:rPr>
              <w:t>郸城县高新技术开发区挥发性有机物自动监测站运维</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A9CD297">
            <w:pPr>
              <w:widowControl/>
              <w:jc w:val="center"/>
              <w:textAlignment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3C0185FE">
            <w:pPr>
              <w:widowControl/>
              <w:jc w:val="center"/>
              <w:textAlignment w:val="center"/>
              <w:rPr>
                <w:rFonts w:hint="eastAsia" w:ascii="宋体" w:hAnsi="宋体" w:cs="宋体"/>
                <w:color w:val="000000"/>
                <w:sz w:val="24"/>
                <w:highlight w:val="none"/>
              </w:rPr>
            </w:pPr>
            <w:r>
              <w:rPr>
                <w:rFonts w:hint="eastAsia" w:ascii="宋体" w:hAnsi="宋体" w:cs="宋体"/>
                <w:color w:val="000000"/>
                <w:sz w:val="24"/>
                <w:highlight w:val="none"/>
              </w:rPr>
              <w:t>年</w:t>
            </w:r>
          </w:p>
        </w:tc>
      </w:tr>
    </w:tbl>
    <w:p w14:paraId="0A27AAC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pacing w:val="-1"/>
          <w:sz w:val="24"/>
          <w:szCs w:val="24"/>
        </w:rPr>
      </w:pPr>
    </w:p>
    <w:p w14:paraId="6C2A5F28">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4"/>
          <w:szCs w:val="24"/>
        </w:rPr>
      </w:pPr>
      <w:r>
        <w:rPr>
          <w:rFonts w:hint="eastAsia" w:eastAsia="宋体" w:asciiTheme="minorEastAsia" w:hAnsiTheme="minorEastAsia" w:cstheme="minorEastAsia"/>
          <w:b/>
          <w:bCs w:val="0"/>
          <w:kern w:val="2"/>
          <w:sz w:val="32"/>
          <w:szCs w:val="32"/>
          <w:lang w:val="en-US" w:eastAsia="zh-CN" w:bidi="ar-SA"/>
        </w:rPr>
        <w:t>（2）运维工作开展具体要求</w:t>
      </w:r>
    </w:p>
    <w:p w14:paraId="1815EF6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1.1每日运维工作要求</w:t>
      </w:r>
    </w:p>
    <w:p w14:paraId="572E81C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1.1.1系统状态检查</w:t>
      </w:r>
    </w:p>
    <w:p w14:paraId="7D73A9F6">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8"/>
        <w:textAlignment w:val="baseline"/>
        <w:rPr>
          <w:rFonts w:hint="eastAsia" w:ascii="宋体" w:hAnsi="宋体" w:eastAsia="宋体" w:cs="宋体"/>
          <w:sz w:val="24"/>
          <w:szCs w:val="24"/>
        </w:rPr>
      </w:pPr>
      <w:r>
        <w:rPr>
          <w:rFonts w:hint="eastAsia" w:ascii="宋体" w:hAnsi="宋体" w:eastAsia="宋体" w:cs="宋体"/>
          <w:spacing w:val="-6"/>
          <w:sz w:val="24"/>
          <w:szCs w:val="24"/>
        </w:rPr>
        <w:t>检查系统是否有报警等异常提示，以及分析模块的FID温度、柱箱温度、柱前压、</w:t>
      </w:r>
      <w:r>
        <w:rPr>
          <w:rFonts w:hint="eastAsia" w:ascii="宋体" w:hAnsi="宋体" w:eastAsia="宋体" w:cs="宋体"/>
          <w:spacing w:val="-1"/>
          <w:sz w:val="24"/>
          <w:szCs w:val="24"/>
        </w:rPr>
        <w:t>保留时间等重要参数是否正常。系统状态检查可通过远程或者现场检</w:t>
      </w:r>
      <w:r>
        <w:rPr>
          <w:rFonts w:hint="eastAsia" w:ascii="宋体" w:hAnsi="宋体" w:eastAsia="宋体" w:cs="宋体"/>
          <w:spacing w:val="-2"/>
          <w:sz w:val="24"/>
          <w:szCs w:val="24"/>
        </w:rPr>
        <w:t>查的方式完成。</w:t>
      </w:r>
    </w:p>
    <w:p w14:paraId="3EA61BB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1.1.2基线检查</w:t>
      </w:r>
    </w:p>
    <w:p w14:paraId="34FB26C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textAlignment w:val="baseline"/>
        <w:rPr>
          <w:rFonts w:hint="eastAsia" w:ascii="宋体" w:hAnsi="宋体" w:eastAsia="宋体" w:cs="宋体"/>
          <w:sz w:val="24"/>
          <w:szCs w:val="24"/>
        </w:rPr>
      </w:pPr>
      <w:r>
        <w:rPr>
          <w:rFonts w:hint="eastAsia" w:ascii="宋体" w:hAnsi="宋体" w:eastAsia="宋体" w:cs="宋体"/>
          <w:spacing w:val="-1"/>
          <w:sz w:val="24"/>
          <w:szCs w:val="24"/>
        </w:rPr>
        <w:t>按照厂家说明书或作业指导书要求检查图谱基线</w:t>
      </w:r>
      <w:r>
        <w:rPr>
          <w:rFonts w:hint="eastAsia" w:ascii="宋体" w:hAnsi="宋体" w:eastAsia="宋体" w:cs="宋体"/>
          <w:spacing w:val="-2"/>
          <w:sz w:val="24"/>
          <w:szCs w:val="24"/>
        </w:rPr>
        <w:t>是否存在异常漂移和波动。如存</w:t>
      </w:r>
      <w:r>
        <w:rPr>
          <w:rFonts w:hint="eastAsia" w:ascii="宋体" w:hAnsi="宋体" w:eastAsia="宋体" w:cs="宋体"/>
          <w:spacing w:val="-1"/>
          <w:sz w:val="24"/>
          <w:szCs w:val="24"/>
        </w:rPr>
        <w:t>在异常漂移和波动，应及时标识或剔除异常数据或对受影响的</w:t>
      </w:r>
      <w:r>
        <w:rPr>
          <w:rFonts w:hint="eastAsia" w:ascii="宋体" w:hAnsi="宋体" w:eastAsia="宋体" w:cs="宋体"/>
          <w:spacing w:val="-2"/>
          <w:sz w:val="24"/>
          <w:szCs w:val="24"/>
        </w:rPr>
        <w:t>物质进行重积分。</w:t>
      </w:r>
    </w:p>
    <w:p w14:paraId="5792BBD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1.1.3保留时间漂移</w:t>
      </w:r>
    </w:p>
    <w:p w14:paraId="4383501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2"/>
        <w:textAlignment w:val="baseline"/>
        <w:rPr>
          <w:rFonts w:hint="eastAsia" w:ascii="宋体" w:hAnsi="宋体" w:eastAsia="宋体" w:cs="宋体"/>
          <w:sz w:val="24"/>
          <w:szCs w:val="24"/>
        </w:rPr>
      </w:pPr>
      <w:r>
        <w:rPr>
          <w:rFonts w:hint="eastAsia" w:ascii="宋体" w:hAnsi="宋体" w:eastAsia="宋体" w:cs="宋体"/>
          <w:spacing w:val="-1"/>
          <w:sz w:val="24"/>
          <w:szCs w:val="24"/>
        </w:rPr>
        <w:t>检查仪器保留时间漂移情况，以确保非甲烷总烃测量的准确性</w:t>
      </w:r>
      <w:r>
        <w:rPr>
          <w:rFonts w:hint="eastAsia" w:ascii="宋体" w:hAnsi="宋体" w:eastAsia="宋体" w:cs="宋体"/>
          <w:spacing w:val="-2"/>
          <w:sz w:val="24"/>
          <w:szCs w:val="24"/>
        </w:rPr>
        <w:t>。重点关注漂移是否影响监测物质的自动积分，如有影响，应进行调</w:t>
      </w:r>
      <w:r>
        <w:rPr>
          <w:rFonts w:hint="eastAsia" w:ascii="宋体" w:hAnsi="宋体" w:eastAsia="宋体" w:cs="宋体"/>
          <w:spacing w:val="-3"/>
          <w:sz w:val="24"/>
          <w:szCs w:val="24"/>
        </w:rPr>
        <w:t>整。</w:t>
      </w:r>
    </w:p>
    <w:p w14:paraId="7A4A276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1.1.4数据审核</w:t>
      </w:r>
    </w:p>
    <w:p w14:paraId="4710D8D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数据审核应对异常数据进行无效标识或剔除，在72小时内完成。</w:t>
      </w:r>
    </w:p>
    <w:p w14:paraId="16756D7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1.2每周运维工作要求</w:t>
      </w:r>
    </w:p>
    <w:p w14:paraId="16F5994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1.2.1监测站房及辅助设备周巡检</w:t>
      </w:r>
    </w:p>
    <w:p w14:paraId="082B4E6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监测站房及周边环境应满足HJ193相关要求。监测站房及辅助设备日常巡检应满</w:t>
      </w:r>
      <w:r>
        <w:rPr>
          <w:rFonts w:hint="eastAsia" w:ascii="宋体" w:hAnsi="宋体" w:eastAsia="宋体" w:cs="宋体"/>
          <w:spacing w:val="-7"/>
          <w:sz w:val="24"/>
          <w:szCs w:val="24"/>
        </w:rPr>
        <w:t>足HJ818相关要求。运维人员应对子站站房及辅助设备定期巡检，每周至少巡检1次，巡检工作主要包括：</w:t>
      </w:r>
    </w:p>
    <w:p w14:paraId="515E3EA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19"/>
        <w:textAlignment w:val="baseline"/>
        <w:rPr>
          <w:rFonts w:hint="eastAsia" w:ascii="宋体" w:hAnsi="宋体" w:eastAsia="宋体" w:cs="宋体"/>
          <w:sz w:val="24"/>
          <w:szCs w:val="24"/>
        </w:rPr>
      </w:pPr>
      <w:r>
        <w:rPr>
          <w:rFonts w:hint="eastAsia" w:ascii="宋体" w:hAnsi="宋体" w:eastAsia="宋体" w:cs="宋体"/>
          <w:spacing w:val="-4"/>
          <w:sz w:val="24"/>
          <w:szCs w:val="24"/>
        </w:rPr>
        <w:t>(1)检查站房内温度是否保持在25℃±5℃(要求站房</w:t>
      </w:r>
      <w:r>
        <w:rPr>
          <w:rFonts w:hint="eastAsia" w:ascii="宋体" w:hAnsi="宋体" w:eastAsia="宋体" w:cs="宋体"/>
          <w:spacing w:val="-5"/>
          <w:sz w:val="24"/>
          <w:szCs w:val="24"/>
        </w:rPr>
        <w:t>温度波动稳定)，相对湿度保</w:t>
      </w:r>
      <w:r>
        <w:rPr>
          <w:rFonts w:hint="eastAsia" w:ascii="宋体" w:hAnsi="宋体" w:eastAsia="宋体" w:cs="宋体"/>
          <w:spacing w:val="-6"/>
          <w:sz w:val="24"/>
          <w:szCs w:val="24"/>
        </w:rPr>
        <w:t>持在85%以下。</w:t>
      </w:r>
    </w:p>
    <w:p w14:paraId="179BDB8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17"/>
        <w:textAlignment w:val="baseline"/>
        <w:rPr>
          <w:rFonts w:hint="eastAsia" w:ascii="宋体" w:hAnsi="宋体" w:eastAsia="宋体" w:cs="宋体"/>
          <w:sz w:val="24"/>
          <w:szCs w:val="24"/>
        </w:rPr>
      </w:pPr>
      <w:r>
        <w:rPr>
          <w:rFonts w:hint="eastAsia" w:ascii="宋体" w:hAnsi="宋体" w:eastAsia="宋体" w:cs="宋体"/>
          <w:spacing w:val="1"/>
          <w:sz w:val="24"/>
          <w:szCs w:val="24"/>
        </w:rPr>
        <w:t>(2)在冬、夏季节应注意站房内外温差，应及时调整站房温度；检查采样</w:t>
      </w:r>
      <w:r>
        <w:rPr>
          <w:rFonts w:hint="eastAsia" w:ascii="宋体" w:hAnsi="宋体" w:eastAsia="宋体" w:cs="宋体"/>
          <w:sz w:val="24"/>
          <w:szCs w:val="24"/>
        </w:rPr>
        <w:t>总管加</w:t>
      </w:r>
      <w:r>
        <w:rPr>
          <w:rFonts w:hint="eastAsia" w:ascii="宋体" w:hAnsi="宋体" w:eastAsia="宋体" w:cs="宋体"/>
          <w:spacing w:val="-2"/>
          <w:sz w:val="24"/>
          <w:szCs w:val="24"/>
        </w:rPr>
        <w:t>热装置和气路保温措施，防止因温差造成采样装置出现冷凝水的现象。</w:t>
      </w:r>
    </w:p>
    <w:p w14:paraId="5A69BE0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5"/>
          <w:sz w:val="24"/>
          <w:szCs w:val="24"/>
        </w:rPr>
        <w:t>(3)检查采样总管进气、排气是否正常。</w:t>
      </w:r>
    </w:p>
    <w:p w14:paraId="7449113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(4)检查采样支管是否存在冷凝水，如果存在冷</w:t>
      </w:r>
      <w:r>
        <w:rPr>
          <w:rFonts w:hint="eastAsia" w:ascii="宋体" w:hAnsi="宋体" w:eastAsia="宋体" w:cs="宋体"/>
          <w:spacing w:val="-3"/>
          <w:sz w:val="24"/>
          <w:szCs w:val="24"/>
        </w:rPr>
        <w:t>凝水应及时进行清洁干燥处理。</w:t>
      </w:r>
    </w:p>
    <w:p w14:paraId="57ADBFF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5"/>
          <w:sz w:val="24"/>
          <w:szCs w:val="24"/>
        </w:rPr>
        <w:t>(5)检查站房排风排气装置工作是否正常。</w:t>
      </w:r>
    </w:p>
    <w:p w14:paraId="58027D9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(6)检查标气、辅助气钢瓶阀门是否漏气；检查标气和辅助气有效期、压力，气</w:t>
      </w:r>
      <w:r>
        <w:rPr>
          <w:rFonts w:hint="eastAsia" w:ascii="宋体" w:hAnsi="宋体" w:eastAsia="宋体" w:cs="宋体"/>
          <w:spacing w:val="-2"/>
          <w:sz w:val="24"/>
          <w:szCs w:val="24"/>
        </w:rPr>
        <w:t>瓶压力低于2Mpa(或系统相关要求值)前应更</w:t>
      </w:r>
      <w:r>
        <w:rPr>
          <w:rFonts w:hint="eastAsia" w:ascii="宋体" w:hAnsi="宋体" w:eastAsia="宋体" w:cs="宋体"/>
          <w:spacing w:val="-3"/>
          <w:sz w:val="24"/>
          <w:szCs w:val="24"/>
        </w:rPr>
        <w:t>换。</w:t>
      </w:r>
    </w:p>
    <w:p w14:paraId="10BB2736">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23"/>
        <w:textAlignment w:val="baseline"/>
        <w:rPr>
          <w:rFonts w:hint="eastAsia" w:ascii="宋体" w:hAnsi="宋体" w:eastAsia="宋体" w:cs="宋体"/>
          <w:sz w:val="24"/>
          <w:szCs w:val="24"/>
        </w:rPr>
      </w:pPr>
      <w:r>
        <w:rPr>
          <w:rFonts w:hint="eastAsia" w:ascii="宋体" w:hAnsi="宋体" w:eastAsia="宋体" w:cs="宋体"/>
          <w:spacing w:val="1"/>
          <w:sz w:val="24"/>
          <w:szCs w:val="24"/>
        </w:rPr>
        <w:t>(7)如采用气体发生器，应检查气体发生器的工作状态，及时补充纯水、</w:t>
      </w:r>
      <w:r>
        <w:rPr>
          <w:rFonts w:hint="eastAsia" w:ascii="宋体" w:hAnsi="宋体" w:eastAsia="宋体" w:cs="宋体"/>
          <w:sz w:val="24"/>
          <w:szCs w:val="24"/>
        </w:rPr>
        <w:t>更换干</w:t>
      </w:r>
      <w:r>
        <w:rPr>
          <w:rFonts w:hint="eastAsia" w:ascii="宋体" w:hAnsi="宋体" w:eastAsia="宋体" w:cs="宋体"/>
          <w:spacing w:val="-3"/>
          <w:sz w:val="24"/>
          <w:szCs w:val="24"/>
        </w:rPr>
        <w:t>燥硅胶、活性碳或无水氯化钙。</w:t>
      </w:r>
    </w:p>
    <w:p w14:paraId="7D04C9A8">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(8)检查数据采集、传输与网络通讯是否正常。</w:t>
      </w:r>
    </w:p>
    <w:p w14:paraId="586BF92F">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(9)检查各种运维工具、系统耗材、备件</w:t>
      </w:r>
      <w:r>
        <w:rPr>
          <w:rFonts w:hint="eastAsia" w:ascii="宋体" w:hAnsi="宋体" w:eastAsia="宋体" w:cs="宋体"/>
          <w:spacing w:val="-4"/>
          <w:sz w:val="24"/>
          <w:szCs w:val="24"/>
        </w:rPr>
        <w:t>是否完好齐全。</w:t>
      </w:r>
    </w:p>
    <w:p w14:paraId="041D07D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18"/>
        <w:textAlignment w:val="baseline"/>
        <w:rPr>
          <w:rFonts w:hint="eastAsia" w:ascii="宋体" w:hAnsi="宋体" w:eastAsia="宋体" w:cs="宋体"/>
          <w:sz w:val="24"/>
          <w:szCs w:val="24"/>
        </w:rPr>
      </w:pPr>
      <w:r>
        <w:rPr>
          <w:rFonts w:hint="eastAsia" w:ascii="宋体" w:hAnsi="宋体" w:eastAsia="宋体" w:cs="宋体"/>
          <w:spacing w:val="-7"/>
          <w:sz w:val="24"/>
          <w:szCs w:val="24"/>
        </w:rPr>
        <w:t>(10)检查空调、电源等辅助设备的运行状况是否正常，检查站房空调机的过滤网</w:t>
      </w:r>
      <w:r>
        <w:rPr>
          <w:rFonts w:hint="eastAsia" w:ascii="宋体" w:hAnsi="宋体" w:eastAsia="宋体" w:cs="宋体"/>
          <w:spacing w:val="-4"/>
          <w:sz w:val="24"/>
          <w:szCs w:val="24"/>
        </w:rPr>
        <w:t>是否清洁，必要时进行清洗。</w:t>
      </w:r>
    </w:p>
    <w:p w14:paraId="57D1CB5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(11)检查各种消防、安全设施是否完好齐全。</w:t>
      </w:r>
    </w:p>
    <w:p w14:paraId="66AB55A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8"/>
        <w:textAlignment w:val="baseline"/>
        <w:rPr>
          <w:rFonts w:hint="eastAsia" w:ascii="宋体" w:hAnsi="宋体" w:eastAsia="宋体" w:cs="宋体"/>
          <w:sz w:val="24"/>
          <w:szCs w:val="24"/>
        </w:rPr>
      </w:pPr>
      <w:r>
        <w:rPr>
          <w:rFonts w:hint="eastAsia" w:ascii="宋体" w:hAnsi="宋体" w:eastAsia="宋体" w:cs="宋体"/>
          <w:spacing w:val="4"/>
          <w:sz w:val="24"/>
          <w:szCs w:val="24"/>
        </w:rPr>
        <w:t>(12)对站房周围的杂草和积水应及时清除；对采样有影响的树枝应及时进行剪</w:t>
      </w:r>
      <w:r>
        <w:rPr>
          <w:rFonts w:hint="eastAsia" w:ascii="宋体" w:hAnsi="宋体" w:eastAsia="宋体" w:cs="宋体"/>
          <w:spacing w:val="-15"/>
          <w:sz w:val="24"/>
          <w:szCs w:val="24"/>
        </w:rPr>
        <w:t>除。</w:t>
      </w:r>
    </w:p>
    <w:p w14:paraId="01D6CF7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(13)检查避雷设施是否正常，子站房屋</w:t>
      </w:r>
      <w:r>
        <w:rPr>
          <w:rFonts w:hint="eastAsia" w:ascii="宋体" w:hAnsi="宋体" w:eastAsia="宋体" w:cs="宋体"/>
          <w:spacing w:val="-3"/>
          <w:sz w:val="24"/>
          <w:szCs w:val="24"/>
        </w:rPr>
        <w:t>是否有漏雨现象，气象杆是否损坏。</w:t>
      </w:r>
    </w:p>
    <w:p w14:paraId="4A1778A8">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8"/>
          <w:sz w:val="24"/>
          <w:szCs w:val="24"/>
        </w:rPr>
        <w:t>(14)记录巡检情况。</w:t>
      </w:r>
    </w:p>
    <w:p w14:paraId="7A9E708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6"/>
          <w:sz w:val="24"/>
          <w:szCs w:val="24"/>
        </w:rPr>
        <w:t>1.2.2自动监测系统周巡检</w:t>
      </w:r>
    </w:p>
    <w:p w14:paraId="0F92123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5"/>
        <w:textAlignment w:val="baseline"/>
        <w:rPr>
          <w:rFonts w:hint="eastAsia" w:ascii="宋体" w:hAnsi="宋体" w:eastAsia="宋体" w:cs="宋体"/>
          <w:sz w:val="24"/>
          <w:szCs w:val="24"/>
        </w:rPr>
      </w:pPr>
      <w:r>
        <w:rPr>
          <w:rFonts w:hint="eastAsia" w:ascii="宋体" w:hAnsi="宋体" w:eastAsia="宋体" w:cs="宋体"/>
          <w:spacing w:val="-1"/>
          <w:sz w:val="24"/>
          <w:szCs w:val="24"/>
        </w:rPr>
        <w:t>（1)气相色谱、检测器参数设置检查。检查氢</w:t>
      </w:r>
      <w:r>
        <w:rPr>
          <w:rFonts w:hint="eastAsia" w:ascii="宋体" w:hAnsi="宋体" w:eastAsia="宋体" w:cs="宋体"/>
          <w:spacing w:val="-2"/>
          <w:sz w:val="24"/>
          <w:szCs w:val="24"/>
        </w:rPr>
        <w:t>火焰离子化检测器氢气与空气输入</w:t>
      </w:r>
      <w:r>
        <w:rPr>
          <w:rFonts w:hint="eastAsia" w:ascii="宋体" w:hAnsi="宋体" w:eastAsia="宋体" w:cs="宋体"/>
          <w:spacing w:val="-1"/>
          <w:sz w:val="24"/>
          <w:szCs w:val="24"/>
        </w:rPr>
        <w:t>压力与流量、载气流量与压力等是否与说明书、作业指导书一致。</w:t>
      </w:r>
    </w:p>
    <w:p w14:paraId="1B504156">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6"/>
        <w:textAlignment w:val="baseline"/>
        <w:rPr>
          <w:rFonts w:hint="eastAsia" w:ascii="宋体" w:hAnsi="宋体" w:eastAsia="宋体" w:cs="宋体"/>
          <w:sz w:val="24"/>
          <w:szCs w:val="24"/>
        </w:rPr>
      </w:pPr>
      <w:r>
        <w:rPr>
          <w:rFonts w:hint="eastAsia" w:ascii="宋体" w:hAnsi="宋体" w:eastAsia="宋体" w:cs="宋体"/>
          <w:spacing w:val="-1"/>
          <w:sz w:val="24"/>
          <w:szCs w:val="24"/>
        </w:rPr>
        <w:t>（2)气相色谱、检测器运行情况检查。检查载气</w:t>
      </w:r>
      <w:r>
        <w:rPr>
          <w:rFonts w:hint="eastAsia" w:ascii="宋体" w:hAnsi="宋体" w:eastAsia="宋体" w:cs="宋体"/>
          <w:spacing w:val="-2"/>
          <w:sz w:val="24"/>
          <w:szCs w:val="24"/>
        </w:rPr>
        <w:t>净化装置(如除烃等)，如有异常</w:t>
      </w:r>
      <w:r>
        <w:rPr>
          <w:rFonts w:hint="eastAsia" w:ascii="宋体" w:hAnsi="宋体" w:eastAsia="宋体" w:cs="宋体"/>
          <w:spacing w:val="-5"/>
          <w:sz w:val="24"/>
          <w:szCs w:val="24"/>
        </w:rPr>
        <w:t>应及时更换。根据系统验收或非甲烷总烃测试时使用的参数，检查</w:t>
      </w:r>
      <w:r>
        <w:rPr>
          <w:rFonts w:hint="eastAsia" w:ascii="宋体" w:hAnsi="宋体" w:eastAsia="宋体" w:cs="宋体"/>
          <w:spacing w:val="-6"/>
          <w:sz w:val="24"/>
          <w:szCs w:val="24"/>
        </w:rPr>
        <w:t>色谱炉温控制程序、载气流量或压力控制程序、氢火焰离子化检测器等是否正常，如有异常应及时停机检查，排查问题。</w:t>
      </w:r>
    </w:p>
    <w:p w14:paraId="579A2F1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1.2.3每周质量控制内容</w:t>
      </w:r>
    </w:p>
    <w:p w14:paraId="5E12144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完成点检并做好记录，包括：氢气发生器、载气</w:t>
      </w:r>
      <w:r>
        <w:rPr>
          <w:rFonts w:hint="eastAsia" w:ascii="宋体" w:hAnsi="宋体" w:eastAsia="宋体" w:cs="宋体"/>
          <w:spacing w:val="-2"/>
          <w:sz w:val="24"/>
          <w:szCs w:val="24"/>
        </w:rPr>
        <w:t>和零空气供应情况以及主要性能</w:t>
      </w:r>
      <w:r>
        <w:rPr>
          <w:rFonts w:hint="eastAsia" w:ascii="宋体" w:hAnsi="宋体" w:eastAsia="宋体" w:cs="宋体"/>
          <w:spacing w:val="-1"/>
          <w:sz w:val="24"/>
          <w:szCs w:val="24"/>
        </w:rPr>
        <w:t>指标检查，并做好定量保留时间范围校准记录；开展空白检查，</w:t>
      </w:r>
      <w:r>
        <w:rPr>
          <w:rFonts w:hint="eastAsia" w:ascii="宋体" w:hAnsi="宋体" w:eastAsia="宋体" w:cs="宋体"/>
          <w:spacing w:val="-2"/>
          <w:sz w:val="24"/>
          <w:szCs w:val="24"/>
        </w:rPr>
        <w:t>若非甲烷总烃测定浓</w:t>
      </w:r>
      <w:r>
        <w:rPr>
          <w:rFonts w:hint="eastAsia" w:ascii="宋体" w:hAnsi="宋体" w:eastAsia="宋体" w:cs="宋体"/>
          <w:spacing w:val="-1"/>
          <w:sz w:val="24"/>
          <w:szCs w:val="24"/>
        </w:rPr>
        <w:t>度大于方法检出限，应重新校准；开展标点(500ppbC)检查，若定量误差超出±1</w:t>
      </w:r>
      <w:r>
        <w:rPr>
          <w:rFonts w:hint="eastAsia" w:ascii="宋体" w:hAnsi="宋体" w:eastAsia="宋体" w:cs="宋体"/>
          <w:spacing w:val="-2"/>
          <w:sz w:val="24"/>
          <w:szCs w:val="24"/>
        </w:rPr>
        <w:t>0%，</w:t>
      </w:r>
      <w:r>
        <w:rPr>
          <w:rFonts w:hint="eastAsia" w:ascii="宋体" w:hAnsi="宋体" w:eastAsia="宋体" w:cs="宋体"/>
          <w:spacing w:val="-6"/>
          <w:sz w:val="24"/>
          <w:szCs w:val="24"/>
        </w:rPr>
        <w:t>应重新校准。</w:t>
      </w:r>
    </w:p>
    <w:p w14:paraId="6A08875C">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1.3每月运维工作要求</w:t>
      </w:r>
    </w:p>
    <w:p w14:paraId="2AC915A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1.3.1采样流量检查</w:t>
      </w:r>
    </w:p>
    <w:p w14:paraId="251D9AC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1"/>
          <w:sz w:val="24"/>
          <w:szCs w:val="24"/>
        </w:rPr>
        <w:t>至少进行一次采样流量检查，当误差超过±5%，应</w:t>
      </w:r>
      <w:r>
        <w:rPr>
          <w:rFonts w:hint="eastAsia" w:ascii="宋体" w:hAnsi="宋体" w:eastAsia="宋体" w:cs="宋体"/>
          <w:spacing w:val="-2"/>
          <w:sz w:val="24"/>
          <w:szCs w:val="24"/>
        </w:rPr>
        <w:t>对仪器流量进行校准。</w:t>
      </w:r>
    </w:p>
    <w:p w14:paraId="51D65BB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1"/>
          <w:sz w:val="24"/>
          <w:szCs w:val="24"/>
        </w:rPr>
        <w:t>每月检查校准各仪器时钟，并与数采工控机保</w:t>
      </w:r>
      <w:r>
        <w:rPr>
          <w:rFonts w:hint="eastAsia" w:ascii="宋体" w:hAnsi="宋体" w:eastAsia="宋体" w:cs="宋体"/>
          <w:spacing w:val="-2"/>
          <w:sz w:val="24"/>
          <w:szCs w:val="24"/>
        </w:rPr>
        <w:t>持一致。</w:t>
      </w:r>
    </w:p>
    <w:p w14:paraId="0E5DB2F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1.4每季度运维工作要求</w:t>
      </w:r>
    </w:p>
    <w:p w14:paraId="695A463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1.4.1标准曲线绘制</w:t>
      </w:r>
    </w:p>
    <w:p w14:paraId="6F0511B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9"/>
          <w:sz w:val="24"/>
          <w:szCs w:val="24"/>
        </w:rPr>
        <w:t>使用标准气体更新多点校准曲线。要求非甲烷总烃校准曲线的相关系数</w:t>
      </w:r>
      <w:r>
        <w:rPr>
          <w:rFonts w:hint="eastAsia" w:ascii="宋体" w:hAnsi="宋体" w:eastAsia="宋体" w:cs="宋体"/>
          <w:spacing w:val="8"/>
          <w:sz w:val="24"/>
          <w:szCs w:val="24"/>
        </w:rPr>
        <w:t>R2≥</w:t>
      </w:r>
      <w:r>
        <w:rPr>
          <w:rFonts w:hint="eastAsia" w:ascii="宋体" w:hAnsi="宋体" w:eastAsia="宋体" w:cs="宋体"/>
          <w:spacing w:val="-1"/>
          <w:sz w:val="24"/>
          <w:szCs w:val="24"/>
        </w:rPr>
        <w:t>0.999，校准曲线上各浓度点残差与理论浓度的比值应在±10%以内。关键部</w:t>
      </w:r>
      <w:r>
        <w:rPr>
          <w:rFonts w:hint="eastAsia" w:ascii="宋体" w:hAnsi="宋体" w:eastAsia="宋体" w:cs="宋体"/>
          <w:spacing w:val="-2"/>
          <w:sz w:val="24"/>
          <w:szCs w:val="24"/>
        </w:rPr>
        <w:t>位维修维</w:t>
      </w:r>
      <w:r>
        <w:rPr>
          <w:rFonts w:hint="eastAsia" w:ascii="宋体" w:hAnsi="宋体" w:eastAsia="宋体" w:cs="宋体"/>
          <w:spacing w:val="-6"/>
          <w:sz w:val="24"/>
          <w:szCs w:val="24"/>
        </w:rPr>
        <w:t>护或更换，如进行检测器的清洗、质谱调谐后，需重新绘制标准</w:t>
      </w:r>
      <w:r>
        <w:rPr>
          <w:rFonts w:hint="eastAsia" w:ascii="宋体" w:hAnsi="宋体" w:eastAsia="宋体" w:cs="宋体"/>
          <w:spacing w:val="-7"/>
          <w:sz w:val="24"/>
          <w:szCs w:val="24"/>
        </w:rPr>
        <w:t>曲线。标准曲线要求</w:t>
      </w:r>
      <w:r>
        <w:rPr>
          <w:rFonts w:hint="eastAsia" w:ascii="宋体" w:hAnsi="宋体" w:eastAsia="宋体" w:cs="宋体"/>
          <w:spacing w:val="-3"/>
          <w:sz w:val="24"/>
          <w:szCs w:val="24"/>
        </w:rPr>
        <w:t>与《技术规定》一致。</w:t>
      </w:r>
    </w:p>
    <w:p w14:paraId="3ACF8CB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1.4.2验漏检查</w:t>
      </w:r>
    </w:p>
    <w:p w14:paraId="437A1D2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2"/>
        <w:textAlignment w:val="baseline"/>
        <w:rPr>
          <w:rFonts w:hint="eastAsia" w:ascii="宋体" w:hAnsi="宋体" w:eastAsia="宋体" w:cs="宋体"/>
          <w:sz w:val="24"/>
          <w:szCs w:val="24"/>
        </w:rPr>
      </w:pPr>
      <w:r>
        <w:rPr>
          <w:rFonts w:hint="eastAsia" w:ascii="宋体" w:hAnsi="宋体" w:eastAsia="宋体" w:cs="宋体"/>
          <w:spacing w:val="-1"/>
          <w:sz w:val="24"/>
          <w:szCs w:val="24"/>
        </w:rPr>
        <w:t>按系统说明书的要求进行验漏检查。如系统条件允</w:t>
      </w:r>
      <w:r>
        <w:rPr>
          <w:rFonts w:hint="eastAsia" w:ascii="宋体" w:hAnsi="宋体" w:eastAsia="宋体" w:cs="宋体"/>
          <w:spacing w:val="-2"/>
          <w:sz w:val="24"/>
          <w:szCs w:val="24"/>
        </w:rPr>
        <w:t>许，验漏应尽可能覆盖采样、</w:t>
      </w:r>
      <w:r>
        <w:rPr>
          <w:rFonts w:hint="eastAsia" w:ascii="宋体" w:hAnsi="宋体" w:eastAsia="宋体" w:cs="宋体"/>
          <w:spacing w:val="-3"/>
          <w:sz w:val="24"/>
          <w:szCs w:val="24"/>
        </w:rPr>
        <w:t>富集/注射模块、气相色谱和检测器等全部环节。</w:t>
      </w:r>
    </w:p>
    <w:p w14:paraId="3CF0FB4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4"/>
        <w:textAlignment w:val="baseline"/>
        <w:rPr>
          <w:rFonts w:hint="eastAsia" w:ascii="宋体" w:hAnsi="宋体" w:eastAsia="宋体" w:cs="宋体"/>
          <w:sz w:val="24"/>
          <w:szCs w:val="24"/>
        </w:rPr>
      </w:pPr>
      <w:r>
        <w:rPr>
          <w:rFonts w:hint="eastAsia" w:ascii="宋体" w:hAnsi="宋体" w:eastAsia="宋体" w:cs="宋体"/>
          <w:spacing w:val="-1"/>
          <w:sz w:val="24"/>
          <w:szCs w:val="24"/>
        </w:rPr>
        <w:t>1.4.3温度、压力传感器检查如系统条件允许，应根据厂家提供的作业指</w:t>
      </w:r>
      <w:r>
        <w:rPr>
          <w:rFonts w:hint="eastAsia" w:ascii="宋体" w:hAnsi="宋体" w:eastAsia="宋体" w:cs="宋体"/>
          <w:spacing w:val="-2"/>
          <w:sz w:val="24"/>
          <w:szCs w:val="24"/>
        </w:rPr>
        <w:t>导书或</w:t>
      </w:r>
      <w:r>
        <w:rPr>
          <w:rFonts w:hint="eastAsia" w:ascii="宋体" w:hAnsi="宋体" w:eastAsia="宋体" w:cs="宋体"/>
          <w:spacing w:val="-1"/>
          <w:sz w:val="24"/>
          <w:szCs w:val="24"/>
        </w:rPr>
        <w:t>说明书的要求定期对富集模块、气相色谱和检测器的温度、</w:t>
      </w:r>
      <w:r>
        <w:rPr>
          <w:rFonts w:hint="eastAsia" w:ascii="宋体" w:hAnsi="宋体" w:eastAsia="宋体" w:cs="宋体"/>
          <w:spacing w:val="-2"/>
          <w:sz w:val="24"/>
          <w:szCs w:val="24"/>
        </w:rPr>
        <w:t>压力传感器进行检查。</w:t>
      </w:r>
    </w:p>
    <w:p w14:paraId="1099826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7"/>
        <w:textAlignment w:val="baseline"/>
        <w:rPr>
          <w:rFonts w:hint="eastAsia" w:ascii="宋体" w:hAnsi="宋体" w:eastAsia="宋体" w:cs="宋体"/>
          <w:sz w:val="24"/>
          <w:szCs w:val="24"/>
        </w:rPr>
      </w:pPr>
      <w:r>
        <w:rPr>
          <w:rFonts w:hint="eastAsia" w:ascii="宋体" w:hAnsi="宋体" w:eastAsia="宋体" w:cs="宋体"/>
          <w:spacing w:val="-1"/>
          <w:sz w:val="24"/>
          <w:szCs w:val="24"/>
        </w:rPr>
        <w:t>1.4.4使用压力比进行稀释的装置应按照各厂家说明书的要求定期使用在计</w:t>
      </w:r>
      <w:r>
        <w:rPr>
          <w:rFonts w:hint="eastAsia" w:ascii="宋体" w:hAnsi="宋体" w:eastAsia="宋体" w:cs="宋体"/>
          <w:spacing w:val="-2"/>
          <w:sz w:val="24"/>
          <w:szCs w:val="24"/>
        </w:rPr>
        <w:t>量认</w:t>
      </w:r>
      <w:r>
        <w:rPr>
          <w:rFonts w:hint="eastAsia" w:ascii="宋体" w:hAnsi="宋体" w:eastAsia="宋体" w:cs="宋体"/>
          <w:spacing w:val="-3"/>
          <w:sz w:val="24"/>
          <w:szCs w:val="24"/>
        </w:rPr>
        <w:t>证有效期内的标准气压计对压力进行核查。</w:t>
      </w:r>
    </w:p>
    <w:p w14:paraId="7EE9CE1C">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8"/>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使用流量比进行动态稀释的装置可使用在计量认证有效期内的标准流量计对其</w:t>
      </w:r>
      <w:r>
        <w:rPr>
          <w:rFonts w:hint="eastAsia" w:ascii="宋体" w:hAnsi="宋体" w:eastAsia="宋体" w:cs="宋体"/>
          <w:spacing w:val="-1"/>
          <w:sz w:val="24"/>
          <w:szCs w:val="24"/>
        </w:rPr>
        <w:t>内部各流量计或流量控制装置进行流量传递，流量传递应注意流</w:t>
      </w:r>
      <w:r>
        <w:rPr>
          <w:rFonts w:hint="eastAsia" w:ascii="宋体" w:hAnsi="宋体" w:eastAsia="宋体" w:cs="宋体"/>
          <w:spacing w:val="-2"/>
          <w:sz w:val="24"/>
          <w:szCs w:val="24"/>
        </w:rPr>
        <w:t>量计的输出状态，使用标准压力和和标准温度计换算成同等状态进行核查和校准。</w:t>
      </w:r>
    </w:p>
    <w:p w14:paraId="5BC5A3F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1.5每年运维工作要求</w:t>
      </w:r>
    </w:p>
    <w:p w14:paraId="4FA62DF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1.5.1年度预防性维护</w:t>
      </w:r>
    </w:p>
    <w:p w14:paraId="23BFA40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1"/>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应至少进行一次监测仪器的系统保养，对采样管路、仪器内</w:t>
      </w:r>
      <w:r>
        <w:rPr>
          <w:rFonts w:hint="eastAsia" w:ascii="宋体" w:hAnsi="宋体" w:eastAsia="宋体" w:cs="宋体"/>
          <w:spacing w:val="-2"/>
          <w:sz w:val="24"/>
          <w:szCs w:val="24"/>
        </w:rPr>
        <w:t>部进样管路和检测器</w:t>
      </w:r>
      <w:r>
        <w:rPr>
          <w:rFonts w:hint="eastAsia" w:ascii="宋体" w:hAnsi="宋体" w:eastAsia="宋体" w:cs="宋体"/>
          <w:spacing w:val="-6"/>
          <w:sz w:val="24"/>
          <w:szCs w:val="24"/>
        </w:rPr>
        <w:t>进行清洗等；更换必要的耗材与配件。保养及维修后，应进行多点校准以及重复性和检出限等测定。</w:t>
      </w:r>
    </w:p>
    <w:p w14:paraId="24E3C5F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1.6特定频次的运维工作要求</w:t>
      </w:r>
    </w:p>
    <w:p w14:paraId="22BAEE4F">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1.6.1其他维护内容</w:t>
      </w:r>
    </w:p>
    <w:p w14:paraId="7F644B2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1"/>
          <w:sz w:val="24"/>
          <w:szCs w:val="24"/>
        </w:rPr>
        <w:t>按照系统说明书或作业指导书要求定期更换阀膜、色谱</w:t>
      </w:r>
      <w:r>
        <w:rPr>
          <w:rFonts w:hint="eastAsia" w:ascii="宋体" w:hAnsi="宋体" w:eastAsia="宋体" w:cs="宋体"/>
          <w:spacing w:val="-2"/>
          <w:sz w:val="24"/>
          <w:szCs w:val="24"/>
        </w:rPr>
        <w:t>柱等重要耗材。做好周期</w:t>
      </w:r>
      <w:r>
        <w:rPr>
          <w:rFonts w:hint="eastAsia" w:ascii="宋体" w:hAnsi="宋体" w:eastAsia="宋体" w:cs="宋体"/>
          <w:spacing w:val="-1"/>
          <w:sz w:val="24"/>
          <w:szCs w:val="24"/>
        </w:rPr>
        <w:t>性维护，及时清洁气动阀阀芯、散热风扇、氢火焰离子化检测器等重要部</w:t>
      </w:r>
      <w:r>
        <w:rPr>
          <w:rFonts w:hint="eastAsia" w:ascii="宋体" w:hAnsi="宋体" w:eastAsia="宋体" w:cs="宋体"/>
          <w:spacing w:val="-2"/>
          <w:sz w:val="24"/>
          <w:szCs w:val="24"/>
        </w:rPr>
        <w:t>件。</w:t>
      </w:r>
    </w:p>
    <w:p w14:paraId="3455094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6"/>
          <w:sz w:val="24"/>
          <w:szCs w:val="24"/>
        </w:rPr>
        <w:t>如运行维护涉及对气路上的关键硬件部分进行拆</w:t>
      </w:r>
      <w:r>
        <w:rPr>
          <w:rFonts w:hint="eastAsia" w:ascii="宋体" w:hAnsi="宋体" w:eastAsia="宋体" w:cs="宋体"/>
          <w:spacing w:val="-7"/>
          <w:sz w:val="24"/>
          <w:szCs w:val="24"/>
        </w:rPr>
        <w:t>卸、打开，维护操作完成后，应</w:t>
      </w:r>
      <w:r>
        <w:rPr>
          <w:rFonts w:hint="eastAsia" w:ascii="宋体" w:hAnsi="宋体" w:eastAsia="宋体" w:cs="宋体"/>
          <w:spacing w:val="-2"/>
          <w:sz w:val="24"/>
          <w:szCs w:val="24"/>
        </w:rPr>
        <w:t>按照系统说明书、作业指导书等要求对系统进行验漏。</w:t>
      </w:r>
    </w:p>
    <w:p w14:paraId="79EBD56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5"/>
          <w:sz w:val="24"/>
          <w:szCs w:val="24"/>
        </w:rPr>
        <w:t>1.7日常运行质量体系运维工作要求</w:t>
      </w:r>
    </w:p>
    <w:p w14:paraId="60276BB6">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1.7.1关键技术文件要求</w:t>
      </w:r>
    </w:p>
    <w:p w14:paraId="5BEC4AFC">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5"/>
          <w:sz w:val="24"/>
          <w:szCs w:val="24"/>
        </w:rPr>
        <w:t>(1)质量管理工作计划</w:t>
      </w:r>
    </w:p>
    <w:p w14:paraId="567FD8A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2"/>
        <w:textAlignment w:val="baseline"/>
        <w:rPr>
          <w:rFonts w:hint="eastAsia" w:ascii="宋体" w:hAnsi="宋体" w:eastAsia="宋体" w:cs="宋体"/>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应制定相应的质量管理工作计划，明确各项运维工作、数据审核和标识工</w:t>
      </w:r>
      <w:r>
        <w:rPr>
          <w:rFonts w:hint="eastAsia" w:ascii="宋体" w:hAnsi="宋体" w:eastAsia="宋体" w:cs="宋体"/>
          <w:spacing w:val="-1"/>
          <w:sz w:val="24"/>
          <w:szCs w:val="24"/>
        </w:rPr>
        <w:t>作、质控工作、量值传递工作的负责人员、时间频次、合格标准、耗</w:t>
      </w:r>
      <w:r>
        <w:rPr>
          <w:rFonts w:hint="eastAsia" w:ascii="宋体" w:hAnsi="宋体" w:eastAsia="宋体" w:cs="宋体"/>
          <w:spacing w:val="-2"/>
          <w:sz w:val="24"/>
          <w:szCs w:val="24"/>
        </w:rPr>
        <w:t>品耗材、标准气</w:t>
      </w:r>
      <w:r>
        <w:rPr>
          <w:rFonts w:hint="eastAsia" w:ascii="宋体" w:hAnsi="宋体" w:eastAsia="宋体" w:cs="宋体"/>
          <w:sz w:val="24"/>
          <w:szCs w:val="24"/>
        </w:rPr>
        <w:t>体、计量标准器具等各项要求。工作计划需包含以下内容</w:t>
      </w:r>
      <w:r>
        <w:rPr>
          <w:rFonts w:hint="eastAsia" w:ascii="宋体" w:hAnsi="宋体" w:eastAsia="宋体" w:cs="宋体"/>
          <w:spacing w:val="-1"/>
          <w:sz w:val="24"/>
          <w:szCs w:val="24"/>
        </w:rPr>
        <w:t>：质控标准与频次见表1</w:t>
      </w:r>
    </w:p>
    <w:p w14:paraId="38B19EB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rPr>
      </w:pPr>
      <w:r>
        <w:rPr>
          <w:rFonts w:hint="eastAsia" w:ascii="宋体" w:hAnsi="宋体" w:eastAsia="宋体" w:cs="宋体"/>
          <w:spacing w:val="-4"/>
          <w:sz w:val="24"/>
          <w:szCs w:val="24"/>
        </w:rPr>
        <w:t>表1质控合格标准与时间频次</w:t>
      </w:r>
    </w:p>
    <w:tbl>
      <w:tblPr>
        <w:tblStyle w:val="92"/>
        <w:tblW w:w="8852"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6112"/>
        <w:gridCol w:w="1433"/>
      </w:tblGrid>
      <w:tr w14:paraId="2A70A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023D27AB">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1"/>
              <w:jc w:val="center"/>
              <w:textAlignment w:val="baseline"/>
              <w:rPr>
                <w:rFonts w:hint="eastAsia" w:ascii="宋体" w:hAnsi="宋体" w:eastAsia="宋体" w:cs="宋体"/>
                <w:b/>
                <w:bCs/>
                <w:sz w:val="24"/>
                <w:szCs w:val="24"/>
              </w:rPr>
            </w:pPr>
            <w:r>
              <w:rPr>
                <w:rFonts w:hint="eastAsia" w:ascii="宋体" w:hAnsi="宋体" w:eastAsia="宋体" w:cs="宋体"/>
                <w:b/>
                <w:bCs/>
                <w:spacing w:val="17"/>
                <w:sz w:val="24"/>
                <w:szCs w:val="24"/>
              </w:rPr>
              <w:t>质控工作名</w:t>
            </w:r>
            <w:r>
              <w:rPr>
                <w:rFonts w:hint="eastAsia" w:ascii="宋体" w:hAnsi="宋体" w:eastAsia="宋体" w:cs="宋体"/>
                <w:b/>
                <w:bCs/>
                <w:sz w:val="24"/>
                <w:szCs w:val="24"/>
              </w:rPr>
              <w:t>称</w:t>
            </w:r>
          </w:p>
        </w:tc>
        <w:tc>
          <w:tcPr>
            <w:tcW w:w="6112" w:type="dxa"/>
            <w:vAlign w:val="center"/>
          </w:tcPr>
          <w:p w14:paraId="453BD0EC">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b/>
                <w:bCs/>
                <w:sz w:val="24"/>
                <w:szCs w:val="24"/>
              </w:rPr>
            </w:pPr>
            <w:r>
              <w:rPr>
                <w:rFonts w:hint="eastAsia" w:ascii="宋体" w:hAnsi="宋体" w:eastAsia="宋体" w:cs="宋体"/>
                <w:b/>
                <w:bCs/>
                <w:spacing w:val="-2"/>
                <w:sz w:val="24"/>
                <w:szCs w:val="24"/>
              </w:rPr>
              <w:t>关键内容与合格标准</w:t>
            </w:r>
          </w:p>
        </w:tc>
        <w:tc>
          <w:tcPr>
            <w:tcW w:w="1433" w:type="dxa"/>
            <w:vAlign w:val="center"/>
          </w:tcPr>
          <w:p w14:paraId="6D8B1E16">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b/>
                <w:bCs/>
                <w:sz w:val="24"/>
                <w:szCs w:val="24"/>
              </w:rPr>
            </w:pPr>
            <w:r>
              <w:rPr>
                <w:rFonts w:hint="eastAsia" w:ascii="宋体" w:hAnsi="宋体" w:eastAsia="宋体" w:cs="宋体"/>
                <w:b/>
                <w:bCs/>
                <w:spacing w:val="-4"/>
                <w:sz w:val="24"/>
                <w:szCs w:val="24"/>
              </w:rPr>
              <w:t>时间频次</w:t>
            </w:r>
          </w:p>
        </w:tc>
      </w:tr>
      <w:tr w14:paraId="13527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34D614C4">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hanging="5"/>
              <w:jc w:val="center"/>
              <w:textAlignment w:val="baseline"/>
              <w:rPr>
                <w:rFonts w:hint="eastAsia" w:ascii="宋体" w:hAnsi="宋体" w:eastAsia="宋体" w:cs="宋体"/>
                <w:sz w:val="24"/>
                <w:szCs w:val="24"/>
              </w:rPr>
            </w:pPr>
            <w:r>
              <w:rPr>
                <w:rFonts w:hint="eastAsia" w:ascii="宋体" w:hAnsi="宋体" w:eastAsia="宋体" w:cs="宋体"/>
                <w:spacing w:val="-21"/>
                <w:sz w:val="24"/>
                <w:szCs w:val="24"/>
              </w:rPr>
              <w:t>零气空白</w:t>
            </w:r>
            <w:r>
              <w:rPr>
                <w:rFonts w:hint="eastAsia" w:ascii="宋体" w:hAnsi="宋体" w:eastAsia="宋体" w:cs="宋体"/>
                <w:spacing w:val="13"/>
                <w:sz w:val="24"/>
                <w:szCs w:val="24"/>
              </w:rPr>
              <w:t>（全系统空</w:t>
            </w:r>
            <w:r>
              <w:rPr>
                <w:rFonts w:hint="eastAsia" w:ascii="宋体" w:hAnsi="宋体" w:eastAsia="宋体" w:cs="宋体"/>
                <w:spacing w:val="-35"/>
                <w:sz w:val="24"/>
                <w:szCs w:val="24"/>
              </w:rPr>
              <w:t>白）、系统</w:t>
            </w:r>
            <w:r>
              <w:rPr>
                <w:rFonts w:hint="eastAsia" w:ascii="宋体" w:hAnsi="宋体" w:eastAsia="宋体" w:cs="宋体"/>
                <w:spacing w:val="-17"/>
                <w:sz w:val="24"/>
                <w:szCs w:val="24"/>
              </w:rPr>
              <w:t>空</w:t>
            </w:r>
            <w:r>
              <w:rPr>
                <w:rFonts w:hint="eastAsia" w:ascii="宋体" w:hAnsi="宋体" w:eastAsia="宋体" w:cs="宋体"/>
                <w:spacing w:val="-10"/>
                <w:sz w:val="24"/>
                <w:szCs w:val="24"/>
              </w:rPr>
              <w:t>白检查</w:t>
            </w:r>
          </w:p>
        </w:tc>
        <w:tc>
          <w:tcPr>
            <w:tcW w:w="6112" w:type="dxa"/>
            <w:vAlign w:val="center"/>
          </w:tcPr>
          <w:p w14:paraId="183A194A">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每周进行一次全系统空白检查，记录各化合物浓度日常残留。各化合物日常残留应低于方法检出限且低于</w:t>
            </w:r>
            <w:r>
              <w:rPr>
                <w:rFonts w:hint="eastAsia" w:ascii="宋体" w:hAnsi="宋体" w:eastAsia="宋体" w:cs="宋体"/>
                <w:spacing w:val="-2"/>
                <w:sz w:val="24"/>
                <w:szCs w:val="24"/>
              </w:rPr>
              <w:t>0.1nmol/mol，若不合格，应对系统进行检查，检查零</w:t>
            </w:r>
            <w:r>
              <w:rPr>
                <w:rFonts w:hint="eastAsia" w:ascii="宋体" w:hAnsi="宋体" w:eastAsia="宋体" w:cs="宋体"/>
                <w:spacing w:val="-3"/>
                <w:sz w:val="24"/>
                <w:szCs w:val="24"/>
              </w:rPr>
              <w:t>气质量或清洗、更换系统管路。</w:t>
            </w:r>
          </w:p>
        </w:tc>
        <w:tc>
          <w:tcPr>
            <w:tcW w:w="1433" w:type="dxa"/>
            <w:vAlign w:val="center"/>
          </w:tcPr>
          <w:p w14:paraId="5186E54B">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每周一次</w:t>
            </w:r>
          </w:p>
        </w:tc>
      </w:tr>
      <w:tr w14:paraId="032F3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600BF80F">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1"/>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单点质控检查</w:t>
            </w:r>
          </w:p>
        </w:tc>
        <w:tc>
          <w:tcPr>
            <w:tcW w:w="6112" w:type="dxa"/>
            <w:vAlign w:val="center"/>
          </w:tcPr>
          <w:p w14:paraId="21E36E8E">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hanging="2"/>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浓度检查：通入日常平均浓度或标准曲线中间点浓度</w:t>
            </w:r>
            <w:r>
              <w:rPr>
                <w:rFonts w:hint="eastAsia" w:ascii="宋体" w:hAnsi="宋体" w:eastAsia="宋体" w:cs="宋体"/>
                <w:spacing w:val="-9"/>
                <w:sz w:val="24"/>
                <w:szCs w:val="24"/>
              </w:rPr>
              <w:t>的标准气体进行核查，化合物相对误差≤20%；超过20%</w:t>
            </w:r>
            <w:r>
              <w:rPr>
                <w:rFonts w:hint="eastAsia" w:ascii="宋体" w:hAnsi="宋体" w:eastAsia="宋体" w:cs="宋体"/>
                <w:spacing w:val="3"/>
                <w:sz w:val="24"/>
                <w:szCs w:val="24"/>
              </w:rPr>
              <w:t>不合格，如不合格，则应检查在线监测系统，并</w:t>
            </w:r>
            <w:r>
              <w:rPr>
                <w:rFonts w:hint="eastAsia" w:ascii="宋体" w:hAnsi="宋体" w:eastAsia="宋体" w:cs="宋体"/>
                <w:spacing w:val="2"/>
                <w:sz w:val="24"/>
                <w:szCs w:val="24"/>
              </w:rPr>
              <w:t>重新</w:t>
            </w:r>
            <w:r>
              <w:rPr>
                <w:rFonts w:hint="eastAsia" w:ascii="宋体" w:hAnsi="宋体" w:eastAsia="宋体" w:cs="宋体"/>
                <w:spacing w:val="-6"/>
                <w:sz w:val="24"/>
                <w:szCs w:val="24"/>
              </w:rPr>
              <w:t>绘制标准曲线。</w:t>
            </w:r>
          </w:p>
        </w:tc>
        <w:tc>
          <w:tcPr>
            <w:tcW w:w="1433" w:type="dxa"/>
            <w:vAlign w:val="center"/>
          </w:tcPr>
          <w:p w14:paraId="6488CA2C">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每周一次</w:t>
            </w:r>
          </w:p>
          <w:p w14:paraId="28206E3A">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空白检查后</w:t>
            </w:r>
          </w:p>
        </w:tc>
      </w:tr>
      <w:tr w14:paraId="0F1EB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3DCC147A">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流量检查</w:t>
            </w:r>
          </w:p>
        </w:tc>
        <w:tc>
          <w:tcPr>
            <w:tcW w:w="6112" w:type="dxa"/>
            <w:vAlign w:val="center"/>
          </w:tcPr>
          <w:p w14:paraId="565D5B40">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hanging="3"/>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采样流量示值与标准流量计示值的相对偏差应</w:t>
            </w:r>
            <w:r>
              <w:rPr>
                <w:rFonts w:hint="eastAsia" w:ascii="宋体" w:hAnsi="宋体" w:eastAsia="宋体" w:cs="宋体"/>
                <w:spacing w:val="1"/>
                <w:sz w:val="24"/>
                <w:szCs w:val="24"/>
              </w:rPr>
              <w:t>≤5%。</w:t>
            </w:r>
            <w:r>
              <w:rPr>
                <w:rFonts w:hint="eastAsia" w:ascii="宋体" w:hAnsi="宋体" w:eastAsia="宋体" w:cs="宋体"/>
                <w:spacing w:val="-4"/>
                <w:sz w:val="24"/>
                <w:szCs w:val="24"/>
              </w:rPr>
              <w:t>大于5%时应对期间数据进行复核。</w:t>
            </w:r>
          </w:p>
        </w:tc>
        <w:tc>
          <w:tcPr>
            <w:tcW w:w="1433" w:type="dxa"/>
            <w:vAlign w:val="center"/>
          </w:tcPr>
          <w:p w14:paraId="5BDACAD0">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每月一次</w:t>
            </w:r>
          </w:p>
          <w:p w14:paraId="3327AF6F">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2"/>
                <w:sz w:val="24"/>
                <w:szCs w:val="24"/>
              </w:rPr>
              <w:t>或绘标准曲</w:t>
            </w:r>
            <w:r>
              <w:rPr>
                <w:rFonts w:hint="eastAsia" w:ascii="宋体" w:hAnsi="宋体" w:eastAsia="宋体" w:cs="宋体"/>
                <w:spacing w:val="-4"/>
                <w:sz w:val="24"/>
                <w:szCs w:val="24"/>
              </w:rPr>
              <w:t>线前</w:t>
            </w:r>
          </w:p>
        </w:tc>
      </w:tr>
      <w:tr w14:paraId="3F39F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1E01CC2A">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验漏检查</w:t>
            </w:r>
          </w:p>
        </w:tc>
        <w:tc>
          <w:tcPr>
            <w:tcW w:w="6112" w:type="dxa"/>
            <w:vAlign w:val="center"/>
          </w:tcPr>
          <w:p w14:paraId="0A81BC4C">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1"/>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按在线监测系统说明书的要求对在线监测系统进行验</w:t>
            </w:r>
            <w:r>
              <w:rPr>
                <w:rFonts w:hint="eastAsia" w:ascii="宋体" w:hAnsi="宋体" w:eastAsia="宋体" w:cs="宋体"/>
                <w:spacing w:val="-3"/>
                <w:sz w:val="24"/>
                <w:szCs w:val="24"/>
              </w:rPr>
              <w:t>漏检查，具体操作与合格标准参考说明书。</w:t>
            </w:r>
          </w:p>
        </w:tc>
        <w:tc>
          <w:tcPr>
            <w:tcW w:w="1433" w:type="dxa"/>
            <w:vAlign w:val="center"/>
          </w:tcPr>
          <w:p w14:paraId="10B36F08">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每季度一次</w:t>
            </w:r>
          </w:p>
        </w:tc>
      </w:tr>
      <w:tr w14:paraId="54EF9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77D4F343">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17"/>
                <w:sz w:val="24"/>
                <w:szCs w:val="24"/>
              </w:rPr>
              <w:t>标准曲线绘</w:t>
            </w:r>
            <w:r>
              <w:rPr>
                <w:rFonts w:hint="eastAsia" w:ascii="宋体" w:hAnsi="宋体" w:eastAsia="宋体" w:cs="宋体"/>
                <w:sz w:val="24"/>
                <w:szCs w:val="24"/>
              </w:rPr>
              <w:t>制</w:t>
            </w:r>
          </w:p>
        </w:tc>
        <w:tc>
          <w:tcPr>
            <w:tcW w:w="6112" w:type="dxa"/>
            <w:vAlign w:val="center"/>
          </w:tcPr>
          <w:p w14:paraId="1C3371FB">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27"/>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由低到高依次通入标气建立多点标准曲线，曲线含5</w:t>
            </w:r>
            <w:r>
              <w:rPr>
                <w:rFonts w:hint="eastAsia" w:ascii="宋体" w:hAnsi="宋体" w:eastAsia="宋体" w:cs="宋体"/>
                <w:spacing w:val="-5"/>
                <w:sz w:val="24"/>
                <w:szCs w:val="24"/>
              </w:rPr>
              <w:t>点并强制过零。各组分线性相关系数R≥0.99，决定系</w:t>
            </w:r>
            <w:r>
              <w:rPr>
                <w:rFonts w:hint="eastAsia" w:ascii="宋体" w:hAnsi="宋体" w:eastAsia="宋体" w:cs="宋体"/>
                <w:spacing w:val="-3"/>
                <w:sz w:val="24"/>
                <w:szCs w:val="24"/>
              </w:rPr>
              <w:t>数R2≥0.98。</w:t>
            </w:r>
          </w:p>
        </w:tc>
        <w:tc>
          <w:tcPr>
            <w:tcW w:w="1433" w:type="dxa"/>
            <w:vAlign w:val="center"/>
          </w:tcPr>
          <w:p w14:paraId="29D838DC">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每季度一次</w:t>
            </w:r>
          </w:p>
        </w:tc>
      </w:tr>
      <w:tr w14:paraId="22FE44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08AFE0DE">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hanging="3"/>
              <w:jc w:val="center"/>
              <w:textAlignment w:val="baseline"/>
              <w:rPr>
                <w:rFonts w:hint="eastAsia" w:ascii="宋体" w:hAnsi="宋体" w:eastAsia="宋体" w:cs="宋体"/>
                <w:sz w:val="24"/>
                <w:szCs w:val="24"/>
              </w:rPr>
            </w:pPr>
            <w:r>
              <w:rPr>
                <w:rFonts w:hint="eastAsia" w:ascii="宋体" w:hAnsi="宋体" w:eastAsia="宋体" w:cs="宋体"/>
                <w:spacing w:val="17"/>
                <w:sz w:val="24"/>
                <w:szCs w:val="24"/>
              </w:rPr>
              <w:t>稀释装置核</w:t>
            </w:r>
            <w:r>
              <w:rPr>
                <w:rFonts w:hint="eastAsia" w:ascii="宋体" w:hAnsi="宋体" w:eastAsia="宋体" w:cs="宋体"/>
                <w:sz w:val="24"/>
                <w:szCs w:val="24"/>
              </w:rPr>
              <w:t>查</w:t>
            </w:r>
          </w:p>
        </w:tc>
        <w:tc>
          <w:tcPr>
            <w:tcW w:w="6112" w:type="dxa"/>
            <w:vAlign w:val="center"/>
          </w:tcPr>
          <w:p w14:paraId="7481F64A">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2"/>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使用压力比进行稀释的装置应按照各厂家说明书的要求定期使用在计量认证有效期内的标准气压计对压力</w:t>
            </w:r>
            <w:r>
              <w:rPr>
                <w:rFonts w:hint="eastAsia" w:ascii="宋体" w:hAnsi="宋体" w:eastAsia="宋体" w:cs="宋体"/>
                <w:spacing w:val="-7"/>
                <w:sz w:val="24"/>
                <w:szCs w:val="24"/>
              </w:rPr>
              <w:t>进行核查。</w:t>
            </w:r>
          </w:p>
          <w:p w14:paraId="05666701">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2"/>
              <w:jc w:val="center"/>
              <w:textAlignment w:val="baseline"/>
              <w:rPr>
                <w:rFonts w:hint="eastAsia" w:ascii="宋体" w:hAnsi="宋体" w:eastAsia="宋体" w:cs="宋体"/>
                <w:sz w:val="24"/>
                <w:szCs w:val="24"/>
              </w:rPr>
            </w:pPr>
            <w:r>
              <w:rPr>
                <w:rFonts w:hint="eastAsia" w:ascii="宋体" w:hAnsi="宋体" w:eastAsia="宋体" w:cs="宋体"/>
                <w:sz w:val="24"/>
                <w:szCs w:val="24"/>
              </w:rPr>
              <w:t>使用流量比进行动态稀释的装置可使用在计量认证有效期内的标准流量计对其内部各流量计或流量控制装</w:t>
            </w:r>
            <w:r>
              <w:rPr>
                <w:rFonts w:hint="eastAsia" w:ascii="宋体" w:hAnsi="宋体" w:eastAsia="宋体" w:cs="宋体"/>
                <w:spacing w:val="-7"/>
                <w:sz w:val="24"/>
                <w:szCs w:val="24"/>
              </w:rPr>
              <w:t>置进行流量传递，流量传递应注意流量计的输出状态，</w:t>
            </w:r>
            <w:r>
              <w:rPr>
                <w:rFonts w:hint="eastAsia" w:ascii="宋体" w:hAnsi="宋体" w:eastAsia="宋体" w:cs="宋体"/>
                <w:sz w:val="24"/>
                <w:szCs w:val="24"/>
              </w:rPr>
              <w:t>使用标准压力和和标准温度计换算成同等状态进行核</w:t>
            </w:r>
            <w:r>
              <w:rPr>
                <w:rFonts w:hint="eastAsia" w:ascii="宋体" w:hAnsi="宋体" w:eastAsia="宋体" w:cs="宋体"/>
                <w:spacing w:val="-9"/>
                <w:sz w:val="24"/>
                <w:szCs w:val="24"/>
              </w:rPr>
              <w:t>查和校准。</w:t>
            </w:r>
          </w:p>
        </w:tc>
        <w:tc>
          <w:tcPr>
            <w:tcW w:w="1433" w:type="dxa"/>
            <w:vAlign w:val="center"/>
          </w:tcPr>
          <w:p w14:paraId="35C3E62E">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每季度一次</w:t>
            </w:r>
          </w:p>
        </w:tc>
      </w:tr>
      <w:tr w14:paraId="56EB4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7CE705C3">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44"/>
              <w:jc w:val="center"/>
              <w:textAlignment w:val="baseline"/>
              <w:rPr>
                <w:rFonts w:hint="eastAsia" w:ascii="宋体" w:hAnsi="宋体" w:eastAsia="宋体" w:cs="宋体"/>
                <w:sz w:val="24"/>
                <w:szCs w:val="24"/>
              </w:rPr>
            </w:pPr>
            <w:r>
              <w:rPr>
                <w:rFonts w:hint="eastAsia" w:ascii="宋体" w:hAnsi="宋体" w:eastAsia="宋体" w:cs="宋体"/>
                <w:spacing w:val="8"/>
                <w:sz w:val="24"/>
                <w:szCs w:val="24"/>
              </w:rPr>
              <w:t>目标化合物</w:t>
            </w:r>
            <w:r>
              <w:rPr>
                <w:rFonts w:hint="eastAsia" w:ascii="宋体" w:hAnsi="宋体" w:eastAsia="宋体" w:cs="宋体"/>
                <w:spacing w:val="-3"/>
                <w:sz w:val="24"/>
                <w:szCs w:val="24"/>
              </w:rPr>
              <w:t>测试</w:t>
            </w:r>
          </w:p>
        </w:tc>
        <w:tc>
          <w:tcPr>
            <w:tcW w:w="6112" w:type="dxa"/>
            <w:vAlign w:val="center"/>
          </w:tcPr>
          <w:p w14:paraId="29963C06">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25"/>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目标化合物名录测试考核指标主要包括多点曲线、检</w:t>
            </w:r>
            <w:r>
              <w:rPr>
                <w:rFonts w:hint="eastAsia" w:ascii="宋体" w:hAnsi="宋体" w:eastAsia="宋体" w:cs="宋体"/>
                <w:spacing w:val="-5"/>
                <w:sz w:val="24"/>
                <w:szCs w:val="24"/>
              </w:rPr>
              <w:t>出限、空白检查、准确度等。</w:t>
            </w:r>
          </w:p>
        </w:tc>
        <w:tc>
          <w:tcPr>
            <w:tcW w:w="1433" w:type="dxa"/>
            <w:vAlign w:val="center"/>
          </w:tcPr>
          <w:p w14:paraId="70583629">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每年一次</w:t>
            </w:r>
          </w:p>
        </w:tc>
      </w:tr>
      <w:tr w14:paraId="01F6B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307" w:type="dxa"/>
            <w:vAlign w:val="center"/>
          </w:tcPr>
          <w:p w14:paraId="55CC285C">
            <w:pPr>
              <w:keepNext w:val="0"/>
              <w:keepLines w:val="0"/>
              <w:pageBreakBefore w:val="0"/>
              <w:kinsoku/>
              <w:wordWrap/>
              <w:overflowPunct/>
              <w:topLinePunct w:val="0"/>
              <w:bidi w:val="0"/>
              <w:jc w:val="center"/>
              <w:rPr>
                <w:rFonts w:hint="eastAsia" w:ascii="宋体" w:hAnsi="宋体" w:eastAsia="宋体" w:cs="宋体"/>
                <w:spacing w:val="8"/>
                <w:kern w:val="2"/>
                <w:sz w:val="24"/>
                <w:szCs w:val="24"/>
                <w:lang w:val="en-US" w:eastAsia="en-US" w:bidi="ar-SA"/>
              </w:rPr>
            </w:pPr>
            <w:r>
              <w:rPr>
                <w:rFonts w:hint="eastAsia" w:ascii="宋体" w:hAnsi="宋体" w:eastAsia="宋体" w:cs="宋体"/>
                <w:spacing w:val="8"/>
                <w:kern w:val="2"/>
                <w:sz w:val="24"/>
                <w:szCs w:val="24"/>
                <w:lang w:val="en-US" w:eastAsia="en-US" w:bidi="ar-SA"/>
              </w:rPr>
              <w:t>标准流量计</w:t>
            </w:r>
          </w:p>
          <w:p w14:paraId="22B59F25">
            <w:pPr>
              <w:keepNext w:val="0"/>
              <w:keepLines w:val="0"/>
              <w:pageBreakBefore w:val="0"/>
              <w:kinsoku/>
              <w:wordWrap/>
              <w:overflowPunct/>
              <w:topLinePunct w:val="0"/>
              <w:bidi w:val="0"/>
              <w:jc w:val="center"/>
              <w:rPr>
                <w:rFonts w:hint="eastAsia" w:ascii="宋体" w:hAnsi="宋体" w:eastAsia="宋体" w:cs="宋体"/>
                <w:sz w:val="24"/>
                <w:szCs w:val="24"/>
              </w:rPr>
            </w:pPr>
            <w:r>
              <w:rPr>
                <w:rFonts w:hint="eastAsia" w:ascii="宋体" w:hAnsi="宋体" w:eastAsia="宋体" w:cs="宋体"/>
                <w:spacing w:val="8"/>
                <w:kern w:val="2"/>
                <w:sz w:val="24"/>
                <w:szCs w:val="24"/>
                <w:lang w:val="en-US" w:eastAsia="en-US" w:bidi="ar-SA"/>
              </w:rPr>
              <w:t>的检定或校准</w:t>
            </w:r>
          </w:p>
        </w:tc>
        <w:tc>
          <w:tcPr>
            <w:tcW w:w="6112" w:type="dxa"/>
            <w:vAlign w:val="center"/>
          </w:tcPr>
          <w:p w14:paraId="3D0AA0D0">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firstLine="1"/>
              <w:jc w:val="center"/>
              <w:textAlignment w:val="baseline"/>
              <w:rPr>
                <w:rFonts w:hint="eastAsia" w:ascii="宋体" w:hAnsi="宋体" w:eastAsia="宋体" w:cs="宋体"/>
                <w:sz w:val="24"/>
                <w:szCs w:val="24"/>
              </w:rPr>
            </w:pPr>
            <w:r>
              <w:rPr>
                <w:rFonts w:hint="eastAsia" w:ascii="宋体" w:hAnsi="宋体" w:eastAsia="宋体" w:cs="宋体"/>
                <w:sz w:val="24"/>
                <w:szCs w:val="24"/>
              </w:rPr>
              <w:t>流量计应采用计量检定、计量校准等形式进行量值溯源，进行溯源的气体流量点应在其日常应用的流量范</w:t>
            </w:r>
            <w:r>
              <w:rPr>
                <w:rFonts w:hint="eastAsia" w:ascii="宋体" w:hAnsi="宋体" w:eastAsia="宋体" w:cs="宋体"/>
                <w:spacing w:val="-8"/>
                <w:sz w:val="24"/>
                <w:szCs w:val="24"/>
              </w:rPr>
              <w:t>围内。流量计示值与标准流量值的相对误差应≤±1%，</w:t>
            </w:r>
            <w:r>
              <w:rPr>
                <w:rFonts w:hint="eastAsia" w:ascii="宋体" w:hAnsi="宋体" w:eastAsia="宋体" w:cs="宋体"/>
                <w:spacing w:val="-7"/>
                <w:sz w:val="24"/>
                <w:szCs w:val="24"/>
              </w:rPr>
              <w:t>如超过±1%，应对其示值进行修正。</w:t>
            </w:r>
          </w:p>
        </w:tc>
        <w:tc>
          <w:tcPr>
            <w:tcW w:w="1433" w:type="dxa"/>
            <w:vAlign w:val="center"/>
          </w:tcPr>
          <w:p w14:paraId="0F2E7EE7">
            <w:pPr>
              <w:pStyle w:val="95"/>
              <w:keepNext w:val="0"/>
              <w:keepLines w:val="0"/>
              <w:pageBreakBefore w:val="0"/>
              <w:widowControl/>
              <w:kinsoku/>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每年一次</w:t>
            </w:r>
          </w:p>
        </w:tc>
      </w:tr>
    </w:tbl>
    <w:p w14:paraId="0F2933B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作业指导书</w:t>
      </w:r>
    </w:p>
    <w:p w14:paraId="67499EE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6"/>
        <w:textAlignment w:val="baseline"/>
        <w:rPr>
          <w:rFonts w:hint="eastAsia" w:ascii="宋体" w:hAnsi="宋体" w:eastAsia="宋体" w:cs="宋体"/>
          <w:spacing w:val="-1"/>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应根据负责运维的系统设备、标准气体、计量标准器具以及制定的质量管</w:t>
      </w:r>
      <w:r>
        <w:rPr>
          <w:rFonts w:hint="eastAsia" w:ascii="宋体" w:hAnsi="宋体" w:eastAsia="宋体" w:cs="宋体"/>
          <w:spacing w:val="-1"/>
          <w:sz w:val="24"/>
          <w:szCs w:val="24"/>
        </w:rPr>
        <w:t>理工作计划制定相应的作业指导书，明确各项运维工作、质控工作、数据审核工作、数据标识的具体要求，指导运维技术人员开展相关工作。</w:t>
      </w:r>
    </w:p>
    <w:p w14:paraId="51FE78B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t>记录表格</w:t>
      </w:r>
    </w:p>
    <w:p w14:paraId="2CC55FE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6"/>
        <w:textAlignment w:val="baseline"/>
        <w:rPr>
          <w:rFonts w:hint="eastAsia" w:ascii="宋体" w:hAnsi="宋体" w:eastAsia="宋体" w:cs="宋体"/>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应根据负责运维的系统设备、标准气体、计量标准器具以及制定的作业指</w:t>
      </w:r>
      <w:r>
        <w:rPr>
          <w:rFonts w:hint="eastAsia" w:ascii="宋体" w:hAnsi="宋体" w:eastAsia="宋体" w:cs="宋体"/>
          <w:spacing w:val="-1"/>
          <w:sz w:val="24"/>
          <w:szCs w:val="24"/>
        </w:rPr>
        <w:t>导书制定相应的记录表格，记录表格应包括各项运维工</w:t>
      </w:r>
      <w:r>
        <w:rPr>
          <w:rFonts w:hint="eastAsia" w:ascii="宋体" w:hAnsi="宋体" w:eastAsia="宋体" w:cs="宋体"/>
          <w:spacing w:val="-2"/>
          <w:sz w:val="24"/>
          <w:szCs w:val="24"/>
        </w:rPr>
        <w:t>作、质控工作、维修工作等，</w:t>
      </w:r>
      <w:r>
        <w:rPr>
          <w:rFonts w:hint="eastAsia" w:ascii="宋体" w:hAnsi="宋体" w:eastAsia="宋体" w:cs="宋体"/>
          <w:spacing w:val="-5"/>
          <w:sz w:val="24"/>
          <w:szCs w:val="24"/>
        </w:rPr>
        <w:t>并放置于点位现场备查。</w:t>
      </w:r>
    </w:p>
    <w:p w14:paraId="240DBB5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（4）量值溯源</w:t>
      </w:r>
    </w:p>
    <w:p w14:paraId="233DB9A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textAlignment w:val="baseline"/>
        <w:rPr>
          <w:rFonts w:hint="eastAsia" w:ascii="宋体" w:hAnsi="宋体" w:eastAsia="宋体" w:cs="宋体"/>
          <w:sz w:val="24"/>
          <w:szCs w:val="24"/>
        </w:rPr>
      </w:pPr>
      <w:r>
        <w:rPr>
          <w:rFonts w:hint="eastAsia" w:ascii="宋体" w:hAnsi="宋体" w:eastAsia="宋体" w:cs="宋体"/>
          <w:spacing w:val="-1"/>
          <w:sz w:val="24"/>
          <w:szCs w:val="24"/>
        </w:rPr>
        <w:t>应使用可溯源性的标准气体对系统进行校准，国产标</w:t>
      </w:r>
      <w:r>
        <w:rPr>
          <w:rFonts w:hint="eastAsia" w:ascii="宋体" w:hAnsi="宋体" w:eastAsia="宋体" w:cs="宋体"/>
          <w:spacing w:val="-2"/>
          <w:sz w:val="24"/>
          <w:szCs w:val="24"/>
        </w:rPr>
        <w:t>准气体推荐使用国家标准物</w:t>
      </w:r>
      <w:r>
        <w:rPr>
          <w:rFonts w:hint="eastAsia" w:ascii="宋体" w:hAnsi="宋体" w:eastAsia="宋体" w:cs="宋体"/>
          <w:spacing w:val="-3"/>
          <w:sz w:val="24"/>
          <w:szCs w:val="24"/>
        </w:rPr>
        <w:t>质（GBW和GBW-E）、国家标准样品（GSB</w:t>
      </w:r>
      <w:r>
        <w:rPr>
          <w:rFonts w:hint="eastAsia" w:ascii="宋体" w:hAnsi="宋体" w:eastAsia="宋体" w:cs="宋体"/>
          <w:spacing w:val="-57"/>
          <w:sz w:val="24"/>
          <w:szCs w:val="24"/>
        </w:rPr>
        <w:t>），</w:t>
      </w:r>
      <w:r>
        <w:rPr>
          <w:rFonts w:hint="eastAsia" w:ascii="宋体" w:hAnsi="宋体" w:eastAsia="宋体" w:cs="宋体"/>
          <w:spacing w:val="-3"/>
          <w:sz w:val="24"/>
          <w:szCs w:val="24"/>
        </w:rPr>
        <w:t>进口标准气体应能溯源至国际权威的计量</w:t>
      </w:r>
      <w:r>
        <w:rPr>
          <w:rFonts w:hint="eastAsia" w:ascii="宋体" w:hAnsi="宋体" w:eastAsia="宋体" w:cs="宋体"/>
          <w:spacing w:val="-5"/>
          <w:sz w:val="24"/>
          <w:szCs w:val="24"/>
        </w:rPr>
        <w:t>机构（如NIST等）。标准气体应定期检查，确保在有效期内使用，现场保留溯源的证</w:t>
      </w:r>
      <w:r>
        <w:rPr>
          <w:rFonts w:hint="eastAsia" w:ascii="宋体" w:hAnsi="宋体" w:eastAsia="宋体" w:cs="宋体"/>
          <w:spacing w:val="-3"/>
          <w:sz w:val="24"/>
          <w:szCs w:val="24"/>
        </w:rPr>
        <w:t>据如检定或校准证书或标气的证书等。</w:t>
      </w:r>
    </w:p>
    <w:p w14:paraId="472B60F8">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6"/>
          <w:sz w:val="24"/>
          <w:szCs w:val="24"/>
        </w:rPr>
        <w:t>1.7.</w:t>
      </w:r>
      <w:r>
        <w:rPr>
          <w:rFonts w:hint="eastAsia" w:ascii="宋体" w:hAnsi="宋体" w:eastAsia="宋体" w:cs="宋体"/>
          <w:spacing w:val="-6"/>
          <w:sz w:val="24"/>
          <w:szCs w:val="24"/>
          <w:lang w:val="en-US" w:eastAsia="zh-CN"/>
        </w:rPr>
        <w:t>2</w:t>
      </w:r>
      <w:r>
        <w:rPr>
          <w:rFonts w:hint="eastAsia" w:ascii="宋体" w:hAnsi="宋体" w:eastAsia="宋体" w:cs="宋体"/>
          <w:spacing w:val="-6"/>
          <w:sz w:val="24"/>
          <w:szCs w:val="24"/>
        </w:rPr>
        <w:t>内部监督检查要求</w:t>
      </w:r>
    </w:p>
    <w:p w14:paraId="3D7AF29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1"/>
        <w:textAlignment w:val="baseline"/>
        <w:rPr>
          <w:rFonts w:hint="eastAsia" w:ascii="宋体" w:hAnsi="宋体" w:eastAsia="宋体" w:cs="宋体"/>
          <w:sz w:val="24"/>
          <w:szCs w:val="24"/>
        </w:rPr>
      </w:pPr>
      <w:r>
        <w:rPr>
          <w:rFonts w:hint="eastAsia" w:ascii="宋体" w:hAnsi="宋体" w:eastAsia="宋体" w:cs="宋体"/>
          <w:spacing w:val="5"/>
          <w:sz w:val="24"/>
          <w:szCs w:val="24"/>
          <w:lang w:eastAsia="zh-CN"/>
        </w:rPr>
        <w:t>供应商</w:t>
      </w:r>
      <w:r>
        <w:rPr>
          <w:rFonts w:hint="eastAsia" w:ascii="宋体" w:hAnsi="宋体" w:eastAsia="宋体" w:cs="宋体"/>
          <w:spacing w:val="5"/>
          <w:sz w:val="24"/>
          <w:szCs w:val="24"/>
        </w:rPr>
        <w:t>应组织专门的监督核查人员或采用交叉检查的方式定期对其</w:t>
      </w:r>
      <w:r>
        <w:rPr>
          <w:rFonts w:hint="eastAsia" w:ascii="宋体" w:hAnsi="宋体" w:eastAsia="宋体" w:cs="宋体"/>
          <w:spacing w:val="4"/>
          <w:sz w:val="24"/>
          <w:szCs w:val="24"/>
        </w:rPr>
        <w:t>运维的站点</w:t>
      </w:r>
      <w:r>
        <w:rPr>
          <w:rFonts w:hint="eastAsia" w:ascii="宋体" w:hAnsi="宋体" w:eastAsia="宋体" w:cs="宋体"/>
          <w:spacing w:val="-6"/>
          <w:sz w:val="24"/>
          <w:szCs w:val="24"/>
        </w:rPr>
        <w:t>开展独立、系统的内部核查，核查应涵盖运维与质控的关键环节。</w:t>
      </w:r>
      <w:r>
        <w:rPr>
          <w:rFonts w:hint="eastAsia" w:ascii="宋体" w:hAnsi="宋体" w:eastAsia="宋体" w:cs="宋体"/>
          <w:spacing w:val="-6"/>
          <w:sz w:val="24"/>
          <w:szCs w:val="24"/>
          <w:lang w:eastAsia="zh-CN"/>
        </w:rPr>
        <w:t>供应商</w:t>
      </w:r>
      <w:r>
        <w:rPr>
          <w:rFonts w:hint="eastAsia" w:ascii="宋体" w:hAnsi="宋体" w:eastAsia="宋体" w:cs="宋体"/>
          <w:spacing w:val="-6"/>
          <w:sz w:val="24"/>
          <w:szCs w:val="24"/>
        </w:rPr>
        <w:t>应如实</w:t>
      </w:r>
      <w:r>
        <w:rPr>
          <w:rFonts w:hint="eastAsia" w:ascii="宋体" w:hAnsi="宋体" w:eastAsia="宋体" w:cs="宋体"/>
          <w:spacing w:val="-7"/>
          <w:sz w:val="24"/>
          <w:szCs w:val="24"/>
        </w:rPr>
        <w:t>、详</w:t>
      </w:r>
      <w:r>
        <w:rPr>
          <w:rFonts w:hint="eastAsia" w:ascii="宋体" w:hAnsi="宋体" w:eastAsia="宋体" w:cs="宋体"/>
          <w:spacing w:val="-2"/>
          <w:sz w:val="24"/>
          <w:szCs w:val="24"/>
        </w:rPr>
        <w:t>细记录其内部核查结果，并在站点保存备份有内部核查记录。</w:t>
      </w:r>
    </w:p>
    <w:p w14:paraId="0858032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1.8量值溯源与量值传递器具配备要求</w:t>
      </w:r>
    </w:p>
    <w:p w14:paraId="43DD1D6D">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1.8.1标准气体</w:t>
      </w:r>
    </w:p>
    <w:p w14:paraId="223871AD">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4"/>
        <w:textAlignment w:val="baseline"/>
        <w:rPr>
          <w:rFonts w:hint="eastAsia" w:ascii="宋体" w:hAnsi="宋体" w:eastAsia="宋体" w:cs="宋体"/>
          <w:sz w:val="24"/>
          <w:szCs w:val="24"/>
        </w:rPr>
      </w:pPr>
      <w:r>
        <w:rPr>
          <w:rFonts w:hint="eastAsia" w:ascii="宋体" w:hAnsi="宋体" w:eastAsia="宋体" w:cs="宋体"/>
          <w:spacing w:val="-1"/>
          <w:sz w:val="24"/>
          <w:szCs w:val="24"/>
        </w:rPr>
        <w:t>非甲烷总烃及苯系物标气浓度可根据实际需</w:t>
      </w:r>
      <w:r>
        <w:rPr>
          <w:rFonts w:hint="eastAsia" w:ascii="宋体" w:hAnsi="宋体" w:eastAsia="宋体" w:cs="宋体"/>
          <w:spacing w:val="-2"/>
          <w:sz w:val="24"/>
          <w:szCs w:val="24"/>
        </w:rPr>
        <w:t>要进行匹配，应能满足实际测试及质</w:t>
      </w:r>
      <w:r>
        <w:rPr>
          <w:rFonts w:hint="eastAsia" w:ascii="宋体" w:hAnsi="宋体" w:eastAsia="宋体" w:cs="宋体"/>
          <w:spacing w:val="-3"/>
          <w:sz w:val="24"/>
          <w:szCs w:val="24"/>
        </w:rPr>
        <w:t>控的需求，保证在有效期内。</w:t>
      </w:r>
    </w:p>
    <w:p w14:paraId="40E3BBE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1.8.2稀释装置</w:t>
      </w:r>
    </w:p>
    <w:p w14:paraId="6B0505C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每半年至少对动态校准仪进行一次质量流量准确度检查。</w:t>
      </w:r>
    </w:p>
    <w:p w14:paraId="3FC955FF">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1.9运维工作所需配件与耗材的管理要求</w:t>
      </w:r>
    </w:p>
    <w:p w14:paraId="7033F7F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所有涉及运维中使用的耗材、配件的原件和使用件均需妥善保存，并登记造册，</w:t>
      </w:r>
      <w:r>
        <w:rPr>
          <w:rFonts w:hint="eastAsia" w:ascii="宋体" w:hAnsi="宋体" w:eastAsia="宋体" w:cs="宋体"/>
          <w:spacing w:val="-4"/>
          <w:sz w:val="24"/>
          <w:szCs w:val="24"/>
        </w:rPr>
        <w:t>做到帐、物一致、可核查。</w:t>
      </w:r>
    </w:p>
    <w:p w14:paraId="18812E0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1.10站房防雷检测工作要求</w:t>
      </w:r>
    </w:p>
    <w:p w14:paraId="109F9641">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每年5月之前做站房好防雷检测，发现问题及时</w:t>
      </w:r>
      <w:r>
        <w:rPr>
          <w:rFonts w:hint="eastAsia" w:ascii="宋体" w:hAnsi="宋体" w:eastAsia="宋体" w:cs="宋体"/>
          <w:spacing w:val="-3"/>
          <w:sz w:val="24"/>
          <w:szCs w:val="24"/>
        </w:rPr>
        <w:t>修理，并上报采购人。</w:t>
      </w:r>
    </w:p>
    <w:p w14:paraId="14E7176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1.11站房安全检查要求</w:t>
      </w:r>
    </w:p>
    <w:p w14:paraId="6C03807C">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经常检查站房防雷设施，确保保持完好，对未达</w:t>
      </w:r>
      <w:r>
        <w:rPr>
          <w:rFonts w:hint="eastAsia" w:ascii="宋体" w:hAnsi="宋体" w:eastAsia="宋体" w:cs="宋体"/>
          <w:spacing w:val="-2"/>
          <w:sz w:val="24"/>
          <w:szCs w:val="24"/>
        </w:rPr>
        <w:t>到防雷或消防站房安全防护设施</w:t>
      </w:r>
      <w:r>
        <w:rPr>
          <w:rFonts w:hint="eastAsia" w:ascii="宋体" w:hAnsi="宋体" w:eastAsia="宋体" w:cs="宋体"/>
          <w:spacing w:val="-6"/>
          <w:sz w:val="24"/>
          <w:szCs w:val="24"/>
        </w:rPr>
        <w:t>的要求进行改造升级。如果运营期间未保证防雷设施完好造成雷击，</w:t>
      </w:r>
      <w:r>
        <w:rPr>
          <w:rFonts w:hint="eastAsia" w:ascii="宋体" w:hAnsi="宋体" w:eastAsia="宋体" w:cs="宋体"/>
          <w:spacing w:val="-7"/>
          <w:sz w:val="24"/>
          <w:szCs w:val="24"/>
        </w:rPr>
        <w:t>站房所有仪器设</w:t>
      </w:r>
      <w:r>
        <w:rPr>
          <w:rFonts w:hint="eastAsia" w:ascii="宋体" w:hAnsi="宋体" w:eastAsia="宋体" w:cs="宋体"/>
          <w:spacing w:val="-6"/>
          <w:sz w:val="24"/>
          <w:szCs w:val="24"/>
        </w:rPr>
        <w:t>备损坏均由</w:t>
      </w:r>
      <w:r>
        <w:rPr>
          <w:rFonts w:hint="eastAsia" w:ascii="宋体" w:hAnsi="宋体" w:eastAsia="宋体" w:cs="宋体"/>
          <w:spacing w:val="-6"/>
          <w:sz w:val="24"/>
          <w:szCs w:val="24"/>
          <w:lang w:eastAsia="zh-CN"/>
        </w:rPr>
        <w:t>供应商</w:t>
      </w:r>
      <w:r>
        <w:rPr>
          <w:rFonts w:hint="eastAsia" w:ascii="宋体" w:hAnsi="宋体" w:eastAsia="宋体" w:cs="宋体"/>
          <w:spacing w:val="-6"/>
          <w:sz w:val="24"/>
          <w:szCs w:val="24"/>
        </w:rPr>
        <w:t>负责更换或维修。需配备适用于精密仪器使用的灭火器材，负责定期更换，保持在有效期内。灭火器未定期更换，如未保持在有效期内的，</w:t>
      </w:r>
      <w:r>
        <w:rPr>
          <w:rFonts w:hint="eastAsia" w:ascii="宋体" w:hAnsi="宋体" w:eastAsia="宋体" w:cs="宋体"/>
          <w:spacing w:val="-7"/>
          <w:sz w:val="24"/>
          <w:szCs w:val="24"/>
        </w:rPr>
        <w:t>对未达到消</w:t>
      </w:r>
      <w:r>
        <w:rPr>
          <w:rFonts w:hint="eastAsia" w:ascii="宋体" w:hAnsi="宋体" w:eastAsia="宋体" w:cs="宋体"/>
          <w:spacing w:val="-2"/>
          <w:sz w:val="24"/>
          <w:szCs w:val="24"/>
        </w:rPr>
        <w:t>防站房安全防护设施的要求需配备站房安全防护设施（如Z型梯等）</w:t>
      </w:r>
    </w:p>
    <w:p w14:paraId="0B158A28">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1.12站房维护与升级工作开展要求</w:t>
      </w:r>
    </w:p>
    <w:p w14:paraId="5E770A5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9"/>
        <w:textAlignment w:val="baseline"/>
        <w:rPr>
          <w:rFonts w:hint="eastAsia" w:ascii="宋体" w:hAnsi="宋体" w:eastAsia="宋体" w:cs="宋体"/>
          <w:sz w:val="24"/>
          <w:szCs w:val="24"/>
        </w:rPr>
      </w:pPr>
      <w:r>
        <w:rPr>
          <w:rFonts w:hint="eastAsia" w:ascii="宋体" w:hAnsi="宋体" w:eastAsia="宋体" w:cs="宋体"/>
          <w:spacing w:val="-1"/>
          <w:sz w:val="24"/>
          <w:szCs w:val="24"/>
        </w:rPr>
        <w:t>土建部分(包括站房、电、防雷设施等)的所有物品或部件未</w:t>
      </w:r>
      <w:r>
        <w:rPr>
          <w:rFonts w:hint="eastAsia" w:ascii="宋体" w:hAnsi="宋体" w:eastAsia="宋体" w:cs="宋体"/>
          <w:spacing w:val="-2"/>
          <w:sz w:val="24"/>
          <w:szCs w:val="24"/>
        </w:rPr>
        <w:t>及时更换或修复影响</w:t>
      </w:r>
      <w:r>
        <w:rPr>
          <w:rFonts w:hint="eastAsia" w:ascii="宋体" w:hAnsi="宋体" w:eastAsia="宋体" w:cs="宋体"/>
          <w:spacing w:val="-1"/>
          <w:sz w:val="24"/>
          <w:szCs w:val="24"/>
        </w:rPr>
        <w:t>系统运行或造成不良影响，采购人可自行更换或修复，所发生的费</w:t>
      </w:r>
      <w:r>
        <w:rPr>
          <w:rFonts w:hint="eastAsia" w:ascii="宋体" w:hAnsi="宋体" w:eastAsia="宋体" w:cs="宋体"/>
          <w:spacing w:val="-2"/>
          <w:sz w:val="24"/>
          <w:szCs w:val="24"/>
        </w:rPr>
        <w:t>用从运行管理及维</w:t>
      </w:r>
      <w:r>
        <w:rPr>
          <w:rFonts w:hint="eastAsia" w:ascii="宋体" w:hAnsi="宋体" w:eastAsia="宋体" w:cs="宋体"/>
          <w:spacing w:val="-6"/>
          <w:sz w:val="24"/>
          <w:szCs w:val="24"/>
        </w:rPr>
        <w:t>护费中扣除。采购人可委托其它单位或人员修理，所发生的费用从</w:t>
      </w:r>
      <w:r>
        <w:rPr>
          <w:rFonts w:hint="eastAsia" w:ascii="宋体" w:hAnsi="宋体" w:eastAsia="宋体" w:cs="宋体"/>
          <w:spacing w:val="-6"/>
          <w:sz w:val="24"/>
          <w:szCs w:val="24"/>
          <w:lang w:eastAsia="zh-CN"/>
        </w:rPr>
        <w:t>供应商</w:t>
      </w:r>
      <w:r>
        <w:rPr>
          <w:rFonts w:hint="eastAsia" w:ascii="宋体" w:hAnsi="宋体" w:eastAsia="宋体" w:cs="宋体"/>
          <w:spacing w:val="-6"/>
          <w:sz w:val="24"/>
          <w:szCs w:val="24"/>
        </w:rPr>
        <w:t>维护费内扣</w:t>
      </w:r>
      <w:r>
        <w:rPr>
          <w:rFonts w:hint="eastAsia" w:ascii="宋体" w:hAnsi="宋体" w:eastAsia="宋体" w:cs="宋体"/>
          <w:spacing w:val="-1"/>
          <w:sz w:val="24"/>
          <w:szCs w:val="24"/>
        </w:rPr>
        <w:t>除。运营管理期间，如果采购人要改造或升级监测子站的，</w:t>
      </w:r>
      <w:r>
        <w:rPr>
          <w:rFonts w:hint="eastAsia" w:ascii="宋体" w:hAnsi="宋体" w:eastAsia="宋体" w:cs="宋体"/>
          <w:spacing w:val="-1"/>
          <w:sz w:val="24"/>
          <w:szCs w:val="24"/>
          <w:lang w:eastAsia="zh-CN"/>
        </w:rPr>
        <w:t>供应商</w:t>
      </w:r>
      <w:r>
        <w:rPr>
          <w:rFonts w:hint="eastAsia" w:ascii="宋体" w:hAnsi="宋体" w:eastAsia="宋体" w:cs="宋体"/>
          <w:spacing w:val="-2"/>
          <w:sz w:val="24"/>
          <w:szCs w:val="24"/>
        </w:rPr>
        <w:t>有义务配合工作。</w:t>
      </w:r>
    </w:p>
    <w:p w14:paraId="73B8E37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1.13站房故障处置工作要求</w:t>
      </w:r>
    </w:p>
    <w:p w14:paraId="21D2FBEC">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20"/>
        <w:textAlignment w:val="baseline"/>
        <w:rPr>
          <w:rFonts w:hint="eastAsia" w:ascii="宋体" w:hAnsi="宋体" w:eastAsia="宋体" w:cs="宋体"/>
          <w:sz w:val="24"/>
          <w:szCs w:val="24"/>
        </w:rPr>
      </w:pPr>
      <w:r>
        <w:rPr>
          <w:rFonts w:hint="eastAsia" w:ascii="宋体" w:hAnsi="宋体" w:eastAsia="宋体" w:cs="宋体"/>
          <w:spacing w:val="-4"/>
          <w:sz w:val="24"/>
          <w:szCs w:val="24"/>
        </w:rPr>
        <w:t>自动监测子站相关设备出现故障，电话响应时间为1小时；一般故障现场维修响应时间为3小时之内，要求及时调查并找出故障原因；24小时内修复或更换有故障的</w:t>
      </w:r>
      <w:r>
        <w:rPr>
          <w:rFonts w:hint="eastAsia" w:ascii="宋体" w:hAnsi="宋体" w:eastAsia="宋体" w:cs="宋体"/>
          <w:spacing w:val="-6"/>
          <w:sz w:val="24"/>
          <w:szCs w:val="24"/>
        </w:rPr>
        <w:t>设备，恢复正常运行状态，能够连通并正常上传数据。如通信中断，数据传不到环境</w:t>
      </w:r>
      <w:r>
        <w:rPr>
          <w:rFonts w:hint="eastAsia" w:ascii="宋体" w:hAnsi="宋体" w:eastAsia="宋体" w:cs="宋体"/>
          <w:spacing w:val="-1"/>
          <w:sz w:val="24"/>
          <w:szCs w:val="24"/>
        </w:rPr>
        <w:t>自动监测中心的点位，要赴点位现场维护，并及时联系通信公司协助解</w:t>
      </w:r>
      <w:r>
        <w:rPr>
          <w:rFonts w:hint="eastAsia" w:ascii="宋体" w:hAnsi="宋体" w:eastAsia="宋体" w:cs="宋体"/>
          <w:spacing w:val="-2"/>
          <w:sz w:val="24"/>
          <w:szCs w:val="24"/>
        </w:rPr>
        <w:t>决通信故障。</w:t>
      </w:r>
      <w:r>
        <w:rPr>
          <w:rFonts w:hint="eastAsia" w:ascii="宋体" w:hAnsi="宋体" w:eastAsia="宋体" w:cs="宋体"/>
          <w:spacing w:val="-1"/>
          <w:sz w:val="24"/>
          <w:szCs w:val="24"/>
        </w:rPr>
        <w:t>采购人可委托其它单位或人员修理，所发生的费用从</w:t>
      </w:r>
      <w:r>
        <w:rPr>
          <w:rFonts w:hint="eastAsia" w:ascii="宋体" w:hAnsi="宋体" w:eastAsia="宋体" w:cs="宋体"/>
          <w:spacing w:val="-1"/>
          <w:sz w:val="24"/>
          <w:szCs w:val="24"/>
          <w:lang w:eastAsia="zh-CN"/>
        </w:rPr>
        <w:t>供应商</w:t>
      </w:r>
      <w:r>
        <w:rPr>
          <w:rFonts w:hint="eastAsia" w:ascii="宋体" w:hAnsi="宋体" w:eastAsia="宋体" w:cs="宋体"/>
          <w:spacing w:val="-2"/>
          <w:sz w:val="24"/>
          <w:szCs w:val="24"/>
        </w:rPr>
        <w:t>维护费内扣除。</w:t>
      </w:r>
    </w:p>
    <w:p w14:paraId="21C4C212">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1.14数据传输保障与数据审核工作</w:t>
      </w:r>
    </w:p>
    <w:p w14:paraId="6C1A531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0"/>
        <w:textAlignment w:val="baseline"/>
        <w:rPr>
          <w:rFonts w:hint="eastAsia" w:ascii="宋体" w:hAnsi="宋体" w:eastAsia="宋体" w:cs="宋体"/>
          <w:sz w:val="24"/>
          <w:szCs w:val="24"/>
        </w:rPr>
      </w:pPr>
      <w:r>
        <w:rPr>
          <w:rFonts w:hint="eastAsia" w:ascii="宋体" w:hAnsi="宋体" w:eastAsia="宋体" w:cs="宋体"/>
          <w:spacing w:val="-2"/>
          <w:sz w:val="24"/>
          <w:szCs w:val="24"/>
        </w:rPr>
        <w:t>负责省、市生态环境部门文件要求的运维站每日的数据审核报送、异常情况报备</w:t>
      </w:r>
      <w:r>
        <w:rPr>
          <w:rFonts w:hint="eastAsia" w:ascii="宋体" w:hAnsi="宋体" w:eastAsia="宋体" w:cs="宋体"/>
          <w:spacing w:val="-1"/>
          <w:sz w:val="24"/>
          <w:szCs w:val="24"/>
        </w:rPr>
        <w:t>等上报数据的相关工作，</w:t>
      </w:r>
      <w:r>
        <w:rPr>
          <w:rFonts w:hint="eastAsia" w:ascii="宋体" w:hAnsi="宋体" w:eastAsia="宋体" w:cs="宋体"/>
          <w:spacing w:val="-1"/>
          <w:sz w:val="24"/>
          <w:szCs w:val="24"/>
          <w:lang w:eastAsia="zh-CN"/>
        </w:rPr>
        <w:t>供应商</w:t>
      </w:r>
      <w:r>
        <w:rPr>
          <w:rFonts w:hint="eastAsia" w:ascii="宋体" w:hAnsi="宋体" w:eastAsia="宋体" w:cs="宋体"/>
          <w:spacing w:val="-1"/>
          <w:sz w:val="24"/>
          <w:szCs w:val="24"/>
        </w:rPr>
        <w:t>应在出现异常的第二天上午将相</w:t>
      </w:r>
      <w:r>
        <w:rPr>
          <w:rFonts w:hint="eastAsia" w:ascii="宋体" w:hAnsi="宋体" w:eastAsia="宋体" w:cs="宋体"/>
          <w:spacing w:val="-2"/>
          <w:sz w:val="24"/>
          <w:szCs w:val="24"/>
        </w:rPr>
        <w:t>关情况说明及自动监</w:t>
      </w:r>
      <w:r>
        <w:rPr>
          <w:rFonts w:hint="eastAsia" w:ascii="宋体" w:hAnsi="宋体" w:eastAsia="宋体" w:cs="宋体"/>
          <w:spacing w:val="-6"/>
          <w:sz w:val="24"/>
          <w:szCs w:val="24"/>
        </w:rPr>
        <w:t>测数据导出后传输给采购人。对传输中断等原因导致无数据或数据</w:t>
      </w:r>
      <w:r>
        <w:rPr>
          <w:rFonts w:hint="eastAsia" w:ascii="宋体" w:hAnsi="宋体" w:eastAsia="宋体" w:cs="宋体"/>
          <w:spacing w:val="-7"/>
          <w:sz w:val="24"/>
          <w:szCs w:val="24"/>
        </w:rPr>
        <w:t>异常的，</w:t>
      </w:r>
      <w:r>
        <w:rPr>
          <w:rFonts w:hint="eastAsia" w:ascii="宋体" w:hAnsi="宋体" w:eastAsia="宋体" w:cs="宋体"/>
          <w:spacing w:val="-7"/>
          <w:sz w:val="24"/>
          <w:szCs w:val="24"/>
          <w:lang w:eastAsia="zh-CN"/>
        </w:rPr>
        <w:t>供应商</w:t>
      </w:r>
      <w:r>
        <w:rPr>
          <w:rFonts w:hint="eastAsia" w:ascii="宋体" w:hAnsi="宋体" w:eastAsia="宋体" w:cs="宋体"/>
          <w:spacing w:val="-7"/>
          <w:sz w:val="24"/>
          <w:szCs w:val="24"/>
        </w:rPr>
        <w:t>应</w:t>
      </w:r>
      <w:r>
        <w:rPr>
          <w:rFonts w:hint="eastAsia" w:ascii="宋体" w:hAnsi="宋体" w:eastAsia="宋体" w:cs="宋体"/>
          <w:spacing w:val="-1"/>
          <w:sz w:val="24"/>
          <w:szCs w:val="24"/>
        </w:rPr>
        <w:t>在出现异常的第二天早上10点前将相关情况书面说明的电子版传输给</w:t>
      </w:r>
      <w:r>
        <w:rPr>
          <w:rFonts w:hint="eastAsia" w:ascii="宋体" w:hAnsi="宋体" w:eastAsia="宋体" w:cs="宋体"/>
          <w:spacing w:val="-2"/>
          <w:sz w:val="24"/>
          <w:szCs w:val="24"/>
        </w:rPr>
        <w:t>采购人。站房</w:t>
      </w:r>
      <w:r>
        <w:rPr>
          <w:rFonts w:hint="eastAsia" w:ascii="宋体" w:hAnsi="宋体" w:eastAsia="宋体" w:cs="宋体"/>
          <w:spacing w:val="-1"/>
          <w:sz w:val="24"/>
          <w:szCs w:val="24"/>
        </w:rPr>
        <w:t>检测数据传输异常，运维方应做好站房内数据传输设备的维修或</w:t>
      </w:r>
      <w:r>
        <w:rPr>
          <w:rFonts w:hint="eastAsia" w:ascii="宋体" w:hAnsi="宋体" w:eastAsia="宋体" w:cs="宋体"/>
          <w:spacing w:val="-2"/>
          <w:sz w:val="24"/>
          <w:szCs w:val="24"/>
        </w:rPr>
        <w:t>积极协助开展数据传</w:t>
      </w:r>
      <w:r>
        <w:rPr>
          <w:rFonts w:hint="eastAsia" w:ascii="宋体" w:hAnsi="宋体" w:eastAsia="宋体" w:cs="宋体"/>
          <w:spacing w:val="-5"/>
          <w:sz w:val="24"/>
          <w:szCs w:val="24"/>
        </w:rPr>
        <w:t>输设备的维修工作。</w:t>
      </w:r>
    </w:p>
    <w:p w14:paraId="4855FB4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1.15缺失数据补录要求</w:t>
      </w:r>
    </w:p>
    <w:p w14:paraId="0C6166CB">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5"/>
        <w:textAlignment w:val="baseline"/>
        <w:rPr>
          <w:rFonts w:hint="eastAsia" w:ascii="宋体" w:hAnsi="宋体" w:eastAsia="宋体" w:cs="宋体"/>
          <w:sz w:val="24"/>
          <w:szCs w:val="24"/>
        </w:rPr>
      </w:pPr>
      <w:r>
        <w:rPr>
          <w:rFonts w:hint="eastAsia" w:ascii="宋体" w:hAnsi="宋体" w:eastAsia="宋体" w:cs="宋体"/>
          <w:spacing w:val="-2"/>
          <w:sz w:val="24"/>
          <w:szCs w:val="24"/>
        </w:rPr>
        <w:t>每天的9：30之前必须对因通讯或数采仪故障造成的前日数据缺失，进行人工补登，超过站次（频次由各站自定）未补录即中止与运行管理公司的合同。</w:t>
      </w:r>
    </w:p>
    <w:p w14:paraId="6C764CBD">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1.16巡视中发现问题的处置与报送要求</w:t>
      </w:r>
    </w:p>
    <w:p w14:paraId="5B2F8A0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95"/>
        <w:textAlignment w:val="baseline"/>
        <w:rPr>
          <w:rFonts w:hint="eastAsia" w:ascii="宋体" w:hAnsi="宋体" w:eastAsia="宋体" w:cs="宋体"/>
          <w:sz w:val="24"/>
          <w:szCs w:val="24"/>
        </w:rPr>
      </w:pPr>
      <w:r>
        <w:rPr>
          <w:rFonts w:hint="eastAsia" w:ascii="宋体" w:hAnsi="宋体" w:eastAsia="宋体" w:cs="宋体"/>
          <w:spacing w:val="-7"/>
          <w:sz w:val="24"/>
          <w:szCs w:val="24"/>
          <w:lang w:eastAsia="zh-CN"/>
        </w:rPr>
        <w:t>供应商</w:t>
      </w:r>
      <w:r>
        <w:rPr>
          <w:rFonts w:hint="eastAsia" w:ascii="宋体" w:hAnsi="宋体" w:eastAsia="宋体" w:cs="宋体"/>
          <w:spacing w:val="-7"/>
          <w:sz w:val="24"/>
          <w:szCs w:val="24"/>
        </w:rPr>
        <w:t>应按要求做好相关的巡检记录。对于巡视中发现的问</w:t>
      </w:r>
      <w:r>
        <w:rPr>
          <w:rFonts w:hint="eastAsia" w:ascii="宋体" w:hAnsi="宋体" w:eastAsia="宋体" w:cs="宋体"/>
          <w:spacing w:val="-8"/>
          <w:sz w:val="24"/>
          <w:szCs w:val="24"/>
        </w:rPr>
        <w:t>题，</w:t>
      </w:r>
      <w:r>
        <w:rPr>
          <w:rFonts w:hint="eastAsia" w:ascii="宋体" w:hAnsi="宋体" w:eastAsia="宋体" w:cs="宋体"/>
          <w:spacing w:val="-8"/>
          <w:sz w:val="24"/>
          <w:szCs w:val="24"/>
          <w:lang w:eastAsia="zh-CN"/>
        </w:rPr>
        <w:t>供应商</w:t>
      </w:r>
      <w:r>
        <w:rPr>
          <w:rFonts w:hint="eastAsia" w:ascii="宋体" w:hAnsi="宋体" w:eastAsia="宋体" w:cs="宋体"/>
          <w:spacing w:val="-8"/>
          <w:sz w:val="24"/>
          <w:szCs w:val="24"/>
        </w:rPr>
        <w:t>应立即解</w:t>
      </w:r>
      <w:r>
        <w:rPr>
          <w:rFonts w:hint="eastAsia" w:ascii="宋体" w:hAnsi="宋体" w:eastAsia="宋体" w:cs="宋体"/>
          <w:spacing w:val="-2"/>
          <w:sz w:val="24"/>
          <w:szCs w:val="24"/>
        </w:rPr>
        <w:t>决，并做好相应巡检和处理记录等；不能立即解决的问题，向采购人负责人汇报，并</w:t>
      </w:r>
      <w:r>
        <w:rPr>
          <w:rFonts w:hint="eastAsia" w:ascii="宋体" w:hAnsi="宋体" w:eastAsia="宋体" w:cs="宋体"/>
          <w:spacing w:val="-3"/>
          <w:sz w:val="24"/>
          <w:szCs w:val="24"/>
        </w:rPr>
        <w:t>以书面形式说明故障原因及确定最佳的解决方案。</w:t>
      </w:r>
    </w:p>
    <w:p w14:paraId="60C12C8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1.17特殊天气应对工作要求</w:t>
      </w:r>
    </w:p>
    <w:p w14:paraId="4875039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52"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遇到可能影响空气站运行的特殊天气情况如台风、雷电、暴雨等时，</w:t>
      </w:r>
      <w:r>
        <w:rPr>
          <w:rFonts w:hint="eastAsia" w:ascii="宋体" w:hAnsi="宋体" w:eastAsia="宋体" w:cs="宋体"/>
          <w:spacing w:val="-7"/>
          <w:sz w:val="24"/>
          <w:szCs w:val="24"/>
          <w:lang w:eastAsia="zh-CN"/>
        </w:rPr>
        <w:t>供应商</w:t>
      </w:r>
      <w:r>
        <w:rPr>
          <w:rFonts w:hint="eastAsia" w:ascii="宋体" w:hAnsi="宋体" w:eastAsia="宋体" w:cs="宋体"/>
          <w:spacing w:val="-7"/>
          <w:sz w:val="24"/>
          <w:szCs w:val="24"/>
        </w:rPr>
        <w:t>应提</w:t>
      </w:r>
      <w:r>
        <w:rPr>
          <w:rFonts w:hint="eastAsia" w:ascii="宋体" w:hAnsi="宋体" w:eastAsia="宋体" w:cs="宋体"/>
          <w:spacing w:val="-1"/>
          <w:sz w:val="24"/>
          <w:szCs w:val="24"/>
        </w:rPr>
        <w:t>前派人巡查做好防范工作，降低自然灾害对空气自动站的影</w:t>
      </w:r>
      <w:r>
        <w:rPr>
          <w:rFonts w:hint="eastAsia" w:ascii="宋体" w:hAnsi="宋体" w:eastAsia="宋体" w:cs="宋体"/>
          <w:spacing w:val="-2"/>
          <w:sz w:val="24"/>
          <w:szCs w:val="24"/>
        </w:rPr>
        <w:t>响。并特殊天气结束后及时到达现场，对站房及所有仪器进行常规检查，确保正常运行。</w:t>
      </w:r>
    </w:p>
    <w:p w14:paraId="2933619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4"/>
          <w:sz w:val="24"/>
          <w:szCs w:val="24"/>
        </w:rPr>
        <w:t>1.18站房迎检工作要求</w:t>
      </w:r>
    </w:p>
    <w:p w14:paraId="6F1BE0A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1.19空气站仪器性能考核工作开展要求</w:t>
      </w:r>
    </w:p>
    <w:p w14:paraId="328AE703">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1"/>
        <w:jc w:val="both"/>
        <w:textAlignment w:val="baseline"/>
        <w:rPr>
          <w:rFonts w:hint="eastAsia" w:ascii="宋体" w:hAnsi="宋体" w:eastAsia="宋体" w:cs="宋体"/>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每年应接受采购人对空气站进行仪器性能考核与质量</w:t>
      </w:r>
      <w:r>
        <w:rPr>
          <w:rFonts w:hint="eastAsia" w:ascii="宋体" w:hAnsi="宋体" w:eastAsia="宋体" w:cs="宋体"/>
          <w:spacing w:val="-3"/>
          <w:sz w:val="24"/>
          <w:szCs w:val="24"/>
        </w:rPr>
        <w:t>审核工作，根据《环</w:t>
      </w:r>
      <w:r>
        <w:rPr>
          <w:rFonts w:hint="eastAsia" w:ascii="宋体" w:hAnsi="宋体" w:eastAsia="宋体" w:cs="宋体"/>
          <w:spacing w:val="-1"/>
          <w:sz w:val="24"/>
          <w:szCs w:val="24"/>
        </w:rPr>
        <w:t>境空气颗粒物（PM10和PM2.5）连续自动监测系统运行和质控技术规范HJ</w:t>
      </w:r>
      <w:r>
        <w:rPr>
          <w:rFonts w:hint="eastAsia" w:ascii="宋体" w:hAnsi="宋体" w:eastAsia="宋体" w:cs="宋体"/>
          <w:spacing w:val="-2"/>
          <w:sz w:val="24"/>
          <w:szCs w:val="24"/>
        </w:rPr>
        <w:t>817-2018》</w:t>
      </w:r>
      <w:r>
        <w:rPr>
          <w:rFonts w:hint="eastAsia" w:ascii="宋体" w:hAnsi="宋体" w:eastAsia="宋体" w:cs="宋体"/>
          <w:spacing w:val="-1"/>
          <w:sz w:val="24"/>
          <w:szCs w:val="24"/>
        </w:rPr>
        <w:t>和《环境空气气态污染物（SO2、NO2、O3、CO）连续自动监测系统运行和质控</w:t>
      </w:r>
      <w:r>
        <w:rPr>
          <w:rFonts w:hint="eastAsia" w:ascii="宋体" w:hAnsi="宋体" w:eastAsia="宋体" w:cs="宋体"/>
          <w:spacing w:val="-2"/>
          <w:sz w:val="24"/>
          <w:szCs w:val="24"/>
        </w:rPr>
        <w:t>技术规</w:t>
      </w:r>
      <w:r>
        <w:rPr>
          <w:rFonts w:hint="eastAsia" w:ascii="宋体" w:hAnsi="宋体" w:eastAsia="宋体" w:cs="宋体"/>
          <w:spacing w:val="-3"/>
          <w:sz w:val="24"/>
          <w:szCs w:val="24"/>
        </w:rPr>
        <w:t>范HJ818-2018》要求配合开展工作。性能考核与质量审核工</w:t>
      </w:r>
      <w:r>
        <w:rPr>
          <w:rFonts w:hint="eastAsia" w:ascii="宋体" w:hAnsi="宋体" w:eastAsia="宋体" w:cs="宋体"/>
          <w:spacing w:val="-4"/>
          <w:sz w:val="24"/>
          <w:szCs w:val="24"/>
        </w:rPr>
        <w:t>作频次为每年2次，工作内容视采购人方要求而定。</w:t>
      </w:r>
    </w:p>
    <w:p w14:paraId="1D6466E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1.20站房设备的交接与移交要求</w:t>
      </w:r>
    </w:p>
    <w:p w14:paraId="2199064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8"/>
        <w:textAlignment w:val="baseline"/>
        <w:rPr>
          <w:rFonts w:hint="eastAsia" w:ascii="宋体" w:hAnsi="宋体" w:eastAsia="宋体" w:cs="宋体"/>
          <w:sz w:val="24"/>
          <w:szCs w:val="24"/>
        </w:rPr>
      </w:pPr>
      <w:r>
        <w:rPr>
          <w:rFonts w:hint="eastAsia" w:ascii="宋体" w:hAnsi="宋体" w:eastAsia="宋体" w:cs="宋体"/>
          <w:spacing w:val="-6"/>
          <w:sz w:val="24"/>
          <w:szCs w:val="24"/>
        </w:rPr>
        <w:t>运营期开始前做好与前任运营商的交接，检查站房、所有仪器设备均能正常使用，</w:t>
      </w:r>
      <w:r>
        <w:rPr>
          <w:rFonts w:hint="eastAsia" w:ascii="宋体" w:hAnsi="宋体" w:eastAsia="宋体" w:cs="宋体"/>
          <w:spacing w:val="-8"/>
          <w:sz w:val="24"/>
          <w:szCs w:val="24"/>
        </w:rPr>
        <w:t>方可交接。</w:t>
      </w:r>
    </w:p>
    <w:p w14:paraId="218FEFA9">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textAlignment w:val="baseline"/>
        <w:rPr>
          <w:rFonts w:hint="eastAsia" w:ascii="宋体" w:hAnsi="宋体" w:eastAsia="宋体" w:cs="宋体"/>
          <w:sz w:val="24"/>
          <w:szCs w:val="24"/>
        </w:rPr>
      </w:pPr>
      <w:r>
        <w:rPr>
          <w:rFonts w:hint="eastAsia" w:ascii="宋体" w:hAnsi="宋体" w:eastAsia="宋体" w:cs="宋体"/>
          <w:spacing w:val="-2"/>
          <w:sz w:val="24"/>
          <w:szCs w:val="24"/>
        </w:rPr>
        <w:t>合同结束前20日内，</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须提交各监测子站运营状况</w:t>
      </w:r>
      <w:r>
        <w:rPr>
          <w:rFonts w:hint="eastAsia" w:ascii="宋体" w:hAnsi="宋体" w:eastAsia="宋体" w:cs="宋体"/>
          <w:spacing w:val="-3"/>
          <w:sz w:val="24"/>
          <w:szCs w:val="24"/>
        </w:rPr>
        <w:t>总结报告，对于未修复</w:t>
      </w:r>
      <w:r>
        <w:rPr>
          <w:rFonts w:hint="eastAsia" w:ascii="宋体" w:hAnsi="宋体" w:eastAsia="宋体" w:cs="宋体"/>
          <w:spacing w:val="-2"/>
          <w:sz w:val="24"/>
          <w:szCs w:val="24"/>
        </w:rPr>
        <w:t>的仪器，</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须于计划结束后15日内完成修复，双方对各子站站房设备和仪器性</w:t>
      </w:r>
      <w:r>
        <w:rPr>
          <w:rFonts w:hint="eastAsia" w:ascii="宋体" w:hAnsi="宋体" w:eastAsia="宋体" w:cs="宋体"/>
          <w:spacing w:val="-6"/>
          <w:sz w:val="24"/>
          <w:szCs w:val="24"/>
        </w:rPr>
        <w:t>能进行验收，并经采购人确认后结案。报告内容包含下列各项：各监测子站仪器运行</w:t>
      </w:r>
      <w:r>
        <w:rPr>
          <w:rFonts w:hint="eastAsia" w:ascii="宋体" w:hAnsi="宋体" w:eastAsia="宋体" w:cs="宋体"/>
          <w:spacing w:val="-1"/>
          <w:sz w:val="24"/>
          <w:szCs w:val="24"/>
        </w:rPr>
        <w:t>情况总结、各监测仪器可能潜在的问题及建议应在运维期结束前书面报</w:t>
      </w:r>
      <w:r>
        <w:rPr>
          <w:rFonts w:hint="eastAsia" w:ascii="宋体" w:hAnsi="宋体" w:eastAsia="宋体" w:cs="宋体"/>
          <w:spacing w:val="-2"/>
          <w:sz w:val="24"/>
          <w:szCs w:val="24"/>
        </w:rPr>
        <w:t>告至采购人、</w:t>
      </w:r>
      <w:r>
        <w:rPr>
          <w:rFonts w:hint="eastAsia" w:ascii="宋体" w:hAnsi="宋体" w:eastAsia="宋体" w:cs="宋体"/>
          <w:spacing w:val="-1"/>
          <w:sz w:val="24"/>
          <w:szCs w:val="24"/>
        </w:rPr>
        <w:t>气体使用状况、仪器故障未修复状况、采样滤膜或纸带使用估算、灭火</w:t>
      </w:r>
      <w:r>
        <w:rPr>
          <w:rFonts w:hint="eastAsia" w:ascii="宋体" w:hAnsi="宋体" w:eastAsia="宋体" w:cs="宋体"/>
          <w:spacing w:val="-2"/>
          <w:sz w:val="24"/>
          <w:szCs w:val="24"/>
        </w:rPr>
        <w:t>器有效期限、</w:t>
      </w:r>
      <w:r>
        <w:rPr>
          <w:rFonts w:hint="eastAsia" w:ascii="宋体" w:hAnsi="宋体" w:eastAsia="宋体" w:cs="宋体"/>
          <w:spacing w:val="-4"/>
          <w:sz w:val="24"/>
          <w:szCs w:val="24"/>
        </w:rPr>
        <w:t>站房安全危害与改善状况。</w:t>
      </w:r>
    </w:p>
    <w:p w14:paraId="5996AC7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3"/>
          <w:sz w:val="24"/>
          <w:szCs w:val="24"/>
        </w:rPr>
        <w:t>1.21运维质量管理体系建设要求</w:t>
      </w:r>
    </w:p>
    <w:p w14:paraId="3271ED6E">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0"/>
        <w:textAlignment w:val="baseline"/>
        <w:rPr>
          <w:rFonts w:hint="eastAsia" w:ascii="宋体" w:hAnsi="宋体" w:eastAsia="宋体" w:cs="宋体"/>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应建立运维工作质量管理体系，建立本项目运维工作方案，明确运维工作人员配备，场所配置，设备设施管理要求、运维工作质量审核制度。</w:t>
      </w:r>
    </w:p>
    <w:p w14:paraId="701AC77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1.22对</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运维工作安全、消防管理工作开展要求</w:t>
      </w:r>
    </w:p>
    <w:p w14:paraId="0FC24D55">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在委托管理期间，</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接受招标人代表的检查和考核。</w:t>
      </w:r>
    </w:p>
    <w:p w14:paraId="116DEBAD">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78"/>
        <w:textAlignment w:val="baseline"/>
        <w:rPr>
          <w:rFonts w:hint="eastAsia" w:ascii="宋体" w:hAnsi="宋体" w:eastAsia="宋体" w:cs="宋体"/>
          <w:sz w:val="24"/>
          <w:szCs w:val="24"/>
        </w:rPr>
      </w:pPr>
      <w:r>
        <w:rPr>
          <w:rFonts w:hint="eastAsia" w:ascii="宋体" w:hAnsi="宋体" w:eastAsia="宋体" w:cs="宋体"/>
          <w:spacing w:val="-1"/>
          <w:sz w:val="24"/>
          <w:szCs w:val="24"/>
        </w:rPr>
        <w:t>在委托管理期间，</w:t>
      </w:r>
      <w:r>
        <w:rPr>
          <w:rFonts w:hint="eastAsia" w:ascii="宋体" w:hAnsi="宋体" w:eastAsia="宋体" w:cs="宋体"/>
          <w:spacing w:val="-1"/>
          <w:sz w:val="24"/>
          <w:szCs w:val="24"/>
          <w:lang w:eastAsia="zh-CN"/>
        </w:rPr>
        <w:t>供应商</w:t>
      </w:r>
      <w:r>
        <w:rPr>
          <w:rFonts w:hint="eastAsia" w:ascii="宋体" w:hAnsi="宋体" w:eastAsia="宋体" w:cs="宋体"/>
          <w:spacing w:val="-1"/>
          <w:sz w:val="24"/>
          <w:szCs w:val="24"/>
        </w:rPr>
        <w:t>应承担仪器设备的保管责任。</w:t>
      </w:r>
      <w:r>
        <w:rPr>
          <w:rFonts w:hint="eastAsia" w:ascii="宋体" w:hAnsi="宋体" w:eastAsia="宋体" w:cs="宋体"/>
          <w:spacing w:val="-1"/>
          <w:sz w:val="24"/>
          <w:szCs w:val="24"/>
          <w:lang w:eastAsia="zh-CN"/>
        </w:rPr>
        <w:t>供应商</w:t>
      </w:r>
      <w:r>
        <w:rPr>
          <w:rFonts w:hint="eastAsia" w:ascii="宋体" w:hAnsi="宋体" w:eastAsia="宋体" w:cs="宋体"/>
          <w:spacing w:val="-2"/>
          <w:sz w:val="24"/>
          <w:szCs w:val="24"/>
        </w:rPr>
        <w:t>必须遵守安全保卫</w:t>
      </w:r>
      <w:r>
        <w:rPr>
          <w:rFonts w:hint="eastAsia" w:ascii="宋体" w:hAnsi="宋体" w:eastAsia="宋体" w:cs="宋体"/>
          <w:spacing w:val="-6"/>
          <w:sz w:val="24"/>
          <w:szCs w:val="24"/>
        </w:rPr>
        <w:t>制度，配备专职看守人员，配齐专用安全、消防等器材，保证仪器设备的安全。因为</w:t>
      </w:r>
      <w:r>
        <w:rPr>
          <w:rFonts w:hint="eastAsia" w:ascii="宋体" w:hAnsi="宋体" w:eastAsia="宋体" w:cs="宋体"/>
          <w:spacing w:val="-1"/>
          <w:sz w:val="24"/>
          <w:szCs w:val="24"/>
        </w:rPr>
        <w:t>公司的保管责任导致仪器设备的丢失，公司应按照设备原价</w:t>
      </w:r>
      <w:r>
        <w:rPr>
          <w:rFonts w:hint="eastAsia" w:ascii="宋体" w:hAnsi="宋体" w:eastAsia="宋体" w:cs="宋体"/>
          <w:spacing w:val="-2"/>
          <w:sz w:val="24"/>
          <w:szCs w:val="24"/>
        </w:rPr>
        <w:t>值赔偿或恢复原状。</w:t>
      </w:r>
    </w:p>
    <w:p w14:paraId="10119B34">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5"/>
          <w:sz w:val="24"/>
          <w:szCs w:val="24"/>
        </w:rPr>
        <w:t>在委托管理期间，</w:t>
      </w:r>
      <w:r>
        <w:rPr>
          <w:rFonts w:hint="eastAsia" w:ascii="宋体" w:hAnsi="宋体" w:eastAsia="宋体" w:cs="宋体"/>
          <w:spacing w:val="-5"/>
          <w:sz w:val="24"/>
          <w:szCs w:val="24"/>
          <w:lang w:eastAsia="zh-CN"/>
        </w:rPr>
        <w:t>供应商</w:t>
      </w:r>
      <w:r>
        <w:rPr>
          <w:rFonts w:hint="eastAsia" w:ascii="宋体" w:hAnsi="宋体" w:eastAsia="宋体" w:cs="宋体"/>
          <w:spacing w:val="-5"/>
          <w:sz w:val="24"/>
          <w:szCs w:val="24"/>
        </w:rPr>
        <w:t>应承担安全、消防等所有生产责任</w:t>
      </w:r>
      <w:r>
        <w:rPr>
          <w:rFonts w:hint="eastAsia" w:ascii="宋体" w:hAnsi="宋体" w:eastAsia="宋体" w:cs="宋体"/>
          <w:spacing w:val="-6"/>
          <w:sz w:val="24"/>
          <w:szCs w:val="24"/>
        </w:rPr>
        <w:t>(不可抗力因素除外)。</w:t>
      </w:r>
      <w:r>
        <w:rPr>
          <w:rFonts w:hint="eastAsia" w:ascii="宋体" w:hAnsi="宋体" w:eastAsia="宋体" w:cs="宋体"/>
          <w:spacing w:val="-1"/>
          <w:sz w:val="24"/>
          <w:szCs w:val="24"/>
        </w:rPr>
        <w:t>在委托管理期间，</w:t>
      </w:r>
      <w:r>
        <w:rPr>
          <w:rFonts w:hint="eastAsia" w:ascii="宋体" w:hAnsi="宋体" w:eastAsia="宋体" w:cs="宋体"/>
          <w:spacing w:val="-1"/>
          <w:sz w:val="24"/>
          <w:szCs w:val="24"/>
          <w:lang w:eastAsia="zh-CN"/>
        </w:rPr>
        <w:t>供应商</w:t>
      </w:r>
      <w:r>
        <w:rPr>
          <w:rFonts w:hint="eastAsia" w:ascii="宋体" w:hAnsi="宋体" w:eastAsia="宋体" w:cs="宋体"/>
          <w:spacing w:val="-1"/>
          <w:sz w:val="24"/>
          <w:szCs w:val="24"/>
        </w:rPr>
        <w:t>应按安全生产有关规定，建立安全</w:t>
      </w:r>
      <w:r>
        <w:rPr>
          <w:rFonts w:hint="eastAsia" w:ascii="宋体" w:hAnsi="宋体" w:eastAsia="宋体" w:cs="宋体"/>
          <w:spacing w:val="-2"/>
          <w:sz w:val="24"/>
          <w:szCs w:val="24"/>
        </w:rPr>
        <w:t>生产制度，切实消除</w:t>
      </w:r>
      <w:r>
        <w:rPr>
          <w:rFonts w:hint="eastAsia" w:ascii="宋体" w:hAnsi="宋体" w:eastAsia="宋体" w:cs="宋体"/>
          <w:spacing w:val="-8"/>
          <w:sz w:val="24"/>
          <w:szCs w:val="24"/>
        </w:rPr>
        <w:t>安全隐患。</w:t>
      </w:r>
    </w:p>
    <w:p w14:paraId="54194CE6">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1.23对</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项目运维人员的管理要求</w:t>
      </w:r>
    </w:p>
    <w:p w14:paraId="0D693B60">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481"/>
        <w:textAlignment w:val="baseline"/>
        <w:rPr>
          <w:rFonts w:hint="eastAsia" w:ascii="宋体" w:hAnsi="宋体" w:eastAsia="宋体" w:cs="宋体"/>
          <w:sz w:val="24"/>
          <w:szCs w:val="24"/>
        </w:rPr>
      </w:pPr>
      <w:r>
        <w:rPr>
          <w:rFonts w:hint="eastAsia" w:ascii="宋体" w:hAnsi="宋体" w:eastAsia="宋体" w:cs="宋体"/>
          <w:spacing w:val="-6"/>
          <w:sz w:val="24"/>
          <w:szCs w:val="24"/>
        </w:rPr>
        <w:t>本项目所需管理、技术人员及其他员工均由</w:t>
      </w:r>
      <w:r>
        <w:rPr>
          <w:rFonts w:hint="eastAsia" w:ascii="宋体" w:hAnsi="宋体" w:eastAsia="宋体" w:cs="宋体"/>
          <w:spacing w:val="-6"/>
          <w:sz w:val="24"/>
          <w:szCs w:val="24"/>
          <w:lang w:eastAsia="zh-CN"/>
        </w:rPr>
        <w:t>供应商</w:t>
      </w:r>
      <w:r>
        <w:rPr>
          <w:rFonts w:hint="eastAsia" w:ascii="宋体" w:hAnsi="宋体" w:eastAsia="宋体" w:cs="宋体"/>
          <w:spacing w:val="-6"/>
          <w:sz w:val="24"/>
          <w:szCs w:val="24"/>
        </w:rPr>
        <w:t>负责</w:t>
      </w:r>
      <w:r>
        <w:rPr>
          <w:rFonts w:hint="eastAsia" w:ascii="宋体" w:hAnsi="宋体" w:eastAsia="宋体" w:cs="宋体"/>
          <w:spacing w:val="-7"/>
          <w:sz w:val="24"/>
          <w:szCs w:val="24"/>
        </w:rPr>
        <w:t>派出。其中，项目经理和</w:t>
      </w:r>
      <w:r>
        <w:rPr>
          <w:rFonts w:hint="eastAsia" w:ascii="宋体" w:hAnsi="宋体" w:eastAsia="宋体" w:cs="宋体"/>
          <w:spacing w:val="-6"/>
          <w:sz w:val="24"/>
          <w:szCs w:val="24"/>
        </w:rPr>
        <w:t>技术负责人及主要技术人员应符合各项要求。在委托管理期间，</w:t>
      </w:r>
      <w:r>
        <w:rPr>
          <w:rFonts w:hint="eastAsia" w:ascii="宋体" w:hAnsi="宋体" w:eastAsia="宋体" w:cs="宋体"/>
          <w:spacing w:val="-6"/>
          <w:sz w:val="24"/>
          <w:szCs w:val="24"/>
          <w:lang w:eastAsia="zh-CN"/>
        </w:rPr>
        <w:t>供应商</w:t>
      </w:r>
      <w:r>
        <w:rPr>
          <w:rFonts w:hint="eastAsia" w:ascii="宋体" w:hAnsi="宋体" w:eastAsia="宋体" w:cs="宋体"/>
          <w:spacing w:val="-7"/>
          <w:sz w:val="24"/>
          <w:szCs w:val="24"/>
        </w:rPr>
        <w:t>拥有用人自主</w:t>
      </w:r>
      <w:r>
        <w:rPr>
          <w:rFonts w:hint="eastAsia" w:ascii="宋体" w:hAnsi="宋体" w:eastAsia="宋体" w:cs="宋体"/>
          <w:spacing w:val="-6"/>
          <w:sz w:val="24"/>
          <w:szCs w:val="24"/>
        </w:rPr>
        <w:t>权，有权在计划数内招聘、辞退和奖罚员工</w:t>
      </w:r>
      <w:r>
        <w:rPr>
          <w:rFonts w:hint="eastAsia" w:ascii="宋体" w:hAnsi="宋体" w:eastAsia="宋体" w:cs="宋体"/>
          <w:spacing w:val="-7"/>
          <w:sz w:val="24"/>
          <w:szCs w:val="24"/>
        </w:rPr>
        <w:t>。在委托管理期间，</w:t>
      </w:r>
      <w:r>
        <w:rPr>
          <w:rFonts w:hint="eastAsia" w:ascii="宋体" w:hAnsi="宋体" w:eastAsia="宋体" w:cs="宋体"/>
          <w:spacing w:val="-7"/>
          <w:sz w:val="24"/>
          <w:szCs w:val="24"/>
          <w:lang w:eastAsia="zh-CN"/>
        </w:rPr>
        <w:t>供应商</w:t>
      </w:r>
      <w:r>
        <w:rPr>
          <w:rFonts w:hint="eastAsia" w:ascii="宋体" w:hAnsi="宋体" w:eastAsia="宋体" w:cs="宋体"/>
          <w:spacing w:val="-7"/>
          <w:sz w:val="24"/>
          <w:szCs w:val="24"/>
        </w:rPr>
        <w:t>应按照国家有</w:t>
      </w:r>
      <w:r>
        <w:rPr>
          <w:rFonts w:hint="eastAsia" w:ascii="宋体" w:hAnsi="宋体" w:eastAsia="宋体" w:cs="宋体"/>
          <w:spacing w:val="5"/>
          <w:sz w:val="24"/>
          <w:szCs w:val="24"/>
        </w:rPr>
        <w:t>关用人用工制度和劳动管理等法律法规进行人事管理；采购人对</w:t>
      </w:r>
      <w:r>
        <w:rPr>
          <w:rFonts w:hint="eastAsia" w:ascii="宋体" w:hAnsi="宋体" w:eastAsia="宋体" w:cs="宋体"/>
          <w:spacing w:val="5"/>
          <w:sz w:val="24"/>
          <w:szCs w:val="24"/>
          <w:lang w:eastAsia="zh-CN"/>
        </w:rPr>
        <w:t>供应商</w:t>
      </w:r>
      <w:r>
        <w:rPr>
          <w:rFonts w:hint="eastAsia" w:ascii="宋体" w:hAnsi="宋体" w:eastAsia="宋体" w:cs="宋体"/>
          <w:spacing w:val="5"/>
          <w:sz w:val="24"/>
          <w:szCs w:val="24"/>
        </w:rPr>
        <w:t>员工人身安</w:t>
      </w:r>
      <w:r>
        <w:rPr>
          <w:rFonts w:hint="eastAsia" w:ascii="宋体" w:hAnsi="宋体" w:eastAsia="宋体" w:cs="宋体"/>
          <w:spacing w:val="-1"/>
          <w:sz w:val="24"/>
          <w:szCs w:val="24"/>
        </w:rPr>
        <w:t>全、劳资纠纷概不负责。运维人员的资质及技术能力需</w:t>
      </w:r>
      <w:r>
        <w:rPr>
          <w:rFonts w:hint="eastAsia" w:ascii="宋体" w:hAnsi="宋体" w:eastAsia="宋体" w:cs="宋体"/>
          <w:spacing w:val="-2"/>
          <w:sz w:val="24"/>
          <w:szCs w:val="24"/>
        </w:rPr>
        <w:t>满足本项目的要求。</w:t>
      </w:r>
    </w:p>
    <w:p w14:paraId="21AFD177">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4"/>
          <w:szCs w:val="24"/>
        </w:rPr>
      </w:pPr>
      <w:r>
        <w:rPr>
          <w:rFonts w:hint="eastAsia" w:ascii="宋体" w:hAnsi="宋体" w:eastAsia="宋体" w:cs="宋体"/>
          <w:spacing w:val="-2"/>
          <w:sz w:val="24"/>
          <w:szCs w:val="24"/>
        </w:rPr>
        <w:t>1.24对</w:t>
      </w: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运维工作相关财务的管理要求</w:t>
      </w:r>
    </w:p>
    <w:p w14:paraId="65F0CB7A">
      <w:pPr>
        <w:pStyle w:val="10"/>
        <w:keepNext w:val="0"/>
        <w:keepLines w:val="0"/>
        <w:pageBreakBefore w:val="0"/>
        <w:widowControl/>
        <w:kinsoku/>
        <w:wordWrap/>
        <w:overflowPunct/>
        <w:topLinePunct w:val="0"/>
        <w:autoSpaceDE w:val="0"/>
        <w:autoSpaceDN w:val="0"/>
        <w:bidi w:val="0"/>
        <w:adjustRightInd w:val="0"/>
        <w:snapToGrid w:val="0"/>
        <w:spacing w:line="360" w:lineRule="auto"/>
        <w:ind w:left="0" w:right="0" w:firstLine="503"/>
        <w:textAlignment w:val="baseline"/>
        <w:rPr>
          <w:rFonts w:hint="eastAsia" w:ascii="宋体" w:hAnsi="宋体" w:eastAsia="宋体" w:cs="宋体"/>
          <w:sz w:val="24"/>
          <w:szCs w:val="24"/>
        </w:rPr>
      </w:pPr>
      <w:r>
        <w:rPr>
          <w:rFonts w:hint="eastAsia" w:ascii="宋体" w:hAnsi="宋体" w:eastAsia="宋体" w:cs="宋体"/>
          <w:spacing w:val="-2"/>
          <w:sz w:val="24"/>
          <w:szCs w:val="24"/>
          <w:lang w:eastAsia="zh-CN"/>
        </w:rPr>
        <w:t>供应商</w:t>
      </w:r>
      <w:r>
        <w:rPr>
          <w:rFonts w:hint="eastAsia" w:ascii="宋体" w:hAnsi="宋体" w:eastAsia="宋体" w:cs="宋体"/>
          <w:spacing w:val="-2"/>
          <w:sz w:val="24"/>
          <w:szCs w:val="24"/>
        </w:rPr>
        <w:t>的财务管理范围是对本项目委托管理过程所发生的管理费用的财务管理。</w:t>
      </w:r>
      <w:r>
        <w:rPr>
          <w:rFonts w:hint="eastAsia" w:ascii="宋体" w:hAnsi="宋体" w:eastAsia="宋体" w:cs="宋体"/>
          <w:spacing w:val="-1"/>
          <w:sz w:val="24"/>
          <w:szCs w:val="24"/>
        </w:rPr>
        <w:t>在委托管理期间，</w:t>
      </w:r>
      <w:r>
        <w:rPr>
          <w:rFonts w:hint="eastAsia" w:ascii="宋体" w:hAnsi="宋体" w:eastAsia="宋体" w:cs="宋体"/>
          <w:spacing w:val="-1"/>
          <w:sz w:val="24"/>
          <w:szCs w:val="24"/>
          <w:lang w:eastAsia="zh-CN"/>
        </w:rPr>
        <w:t>供应商</w:t>
      </w:r>
      <w:r>
        <w:rPr>
          <w:rFonts w:hint="eastAsia" w:ascii="宋体" w:hAnsi="宋体" w:eastAsia="宋体" w:cs="宋体"/>
          <w:spacing w:val="-1"/>
          <w:sz w:val="24"/>
          <w:szCs w:val="24"/>
        </w:rPr>
        <w:t>应遵守国家有关财务会计法规对本项目</w:t>
      </w:r>
      <w:r>
        <w:rPr>
          <w:rFonts w:hint="eastAsia" w:ascii="宋体" w:hAnsi="宋体" w:eastAsia="宋体" w:cs="宋体"/>
          <w:spacing w:val="-2"/>
          <w:sz w:val="24"/>
          <w:szCs w:val="24"/>
        </w:rPr>
        <w:t>财务管理进行单独列</w:t>
      </w:r>
      <w:r>
        <w:rPr>
          <w:rFonts w:hint="eastAsia" w:ascii="宋体" w:hAnsi="宋体" w:eastAsia="宋体" w:cs="宋体"/>
          <w:spacing w:val="-1"/>
          <w:sz w:val="24"/>
          <w:szCs w:val="24"/>
        </w:rPr>
        <w:t>账核算，采购人有权对</w:t>
      </w:r>
      <w:r>
        <w:rPr>
          <w:rFonts w:hint="eastAsia" w:ascii="宋体" w:hAnsi="宋体" w:eastAsia="宋体" w:cs="宋体"/>
          <w:spacing w:val="-1"/>
          <w:sz w:val="24"/>
          <w:szCs w:val="24"/>
          <w:lang w:eastAsia="zh-CN"/>
        </w:rPr>
        <w:t>供应商</w:t>
      </w:r>
      <w:r>
        <w:rPr>
          <w:rFonts w:hint="eastAsia" w:ascii="宋体" w:hAnsi="宋体" w:eastAsia="宋体" w:cs="宋体"/>
          <w:spacing w:val="-1"/>
          <w:sz w:val="24"/>
          <w:szCs w:val="24"/>
        </w:rPr>
        <w:t>本项目财务管理进行监督。</w:t>
      </w:r>
    </w:p>
    <w:p w14:paraId="260F101F">
      <w:pPr>
        <w:spacing w:line="560" w:lineRule="exact"/>
        <w:ind w:firstLine="476" w:firstLineChars="200"/>
        <w:rPr>
          <w:rFonts w:hint="eastAsia" w:ascii="宋体" w:hAnsi="宋体" w:cs="宋体"/>
          <w:sz w:val="24"/>
        </w:rPr>
      </w:pPr>
      <w:r>
        <w:rPr>
          <w:rFonts w:hint="eastAsia" w:ascii="宋体" w:hAnsi="宋体" w:eastAsia="宋体" w:cs="宋体"/>
          <w:spacing w:val="-1"/>
          <w:sz w:val="24"/>
          <w:szCs w:val="24"/>
        </w:rPr>
        <w:t>本项目委托管理过程中需经采购人审核同意事项：</w:t>
      </w:r>
      <w:r>
        <w:rPr>
          <w:rFonts w:hint="eastAsia" w:ascii="宋体" w:hAnsi="宋体" w:eastAsia="宋体" w:cs="宋体"/>
          <w:spacing w:val="-2"/>
          <w:sz w:val="24"/>
          <w:szCs w:val="24"/>
        </w:rPr>
        <w:t>派出的项目经理和技术负责人</w:t>
      </w:r>
      <w:r>
        <w:rPr>
          <w:rFonts w:hint="eastAsia" w:ascii="宋体" w:hAnsi="宋体" w:eastAsia="宋体" w:cs="宋体"/>
          <w:spacing w:val="-1"/>
          <w:sz w:val="24"/>
          <w:szCs w:val="24"/>
        </w:rPr>
        <w:t>需中途更换；项目运行管理操作规范和规章制度；固定资产</w:t>
      </w:r>
      <w:r>
        <w:rPr>
          <w:rFonts w:hint="eastAsia" w:ascii="宋体" w:hAnsi="宋体" w:eastAsia="宋体" w:cs="宋体"/>
          <w:spacing w:val="-2"/>
          <w:sz w:val="24"/>
          <w:szCs w:val="24"/>
        </w:rPr>
        <w:t>的增添、外购及维修费用</w:t>
      </w:r>
      <w:r>
        <w:rPr>
          <w:rFonts w:hint="eastAsia" w:ascii="宋体" w:hAnsi="宋体" w:eastAsia="宋体" w:cs="宋体"/>
          <w:spacing w:val="-1"/>
          <w:sz w:val="24"/>
          <w:szCs w:val="24"/>
        </w:rPr>
        <w:t>支出等；项目人员数量的增减；监测参数的增</w:t>
      </w:r>
      <w:r>
        <w:rPr>
          <w:rFonts w:hint="eastAsia" w:ascii="宋体" w:hAnsi="宋体" w:eastAsia="宋体" w:cs="宋体"/>
          <w:spacing w:val="-2"/>
          <w:sz w:val="24"/>
          <w:szCs w:val="24"/>
        </w:rPr>
        <w:t>减和监测分析方法的变更。</w:t>
      </w:r>
    </w:p>
    <w:p w14:paraId="29B7C0E2">
      <w:pPr>
        <w:spacing w:line="560" w:lineRule="exact"/>
        <w:ind w:firstLine="480" w:firstLineChars="200"/>
        <w:rPr>
          <w:rFonts w:hint="eastAsia" w:ascii="宋体" w:hAnsi="宋体" w:cs="宋体"/>
          <w:sz w:val="24"/>
        </w:rPr>
      </w:pPr>
    </w:p>
    <w:p w14:paraId="50EBED43">
      <w:pPr>
        <w:spacing w:line="360" w:lineRule="auto"/>
        <w:ind w:firstLine="643" w:firstLineChars="200"/>
        <w:rPr>
          <w:rFonts w:hint="eastAsia" w:asciiTheme="minorEastAsia" w:hAnsiTheme="minorEastAsia" w:eastAsiaTheme="minorEastAsia" w:cstheme="minorEastAsia"/>
          <w:b/>
          <w:bCs w:val="0"/>
          <w:sz w:val="32"/>
          <w:szCs w:val="32"/>
          <w:highlight w:val="none"/>
        </w:rPr>
      </w:pPr>
      <w:r>
        <w:rPr>
          <w:rFonts w:hint="eastAsia" w:asciiTheme="minorEastAsia" w:hAnsiTheme="minorEastAsia" w:eastAsiaTheme="minorEastAsia" w:cstheme="minorEastAsia"/>
          <w:b/>
          <w:bCs w:val="0"/>
          <w:sz w:val="32"/>
          <w:szCs w:val="32"/>
          <w:highlight w:val="none"/>
        </w:rPr>
        <w:t>（</w:t>
      </w:r>
      <w:r>
        <w:rPr>
          <w:rFonts w:hint="eastAsia" w:asciiTheme="minorEastAsia" w:hAnsiTheme="minorEastAsia" w:eastAsiaTheme="minorEastAsia" w:cstheme="minorEastAsia"/>
          <w:b/>
          <w:bCs w:val="0"/>
          <w:sz w:val="32"/>
          <w:szCs w:val="32"/>
          <w:highlight w:val="none"/>
          <w:lang w:val="en-US" w:eastAsia="zh-CN"/>
        </w:rPr>
        <w:t>3</w:t>
      </w:r>
      <w:r>
        <w:rPr>
          <w:rFonts w:hint="eastAsia" w:asciiTheme="minorEastAsia" w:hAnsiTheme="minorEastAsia" w:eastAsiaTheme="minorEastAsia" w:cstheme="minorEastAsia"/>
          <w:b/>
          <w:bCs w:val="0"/>
          <w:sz w:val="32"/>
          <w:szCs w:val="32"/>
          <w:highlight w:val="none"/>
        </w:rPr>
        <w:t>）商务要求</w:t>
      </w:r>
    </w:p>
    <w:p w14:paraId="049B204A">
      <w:pPr>
        <w:pStyle w:val="99"/>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1、支付方式：合同签订15日内付30%，服务期满半年后付40%，服务期满后付剩余30%。</w:t>
      </w:r>
    </w:p>
    <w:p w14:paraId="323B1350">
      <w:pPr>
        <w:numPr>
          <w:ilvl w:val="0"/>
          <w:numId w:val="0"/>
        </w:num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1FCC9EEB">
      <w:pPr>
        <w:spacing w:line="360" w:lineRule="auto"/>
        <w:ind w:firstLine="480" w:firstLineChars="200"/>
        <w:rPr>
          <w:rFonts w:hint="default"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w:t>
      </w:r>
      <w:r>
        <w:rPr>
          <w:rFonts w:hint="eastAsia" w:asciiTheme="minorEastAsia" w:hAnsiTheme="minorEastAsia" w:cstheme="minorEastAsia"/>
          <w:b w:val="0"/>
          <w:bCs/>
          <w:color w:val="auto"/>
          <w:sz w:val="24"/>
          <w:szCs w:val="24"/>
          <w:highlight w:val="none"/>
          <w:lang w:val="en-US" w:eastAsia="zh-CN"/>
        </w:rPr>
        <w:t>1年</w:t>
      </w:r>
    </w:p>
    <w:p w14:paraId="25B65545">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p>
    <w:p w14:paraId="517B8193">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供应商需在响应文件中对其提供的产品出具&lt;&lt;关于符合本国产品标准的声明函&gt;&gt;或提供财政部会同有关部门规定的有关证明文件。</w:t>
      </w:r>
    </w:p>
    <w:p w14:paraId="4DEE08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3EED4B93">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w:t>
      </w:r>
      <w:r>
        <w:rPr>
          <w:rFonts w:hint="eastAsia" w:ascii="宋体" w:hAnsi="宋体" w:cs="宋体"/>
          <w:b/>
          <w:bCs/>
          <w:sz w:val="24"/>
          <w:highlight w:val="none"/>
          <w:lang w:eastAsia="zh-CN"/>
        </w:rPr>
        <w:t>（</w:t>
      </w:r>
      <w:r>
        <w:rPr>
          <w:rFonts w:hint="eastAsia" w:ascii="宋体" w:hAnsi="宋体" w:cs="宋体"/>
          <w:b/>
          <w:bCs/>
          <w:sz w:val="24"/>
          <w:highlight w:val="none"/>
          <w:lang w:val="en-US" w:eastAsia="zh-CN"/>
        </w:rPr>
        <w:t>或负责人</w:t>
      </w:r>
      <w:r>
        <w:rPr>
          <w:rFonts w:hint="eastAsia" w:ascii="宋体" w:hAnsi="宋体" w:cs="宋体"/>
          <w:b/>
          <w:bCs/>
          <w:sz w:val="24"/>
          <w:highlight w:val="none"/>
          <w:lang w:eastAsia="zh-CN"/>
        </w:rPr>
        <w:t>）</w:t>
      </w:r>
      <w:r>
        <w:rPr>
          <w:rFonts w:hint="eastAsia" w:ascii="宋体" w:hAnsi="宋体" w:cs="宋体"/>
          <w:b/>
          <w:bCs/>
          <w:sz w:val="24"/>
          <w:highlight w:val="none"/>
        </w:rPr>
        <w:t>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w:t>
            </w:r>
            <w:r>
              <w:rPr>
                <w:rFonts w:hint="eastAsia" w:ascii="宋体" w:hAnsi="宋体" w:cs="宋体"/>
                <w:b/>
                <w:bCs/>
                <w:sz w:val="24"/>
                <w:highlight w:val="none"/>
                <w:lang w:eastAsia="zh-CN"/>
              </w:rPr>
              <w:t>（</w:t>
            </w:r>
            <w:r>
              <w:rPr>
                <w:rFonts w:hint="eastAsia" w:ascii="宋体" w:hAnsi="宋体" w:cs="宋体"/>
                <w:b/>
                <w:bCs/>
                <w:sz w:val="24"/>
                <w:highlight w:val="none"/>
                <w:lang w:val="en-US" w:eastAsia="zh-CN"/>
              </w:rPr>
              <w:t>或负责人</w:t>
            </w:r>
            <w:r>
              <w:rPr>
                <w:rFonts w:hint="eastAsia" w:ascii="宋体" w:hAnsi="宋体" w:cs="宋体"/>
                <w:b/>
                <w:bCs/>
                <w:sz w:val="24"/>
                <w:highlight w:val="none"/>
                <w:lang w:eastAsia="zh-CN"/>
              </w:rPr>
              <w:t>）</w:t>
            </w:r>
            <w:r>
              <w:rPr>
                <w:rFonts w:hint="eastAsia" w:ascii="宋体" w:hAnsi="宋体" w:cs="宋体"/>
                <w:b/>
                <w:bCs/>
                <w:sz w:val="24"/>
                <w:highlight w:val="none"/>
              </w:rPr>
              <w:t>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5"/>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5"/>
        <w:ind w:firstLine="240"/>
        <w:rPr>
          <w:rFonts w:ascii="宋体" w:hAnsi="宋体" w:cs="宋体"/>
          <w:sz w:val="24"/>
          <w:highlight w:val="none"/>
        </w:rPr>
      </w:pPr>
    </w:p>
    <w:p w14:paraId="2742E2F9">
      <w:pPr>
        <w:pStyle w:val="45"/>
        <w:ind w:firstLine="240"/>
        <w:rPr>
          <w:rFonts w:ascii="宋体" w:hAnsi="宋体" w:cs="宋体"/>
          <w:sz w:val="24"/>
          <w:highlight w:val="none"/>
        </w:rPr>
      </w:pPr>
    </w:p>
    <w:p w14:paraId="399B1873">
      <w:pPr>
        <w:pStyle w:val="45"/>
        <w:ind w:firstLine="240"/>
        <w:rPr>
          <w:rFonts w:ascii="宋体" w:hAnsi="宋体" w:cs="宋体"/>
          <w:sz w:val="24"/>
          <w:highlight w:val="none"/>
        </w:rPr>
      </w:pPr>
    </w:p>
    <w:p w14:paraId="4A5C0908">
      <w:pPr>
        <w:pStyle w:val="45"/>
        <w:ind w:firstLine="240"/>
        <w:rPr>
          <w:rFonts w:ascii="宋体" w:hAnsi="宋体" w:cs="宋体"/>
          <w:sz w:val="24"/>
          <w:highlight w:val="none"/>
        </w:rPr>
      </w:pPr>
    </w:p>
    <w:p w14:paraId="72335D9F">
      <w:pPr>
        <w:pStyle w:val="45"/>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5"/>
        <w:ind w:firstLine="210"/>
        <w:rPr>
          <w:highlight w:val="none"/>
        </w:rPr>
      </w:pPr>
    </w:p>
    <w:p w14:paraId="7CDDF6E2">
      <w:pPr>
        <w:pStyle w:val="45"/>
        <w:ind w:firstLine="210"/>
        <w:rPr>
          <w:highlight w:val="none"/>
        </w:rPr>
      </w:pPr>
    </w:p>
    <w:p w14:paraId="014F088B">
      <w:pPr>
        <w:pStyle w:val="45"/>
        <w:ind w:firstLine="210"/>
        <w:rPr>
          <w:highlight w:val="none"/>
        </w:rPr>
      </w:pPr>
    </w:p>
    <w:p w14:paraId="11C3C249">
      <w:pPr>
        <w:pStyle w:val="45"/>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4"/>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7"/>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5"/>
        <w:ind w:firstLine="240"/>
        <w:rPr>
          <w:rFonts w:ascii="宋体" w:hAnsi="宋体" w:cs="宋体"/>
          <w:sz w:val="24"/>
          <w:highlight w:val="none"/>
        </w:rPr>
      </w:pPr>
    </w:p>
    <w:p w14:paraId="0AF5410C">
      <w:pPr>
        <w:pStyle w:val="45"/>
        <w:ind w:firstLine="240"/>
        <w:rPr>
          <w:rFonts w:ascii="宋体" w:hAnsi="宋体" w:cs="宋体"/>
          <w:sz w:val="24"/>
          <w:highlight w:val="none"/>
        </w:rPr>
      </w:pPr>
    </w:p>
    <w:p w14:paraId="36C60824">
      <w:pPr>
        <w:pStyle w:val="45"/>
        <w:ind w:firstLine="240"/>
        <w:rPr>
          <w:rFonts w:ascii="宋体" w:hAnsi="宋体" w:cs="宋体"/>
          <w:sz w:val="24"/>
          <w:highlight w:val="none"/>
        </w:rPr>
      </w:pPr>
    </w:p>
    <w:p w14:paraId="35A34597">
      <w:pPr>
        <w:pStyle w:val="45"/>
        <w:ind w:firstLine="240"/>
        <w:rPr>
          <w:rFonts w:ascii="宋体" w:hAnsi="宋体" w:cs="宋体"/>
          <w:sz w:val="24"/>
          <w:highlight w:val="none"/>
        </w:rPr>
      </w:pPr>
    </w:p>
    <w:p w14:paraId="5A8EFA76">
      <w:pPr>
        <w:pStyle w:val="45"/>
        <w:ind w:firstLine="240"/>
        <w:rPr>
          <w:rFonts w:ascii="宋体" w:hAnsi="宋体" w:cs="宋体"/>
          <w:sz w:val="24"/>
          <w:highlight w:val="none"/>
        </w:rPr>
      </w:pPr>
    </w:p>
    <w:p w14:paraId="35705D53">
      <w:pPr>
        <w:pStyle w:val="45"/>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7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7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7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7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5"/>
        <w:ind w:firstLine="241"/>
        <w:rPr>
          <w:rFonts w:ascii="宋体" w:hAnsi="宋体" w:cs="宋体"/>
          <w:b/>
          <w:sz w:val="24"/>
          <w:highlight w:val="none"/>
        </w:rPr>
      </w:pPr>
    </w:p>
    <w:p w14:paraId="7912DE7A">
      <w:pPr>
        <w:pStyle w:val="45"/>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4"/>
        <w:rPr>
          <w:rFonts w:ascii="宋体" w:hAnsi="宋体" w:cs="宋体"/>
          <w:sz w:val="24"/>
          <w:szCs w:val="24"/>
          <w:highlight w:val="none"/>
        </w:rPr>
      </w:pPr>
    </w:p>
    <w:p w14:paraId="51726D06">
      <w:pPr>
        <w:pStyle w:val="44"/>
        <w:rPr>
          <w:rFonts w:ascii="宋体" w:hAnsi="宋体" w:cs="宋体"/>
          <w:sz w:val="24"/>
          <w:szCs w:val="24"/>
          <w:highlight w:val="none"/>
        </w:rPr>
      </w:pPr>
    </w:p>
    <w:p w14:paraId="5CF83A87">
      <w:pPr>
        <w:pStyle w:val="44"/>
        <w:rPr>
          <w:rFonts w:ascii="宋体" w:hAnsi="宋体" w:cs="宋体"/>
          <w:sz w:val="24"/>
          <w:szCs w:val="24"/>
          <w:highlight w:val="none"/>
        </w:rPr>
      </w:pPr>
    </w:p>
    <w:p w14:paraId="6949FCEF">
      <w:pPr>
        <w:pStyle w:val="44"/>
        <w:rPr>
          <w:rFonts w:ascii="宋体" w:hAnsi="宋体" w:cs="宋体"/>
          <w:sz w:val="24"/>
          <w:szCs w:val="24"/>
          <w:highlight w:val="none"/>
        </w:rPr>
      </w:pPr>
    </w:p>
    <w:p w14:paraId="66079CD5">
      <w:pPr>
        <w:pStyle w:val="44"/>
        <w:rPr>
          <w:rFonts w:ascii="宋体" w:hAnsi="宋体" w:cs="宋体"/>
          <w:sz w:val="24"/>
          <w:szCs w:val="24"/>
          <w:highlight w:val="none"/>
        </w:rPr>
      </w:pPr>
    </w:p>
    <w:p w14:paraId="2955110F">
      <w:pPr>
        <w:pStyle w:val="44"/>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4"/>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4"/>
        <w:rPr>
          <w:rFonts w:ascii="宋体" w:hAnsi="宋体" w:cs="宋体"/>
          <w:sz w:val="24"/>
          <w:szCs w:val="24"/>
          <w:highlight w:val="none"/>
        </w:rPr>
      </w:pPr>
    </w:p>
    <w:p w14:paraId="05C4B55B">
      <w:pPr>
        <w:pStyle w:val="6"/>
        <w:rPr>
          <w:rFonts w:ascii="宋体" w:hAnsi="宋体" w:eastAsia="宋体" w:cs="宋体"/>
          <w:sz w:val="24"/>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76D2A530">
      <w:pPr>
        <w:pStyle w:val="41"/>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8"/>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8"/>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8"/>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eastAsia="zh-CN"/>
        </w:rPr>
        <w:t>（</w:t>
      </w:r>
      <w:r>
        <w:rPr>
          <w:rFonts w:hint="eastAsia" w:ascii="宋体" w:hAnsi="宋体" w:cs="宋体"/>
          <w:sz w:val="24"/>
          <w:highlight w:val="none"/>
          <w:lang w:val="en-US" w:eastAsia="zh-CN"/>
        </w:rPr>
        <w:t>或负责人</w:t>
      </w:r>
      <w:r>
        <w:rPr>
          <w:rFonts w:hint="eastAsia" w:ascii="宋体" w:hAnsi="宋体" w:cs="宋体"/>
          <w:sz w:val="24"/>
          <w:highlight w:val="none"/>
          <w:lang w:eastAsia="zh-CN"/>
        </w:rPr>
        <w:t>）</w:t>
      </w:r>
      <w:r>
        <w:rPr>
          <w:rFonts w:hint="eastAsia" w:ascii="宋体" w:hAnsi="宋体" w:cs="宋体"/>
          <w:sz w:val="24"/>
          <w:highlight w:val="none"/>
        </w:rPr>
        <w:t>：（签字）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5"/>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91"/>
        <w:spacing w:beforeLines="0" w:afterLines="0"/>
        <w:ind w:left="0" w:firstLine="640" w:firstLineChars="200"/>
        <w:rPr>
          <w:rFonts w:ascii="宋体" w:hAnsi="宋体" w:cs="宋体"/>
          <w:sz w:val="32"/>
          <w:szCs w:val="32"/>
          <w:highlight w:val="none"/>
        </w:rPr>
      </w:pPr>
    </w:p>
    <w:p w14:paraId="71DFBF10">
      <w:pPr>
        <w:pStyle w:val="91"/>
        <w:spacing w:beforeLines="0" w:afterLines="0"/>
        <w:ind w:left="0" w:firstLine="640" w:firstLineChars="200"/>
        <w:rPr>
          <w:rFonts w:ascii="宋体" w:hAnsi="宋体" w:cs="宋体"/>
          <w:sz w:val="32"/>
          <w:szCs w:val="32"/>
          <w:highlight w:val="none"/>
        </w:rPr>
      </w:pPr>
    </w:p>
    <w:p w14:paraId="226AD88D">
      <w:pPr>
        <w:pStyle w:val="91"/>
        <w:spacing w:beforeLines="0" w:afterLines="0"/>
        <w:ind w:left="0" w:firstLine="600" w:firstLineChars="200"/>
        <w:rPr>
          <w:rFonts w:ascii="宋体" w:hAnsi="宋体" w:cs="宋体"/>
          <w:sz w:val="30"/>
          <w:szCs w:val="30"/>
          <w:highlight w:val="none"/>
        </w:rPr>
      </w:pPr>
    </w:p>
    <w:p w14:paraId="42E9FDFB">
      <w:pPr>
        <w:pStyle w:val="91"/>
        <w:spacing w:beforeLines="0" w:afterLines="0"/>
        <w:ind w:left="0" w:firstLine="600" w:firstLineChars="200"/>
        <w:rPr>
          <w:rFonts w:ascii="宋体" w:hAnsi="宋体" w:cs="宋体"/>
          <w:sz w:val="30"/>
          <w:szCs w:val="30"/>
          <w:highlight w:val="none"/>
        </w:rPr>
      </w:pPr>
    </w:p>
    <w:p w14:paraId="2F5AB4FE">
      <w:pPr>
        <w:pStyle w:val="91"/>
        <w:spacing w:beforeLines="0" w:afterLines="0"/>
        <w:ind w:left="0" w:firstLine="600" w:firstLineChars="200"/>
        <w:rPr>
          <w:rFonts w:ascii="宋体" w:hAnsi="宋体" w:cs="宋体"/>
          <w:sz w:val="30"/>
          <w:szCs w:val="30"/>
          <w:highlight w:val="none"/>
        </w:rPr>
      </w:pPr>
    </w:p>
    <w:p w14:paraId="27D7FCB6">
      <w:pPr>
        <w:pStyle w:val="91"/>
        <w:spacing w:beforeLines="0" w:afterLines="0"/>
        <w:ind w:left="0" w:firstLine="600" w:firstLineChars="200"/>
        <w:rPr>
          <w:rFonts w:ascii="宋体" w:hAnsi="宋体" w:cs="宋体"/>
          <w:sz w:val="30"/>
          <w:szCs w:val="30"/>
          <w:highlight w:val="none"/>
        </w:rPr>
      </w:pPr>
    </w:p>
    <w:p w14:paraId="561789D6">
      <w:pPr>
        <w:pStyle w:val="91"/>
        <w:spacing w:beforeLines="0" w:afterLines="0"/>
        <w:ind w:left="0" w:firstLine="600" w:firstLineChars="200"/>
        <w:rPr>
          <w:rFonts w:ascii="宋体" w:hAnsi="宋体" w:cs="宋体"/>
          <w:sz w:val="30"/>
          <w:szCs w:val="30"/>
          <w:highlight w:val="none"/>
        </w:rPr>
      </w:pPr>
    </w:p>
    <w:p w14:paraId="74A9D594">
      <w:pPr>
        <w:pStyle w:val="91"/>
        <w:spacing w:beforeLines="0" w:afterLines="0"/>
        <w:ind w:left="0" w:firstLine="600" w:firstLineChars="200"/>
        <w:rPr>
          <w:rFonts w:ascii="宋体" w:hAnsi="宋体" w:cs="宋体"/>
          <w:sz w:val="30"/>
          <w:szCs w:val="30"/>
          <w:highlight w:val="none"/>
        </w:rPr>
      </w:pPr>
    </w:p>
    <w:p w14:paraId="45155C0E">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91"/>
        <w:spacing w:beforeLines="0" w:afterLines="0"/>
        <w:ind w:left="0" w:firstLine="600" w:firstLineChars="200"/>
        <w:rPr>
          <w:rFonts w:ascii="宋体" w:hAnsi="宋体" w:cs="宋体"/>
          <w:sz w:val="30"/>
          <w:szCs w:val="30"/>
          <w:highlight w:val="none"/>
        </w:rPr>
      </w:pPr>
    </w:p>
    <w:p w14:paraId="17C569B3">
      <w:pPr>
        <w:pStyle w:val="91"/>
        <w:spacing w:beforeLines="0" w:afterLines="0"/>
        <w:ind w:left="0" w:firstLine="600" w:firstLineChars="200"/>
        <w:rPr>
          <w:rFonts w:ascii="宋体" w:hAnsi="宋体" w:cs="宋体"/>
          <w:sz w:val="30"/>
          <w:szCs w:val="30"/>
          <w:highlight w:val="none"/>
        </w:rPr>
      </w:pPr>
    </w:p>
    <w:p w14:paraId="267B9FD9">
      <w:pPr>
        <w:pStyle w:val="91"/>
        <w:spacing w:beforeLines="0" w:afterLines="0"/>
        <w:ind w:left="0" w:firstLine="600" w:firstLineChars="200"/>
        <w:rPr>
          <w:rFonts w:ascii="宋体" w:hAnsi="宋体" w:cs="宋体"/>
          <w:sz w:val="30"/>
          <w:szCs w:val="30"/>
          <w:highlight w:val="none"/>
        </w:rPr>
      </w:pPr>
    </w:p>
    <w:p w14:paraId="529D7325">
      <w:pPr>
        <w:pStyle w:val="91"/>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91"/>
        <w:spacing w:beforeLines="0" w:afterLines="0" w:line="440" w:lineRule="exact"/>
        <w:ind w:left="0"/>
        <w:rPr>
          <w:rFonts w:ascii="宋体" w:hAnsi="宋体" w:cs="宋体"/>
          <w:sz w:val="30"/>
          <w:szCs w:val="30"/>
          <w:highlight w:val="none"/>
        </w:rPr>
      </w:pPr>
    </w:p>
    <w:p w14:paraId="476B4E2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91"/>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91"/>
        <w:spacing w:beforeLines="0" w:afterLines="0" w:line="440" w:lineRule="exact"/>
        <w:ind w:left="0"/>
        <w:jc w:val="center"/>
        <w:rPr>
          <w:rFonts w:ascii="宋体" w:hAnsi="宋体" w:cs="宋体"/>
          <w:bCs/>
          <w:sz w:val="32"/>
          <w:szCs w:val="32"/>
          <w:highlight w:val="none"/>
        </w:rPr>
      </w:pPr>
    </w:p>
    <w:p w14:paraId="4F09D6F1">
      <w:pPr>
        <w:pStyle w:val="91"/>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91"/>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5"/>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5"/>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3A3910AC">
      <w:pPr>
        <w:rPr>
          <w:rFonts w:hint="eastAsia"/>
          <w:b/>
          <w:sz w:val="32"/>
          <w:szCs w:val="32"/>
          <w:highlight w:val="none"/>
        </w:rPr>
      </w:pPr>
      <w:r>
        <w:rPr>
          <w:rFonts w:hint="eastAsia"/>
          <w:b/>
          <w:sz w:val="32"/>
          <w:szCs w:val="32"/>
          <w:highlight w:val="none"/>
        </w:rPr>
        <w:br w:type="page"/>
      </w:r>
    </w:p>
    <w:p w14:paraId="56DE733F">
      <w:pPr>
        <w:pStyle w:val="45"/>
        <w:ind w:firstLine="321"/>
        <w:jc w:val="center"/>
        <w:rPr>
          <w:b/>
          <w:sz w:val="32"/>
          <w:szCs w:val="32"/>
          <w:highlight w:val="none"/>
        </w:rPr>
      </w:pPr>
      <w:r>
        <w:rPr>
          <w:rFonts w:hint="eastAsia"/>
          <w:b/>
          <w:sz w:val="32"/>
          <w:szCs w:val="32"/>
          <w:highlight w:val="none"/>
        </w:rPr>
        <w:t>周口市政府采购合同融资政策告知函</w:t>
      </w:r>
    </w:p>
    <w:p w14:paraId="1FD406FB">
      <w:pPr>
        <w:pStyle w:val="45"/>
        <w:ind w:firstLine="240"/>
        <w:rPr>
          <w:rFonts w:asciiTheme="minorEastAsia" w:hAnsiTheme="minorEastAsia" w:eastAsiaTheme="minorEastAsia"/>
          <w:sz w:val="24"/>
          <w:highlight w:val="none"/>
        </w:rPr>
      </w:pPr>
    </w:p>
    <w:p w14:paraId="0E082FA9">
      <w:pPr>
        <w:pStyle w:val="45"/>
        <w:ind w:firstLine="240"/>
        <w:rPr>
          <w:rFonts w:asciiTheme="minorEastAsia" w:hAnsiTheme="minorEastAsia" w:eastAsiaTheme="minorEastAsia"/>
          <w:sz w:val="24"/>
          <w:highlight w:val="none"/>
        </w:rPr>
      </w:pPr>
    </w:p>
    <w:p w14:paraId="620107BF">
      <w:pPr>
        <w:pStyle w:val="45"/>
        <w:ind w:firstLine="240"/>
        <w:rPr>
          <w:rFonts w:asciiTheme="minorEastAsia" w:hAnsiTheme="minorEastAsia" w:eastAsiaTheme="minorEastAsia"/>
          <w:sz w:val="24"/>
          <w:highlight w:val="none"/>
        </w:rPr>
      </w:pPr>
    </w:p>
    <w:p w14:paraId="01674F72">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4"/>
        <w:spacing w:before="0" w:beforeAutospacing="0" w:after="0" w:afterAutospacing="0" w:line="330" w:lineRule="atLeast"/>
        <w:rPr>
          <w:rFonts w:cs="仿宋_GB2312"/>
          <w:b/>
          <w:bCs/>
          <w:color w:val="0000FF"/>
          <w:sz w:val="21"/>
          <w:szCs w:val="21"/>
          <w:highlight w:val="none"/>
        </w:rPr>
      </w:pPr>
    </w:p>
    <w:p w14:paraId="40B779FA">
      <w:pPr>
        <w:pStyle w:val="24"/>
        <w:spacing w:before="0" w:beforeAutospacing="0" w:after="0" w:afterAutospacing="0" w:line="330" w:lineRule="atLeast"/>
        <w:rPr>
          <w:rFonts w:cs="仿宋_GB2312"/>
          <w:b/>
          <w:bCs/>
          <w:color w:val="0000FF"/>
          <w:sz w:val="21"/>
          <w:szCs w:val="21"/>
          <w:highlight w:val="none"/>
        </w:rPr>
      </w:pPr>
    </w:p>
    <w:p w14:paraId="183C33C5">
      <w:pPr>
        <w:pStyle w:val="24"/>
        <w:spacing w:before="0" w:beforeAutospacing="0" w:after="0" w:afterAutospacing="0" w:line="330" w:lineRule="atLeast"/>
        <w:rPr>
          <w:rFonts w:cs="仿宋_GB2312"/>
          <w:b/>
          <w:bCs/>
          <w:color w:val="0000FF"/>
          <w:sz w:val="21"/>
          <w:szCs w:val="21"/>
          <w:highlight w:val="none"/>
        </w:rPr>
      </w:pPr>
    </w:p>
    <w:p w14:paraId="37E20749">
      <w:pPr>
        <w:pStyle w:val="24"/>
        <w:spacing w:before="0" w:beforeAutospacing="0" w:after="0" w:afterAutospacing="0" w:line="330" w:lineRule="atLeast"/>
        <w:rPr>
          <w:rFonts w:cs="仿宋_GB2312"/>
          <w:b/>
          <w:bCs/>
          <w:color w:val="0000FF"/>
          <w:sz w:val="21"/>
          <w:szCs w:val="21"/>
          <w:highlight w:val="none"/>
        </w:rPr>
      </w:pPr>
    </w:p>
    <w:p w14:paraId="085FE3BA">
      <w:pPr>
        <w:pStyle w:val="24"/>
        <w:spacing w:before="0" w:beforeAutospacing="0" w:after="0" w:afterAutospacing="0" w:line="330" w:lineRule="atLeast"/>
        <w:rPr>
          <w:rFonts w:cs="仿宋_GB2312"/>
          <w:b/>
          <w:bCs/>
          <w:color w:val="0000FF"/>
          <w:sz w:val="21"/>
          <w:szCs w:val="21"/>
          <w:highlight w:val="none"/>
        </w:rPr>
      </w:pPr>
    </w:p>
    <w:p w14:paraId="78203EFC">
      <w:pPr>
        <w:pStyle w:val="24"/>
        <w:spacing w:before="0" w:beforeAutospacing="0" w:after="0" w:afterAutospacing="0" w:line="330" w:lineRule="atLeast"/>
        <w:rPr>
          <w:rFonts w:cs="仿宋_GB2312"/>
          <w:b/>
          <w:bCs/>
          <w:color w:val="0000FF"/>
          <w:sz w:val="21"/>
          <w:szCs w:val="21"/>
          <w:highlight w:val="none"/>
        </w:rPr>
      </w:pPr>
    </w:p>
    <w:p w14:paraId="062659B3">
      <w:pPr>
        <w:pStyle w:val="24"/>
        <w:spacing w:before="0" w:beforeAutospacing="0" w:after="0" w:afterAutospacing="0" w:line="330" w:lineRule="atLeast"/>
        <w:rPr>
          <w:rFonts w:cs="仿宋_GB2312"/>
          <w:b/>
          <w:bCs/>
          <w:color w:val="0000FF"/>
          <w:sz w:val="21"/>
          <w:szCs w:val="21"/>
          <w:highlight w:val="none"/>
        </w:rPr>
      </w:pPr>
    </w:p>
    <w:p w14:paraId="14F724CC">
      <w:pPr>
        <w:pStyle w:val="24"/>
        <w:spacing w:before="0" w:beforeAutospacing="0" w:after="0" w:afterAutospacing="0" w:line="330" w:lineRule="atLeast"/>
        <w:rPr>
          <w:rFonts w:cs="仿宋_GB2312"/>
          <w:b/>
          <w:bCs/>
          <w:color w:val="0000FF"/>
          <w:sz w:val="21"/>
          <w:szCs w:val="21"/>
          <w:highlight w:val="none"/>
        </w:rPr>
      </w:pPr>
    </w:p>
    <w:p w14:paraId="57E04E81">
      <w:pPr>
        <w:pStyle w:val="24"/>
        <w:spacing w:before="0" w:beforeAutospacing="0" w:after="0" w:afterAutospacing="0" w:line="330" w:lineRule="atLeast"/>
        <w:rPr>
          <w:rFonts w:cs="仿宋_GB2312"/>
          <w:b/>
          <w:bCs/>
          <w:color w:val="0000FF"/>
          <w:sz w:val="21"/>
          <w:szCs w:val="21"/>
          <w:highlight w:val="none"/>
        </w:rPr>
      </w:pPr>
    </w:p>
    <w:p w14:paraId="46A6A1B1">
      <w:pPr>
        <w:pStyle w:val="24"/>
        <w:spacing w:before="0" w:beforeAutospacing="0" w:after="0" w:afterAutospacing="0" w:line="330" w:lineRule="atLeast"/>
        <w:rPr>
          <w:rFonts w:cs="仿宋_GB2312"/>
          <w:b/>
          <w:bCs/>
          <w:color w:val="0000FF"/>
          <w:sz w:val="21"/>
          <w:szCs w:val="21"/>
          <w:highlight w:val="none"/>
        </w:rPr>
      </w:pPr>
    </w:p>
    <w:p w14:paraId="3EFB33B5">
      <w:pPr>
        <w:pStyle w:val="24"/>
        <w:spacing w:before="0" w:beforeAutospacing="0" w:after="0" w:afterAutospacing="0" w:line="330" w:lineRule="atLeast"/>
        <w:rPr>
          <w:rFonts w:cs="仿宋_GB2312"/>
          <w:b/>
          <w:bCs/>
          <w:color w:val="0000FF"/>
          <w:sz w:val="21"/>
          <w:szCs w:val="21"/>
          <w:highlight w:val="none"/>
        </w:rPr>
      </w:pPr>
    </w:p>
    <w:p w14:paraId="12ABD3D6">
      <w:pPr>
        <w:pStyle w:val="24"/>
        <w:spacing w:before="0" w:beforeAutospacing="0" w:after="0" w:afterAutospacing="0" w:line="330" w:lineRule="atLeast"/>
        <w:rPr>
          <w:rFonts w:cs="仿宋_GB2312"/>
          <w:b/>
          <w:bCs/>
          <w:color w:val="0000FF"/>
          <w:sz w:val="21"/>
          <w:szCs w:val="21"/>
          <w:highlight w:val="none"/>
        </w:rPr>
      </w:pPr>
    </w:p>
    <w:p w14:paraId="6B947510">
      <w:pPr>
        <w:pStyle w:val="24"/>
        <w:spacing w:before="0" w:beforeAutospacing="0" w:after="0" w:afterAutospacing="0" w:line="330" w:lineRule="atLeast"/>
        <w:rPr>
          <w:rFonts w:cs="仿宋_GB2312"/>
          <w:b/>
          <w:bCs/>
          <w:color w:val="0000FF"/>
          <w:sz w:val="21"/>
          <w:szCs w:val="21"/>
          <w:highlight w:val="none"/>
        </w:rPr>
      </w:pPr>
    </w:p>
    <w:p w14:paraId="0622DF07">
      <w:pPr>
        <w:pStyle w:val="45"/>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07DA"/>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964270"/>
    <w:rsid w:val="01C86C1D"/>
    <w:rsid w:val="01DF5C17"/>
    <w:rsid w:val="01EC42D0"/>
    <w:rsid w:val="020411DA"/>
    <w:rsid w:val="02104022"/>
    <w:rsid w:val="021533E7"/>
    <w:rsid w:val="021A62ED"/>
    <w:rsid w:val="021F6AE2"/>
    <w:rsid w:val="02203B3A"/>
    <w:rsid w:val="022655F4"/>
    <w:rsid w:val="02300221"/>
    <w:rsid w:val="02305D77"/>
    <w:rsid w:val="0243687E"/>
    <w:rsid w:val="026C6D7F"/>
    <w:rsid w:val="027A149C"/>
    <w:rsid w:val="02B07FF7"/>
    <w:rsid w:val="02BA21E0"/>
    <w:rsid w:val="02CA345F"/>
    <w:rsid w:val="02ED333D"/>
    <w:rsid w:val="02F32FFC"/>
    <w:rsid w:val="03092923"/>
    <w:rsid w:val="03196F07"/>
    <w:rsid w:val="03343D40"/>
    <w:rsid w:val="034026E5"/>
    <w:rsid w:val="0346264F"/>
    <w:rsid w:val="034F46D6"/>
    <w:rsid w:val="035166A0"/>
    <w:rsid w:val="03733BDF"/>
    <w:rsid w:val="03A308DC"/>
    <w:rsid w:val="03BC43B2"/>
    <w:rsid w:val="03D554D1"/>
    <w:rsid w:val="03D5618C"/>
    <w:rsid w:val="03DC636C"/>
    <w:rsid w:val="03E94B2B"/>
    <w:rsid w:val="03EF6322"/>
    <w:rsid w:val="040532BA"/>
    <w:rsid w:val="040B08CC"/>
    <w:rsid w:val="04176582"/>
    <w:rsid w:val="04717837"/>
    <w:rsid w:val="04B32967"/>
    <w:rsid w:val="04BA2023"/>
    <w:rsid w:val="04DF1A8A"/>
    <w:rsid w:val="050B6D23"/>
    <w:rsid w:val="051259ED"/>
    <w:rsid w:val="05252CCF"/>
    <w:rsid w:val="053718C6"/>
    <w:rsid w:val="053F69CD"/>
    <w:rsid w:val="056326BB"/>
    <w:rsid w:val="056401E1"/>
    <w:rsid w:val="05645491"/>
    <w:rsid w:val="05936B68"/>
    <w:rsid w:val="05940AC6"/>
    <w:rsid w:val="05A36F5B"/>
    <w:rsid w:val="05BD370C"/>
    <w:rsid w:val="05C0008F"/>
    <w:rsid w:val="05F504EE"/>
    <w:rsid w:val="061816F7"/>
    <w:rsid w:val="061E4834"/>
    <w:rsid w:val="062260D2"/>
    <w:rsid w:val="06253CC7"/>
    <w:rsid w:val="06287461"/>
    <w:rsid w:val="064B1AAF"/>
    <w:rsid w:val="065D2B7B"/>
    <w:rsid w:val="06C13B3D"/>
    <w:rsid w:val="06F832D7"/>
    <w:rsid w:val="07041580"/>
    <w:rsid w:val="072010BD"/>
    <w:rsid w:val="0749768F"/>
    <w:rsid w:val="07726BE5"/>
    <w:rsid w:val="07932A4C"/>
    <w:rsid w:val="07D93108"/>
    <w:rsid w:val="07E04497"/>
    <w:rsid w:val="07F876A6"/>
    <w:rsid w:val="08306015"/>
    <w:rsid w:val="083E11BD"/>
    <w:rsid w:val="08430582"/>
    <w:rsid w:val="0854453D"/>
    <w:rsid w:val="08660CC0"/>
    <w:rsid w:val="08703D30"/>
    <w:rsid w:val="088E7A4F"/>
    <w:rsid w:val="08B03E69"/>
    <w:rsid w:val="08B33959"/>
    <w:rsid w:val="08BB45BC"/>
    <w:rsid w:val="08CC4A1B"/>
    <w:rsid w:val="08DB1CFF"/>
    <w:rsid w:val="08DD2784"/>
    <w:rsid w:val="09066CD0"/>
    <w:rsid w:val="090F7700"/>
    <w:rsid w:val="09235BC9"/>
    <w:rsid w:val="092E1232"/>
    <w:rsid w:val="09324FA1"/>
    <w:rsid w:val="095C6D8E"/>
    <w:rsid w:val="096D2F3E"/>
    <w:rsid w:val="098761CE"/>
    <w:rsid w:val="09885527"/>
    <w:rsid w:val="0989722B"/>
    <w:rsid w:val="098F1CD1"/>
    <w:rsid w:val="09A92667"/>
    <w:rsid w:val="09C23374"/>
    <w:rsid w:val="09D65411"/>
    <w:rsid w:val="09E813E1"/>
    <w:rsid w:val="09EF6C13"/>
    <w:rsid w:val="0A261F09"/>
    <w:rsid w:val="0A2F0DBE"/>
    <w:rsid w:val="0A3D797F"/>
    <w:rsid w:val="0A481E7F"/>
    <w:rsid w:val="0A9E30AD"/>
    <w:rsid w:val="0AA51080"/>
    <w:rsid w:val="0AB4794F"/>
    <w:rsid w:val="0AC105A6"/>
    <w:rsid w:val="0AC736EC"/>
    <w:rsid w:val="0AEE2A27"/>
    <w:rsid w:val="0B226B74"/>
    <w:rsid w:val="0B867103"/>
    <w:rsid w:val="0B93537C"/>
    <w:rsid w:val="0B9D01BF"/>
    <w:rsid w:val="0BAE62C0"/>
    <w:rsid w:val="0BBA0B5B"/>
    <w:rsid w:val="0BD0037E"/>
    <w:rsid w:val="0BE35ECF"/>
    <w:rsid w:val="0BEB3B44"/>
    <w:rsid w:val="0C0644C0"/>
    <w:rsid w:val="0C0A7D34"/>
    <w:rsid w:val="0C4F74F5"/>
    <w:rsid w:val="0C505731"/>
    <w:rsid w:val="0C522BFB"/>
    <w:rsid w:val="0C7B02EA"/>
    <w:rsid w:val="0C917B0E"/>
    <w:rsid w:val="0CB8153E"/>
    <w:rsid w:val="0CBB4B8B"/>
    <w:rsid w:val="0CC2416B"/>
    <w:rsid w:val="0CCA3020"/>
    <w:rsid w:val="0CD345CA"/>
    <w:rsid w:val="0D417345"/>
    <w:rsid w:val="0D4234FE"/>
    <w:rsid w:val="0DC32327"/>
    <w:rsid w:val="0DC54782"/>
    <w:rsid w:val="0DCF4D92"/>
    <w:rsid w:val="0DD405FA"/>
    <w:rsid w:val="0DDC1DC5"/>
    <w:rsid w:val="0E0B6422"/>
    <w:rsid w:val="0E0D1416"/>
    <w:rsid w:val="0E3C1CFB"/>
    <w:rsid w:val="0E470868"/>
    <w:rsid w:val="0E4D1706"/>
    <w:rsid w:val="0E5434E9"/>
    <w:rsid w:val="0E590AFF"/>
    <w:rsid w:val="0E745939"/>
    <w:rsid w:val="0E835B7C"/>
    <w:rsid w:val="0EA31D7A"/>
    <w:rsid w:val="0EC95C60"/>
    <w:rsid w:val="0EDB4DDC"/>
    <w:rsid w:val="0EF425D6"/>
    <w:rsid w:val="0F31382A"/>
    <w:rsid w:val="0F3D79A6"/>
    <w:rsid w:val="0F6634D4"/>
    <w:rsid w:val="0F9F2542"/>
    <w:rsid w:val="0FAD343A"/>
    <w:rsid w:val="0FC2156B"/>
    <w:rsid w:val="0FDF5034"/>
    <w:rsid w:val="100131FC"/>
    <w:rsid w:val="100E1475"/>
    <w:rsid w:val="10141182"/>
    <w:rsid w:val="10234F21"/>
    <w:rsid w:val="10280789"/>
    <w:rsid w:val="103435D2"/>
    <w:rsid w:val="10753CA3"/>
    <w:rsid w:val="107B4D5D"/>
    <w:rsid w:val="10855BDB"/>
    <w:rsid w:val="109202F8"/>
    <w:rsid w:val="10A65B52"/>
    <w:rsid w:val="10A67900"/>
    <w:rsid w:val="10AB7932"/>
    <w:rsid w:val="10B244F7"/>
    <w:rsid w:val="10D62AA4"/>
    <w:rsid w:val="10F93ED3"/>
    <w:rsid w:val="11056D1C"/>
    <w:rsid w:val="112F78F5"/>
    <w:rsid w:val="11365128"/>
    <w:rsid w:val="11613351"/>
    <w:rsid w:val="11844488"/>
    <w:rsid w:val="1198193E"/>
    <w:rsid w:val="11B36778"/>
    <w:rsid w:val="11F305EF"/>
    <w:rsid w:val="12080872"/>
    <w:rsid w:val="12103BCB"/>
    <w:rsid w:val="12413D84"/>
    <w:rsid w:val="126A32DB"/>
    <w:rsid w:val="127D554B"/>
    <w:rsid w:val="12BC165D"/>
    <w:rsid w:val="12C0739F"/>
    <w:rsid w:val="12D01F78"/>
    <w:rsid w:val="12ED5CBA"/>
    <w:rsid w:val="12FE2B14"/>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B34A95"/>
    <w:rsid w:val="14DE58BA"/>
    <w:rsid w:val="152E6B10"/>
    <w:rsid w:val="15311E8E"/>
    <w:rsid w:val="154166FB"/>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5878EE"/>
    <w:rsid w:val="1663076D"/>
    <w:rsid w:val="169F376F"/>
    <w:rsid w:val="16A62408"/>
    <w:rsid w:val="16BA4105"/>
    <w:rsid w:val="17215529"/>
    <w:rsid w:val="175B58E8"/>
    <w:rsid w:val="177B3894"/>
    <w:rsid w:val="1783656C"/>
    <w:rsid w:val="17944956"/>
    <w:rsid w:val="179A1DFB"/>
    <w:rsid w:val="17A073FD"/>
    <w:rsid w:val="17C117AD"/>
    <w:rsid w:val="17E10BD4"/>
    <w:rsid w:val="17E86A50"/>
    <w:rsid w:val="180513B0"/>
    <w:rsid w:val="18057602"/>
    <w:rsid w:val="180856D2"/>
    <w:rsid w:val="181939B9"/>
    <w:rsid w:val="183323C1"/>
    <w:rsid w:val="185D11EC"/>
    <w:rsid w:val="18952734"/>
    <w:rsid w:val="18A60DE5"/>
    <w:rsid w:val="18D74DC1"/>
    <w:rsid w:val="18EB2C9C"/>
    <w:rsid w:val="18F57676"/>
    <w:rsid w:val="195E16BF"/>
    <w:rsid w:val="197C38F7"/>
    <w:rsid w:val="19A5109C"/>
    <w:rsid w:val="19A60971"/>
    <w:rsid w:val="19ED659F"/>
    <w:rsid w:val="1A152210"/>
    <w:rsid w:val="1A1D4FC7"/>
    <w:rsid w:val="1A2024D1"/>
    <w:rsid w:val="1A4563DB"/>
    <w:rsid w:val="1A6C12ED"/>
    <w:rsid w:val="1A8618F5"/>
    <w:rsid w:val="1A9D7FC6"/>
    <w:rsid w:val="1AA94BBC"/>
    <w:rsid w:val="1AE259D8"/>
    <w:rsid w:val="1AE34745"/>
    <w:rsid w:val="1AED58EF"/>
    <w:rsid w:val="1B057C4F"/>
    <w:rsid w:val="1B177D78"/>
    <w:rsid w:val="1B300E3A"/>
    <w:rsid w:val="1B3501FE"/>
    <w:rsid w:val="1B3E70B3"/>
    <w:rsid w:val="1B561B37"/>
    <w:rsid w:val="1B960FA2"/>
    <w:rsid w:val="1BE64A86"/>
    <w:rsid w:val="1BF51B10"/>
    <w:rsid w:val="1C2362A8"/>
    <w:rsid w:val="1C273FEB"/>
    <w:rsid w:val="1C424981"/>
    <w:rsid w:val="1C56667E"/>
    <w:rsid w:val="1C5A7422"/>
    <w:rsid w:val="1C940F54"/>
    <w:rsid w:val="1C9A2A0F"/>
    <w:rsid w:val="1CA078F9"/>
    <w:rsid w:val="1CA473E9"/>
    <w:rsid w:val="1CA76EDA"/>
    <w:rsid w:val="1CB06047"/>
    <w:rsid w:val="1CB12360"/>
    <w:rsid w:val="1CC82894"/>
    <w:rsid w:val="1CDC777D"/>
    <w:rsid w:val="1CFA2F29"/>
    <w:rsid w:val="1D5442F4"/>
    <w:rsid w:val="1D747E59"/>
    <w:rsid w:val="1D7C1718"/>
    <w:rsid w:val="1D7C67AB"/>
    <w:rsid w:val="1D8334A3"/>
    <w:rsid w:val="1DB01DBE"/>
    <w:rsid w:val="1DB7314C"/>
    <w:rsid w:val="1DCA7323"/>
    <w:rsid w:val="1E1B44E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8D23B7"/>
    <w:rsid w:val="1FA92FCB"/>
    <w:rsid w:val="1FAB4B1F"/>
    <w:rsid w:val="1FB50AD1"/>
    <w:rsid w:val="1FBC7140"/>
    <w:rsid w:val="1FC252A5"/>
    <w:rsid w:val="20176124"/>
    <w:rsid w:val="20193BC8"/>
    <w:rsid w:val="202D76F6"/>
    <w:rsid w:val="202F16C0"/>
    <w:rsid w:val="204F3B10"/>
    <w:rsid w:val="20582A63"/>
    <w:rsid w:val="20601879"/>
    <w:rsid w:val="2063580D"/>
    <w:rsid w:val="206B2259"/>
    <w:rsid w:val="206C021E"/>
    <w:rsid w:val="20710966"/>
    <w:rsid w:val="20981EA4"/>
    <w:rsid w:val="20A51947"/>
    <w:rsid w:val="20B15F3B"/>
    <w:rsid w:val="20EC5803"/>
    <w:rsid w:val="20F36B91"/>
    <w:rsid w:val="20FF5536"/>
    <w:rsid w:val="21222FD3"/>
    <w:rsid w:val="21747CD2"/>
    <w:rsid w:val="21751354"/>
    <w:rsid w:val="2177331E"/>
    <w:rsid w:val="218617B3"/>
    <w:rsid w:val="219A700D"/>
    <w:rsid w:val="21CF6ACD"/>
    <w:rsid w:val="21ED67BC"/>
    <w:rsid w:val="21EF55AB"/>
    <w:rsid w:val="220D398C"/>
    <w:rsid w:val="226B014D"/>
    <w:rsid w:val="22721109"/>
    <w:rsid w:val="22C12E9B"/>
    <w:rsid w:val="22EA32EC"/>
    <w:rsid w:val="22F4099F"/>
    <w:rsid w:val="22FD3CF7"/>
    <w:rsid w:val="2301566F"/>
    <w:rsid w:val="23111551"/>
    <w:rsid w:val="23242385"/>
    <w:rsid w:val="23290648"/>
    <w:rsid w:val="23384D2F"/>
    <w:rsid w:val="233D1EA6"/>
    <w:rsid w:val="234731C4"/>
    <w:rsid w:val="23825FAA"/>
    <w:rsid w:val="23953F30"/>
    <w:rsid w:val="23B00D6A"/>
    <w:rsid w:val="23CB7951"/>
    <w:rsid w:val="23EE53EE"/>
    <w:rsid w:val="240B2444"/>
    <w:rsid w:val="24165293"/>
    <w:rsid w:val="24634583"/>
    <w:rsid w:val="24727DCD"/>
    <w:rsid w:val="24755042"/>
    <w:rsid w:val="24822706"/>
    <w:rsid w:val="2482721D"/>
    <w:rsid w:val="2483647E"/>
    <w:rsid w:val="24A10BF5"/>
    <w:rsid w:val="24CA5E5B"/>
    <w:rsid w:val="24D70B68"/>
    <w:rsid w:val="24F66C50"/>
    <w:rsid w:val="24FB4505"/>
    <w:rsid w:val="24FB6014"/>
    <w:rsid w:val="2519649B"/>
    <w:rsid w:val="251E2F40"/>
    <w:rsid w:val="25203CCD"/>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5D2FB6"/>
    <w:rsid w:val="27610678"/>
    <w:rsid w:val="27873B8F"/>
    <w:rsid w:val="27BA5D13"/>
    <w:rsid w:val="28033B5E"/>
    <w:rsid w:val="28593D52"/>
    <w:rsid w:val="285E0D94"/>
    <w:rsid w:val="287B63A6"/>
    <w:rsid w:val="28887BBF"/>
    <w:rsid w:val="28F25980"/>
    <w:rsid w:val="28F33BD2"/>
    <w:rsid w:val="29023E15"/>
    <w:rsid w:val="29051210"/>
    <w:rsid w:val="290C4C94"/>
    <w:rsid w:val="292A336C"/>
    <w:rsid w:val="29387837"/>
    <w:rsid w:val="29613C02"/>
    <w:rsid w:val="296971B4"/>
    <w:rsid w:val="296C128F"/>
    <w:rsid w:val="297E7214"/>
    <w:rsid w:val="29A0718A"/>
    <w:rsid w:val="29BD5D4E"/>
    <w:rsid w:val="29DD218D"/>
    <w:rsid w:val="29DD2CB3"/>
    <w:rsid w:val="29FB2613"/>
    <w:rsid w:val="2A021BF3"/>
    <w:rsid w:val="2A0C2A72"/>
    <w:rsid w:val="2A111E36"/>
    <w:rsid w:val="2A383867"/>
    <w:rsid w:val="2A397C18"/>
    <w:rsid w:val="2A5015D5"/>
    <w:rsid w:val="2AA44A58"/>
    <w:rsid w:val="2AA8279A"/>
    <w:rsid w:val="2AB729DE"/>
    <w:rsid w:val="2AB949A8"/>
    <w:rsid w:val="2AC66408"/>
    <w:rsid w:val="2AD215C5"/>
    <w:rsid w:val="2AF27EBA"/>
    <w:rsid w:val="2AF63392"/>
    <w:rsid w:val="2B7E174D"/>
    <w:rsid w:val="2B856638"/>
    <w:rsid w:val="2B9E03AE"/>
    <w:rsid w:val="2BA2368E"/>
    <w:rsid w:val="2BA67492"/>
    <w:rsid w:val="2BDA1BE3"/>
    <w:rsid w:val="2C0343BA"/>
    <w:rsid w:val="2C047EA4"/>
    <w:rsid w:val="2C66791C"/>
    <w:rsid w:val="2C673F8F"/>
    <w:rsid w:val="2C6B1CD2"/>
    <w:rsid w:val="2CB41783"/>
    <w:rsid w:val="2CC338BC"/>
    <w:rsid w:val="2CD77367"/>
    <w:rsid w:val="2CE00E0B"/>
    <w:rsid w:val="2D085772"/>
    <w:rsid w:val="2D221D01"/>
    <w:rsid w:val="2D360531"/>
    <w:rsid w:val="2D531028"/>
    <w:rsid w:val="2D676A80"/>
    <w:rsid w:val="2D7352E2"/>
    <w:rsid w:val="2D776454"/>
    <w:rsid w:val="2D7A3266"/>
    <w:rsid w:val="2DA134D1"/>
    <w:rsid w:val="2DCE2518"/>
    <w:rsid w:val="2DD41AF8"/>
    <w:rsid w:val="2DD9710F"/>
    <w:rsid w:val="2DDB4C35"/>
    <w:rsid w:val="2DE0224B"/>
    <w:rsid w:val="2DE53D06"/>
    <w:rsid w:val="2DFB7085"/>
    <w:rsid w:val="2E4647A4"/>
    <w:rsid w:val="2E591C0D"/>
    <w:rsid w:val="2E8E1A42"/>
    <w:rsid w:val="2EAA4B78"/>
    <w:rsid w:val="2EC95935"/>
    <w:rsid w:val="2F097580"/>
    <w:rsid w:val="2F3E191F"/>
    <w:rsid w:val="2F5F2B72"/>
    <w:rsid w:val="2F77098D"/>
    <w:rsid w:val="2F7E1D1C"/>
    <w:rsid w:val="2F932167"/>
    <w:rsid w:val="2F9B467C"/>
    <w:rsid w:val="2FAA0D63"/>
    <w:rsid w:val="2FC17E5A"/>
    <w:rsid w:val="2FC4597D"/>
    <w:rsid w:val="2FCA6D0F"/>
    <w:rsid w:val="2FD01CE8"/>
    <w:rsid w:val="30C212F0"/>
    <w:rsid w:val="30D512C0"/>
    <w:rsid w:val="30D77936"/>
    <w:rsid w:val="30E20088"/>
    <w:rsid w:val="30E50629"/>
    <w:rsid w:val="312513B2"/>
    <w:rsid w:val="312863E3"/>
    <w:rsid w:val="31435AAF"/>
    <w:rsid w:val="31505D6B"/>
    <w:rsid w:val="31787686"/>
    <w:rsid w:val="31853836"/>
    <w:rsid w:val="31995893"/>
    <w:rsid w:val="31B042BF"/>
    <w:rsid w:val="31BB3E93"/>
    <w:rsid w:val="31DE2F46"/>
    <w:rsid w:val="31E85B72"/>
    <w:rsid w:val="31F12401"/>
    <w:rsid w:val="31FE5396"/>
    <w:rsid w:val="31FF5F72"/>
    <w:rsid w:val="32035D60"/>
    <w:rsid w:val="32195D2C"/>
    <w:rsid w:val="321B3C68"/>
    <w:rsid w:val="322A618B"/>
    <w:rsid w:val="323F1C36"/>
    <w:rsid w:val="324234D5"/>
    <w:rsid w:val="32466BB1"/>
    <w:rsid w:val="325154C6"/>
    <w:rsid w:val="32696CB3"/>
    <w:rsid w:val="326E6953"/>
    <w:rsid w:val="32847649"/>
    <w:rsid w:val="32961BEB"/>
    <w:rsid w:val="32B53CA7"/>
    <w:rsid w:val="32C71C2C"/>
    <w:rsid w:val="32E427DE"/>
    <w:rsid w:val="32EC3440"/>
    <w:rsid w:val="33024A12"/>
    <w:rsid w:val="33055DF4"/>
    <w:rsid w:val="330B1B18"/>
    <w:rsid w:val="33482D6D"/>
    <w:rsid w:val="33523A32"/>
    <w:rsid w:val="33552D94"/>
    <w:rsid w:val="336A2CE3"/>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7F67EE"/>
    <w:rsid w:val="35A23F2B"/>
    <w:rsid w:val="35A818A1"/>
    <w:rsid w:val="35E85214"/>
    <w:rsid w:val="35FA132C"/>
    <w:rsid w:val="360311CD"/>
    <w:rsid w:val="360867E3"/>
    <w:rsid w:val="360D7E33"/>
    <w:rsid w:val="362C7056"/>
    <w:rsid w:val="363B2715"/>
    <w:rsid w:val="3659703F"/>
    <w:rsid w:val="36857E34"/>
    <w:rsid w:val="36943C7E"/>
    <w:rsid w:val="36A71B58"/>
    <w:rsid w:val="36B71ED4"/>
    <w:rsid w:val="36B85B13"/>
    <w:rsid w:val="36D23A94"/>
    <w:rsid w:val="36D30B9F"/>
    <w:rsid w:val="36F40B16"/>
    <w:rsid w:val="36F56D67"/>
    <w:rsid w:val="372D6D42"/>
    <w:rsid w:val="37405933"/>
    <w:rsid w:val="37607F59"/>
    <w:rsid w:val="376940D0"/>
    <w:rsid w:val="3790083E"/>
    <w:rsid w:val="37936580"/>
    <w:rsid w:val="37AE7F63"/>
    <w:rsid w:val="37B370E4"/>
    <w:rsid w:val="37BE0537"/>
    <w:rsid w:val="37C404E8"/>
    <w:rsid w:val="38190834"/>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8268AC"/>
    <w:rsid w:val="39CF0051"/>
    <w:rsid w:val="39D4535A"/>
    <w:rsid w:val="3A1C460B"/>
    <w:rsid w:val="3A26548A"/>
    <w:rsid w:val="3A612966"/>
    <w:rsid w:val="3A777A93"/>
    <w:rsid w:val="3A944AE9"/>
    <w:rsid w:val="3AAF461F"/>
    <w:rsid w:val="3AC16F61"/>
    <w:rsid w:val="3ACA2C02"/>
    <w:rsid w:val="3ACC1BCC"/>
    <w:rsid w:val="3ACC4283"/>
    <w:rsid w:val="3AE80991"/>
    <w:rsid w:val="3B08098E"/>
    <w:rsid w:val="3B091033"/>
    <w:rsid w:val="3B117EE8"/>
    <w:rsid w:val="3B693880"/>
    <w:rsid w:val="3B6B584A"/>
    <w:rsid w:val="3B862684"/>
    <w:rsid w:val="3B8763FC"/>
    <w:rsid w:val="3B903503"/>
    <w:rsid w:val="3B920829"/>
    <w:rsid w:val="3BAE6CD9"/>
    <w:rsid w:val="3BB84807"/>
    <w:rsid w:val="3BC82C9D"/>
    <w:rsid w:val="3C270B87"/>
    <w:rsid w:val="3C3000ED"/>
    <w:rsid w:val="3C371186"/>
    <w:rsid w:val="3C3C2D43"/>
    <w:rsid w:val="3C5207B8"/>
    <w:rsid w:val="3C5C1637"/>
    <w:rsid w:val="3C7921E9"/>
    <w:rsid w:val="3CBE5E4E"/>
    <w:rsid w:val="3CF25AF7"/>
    <w:rsid w:val="3D141F11"/>
    <w:rsid w:val="3D232399"/>
    <w:rsid w:val="3D2E2D19"/>
    <w:rsid w:val="3D2F28A7"/>
    <w:rsid w:val="3D31181A"/>
    <w:rsid w:val="3D37175C"/>
    <w:rsid w:val="3D485717"/>
    <w:rsid w:val="3D7911B5"/>
    <w:rsid w:val="3DA037A5"/>
    <w:rsid w:val="3DC87CB2"/>
    <w:rsid w:val="3DDC65E6"/>
    <w:rsid w:val="3DDF7E2A"/>
    <w:rsid w:val="3E10448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6E5909"/>
    <w:rsid w:val="3F7D78FA"/>
    <w:rsid w:val="3F9A5B70"/>
    <w:rsid w:val="3FA56E51"/>
    <w:rsid w:val="3FB05F21"/>
    <w:rsid w:val="3FBB0422"/>
    <w:rsid w:val="3FCC6AD3"/>
    <w:rsid w:val="3FCF0015"/>
    <w:rsid w:val="3FF724F2"/>
    <w:rsid w:val="403A1C8F"/>
    <w:rsid w:val="4050500F"/>
    <w:rsid w:val="40517EBE"/>
    <w:rsid w:val="405C7E57"/>
    <w:rsid w:val="409273D5"/>
    <w:rsid w:val="40A62E81"/>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E5823"/>
    <w:rsid w:val="424463FC"/>
    <w:rsid w:val="425608D6"/>
    <w:rsid w:val="425D589D"/>
    <w:rsid w:val="425F59DD"/>
    <w:rsid w:val="42770F78"/>
    <w:rsid w:val="42935686"/>
    <w:rsid w:val="42982C9D"/>
    <w:rsid w:val="42B21FB1"/>
    <w:rsid w:val="42B6777F"/>
    <w:rsid w:val="42CB6A8E"/>
    <w:rsid w:val="42DF08CC"/>
    <w:rsid w:val="42E3216A"/>
    <w:rsid w:val="43195B8C"/>
    <w:rsid w:val="43574906"/>
    <w:rsid w:val="436314FD"/>
    <w:rsid w:val="43640466"/>
    <w:rsid w:val="438F40A0"/>
    <w:rsid w:val="43D1290A"/>
    <w:rsid w:val="43EA7528"/>
    <w:rsid w:val="4439400C"/>
    <w:rsid w:val="44793485"/>
    <w:rsid w:val="44B55D88"/>
    <w:rsid w:val="44C47D79"/>
    <w:rsid w:val="44CB55AC"/>
    <w:rsid w:val="44D0671E"/>
    <w:rsid w:val="44D81A76"/>
    <w:rsid w:val="44F22B38"/>
    <w:rsid w:val="44F45243"/>
    <w:rsid w:val="45050ABD"/>
    <w:rsid w:val="45100658"/>
    <w:rsid w:val="451707F1"/>
    <w:rsid w:val="452567EA"/>
    <w:rsid w:val="456B16B7"/>
    <w:rsid w:val="45921C25"/>
    <w:rsid w:val="459260C9"/>
    <w:rsid w:val="45A55DFD"/>
    <w:rsid w:val="45CC1461"/>
    <w:rsid w:val="45E05087"/>
    <w:rsid w:val="45E16709"/>
    <w:rsid w:val="46207231"/>
    <w:rsid w:val="46503FBA"/>
    <w:rsid w:val="465313B5"/>
    <w:rsid w:val="4654337F"/>
    <w:rsid w:val="46603AD2"/>
    <w:rsid w:val="46886BA6"/>
    <w:rsid w:val="471A1ED2"/>
    <w:rsid w:val="4743767B"/>
    <w:rsid w:val="474451A1"/>
    <w:rsid w:val="475D052A"/>
    <w:rsid w:val="47777325"/>
    <w:rsid w:val="477E5B11"/>
    <w:rsid w:val="478657BA"/>
    <w:rsid w:val="47C655AE"/>
    <w:rsid w:val="47CA7D9C"/>
    <w:rsid w:val="47CB141F"/>
    <w:rsid w:val="47D26C51"/>
    <w:rsid w:val="47F46BC7"/>
    <w:rsid w:val="480268F0"/>
    <w:rsid w:val="481132D5"/>
    <w:rsid w:val="48524AAD"/>
    <w:rsid w:val="48627FD5"/>
    <w:rsid w:val="48861F15"/>
    <w:rsid w:val="48D72771"/>
    <w:rsid w:val="490552AA"/>
    <w:rsid w:val="49AB59AC"/>
    <w:rsid w:val="49D722FD"/>
    <w:rsid w:val="49EF3AEA"/>
    <w:rsid w:val="4A003601"/>
    <w:rsid w:val="4A0B1FA6"/>
    <w:rsid w:val="4A1277D9"/>
    <w:rsid w:val="4A260766"/>
    <w:rsid w:val="4A3B6A5E"/>
    <w:rsid w:val="4A5B1180"/>
    <w:rsid w:val="4A69564B"/>
    <w:rsid w:val="4AB61684"/>
    <w:rsid w:val="4ABA2026"/>
    <w:rsid w:val="4ABB577A"/>
    <w:rsid w:val="4AD8457E"/>
    <w:rsid w:val="4AE9678B"/>
    <w:rsid w:val="4AF528F5"/>
    <w:rsid w:val="4AF869CF"/>
    <w:rsid w:val="4B315A3D"/>
    <w:rsid w:val="4B5C2F33"/>
    <w:rsid w:val="4B5D6832"/>
    <w:rsid w:val="4B7A4CDC"/>
    <w:rsid w:val="4B8225F6"/>
    <w:rsid w:val="4B937D5C"/>
    <w:rsid w:val="4B944C64"/>
    <w:rsid w:val="4B991F60"/>
    <w:rsid w:val="4BA83F51"/>
    <w:rsid w:val="4BB5041C"/>
    <w:rsid w:val="4BF11ABA"/>
    <w:rsid w:val="4C346C1E"/>
    <w:rsid w:val="4C3E2B07"/>
    <w:rsid w:val="4C577725"/>
    <w:rsid w:val="4C63431C"/>
    <w:rsid w:val="4C6562E6"/>
    <w:rsid w:val="4C935807"/>
    <w:rsid w:val="4CAC7A71"/>
    <w:rsid w:val="4CB87FAD"/>
    <w:rsid w:val="4CBA03DF"/>
    <w:rsid w:val="4CF22EBA"/>
    <w:rsid w:val="4D091EAA"/>
    <w:rsid w:val="4D153868"/>
    <w:rsid w:val="4D21045F"/>
    <w:rsid w:val="4D471D29"/>
    <w:rsid w:val="4D4C3002"/>
    <w:rsid w:val="4D7F33D7"/>
    <w:rsid w:val="4D9A3D6D"/>
    <w:rsid w:val="4DA90454"/>
    <w:rsid w:val="4DAA2A83"/>
    <w:rsid w:val="4DC82688"/>
    <w:rsid w:val="4DE65204"/>
    <w:rsid w:val="4DEA4CF4"/>
    <w:rsid w:val="4E2104D3"/>
    <w:rsid w:val="4E37780E"/>
    <w:rsid w:val="4E3C6BD2"/>
    <w:rsid w:val="4E516B22"/>
    <w:rsid w:val="4E79167E"/>
    <w:rsid w:val="4E913FBD"/>
    <w:rsid w:val="4E9F7959"/>
    <w:rsid w:val="4EAA4484"/>
    <w:rsid w:val="4ECF5C98"/>
    <w:rsid w:val="4EEA4880"/>
    <w:rsid w:val="4F245FE4"/>
    <w:rsid w:val="4F6E3703"/>
    <w:rsid w:val="4FAE58AE"/>
    <w:rsid w:val="4FB11A1F"/>
    <w:rsid w:val="4FE15C83"/>
    <w:rsid w:val="4FFA680C"/>
    <w:rsid w:val="502B33A2"/>
    <w:rsid w:val="503E1327"/>
    <w:rsid w:val="507B7E86"/>
    <w:rsid w:val="50970A38"/>
    <w:rsid w:val="50981A4B"/>
    <w:rsid w:val="50BD3AD5"/>
    <w:rsid w:val="50EF43D0"/>
    <w:rsid w:val="50FF09C9"/>
    <w:rsid w:val="51024103"/>
    <w:rsid w:val="51084354"/>
    <w:rsid w:val="51143E36"/>
    <w:rsid w:val="51411B30"/>
    <w:rsid w:val="5177586B"/>
    <w:rsid w:val="51842D6A"/>
    <w:rsid w:val="519A2E90"/>
    <w:rsid w:val="51A90A23"/>
    <w:rsid w:val="51CA1D8A"/>
    <w:rsid w:val="520420FD"/>
    <w:rsid w:val="52390069"/>
    <w:rsid w:val="5246001F"/>
    <w:rsid w:val="524F431A"/>
    <w:rsid w:val="52500E9E"/>
    <w:rsid w:val="52861534"/>
    <w:rsid w:val="528D1696"/>
    <w:rsid w:val="52A04D83"/>
    <w:rsid w:val="52AD183E"/>
    <w:rsid w:val="52CB2821"/>
    <w:rsid w:val="52CC5908"/>
    <w:rsid w:val="52E94A8B"/>
    <w:rsid w:val="530879CB"/>
    <w:rsid w:val="531243A6"/>
    <w:rsid w:val="53330CBE"/>
    <w:rsid w:val="53A86F0D"/>
    <w:rsid w:val="53B65415"/>
    <w:rsid w:val="53D77AC9"/>
    <w:rsid w:val="53F4499B"/>
    <w:rsid w:val="53FD0BB2"/>
    <w:rsid w:val="53FF0DCE"/>
    <w:rsid w:val="540957A8"/>
    <w:rsid w:val="542720D3"/>
    <w:rsid w:val="542F765C"/>
    <w:rsid w:val="543E06FA"/>
    <w:rsid w:val="54596730"/>
    <w:rsid w:val="546463D8"/>
    <w:rsid w:val="54813591"/>
    <w:rsid w:val="54901A26"/>
    <w:rsid w:val="54914939"/>
    <w:rsid w:val="549C661D"/>
    <w:rsid w:val="54B43966"/>
    <w:rsid w:val="54B576DE"/>
    <w:rsid w:val="54D04160"/>
    <w:rsid w:val="54D758A7"/>
    <w:rsid w:val="54E34B9A"/>
    <w:rsid w:val="54EB5EC1"/>
    <w:rsid w:val="54F226E1"/>
    <w:rsid w:val="55052414"/>
    <w:rsid w:val="553D1BAE"/>
    <w:rsid w:val="554D13F6"/>
    <w:rsid w:val="55766E6E"/>
    <w:rsid w:val="558A0B6B"/>
    <w:rsid w:val="558F3DC0"/>
    <w:rsid w:val="558F6181"/>
    <w:rsid w:val="55997DAA"/>
    <w:rsid w:val="55B94FAC"/>
    <w:rsid w:val="55F3226C"/>
    <w:rsid w:val="56165297"/>
    <w:rsid w:val="563A433F"/>
    <w:rsid w:val="56486A5C"/>
    <w:rsid w:val="56646727"/>
    <w:rsid w:val="56B24C1F"/>
    <w:rsid w:val="56CF0F2B"/>
    <w:rsid w:val="56E16569"/>
    <w:rsid w:val="57032983"/>
    <w:rsid w:val="570457DB"/>
    <w:rsid w:val="571C57F3"/>
    <w:rsid w:val="57580486"/>
    <w:rsid w:val="575E462C"/>
    <w:rsid w:val="57C40364"/>
    <w:rsid w:val="57D63BF4"/>
    <w:rsid w:val="57DD1426"/>
    <w:rsid w:val="57DE6E15"/>
    <w:rsid w:val="57E66554"/>
    <w:rsid w:val="57F8000E"/>
    <w:rsid w:val="585711D8"/>
    <w:rsid w:val="587D519F"/>
    <w:rsid w:val="589A7317"/>
    <w:rsid w:val="58B008E9"/>
    <w:rsid w:val="590429E2"/>
    <w:rsid w:val="59444C41"/>
    <w:rsid w:val="597A4A53"/>
    <w:rsid w:val="59B52E52"/>
    <w:rsid w:val="59B90367"/>
    <w:rsid w:val="59CC347C"/>
    <w:rsid w:val="59DA41E0"/>
    <w:rsid w:val="59F900F6"/>
    <w:rsid w:val="5A0C1C4B"/>
    <w:rsid w:val="5A2375CC"/>
    <w:rsid w:val="5A2424B3"/>
    <w:rsid w:val="5A2F4B9E"/>
    <w:rsid w:val="5A3612C1"/>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14DFE"/>
    <w:rsid w:val="5BD963A8"/>
    <w:rsid w:val="5C115B42"/>
    <w:rsid w:val="5C1B42CB"/>
    <w:rsid w:val="5C3F7E9C"/>
    <w:rsid w:val="5C5F065B"/>
    <w:rsid w:val="5C6F4617"/>
    <w:rsid w:val="5C982768"/>
    <w:rsid w:val="5CA161B2"/>
    <w:rsid w:val="5CAF68E9"/>
    <w:rsid w:val="5CB87D6C"/>
    <w:rsid w:val="5CBC5AAE"/>
    <w:rsid w:val="5CC543A9"/>
    <w:rsid w:val="5CE46DB3"/>
    <w:rsid w:val="5CF27722"/>
    <w:rsid w:val="5D1F7DEB"/>
    <w:rsid w:val="5D3C6BEF"/>
    <w:rsid w:val="5DEB5F1F"/>
    <w:rsid w:val="5DED7EE9"/>
    <w:rsid w:val="5E196F30"/>
    <w:rsid w:val="5E1A1D8F"/>
    <w:rsid w:val="5E2E29DB"/>
    <w:rsid w:val="5E3577AE"/>
    <w:rsid w:val="5E655CD1"/>
    <w:rsid w:val="5EB855B3"/>
    <w:rsid w:val="5EC62C14"/>
    <w:rsid w:val="5ED510A9"/>
    <w:rsid w:val="5EE21916"/>
    <w:rsid w:val="5EE46701"/>
    <w:rsid w:val="5EE65064"/>
    <w:rsid w:val="5F0E295E"/>
    <w:rsid w:val="5F1871E8"/>
    <w:rsid w:val="5F1C0A86"/>
    <w:rsid w:val="5F2416E8"/>
    <w:rsid w:val="5F261B1F"/>
    <w:rsid w:val="5F3B6A32"/>
    <w:rsid w:val="5F417EA1"/>
    <w:rsid w:val="5F4417E0"/>
    <w:rsid w:val="5F6B7317"/>
    <w:rsid w:val="5F6E5059"/>
    <w:rsid w:val="5F750196"/>
    <w:rsid w:val="5F88669E"/>
    <w:rsid w:val="5FAD4D87"/>
    <w:rsid w:val="5FBA204D"/>
    <w:rsid w:val="5FEB2206"/>
    <w:rsid w:val="5FF23595"/>
    <w:rsid w:val="5FF94923"/>
    <w:rsid w:val="60333C23"/>
    <w:rsid w:val="60363DC9"/>
    <w:rsid w:val="605F38FD"/>
    <w:rsid w:val="606326E4"/>
    <w:rsid w:val="606C7B8D"/>
    <w:rsid w:val="606F72DB"/>
    <w:rsid w:val="608368E3"/>
    <w:rsid w:val="60AC7F80"/>
    <w:rsid w:val="60C56EFB"/>
    <w:rsid w:val="60D22077"/>
    <w:rsid w:val="60DF1D6B"/>
    <w:rsid w:val="60F035F8"/>
    <w:rsid w:val="612C0D28"/>
    <w:rsid w:val="613E10B3"/>
    <w:rsid w:val="61483DB4"/>
    <w:rsid w:val="61730705"/>
    <w:rsid w:val="61905EB4"/>
    <w:rsid w:val="61D373F6"/>
    <w:rsid w:val="61F03F10"/>
    <w:rsid w:val="61F23D20"/>
    <w:rsid w:val="61FD4500"/>
    <w:rsid w:val="62051CA5"/>
    <w:rsid w:val="622A5268"/>
    <w:rsid w:val="622F04A1"/>
    <w:rsid w:val="623C143F"/>
    <w:rsid w:val="623E1776"/>
    <w:rsid w:val="62456183"/>
    <w:rsid w:val="62707B3A"/>
    <w:rsid w:val="62744735"/>
    <w:rsid w:val="62A768B8"/>
    <w:rsid w:val="62B334AF"/>
    <w:rsid w:val="62DF24F6"/>
    <w:rsid w:val="630F26B0"/>
    <w:rsid w:val="6356208C"/>
    <w:rsid w:val="636010D6"/>
    <w:rsid w:val="63B05C41"/>
    <w:rsid w:val="63BC45E5"/>
    <w:rsid w:val="63C86026"/>
    <w:rsid w:val="63F0603D"/>
    <w:rsid w:val="63F26259"/>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BE2423"/>
    <w:rsid w:val="66C37A39"/>
    <w:rsid w:val="66DC0AFB"/>
    <w:rsid w:val="66F67E0E"/>
    <w:rsid w:val="67303449"/>
    <w:rsid w:val="679E1DF4"/>
    <w:rsid w:val="67C47F0C"/>
    <w:rsid w:val="67E73776"/>
    <w:rsid w:val="67F85E08"/>
    <w:rsid w:val="68411B87"/>
    <w:rsid w:val="685E3EBD"/>
    <w:rsid w:val="687951D6"/>
    <w:rsid w:val="688431F8"/>
    <w:rsid w:val="68975621"/>
    <w:rsid w:val="68AB69AF"/>
    <w:rsid w:val="68D653C8"/>
    <w:rsid w:val="68D85250"/>
    <w:rsid w:val="68F6059A"/>
    <w:rsid w:val="693115D2"/>
    <w:rsid w:val="69470DF5"/>
    <w:rsid w:val="695D23C7"/>
    <w:rsid w:val="696077C1"/>
    <w:rsid w:val="698D4180"/>
    <w:rsid w:val="69AF055A"/>
    <w:rsid w:val="69B51B3F"/>
    <w:rsid w:val="69BF098B"/>
    <w:rsid w:val="69C441F4"/>
    <w:rsid w:val="69DA7573"/>
    <w:rsid w:val="69F50851"/>
    <w:rsid w:val="69FF522C"/>
    <w:rsid w:val="6A835E5D"/>
    <w:rsid w:val="6A885ED1"/>
    <w:rsid w:val="6AA858C3"/>
    <w:rsid w:val="6AA87672"/>
    <w:rsid w:val="6AAD6A36"/>
    <w:rsid w:val="6B182A49"/>
    <w:rsid w:val="6B511AB7"/>
    <w:rsid w:val="6B5E41D4"/>
    <w:rsid w:val="6B762D04"/>
    <w:rsid w:val="6BA442DD"/>
    <w:rsid w:val="6BC77FCB"/>
    <w:rsid w:val="6BD76E4B"/>
    <w:rsid w:val="6BE9595D"/>
    <w:rsid w:val="6BFF7765"/>
    <w:rsid w:val="6C465394"/>
    <w:rsid w:val="6C660F5A"/>
    <w:rsid w:val="6C8C5F63"/>
    <w:rsid w:val="6CCD1611"/>
    <w:rsid w:val="6CD02EB0"/>
    <w:rsid w:val="6D1A1931"/>
    <w:rsid w:val="6D1F0B58"/>
    <w:rsid w:val="6D321474"/>
    <w:rsid w:val="6D3654A5"/>
    <w:rsid w:val="6D5D0BE7"/>
    <w:rsid w:val="6D664A01"/>
    <w:rsid w:val="6DA71E62"/>
    <w:rsid w:val="6DB602F7"/>
    <w:rsid w:val="6DDE15FC"/>
    <w:rsid w:val="6DE0518A"/>
    <w:rsid w:val="6DE7336D"/>
    <w:rsid w:val="6DEA1D4F"/>
    <w:rsid w:val="6DFF209F"/>
    <w:rsid w:val="6E22598D"/>
    <w:rsid w:val="6E3B6A4F"/>
    <w:rsid w:val="6E3F02ED"/>
    <w:rsid w:val="6E7206C2"/>
    <w:rsid w:val="6EB24C26"/>
    <w:rsid w:val="6EBC037B"/>
    <w:rsid w:val="6ED24CBD"/>
    <w:rsid w:val="6EE47BF5"/>
    <w:rsid w:val="6F047014"/>
    <w:rsid w:val="6F0E46F1"/>
    <w:rsid w:val="6F2439FD"/>
    <w:rsid w:val="6F751AEC"/>
    <w:rsid w:val="6F7B6738"/>
    <w:rsid w:val="6FB2689C"/>
    <w:rsid w:val="6FD07D18"/>
    <w:rsid w:val="700370F8"/>
    <w:rsid w:val="70075491"/>
    <w:rsid w:val="707F7384"/>
    <w:rsid w:val="709E54A1"/>
    <w:rsid w:val="70D50A94"/>
    <w:rsid w:val="70DB7B61"/>
    <w:rsid w:val="712D6B22"/>
    <w:rsid w:val="718F6E95"/>
    <w:rsid w:val="719170B1"/>
    <w:rsid w:val="71973F9C"/>
    <w:rsid w:val="71A32941"/>
    <w:rsid w:val="71D64AC4"/>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2B32"/>
    <w:rsid w:val="73C83C54"/>
    <w:rsid w:val="73D31750"/>
    <w:rsid w:val="74170E8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43E0D"/>
    <w:rsid w:val="76171B4F"/>
    <w:rsid w:val="7629538E"/>
    <w:rsid w:val="762F6E99"/>
    <w:rsid w:val="7641097A"/>
    <w:rsid w:val="767F69B6"/>
    <w:rsid w:val="76805423"/>
    <w:rsid w:val="76902210"/>
    <w:rsid w:val="769E5BA6"/>
    <w:rsid w:val="76A413CA"/>
    <w:rsid w:val="76EF43A2"/>
    <w:rsid w:val="7707036B"/>
    <w:rsid w:val="77184DE6"/>
    <w:rsid w:val="77343C5C"/>
    <w:rsid w:val="773D55E5"/>
    <w:rsid w:val="778E7BEF"/>
    <w:rsid w:val="77AE2E62"/>
    <w:rsid w:val="77B05DB7"/>
    <w:rsid w:val="77BE6726"/>
    <w:rsid w:val="77D221D2"/>
    <w:rsid w:val="77E517D3"/>
    <w:rsid w:val="77ED2E5B"/>
    <w:rsid w:val="77EF52B6"/>
    <w:rsid w:val="77FA11D3"/>
    <w:rsid w:val="77FD1797"/>
    <w:rsid w:val="78120820"/>
    <w:rsid w:val="782C4FAF"/>
    <w:rsid w:val="784C267D"/>
    <w:rsid w:val="789E20B4"/>
    <w:rsid w:val="789E6834"/>
    <w:rsid w:val="78AF2513"/>
    <w:rsid w:val="78B443FF"/>
    <w:rsid w:val="78BE4504"/>
    <w:rsid w:val="78ED1F7D"/>
    <w:rsid w:val="78FB3F8B"/>
    <w:rsid w:val="791365FE"/>
    <w:rsid w:val="79472AB4"/>
    <w:rsid w:val="794A5D98"/>
    <w:rsid w:val="79521FAF"/>
    <w:rsid w:val="795C61F7"/>
    <w:rsid w:val="795F7FF3"/>
    <w:rsid w:val="797F3C93"/>
    <w:rsid w:val="799534B7"/>
    <w:rsid w:val="79986B03"/>
    <w:rsid w:val="79DD67E6"/>
    <w:rsid w:val="79FA072F"/>
    <w:rsid w:val="7A214D4A"/>
    <w:rsid w:val="7A3C1B84"/>
    <w:rsid w:val="7A545120"/>
    <w:rsid w:val="7A684727"/>
    <w:rsid w:val="7A835A05"/>
    <w:rsid w:val="7A9B68AB"/>
    <w:rsid w:val="7AB23BF5"/>
    <w:rsid w:val="7AD26045"/>
    <w:rsid w:val="7AE81103"/>
    <w:rsid w:val="7AEC7106"/>
    <w:rsid w:val="7AF85FD9"/>
    <w:rsid w:val="7B095F0A"/>
    <w:rsid w:val="7B25086A"/>
    <w:rsid w:val="7B707D38"/>
    <w:rsid w:val="7B767318"/>
    <w:rsid w:val="7BA72548"/>
    <w:rsid w:val="7BCB1412"/>
    <w:rsid w:val="7BCF79D9"/>
    <w:rsid w:val="7BDA1655"/>
    <w:rsid w:val="7BDE7397"/>
    <w:rsid w:val="7BF00E78"/>
    <w:rsid w:val="7BFF6846"/>
    <w:rsid w:val="7C0304D8"/>
    <w:rsid w:val="7C10151B"/>
    <w:rsid w:val="7C1A4C7A"/>
    <w:rsid w:val="7C2974E5"/>
    <w:rsid w:val="7C444892"/>
    <w:rsid w:val="7C55371E"/>
    <w:rsid w:val="7CAE7448"/>
    <w:rsid w:val="7CB62772"/>
    <w:rsid w:val="7CCD4D16"/>
    <w:rsid w:val="7D5268F5"/>
    <w:rsid w:val="7D6F401F"/>
    <w:rsid w:val="7D9D293A"/>
    <w:rsid w:val="7DBB1012"/>
    <w:rsid w:val="7DEA43B4"/>
    <w:rsid w:val="7DF36BF7"/>
    <w:rsid w:val="7DF764EE"/>
    <w:rsid w:val="7E2D0162"/>
    <w:rsid w:val="7E33504C"/>
    <w:rsid w:val="7E543E84"/>
    <w:rsid w:val="7E7F0292"/>
    <w:rsid w:val="7E8A310F"/>
    <w:rsid w:val="7EAC5767"/>
    <w:rsid w:val="7EBC3294"/>
    <w:rsid w:val="7EC90255"/>
    <w:rsid w:val="7EED5B43"/>
    <w:rsid w:val="7EF173E1"/>
    <w:rsid w:val="7EF40C80"/>
    <w:rsid w:val="7F01339C"/>
    <w:rsid w:val="7F101066"/>
    <w:rsid w:val="7F127358"/>
    <w:rsid w:val="7F364DF4"/>
    <w:rsid w:val="7F565496"/>
    <w:rsid w:val="7F620EF8"/>
    <w:rsid w:val="7F822E3C"/>
    <w:rsid w:val="7FED310D"/>
    <w:rsid w:val="7FFD70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8"/>
    <w:qFormat/>
    <w:uiPriority w:val="0"/>
    <w:rPr>
      <w:rFonts w:ascii="宋体"/>
      <w:sz w:val="18"/>
      <w:szCs w:val="18"/>
    </w:rPr>
  </w:style>
  <w:style w:type="paragraph" w:styleId="8">
    <w:name w:val="annotation text"/>
    <w:basedOn w:val="1"/>
    <w:link w:val="5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55"/>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next w:val="1"/>
    <w:link w:val="63"/>
    <w:qFormat/>
    <w:uiPriority w:val="99"/>
    <w:rPr>
      <w:rFonts w:ascii="宋体" w:hAnsi="Courier New"/>
      <w:szCs w:val="20"/>
    </w:rPr>
  </w:style>
  <w:style w:type="paragraph" w:styleId="15">
    <w:name w:val="Date"/>
    <w:basedOn w:val="1"/>
    <w:next w:val="1"/>
    <w:link w:val="59"/>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80"/>
    <w:qFormat/>
    <w:uiPriority w:val="99"/>
    <w:pPr>
      <w:tabs>
        <w:tab w:val="center" w:pos="4153"/>
        <w:tab w:val="right" w:pos="8306"/>
      </w:tabs>
      <w:snapToGrid w:val="0"/>
      <w:jc w:val="left"/>
    </w:pPr>
    <w:rPr>
      <w:sz w:val="18"/>
      <w:szCs w:val="18"/>
    </w:rPr>
  </w:style>
  <w:style w:type="paragraph" w:styleId="19">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7"/>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54"/>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4"/>
    <w:semiHidden/>
    <w:qFormat/>
    <w:uiPriority w:val="0"/>
    <w:rPr>
      <w:b/>
      <w:bCs/>
      <w:kern w:val="2"/>
      <w:sz w:val="32"/>
      <w:szCs w:val="32"/>
    </w:rPr>
  </w:style>
  <w:style w:type="paragraph" w:customStyle="1" w:styleId="36">
    <w:name w:val="Body Text 21"/>
    <w:basedOn w:val="1"/>
    <w:qFormat/>
    <w:uiPriority w:val="0"/>
    <w:rPr>
      <w:rFonts w:ascii="ˎ̥" w:hAnsi="ˎ̥" w:cs="宋体"/>
      <w:b/>
      <w:sz w:val="32"/>
    </w:rPr>
  </w:style>
  <w:style w:type="paragraph" w:customStyle="1" w:styleId="37">
    <w:name w:val="正文首行缩进1"/>
    <w:basedOn w:val="10"/>
    <w:next w:val="38"/>
    <w:autoRedefine/>
    <w:qFormat/>
    <w:uiPriority w:val="0"/>
    <w:pPr>
      <w:ind w:firstLine="420" w:firstLineChars="100"/>
    </w:pPr>
  </w:style>
  <w:style w:type="paragraph" w:customStyle="1" w:styleId="38">
    <w:name w:val="正文首行缩进 21"/>
    <w:basedOn w:val="39"/>
    <w:autoRedefine/>
    <w:qFormat/>
    <w:uiPriority w:val="0"/>
    <w:pPr>
      <w:tabs>
        <w:tab w:val="left" w:pos="0"/>
      </w:tabs>
      <w:ind w:firstLine="420" w:firstLineChars="200"/>
    </w:pPr>
  </w:style>
  <w:style w:type="paragraph" w:customStyle="1" w:styleId="39">
    <w:name w:val="正文文本缩进1"/>
    <w:basedOn w:val="1"/>
    <w:autoRedefine/>
    <w:qFormat/>
    <w:uiPriority w:val="0"/>
    <w:pPr>
      <w:ind w:firstLine="570"/>
    </w:pPr>
    <w:rPr>
      <w:sz w:val="28"/>
    </w:r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首行缩进"/>
    <w:basedOn w:val="1"/>
    <w:qFormat/>
    <w:uiPriority w:val="0"/>
    <w:pPr>
      <w:spacing w:line="360" w:lineRule="auto"/>
      <w:ind w:firstLine="200" w:firstLineChars="200"/>
    </w:pPr>
    <w:rPr>
      <w:rFonts w:ascii="宋体" w:cs="宋体"/>
      <w:kern w:val="0"/>
      <w:lang w:bidi="ar-SA"/>
    </w:rPr>
  </w:style>
  <w:style w:type="paragraph" w:customStyle="1" w:styleId="42">
    <w:name w:val="我的正文"/>
    <w:basedOn w:val="11"/>
    <w:qFormat/>
    <w:uiPriority w:val="0"/>
    <w:pPr>
      <w:spacing w:line="500" w:lineRule="exact"/>
      <w:ind w:firstLine="480" w:firstLineChars="200"/>
    </w:pPr>
    <w:rPr>
      <w:sz w:val="24"/>
    </w:rPr>
  </w:style>
  <w:style w:type="paragraph" w:customStyle="1" w:styleId="43">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BodyText1I"/>
    <w:basedOn w:val="46"/>
    <w:qFormat/>
    <w:uiPriority w:val="99"/>
    <w:pPr>
      <w:ind w:firstLine="420" w:firstLineChars="100"/>
    </w:pPr>
  </w:style>
  <w:style w:type="paragraph" w:customStyle="1" w:styleId="46">
    <w:name w:val="BodyText"/>
    <w:basedOn w:val="1"/>
    <w:next w:val="47"/>
    <w:qFormat/>
    <w:uiPriority w:val="99"/>
    <w:pPr>
      <w:spacing w:after="120"/>
    </w:pPr>
  </w:style>
  <w:style w:type="paragraph" w:customStyle="1" w:styleId="47">
    <w:name w:val="UserStyle_3"/>
    <w:basedOn w:val="1"/>
    <w:qFormat/>
    <w:uiPriority w:val="0"/>
    <w:pPr>
      <w:spacing w:after="120" w:line="480" w:lineRule="auto"/>
    </w:pPr>
  </w:style>
  <w:style w:type="paragraph" w:customStyle="1" w:styleId="48">
    <w:name w:val="Char Char10 Char Char Char Char"/>
    <w:basedOn w:val="1"/>
    <w:next w:val="49"/>
    <w:qFormat/>
    <w:uiPriority w:val="0"/>
    <w:rPr>
      <w:rFonts w:ascii="Times New Roman" w:hAnsi="Times New Roman" w:eastAsia="宋体" w:cs="Times New Roman"/>
    </w:rPr>
  </w:style>
  <w:style w:type="paragraph" w:customStyle="1" w:styleId="49">
    <w:name w:val="xl87"/>
    <w:basedOn w:val="1"/>
    <w:next w:val="50"/>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50">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25"/>
    <w:qFormat/>
    <w:uiPriority w:val="0"/>
    <w:rPr>
      <w:kern w:val="2"/>
      <w:sz w:val="21"/>
      <w:szCs w:val="24"/>
    </w:rPr>
  </w:style>
  <w:style w:type="character" w:customStyle="1" w:styleId="55">
    <w:name w:val="正文文本 字符"/>
    <w:link w:val="10"/>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8"/>
    <w:qFormat/>
    <w:uiPriority w:val="0"/>
    <w:rPr>
      <w:kern w:val="2"/>
      <w:sz w:val="21"/>
      <w:szCs w:val="24"/>
    </w:rPr>
  </w:style>
  <w:style w:type="character" w:customStyle="1" w:styleId="58">
    <w:name w:val="文档结构图 字符"/>
    <w:link w:val="7"/>
    <w:qFormat/>
    <w:uiPriority w:val="0"/>
    <w:rPr>
      <w:rFonts w:ascii="宋体"/>
      <w:kern w:val="2"/>
      <w:sz w:val="18"/>
      <w:szCs w:val="18"/>
    </w:rPr>
  </w:style>
  <w:style w:type="character" w:customStyle="1" w:styleId="59">
    <w:name w:val="日期 字符"/>
    <w:link w:val="15"/>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basedOn w:val="29"/>
    <w:qFormat/>
    <w:uiPriority w:val="0"/>
    <w:rPr>
      <w:rFonts w:hint="eastAsia" w:ascii="宋体" w:hAnsi="宋体" w:eastAsia="宋体" w:cs="宋体"/>
      <w:color w:val="000000"/>
      <w:sz w:val="18"/>
      <w:szCs w:val="18"/>
      <w:u w:val="none"/>
    </w:rPr>
  </w:style>
  <w:style w:type="character" w:customStyle="1" w:styleId="63">
    <w:name w:val="纯文本 字符"/>
    <w:link w:val="14"/>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29"/>
    <w:qFormat/>
    <w:uiPriority w:val="0"/>
  </w:style>
  <w:style w:type="character" w:customStyle="1" w:styleId="77">
    <w:name w:val="正文文本 2 字符"/>
    <w:link w:val="22"/>
    <w:qFormat/>
    <w:uiPriority w:val="0"/>
    <w:rPr>
      <w:kern w:val="2"/>
      <w:sz w:val="21"/>
      <w:szCs w:val="24"/>
    </w:rPr>
  </w:style>
  <w:style w:type="character" w:customStyle="1" w:styleId="78">
    <w:name w:val="NormalCharacter"/>
    <w:qFormat/>
    <w:uiPriority w:val="0"/>
  </w:style>
  <w:style w:type="character" w:customStyle="1" w:styleId="79">
    <w:name w:val="页眉 字符"/>
    <w:link w:val="19"/>
    <w:qFormat/>
    <w:uiPriority w:val="99"/>
    <w:rPr>
      <w:kern w:val="2"/>
      <w:sz w:val="18"/>
      <w:szCs w:val="18"/>
    </w:rPr>
  </w:style>
  <w:style w:type="character" w:customStyle="1" w:styleId="80">
    <w:name w:val="页脚 字符"/>
    <w:link w:val="18"/>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29"/>
    <w:qFormat/>
    <w:uiPriority w:val="0"/>
    <w:rPr>
      <w:sz w:val="21"/>
      <w:szCs w:val="21"/>
    </w:rPr>
  </w:style>
  <w:style w:type="character" w:customStyle="1" w:styleId="86">
    <w:name w:val="first-child"/>
    <w:basedOn w:val="29"/>
    <w:qFormat/>
    <w:uiPriority w:val="0"/>
    <w:rPr>
      <w:color w:val="1F3149"/>
      <w:sz w:val="24"/>
      <w:szCs w:val="24"/>
    </w:rPr>
  </w:style>
  <w:style w:type="character" w:customStyle="1" w:styleId="87">
    <w:name w:val="first-child1"/>
    <w:basedOn w:val="29"/>
    <w:qFormat/>
    <w:uiPriority w:val="0"/>
    <w:rPr>
      <w:color w:val="1F3149"/>
      <w:sz w:val="24"/>
      <w:szCs w:val="24"/>
    </w:rPr>
  </w:style>
  <w:style w:type="character" w:customStyle="1" w:styleId="88">
    <w:name w:val="xiadan"/>
    <w:basedOn w:val="29"/>
    <w:qFormat/>
    <w:uiPriority w:val="0"/>
    <w:rPr>
      <w:shd w:val="clear" w:color="auto" w:fill="E4393C"/>
    </w:rPr>
  </w:style>
  <w:style w:type="character" w:customStyle="1" w:styleId="89">
    <w:name w:val="fr"/>
    <w:basedOn w:val="29"/>
    <w:qFormat/>
    <w:uiPriority w:val="0"/>
  </w:style>
  <w:style w:type="character" w:customStyle="1" w:styleId="90">
    <w:name w:val="icon_ds"/>
    <w:basedOn w:val="29"/>
    <w:qFormat/>
    <w:uiPriority w:val="0"/>
  </w:style>
  <w:style w:type="paragraph" w:customStyle="1" w:styleId="91">
    <w:name w:val="正文1"/>
    <w:basedOn w:val="1"/>
    <w:qFormat/>
    <w:uiPriority w:val="0"/>
    <w:pPr>
      <w:widowControl/>
      <w:topLinePunct/>
      <w:spacing w:beforeLines="50" w:afterLines="50" w:line="300" w:lineRule="auto"/>
      <w:ind w:left="420"/>
    </w:pPr>
  </w:style>
  <w:style w:type="table" w:customStyle="1" w:styleId="92">
    <w:name w:val="Table Normal"/>
    <w:basedOn w:val="27"/>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93">
    <w:name w:val="前附表"/>
    <w:basedOn w:val="94"/>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4">
    <w:name w:val="正文样式"/>
    <w:basedOn w:val="1"/>
    <w:qFormat/>
    <w:uiPriority w:val="0"/>
  </w:style>
  <w:style w:type="paragraph" w:customStyle="1" w:styleId="95">
    <w:name w:val="Table Text"/>
    <w:basedOn w:val="1"/>
    <w:semiHidden/>
    <w:qFormat/>
    <w:uiPriority w:val="0"/>
    <w:rPr>
      <w:rFonts w:ascii="宋体" w:hAnsi="宋体" w:eastAsia="宋体" w:cs="宋体"/>
      <w:sz w:val="20"/>
      <w:szCs w:val="20"/>
      <w:lang w:val="en-US" w:eastAsia="en-US" w:bidi="ar-SA"/>
    </w:rPr>
  </w:style>
  <w:style w:type="character" w:customStyle="1" w:styleId="96">
    <w:name w:val="font41"/>
    <w:basedOn w:val="29"/>
    <w:qFormat/>
    <w:uiPriority w:val="0"/>
    <w:rPr>
      <w:rFonts w:hint="eastAsia" w:ascii="宋体" w:hAnsi="宋体" w:eastAsia="宋体" w:cs="宋体"/>
      <w:b/>
      <w:bCs/>
      <w:color w:val="000000"/>
      <w:sz w:val="24"/>
      <w:szCs w:val="24"/>
      <w:u w:val="none"/>
    </w:rPr>
  </w:style>
  <w:style w:type="character" w:customStyle="1" w:styleId="97">
    <w:name w:val="font51"/>
    <w:basedOn w:val="29"/>
    <w:qFormat/>
    <w:uiPriority w:val="0"/>
    <w:rPr>
      <w:rFonts w:ascii="Arial" w:hAnsi="Arial" w:cs="Arial"/>
      <w:color w:val="000000"/>
      <w:sz w:val="24"/>
      <w:szCs w:val="24"/>
      <w:u w:val="none"/>
    </w:rPr>
  </w:style>
  <w:style w:type="paragraph" w:customStyle="1" w:styleId="98">
    <w:name w:val="样式3"/>
    <w:basedOn w:val="14"/>
    <w:qFormat/>
    <w:uiPriority w:val="0"/>
    <w:pPr>
      <w:spacing w:line="240" w:lineRule="atLeast"/>
      <w:outlineLvl w:val="0"/>
    </w:pPr>
    <w:rPr>
      <w:rFonts w:hAnsi="Calibri" w:cs="Droid Sans"/>
      <w:sz w:val="28"/>
    </w:rPr>
  </w:style>
  <w:style w:type="paragraph" w:customStyle="1" w:styleId="99">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54</Pages>
  <Words>11840</Words>
  <Characters>12626</Characters>
  <Lines>146</Lines>
  <Paragraphs>41</Paragraphs>
  <TotalTime>4</TotalTime>
  <ScaleCrop>false</ScaleCrop>
  <LinksUpToDate>false</LinksUpToDate>
  <CharactersWithSpaces>12867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2026-02-28T06:50:37Z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