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C21B14">
      <w:pPr>
        <w:tabs>
          <w:tab w:val="left" w:pos="315"/>
          <w:tab w:val="left" w:pos="8820"/>
        </w:tabs>
        <w:spacing w:line="360" w:lineRule="auto"/>
        <w:ind w:right="267" w:rightChars="127"/>
        <w:jc w:val="center"/>
        <w:rPr>
          <w:rFonts w:hint="eastAsia" w:asciiTheme="minorEastAsia" w:hAnsiTheme="minorEastAsia" w:eastAsiaTheme="minorEastAsia" w:cstheme="minorEastAsia"/>
          <w:b/>
          <w:bCs/>
          <w:sz w:val="52"/>
          <w:szCs w:val="28"/>
        </w:rPr>
      </w:pPr>
      <w:r>
        <w:rPr>
          <w:rFonts w:hint="eastAsia" w:asciiTheme="minorEastAsia" w:hAnsiTheme="minorEastAsia" w:eastAsiaTheme="minorEastAsia" w:cstheme="minorEastAsia"/>
          <w:b/>
          <w:bCs/>
          <w:sz w:val="52"/>
          <w:szCs w:val="28"/>
        </w:rPr>
        <w:t>洼冲沟排水分区混错接合流制及老旧排水管网综合改造工程设计</w:t>
      </w:r>
    </w:p>
    <w:p w14:paraId="0853034B">
      <w:pPr>
        <w:tabs>
          <w:tab w:val="left" w:pos="315"/>
          <w:tab w:val="left" w:pos="8820"/>
        </w:tabs>
        <w:spacing w:line="500" w:lineRule="exact"/>
        <w:ind w:right="267" w:rightChars="127"/>
        <w:jc w:val="center"/>
        <w:rPr>
          <w:rFonts w:ascii="仿宋_GB2312" w:eastAsia="仿宋_GB2312"/>
          <w:b/>
          <w:bCs/>
          <w:sz w:val="48"/>
        </w:rPr>
      </w:pPr>
    </w:p>
    <w:p w14:paraId="6B5F5F9C">
      <w:pPr>
        <w:tabs>
          <w:tab w:val="left" w:pos="315"/>
          <w:tab w:val="left" w:pos="8820"/>
        </w:tabs>
        <w:spacing w:line="500" w:lineRule="exact"/>
        <w:ind w:right="267" w:rightChars="127"/>
        <w:jc w:val="center"/>
        <w:rPr>
          <w:rFonts w:ascii="仿宋_GB2312" w:eastAsia="仿宋_GB2312"/>
          <w:b/>
          <w:bCs/>
          <w:sz w:val="48"/>
        </w:rPr>
      </w:pPr>
    </w:p>
    <w:p w14:paraId="447FF447">
      <w:pPr>
        <w:tabs>
          <w:tab w:val="left" w:pos="315"/>
          <w:tab w:val="left" w:pos="8820"/>
        </w:tabs>
        <w:spacing w:line="500" w:lineRule="exact"/>
        <w:ind w:right="267" w:rightChars="127"/>
        <w:jc w:val="center"/>
        <w:rPr>
          <w:rFonts w:ascii="仿宋_GB2312" w:eastAsia="仿宋_GB2312"/>
          <w:b/>
          <w:bCs/>
          <w:sz w:val="48"/>
        </w:rPr>
      </w:pPr>
    </w:p>
    <w:p w14:paraId="5AE51340">
      <w:pPr>
        <w:tabs>
          <w:tab w:val="left" w:pos="315"/>
          <w:tab w:val="left" w:pos="8820"/>
        </w:tabs>
        <w:spacing w:line="500" w:lineRule="exact"/>
        <w:ind w:right="267" w:rightChars="127"/>
        <w:jc w:val="center"/>
        <w:rPr>
          <w:rFonts w:ascii="仿宋_GB2312" w:eastAsia="仿宋_GB2312"/>
          <w:b/>
          <w:bCs/>
          <w:sz w:val="48"/>
        </w:rPr>
      </w:pPr>
    </w:p>
    <w:p w14:paraId="123357D8">
      <w:pPr>
        <w:tabs>
          <w:tab w:val="left" w:pos="315"/>
          <w:tab w:val="left" w:pos="8820"/>
        </w:tabs>
        <w:ind w:right="267" w:rightChars="127"/>
        <w:jc w:val="center"/>
        <w:rPr>
          <w:rFonts w:ascii="微软简标宋" w:eastAsia="黑体"/>
          <w:b/>
          <w:bCs/>
          <w:sz w:val="112"/>
          <w:szCs w:val="44"/>
        </w:rPr>
      </w:pPr>
      <w:r>
        <w:rPr>
          <w:rFonts w:hint="eastAsia" w:ascii="微软简标宋" w:eastAsia="黑体"/>
          <w:b/>
          <w:bCs/>
          <w:sz w:val="112"/>
          <w:szCs w:val="44"/>
        </w:rPr>
        <w:t>竞争性磋商文件</w:t>
      </w:r>
    </w:p>
    <w:p w14:paraId="45FE4FBF">
      <w:pPr>
        <w:pStyle w:val="35"/>
        <w:ind w:left="0" w:leftChars="0" w:firstLine="0" w:firstLineChars="0"/>
        <w:rPr>
          <w:rFonts w:ascii="仿宋_GB2312" w:eastAsia="仿宋_GB2312"/>
          <w:sz w:val="44"/>
        </w:rPr>
      </w:pPr>
    </w:p>
    <w:p w14:paraId="78DAA81C">
      <w:pPr>
        <w:tabs>
          <w:tab w:val="left" w:pos="315"/>
          <w:tab w:val="left" w:pos="8820"/>
        </w:tabs>
        <w:spacing w:line="500" w:lineRule="exact"/>
        <w:ind w:right="267" w:rightChars="127"/>
        <w:rPr>
          <w:rFonts w:ascii="仿宋_GB2312" w:eastAsia="仿宋_GB2312"/>
          <w:b/>
          <w:bCs/>
          <w:sz w:val="36"/>
        </w:rPr>
      </w:pPr>
    </w:p>
    <w:p w14:paraId="129B91DA">
      <w:pPr>
        <w:tabs>
          <w:tab w:val="left" w:pos="315"/>
          <w:tab w:val="left" w:pos="8820"/>
        </w:tabs>
        <w:spacing w:line="500" w:lineRule="exact"/>
        <w:ind w:right="267" w:rightChars="127"/>
        <w:rPr>
          <w:rFonts w:ascii="仿宋_GB2312" w:eastAsia="仿宋_GB2312"/>
          <w:b/>
          <w:bCs/>
          <w:sz w:val="36"/>
        </w:rPr>
      </w:pPr>
    </w:p>
    <w:p w14:paraId="05DE71F4">
      <w:pPr>
        <w:tabs>
          <w:tab w:val="left" w:pos="315"/>
          <w:tab w:val="left" w:pos="8820"/>
        </w:tabs>
        <w:spacing w:line="500" w:lineRule="exact"/>
        <w:ind w:right="267" w:rightChars="127"/>
        <w:jc w:val="center"/>
        <w:rPr>
          <w:rFonts w:ascii="宋体" w:hAnsi="宋体"/>
          <w:sz w:val="32"/>
        </w:rPr>
      </w:pPr>
    </w:p>
    <w:p w14:paraId="14BCC6FB">
      <w:pPr>
        <w:pStyle w:val="35"/>
        <w:ind w:firstLine="400"/>
      </w:pPr>
    </w:p>
    <w:p w14:paraId="79D9FAA5">
      <w:pPr>
        <w:tabs>
          <w:tab w:val="left" w:pos="315"/>
          <w:tab w:val="left" w:pos="8820"/>
        </w:tabs>
        <w:spacing w:line="500" w:lineRule="exact"/>
        <w:ind w:right="267" w:rightChars="127"/>
        <w:jc w:val="center"/>
        <w:rPr>
          <w:rFonts w:ascii="微软简标宋" w:eastAsia="黑体"/>
          <w:b/>
          <w:bCs/>
          <w:sz w:val="52"/>
        </w:rPr>
      </w:pPr>
    </w:p>
    <w:p w14:paraId="1E746456">
      <w:pPr>
        <w:tabs>
          <w:tab w:val="left" w:pos="315"/>
          <w:tab w:val="left" w:pos="8820"/>
        </w:tabs>
        <w:spacing w:line="600" w:lineRule="exact"/>
        <w:ind w:right="267" w:rightChars="127"/>
        <w:jc w:val="left"/>
        <w:rPr>
          <w:rFonts w:hint="eastAsia" w:ascii="微软简标宋" w:eastAsia="黑体"/>
          <w:b w:val="0"/>
          <w:bCs w:val="0"/>
          <w:sz w:val="30"/>
          <w:szCs w:val="30"/>
          <w:lang w:eastAsia="zh-CN"/>
        </w:rPr>
      </w:pPr>
      <w:r>
        <w:rPr>
          <w:rFonts w:hint="eastAsia" w:ascii="微软简标宋" w:eastAsia="黑体"/>
          <w:b w:val="0"/>
          <w:bCs w:val="0"/>
          <w:sz w:val="30"/>
          <w:szCs w:val="30"/>
        </w:rPr>
        <w:t>项目名称：</w:t>
      </w:r>
      <w:r>
        <w:rPr>
          <w:rFonts w:hint="eastAsia" w:ascii="微软简标宋" w:eastAsia="黑体"/>
          <w:b w:val="0"/>
          <w:bCs w:val="0"/>
          <w:sz w:val="30"/>
          <w:szCs w:val="30"/>
          <w:lang w:eastAsia="zh-CN"/>
        </w:rPr>
        <w:t>洼冲沟排水分区混错接合流制及老旧排水管网综合改造工程设计</w:t>
      </w:r>
    </w:p>
    <w:p w14:paraId="11609A74">
      <w:pPr>
        <w:tabs>
          <w:tab w:val="left" w:pos="315"/>
          <w:tab w:val="left" w:pos="8820"/>
        </w:tabs>
        <w:spacing w:line="600" w:lineRule="exact"/>
        <w:ind w:right="267" w:rightChars="127"/>
        <w:jc w:val="left"/>
        <w:rPr>
          <w:rFonts w:hint="default" w:ascii="微软简标宋" w:eastAsia="黑体"/>
          <w:b w:val="0"/>
          <w:bCs w:val="0"/>
          <w:sz w:val="30"/>
          <w:szCs w:val="30"/>
          <w:lang w:val="en-US" w:eastAsia="zh-CN"/>
        </w:rPr>
      </w:pPr>
      <w:r>
        <w:rPr>
          <w:rFonts w:hint="eastAsia" w:ascii="微软简标宋" w:eastAsia="黑体"/>
          <w:b w:val="0"/>
          <w:bCs w:val="0"/>
          <w:sz w:val="30"/>
          <w:szCs w:val="30"/>
        </w:rPr>
        <w:t>项目编号:周财磋商采购-2026-</w:t>
      </w:r>
      <w:r>
        <w:rPr>
          <w:rFonts w:hint="eastAsia" w:ascii="微软简标宋" w:eastAsia="黑体"/>
          <w:b w:val="0"/>
          <w:bCs w:val="0"/>
          <w:sz w:val="30"/>
          <w:szCs w:val="30"/>
          <w:lang w:val="en-US" w:eastAsia="zh-CN"/>
        </w:rPr>
        <w:t>24</w:t>
      </w:r>
    </w:p>
    <w:p w14:paraId="3769024A">
      <w:pPr>
        <w:tabs>
          <w:tab w:val="left" w:pos="315"/>
          <w:tab w:val="left" w:pos="8820"/>
        </w:tabs>
        <w:spacing w:line="600" w:lineRule="exact"/>
        <w:ind w:right="267" w:rightChars="127"/>
        <w:jc w:val="left"/>
        <w:rPr>
          <w:rFonts w:ascii="微软简标宋" w:eastAsia="黑体"/>
          <w:b w:val="0"/>
          <w:bCs w:val="0"/>
          <w:sz w:val="30"/>
          <w:szCs w:val="30"/>
        </w:rPr>
      </w:pPr>
      <w:r>
        <w:rPr>
          <w:rFonts w:hint="eastAsia" w:ascii="微软简标宋" w:eastAsia="黑体"/>
          <w:b w:val="0"/>
          <w:bCs w:val="0"/>
          <w:sz w:val="30"/>
          <w:szCs w:val="30"/>
        </w:rPr>
        <w:t xml:space="preserve">采购人：周口市城市管理局      </w:t>
      </w:r>
    </w:p>
    <w:p w14:paraId="3801548E">
      <w:pPr>
        <w:tabs>
          <w:tab w:val="left" w:pos="315"/>
          <w:tab w:val="left" w:pos="8820"/>
        </w:tabs>
        <w:spacing w:line="600" w:lineRule="exact"/>
        <w:ind w:right="267" w:rightChars="127"/>
        <w:jc w:val="left"/>
        <w:rPr>
          <w:rFonts w:ascii="微软简标宋" w:eastAsia="黑体"/>
          <w:b w:val="0"/>
          <w:bCs w:val="0"/>
          <w:sz w:val="30"/>
          <w:szCs w:val="30"/>
        </w:rPr>
      </w:pPr>
      <w:r>
        <w:rPr>
          <w:rFonts w:hint="eastAsia" w:ascii="微软简标宋" w:eastAsia="黑体"/>
          <w:b w:val="0"/>
          <w:bCs w:val="0"/>
          <w:sz w:val="30"/>
          <w:szCs w:val="30"/>
        </w:rPr>
        <w:t>采购代理机构：河南泓浩工程管理有限公司</w:t>
      </w:r>
    </w:p>
    <w:p w14:paraId="06F92220">
      <w:pPr>
        <w:pStyle w:val="8"/>
        <w:rPr>
          <w:rFonts w:hint="eastAsia" w:ascii="微软简标宋" w:eastAsia="黑体"/>
          <w:b w:val="0"/>
          <w:bCs w:val="0"/>
          <w:sz w:val="30"/>
          <w:szCs w:val="30"/>
        </w:rPr>
      </w:pPr>
      <w:r>
        <w:rPr>
          <w:rFonts w:hint="eastAsia" w:ascii="微软简标宋" w:eastAsia="黑体"/>
          <w:b w:val="0"/>
          <w:bCs w:val="0"/>
          <w:sz w:val="30"/>
          <w:szCs w:val="30"/>
        </w:rPr>
        <w:t>日期：2026年3月</w:t>
      </w:r>
    </w:p>
    <w:p w14:paraId="37AD486B">
      <w:pPr>
        <w:pStyle w:val="8"/>
        <w:rPr>
          <w:rFonts w:hint="eastAsia" w:ascii="微软简标宋" w:eastAsia="黑体"/>
          <w:b/>
          <w:bCs/>
          <w:sz w:val="30"/>
          <w:szCs w:val="30"/>
        </w:rPr>
      </w:pPr>
    </w:p>
    <w:p w14:paraId="61E59DEF">
      <w:pPr>
        <w:spacing w:line="560" w:lineRule="exact"/>
        <w:jc w:val="center"/>
        <w:rPr>
          <w:rFonts w:ascii="宋体" w:hAnsi="宋体" w:cs="宋体"/>
          <w:b/>
          <w:sz w:val="32"/>
          <w:szCs w:val="32"/>
        </w:rPr>
      </w:pPr>
      <w:r>
        <w:rPr>
          <w:rFonts w:hint="eastAsia" w:ascii="宋体" w:hAnsi="宋体" w:cs="宋体"/>
          <w:b/>
          <w:sz w:val="32"/>
          <w:szCs w:val="32"/>
        </w:rPr>
        <w:t>目     录</w:t>
      </w:r>
    </w:p>
    <w:p w14:paraId="5ADDC98A">
      <w:pPr>
        <w:rPr>
          <w:rFonts w:ascii="宋体" w:hAnsi="宋体" w:cs="宋体"/>
          <w:b/>
          <w:sz w:val="32"/>
          <w:szCs w:val="32"/>
        </w:rPr>
      </w:pPr>
    </w:p>
    <w:p w14:paraId="64E5AEF8">
      <w:pPr>
        <w:spacing w:line="800" w:lineRule="exact"/>
        <w:rPr>
          <w:rFonts w:ascii="宋体" w:hAnsi="宋体" w:cs="宋体"/>
          <w:b/>
          <w:sz w:val="32"/>
          <w:szCs w:val="32"/>
        </w:rPr>
      </w:pPr>
      <w:r>
        <w:rPr>
          <w:rFonts w:hint="eastAsia" w:ascii="宋体" w:hAnsi="宋体" w:cs="宋体"/>
          <w:b/>
          <w:sz w:val="32"/>
          <w:szCs w:val="32"/>
        </w:rPr>
        <w:t>第一章  竞争性磋商邀请函 .........................3</w:t>
      </w:r>
    </w:p>
    <w:p w14:paraId="477CD8EB">
      <w:pPr>
        <w:spacing w:line="800" w:lineRule="exact"/>
        <w:rPr>
          <w:rFonts w:ascii="宋体" w:hAnsi="宋体" w:cs="宋体"/>
          <w:b/>
          <w:sz w:val="32"/>
          <w:szCs w:val="32"/>
        </w:rPr>
      </w:pPr>
      <w:r>
        <w:rPr>
          <w:rFonts w:hint="eastAsia" w:ascii="宋体" w:hAnsi="宋体" w:cs="宋体"/>
          <w:b/>
          <w:sz w:val="32"/>
          <w:szCs w:val="32"/>
        </w:rPr>
        <w:t>第二章  供应商须知 ...............................6</w:t>
      </w:r>
    </w:p>
    <w:p w14:paraId="294DFD61">
      <w:pPr>
        <w:spacing w:line="800" w:lineRule="exact"/>
        <w:rPr>
          <w:rFonts w:ascii="宋体" w:hAnsi="宋体" w:cs="宋体"/>
          <w:b/>
          <w:sz w:val="32"/>
          <w:szCs w:val="32"/>
        </w:rPr>
      </w:pPr>
      <w:r>
        <w:rPr>
          <w:rFonts w:hint="eastAsia" w:ascii="宋体" w:hAnsi="宋体" w:cs="宋体"/>
          <w:b/>
          <w:sz w:val="32"/>
          <w:szCs w:val="32"/>
        </w:rPr>
        <w:t>第三章  采购项目内容及要求.......................24</w:t>
      </w:r>
    </w:p>
    <w:p w14:paraId="4E14BCC7">
      <w:pPr>
        <w:spacing w:line="800" w:lineRule="exact"/>
        <w:rPr>
          <w:rFonts w:ascii="宋体" w:hAnsi="宋体" w:cs="宋体"/>
          <w:b/>
          <w:sz w:val="32"/>
          <w:szCs w:val="32"/>
        </w:rPr>
      </w:pPr>
      <w:r>
        <w:rPr>
          <w:rFonts w:hint="eastAsia" w:ascii="宋体" w:hAnsi="宋体" w:cs="宋体"/>
          <w:b/>
          <w:sz w:val="32"/>
          <w:szCs w:val="32"/>
        </w:rPr>
        <w:t>第四章  响应性文件内容及格式.....................25</w:t>
      </w:r>
    </w:p>
    <w:p w14:paraId="3424C8ED">
      <w:pPr>
        <w:spacing w:line="800" w:lineRule="exact"/>
        <w:rPr>
          <w:rFonts w:ascii="宋体" w:hAnsi="宋体" w:cs="宋体"/>
          <w:b/>
          <w:sz w:val="32"/>
          <w:szCs w:val="32"/>
        </w:rPr>
      </w:pPr>
      <w:r>
        <w:rPr>
          <w:rFonts w:hint="eastAsia" w:ascii="宋体" w:hAnsi="宋体" w:cs="宋体"/>
          <w:b/>
          <w:sz w:val="32"/>
          <w:szCs w:val="32"/>
        </w:rPr>
        <w:t>第五章  合同主要条款 合同签订指引、供应商履约验收指引38</w:t>
      </w:r>
    </w:p>
    <w:p w14:paraId="06C0C76B">
      <w:pPr>
        <w:spacing w:line="800" w:lineRule="exact"/>
        <w:ind w:firstLine="2249" w:firstLineChars="700"/>
        <w:rPr>
          <w:rFonts w:ascii="宋体" w:hAnsi="宋体" w:cs="宋体"/>
          <w:b/>
          <w:sz w:val="32"/>
          <w:szCs w:val="32"/>
        </w:rPr>
      </w:pPr>
    </w:p>
    <w:p w14:paraId="0572C565">
      <w:pPr>
        <w:spacing w:line="800" w:lineRule="exact"/>
        <w:ind w:firstLine="2249" w:firstLineChars="700"/>
        <w:rPr>
          <w:rFonts w:ascii="宋体" w:hAnsi="宋体" w:cs="宋体"/>
          <w:b/>
          <w:sz w:val="32"/>
          <w:szCs w:val="32"/>
        </w:rPr>
      </w:pPr>
    </w:p>
    <w:p w14:paraId="0E35718B">
      <w:pPr>
        <w:spacing w:line="800" w:lineRule="exact"/>
        <w:ind w:firstLine="2249" w:firstLineChars="700"/>
        <w:rPr>
          <w:rFonts w:ascii="宋体" w:hAnsi="宋体" w:cs="宋体"/>
          <w:b/>
          <w:sz w:val="32"/>
          <w:szCs w:val="32"/>
        </w:rPr>
      </w:pPr>
    </w:p>
    <w:p w14:paraId="5A8984FB">
      <w:pPr>
        <w:jc w:val="center"/>
        <w:rPr>
          <w:rFonts w:ascii="宋体" w:hAnsi="宋体" w:cs="宋体"/>
          <w:b/>
          <w:sz w:val="32"/>
          <w:szCs w:val="32"/>
        </w:rPr>
      </w:pPr>
      <w:r>
        <w:rPr>
          <w:rFonts w:hint="eastAsia" w:ascii="仿宋_GB2312" w:eastAsia="仿宋_GB2312"/>
          <w:b/>
          <w:sz w:val="32"/>
          <w:szCs w:val="32"/>
        </w:rPr>
        <w:br w:type="page"/>
      </w:r>
      <w:r>
        <w:rPr>
          <w:rFonts w:hint="eastAsia" w:ascii="宋体" w:hAnsi="宋体" w:cs="宋体"/>
          <w:b/>
          <w:sz w:val="32"/>
          <w:szCs w:val="32"/>
        </w:rPr>
        <w:t>第一章    竞争性磋商邀请函</w:t>
      </w:r>
    </w:p>
    <w:p w14:paraId="54DF0583">
      <w:pPr>
        <w:pStyle w:val="38"/>
      </w:pPr>
    </w:p>
    <w:p w14:paraId="65554BCB">
      <w:pPr>
        <w:spacing w:line="360" w:lineRule="auto"/>
        <w:ind w:firstLine="480" w:firstLineChars="200"/>
        <w:jc w:val="left"/>
        <w:rPr>
          <w:rFonts w:ascii="宋体" w:hAnsi="宋体" w:cs="宋体"/>
          <w:sz w:val="24"/>
        </w:rPr>
      </w:pPr>
      <w:r>
        <w:rPr>
          <w:rFonts w:hint="eastAsia" w:ascii="宋体" w:hAnsi="宋体" w:cs="宋体"/>
          <w:sz w:val="24"/>
        </w:rPr>
        <w:t>项目概况</w:t>
      </w:r>
    </w:p>
    <w:p w14:paraId="40AC8BE1">
      <w:pPr>
        <w:spacing w:line="360" w:lineRule="auto"/>
        <w:ind w:firstLine="480" w:firstLineChars="200"/>
        <w:jc w:val="left"/>
        <w:rPr>
          <w:rFonts w:asciiTheme="minorEastAsia" w:hAnsiTheme="minorEastAsia" w:eastAsiaTheme="minorEastAsia" w:cstheme="minorEastAsia"/>
          <w:sz w:val="24"/>
        </w:rPr>
      </w:pPr>
      <w:r>
        <w:rPr>
          <w:rFonts w:hint="eastAsia" w:ascii="宋体" w:hAnsi="宋体" w:cs="宋体"/>
          <w:sz w:val="24"/>
          <w:lang w:eastAsia="zh-CN"/>
        </w:rPr>
        <w:t>洼冲沟排水分区混错接合流制及老旧排水管网综合改造工程设计</w:t>
      </w:r>
      <w:r>
        <w:rPr>
          <w:rFonts w:hint="eastAsia" w:ascii="宋体" w:hAnsi="宋体" w:cs="宋体"/>
          <w:sz w:val="24"/>
        </w:rPr>
        <w:t xml:space="preserve"> (项目名称) 项目的潜在投标人应在周口市公共资源交易中心网（http://jyzx.zhoukou.gov.cn）获取招标文件，并于</w:t>
      </w:r>
      <w:r>
        <w:rPr>
          <w:rFonts w:hint="eastAsia" w:ascii="宋体" w:hAnsi="宋体" w:cs="宋体"/>
          <w:sz w:val="24"/>
          <w:highlight w:val="none"/>
        </w:rPr>
        <w:t>2026年</w:t>
      </w:r>
      <w:r>
        <w:rPr>
          <w:rFonts w:hint="eastAsia" w:ascii="宋体" w:hAnsi="宋体" w:cs="宋体"/>
          <w:sz w:val="24"/>
          <w:highlight w:val="none"/>
          <w:lang w:val="en-US" w:eastAsia="zh-CN"/>
        </w:rPr>
        <w:t>3</w:t>
      </w:r>
      <w:r>
        <w:rPr>
          <w:rFonts w:hint="eastAsia" w:ascii="宋体" w:hAnsi="宋体" w:cs="宋体"/>
          <w:sz w:val="24"/>
          <w:highlight w:val="none"/>
        </w:rPr>
        <w:t>月</w:t>
      </w:r>
      <w:r>
        <w:rPr>
          <w:rFonts w:hint="eastAsia" w:ascii="宋体" w:hAnsi="宋体" w:cs="宋体"/>
          <w:sz w:val="24"/>
          <w:highlight w:val="none"/>
          <w:lang w:val="en-US" w:eastAsia="zh-CN"/>
        </w:rPr>
        <w:t>20</w:t>
      </w:r>
      <w:r>
        <w:rPr>
          <w:rFonts w:hint="eastAsia" w:ascii="宋体" w:hAnsi="宋体" w:cs="宋体"/>
          <w:sz w:val="24"/>
          <w:highlight w:val="none"/>
        </w:rPr>
        <w:t>日10点00分</w:t>
      </w:r>
      <w:r>
        <w:rPr>
          <w:rFonts w:hint="eastAsia" w:ascii="宋体" w:hAnsi="宋体" w:cs="宋体"/>
          <w:sz w:val="24"/>
        </w:rPr>
        <w:t>（北京时间）前递交投标文件。</w:t>
      </w:r>
    </w:p>
    <w:p w14:paraId="45DDAB3D">
      <w:pPr>
        <w:pStyle w:val="3"/>
        <w:autoSpaceDE w:val="0"/>
        <w:autoSpaceDN w:val="0"/>
        <w:spacing w:line="360" w:lineRule="auto"/>
        <w:jc w:val="left"/>
        <w:rPr>
          <w:rFonts w:asciiTheme="minorEastAsia" w:hAnsiTheme="minorEastAsia" w:eastAsiaTheme="minorEastAsia" w:cstheme="minorEastAsia"/>
          <w:sz w:val="24"/>
        </w:rPr>
      </w:pPr>
      <w:bookmarkStart w:id="0" w:name="_Toc35393798"/>
      <w:bookmarkStart w:id="1" w:name="_Toc28359089"/>
      <w:bookmarkStart w:id="2" w:name="_Toc35393629"/>
      <w:bookmarkStart w:id="3" w:name="_Toc28359012"/>
      <w:r>
        <w:rPr>
          <w:rFonts w:hint="eastAsia" w:asciiTheme="minorEastAsia" w:hAnsiTheme="minorEastAsia" w:eastAsiaTheme="minorEastAsia" w:cstheme="minorEastAsia"/>
          <w:sz w:val="24"/>
        </w:rPr>
        <w:t>一、项目基本情况</w:t>
      </w:r>
      <w:bookmarkEnd w:id="0"/>
      <w:bookmarkEnd w:id="1"/>
      <w:bookmarkEnd w:id="2"/>
      <w:bookmarkEnd w:id="3"/>
    </w:p>
    <w:p w14:paraId="5745D173">
      <w:pPr>
        <w:numPr>
          <w:ilvl w:val="0"/>
          <w:numId w:val="1"/>
        </w:numPr>
        <w:autoSpaceDE w:val="0"/>
        <w:autoSpaceDN w:val="0"/>
        <w:spacing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项目编号：周财磋商采购-2026-</w:t>
      </w:r>
      <w:r>
        <w:rPr>
          <w:rFonts w:hint="eastAsia" w:asciiTheme="minorEastAsia" w:hAnsiTheme="minorEastAsia" w:eastAsiaTheme="minorEastAsia" w:cstheme="minorEastAsia"/>
          <w:color w:val="auto"/>
          <w:sz w:val="24"/>
          <w:lang w:val="en-US" w:eastAsia="zh-CN"/>
        </w:rPr>
        <w:t>24</w:t>
      </w:r>
    </w:p>
    <w:p w14:paraId="0535F39A">
      <w:pPr>
        <w:numPr>
          <w:ilvl w:val="0"/>
          <w:numId w:val="1"/>
        </w:numPr>
        <w:autoSpaceDE w:val="0"/>
        <w:autoSpaceDN w:val="0"/>
        <w:spacing w:line="360" w:lineRule="auto"/>
        <w:rPr>
          <w:rFonts w:asciiTheme="minorEastAsia" w:hAnsiTheme="minorEastAsia" w:eastAsiaTheme="minorEastAsia" w:cstheme="minorEastAsia"/>
          <w:color w:val="auto"/>
          <w:sz w:val="24"/>
          <w:u w:val="single"/>
        </w:rPr>
      </w:pPr>
      <w:r>
        <w:rPr>
          <w:rFonts w:hint="eastAsia" w:asciiTheme="minorEastAsia" w:hAnsiTheme="minorEastAsia" w:eastAsiaTheme="minorEastAsia" w:cstheme="minorEastAsia"/>
          <w:color w:val="auto"/>
          <w:sz w:val="24"/>
        </w:rPr>
        <w:t>项目名称：</w:t>
      </w:r>
      <w:r>
        <w:rPr>
          <w:rFonts w:hint="eastAsia" w:asciiTheme="minorEastAsia" w:hAnsiTheme="minorEastAsia" w:eastAsiaTheme="minorEastAsia" w:cstheme="minorEastAsia"/>
          <w:color w:val="auto"/>
          <w:sz w:val="24"/>
          <w:lang w:eastAsia="zh-CN"/>
        </w:rPr>
        <w:t>洼冲沟排水分区混错接合流制及老旧排水管网综合改造工程设计</w:t>
      </w:r>
    </w:p>
    <w:p w14:paraId="295109F5">
      <w:pPr>
        <w:numPr>
          <w:ilvl w:val="0"/>
          <w:numId w:val="1"/>
        </w:numPr>
        <w:autoSpaceDE w:val="0"/>
        <w:autoSpaceDN w:val="0"/>
        <w:spacing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采购方式：竞争性磋商</w:t>
      </w:r>
    </w:p>
    <w:p w14:paraId="015F6CA8">
      <w:pPr>
        <w:numPr>
          <w:ilvl w:val="0"/>
          <w:numId w:val="1"/>
        </w:numPr>
        <w:autoSpaceDE w:val="0"/>
        <w:autoSpaceDN w:val="0"/>
        <w:spacing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预算金额：</w:t>
      </w:r>
      <w:r>
        <w:rPr>
          <w:rFonts w:hint="eastAsia" w:asciiTheme="minorEastAsia" w:hAnsiTheme="minorEastAsia" w:eastAsiaTheme="minorEastAsia" w:cstheme="minorEastAsia"/>
          <w:color w:val="auto"/>
          <w:sz w:val="24"/>
          <w:lang w:val="en-US" w:eastAsia="zh-CN"/>
        </w:rPr>
        <w:t>579900</w:t>
      </w:r>
      <w:r>
        <w:rPr>
          <w:rFonts w:hint="eastAsia" w:asciiTheme="minorEastAsia" w:hAnsiTheme="minorEastAsia" w:eastAsiaTheme="minorEastAsia" w:cstheme="minorEastAsia"/>
          <w:color w:val="auto"/>
          <w:sz w:val="24"/>
        </w:rPr>
        <w:t>元</w:t>
      </w:r>
    </w:p>
    <w:p w14:paraId="27D295F3">
      <w:pPr>
        <w:numPr>
          <w:numId w:val="0"/>
        </w:numPr>
        <w:autoSpaceDE w:val="0"/>
        <w:autoSpaceDN w:val="0"/>
        <w:spacing w:line="360" w:lineRule="auto"/>
        <w:ind w:leftChars="0" w:firstLine="240" w:firstLineChars="1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val="en-US" w:eastAsia="zh-CN"/>
        </w:rPr>
        <w:t>最高限价</w:t>
      </w:r>
      <w:r>
        <w:rPr>
          <w:rFonts w:hint="eastAsia" w:asciiTheme="minorEastAsia" w:hAnsiTheme="minorEastAsia" w:eastAsiaTheme="minorEastAsia" w:cstheme="minorEastAsia"/>
          <w:color w:val="auto"/>
          <w:sz w:val="24"/>
        </w:rPr>
        <w:t>：</w:t>
      </w:r>
      <w:r>
        <w:rPr>
          <w:rFonts w:hint="eastAsia" w:asciiTheme="minorEastAsia" w:hAnsiTheme="minorEastAsia" w:eastAsiaTheme="minorEastAsia" w:cstheme="minorEastAsia"/>
          <w:color w:val="auto"/>
          <w:sz w:val="24"/>
          <w:lang w:val="en-US" w:eastAsia="zh-CN"/>
        </w:rPr>
        <w:t>579900</w:t>
      </w:r>
      <w:r>
        <w:rPr>
          <w:rFonts w:hint="eastAsia" w:asciiTheme="minorEastAsia" w:hAnsiTheme="minorEastAsia" w:eastAsiaTheme="minorEastAsia" w:cstheme="minorEastAsia"/>
          <w:color w:val="auto"/>
          <w:sz w:val="24"/>
        </w:rPr>
        <w:t>元</w:t>
      </w:r>
    </w:p>
    <w:p w14:paraId="64D7F734">
      <w:pPr>
        <w:pStyle w:val="24"/>
        <w:numPr>
          <w:numId w:val="0"/>
        </w:numPr>
        <w:snapToGrid w:val="0"/>
        <w:spacing w:before="0" w:beforeAutospacing="0" w:after="0" w:afterAutospacing="0" w:line="360" w:lineRule="auto"/>
        <w:ind w:leftChars="0"/>
        <w:jc w:val="both"/>
        <w:rPr>
          <w:rFonts w:cs="宋体"/>
          <w:color w:val="auto"/>
        </w:rPr>
      </w:pPr>
    </w:p>
    <w:tbl>
      <w:tblPr>
        <w:tblStyle w:val="28"/>
        <w:tblW w:w="5044" w:type="pct"/>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3"/>
        <w:gridCol w:w="3585"/>
        <w:gridCol w:w="1032"/>
        <w:gridCol w:w="1251"/>
        <w:gridCol w:w="1280"/>
        <w:gridCol w:w="1280"/>
      </w:tblGrid>
      <w:tr w14:paraId="2C11D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390" w:type="pct"/>
            <w:vAlign w:val="center"/>
          </w:tcPr>
          <w:p w14:paraId="3AB51B40">
            <w:pPr>
              <w:pStyle w:val="24"/>
              <w:shd w:val="clear" w:color="auto" w:fill="FFFFFF"/>
              <w:adjustRightInd w:val="0"/>
              <w:snapToGrid w:val="0"/>
              <w:spacing w:before="0" w:beforeAutospacing="0" w:after="0" w:afterAutospacing="0" w:line="360" w:lineRule="auto"/>
              <w:jc w:val="center"/>
              <w:rPr>
                <w:color w:val="auto"/>
              </w:rPr>
            </w:pPr>
            <w:r>
              <w:rPr>
                <w:rFonts w:hint="eastAsia" w:cs="宋体" w:asciiTheme="minorEastAsia" w:hAnsiTheme="minorEastAsia" w:eastAsiaTheme="minorEastAsia"/>
                <w:color w:val="auto"/>
                <w:kern w:val="2"/>
                <w:szCs w:val="24"/>
              </w:rPr>
              <w:t>包号</w:t>
            </w:r>
          </w:p>
        </w:tc>
        <w:tc>
          <w:tcPr>
            <w:tcW w:w="1960" w:type="pct"/>
            <w:vAlign w:val="center"/>
          </w:tcPr>
          <w:p w14:paraId="6A30D7E7">
            <w:pPr>
              <w:pStyle w:val="24"/>
              <w:shd w:val="clear" w:color="auto" w:fill="FFFFFF"/>
              <w:adjustRightInd w:val="0"/>
              <w:snapToGrid w:val="0"/>
              <w:spacing w:before="0" w:beforeAutospacing="0" w:after="0" w:afterAutospacing="0" w:line="360" w:lineRule="auto"/>
              <w:jc w:val="center"/>
              <w:rPr>
                <w:color w:val="auto"/>
              </w:rPr>
            </w:pPr>
            <w:r>
              <w:rPr>
                <w:rFonts w:hint="eastAsia" w:cs="宋体" w:asciiTheme="minorEastAsia" w:hAnsiTheme="minorEastAsia" w:eastAsiaTheme="minorEastAsia"/>
                <w:color w:val="auto"/>
                <w:kern w:val="2"/>
                <w:szCs w:val="24"/>
              </w:rPr>
              <w:t>包名称</w:t>
            </w:r>
          </w:p>
        </w:tc>
        <w:tc>
          <w:tcPr>
            <w:tcW w:w="564" w:type="pct"/>
            <w:vAlign w:val="center"/>
          </w:tcPr>
          <w:p w14:paraId="7B34FA50">
            <w:pPr>
              <w:pStyle w:val="24"/>
              <w:shd w:val="clear" w:color="auto" w:fill="FFFFFF"/>
              <w:adjustRightInd w:val="0"/>
              <w:snapToGrid w:val="0"/>
              <w:spacing w:before="0" w:beforeAutospacing="0" w:after="0" w:afterAutospacing="0" w:line="360" w:lineRule="auto"/>
              <w:jc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预算金额</w:t>
            </w:r>
          </w:p>
          <w:p w14:paraId="29FD1F15">
            <w:pPr>
              <w:pStyle w:val="24"/>
              <w:shd w:val="clear" w:color="auto" w:fill="FFFFFF"/>
              <w:adjustRightInd w:val="0"/>
              <w:snapToGrid w:val="0"/>
              <w:spacing w:before="0" w:beforeAutospacing="0" w:after="0" w:afterAutospacing="0" w:line="360" w:lineRule="auto"/>
              <w:jc w:val="center"/>
              <w:rPr>
                <w:rFonts w:asciiTheme="minorEastAsia" w:hAnsiTheme="minorEastAsia" w:eastAsiaTheme="minorEastAsia" w:cstheme="minorEastAsia"/>
                <w:color w:val="auto"/>
              </w:rPr>
            </w:pPr>
            <w:r>
              <w:rPr>
                <w:rFonts w:hint="eastAsia" w:cs="宋体" w:asciiTheme="minorEastAsia" w:hAnsiTheme="minorEastAsia" w:eastAsiaTheme="minorEastAsia"/>
                <w:color w:val="auto"/>
                <w:kern w:val="2"/>
                <w:szCs w:val="24"/>
              </w:rPr>
              <w:t>元</w:t>
            </w:r>
          </w:p>
        </w:tc>
        <w:tc>
          <w:tcPr>
            <w:tcW w:w="684" w:type="pct"/>
            <w:vAlign w:val="center"/>
          </w:tcPr>
          <w:p w14:paraId="31B3827B">
            <w:pPr>
              <w:pStyle w:val="24"/>
              <w:shd w:val="clear" w:color="auto" w:fill="FFFFFF"/>
              <w:adjustRightInd w:val="0"/>
              <w:snapToGrid w:val="0"/>
              <w:spacing w:before="0" w:beforeAutospacing="0" w:after="0" w:afterAutospacing="0" w:line="360" w:lineRule="auto"/>
              <w:jc w:val="center"/>
              <w:rPr>
                <w:color w:val="auto"/>
              </w:rPr>
            </w:pPr>
            <w:r>
              <w:rPr>
                <w:rFonts w:hint="eastAsia" w:cs="宋体" w:asciiTheme="minorEastAsia" w:hAnsiTheme="minorEastAsia" w:eastAsiaTheme="minorEastAsia"/>
                <w:color w:val="auto"/>
                <w:kern w:val="2"/>
                <w:szCs w:val="24"/>
              </w:rPr>
              <w:t>包最高限价元</w:t>
            </w:r>
          </w:p>
        </w:tc>
        <w:tc>
          <w:tcPr>
            <w:tcW w:w="700" w:type="pct"/>
            <w:vAlign w:val="center"/>
          </w:tcPr>
          <w:p w14:paraId="67D7223D">
            <w:pPr>
              <w:pStyle w:val="24"/>
              <w:shd w:val="clear" w:color="auto" w:fill="FFFFFF"/>
              <w:adjustRightInd w:val="0"/>
              <w:snapToGrid w:val="0"/>
              <w:spacing w:before="0" w:beforeAutospacing="0" w:after="0" w:afterAutospacing="0" w:line="360" w:lineRule="auto"/>
              <w:jc w:val="center"/>
              <w:rPr>
                <w:rFonts w:cs="宋体" w:asciiTheme="minorEastAsia" w:hAnsiTheme="minorEastAsia" w:eastAsiaTheme="minorEastAsia"/>
                <w:color w:val="auto"/>
                <w:kern w:val="2"/>
                <w:szCs w:val="24"/>
              </w:rPr>
            </w:pPr>
            <w:r>
              <w:rPr>
                <w:rFonts w:hint="eastAsia" w:cs="宋体"/>
                <w:color w:val="auto"/>
                <w:kern w:val="2"/>
                <w:szCs w:val="24"/>
              </w:rPr>
              <w:t>是否专门面向中小企业</w:t>
            </w:r>
          </w:p>
        </w:tc>
        <w:tc>
          <w:tcPr>
            <w:tcW w:w="700" w:type="pct"/>
            <w:vAlign w:val="center"/>
          </w:tcPr>
          <w:p w14:paraId="0C87811C">
            <w:pPr>
              <w:pStyle w:val="24"/>
              <w:shd w:val="clear" w:color="auto" w:fill="FFFFFF"/>
              <w:adjustRightInd w:val="0"/>
              <w:snapToGrid w:val="0"/>
              <w:spacing w:before="0" w:beforeAutospacing="0" w:after="0" w:afterAutospacing="0" w:line="360" w:lineRule="auto"/>
              <w:jc w:val="center"/>
              <w:rPr>
                <w:rFonts w:hint="eastAsia" w:cs="宋体"/>
                <w:color w:val="auto"/>
                <w:kern w:val="2"/>
                <w:szCs w:val="24"/>
              </w:rPr>
            </w:pPr>
            <w:r>
              <w:rPr>
                <w:rFonts w:hint="eastAsia" w:cs="宋体"/>
                <w:color w:val="auto"/>
                <w:kern w:val="2"/>
                <w:szCs w:val="24"/>
              </w:rPr>
              <w:t xml:space="preserve">采购预留金额（元） </w:t>
            </w:r>
          </w:p>
        </w:tc>
      </w:tr>
      <w:tr w14:paraId="30493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trPr>
        <w:tc>
          <w:tcPr>
            <w:tcW w:w="390" w:type="pct"/>
            <w:vAlign w:val="center"/>
          </w:tcPr>
          <w:p w14:paraId="23ACECC4">
            <w:pPr>
              <w:pStyle w:val="24"/>
              <w:shd w:val="clear" w:color="auto" w:fill="FFFFFF"/>
              <w:adjustRightInd w:val="0"/>
              <w:snapToGrid w:val="0"/>
              <w:spacing w:before="0" w:beforeAutospacing="0" w:after="0" w:afterAutospacing="0" w:line="360" w:lineRule="auto"/>
              <w:jc w:val="center"/>
              <w:rPr>
                <w:color w:val="auto"/>
              </w:rPr>
            </w:pPr>
            <w:r>
              <w:rPr>
                <w:rFonts w:hint="eastAsia" w:cs="宋体" w:asciiTheme="minorEastAsia" w:hAnsiTheme="minorEastAsia" w:eastAsiaTheme="minorEastAsia"/>
                <w:color w:val="auto"/>
                <w:kern w:val="2"/>
                <w:szCs w:val="24"/>
              </w:rPr>
              <w:t>1</w:t>
            </w:r>
          </w:p>
        </w:tc>
        <w:tc>
          <w:tcPr>
            <w:tcW w:w="1960" w:type="pct"/>
            <w:vAlign w:val="center"/>
          </w:tcPr>
          <w:p w14:paraId="0CDB1ADA">
            <w:pPr>
              <w:adjustRightInd w:val="0"/>
              <w:snapToGrid w:val="0"/>
              <w:spacing w:line="360" w:lineRule="auto"/>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eastAsia="zh-CN"/>
              </w:rPr>
              <w:t>洼冲沟排水分区混错接合流制及老旧排水管网综合改造工程设计</w:t>
            </w:r>
            <w:r>
              <w:rPr>
                <w:rFonts w:hint="eastAsia" w:asciiTheme="minorEastAsia" w:hAnsiTheme="minorEastAsia" w:eastAsiaTheme="minorEastAsia" w:cstheme="minorEastAsia"/>
                <w:color w:val="auto"/>
                <w:sz w:val="24"/>
              </w:rPr>
              <w:t>1包</w:t>
            </w:r>
          </w:p>
        </w:tc>
        <w:tc>
          <w:tcPr>
            <w:tcW w:w="564" w:type="pct"/>
            <w:vAlign w:val="center"/>
          </w:tcPr>
          <w:p w14:paraId="265674D6">
            <w:pPr>
              <w:adjustRightInd w:val="0"/>
              <w:snapToGrid w:val="0"/>
              <w:spacing w:line="360" w:lineRule="auto"/>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val="en-US" w:eastAsia="zh-CN"/>
              </w:rPr>
              <w:t>579900</w:t>
            </w:r>
          </w:p>
        </w:tc>
        <w:tc>
          <w:tcPr>
            <w:tcW w:w="684" w:type="pct"/>
            <w:vAlign w:val="center"/>
          </w:tcPr>
          <w:p w14:paraId="6BBB1C06">
            <w:pPr>
              <w:adjustRightInd w:val="0"/>
              <w:snapToGrid w:val="0"/>
              <w:spacing w:line="360" w:lineRule="auto"/>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val="en-US" w:eastAsia="zh-CN"/>
              </w:rPr>
              <w:t>579900</w:t>
            </w:r>
          </w:p>
        </w:tc>
        <w:tc>
          <w:tcPr>
            <w:tcW w:w="700" w:type="pct"/>
            <w:vAlign w:val="center"/>
          </w:tcPr>
          <w:p w14:paraId="3F2C6E73">
            <w:pPr>
              <w:adjustRightInd w:val="0"/>
              <w:snapToGrid w:val="0"/>
              <w:spacing w:line="360" w:lineRule="auto"/>
              <w:jc w:val="center"/>
              <w:rPr>
                <w:rFonts w:hint="eastAsia" w:asciiTheme="minorEastAsia" w:hAnsiTheme="minorEastAsia" w:eastAsiaTheme="minorEastAsia" w:cstheme="minorEastAsia"/>
                <w:color w:val="auto"/>
                <w:sz w:val="24"/>
                <w:highlight w:val="yellow"/>
                <w:lang w:val="en-US" w:eastAsia="zh-CN"/>
              </w:rPr>
            </w:pPr>
            <w:r>
              <w:rPr>
                <w:rFonts w:hint="eastAsia" w:asciiTheme="minorEastAsia" w:hAnsiTheme="minorEastAsia" w:eastAsiaTheme="minorEastAsia" w:cstheme="minorEastAsia"/>
                <w:color w:val="auto"/>
                <w:sz w:val="24"/>
                <w:highlight w:val="none"/>
                <w:lang w:val="en-US" w:eastAsia="zh-CN"/>
              </w:rPr>
              <w:t>是</w:t>
            </w:r>
          </w:p>
        </w:tc>
        <w:tc>
          <w:tcPr>
            <w:tcW w:w="700" w:type="pct"/>
            <w:vAlign w:val="center"/>
          </w:tcPr>
          <w:p w14:paraId="0ED06439">
            <w:pPr>
              <w:adjustRightInd w:val="0"/>
              <w:snapToGrid w:val="0"/>
              <w:spacing w:line="360" w:lineRule="auto"/>
              <w:jc w:val="center"/>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lang w:val="en-US" w:eastAsia="zh-CN"/>
              </w:rPr>
              <w:t>579900</w:t>
            </w:r>
          </w:p>
        </w:tc>
      </w:tr>
    </w:tbl>
    <w:p w14:paraId="280B2A94">
      <w:pPr>
        <w:numPr>
          <w:ilvl w:val="0"/>
          <w:numId w:val="1"/>
        </w:numPr>
        <w:autoSpaceDE w:val="0"/>
        <w:autoSpaceDN w:val="0"/>
        <w:spacing w:line="360" w:lineRule="auto"/>
        <w:rPr>
          <w:rFonts w:ascii="宋体" w:hAnsi="宋体" w:cs="宋体"/>
          <w:sz w:val="24"/>
          <w:highlight w:val="none"/>
        </w:rPr>
      </w:pPr>
      <w:r>
        <w:rPr>
          <w:rFonts w:hint="eastAsia" w:asciiTheme="minorEastAsia" w:hAnsiTheme="minorEastAsia" w:eastAsiaTheme="minorEastAsia" w:cstheme="minorEastAsia"/>
          <w:sz w:val="24"/>
        </w:rPr>
        <w:t>采购需求：</w:t>
      </w:r>
      <w:r>
        <w:rPr>
          <w:rFonts w:hint="eastAsia" w:ascii="宋体" w:hAnsi="宋体" w:cs="宋体"/>
          <w:sz w:val="24"/>
        </w:rPr>
        <w:t>详见磋商文件</w:t>
      </w:r>
      <w:r>
        <w:rPr>
          <w:rFonts w:ascii="宋体" w:hAnsi="宋体" w:cs="宋体"/>
          <w:sz w:val="24"/>
        </w:rPr>
        <w:t>（包括但不限于标的的名称、数</w:t>
      </w:r>
      <w:r>
        <w:rPr>
          <w:rFonts w:ascii="宋体" w:hAnsi="宋体" w:cs="宋体"/>
          <w:spacing w:val="-1"/>
          <w:sz w:val="24"/>
        </w:rPr>
        <w:t>量、简要技术需求或服务</w:t>
      </w:r>
      <w:r>
        <w:rPr>
          <w:rFonts w:ascii="宋体" w:hAnsi="宋体" w:cs="宋体"/>
          <w:spacing w:val="-1"/>
          <w:sz w:val="24"/>
          <w:highlight w:val="none"/>
        </w:rPr>
        <w:t>要求等）</w:t>
      </w:r>
    </w:p>
    <w:p w14:paraId="6096189B">
      <w:pPr>
        <w:spacing w:before="217"/>
        <w:ind w:left="635"/>
        <w:rPr>
          <w:rFonts w:ascii="宋体" w:hAnsi="宋体" w:cs="宋体"/>
          <w:spacing w:val="-2"/>
          <w:sz w:val="24"/>
          <w:highlight w:val="none"/>
        </w:rPr>
      </w:pPr>
      <w:r>
        <w:rPr>
          <w:rFonts w:hint="eastAsia" w:ascii="宋体" w:hAnsi="宋体" w:cs="宋体"/>
          <w:spacing w:val="-1"/>
          <w:sz w:val="24"/>
          <w:highlight w:val="none"/>
          <w:lang w:val="en-US" w:eastAsia="zh-CN"/>
        </w:rPr>
        <w:t>5</w:t>
      </w:r>
      <w:r>
        <w:rPr>
          <w:rFonts w:hint="eastAsia" w:ascii="宋体" w:hAnsi="宋体" w:cs="宋体"/>
          <w:spacing w:val="-1"/>
          <w:sz w:val="24"/>
          <w:highlight w:val="none"/>
        </w:rPr>
        <w:t>.1</w:t>
      </w:r>
      <w:r>
        <w:rPr>
          <w:rFonts w:ascii="宋体" w:hAnsi="宋体" w:cs="宋体"/>
          <w:spacing w:val="-1"/>
          <w:sz w:val="24"/>
          <w:highlight w:val="none"/>
        </w:rPr>
        <w:t>采购范围：</w:t>
      </w:r>
      <w:r>
        <w:rPr>
          <w:rFonts w:hint="eastAsia" w:ascii="宋体" w:hAnsi="宋体" w:cs="宋体"/>
          <w:spacing w:val="-2"/>
          <w:sz w:val="24"/>
          <w:highlight w:val="none"/>
        </w:rPr>
        <w:t>洼冲沟排水分区混错接合流制及老旧排水管网综合改造工程施工图设计及后期现场服务</w:t>
      </w:r>
    </w:p>
    <w:p w14:paraId="53758FEA">
      <w:pPr>
        <w:spacing w:before="217"/>
        <w:ind w:left="635"/>
        <w:rPr>
          <w:rFonts w:ascii="宋体" w:hAnsi="宋体" w:cs="宋体"/>
          <w:sz w:val="24"/>
        </w:rPr>
      </w:pPr>
      <w:r>
        <w:rPr>
          <w:rFonts w:hint="eastAsia" w:ascii="宋体" w:hAnsi="宋体" w:cs="宋体"/>
          <w:spacing w:val="-1"/>
          <w:sz w:val="24"/>
          <w:highlight w:val="none"/>
          <w:lang w:val="en-US" w:eastAsia="zh-CN"/>
        </w:rPr>
        <w:t>5</w:t>
      </w:r>
      <w:r>
        <w:rPr>
          <w:rFonts w:ascii="宋体" w:hAnsi="宋体" w:cs="宋体"/>
          <w:spacing w:val="-1"/>
          <w:sz w:val="24"/>
          <w:highlight w:val="none"/>
        </w:rPr>
        <w:t>.2 服务地点：采购人指定地点</w:t>
      </w:r>
      <w:r>
        <w:rPr>
          <w:rFonts w:ascii="宋体" w:hAnsi="宋体" w:cs="宋体"/>
          <w:spacing w:val="-1"/>
          <w:sz w:val="24"/>
        </w:rPr>
        <w:t>；</w:t>
      </w:r>
    </w:p>
    <w:p w14:paraId="52ABEF5E">
      <w:pPr>
        <w:spacing w:before="217"/>
        <w:ind w:left="635"/>
        <w:rPr>
          <w:rFonts w:ascii="宋体" w:hAnsi="宋体" w:cs="宋体"/>
          <w:sz w:val="24"/>
        </w:rPr>
      </w:pPr>
      <w:r>
        <w:rPr>
          <w:rFonts w:hint="eastAsia" w:ascii="宋体" w:hAnsi="宋体" w:cs="宋体"/>
          <w:spacing w:val="-1"/>
          <w:sz w:val="24"/>
          <w:lang w:val="en-US" w:eastAsia="zh-CN"/>
        </w:rPr>
        <w:t>5</w:t>
      </w:r>
      <w:r>
        <w:rPr>
          <w:rFonts w:ascii="宋体" w:hAnsi="宋体" w:cs="宋体"/>
          <w:spacing w:val="-1"/>
          <w:sz w:val="24"/>
        </w:rPr>
        <w:t>.3 资金来源：</w:t>
      </w:r>
      <w:r>
        <w:rPr>
          <w:rFonts w:hint="eastAsia" w:ascii="宋体" w:hAnsi="宋体" w:cs="宋体"/>
          <w:spacing w:val="-1"/>
          <w:sz w:val="24"/>
        </w:rPr>
        <w:t>申请上级资金和地方财政配套</w:t>
      </w:r>
      <w:r>
        <w:rPr>
          <w:rFonts w:ascii="宋体" w:hAnsi="宋体" w:cs="宋体"/>
          <w:spacing w:val="-1"/>
          <w:sz w:val="24"/>
        </w:rPr>
        <w:t>；</w:t>
      </w:r>
    </w:p>
    <w:p w14:paraId="55387EB3">
      <w:pPr>
        <w:spacing w:before="217"/>
        <w:ind w:left="635"/>
        <w:rPr>
          <w:rFonts w:hint="eastAsia" w:ascii="宋体" w:hAnsi="宋体" w:eastAsia="宋体" w:cs="宋体"/>
          <w:spacing w:val="-2"/>
          <w:sz w:val="24"/>
          <w:lang w:eastAsia="zh-CN"/>
        </w:rPr>
      </w:pPr>
      <w:r>
        <w:rPr>
          <w:rFonts w:hint="eastAsia" w:ascii="宋体" w:hAnsi="宋体" w:cs="宋体"/>
          <w:spacing w:val="-2"/>
          <w:sz w:val="24"/>
          <w:lang w:val="en-US" w:eastAsia="zh-CN"/>
        </w:rPr>
        <w:t>5</w:t>
      </w:r>
      <w:r>
        <w:rPr>
          <w:rFonts w:ascii="宋体" w:hAnsi="宋体" w:cs="宋体"/>
          <w:spacing w:val="-2"/>
          <w:sz w:val="24"/>
        </w:rPr>
        <w:t xml:space="preserve">.4 </w:t>
      </w:r>
      <w:r>
        <w:rPr>
          <w:rFonts w:hint="eastAsia" w:ascii="宋体" w:hAnsi="宋体" w:cs="宋体"/>
          <w:spacing w:val="-2"/>
          <w:sz w:val="24"/>
        </w:rPr>
        <w:t>设计周期</w:t>
      </w:r>
      <w:r>
        <w:rPr>
          <w:rFonts w:ascii="宋体" w:hAnsi="宋体" w:cs="宋体"/>
          <w:spacing w:val="-2"/>
          <w:sz w:val="24"/>
        </w:rPr>
        <w:t>：</w:t>
      </w:r>
      <w:r>
        <w:rPr>
          <w:rFonts w:hint="eastAsia" w:ascii="宋体" w:hAnsi="宋体" w:cs="宋体"/>
          <w:spacing w:val="-2"/>
          <w:sz w:val="24"/>
          <w:lang w:eastAsia="zh-CN"/>
        </w:rPr>
        <w:t>合同签订后20日历天</w:t>
      </w:r>
    </w:p>
    <w:p w14:paraId="3942E5B3">
      <w:pPr>
        <w:spacing w:before="216"/>
        <w:ind w:left="635"/>
        <w:rPr>
          <w:sz w:val="24"/>
        </w:rPr>
      </w:pPr>
      <w:r>
        <w:rPr>
          <w:rFonts w:hint="eastAsia" w:ascii="宋体" w:hAnsi="宋体" w:cs="宋体"/>
          <w:spacing w:val="-1"/>
          <w:sz w:val="24"/>
          <w:lang w:val="en-US" w:eastAsia="zh-CN"/>
        </w:rPr>
        <w:t>5</w:t>
      </w:r>
      <w:r>
        <w:rPr>
          <w:rFonts w:ascii="宋体" w:hAnsi="宋体" w:cs="宋体"/>
          <w:spacing w:val="-1"/>
          <w:sz w:val="24"/>
        </w:rPr>
        <w:t>.5 质量标准：</w:t>
      </w:r>
      <w:r>
        <w:rPr>
          <w:rFonts w:hint="eastAsia" w:ascii="宋体" w:hAnsi="宋体" w:cs="宋体"/>
          <w:spacing w:val="-1"/>
          <w:sz w:val="24"/>
        </w:rPr>
        <w:t>符合国家及行业现行相关规定，达到合格标准</w:t>
      </w:r>
      <w:r>
        <w:rPr>
          <w:rFonts w:ascii="宋体" w:hAnsi="宋体" w:cs="宋体"/>
          <w:spacing w:val="-1"/>
          <w:sz w:val="24"/>
        </w:rPr>
        <w:t>；</w:t>
      </w:r>
    </w:p>
    <w:p w14:paraId="548E64CF">
      <w:pPr>
        <w:spacing w:before="217"/>
        <w:rPr>
          <w:rFonts w:hint="eastAsia" w:ascii="宋体" w:hAnsi="宋体" w:cs="宋体" w:eastAsiaTheme="minorEastAsia"/>
          <w:spacing w:val="-2"/>
          <w:sz w:val="24"/>
          <w:lang w:eastAsia="zh-CN"/>
        </w:rPr>
      </w:pPr>
      <w:r>
        <w:rPr>
          <w:rFonts w:hint="eastAsia" w:asciiTheme="minorEastAsia" w:hAnsiTheme="minorEastAsia" w:eastAsiaTheme="minorEastAsia" w:cstheme="minorEastAsia"/>
          <w:sz w:val="24"/>
          <w:lang w:val="en-US" w:eastAsia="zh-CN"/>
        </w:rPr>
        <w:t>6</w:t>
      </w:r>
      <w:r>
        <w:rPr>
          <w:rFonts w:hint="eastAsia" w:asciiTheme="minorEastAsia" w:hAnsiTheme="minorEastAsia" w:eastAsiaTheme="minorEastAsia" w:cstheme="minorEastAsia"/>
          <w:sz w:val="24"/>
        </w:rPr>
        <w:t>.合同履行期限：</w:t>
      </w:r>
      <w:r>
        <w:rPr>
          <w:rFonts w:hint="eastAsia" w:ascii="宋体" w:hAnsi="宋体" w:cs="宋体" w:eastAsiaTheme="minorEastAsia"/>
          <w:spacing w:val="-2"/>
          <w:sz w:val="24"/>
          <w:lang w:eastAsia="zh-CN"/>
        </w:rPr>
        <w:t>合同签订后20日历天</w:t>
      </w:r>
    </w:p>
    <w:p w14:paraId="70317200">
      <w:pPr>
        <w:spacing w:line="360" w:lineRule="auto"/>
        <w:jc w:val="left"/>
        <w:rPr>
          <w:rFonts w:ascii="宋体" w:hAnsi="宋体" w:cs="宋体"/>
          <w:sz w:val="24"/>
        </w:rPr>
      </w:pPr>
      <w:bookmarkStart w:id="4" w:name="_Toc28359013"/>
      <w:bookmarkStart w:id="5" w:name="_Toc35393799"/>
      <w:bookmarkStart w:id="6" w:name="_Toc35393630"/>
      <w:bookmarkStart w:id="7" w:name="_Toc28359090"/>
      <w:r>
        <w:rPr>
          <w:rFonts w:hint="eastAsia" w:ascii="宋体" w:hAnsi="宋体" w:cs="宋体"/>
          <w:sz w:val="24"/>
          <w:lang w:val="en-US" w:eastAsia="zh-CN"/>
        </w:rPr>
        <w:t>7</w:t>
      </w:r>
      <w:r>
        <w:rPr>
          <w:rFonts w:hint="eastAsia" w:ascii="宋体" w:hAnsi="宋体" w:cs="宋体"/>
          <w:sz w:val="24"/>
        </w:rPr>
        <w:t>.是否接受进口产品：否</w:t>
      </w:r>
    </w:p>
    <w:p w14:paraId="017564AE">
      <w:pPr>
        <w:spacing w:line="360" w:lineRule="auto"/>
        <w:jc w:val="left"/>
        <w:rPr>
          <w:rFonts w:ascii="宋体" w:hAnsi="宋体" w:cs="宋体"/>
          <w:color w:val="auto"/>
          <w:sz w:val="24"/>
          <w:highlight w:val="none"/>
        </w:rPr>
      </w:pPr>
      <w:r>
        <w:rPr>
          <w:rFonts w:hint="eastAsia" w:ascii="宋体" w:hAnsi="宋体" w:cs="宋体"/>
          <w:sz w:val="24"/>
          <w:lang w:val="en-US" w:eastAsia="zh-CN"/>
        </w:rPr>
        <w:t>8</w:t>
      </w:r>
      <w:r>
        <w:rPr>
          <w:rFonts w:hint="eastAsia" w:ascii="宋体" w:hAnsi="宋体" w:cs="宋体"/>
          <w:sz w:val="24"/>
        </w:rPr>
        <w:t>.本项目是否接受联合体</w:t>
      </w:r>
      <w:r>
        <w:rPr>
          <w:rFonts w:hint="eastAsia" w:ascii="宋体" w:hAnsi="宋体" w:cs="宋体"/>
          <w:color w:val="auto"/>
          <w:sz w:val="24"/>
          <w:highlight w:val="none"/>
        </w:rPr>
        <w:t>投标：否</w:t>
      </w:r>
    </w:p>
    <w:p w14:paraId="6BAEA6CC">
      <w:pPr>
        <w:spacing w:line="360" w:lineRule="auto"/>
        <w:jc w:val="left"/>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9</w:t>
      </w:r>
      <w:bookmarkStart w:id="38" w:name="_GoBack"/>
      <w:bookmarkEnd w:id="38"/>
      <w:r>
        <w:rPr>
          <w:rFonts w:hint="eastAsia" w:ascii="宋体" w:hAnsi="宋体" w:cs="宋体"/>
          <w:color w:val="auto"/>
          <w:sz w:val="24"/>
          <w:highlight w:val="none"/>
        </w:rPr>
        <w:t>.本项目是否为只面向中小企业采购：</w:t>
      </w:r>
      <w:r>
        <w:rPr>
          <w:rFonts w:hint="eastAsia" w:ascii="宋体" w:hAnsi="宋体" w:cs="宋体"/>
          <w:color w:val="auto"/>
          <w:sz w:val="24"/>
          <w:highlight w:val="none"/>
          <w:lang w:val="en-US" w:eastAsia="zh-CN"/>
        </w:rPr>
        <w:t>是</w:t>
      </w:r>
    </w:p>
    <w:p w14:paraId="37DEFCCE">
      <w:pPr>
        <w:pStyle w:val="3"/>
        <w:autoSpaceDE w:val="0"/>
        <w:autoSpaceDN w:val="0"/>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二、申请人的资格要求：</w:t>
      </w:r>
      <w:bookmarkEnd w:id="4"/>
      <w:bookmarkEnd w:id="5"/>
      <w:bookmarkEnd w:id="6"/>
      <w:bookmarkEnd w:id="7"/>
    </w:p>
    <w:p w14:paraId="620DD412">
      <w:pPr>
        <w:autoSpaceDE w:val="0"/>
        <w:autoSpaceDN w:val="0"/>
        <w:spacing w:line="360" w:lineRule="auto"/>
        <w:ind w:firstLine="540"/>
        <w:rPr>
          <w:rFonts w:ascii="宋体" w:hAnsi="宋体" w:cs="宋体"/>
          <w:sz w:val="24"/>
        </w:rPr>
      </w:pPr>
      <w:bookmarkStart w:id="8" w:name="_Toc28359091"/>
      <w:bookmarkStart w:id="9" w:name="_Toc28359014"/>
      <w:r>
        <w:rPr>
          <w:rFonts w:hint="eastAsia" w:ascii="宋体" w:hAnsi="宋体" w:cs="宋体"/>
          <w:sz w:val="24"/>
        </w:rPr>
        <w:t>1.满足《中华人民共和国政府采购法》第二十二条规定；</w:t>
      </w:r>
    </w:p>
    <w:p w14:paraId="03F17E25">
      <w:pPr>
        <w:adjustRightInd w:val="0"/>
        <w:snapToGrid w:val="0"/>
        <w:spacing w:line="360" w:lineRule="auto"/>
        <w:ind w:firstLine="480" w:firstLineChars="200"/>
        <w:rPr>
          <w:sz w:val="24"/>
        </w:rPr>
      </w:pPr>
      <w:r>
        <w:rPr>
          <w:rFonts w:hint="eastAsia"/>
          <w:sz w:val="24"/>
        </w:rPr>
        <w:t>（1）具有独立承担民事责任的能力</w:t>
      </w:r>
      <w:r>
        <w:rPr>
          <w:rFonts w:hint="eastAsia" w:ascii="宋体" w:hAnsi="宋体" w:cs="宋体"/>
          <w:sz w:val="24"/>
        </w:rPr>
        <w:t>（企业营业执照等证明文件）</w:t>
      </w:r>
      <w:r>
        <w:rPr>
          <w:rFonts w:hint="eastAsia"/>
          <w:sz w:val="24"/>
        </w:rPr>
        <w:t xml:space="preserve">； </w:t>
      </w:r>
    </w:p>
    <w:p w14:paraId="67FEEEAA">
      <w:pPr>
        <w:adjustRightInd w:val="0"/>
        <w:snapToGrid w:val="0"/>
        <w:spacing w:line="360" w:lineRule="auto"/>
        <w:ind w:firstLine="480" w:firstLineChars="200"/>
        <w:rPr>
          <w:color w:val="auto"/>
          <w:sz w:val="24"/>
        </w:rPr>
      </w:pPr>
      <w:r>
        <w:rPr>
          <w:rFonts w:hint="eastAsia"/>
          <w:sz w:val="24"/>
        </w:rPr>
        <w:t>（2）具有良好的商业信誉和健全的财务会计制度；（提供近三年内任意一年的财务审计报告或银行出具的资信证明，新成立公司以公</w:t>
      </w:r>
      <w:r>
        <w:rPr>
          <w:rFonts w:hint="eastAsia"/>
          <w:color w:val="auto"/>
          <w:sz w:val="24"/>
        </w:rPr>
        <w:t>司成立起点年度为准）</w:t>
      </w:r>
    </w:p>
    <w:p w14:paraId="1801B009">
      <w:pPr>
        <w:adjustRightInd w:val="0"/>
        <w:snapToGrid w:val="0"/>
        <w:spacing w:line="360" w:lineRule="auto"/>
        <w:ind w:firstLine="480" w:firstLineChars="200"/>
        <w:rPr>
          <w:color w:val="auto"/>
          <w:sz w:val="24"/>
        </w:rPr>
      </w:pPr>
      <w:r>
        <w:rPr>
          <w:rFonts w:hint="eastAsia"/>
          <w:color w:val="auto"/>
          <w:sz w:val="24"/>
        </w:rPr>
        <w:t>（3）具有履行合同所必需的设备和专业技术能力；</w:t>
      </w:r>
      <w:r>
        <w:rPr>
          <w:rFonts w:hint="eastAsia"/>
          <w:color w:val="auto"/>
          <w:sz w:val="24"/>
          <w:szCs w:val="24"/>
          <w:lang w:eastAsia="zh-CN"/>
        </w:rPr>
        <w:t>（</w:t>
      </w:r>
      <w:r>
        <w:rPr>
          <w:rFonts w:hint="eastAsia"/>
          <w:color w:val="auto"/>
          <w:sz w:val="24"/>
          <w:szCs w:val="24"/>
          <w:lang w:val="en-US" w:eastAsia="zh-CN"/>
        </w:rPr>
        <w:t>提供书面承诺书，格式自拟）</w:t>
      </w:r>
    </w:p>
    <w:p w14:paraId="484D0C2A">
      <w:pPr>
        <w:adjustRightInd w:val="0"/>
        <w:snapToGrid w:val="0"/>
        <w:spacing w:line="360" w:lineRule="auto"/>
        <w:ind w:firstLine="480" w:firstLineChars="200"/>
        <w:rPr>
          <w:sz w:val="24"/>
        </w:rPr>
      </w:pPr>
      <w:r>
        <w:rPr>
          <w:rFonts w:hint="eastAsia"/>
          <w:color w:val="auto"/>
          <w:sz w:val="24"/>
        </w:rPr>
        <w:t>（4）有依法缴纳税收和社会保障资金的良好记录；</w:t>
      </w:r>
      <w:r>
        <w:rPr>
          <w:rFonts w:hint="eastAsia" w:ascii="宋体" w:hAnsi="宋体" w:cs="宋体"/>
          <w:color w:val="auto"/>
          <w:sz w:val="24"/>
        </w:rPr>
        <w:t>（提供2025年6月以来任意</w:t>
      </w:r>
      <w:r>
        <w:rPr>
          <w:rFonts w:hint="eastAsia" w:ascii="宋体" w:hAnsi="宋体" w:cs="宋体"/>
          <w:color w:val="auto"/>
          <w:sz w:val="24"/>
          <w:lang w:val="en-US" w:eastAsia="zh-CN"/>
        </w:rPr>
        <w:t>一</w:t>
      </w:r>
      <w:r>
        <w:rPr>
          <w:rFonts w:hint="eastAsia" w:ascii="宋体" w:hAnsi="宋体" w:cs="宋体"/>
          <w:color w:val="auto"/>
          <w:sz w:val="24"/>
        </w:rPr>
        <w:t>个月的缴纳税收和社会保障资金证明文件，依法免税或不需</w:t>
      </w:r>
      <w:r>
        <w:rPr>
          <w:rFonts w:hint="eastAsia" w:ascii="宋体" w:hAnsi="宋体" w:cs="宋体"/>
          <w:sz w:val="24"/>
        </w:rPr>
        <w:t>要缴纳社会保障资金的供应商应提供相应的证明文件）；</w:t>
      </w:r>
    </w:p>
    <w:p w14:paraId="7AC799C4">
      <w:pPr>
        <w:adjustRightInd w:val="0"/>
        <w:snapToGrid w:val="0"/>
        <w:spacing w:line="360" w:lineRule="auto"/>
        <w:ind w:firstLine="480" w:firstLineChars="200"/>
        <w:rPr>
          <w:rFonts w:ascii="宋体" w:hAnsi="宋体" w:cs="宋体"/>
          <w:sz w:val="24"/>
        </w:rPr>
      </w:pPr>
      <w:r>
        <w:rPr>
          <w:rFonts w:hint="eastAsia"/>
          <w:sz w:val="24"/>
        </w:rPr>
        <w:t>（5）参加政府采购活动前三年内，在经营活动中没有重大违法记录；</w:t>
      </w:r>
      <w:r>
        <w:rPr>
          <w:rFonts w:hint="eastAsia" w:ascii="宋体" w:hAnsi="宋体" w:cs="宋体"/>
          <w:sz w:val="24"/>
        </w:rPr>
        <w:t>（提供没有重大违法记录的书面声明函，格式自拟）</w:t>
      </w:r>
    </w:p>
    <w:p w14:paraId="46968DA9">
      <w:pPr>
        <w:adjustRightInd w:val="0"/>
        <w:snapToGrid w:val="0"/>
        <w:spacing w:line="360" w:lineRule="auto"/>
        <w:ind w:firstLine="480" w:firstLineChars="200"/>
      </w:pPr>
      <w:r>
        <w:rPr>
          <w:rFonts w:hint="eastAsia"/>
          <w:sz w:val="24"/>
        </w:rPr>
        <w:t xml:space="preserve">（6）法律、行政法规规定的其他条件。 </w:t>
      </w:r>
    </w:p>
    <w:p w14:paraId="6E08CD75">
      <w:pPr>
        <w:autoSpaceDE w:val="0"/>
        <w:autoSpaceDN w:val="0"/>
        <w:spacing w:line="360" w:lineRule="auto"/>
        <w:ind w:firstLine="54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2.落实政府采购政策需满足的资格要求：促进中小企业和监狱企业发展扶持政策、政府强制采购节能产品强制采购、节能产品及环境标志产品优先采购、促进残疾人就业政府采购政策。 </w:t>
      </w:r>
    </w:p>
    <w:p w14:paraId="0139B90A">
      <w:pPr>
        <w:pStyle w:val="24"/>
        <w:spacing w:before="0" w:beforeAutospacing="0" w:after="0" w:afterAutospacing="0" w:line="460" w:lineRule="exact"/>
        <w:ind w:firstLine="480" w:firstLineChars="200"/>
        <w:rPr>
          <w:rFonts w:hint="eastAsia" w:ascii="宋体" w:hAnsi="宋体" w:cs="宋体"/>
          <w:sz w:val="24"/>
          <w:highlight w:val="none"/>
        </w:rPr>
      </w:pPr>
      <w:r>
        <w:rPr>
          <w:rFonts w:hint="eastAsia" w:asciiTheme="minorEastAsia" w:hAnsiTheme="minorEastAsia" w:eastAsiaTheme="minorEastAsia" w:cstheme="minorEastAsia"/>
          <w:sz w:val="24"/>
        </w:rPr>
        <w:t>3.本项目的特定资格要求：</w:t>
      </w:r>
      <w:r>
        <w:rPr>
          <w:rFonts w:hint="eastAsia" w:ascii="宋体" w:hAnsi="宋体" w:cs="宋体"/>
          <w:sz w:val="24"/>
          <w:highlight w:val="none"/>
        </w:rPr>
        <w:t>（1）根据《关于在政府采购活动中查询及使用信用记录有关问题的通知》（财库[2016]125号）和豫财购【2016】15号的规定，对列入失信被执行人、重大税收违法案件当事人名单、政府采购严重违法失信行为记录名单，拒绝其参与本次政府采购活动。供应商须通过“信用中国”网站（www.creditchina.gov.cn)、“中国执行信息公开网”（zxgk.court.gov.cn）对“列入失信被执行人、重大税收违法案件当事人名单、政府采购严重违法失信行为记录名单”企业和法定代表人的查询，通过“中国政府采购网”（www.ccgp.gov.cn）对“政府采购严重违法失信行为信息记录”企业信用记录查询（在投标文件中附加盖公章的网页查询扫描件，查询日期为公告发布之日起至投标截止之日止）。</w:t>
      </w:r>
    </w:p>
    <w:p w14:paraId="4110960C">
      <w:pPr>
        <w:spacing w:line="360" w:lineRule="auto"/>
        <w:ind w:firstLine="480" w:firstLineChars="200"/>
        <w:jc w:val="left"/>
        <w:rPr>
          <w:rFonts w:ascii="宋体" w:hAnsi="宋体" w:cs="宋体"/>
          <w:sz w:val="24"/>
        </w:rPr>
      </w:pPr>
      <w:r>
        <w:rPr>
          <w:rFonts w:hint="eastAsia" w:ascii="宋体" w:hAnsi="宋体" w:cs="宋体"/>
          <w:sz w:val="24"/>
        </w:rPr>
        <w:t>（2）供应商须具备建设行政主管部门核发的市政</w:t>
      </w:r>
      <w:r>
        <w:rPr>
          <w:rFonts w:hint="eastAsia" w:ascii="宋体" w:hAnsi="宋体" w:cs="宋体"/>
          <w:color w:val="auto"/>
          <w:sz w:val="24"/>
          <w:highlight w:val="none"/>
        </w:rPr>
        <w:t>行业（排水工程）专业甲级及以上设计资质，并在人员、设备、资金等方面具有相应的设计能力</w:t>
      </w:r>
      <w:r>
        <w:rPr>
          <w:rFonts w:hint="eastAsia" w:ascii="宋体" w:hAnsi="宋体" w:cs="宋体"/>
          <w:sz w:val="24"/>
        </w:rPr>
        <w:t>。</w:t>
      </w:r>
    </w:p>
    <w:p w14:paraId="2F0AEFC2">
      <w:pPr>
        <w:pStyle w:val="3"/>
        <w:autoSpaceDE w:val="0"/>
        <w:autoSpaceDN w:val="0"/>
        <w:spacing w:line="360" w:lineRule="auto"/>
        <w:jc w:val="left"/>
        <w:rPr>
          <w:rFonts w:asciiTheme="minorEastAsia" w:hAnsiTheme="minorEastAsia" w:eastAsiaTheme="minorEastAsia" w:cstheme="minorEastAsia"/>
          <w:sz w:val="24"/>
        </w:rPr>
      </w:pPr>
      <w:bookmarkStart w:id="10" w:name="_Toc35393800"/>
      <w:bookmarkStart w:id="11" w:name="_Toc35393631"/>
      <w:r>
        <w:rPr>
          <w:rFonts w:hint="eastAsia" w:asciiTheme="minorEastAsia" w:hAnsiTheme="minorEastAsia" w:eastAsiaTheme="minorEastAsia" w:cstheme="minorEastAsia"/>
          <w:sz w:val="24"/>
        </w:rPr>
        <w:t>三、获取采购文件</w:t>
      </w:r>
      <w:bookmarkEnd w:id="8"/>
      <w:bookmarkEnd w:id="9"/>
      <w:bookmarkEnd w:id="10"/>
      <w:bookmarkEnd w:id="11"/>
    </w:p>
    <w:p w14:paraId="231FB18D">
      <w:pPr>
        <w:autoSpaceDE w:val="0"/>
        <w:autoSpaceDN w:val="0"/>
        <w:spacing w:line="360" w:lineRule="auto"/>
        <w:ind w:firstLine="54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1、时间：</w:t>
      </w:r>
      <w:r>
        <w:rPr>
          <w:rFonts w:hint="eastAsia" w:asciiTheme="minorEastAsia" w:hAnsiTheme="minorEastAsia" w:eastAsiaTheme="minorEastAsia" w:cstheme="minorEastAsia"/>
          <w:sz w:val="24"/>
          <w:highlight w:val="none"/>
          <w:u w:val="single"/>
        </w:rPr>
        <w:t>2026年</w:t>
      </w:r>
      <w:r>
        <w:rPr>
          <w:rFonts w:hint="eastAsia" w:asciiTheme="minorEastAsia" w:hAnsiTheme="minorEastAsia" w:eastAsiaTheme="minorEastAsia" w:cstheme="minorEastAsia"/>
          <w:sz w:val="24"/>
          <w:highlight w:val="none"/>
          <w:u w:val="single"/>
          <w:lang w:val="en-US" w:eastAsia="zh-CN"/>
        </w:rPr>
        <w:t>3</w:t>
      </w:r>
      <w:r>
        <w:rPr>
          <w:rFonts w:hint="eastAsia" w:asciiTheme="minorEastAsia" w:hAnsiTheme="minorEastAsia" w:eastAsiaTheme="minorEastAsia" w:cstheme="minorEastAsia"/>
          <w:sz w:val="24"/>
          <w:highlight w:val="none"/>
          <w:u w:val="single"/>
        </w:rPr>
        <w:t>月</w:t>
      </w:r>
      <w:r>
        <w:rPr>
          <w:rFonts w:hint="eastAsia" w:asciiTheme="minorEastAsia" w:hAnsiTheme="minorEastAsia" w:eastAsiaTheme="minorEastAsia" w:cstheme="minorEastAsia"/>
          <w:sz w:val="24"/>
          <w:highlight w:val="none"/>
          <w:u w:val="single"/>
          <w:lang w:val="en-US" w:eastAsia="zh-CN"/>
        </w:rPr>
        <w:t>9</w:t>
      </w:r>
      <w:r>
        <w:rPr>
          <w:rFonts w:hint="eastAsia" w:asciiTheme="minorEastAsia" w:hAnsiTheme="minorEastAsia" w:eastAsiaTheme="minorEastAsia" w:cstheme="minorEastAsia"/>
          <w:sz w:val="24"/>
          <w:highlight w:val="none"/>
          <w:u w:val="single"/>
        </w:rPr>
        <w:t>日</w:t>
      </w:r>
      <w:r>
        <w:rPr>
          <w:rFonts w:hint="eastAsia" w:asciiTheme="minorEastAsia" w:hAnsiTheme="minorEastAsia" w:eastAsiaTheme="minorEastAsia" w:cstheme="minorEastAsia"/>
          <w:sz w:val="24"/>
          <w:highlight w:val="none"/>
        </w:rPr>
        <w:t>至</w:t>
      </w:r>
      <w:r>
        <w:rPr>
          <w:rFonts w:hint="eastAsia" w:asciiTheme="minorEastAsia" w:hAnsiTheme="minorEastAsia" w:eastAsiaTheme="minorEastAsia" w:cstheme="minorEastAsia"/>
          <w:sz w:val="24"/>
          <w:highlight w:val="none"/>
          <w:u w:val="single"/>
        </w:rPr>
        <w:t>2026年</w:t>
      </w:r>
      <w:r>
        <w:rPr>
          <w:rFonts w:hint="eastAsia" w:asciiTheme="minorEastAsia" w:hAnsiTheme="minorEastAsia" w:eastAsiaTheme="minorEastAsia" w:cstheme="minorEastAsia"/>
          <w:sz w:val="24"/>
          <w:highlight w:val="none"/>
          <w:u w:val="single"/>
          <w:lang w:val="en-US" w:eastAsia="zh-CN"/>
        </w:rPr>
        <w:t>3</w:t>
      </w:r>
      <w:r>
        <w:rPr>
          <w:rFonts w:hint="eastAsia" w:asciiTheme="minorEastAsia" w:hAnsiTheme="minorEastAsia" w:eastAsiaTheme="minorEastAsia" w:cstheme="minorEastAsia"/>
          <w:sz w:val="24"/>
          <w:highlight w:val="none"/>
          <w:u w:val="single"/>
        </w:rPr>
        <w:t>月</w:t>
      </w:r>
      <w:r>
        <w:rPr>
          <w:rFonts w:hint="eastAsia" w:asciiTheme="minorEastAsia" w:hAnsiTheme="minorEastAsia" w:eastAsiaTheme="minorEastAsia" w:cstheme="minorEastAsia"/>
          <w:sz w:val="24"/>
          <w:highlight w:val="none"/>
          <w:u w:val="single"/>
          <w:lang w:val="en-US" w:eastAsia="zh-CN"/>
        </w:rPr>
        <w:t>16</w:t>
      </w:r>
      <w:r>
        <w:rPr>
          <w:rFonts w:hint="eastAsia" w:asciiTheme="minorEastAsia" w:hAnsiTheme="minorEastAsia" w:eastAsiaTheme="minorEastAsia" w:cstheme="minorEastAsia"/>
          <w:sz w:val="24"/>
          <w:highlight w:val="none"/>
          <w:u w:val="single"/>
        </w:rPr>
        <w:t>日，每天上午00:00至12:00，下午12:00至23:59</w:t>
      </w:r>
      <w:r>
        <w:rPr>
          <w:rFonts w:hint="eastAsia" w:asciiTheme="minorEastAsia" w:hAnsiTheme="minorEastAsia" w:eastAsiaTheme="minorEastAsia" w:cstheme="minorEastAsia"/>
          <w:sz w:val="24"/>
        </w:rPr>
        <w:t>（北京时间，法定节假日除外 ）</w:t>
      </w:r>
    </w:p>
    <w:p w14:paraId="2A30AF00">
      <w:pPr>
        <w:spacing w:line="360" w:lineRule="auto"/>
        <w:ind w:firstLine="480" w:firstLineChars="200"/>
        <w:jc w:val="left"/>
        <w:rPr>
          <w:rFonts w:ascii="宋体" w:hAnsi="宋体" w:cs="宋体"/>
          <w:sz w:val="24"/>
        </w:rPr>
      </w:pPr>
      <w:r>
        <w:rPr>
          <w:rFonts w:hint="eastAsia" w:ascii="宋体" w:hAnsi="宋体" w:cs="宋体"/>
          <w:sz w:val="24"/>
        </w:rPr>
        <w:t>2、地点：周口市公共资源交易中心网（http://jyzx.zhoukou.gov.cn）</w:t>
      </w:r>
    </w:p>
    <w:p w14:paraId="0997B47A">
      <w:pPr>
        <w:spacing w:line="360" w:lineRule="auto"/>
        <w:ind w:firstLine="480" w:firstLineChars="200"/>
        <w:jc w:val="left"/>
        <w:rPr>
          <w:rFonts w:ascii="宋体" w:hAnsi="宋体" w:cs="宋体"/>
          <w:sz w:val="24"/>
        </w:rPr>
      </w:pPr>
      <w:r>
        <w:rPr>
          <w:rFonts w:hint="eastAsia" w:ascii="宋体" w:hAnsi="宋体" w:cs="宋体"/>
          <w:sz w:val="24"/>
        </w:rPr>
        <w:t>3、方式：供应商请在网站自主注册后下载采购文件（zkzf格式）及资料，需办理CA数字证书后方可提交响应文件，具体办理事宜请查阅周口市公共资源交易中心网站。</w:t>
      </w:r>
    </w:p>
    <w:p w14:paraId="6E757925">
      <w:pPr>
        <w:autoSpaceDE w:val="0"/>
        <w:autoSpaceDN w:val="0"/>
        <w:spacing w:line="360" w:lineRule="auto"/>
        <w:ind w:firstLine="54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4、售价：0</w:t>
      </w:r>
    </w:p>
    <w:p w14:paraId="4404564A">
      <w:pPr>
        <w:pStyle w:val="3"/>
        <w:autoSpaceDE w:val="0"/>
        <w:autoSpaceDN w:val="0"/>
        <w:spacing w:line="360" w:lineRule="auto"/>
        <w:jc w:val="left"/>
        <w:rPr>
          <w:rFonts w:asciiTheme="minorEastAsia" w:hAnsiTheme="minorEastAsia" w:eastAsiaTheme="minorEastAsia" w:cstheme="minorEastAsia"/>
          <w:sz w:val="24"/>
        </w:rPr>
      </w:pPr>
      <w:bookmarkStart w:id="12" w:name="_Toc28359092"/>
      <w:bookmarkStart w:id="13" w:name="_Toc35393632"/>
      <w:bookmarkStart w:id="14" w:name="_Toc35393801"/>
      <w:bookmarkStart w:id="15" w:name="_Toc28359015"/>
      <w:r>
        <w:rPr>
          <w:rFonts w:hint="eastAsia" w:asciiTheme="minorEastAsia" w:hAnsiTheme="minorEastAsia" w:eastAsiaTheme="minorEastAsia" w:cstheme="minorEastAsia"/>
          <w:sz w:val="24"/>
        </w:rPr>
        <w:t>四、响应文件提交</w:t>
      </w:r>
      <w:bookmarkEnd w:id="12"/>
      <w:bookmarkEnd w:id="13"/>
      <w:bookmarkEnd w:id="14"/>
      <w:bookmarkEnd w:id="15"/>
    </w:p>
    <w:p w14:paraId="7DC24E28">
      <w:pPr>
        <w:autoSpaceDE w:val="0"/>
        <w:autoSpaceDN w:val="0"/>
        <w:spacing w:line="360" w:lineRule="auto"/>
        <w:ind w:firstLine="480" w:firstLineChars="200"/>
        <w:rPr>
          <w:rFonts w:asciiTheme="minorEastAsia" w:hAnsiTheme="minorEastAsia" w:eastAsiaTheme="minorEastAsia" w:cstheme="minorEastAsia"/>
          <w:bCs/>
          <w:sz w:val="24"/>
          <w:u w:val="single"/>
        </w:rPr>
      </w:pPr>
      <w:r>
        <w:rPr>
          <w:rFonts w:hint="eastAsia" w:asciiTheme="minorEastAsia" w:hAnsiTheme="minorEastAsia" w:eastAsiaTheme="minorEastAsia" w:cstheme="minorEastAsia"/>
          <w:sz w:val="24"/>
        </w:rPr>
        <w:t>1、截止时间：</w:t>
      </w:r>
      <w:r>
        <w:rPr>
          <w:rFonts w:hint="eastAsia" w:asciiTheme="minorEastAsia" w:hAnsiTheme="minorEastAsia" w:eastAsiaTheme="minorEastAsia" w:cstheme="minorEastAsia"/>
          <w:sz w:val="24"/>
          <w:highlight w:val="none"/>
          <w:u w:val="single"/>
        </w:rPr>
        <w:t>2026</w:t>
      </w:r>
      <w:r>
        <w:rPr>
          <w:rFonts w:hint="eastAsia" w:asciiTheme="minorEastAsia" w:hAnsiTheme="minorEastAsia" w:eastAsiaTheme="minorEastAsia" w:cstheme="minorEastAsia"/>
          <w:bCs/>
          <w:sz w:val="24"/>
          <w:highlight w:val="none"/>
          <w:u w:val="single"/>
        </w:rPr>
        <w:t>年</w:t>
      </w:r>
      <w:r>
        <w:rPr>
          <w:rFonts w:hint="eastAsia" w:asciiTheme="minorEastAsia" w:hAnsiTheme="minorEastAsia" w:eastAsiaTheme="minorEastAsia" w:cstheme="minorEastAsia"/>
          <w:bCs/>
          <w:sz w:val="24"/>
          <w:highlight w:val="none"/>
          <w:u w:val="single"/>
          <w:lang w:val="en-US" w:eastAsia="zh-CN"/>
        </w:rPr>
        <w:t>3月20</w:t>
      </w:r>
      <w:r>
        <w:rPr>
          <w:rFonts w:hint="eastAsia" w:asciiTheme="minorEastAsia" w:hAnsiTheme="minorEastAsia" w:eastAsiaTheme="minorEastAsia" w:cstheme="minorEastAsia"/>
          <w:bCs/>
          <w:sz w:val="24"/>
          <w:highlight w:val="none"/>
          <w:u w:val="single"/>
        </w:rPr>
        <w:t>日</w:t>
      </w:r>
      <w:r>
        <w:rPr>
          <w:rFonts w:hint="eastAsia" w:asciiTheme="minorEastAsia" w:hAnsiTheme="minorEastAsia" w:eastAsiaTheme="minorEastAsia" w:cstheme="minorEastAsia"/>
          <w:bCs/>
          <w:sz w:val="24"/>
          <w:highlight w:val="none"/>
          <w:u w:val="single"/>
          <w:lang w:val="en-US" w:eastAsia="zh-CN"/>
        </w:rPr>
        <w:t>10</w:t>
      </w:r>
      <w:r>
        <w:rPr>
          <w:rFonts w:hint="eastAsia" w:asciiTheme="minorEastAsia" w:hAnsiTheme="minorEastAsia" w:eastAsiaTheme="minorEastAsia" w:cstheme="minorEastAsia"/>
          <w:bCs/>
          <w:sz w:val="24"/>
          <w:highlight w:val="none"/>
          <w:u w:val="single"/>
        </w:rPr>
        <w:t>点00分</w:t>
      </w:r>
      <w:r>
        <w:rPr>
          <w:rFonts w:hint="eastAsia" w:asciiTheme="minorEastAsia" w:hAnsiTheme="minorEastAsia" w:eastAsiaTheme="minorEastAsia" w:cstheme="minorEastAsia"/>
          <w:bCs/>
          <w:sz w:val="24"/>
        </w:rPr>
        <w:t>（北京时间）</w:t>
      </w:r>
    </w:p>
    <w:p w14:paraId="6DB6FD24">
      <w:pPr>
        <w:autoSpaceDE w:val="0"/>
        <w:autoSpaceDN w:val="0"/>
        <w:spacing w:line="360" w:lineRule="auto"/>
        <w:ind w:firstLine="480" w:firstLineChars="200"/>
        <w:rPr>
          <w:rFonts w:asciiTheme="minorEastAsia" w:hAnsiTheme="minorEastAsia" w:eastAsiaTheme="minorEastAsia" w:cstheme="minorEastAsia"/>
          <w:bCs/>
          <w:sz w:val="24"/>
          <w:u w:val="single"/>
        </w:rPr>
      </w:pPr>
      <w:r>
        <w:rPr>
          <w:rFonts w:hint="eastAsia" w:asciiTheme="minorEastAsia" w:hAnsiTheme="minorEastAsia" w:eastAsiaTheme="minorEastAsia" w:cstheme="minorEastAsia"/>
          <w:sz w:val="24"/>
        </w:rPr>
        <w:t>2、地点：加密电子响应文件须在投标截止时间前通过</w:t>
      </w:r>
      <w:r>
        <w:rPr>
          <w:rFonts w:hint="eastAsia" w:asciiTheme="minorEastAsia" w:hAnsiTheme="minorEastAsia" w:eastAsiaTheme="minorEastAsia" w:cstheme="minorEastAsia"/>
          <w:spacing w:val="-6"/>
          <w:sz w:val="24"/>
        </w:rPr>
        <w:t>周口市公共资源交易中心网</w:t>
      </w:r>
      <w:r>
        <w:rPr>
          <w:rFonts w:hint="eastAsia" w:asciiTheme="minorEastAsia" w:hAnsiTheme="minorEastAsia" w:eastAsiaTheme="minorEastAsia" w:cstheme="minorEastAsia"/>
          <w:sz w:val="24"/>
        </w:rPr>
        <w:t>（网址</w:t>
      </w:r>
      <w:r>
        <w:rPr>
          <w:rFonts w:hint="eastAsia" w:asciiTheme="minorEastAsia" w:hAnsiTheme="minorEastAsia" w:eastAsiaTheme="minorEastAsia" w:cstheme="minorEastAsia"/>
          <w:color w:val="000000"/>
          <w:sz w:val="24"/>
        </w:rPr>
        <w:t>http://jyzx.zhoukou.gov.cn</w:t>
      </w:r>
      <w:r>
        <w:rPr>
          <w:rFonts w:hint="eastAsia" w:asciiTheme="minorEastAsia" w:hAnsiTheme="minorEastAsia" w:eastAsiaTheme="minorEastAsia" w:cstheme="minorEastAsia"/>
          <w:sz w:val="24"/>
        </w:rPr>
        <w:t>）。</w:t>
      </w:r>
    </w:p>
    <w:p w14:paraId="6813B46C">
      <w:pPr>
        <w:pStyle w:val="3"/>
        <w:autoSpaceDE w:val="0"/>
        <w:autoSpaceDN w:val="0"/>
        <w:spacing w:line="360" w:lineRule="auto"/>
        <w:jc w:val="left"/>
        <w:rPr>
          <w:rFonts w:asciiTheme="minorEastAsia" w:hAnsiTheme="minorEastAsia" w:eastAsiaTheme="minorEastAsia" w:cstheme="minorEastAsia"/>
          <w:sz w:val="24"/>
        </w:rPr>
      </w:pPr>
      <w:bookmarkStart w:id="16" w:name="_Toc35393633"/>
      <w:bookmarkStart w:id="17" w:name="_Toc35393802"/>
      <w:bookmarkStart w:id="18" w:name="_Toc28359016"/>
      <w:bookmarkStart w:id="19" w:name="_Toc28359093"/>
      <w:r>
        <w:rPr>
          <w:rFonts w:hint="eastAsia" w:asciiTheme="minorEastAsia" w:hAnsiTheme="minorEastAsia" w:eastAsiaTheme="minorEastAsia" w:cstheme="minorEastAsia"/>
          <w:sz w:val="24"/>
        </w:rPr>
        <w:t>五、</w:t>
      </w:r>
      <w:bookmarkEnd w:id="16"/>
      <w:bookmarkEnd w:id="17"/>
      <w:bookmarkEnd w:id="18"/>
      <w:bookmarkEnd w:id="19"/>
      <w:r>
        <w:rPr>
          <w:rFonts w:hint="eastAsia" w:asciiTheme="minorEastAsia" w:hAnsiTheme="minorEastAsia" w:eastAsiaTheme="minorEastAsia" w:cstheme="minorEastAsia"/>
          <w:sz w:val="24"/>
        </w:rPr>
        <w:t>响应文件开启</w:t>
      </w:r>
    </w:p>
    <w:p w14:paraId="0A6B7174">
      <w:pPr>
        <w:autoSpaceDE w:val="0"/>
        <w:autoSpaceDN w:val="0"/>
        <w:spacing w:line="360" w:lineRule="auto"/>
        <w:ind w:firstLine="480" w:firstLineChars="200"/>
        <w:rPr>
          <w:rFonts w:asciiTheme="minorEastAsia" w:hAnsiTheme="minorEastAsia" w:eastAsiaTheme="minorEastAsia" w:cstheme="minorEastAsia"/>
          <w:bCs/>
          <w:sz w:val="24"/>
          <w:u w:val="single"/>
        </w:rPr>
      </w:pPr>
      <w:r>
        <w:rPr>
          <w:rFonts w:hint="eastAsia" w:asciiTheme="minorEastAsia" w:hAnsiTheme="minorEastAsia" w:eastAsiaTheme="minorEastAsia" w:cstheme="minorEastAsia"/>
          <w:sz w:val="24"/>
        </w:rPr>
        <w:t>1、时间：</w:t>
      </w:r>
      <w:r>
        <w:rPr>
          <w:rFonts w:hint="eastAsia" w:asciiTheme="minorEastAsia" w:hAnsiTheme="minorEastAsia" w:eastAsiaTheme="minorEastAsia" w:cstheme="minorEastAsia"/>
          <w:sz w:val="24"/>
          <w:highlight w:val="none"/>
          <w:u w:val="single"/>
        </w:rPr>
        <w:t>2026</w:t>
      </w:r>
      <w:r>
        <w:rPr>
          <w:rFonts w:hint="eastAsia" w:asciiTheme="minorEastAsia" w:hAnsiTheme="minorEastAsia" w:eastAsiaTheme="minorEastAsia" w:cstheme="minorEastAsia"/>
          <w:bCs/>
          <w:sz w:val="24"/>
          <w:highlight w:val="none"/>
          <w:u w:val="single"/>
        </w:rPr>
        <w:t>年</w:t>
      </w:r>
      <w:r>
        <w:rPr>
          <w:rFonts w:hint="eastAsia" w:asciiTheme="minorEastAsia" w:hAnsiTheme="minorEastAsia" w:eastAsiaTheme="minorEastAsia" w:cstheme="minorEastAsia"/>
          <w:bCs/>
          <w:sz w:val="24"/>
          <w:highlight w:val="none"/>
          <w:u w:val="single"/>
          <w:lang w:val="en-US" w:eastAsia="zh-CN"/>
        </w:rPr>
        <w:t>3月20</w:t>
      </w:r>
      <w:r>
        <w:rPr>
          <w:rFonts w:hint="eastAsia" w:asciiTheme="minorEastAsia" w:hAnsiTheme="minorEastAsia" w:eastAsiaTheme="minorEastAsia" w:cstheme="minorEastAsia"/>
          <w:bCs/>
          <w:sz w:val="24"/>
          <w:highlight w:val="none"/>
          <w:u w:val="single"/>
        </w:rPr>
        <w:t>日</w:t>
      </w:r>
      <w:r>
        <w:rPr>
          <w:rFonts w:hint="eastAsia" w:asciiTheme="minorEastAsia" w:hAnsiTheme="minorEastAsia" w:eastAsiaTheme="minorEastAsia" w:cstheme="minorEastAsia"/>
          <w:bCs/>
          <w:sz w:val="24"/>
          <w:highlight w:val="none"/>
          <w:u w:val="single"/>
          <w:lang w:val="en-US" w:eastAsia="zh-CN"/>
        </w:rPr>
        <w:t>10</w:t>
      </w:r>
      <w:r>
        <w:rPr>
          <w:rFonts w:hint="eastAsia" w:asciiTheme="minorEastAsia" w:hAnsiTheme="minorEastAsia" w:eastAsiaTheme="minorEastAsia" w:cstheme="minorEastAsia"/>
          <w:bCs/>
          <w:sz w:val="24"/>
          <w:highlight w:val="none"/>
          <w:u w:val="single"/>
        </w:rPr>
        <w:t>点00分</w:t>
      </w:r>
      <w:r>
        <w:rPr>
          <w:rFonts w:hint="eastAsia" w:asciiTheme="minorEastAsia" w:hAnsiTheme="minorEastAsia" w:eastAsiaTheme="minorEastAsia" w:cstheme="minorEastAsia"/>
          <w:bCs/>
          <w:sz w:val="24"/>
          <w:highlight w:val="none"/>
        </w:rPr>
        <w:t>（北京时间）</w:t>
      </w:r>
    </w:p>
    <w:p w14:paraId="6E173251">
      <w:pPr>
        <w:autoSpaceDE w:val="0"/>
        <w:autoSpaceDN w:val="0"/>
        <w:spacing w:line="360" w:lineRule="auto"/>
        <w:ind w:firstLine="480" w:firstLineChars="200"/>
        <w:jc w:val="left"/>
        <w:rPr>
          <w:rFonts w:asciiTheme="minorEastAsia" w:hAnsiTheme="minorEastAsia" w:eastAsiaTheme="minorEastAsia" w:cstheme="minorEastAsia"/>
          <w:bCs/>
          <w:sz w:val="24"/>
          <w:u w:val="single"/>
        </w:rPr>
      </w:pPr>
      <w:r>
        <w:rPr>
          <w:rFonts w:hint="eastAsia" w:asciiTheme="minorEastAsia" w:hAnsiTheme="minorEastAsia" w:eastAsiaTheme="minorEastAsia" w:cstheme="minorEastAsia"/>
          <w:sz w:val="24"/>
        </w:rPr>
        <w:t>2、地点：</w:t>
      </w:r>
      <w:r>
        <w:rPr>
          <w:rFonts w:hint="eastAsia" w:ascii="宋体" w:hAnsi="宋体" w:cs="宋体"/>
          <w:sz w:val="24"/>
        </w:rPr>
        <w:t>周口市公共资源交易中心开标室</w:t>
      </w:r>
    </w:p>
    <w:p w14:paraId="7E0BEF2B">
      <w:pPr>
        <w:pStyle w:val="3"/>
        <w:autoSpaceDE w:val="0"/>
        <w:autoSpaceDN w:val="0"/>
        <w:spacing w:line="360" w:lineRule="auto"/>
        <w:jc w:val="left"/>
        <w:rPr>
          <w:rFonts w:asciiTheme="minorEastAsia" w:hAnsiTheme="minorEastAsia" w:eastAsiaTheme="minorEastAsia" w:cstheme="minorEastAsia"/>
          <w:sz w:val="24"/>
        </w:rPr>
      </w:pPr>
      <w:bookmarkStart w:id="20" w:name="_Toc28359017"/>
      <w:bookmarkStart w:id="21" w:name="_Toc28359094"/>
      <w:bookmarkStart w:id="22" w:name="_Toc35393803"/>
      <w:bookmarkStart w:id="23" w:name="_Toc35393634"/>
      <w:r>
        <w:rPr>
          <w:rFonts w:hint="eastAsia" w:asciiTheme="minorEastAsia" w:hAnsiTheme="minorEastAsia" w:eastAsiaTheme="minorEastAsia" w:cstheme="minorEastAsia"/>
          <w:sz w:val="24"/>
        </w:rPr>
        <w:t>六、</w:t>
      </w:r>
      <w:bookmarkEnd w:id="20"/>
      <w:bookmarkEnd w:id="21"/>
      <w:bookmarkEnd w:id="22"/>
      <w:bookmarkEnd w:id="23"/>
      <w:r>
        <w:rPr>
          <w:rFonts w:hint="eastAsia" w:asciiTheme="minorEastAsia" w:hAnsiTheme="minorEastAsia" w:eastAsiaTheme="minorEastAsia" w:cstheme="minorEastAsia"/>
          <w:sz w:val="24"/>
        </w:rPr>
        <w:t>发布公告的媒介及招标公告期限</w:t>
      </w:r>
    </w:p>
    <w:p w14:paraId="2C305ADC">
      <w:pPr>
        <w:autoSpaceDE w:val="0"/>
        <w:autoSpaceDN w:val="0"/>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本次招标公告在《河南省政府采购网》周口市公共资源交易中心网（http://jyzx.zhoukou.gov.cn）上发布， 招标公告期限为五个工作日</w:t>
      </w:r>
    </w:p>
    <w:p w14:paraId="11BE4FA5">
      <w:pPr>
        <w:pStyle w:val="3"/>
        <w:numPr>
          <w:ilvl w:val="0"/>
          <w:numId w:val="2"/>
        </w:numPr>
        <w:autoSpaceDE w:val="0"/>
        <w:autoSpaceDN w:val="0"/>
        <w:spacing w:line="360" w:lineRule="auto"/>
        <w:jc w:val="left"/>
        <w:rPr>
          <w:rFonts w:asciiTheme="minorEastAsia" w:hAnsiTheme="minorEastAsia" w:eastAsiaTheme="minorEastAsia" w:cstheme="minorEastAsia"/>
          <w:sz w:val="24"/>
        </w:rPr>
      </w:pPr>
      <w:bookmarkStart w:id="24" w:name="_Toc35393804"/>
      <w:bookmarkStart w:id="25" w:name="_Toc35393635"/>
      <w:r>
        <w:rPr>
          <w:rFonts w:hint="eastAsia" w:asciiTheme="minorEastAsia" w:hAnsiTheme="minorEastAsia" w:eastAsiaTheme="minorEastAsia" w:cstheme="minorEastAsia"/>
          <w:sz w:val="24"/>
        </w:rPr>
        <w:t>其他补充事宜</w:t>
      </w:r>
      <w:bookmarkEnd w:id="24"/>
      <w:bookmarkEnd w:id="25"/>
    </w:p>
    <w:p w14:paraId="56EEF670">
      <w:pPr>
        <w:ind w:firstLine="720" w:firstLineChars="3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无</w:t>
      </w:r>
    </w:p>
    <w:p w14:paraId="5E0A4364">
      <w:pPr>
        <w:pStyle w:val="3"/>
        <w:autoSpaceDE w:val="0"/>
        <w:autoSpaceDN w:val="0"/>
        <w:spacing w:line="360" w:lineRule="auto"/>
        <w:jc w:val="left"/>
        <w:rPr>
          <w:rFonts w:asciiTheme="minorEastAsia" w:hAnsiTheme="minorEastAsia" w:eastAsiaTheme="minorEastAsia" w:cstheme="minorEastAsia"/>
          <w:sz w:val="24"/>
        </w:rPr>
      </w:pPr>
      <w:bookmarkStart w:id="26" w:name="_Toc35393636"/>
      <w:bookmarkStart w:id="27" w:name="_Toc28359018"/>
      <w:bookmarkStart w:id="28" w:name="_Toc28359095"/>
      <w:bookmarkStart w:id="29" w:name="_Toc35393805"/>
      <w:r>
        <w:rPr>
          <w:rFonts w:hint="eastAsia" w:asciiTheme="minorEastAsia" w:hAnsiTheme="minorEastAsia" w:eastAsiaTheme="minorEastAsia" w:cstheme="minorEastAsia"/>
          <w:sz w:val="24"/>
        </w:rPr>
        <w:t>八、凡对本次采购提出询问，请按以下方式联系。</w:t>
      </w:r>
      <w:bookmarkEnd w:id="26"/>
      <w:bookmarkEnd w:id="27"/>
      <w:bookmarkEnd w:id="28"/>
      <w:bookmarkEnd w:id="29"/>
    </w:p>
    <w:p w14:paraId="6B20A511">
      <w:pPr>
        <w:spacing w:line="360" w:lineRule="auto"/>
        <w:ind w:firstLine="480" w:firstLineChars="200"/>
        <w:jc w:val="left"/>
        <w:rPr>
          <w:rFonts w:ascii="宋体" w:hAnsi="宋体" w:cs="宋体"/>
          <w:sz w:val="24"/>
        </w:rPr>
      </w:pPr>
      <w:r>
        <w:rPr>
          <w:rFonts w:hint="eastAsia" w:ascii="宋体" w:hAnsi="宋体" w:cs="宋体"/>
          <w:sz w:val="24"/>
        </w:rPr>
        <w:t>1.采购人信息</w:t>
      </w:r>
    </w:p>
    <w:p w14:paraId="188C5352">
      <w:pPr>
        <w:spacing w:line="360" w:lineRule="auto"/>
        <w:ind w:firstLine="480" w:firstLineChars="200"/>
        <w:jc w:val="left"/>
        <w:rPr>
          <w:rFonts w:ascii="宋体" w:hAnsi="宋体" w:cs="宋体"/>
          <w:sz w:val="24"/>
        </w:rPr>
      </w:pPr>
      <w:r>
        <w:rPr>
          <w:rFonts w:hint="eastAsia" w:ascii="宋体" w:hAnsi="宋体" w:cs="宋体"/>
          <w:sz w:val="24"/>
        </w:rPr>
        <w:t xml:space="preserve">名称：周口市城市管理局 </w:t>
      </w:r>
    </w:p>
    <w:p w14:paraId="65FACEDF">
      <w:pPr>
        <w:spacing w:line="360" w:lineRule="auto"/>
        <w:ind w:firstLine="480" w:firstLineChars="200"/>
        <w:jc w:val="left"/>
        <w:rPr>
          <w:rFonts w:ascii="宋体" w:hAnsi="宋体" w:cs="宋体"/>
          <w:sz w:val="24"/>
        </w:rPr>
      </w:pPr>
      <w:r>
        <w:rPr>
          <w:rFonts w:hint="eastAsia" w:ascii="宋体" w:hAnsi="宋体" w:cs="宋体"/>
          <w:sz w:val="24"/>
        </w:rPr>
        <w:t>地址：周口市川汇区八一大道与建设大道交叉口南</w:t>
      </w:r>
    </w:p>
    <w:p w14:paraId="54DD0E5B">
      <w:pPr>
        <w:spacing w:line="360" w:lineRule="auto"/>
        <w:ind w:firstLine="480" w:firstLineChars="200"/>
        <w:jc w:val="left"/>
        <w:rPr>
          <w:rFonts w:ascii="宋体" w:hAnsi="宋体" w:cs="宋体"/>
          <w:sz w:val="24"/>
        </w:rPr>
      </w:pPr>
      <w:r>
        <w:rPr>
          <w:rFonts w:hint="eastAsia" w:ascii="宋体" w:hAnsi="宋体" w:cs="宋体"/>
          <w:sz w:val="24"/>
        </w:rPr>
        <w:t xml:space="preserve">联系人：张文池 </w:t>
      </w:r>
    </w:p>
    <w:p w14:paraId="59EF9E05">
      <w:pPr>
        <w:spacing w:line="360" w:lineRule="auto"/>
        <w:ind w:firstLine="480" w:firstLineChars="200"/>
        <w:jc w:val="left"/>
        <w:rPr>
          <w:rFonts w:ascii="宋体" w:hAnsi="宋体" w:cs="宋体"/>
          <w:sz w:val="24"/>
        </w:rPr>
      </w:pPr>
      <w:r>
        <w:rPr>
          <w:rFonts w:hint="eastAsia" w:ascii="宋体" w:hAnsi="宋体" w:cs="宋体"/>
          <w:sz w:val="24"/>
        </w:rPr>
        <w:t xml:space="preserve">联系方式：0394-8590111 　　　　　　　　 </w:t>
      </w:r>
      <w:bookmarkStart w:id="30" w:name="_Toc28359009"/>
      <w:bookmarkStart w:id="31" w:name="_Toc28359086"/>
    </w:p>
    <w:p w14:paraId="508DDFA2">
      <w:pPr>
        <w:spacing w:line="360" w:lineRule="auto"/>
        <w:ind w:firstLine="480" w:firstLineChars="200"/>
        <w:jc w:val="left"/>
        <w:rPr>
          <w:rFonts w:ascii="宋体" w:hAnsi="宋体" w:cs="宋体"/>
          <w:sz w:val="24"/>
        </w:rPr>
      </w:pPr>
      <w:r>
        <w:rPr>
          <w:rFonts w:hint="eastAsia" w:ascii="宋体" w:hAnsi="宋体" w:cs="宋体"/>
          <w:sz w:val="24"/>
        </w:rPr>
        <w:t>2.采购代理机构信息</w:t>
      </w:r>
      <w:bookmarkEnd w:id="30"/>
      <w:bookmarkEnd w:id="31"/>
    </w:p>
    <w:p w14:paraId="7EF0355C">
      <w:pPr>
        <w:spacing w:line="360" w:lineRule="auto"/>
        <w:ind w:firstLine="480" w:firstLineChars="200"/>
        <w:jc w:val="left"/>
        <w:rPr>
          <w:rFonts w:ascii="宋体" w:hAnsi="宋体" w:cs="宋体"/>
          <w:sz w:val="24"/>
        </w:rPr>
      </w:pPr>
      <w:bookmarkStart w:id="32" w:name="_Toc28359087"/>
      <w:bookmarkStart w:id="33" w:name="_Toc28359010"/>
      <w:r>
        <w:rPr>
          <w:rFonts w:hint="eastAsia" w:ascii="宋体" w:hAnsi="宋体" w:cs="宋体"/>
          <w:sz w:val="24"/>
        </w:rPr>
        <w:t xml:space="preserve">名称：河南泓浩工程管理有限公司 </w:t>
      </w:r>
    </w:p>
    <w:p w14:paraId="2879D980">
      <w:pPr>
        <w:spacing w:line="360" w:lineRule="auto"/>
        <w:ind w:firstLine="480" w:firstLineChars="200"/>
        <w:jc w:val="left"/>
        <w:rPr>
          <w:rFonts w:ascii="宋体" w:hAnsi="宋体" w:cs="宋体"/>
          <w:sz w:val="24"/>
        </w:rPr>
      </w:pPr>
      <w:r>
        <w:rPr>
          <w:rFonts w:hint="eastAsia" w:ascii="宋体" w:hAnsi="宋体" w:cs="宋体"/>
          <w:sz w:val="24"/>
        </w:rPr>
        <w:t>地址：河南省周口市文昌大道南侧佳利财富中心</w:t>
      </w:r>
    </w:p>
    <w:p w14:paraId="200B430A">
      <w:pPr>
        <w:spacing w:line="360" w:lineRule="auto"/>
        <w:ind w:firstLine="480" w:firstLineChars="200"/>
        <w:jc w:val="left"/>
        <w:rPr>
          <w:rFonts w:ascii="宋体" w:hAnsi="宋体" w:cs="宋体"/>
          <w:sz w:val="24"/>
        </w:rPr>
      </w:pPr>
      <w:r>
        <w:rPr>
          <w:rFonts w:hint="eastAsia" w:ascii="宋体" w:hAnsi="宋体" w:cs="宋体"/>
          <w:sz w:val="24"/>
        </w:rPr>
        <w:t>联系人：</w:t>
      </w:r>
      <w:r>
        <w:rPr>
          <w:rFonts w:hint="eastAsia" w:ascii="宋体" w:hAnsi="宋体" w:cs="宋体"/>
          <w:sz w:val="24"/>
          <w:lang w:val="en-US" w:eastAsia="zh-CN"/>
        </w:rPr>
        <w:t>郑鹏飞</w:t>
      </w:r>
      <w:r>
        <w:rPr>
          <w:rFonts w:hint="eastAsia" w:ascii="宋体" w:hAnsi="宋体" w:cs="宋体"/>
          <w:sz w:val="24"/>
        </w:rPr>
        <w:t xml:space="preserve"> </w:t>
      </w:r>
    </w:p>
    <w:p w14:paraId="73E9F570">
      <w:pPr>
        <w:spacing w:line="360" w:lineRule="auto"/>
        <w:ind w:firstLine="480" w:firstLineChars="200"/>
        <w:jc w:val="left"/>
        <w:rPr>
          <w:rFonts w:ascii="宋体" w:hAnsi="宋体" w:cs="宋体"/>
          <w:sz w:val="24"/>
        </w:rPr>
      </w:pPr>
      <w:r>
        <w:rPr>
          <w:rFonts w:hint="eastAsia" w:ascii="宋体" w:hAnsi="宋体" w:cs="宋体"/>
          <w:sz w:val="24"/>
        </w:rPr>
        <w:t>联系电话：13193611355 　　　</w:t>
      </w:r>
      <w:bookmarkEnd w:id="32"/>
      <w:bookmarkEnd w:id="33"/>
    </w:p>
    <w:p w14:paraId="73471FF3">
      <w:pPr>
        <w:spacing w:line="360" w:lineRule="auto"/>
        <w:ind w:firstLine="480" w:firstLineChars="200"/>
        <w:jc w:val="left"/>
        <w:rPr>
          <w:rFonts w:ascii="宋体" w:hAnsi="宋体" w:cs="宋体"/>
          <w:sz w:val="24"/>
        </w:rPr>
      </w:pPr>
      <w:r>
        <w:rPr>
          <w:rFonts w:hint="eastAsia" w:ascii="宋体" w:hAnsi="宋体" w:cs="宋体"/>
          <w:sz w:val="24"/>
        </w:rPr>
        <w:t>3.监督单位：周口市财政局政府采购监督管理科</w:t>
      </w:r>
    </w:p>
    <w:p w14:paraId="1902EA8B">
      <w:pPr>
        <w:spacing w:line="360" w:lineRule="auto"/>
        <w:ind w:firstLine="480" w:firstLineChars="200"/>
        <w:jc w:val="left"/>
        <w:rPr>
          <w:rFonts w:ascii="宋体" w:hAnsi="宋体" w:cs="宋体"/>
          <w:sz w:val="24"/>
        </w:rPr>
      </w:pPr>
      <w:r>
        <w:rPr>
          <w:rFonts w:hint="eastAsia" w:ascii="宋体" w:hAnsi="宋体" w:cs="宋体"/>
          <w:sz w:val="24"/>
        </w:rPr>
        <w:t>联系方式：0394-8106976</w:t>
      </w:r>
    </w:p>
    <w:p w14:paraId="4F06B9E9">
      <w:pPr>
        <w:pStyle w:val="9"/>
        <w:adjustRightInd w:val="0"/>
        <w:snapToGrid w:val="0"/>
        <w:spacing w:line="360" w:lineRule="auto"/>
        <w:ind w:firstLine="2040" w:firstLineChars="850"/>
        <w:rPr>
          <w:rFonts w:ascii="宋体" w:hAnsi="宋体" w:cs="宋体"/>
          <w:sz w:val="24"/>
        </w:rPr>
      </w:pPr>
    </w:p>
    <w:p w14:paraId="1C2EC1D2">
      <w:pPr>
        <w:pStyle w:val="11"/>
        <w:adjustRightInd w:val="0"/>
        <w:spacing w:line="360" w:lineRule="auto"/>
        <w:ind w:firstLine="3360" w:firstLineChars="1400"/>
        <w:jc w:val="right"/>
        <w:rPr>
          <w:rFonts w:ascii="宋体" w:hAnsi="宋体" w:cs="宋体"/>
          <w:sz w:val="24"/>
          <w:szCs w:val="24"/>
          <w:highlight w:val="none"/>
        </w:rPr>
      </w:pPr>
      <w:r>
        <w:rPr>
          <w:rFonts w:hint="eastAsia" w:ascii="宋体" w:hAnsi="宋体" w:cs="宋体"/>
          <w:sz w:val="24"/>
          <w:szCs w:val="24"/>
        </w:rPr>
        <w:t>河南泓浩工程管理有限</w:t>
      </w:r>
      <w:r>
        <w:rPr>
          <w:rFonts w:hint="eastAsia" w:ascii="宋体" w:hAnsi="宋体" w:cs="宋体"/>
          <w:sz w:val="24"/>
          <w:szCs w:val="24"/>
          <w:highlight w:val="none"/>
        </w:rPr>
        <w:t>公司</w:t>
      </w:r>
    </w:p>
    <w:p w14:paraId="26826C8A">
      <w:pPr>
        <w:pStyle w:val="11"/>
        <w:adjustRightInd w:val="0"/>
        <w:spacing w:line="360" w:lineRule="auto"/>
        <w:ind w:firstLine="3360" w:firstLineChars="1400"/>
        <w:jc w:val="right"/>
        <w:rPr>
          <w:rFonts w:ascii="宋体" w:hAnsi="宋体" w:cs="宋体"/>
          <w:sz w:val="24"/>
          <w:szCs w:val="24"/>
        </w:rPr>
      </w:pPr>
      <w:r>
        <w:rPr>
          <w:rFonts w:hint="eastAsia" w:ascii="宋体" w:hAnsi="宋体" w:cs="宋体"/>
          <w:sz w:val="24"/>
          <w:szCs w:val="24"/>
          <w:highlight w:val="none"/>
        </w:rPr>
        <w:t>2026年</w:t>
      </w:r>
      <w:r>
        <w:rPr>
          <w:rFonts w:hint="eastAsia" w:ascii="宋体" w:hAnsi="宋体" w:cs="宋体"/>
          <w:color w:val="000000"/>
          <w:sz w:val="24"/>
          <w:szCs w:val="24"/>
          <w:highlight w:val="none"/>
          <w:lang w:val="en-US" w:eastAsia="zh-CN"/>
        </w:rPr>
        <w:t>3</w:t>
      </w:r>
      <w:r>
        <w:rPr>
          <w:rFonts w:hint="eastAsia" w:ascii="宋体" w:hAnsi="宋体" w:cs="宋体"/>
          <w:sz w:val="24"/>
          <w:szCs w:val="24"/>
          <w:highlight w:val="none"/>
        </w:rPr>
        <w:t>月</w:t>
      </w:r>
      <w:r>
        <w:rPr>
          <w:rFonts w:hint="eastAsia" w:ascii="宋体" w:hAnsi="宋体" w:cs="宋体"/>
          <w:color w:val="000000"/>
          <w:sz w:val="24"/>
          <w:szCs w:val="24"/>
          <w:highlight w:val="none"/>
          <w:lang w:val="en-US" w:eastAsia="zh-CN"/>
        </w:rPr>
        <w:t>9</w:t>
      </w:r>
      <w:r>
        <w:rPr>
          <w:rFonts w:hint="eastAsia" w:ascii="宋体" w:hAnsi="宋体" w:cs="宋体"/>
          <w:sz w:val="24"/>
          <w:szCs w:val="24"/>
          <w:highlight w:val="none"/>
        </w:rPr>
        <w:t>日　</w:t>
      </w:r>
      <w:r>
        <w:rPr>
          <w:rFonts w:hint="eastAsia" w:ascii="宋体" w:hAnsi="宋体" w:cs="宋体"/>
          <w:sz w:val="24"/>
          <w:szCs w:val="24"/>
        </w:rPr>
        <w:t>　</w:t>
      </w:r>
    </w:p>
    <w:p w14:paraId="13D6C249">
      <w:pPr>
        <w:pStyle w:val="11"/>
        <w:adjustRightInd w:val="0"/>
        <w:spacing w:line="360" w:lineRule="auto"/>
        <w:ind w:firstLine="3360" w:firstLineChars="1400"/>
        <w:rPr>
          <w:rFonts w:ascii="宋体" w:hAnsi="宋体" w:cs="宋体"/>
          <w:sz w:val="24"/>
          <w:szCs w:val="24"/>
        </w:rPr>
      </w:pPr>
    </w:p>
    <w:p w14:paraId="6EFEA946">
      <w:pPr>
        <w:pStyle w:val="11"/>
        <w:adjustRightInd w:val="0"/>
        <w:spacing w:line="360" w:lineRule="auto"/>
        <w:ind w:firstLine="3360" w:firstLineChars="1400"/>
        <w:rPr>
          <w:rFonts w:ascii="宋体" w:hAnsi="宋体" w:cs="宋体"/>
          <w:sz w:val="24"/>
          <w:szCs w:val="24"/>
        </w:rPr>
      </w:pPr>
    </w:p>
    <w:p w14:paraId="797A6E87">
      <w:pPr>
        <w:pStyle w:val="11"/>
        <w:adjustRightInd w:val="0"/>
        <w:spacing w:line="360" w:lineRule="auto"/>
        <w:ind w:firstLine="3360" w:firstLineChars="1400"/>
        <w:rPr>
          <w:rFonts w:ascii="宋体" w:hAnsi="宋体" w:cs="宋体"/>
          <w:sz w:val="24"/>
          <w:szCs w:val="24"/>
        </w:rPr>
      </w:pPr>
    </w:p>
    <w:p w14:paraId="363CEFCF">
      <w:pPr>
        <w:pStyle w:val="11"/>
        <w:adjustRightInd w:val="0"/>
        <w:spacing w:line="360" w:lineRule="auto"/>
        <w:ind w:firstLine="3360" w:firstLineChars="1400"/>
        <w:rPr>
          <w:rFonts w:ascii="宋体" w:hAnsi="宋体" w:cs="宋体"/>
          <w:sz w:val="24"/>
          <w:szCs w:val="24"/>
        </w:rPr>
      </w:pPr>
    </w:p>
    <w:p w14:paraId="0AA861C9">
      <w:pPr>
        <w:pStyle w:val="11"/>
        <w:adjustRightInd w:val="0"/>
        <w:spacing w:line="360" w:lineRule="auto"/>
        <w:ind w:firstLine="3360" w:firstLineChars="1400"/>
        <w:rPr>
          <w:rFonts w:ascii="宋体" w:hAnsi="宋体" w:cs="宋体"/>
          <w:sz w:val="24"/>
          <w:szCs w:val="24"/>
        </w:rPr>
      </w:pPr>
    </w:p>
    <w:p w14:paraId="31BB69C6">
      <w:pPr>
        <w:pStyle w:val="11"/>
        <w:adjustRightInd w:val="0"/>
        <w:spacing w:line="360" w:lineRule="auto"/>
        <w:ind w:firstLine="3360" w:firstLineChars="1400"/>
        <w:rPr>
          <w:rFonts w:ascii="宋体" w:hAnsi="宋体" w:cs="宋体"/>
          <w:sz w:val="24"/>
          <w:szCs w:val="24"/>
        </w:rPr>
      </w:pPr>
    </w:p>
    <w:p w14:paraId="33F172E8">
      <w:pPr>
        <w:pStyle w:val="11"/>
        <w:adjustRightInd w:val="0"/>
        <w:spacing w:line="360" w:lineRule="auto"/>
        <w:ind w:firstLine="3360" w:firstLineChars="1400"/>
        <w:rPr>
          <w:rFonts w:ascii="宋体" w:hAnsi="宋体" w:cs="宋体"/>
          <w:sz w:val="24"/>
          <w:szCs w:val="24"/>
        </w:rPr>
      </w:pPr>
    </w:p>
    <w:p w14:paraId="5D90AB0E">
      <w:pPr>
        <w:pStyle w:val="11"/>
        <w:adjustRightInd w:val="0"/>
        <w:spacing w:line="360" w:lineRule="auto"/>
        <w:ind w:firstLine="3360" w:firstLineChars="1400"/>
        <w:rPr>
          <w:rFonts w:ascii="宋体" w:hAnsi="宋体" w:cs="宋体"/>
          <w:sz w:val="24"/>
          <w:szCs w:val="24"/>
        </w:rPr>
      </w:pPr>
    </w:p>
    <w:p w14:paraId="04A90C3D">
      <w:pPr>
        <w:pStyle w:val="11"/>
        <w:adjustRightInd w:val="0"/>
        <w:spacing w:line="360" w:lineRule="auto"/>
        <w:ind w:firstLine="3360" w:firstLineChars="1400"/>
        <w:rPr>
          <w:rFonts w:ascii="宋体" w:hAnsi="宋体" w:cs="宋体"/>
          <w:sz w:val="24"/>
          <w:szCs w:val="24"/>
        </w:rPr>
      </w:pPr>
    </w:p>
    <w:p w14:paraId="35C2A399">
      <w:pPr>
        <w:pStyle w:val="11"/>
        <w:adjustRightInd w:val="0"/>
        <w:spacing w:line="360" w:lineRule="auto"/>
        <w:ind w:firstLine="3360" w:firstLineChars="1400"/>
        <w:rPr>
          <w:rFonts w:ascii="宋体" w:hAnsi="宋体" w:cs="宋体"/>
          <w:sz w:val="24"/>
          <w:szCs w:val="24"/>
        </w:rPr>
      </w:pPr>
    </w:p>
    <w:p w14:paraId="1812C96B">
      <w:pPr>
        <w:pStyle w:val="11"/>
        <w:adjustRightInd w:val="0"/>
        <w:spacing w:line="360" w:lineRule="auto"/>
        <w:ind w:firstLine="3360" w:firstLineChars="1400"/>
        <w:rPr>
          <w:rFonts w:ascii="宋体" w:hAnsi="宋体" w:cs="宋体"/>
          <w:sz w:val="24"/>
          <w:szCs w:val="24"/>
        </w:rPr>
      </w:pPr>
    </w:p>
    <w:p w14:paraId="238B36E6">
      <w:pPr>
        <w:pStyle w:val="11"/>
        <w:adjustRightInd w:val="0"/>
        <w:spacing w:line="360" w:lineRule="auto"/>
        <w:ind w:firstLine="3360" w:firstLineChars="1400"/>
        <w:rPr>
          <w:rFonts w:ascii="宋体" w:hAnsi="宋体" w:cs="宋体"/>
          <w:sz w:val="24"/>
          <w:szCs w:val="24"/>
        </w:rPr>
      </w:pPr>
    </w:p>
    <w:p w14:paraId="1BBE03A9">
      <w:pPr>
        <w:pStyle w:val="11"/>
        <w:adjustRightInd w:val="0"/>
        <w:spacing w:line="360" w:lineRule="auto"/>
        <w:ind w:firstLine="3360" w:firstLineChars="1400"/>
        <w:rPr>
          <w:rFonts w:ascii="宋体" w:hAnsi="宋体" w:cs="宋体"/>
          <w:sz w:val="24"/>
          <w:szCs w:val="24"/>
        </w:rPr>
      </w:pPr>
    </w:p>
    <w:p w14:paraId="5ADC374D">
      <w:pPr>
        <w:pStyle w:val="11"/>
        <w:adjustRightInd w:val="0"/>
        <w:spacing w:line="360" w:lineRule="auto"/>
        <w:ind w:firstLine="3360" w:firstLineChars="1400"/>
        <w:rPr>
          <w:rFonts w:ascii="宋体" w:hAnsi="宋体" w:cs="宋体"/>
          <w:sz w:val="24"/>
          <w:szCs w:val="24"/>
        </w:rPr>
      </w:pPr>
    </w:p>
    <w:p w14:paraId="2478F583">
      <w:pPr>
        <w:pStyle w:val="11"/>
        <w:adjustRightInd w:val="0"/>
        <w:spacing w:line="360" w:lineRule="auto"/>
        <w:ind w:firstLine="3360" w:firstLineChars="1400"/>
        <w:rPr>
          <w:rFonts w:ascii="宋体" w:hAnsi="宋体" w:cs="宋体"/>
          <w:sz w:val="24"/>
          <w:szCs w:val="24"/>
        </w:rPr>
      </w:pPr>
    </w:p>
    <w:p w14:paraId="2CF83471">
      <w:pPr>
        <w:pStyle w:val="11"/>
        <w:adjustRightInd w:val="0"/>
        <w:spacing w:line="360" w:lineRule="auto"/>
        <w:ind w:firstLine="3360" w:firstLineChars="1400"/>
        <w:rPr>
          <w:rFonts w:ascii="宋体" w:hAnsi="宋体" w:cs="宋体"/>
          <w:sz w:val="24"/>
          <w:szCs w:val="24"/>
        </w:rPr>
      </w:pPr>
    </w:p>
    <w:p w14:paraId="3E0087E4">
      <w:pPr>
        <w:jc w:val="center"/>
        <w:rPr>
          <w:rFonts w:ascii="宋体" w:hAnsi="宋体" w:cs="宋体"/>
          <w:b/>
          <w:sz w:val="32"/>
          <w:szCs w:val="32"/>
        </w:rPr>
      </w:pPr>
      <w:r>
        <w:rPr>
          <w:rFonts w:hint="eastAsia" w:ascii="宋体" w:hAnsi="宋体" w:cs="宋体"/>
          <w:b/>
          <w:sz w:val="32"/>
          <w:szCs w:val="32"/>
        </w:rPr>
        <w:t>第二章    供应商须知</w:t>
      </w:r>
    </w:p>
    <w:tbl>
      <w:tblPr>
        <w:tblStyle w:val="27"/>
        <w:tblW w:w="9034"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995"/>
        <w:gridCol w:w="6304"/>
      </w:tblGrid>
      <w:tr w14:paraId="2926EAD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9034" w:type="dxa"/>
            <w:gridSpan w:val="3"/>
            <w:vAlign w:val="center"/>
          </w:tcPr>
          <w:p w14:paraId="7D36BCD1">
            <w:pPr>
              <w:jc w:val="center"/>
              <w:rPr>
                <w:rFonts w:ascii="宋体" w:hAnsi="宋体"/>
                <w:szCs w:val="21"/>
              </w:rPr>
            </w:pPr>
            <w:r>
              <w:rPr>
                <w:rFonts w:hint="eastAsia" w:ascii="宋体" w:hAnsi="宋体" w:cs="楷体_GB2312"/>
                <w:sz w:val="32"/>
                <w:szCs w:val="32"/>
              </w:rPr>
              <w:t>供应商须知前附表</w:t>
            </w:r>
          </w:p>
        </w:tc>
      </w:tr>
      <w:tr w14:paraId="1115CA8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35" w:type="dxa"/>
            <w:vAlign w:val="center"/>
          </w:tcPr>
          <w:p w14:paraId="6C281C3E">
            <w:pPr>
              <w:spacing w:before="156" w:beforeLines="50"/>
              <w:jc w:val="center"/>
              <w:rPr>
                <w:rFonts w:ascii="宋体" w:hAnsi="宋体" w:cs="宋体"/>
                <w:sz w:val="24"/>
              </w:rPr>
            </w:pPr>
            <w:r>
              <w:rPr>
                <w:rFonts w:hint="eastAsia" w:ascii="宋体" w:hAnsi="宋体" w:cs="宋体"/>
                <w:sz w:val="24"/>
              </w:rPr>
              <w:t>序号</w:t>
            </w:r>
          </w:p>
        </w:tc>
        <w:tc>
          <w:tcPr>
            <w:tcW w:w="1995" w:type="dxa"/>
            <w:vAlign w:val="center"/>
          </w:tcPr>
          <w:p w14:paraId="296C8E34">
            <w:pPr>
              <w:spacing w:before="156" w:beforeLines="50"/>
              <w:jc w:val="center"/>
              <w:rPr>
                <w:rFonts w:ascii="宋体" w:hAnsi="宋体" w:cs="宋体"/>
                <w:sz w:val="24"/>
              </w:rPr>
            </w:pPr>
            <w:r>
              <w:rPr>
                <w:rFonts w:hint="eastAsia" w:ascii="宋体" w:hAnsi="宋体" w:cs="宋体"/>
                <w:sz w:val="24"/>
              </w:rPr>
              <w:t>条款</w:t>
            </w:r>
          </w:p>
        </w:tc>
        <w:tc>
          <w:tcPr>
            <w:tcW w:w="6304" w:type="dxa"/>
            <w:vAlign w:val="center"/>
          </w:tcPr>
          <w:p w14:paraId="05AB0370">
            <w:pPr>
              <w:rPr>
                <w:rFonts w:ascii="宋体" w:hAnsi="宋体" w:cs="宋体"/>
                <w:sz w:val="24"/>
              </w:rPr>
            </w:pPr>
            <w:r>
              <w:rPr>
                <w:rFonts w:hint="eastAsia" w:ascii="宋体" w:hAnsi="宋体" w:cs="宋体"/>
                <w:sz w:val="24"/>
              </w:rPr>
              <w:t>内  容</w:t>
            </w:r>
          </w:p>
        </w:tc>
      </w:tr>
      <w:tr w14:paraId="1F6BD30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662" w:hRule="atLeast"/>
          <w:jc w:val="center"/>
        </w:trPr>
        <w:tc>
          <w:tcPr>
            <w:tcW w:w="735" w:type="dxa"/>
            <w:vAlign w:val="center"/>
          </w:tcPr>
          <w:p w14:paraId="7DB4FEC2">
            <w:pPr>
              <w:numPr>
                <w:ilvl w:val="0"/>
                <w:numId w:val="3"/>
              </w:numPr>
              <w:spacing w:before="156" w:beforeLines="50"/>
              <w:jc w:val="center"/>
              <w:rPr>
                <w:rFonts w:ascii="宋体" w:hAnsi="宋体" w:cs="宋体"/>
                <w:sz w:val="24"/>
              </w:rPr>
            </w:pPr>
          </w:p>
        </w:tc>
        <w:tc>
          <w:tcPr>
            <w:tcW w:w="1995" w:type="dxa"/>
            <w:vAlign w:val="center"/>
          </w:tcPr>
          <w:p w14:paraId="2A1C15A2">
            <w:pPr>
              <w:jc w:val="center"/>
              <w:rPr>
                <w:rFonts w:ascii="宋体" w:hAnsi="宋体" w:cs="宋体"/>
                <w:sz w:val="24"/>
              </w:rPr>
            </w:pPr>
            <w:r>
              <w:rPr>
                <w:rFonts w:hint="eastAsia" w:ascii="宋体" w:hAnsi="宋体" w:cs="宋体"/>
                <w:sz w:val="24"/>
              </w:rPr>
              <w:t>项目概况</w:t>
            </w:r>
          </w:p>
        </w:tc>
        <w:tc>
          <w:tcPr>
            <w:tcW w:w="6304" w:type="dxa"/>
            <w:vAlign w:val="center"/>
          </w:tcPr>
          <w:p w14:paraId="511A6284">
            <w:pPr>
              <w:rPr>
                <w:rFonts w:hint="eastAsia" w:eastAsia="宋体" w:asciiTheme="minorEastAsia" w:hAnsiTheme="minorEastAsia" w:cstheme="minorEastAsia"/>
                <w:sz w:val="24"/>
                <w:lang w:eastAsia="zh-CN"/>
              </w:rPr>
            </w:pPr>
            <w:r>
              <w:rPr>
                <w:rFonts w:hint="eastAsia" w:ascii="宋体" w:hAnsi="宋体" w:cs="宋体"/>
                <w:color w:val="000000"/>
                <w:sz w:val="24"/>
              </w:rPr>
              <w:t>项目名称：</w:t>
            </w:r>
            <w:r>
              <w:rPr>
                <w:rFonts w:hint="eastAsia" w:asciiTheme="minorEastAsia" w:hAnsiTheme="minorEastAsia" w:eastAsiaTheme="minorEastAsia" w:cstheme="minorEastAsia"/>
                <w:sz w:val="24"/>
                <w:lang w:eastAsia="zh-CN"/>
              </w:rPr>
              <w:t>洼冲沟排水分区混错接合流制及老旧排水管网综合改造工程设计</w:t>
            </w:r>
          </w:p>
          <w:p w14:paraId="605D6EC7">
            <w:pPr>
              <w:rPr>
                <w:rFonts w:ascii="宋体" w:hAnsi="宋体" w:cs="宋体"/>
                <w:color w:val="000000"/>
                <w:sz w:val="24"/>
              </w:rPr>
            </w:pPr>
            <w:r>
              <w:rPr>
                <w:rFonts w:hint="eastAsia" w:ascii="宋体" w:hAnsi="宋体" w:cs="宋体"/>
                <w:color w:val="000000"/>
                <w:sz w:val="24"/>
              </w:rPr>
              <w:t>采购内容：详见第三章采购项目内容及要求</w:t>
            </w:r>
          </w:p>
          <w:p w14:paraId="26B7F15D">
            <w:pPr>
              <w:rPr>
                <w:rFonts w:ascii="宋体" w:hAnsi="宋体" w:cs="宋体"/>
                <w:color w:val="000000"/>
                <w:sz w:val="24"/>
              </w:rPr>
            </w:pPr>
            <w:r>
              <w:rPr>
                <w:rFonts w:hint="eastAsia" w:ascii="宋体" w:hAnsi="宋体" w:cs="宋体"/>
                <w:color w:val="000000"/>
                <w:sz w:val="24"/>
              </w:rPr>
              <w:t xml:space="preserve">采购人：周口市城市管理局 </w:t>
            </w:r>
          </w:p>
          <w:p w14:paraId="3A550B07">
            <w:pPr>
              <w:rPr>
                <w:rFonts w:ascii="宋体" w:hAnsi="宋体" w:cs="宋体"/>
                <w:color w:val="000000"/>
                <w:sz w:val="24"/>
                <w:highlight w:val="yellow"/>
              </w:rPr>
            </w:pPr>
            <w:r>
              <w:rPr>
                <w:rFonts w:hint="eastAsia" w:ascii="宋体" w:hAnsi="宋体" w:cs="宋体"/>
                <w:color w:val="000000"/>
                <w:sz w:val="24"/>
              </w:rPr>
              <w:t>采购代理机构：</w:t>
            </w:r>
            <w:r>
              <w:rPr>
                <w:rFonts w:hint="eastAsia" w:ascii="宋体" w:hAnsi="宋体" w:cs="宋体"/>
                <w:sz w:val="24"/>
              </w:rPr>
              <w:t xml:space="preserve">河南泓浩工程管理有限公司 </w:t>
            </w:r>
          </w:p>
        </w:tc>
      </w:tr>
      <w:tr w14:paraId="618A7CB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735" w:type="dxa"/>
            <w:vAlign w:val="center"/>
          </w:tcPr>
          <w:p w14:paraId="351B5F1D">
            <w:pPr>
              <w:numPr>
                <w:ilvl w:val="0"/>
                <w:numId w:val="3"/>
              </w:numPr>
              <w:spacing w:before="156" w:beforeLines="50"/>
              <w:jc w:val="center"/>
              <w:rPr>
                <w:rFonts w:ascii="宋体" w:hAnsi="宋体" w:cs="宋体"/>
                <w:sz w:val="24"/>
              </w:rPr>
            </w:pPr>
          </w:p>
        </w:tc>
        <w:tc>
          <w:tcPr>
            <w:tcW w:w="1995" w:type="dxa"/>
            <w:vAlign w:val="center"/>
          </w:tcPr>
          <w:p w14:paraId="4890C51E">
            <w:pPr>
              <w:spacing w:before="156" w:beforeLines="50"/>
              <w:ind w:left="-4" w:leftChars="-4" w:hanging="4" w:hangingChars="2"/>
              <w:jc w:val="center"/>
              <w:rPr>
                <w:rFonts w:ascii="宋体" w:hAnsi="宋体" w:cs="宋体"/>
                <w:sz w:val="24"/>
              </w:rPr>
            </w:pPr>
            <w:r>
              <w:rPr>
                <w:rFonts w:hint="eastAsia" w:ascii="宋体" w:hAnsi="宋体" w:cs="宋体"/>
                <w:sz w:val="24"/>
              </w:rPr>
              <w:t>对供应商的资格要求</w:t>
            </w:r>
          </w:p>
        </w:tc>
        <w:tc>
          <w:tcPr>
            <w:tcW w:w="6304" w:type="dxa"/>
            <w:vAlign w:val="center"/>
          </w:tcPr>
          <w:p w14:paraId="59792961">
            <w:pPr>
              <w:spacing w:before="156" w:beforeLines="50"/>
              <w:ind w:left="-4" w:leftChars="-4" w:hanging="4" w:hangingChars="2"/>
              <w:rPr>
                <w:rFonts w:ascii="宋体" w:hAnsi="宋体" w:cs="宋体"/>
                <w:sz w:val="24"/>
              </w:rPr>
            </w:pPr>
            <w:r>
              <w:rPr>
                <w:rFonts w:hint="eastAsia" w:ascii="宋体" w:hAnsi="宋体" w:cs="宋体"/>
                <w:sz w:val="24"/>
              </w:rPr>
              <w:t>见竞争性磋商邀请函</w:t>
            </w:r>
          </w:p>
        </w:tc>
      </w:tr>
      <w:tr w14:paraId="7E5C49C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735" w:type="dxa"/>
            <w:vAlign w:val="center"/>
          </w:tcPr>
          <w:p w14:paraId="0BEA0C3E">
            <w:pPr>
              <w:numPr>
                <w:ilvl w:val="0"/>
                <w:numId w:val="3"/>
              </w:numPr>
              <w:spacing w:before="156" w:beforeLines="50"/>
              <w:jc w:val="center"/>
              <w:rPr>
                <w:rFonts w:ascii="宋体" w:hAnsi="宋体" w:cs="宋体"/>
                <w:sz w:val="24"/>
              </w:rPr>
            </w:pPr>
          </w:p>
        </w:tc>
        <w:tc>
          <w:tcPr>
            <w:tcW w:w="1995" w:type="dxa"/>
            <w:vAlign w:val="center"/>
          </w:tcPr>
          <w:p w14:paraId="36F45361">
            <w:pPr>
              <w:spacing w:before="156" w:beforeLines="50"/>
              <w:jc w:val="center"/>
              <w:rPr>
                <w:rFonts w:ascii="宋体" w:hAnsi="宋体" w:cs="宋体"/>
                <w:sz w:val="24"/>
              </w:rPr>
            </w:pPr>
            <w:r>
              <w:rPr>
                <w:rFonts w:hint="eastAsia" w:ascii="宋体" w:hAnsi="宋体" w:cs="宋体"/>
                <w:sz w:val="24"/>
              </w:rPr>
              <w:t>报价费用</w:t>
            </w:r>
          </w:p>
        </w:tc>
        <w:tc>
          <w:tcPr>
            <w:tcW w:w="6304" w:type="dxa"/>
            <w:vAlign w:val="center"/>
          </w:tcPr>
          <w:p w14:paraId="37B7164E">
            <w:pPr>
              <w:rPr>
                <w:rFonts w:ascii="宋体" w:hAnsi="宋体" w:cs="宋体"/>
                <w:sz w:val="24"/>
              </w:rPr>
            </w:pPr>
            <w:r>
              <w:rPr>
                <w:rFonts w:hint="eastAsia" w:ascii="宋体" w:hAnsi="宋体" w:cs="宋体"/>
                <w:sz w:val="24"/>
              </w:rPr>
              <w:t>无论报价和磋商的过程和结果如何，供应商承诺自行承担所有与参加报价及磋商有关活动的全部费用。</w:t>
            </w:r>
          </w:p>
        </w:tc>
      </w:tr>
      <w:tr w14:paraId="29CB273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35" w:type="dxa"/>
            <w:vAlign w:val="center"/>
          </w:tcPr>
          <w:p w14:paraId="0D561FF6">
            <w:pPr>
              <w:numPr>
                <w:ilvl w:val="0"/>
                <w:numId w:val="3"/>
              </w:numPr>
              <w:spacing w:before="156" w:beforeLines="50"/>
              <w:rPr>
                <w:rFonts w:ascii="宋体" w:hAnsi="宋体" w:cs="宋体"/>
                <w:sz w:val="24"/>
              </w:rPr>
            </w:pPr>
          </w:p>
        </w:tc>
        <w:tc>
          <w:tcPr>
            <w:tcW w:w="1995" w:type="dxa"/>
            <w:vAlign w:val="center"/>
          </w:tcPr>
          <w:p w14:paraId="06EFF7CF">
            <w:pPr>
              <w:spacing w:before="156" w:beforeLines="50"/>
              <w:jc w:val="center"/>
              <w:rPr>
                <w:rFonts w:ascii="宋体" w:hAnsi="宋体" w:cs="宋体"/>
                <w:sz w:val="24"/>
              </w:rPr>
            </w:pPr>
            <w:r>
              <w:rPr>
                <w:rFonts w:hint="eastAsia" w:ascii="宋体" w:hAnsi="宋体" w:cs="宋体"/>
                <w:sz w:val="24"/>
              </w:rPr>
              <w:t>响应文件语言</w:t>
            </w:r>
          </w:p>
        </w:tc>
        <w:tc>
          <w:tcPr>
            <w:tcW w:w="6304" w:type="dxa"/>
            <w:vAlign w:val="center"/>
          </w:tcPr>
          <w:p w14:paraId="6BF4E7DD">
            <w:pPr>
              <w:snapToGrid w:val="0"/>
              <w:rPr>
                <w:rFonts w:ascii="宋体" w:hAnsi="宋体" w:cs="宋体"/>
                <w:sz w:val="24"/>
              </w:rPr>
            </w:pPr>
            <w:r>
              <w:rPr>
                <w:rFonts w:hint="eastAsia" w:ascii="宋体" w:hAnsi="宋体" w:cs="宋体"/>
                <w:sz w:val="24"/>
              </w:rPr>
              <w:t>中文</w:t>
            </w:r>
          </w:p>
        </w:tc>
      </w:tr>
      <w:tr w14:paraId="7CE2845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35" w:type="dxa"/>
            <w:vAlign w:val="center"/>
          </w:tcPr>
          <w:p w14:paraId="7359AD67">
            <w:pPr>
              <w:numPr>
                <w:ilvl w:val="0"/>
                <w:numId w:val="3"/>
              </w:numPr>
              <w:spacing w:before="156" w:beforeLines="50"/>
              <w:rPr>
                <w:rFonts w:ascii="宋体" w:hAnsi="宋体" w:cs="宋体"/>
                <w:sz w:val="24"/>
              </w:rPr>
            </w:pPr>
          </w:p>
        </w:tc>
        <w:tc>
          <w:tcPr>
            <w:tcW w:w="1995" w:type="dxa"/>
            <w:vAlign w:val="center"/>
          </w:tcPr>
          <w:p w14:paraId="28F46856">
            <w:pPr>
              <w:spacing w:before="156" w:beforeLines="50"/>
              <w:jc w:val="center"/>
              <w:rPr>
                <w:rFonts w:ascii="宋体" w:hAnsi="宋体" w:cs="宋体"/>
                <w:sz w:val="24"/>
              </w:rPr>
            </w:pPr>
            <w:r>
              <w:rPr>
                <w:rFonts w:hint="eastAsia" w:ascii="宋体" w:hAnsi="宋体" w:cs="宋体"/>
                <w:sz w:val="24"/>
              </w:rPr>
              <w:t>报价货币</w:t>
            </w:r>
          </w:p>
        </w:tc>
        <w:tc>
          <w:tcPr>
            <w:tcW w:w="6304" w:type="dxa"/>
            <w:vAlign w:val="center"/>
          </w:tcPr>
          <w:p w14:paraId="50EBFC4D">
            <w:pPr>
              <w:rPr>
                <w:rFonts w:ascii="宋体" w:hAnsi="宋体" w:cs="宋体"/>
                <w:sz w:val="24"/>
              </w:rPr>
            </w:pPr>
            <w:r>
              <w:rPr>
                <w:rFonts w:hint="eastAsia" w:ascii="宋体" w:hAnsi="宋体" w:cs="宋体"/>
                <w:sz w:val="24"/>
              </w:rPr>
              <w:t>人民币</w:t>
            </w:r>
          </w:p>
        </w:tc>
      </w:tr>
      <w:tr w14:paraId="1212FDF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735" w:type="dxa"/>
            <w:vAlign w:val="center"/>
          </w:tcPr>
          <w:p w14:paraId="72AE2AC4">
            <w:pPr>
              <w:numPr>
                <w:ilvl w:val="0"/>
                <w:numId w:val="3"/>
              </w:numPr>
              <w:spacing w:before="156" w:beforeLines="50"/>
              <w:jc w:val="center"/>
              <w:rPr>
                <w:rFonts w:ascii="宋体" w:hAnsi="宋体" w:cs="宋体"/>
                <w:sz w:val="24"/>
              </w:rPr>
            </w:pPr>
          </w:p>
        </w:tc>
        <w:tc>
          <w:tcPr>
            <w:tcW w:w="1995" w:type="dxa"/>
            <w:vAlign w:val="center"/>
          </w:tcPr>
          <w:p w14:paraId="4206ADE5">
            <w:pPr>
              <w:spacing w:before="156" w:beforeLines="50"/>
              <w:jc w:val="center"/>
              <w:rPr>
                <w:rFonts w:ascii="宋体" w:hAnsi="宋体" w:cs="宋体"/>
                <w:sz w:val="24"/>
              </w:rPr>
            </w:pPr>
            <w:r>
              <w:rPr>
                <w:rFonts w:hint="eastAsia" w:ascii="宋体" w:hAnsi="宋体" w:cs="宋体"/>
                <w:sz w:val="24"/>
              </w:rPr>
              <w:t>报价范围及说明</w:t>
            </w:r>
          </w:p>
        </w:tc>
        <w:tc>
          <w:tcPr>
            <w:tcW w:w="6304" w:type="dxa"/>
            <w:vAlign w:val="center"/>
          </w:tcPr>
          <w:p w14:paraId="17D282EC">
            <w:pPr>
              <w:rPr>
                <w:rFonts w:ascii="宋体" w:hAnsi="宋体" w:cs="宋体"/>
                <w:sz w:val="24"/>
              </w:rPr>
            </w:pPr>
            <w:r>
              <w:rPr>
                <w:rFonts w:hint="eastAsia" w:ascii="宋体" w:hAnsi="宋体" w:cs="宋体"/>
                <w:color w:val="000000"/>
                <w:sz w:val="24"/>
              </w:rPr>
              <w:t>报价包括本项目所招标的服务、保险、税费、验收</w:t>
            </w:r>
            <w:r>
              <w:rPr>
                <w:rFonts w:hint="eastAsia" w:ascii="宋体" w:hAnsi="宋体" w:cs="宋体"/>
                <w:sz w:val="24"/>
              </w:rPr>
              <w:t>等（采购项目技术规格、参数及要求）</w:t>
            </w:r>
          </w:p>
        </w:tc>
      </w:tr>
      <w:tr w14:paraId="4DFE580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35" w:type="dxa"/>
            <w:vAlign w:val="center"/>
          </w:tcPr>
          <w:p w14:paraId="3B08593C">
            <w:pPr>
              <w:numPr>
                <w:ilvl w:val="0"/>
                <w:numId w:val="3"/>
              </w:numPr>
              <w:spacing w:before="156" w:beforeLines="50"/>
              <w:jc w:val="center"/>
              <w:rPr>
                <w:rFonts w:ascii="宋体" w:hAnsi="宋体" w:cs="宋体"/>
                <w:sz w:val="24"/>
              </w:rPr>
            </w:pPr>
          </w:p>
        </w:tc>
        <w:tc>
          <w:tcPr>
            <w:tcW w:w="1995" w:type="dxa"/>
            <w:vAlign w:val="center"/>
          </w:tcPr>
          <w:p w14:paraId="195193F4">
            <w:pPr>
              <w:spacing w:before="156" w:beforeLines="50"/>
              <w:jc w:val="center"/>
              <w:rPr>
                <w:rFonts w:ascii="宋体" w:hAnsi="宋体" w:cs="宋体"/>
                <w:sz w:val="24"/>
              </w:rPr>
            </w:pPr>
            <w:r>
              <w:rPr>
                <w:rFonts w:hint="eastAsia" w:ascii="宋体" w:hAnsi="宋体" w:cs="宋体"/>
                <w:sz w:val="24"/>
              </w:rPr>
              <w:t>响应文件有效期</w:t>
            </w:r>
          </w:p>
        </w:tc>
        <w:tc>
          <w:tcPr>
            <w:tcW w:w="6304" w:type="dxa"/>
            <w:vAlign w:val="center"/>
          </w:tcPr>
          <w:p w14:paraId="0FE6F86A">
            <w:pPr>
              <w:rPr>
                <w:rFonts w:ascii="宋体" w:hAnsi="宋体" w:cs="宋体"/>
                <w:sz w:val="24"/>
              </w:rPr>
            </w:pPr>
            <w:r>
              <w:rPr>
                <w:rFonts w:hint="eastAsia" w:ascii="宋体" w:hAnsi="宋体" w:cs="宋体"/>
                <w:sz w:val="24"/>
              </w:rPr>
              <w:t>响应文件递交截止期后60日内有效</w:t>
            </w:r>
          </w:p>
        </w:tc>
      </w:tr>
      <w:tr w14:paraId="604EE42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jc w:val="center"/>
        </w:trPr>
        <w:tc>
          <w:tcPr>
            <w:tcW w:w="735" w:type="dxa"/>
            <w:vAlign w:val="center"/>
          </w:tcPr>
          <w:p w14:paraId="5FDADD35">
            <w:pPr>
              <w:numPr>
                <w:ilvl w:val="0"/>
                <w:numId w:val="3"/>
              </w:numPr>
              <w:spacing w:before="156" w:beforeLines="50"/>
              <w:jc w:val="center"/>
              <w:rPr>
                <w:rFonts w:ascii="宋体" w:hAnsi="宋体" w:cs="宋体"/>
                <w:sz w:val="24"/>
              </w:rPr>
            </w:pPr>
          </w:p>
        </w:tc>
        <w:tc>
          <w:tcPr>
            <w:tcW w:w="1995" w:type="dxa"/>
            <w:vAlign w:val="center"/>
          </w:tcPr>
          <w:p w14:paraId="336F1831">
            <w:pPr>
              <w:tabs>
                <w:tab w:val="left" w:pos="8640"/>
              </w:tabs>
              <w:spacing w:before="156" w:beforeLines="50"/>
              <w:ind w:left="-2" w:leftChars="-1"/>
              <w:jc w:val="center"/>
              <w:rPr>
                <w:rFonts w:ascii="宋体" w:hAnsi="宋体" w:cs="宋体"/>
                <w:sz w:val="24"/>
              </w:rPr>
            </w:pPr>
            <w:r>
              <w:rPr>
                <w:rFonts w:hint="eastAsia" w:ascii="宋体" w:hAnsi="宋体" w:cs="宋体"/>
                <w:sz w:val="24"/>
              </w:rPr>
              <w:t>响应文件的组成</w:t>
            </w:r>
          </w:p>
        </w:tc>
        <w:tc>
          <w:tcPr>
            <w:tcW w:w="6304" w:type="dxa"/>
            <w:vAlign w:val="center"/>
          </w:tcPr>
          <w:p w14:paraId="0E5F6E0D">
            <w:pPr>
              <w:rPr>
                <w:rFonts w:ascii="宋体" w:hAnsi="宋体" w:cs="宋体"/>
                <w:sz w:val="24"/>
              </w:rPr>
            </w:pPr>
            <w:r>
              <w:rPr>
                <w:rFonts w:hint="eastAsia" w:ascii="宋体" w:hAnsi="宋体" w:cs="宋体"/>
                <w:sz w:val="24"/>
              </w:rPr>
              <w:t>供应商应按本磋商文件规定的格式，填写并提供相关文件或资料，本磋商文件第三部分要求的文件和资料也须一并提供。供应商还可根据自己的理解，提供其他必要的技术响应、样本资料及附件；</w:t>
            </w:r>
          </w:p>
        </w:tc>
      </w:tr>
      <w:tr w14:paraId="59DF107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735" w:type="dxa"/>
            <w:vAlign w:val="center"/>
          </w:tcPr>
          <w:p w14:paraId="4D797FAB">
            <w:pPr>
              <w:numPr>
                <w:ilvl w:val="0"/>
                <w:numId w:val="3"/>
              </w:numPr>
              <w:spacing w:before="156" w:beforeLines="50"/>
              <w:jc w:val="center"/>
              <w:rPr>
                <w:rFonts w:ascii="宋体" w:hAnsi="宋体" w:cs="宋体"/>
                <w:sz w:val="24"/>
              </w:rPr>
            </w:pPr>
          </w:p>
        </w:tc>
        <w:tc>
          <w:tcPr>
            <w:tcW w:w="1995" w:type="dxa"/>
            <w:vAlign w:val="center"/>
          </w:tcPr>
          <w:p w14:paraId="7245A061">
            <w:pPr>
              <w:tabs>
                <w:tab w:val="left" w:pos="8640"/>
              </w:tabs>
              <w:spacing w:before="156" w:beforeLines="50"/>
              <w:ind w:left="-2" w:leftChars="-1"/>
              <w:jc w:val="center"/>
              <w:rPr>
                <w:rFonts w:ascii="宋体" w:hAnsi="宋体" w:cs="宋体"/>
                <w:sz w:val="24"/>
              </w:rPr>
            </w:pPr>
            <w:r>
              <w:rPr>
                <w:rFonts w:hint="eastAsia" w:ascii="宋体" w:hAnsi="宋体" w:cs="宋体"/>
                <w:sz w:val="24"/>
              </w:rPr>
              <w:t>响应文件封面要求</w:t>
            </w:r>
          </w:p>
        </w:tc>
        <w:tc>
          <w:tcPr>
            <w:tcW w:w="6304" w:type="dxa"/>
            <w:vAlign w:val="center"/>
          </w:tcPr>
          <w:p w14:paraId="1CD85035">
            <w:pPr>
              <w:tabs>
                <w:tab w:val="left" w:pos="8640"/>
              </w:tabs>
              <w:rPr>
                <w:rFonts w:ascii="宋体" w:hAnsi="宋体" w:cs="宋体"/>
                <w:sz w:val="24"/>
              </w:rPr>
            </w:pPr>
            <w:r>
              <w:rPr>
                <w:rFonts w:hint="eastAsia" w:ascii="宋体" w:hAnsi="宋体" w:cs="宋体"/>
                <w:sz w:val="24"/>
              </w:rPr>
              <w:t>无</w:t>
            </w:r>
          </w:p>
        </w:tc>
      </w:tr>
      <w:tr w14:paraId="7134B3D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735" w:type="dxa"/>
            <w:vAlign w:val="center"/>
          </w:tcPr>
          <w:p w14:paraId="1E23C160">
            <w:pPr>
              <w:numPr>
                <w:ilvl w:val="0"/>
                <w:numId w:val="3"/>
              </w:numPr>
              <w:spacing w:before="156" w:beforeLines="50"/>
              <w:jc w:val="center"/>
              <w:rPr>
                <w:rFonts w:ascii="宋体" w:hAnsi="宋体" w:cs="宋体"/>
                <w:sz w:val="24"/>
              </w:rPr>
            </w:pPr>
          </w:p>
        </w:tc>
        <w:tc>
          <w:tcPr>
            <w:tcW w:w="1995" w:type="dxa"/>
            <w:vAlign w:val="center"/>
          </w:tcPr>
          <w:p w14:paraId="7F2494D7">
            <w:pPr>
              <w:spacing w:before="156" w:beforeLines="50"/>
              <w:jc w:val="center"/>
              <w:rPr>
                <w:rFonts w:ascii="宋体" w:hAnsi="宋体" w:cs="宋体"/>
                <w:sz w:val="24"/>
              </w:rPr>
            </w:pPr>
            <w:r>
              <w:rPr>
                <w:rFonts w:hint="eastAsia" w:ascii="宋体" w:hAnsi="宋体" w:cs="宋体"/>
                <w:sz w:val="24"/>
              </w:rPr>
              <w:t>响应文件份数要求</w:t>
            </w:r>
          </w:p>
        </w:tc>
        <w:tc>
          <w:tcPr>
            <w:tcW w:w="6304" w:type="dxa"/>
            <w:vAlign w:val="center"/>
          </w:tcPr>
          <w:p w14:paraId="142C06BC">
            <w:pPr>
              <w:tabs>
                <w:tab w:val="left" w:pos="8640"/>
              </w:tabs>
              <w:ind w:left="-2" w:leftChars="-1"/>
              <w:rPr>
                <w:rFonts w:ascii="宋体" w:hAnsi="宋体" w:cs="宋体"/>
                <w:sz w:val="24"/>
              </w:rPr>
            </w:pPr>
            <w:r>
              <w:rPr>
                <w:rFonts w:hint="eastAsia" w:ascii="宋体" w:hAnsi="宋体" w:cs="宋体"/>
                <w:sz w:val="24"/>
              </w:rPr>
              <w:t>加密的电子投标文件须在投标截止时间前成功上传</w:t>
            </w:r>
          </w:p>
        </w:tc>
      </w:tr>
      <w:tr w14:paraId="670F7E1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735" w:type="dxa"/>
            <w:vAlign w:val="center"/>
          </w:tcPr>
          <w:p w14:paraId="2FF6BD45">
            <w:pPr>
              <w:numPr>
                <w:ilvl w:val="0"/>
                <w:numId w:val="3"/>
              </w:numPr>
              <w:spacing w:before="156" w:beforeLines="50"/>
              <w:jc w:val="center"/>
              <w:rPr>
                <w:rFonts w:ascii="宋体" w:hAnsi="宋体" w:cs="宋体"/>
                <w:sz w:val="24"/>
              </w:rPr>
            </w:pPr>
          </w:p>
        </w:tc>
        <w:tc>
          <w:tcPr>
            <w:tcW w:w="1995" w:type="dxa"/>
            <w:vAlign w:val="center"/>
          </w:tcPr>
          <w:p w14:paraId="515B45D6">
            <w:pPr>
              <w:spacing w:before="156" w:beforeLines="50"/>
              <w:jc w:val="center"/>
              <w:rPr>
                <w:rFonts w:ascii="宋体" w:hAnsi="宋体" w:cs="宋体"/>
                <w:sz w:val="24"/>
              </w:rPr>
            </w:pPr>
            <w:r>
              <w:rPr>
                <w:rFonts w:hint="eastAsia" w:ascii="宋体" w:hAnsi="宋体" w:cs="宋体"/>
                <w:sz w:val="24"/>
              </w:rPr>
              <w:t>响应文件装订和密封要求</w:t>
            </w:r>
          </w:p>
        </w:tc>
        <w:tc>
          <w:tcPr>
            <w:tcW w:w="6304" w:type="dxa"/>
            <w:vAlign w:val="center"/>
          </w:tcPr>
          <w:p w14:paraId="717D632F">
            <w:pPr>
              <w:rPr>
                <w:rFonts w:ascii="宋体" w:hAnsi="宋体" w:cs="宋体"/>
                <w:sz w:val="24"/>
              </w:rPr>
            </w:pPr>
            <w:r>
              <w:rPr>
                <w:rFonts w:hint="eastAsia" w:ascii="宋体" w:hAnsi="宋体" w:cs="宋体"/>
                <w:sz w:val="24"/>
              </w:rPr>
              <w:t>无</w:t>
            </w:r>
          </w:p>
        </w:tc>
      </w:tr>
      <w:tr w14:paraId="0AF237B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jc w:val="center"/>
        </w:trPr>
        <w:tc>
          <w:tcPr>
            <w:tcW w:w="735" w:type="dxa"/>
            <w:vAlign w:val="center"/>
          </w:tcPr>
          <w:p w14:paraId="309BE93B">
            <w:pPr>
              <w:numPr>
                <w:ilvl w:val="0"/>
                <w:numId w:val="3"/>
              </w:numPr>
              <w:spacing w:before="156" w:beforeLines="50"/>
              <w:jc w:val="center"/>
              <w:rPr>
                <w:rFonts w:ascii="宋体" w:hAnsi="宋体" w:cs="宋体"/>
                <w:sz w:val="24"/>
              </w:rPr>
            </w:pPr>
          </w:p>
        </w:tc>
        <w:tc>
          <w:tcPr>
            <w:tcW w:w="1995" w:type="dxa"/>
            <w:vAlign w:val="center"/>
          </w:tcPr>
          <w:p w14:paraId="6AD53F91">
            <w:pPr>
              <w:spacing w:before="156" w:beforeLines="50"/>
              <w:jc w:val="center"/>
              <w:rPr>
                <w:rFonts w:ascii="宋体" w:hAnsi="宋体" w:cs="宋体"/>
                <w:sz w:val="24"/>
              </w:rPr>
            </w:pPr>
            <w:r>
              <w:rPr>
                <w:rFonts w:hint="eastAsia" w:ascii="宋体" w:hAnsi="宋体" w:cs="宋体"/>
                <w:sz w:val="24"/>
              </w:rPr>
              <w:t>竞争性磋商文件的澄清</w:t>
            </w:r>
          </w:p>
        </w:tc>
        <w:tc>
          <w:tcPr>
            <w:tcW w:w="6304" w:type="dxa"/>
            <w:vAlign w:val="center"/>
          </w:tcPr>
          <w:p w14:paraId="0D8DA7FF">
            <w:pPr>
              <w:rPr>
                <w:rFonts w:ascii="宋体" w:hAnsi="宋体" w:cs="宋体"/>
                <w:sz w:val="24"/>
              </w:rPr>
            </w:pPr>
            <w:r>
              <w:rPr>
                <w:rFonts w:hint="eastAsia" w:ascii="宋体" w:hAnsi="宋体" w:cs="宋体"/>
                <w:sz w:val="24"/>
              </w:rPr>
              <w:t>对竞争性磋商文件进行的澄清，以网上公告的方式通知供应商。澄清或修改的内容可能影响响应文件编制的，采购人、采购代理机构应当在提交响应文件截止时间至少5日前。</w:t>
            </w:r>
          </w:p>
        </w:tc>
      </w:tr>
      <w:tr w14:paraId="2F1A6A6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35" w:type="dxa"/>
            <w:vAlign w:val="center"/>
          </w:tcPr>
          <w:p w14:paraId="7375AA8C">
            <w:pPr>
              <w:numPr>
                <w:ilvl w:val="0"/>
                <w:numId w:val="3"/>
              </w:numPr>
              <w:spacing w:before="156" w:beforeLines="50"/>
              <w:jc w:val="center"/>
              <w:rPr>
                <w:rFonts w:ascii="宋体" w:hAnsi="宋体" w:cs="宋体"/>
                <w:sz w:val="24"/>
              </w:rPr>
            </w:pPr>
          </w:p>
        </w:tc>
        <w:tc>
          <w:tcPr>
            <w:tcW w:w="1995" w:type="dxa"/>
            <w:vAlign w:val="center"/>
          </w:tcPr>
          <w:p w14:paraId="0EB21299">
            <w:pPr>
              <w:spacing w:before="156" w:beforeLines="50"/>
              <w:jc w:val="center"/>
              <w:rPr>
                <w:rFonts w:ascii="宋体" w:hAnsi="宋体" w:cs="宋体"/>
                <w:sz w:val="24"/>
              </w:rPr>
            </w:pPr>
            <w:r>
              <w:rPr>
                <w:rFonts w:hint="eastAsia" w:ascii="宋体" w:hAnsi="宋体" w:cs="宋体"/>
                <w:sz w:val="24"/>
              </w:rPr>
              <w:t>响应文件递交截止时间</w:t>
            </w:r>
          </w:p>
        </w:tc>
        <w:tc>
          <w:tcPr>
            <w:tcW w:w="6304" w:type="dxa"/>
            <w:vAlign w:val="center"/>
          </w:tcPr>
          <w:p w14:paraId="78C77288">
            <w:pPr>
              <w:ind w:firstLine="240" w:firstLineChars="100"/>
              <w:rPr>
                <w:rFonts w:ascii="宋体" w:hAnsi="宋体" w:cs="宋体"/>
                <w:sz w:val="24"/>
              </w:rPr>
            </w:pPr>
            <w:r>
              <w:rPr>
                <w:rFonts w:hint="eastAsia" w:ascii="宋体" w:hAnsi="宋体" w:cs="宋体"/>
                <w:sz w:val="24"/>
              </w:rPr>
              <w:t xml:space="preserve">（见磋商公告） </w:t>
            </w:r>
          </w:p>
        </w:tc>
      </w:tr>
      <w:tr w14:paraId="7C4408D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735" w:type="dxa"/>
            <w:vAlign w:val="center"/>
          </w:tcPr>
          <w:p w14:paraId="0ABC78EF">
            <w:pPr>
              <w:numPr>
                <w:ilvl w:val="0"/>
                <w:numId w:val="3"/>
              </w:numPr>
              <w:spacing w:before="156" w:beforeLines="50"/>
              <w:jc w:val="center"/>
              <w:rPr>
                <w:rFonts w:ascii="宋体" w:hAnsi="宋体" w:cs="宋体"/>
                <w:sz w:val="24"/>
              </w:rPr>
            </w:pPr>
          </w:p>
        </w:tc>
        <w:tc>
          <w:tcPr>
            <w:tcW w:w="1995" w:type="dxa"/>
            <w:vAlign w:val="center"/>
          </w:tcPr>
          <w:p w14:paraId="564E646A">
            <w:pPr>
              <w:spacing w:before="156" w:beforeLines="50"/>
              <w:jc w:val="center"/>
              <w:rPr>
                <w:rFonts w:ascii="宋体" w:hAnsi="宋体" w:cs="宋体"/>
                <w:sz w:val="24"/>
              </w:rPr>
            </w:pPr>
            <w:r>
              <w:rPr>
                <w:rFonts w:hint="eastAsia" w:ascii="宋体" w:hAnsi="宋体" w:cs="宋体"/>
                <w:sz w:val="24"/>
              </w:rPr>
              <w:t>响应文件递交地点</w:t>
            </w:r>
          </w:p>
        </w:tc>
        <w:tc>
          <w:tcPr>
            <w:tcW w:w="6304" w:type="dxa"/>
            <w:vAlign w:val="center"/>
          </w:tcPr>
          <w:p w14:paraId="040F118F">
            <w:pPr>
              <w:rPr>
                <w:rFonts w:ascii="宋体" w:hAnsi="宋体"/>
                <w:sz w:val="24"/>
              </w:rPr>
            </w:pPr>
            <w:r>
              <w:rPr>
                <w:rFonts w:hint="eastAsia" w:ascii="宋体" w:hAnsi="宋体"/>
                <w:sz w:val="24"/>
              </w:rPr>
              <w:t>周口市公共资源交易中心网</w:t>
            </w:r>
          </w:p>
          <w:p w14:paraId="40EFB991">
            <w:pPr>
              <w:rPr>
                <w:rFonts w:ascii="宋体" w:hAnsi="宋体" w:cs="宋体" w:eastAsiaTheme="minorEastAsia"/>
                <w:sz w:val="24"/>
              </w:rPr>
            </w:pPr>
            <w:r>
              <w:rPr>
                <w:rFonts w:hint="eastAsia" w:ascii="宋体" w:hAnsi="宋体"/>
                <w:sz w:val="24"/>
              </w:rPr>
              <w:t>网址：周口市公共资源电子交易服务平台会员系统（网址</w:t>
            </w:r>
            <w:r>
              <w:rPr>
                <w:rFonts w:hint="eastAsia" w:asciiTheme="minorEastAsia" w:hAnsiTheme="minorEastAsia" w:eastAsiaTheme="minorEastAsia"/>
                <w:color w:val="000000"/>
              </w:rPr>
              <w:t>http://jyzx.zhoukou.gov.cn）</w:t>
            </w:r>
          </w:p>
          <w:p w14:paraId="34D055F9">
            <w:pPr>
              <w:spacing w:line="560" w:lineRule="exact"/>
              <w:rPr>
                <w:rFonts w:ascii="宋体" w:hAnsi="宋体" w:cs="宋体"/>
                <w:sz w:val="24"/>
              </w:rPr>
            </w:pPr>
            <w:r>
              <w:rPr>
                <w:rFonts w:hint="eastAsia" w:ascii="宋体" w:hAnsi="宋体" w:cs="宋体"/>
                <w:sz w:val="24"/>
              </w:rPr>
              <w:t>（本项目实行网上远程开标无须到现场提交响应文件）</w:t>
            </w:r>
          </w:p>
        </w:tc>
      </w:tr>
      <w:tr w14:paraId="4977796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35" w:type="dxa"/>
            <w:vAlign w:val="center"/>
          </w:tcPr>
          <w:p w14:paraId="7E59D736">
            <w:pPr>
              <w:numPr>
                <w:ilvl w:val="0"/>
                <w:numId w:val="3"/>
              </w:numPr>
              <w:spacing w:before="156" w:beforeLines="50"/>
              <w:jc w:val="center"/>
              <w:rPr>
                <w:rFonts w:ascii="宋体" w:hAnsi="宋体" w:cs="宋体"/>
                <w:sz w:val="24"/>
              </w:rPr>
            </w:pPr>
          </w:p>
        </w:tc>
        <w:tc>
          <w:tcPr>
            <w:tcW w:w="1995" w:type="dxa"/>
            <w:vAlign w:val="center"/>
          </w:tcPr>
          <w:p w14:paraId="4E424A5F">
            <w:pPr>
              <w:spacing w:before="156" w:beforeLines="50"/>
              <w:jc w:val="center"/>
              <w:rPr>
                <w:rFonts w:ascii="宋体" w:hAnsi="宋体" w:cs="宋体"/>
                <w:sz w:val="24"/>
              </w:rPr>
            </w:pPr>
            <w:r>
              <w:rPr>
                <w:rFonts w:hint="eastAsia" w:ascii="宋体" w:hAnsi="宋体" w:cs="宋体"/>
                <w:sz w:val="24"/>
              </w:rPr>
              <w:t>磋商时间</w:t>
            </w:r>
          </w:p>
        </w:tc>
        <w:tc>
          <w:tcPr>
            <w:tcW w:w="6304" w:type="dxa"/>
            <w:vAlign w:val="center"/>
          </w:tcPr>
          <w:p w14:paraId="71E0C3AA">
            <w:pPr>
              <w:tabs>
                <w:tab w:val="left" w:pos="8640"/>
              </w:tabs>
              <w:ind w:left="-2" w:leftChars="-1" w:firstLine="240" w:firstLineChars="100"/>
              <w:rPr>
                <w:rFonts w:ascii="宋体" w:hAnsi="宋体" w:cs="宋体"/>
                <w:sz w:val="24"/>
              </w:rPr>
            </w:pPr>
            <w:r>
              <w:rPr>
                <w:rFonts w:hint="eastAsia" w:ascii="宋体" w:hAnsi="宋体" w:cs="宋体"/>
                <w:sz w:val="24"/>
              </w:rPr>
              <w:t>见磋商公告</w:t>
            </w:r>
          </w:p>
        </w:tc>
      </w:tr>
      <w:tr w14:paraId="34F1AE8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35" w:type="dxa"/>
            <w:vAlign w:val="center"/>
          </w:tcPr>
          <w:p w14:paraId="74648257">
            <w:pPr>
              <w:numPr>
                <w:ilvl w:val="0"/>
                <w:numId w:val="3"/>
              </w:numPr>
              <w:spacing w:before="156" w:beforeLines="50"/>
              <w:jc w:val="center"/>
              <w:rPr>
                <w:rFonts w:ascii="宋体" w:hAnsi="宋体" w:cs="宋体"/>
                <w:sz w:val="24"/>
              </w:rPr>
            </w:pPr>
          </w:p>
        </w:tc>
        <w:tc>
          <w:tcPr>
            <w:tcW w:w="1995" w:type="dxa"/>
            <w:vAlign w:val="center"/>
          </w:tcPr>
          <w:p w14:paraId="6E16D768">
            <w:pPr>
              <w:spacing w:before="156" w:beforeLines="50"/>
              <w:jc w:val="center"/>
              <w:rPr>
                <w:rFonts w:ascii="宋体" w:hAnsi="宋体" w:cs="宋体"/>
                <w:sz w:val="24"/>
              </w:rPr>
            </w:pPr>
            <w:r>
              <w:rPr>
                <w:rFonts w:hint="eastAsia" w:ascii="宋体" w:hAnsi="宋体" w:cs="宋体"/>
                <w:sz w:val="24"/>
              </w:rPr>
              <w:t>磋商程序和内容</w:t>
            </w:r>
          </w:p>
        </w:tc>
        <w:tc>
          <w:tcPr>
            <w:tcW w:w="6304" w:type="dxa"/>
            <w:vAlign w:val="center"/>
          </w:tcPr>
          <w:p w14:paraId="2F46BF30">
            <w:pPr>
              <w:tabs>
                <w:tab w:val="left" w:pos="8640"/>
              </w:tabs>
              <w:rPr>
                <w:rFonts w:ascii="宋体" w:hAnsi="宋体" w:cs="宋体"/>
                <w:sz w:val="24"/>
              </w:rPr>
            </w:pPr>
            <w:r>
              <w:rPr>
                <w:rFonts w:hint="eastAsia" w:ascii="宋体" w:hAnsi="宋体" w:cs="宋体"/>
                <w:sz w:val="24"/>
              </w:rPr>
              <w:t>详见磋商文件第二章</w:t>
            </w:r>
          </w:p>
        </w:tc>
      </w:tr>
      <w:tr w14:paraId="44DF55B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735" w:type="dxa"/>
            <w:vAlign w:val="center"/>
          </w:tcPr>
          <w:p w14:paraId="13184EE1">
            <w:pPr>
              <w:numPr>
                <w:ilvl w:val="0"/>
                <w:numId w:val="3"/>
              </w:numPr>
              <w:spacing w:before="156" w:beforeLines="50"/>
              <w:jc w:val="center"/>
              <w:rPr>
                <w:rFonts w:ascii="宋体" w:hAnsi="宋体" w:cs="宋体"/>
                <w:sz w:val="24"/>
              </w:rPr>
            </w:pPr>
          </w:p>
        </w:tc>
        <w:tc>
          <w:tcPr>
            <w:tcW w:w="1995" w:type="dxa"/>
            <w:vAlign w:val="center"/>
          </w:tcPr>
          <w:p w14:paraId="22FA2D5A">
            <w:pPr>
              <w:spacing w:before="156" w:beforeLines="50"/>
              <w:jc w:val="center"/>
              <w:rPr>
                <w:rFonts w:ascii="宋体" w:hAnsi="宋体" w:cs="宋体"/>
                <w:sz w:val="24"/>
              </w:rPr>
            </w:pPr>
            <w:r>
              <w:rPr>
                <w:rFonts w:hint="eastAsia" w:ascii="宋体" w:hAnsi="宋体" w:cs="宋体"/>
                <w:sz w:val="24"/>
              </w:rPr>
              <w:t>授予合同</w:t>
            </w:r>
          </w:p>
        </w:tc>
        <w:tc>
          <w:tcPr>
            <w:tcW w:w="6304" w:type="dxa"/>
            <w:vAlign w:val="center"/>
          </w:tcPr>
          <w:p w14:paraId="42A5630C">
            <w:pPr>
              <w:tabs>
                <w:tab w:val="left" w:pos="8640"/>
              </w:tabs>
              <w:jc w:val="left"/>
              <w:rPr>
                <w:rFonts w:ascii="宋体" w:hAnsi="宋体" w:cs="宋体"/>
                <w:sz w:val="24"/>
              </w:rPr>
            </w:pPr>
            <w:r>
              <w:rPr>
                <w:rFonts w:hint="eastAsia" w:ascii="宋体" w:hAnsi="宋体" w:cs="宋体"/>
                <w:sz w:val="24"/>
              </w:rPr>
              <w:t>采购人根据磋商小组的推荐意见，确定成交供应商。采购代理机构向成交供应商发出成交通知书。</w:t>
            </w:r>
          </w:p>
        </w:tc>
      </w:tr>
      <w:tr w14:paraId="27290CF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735" w:type="dxa"/>
            <w:vAlign w:val="center"/>
          </w:tcPr>
          <w:p w14:paraId="03654185">
            <w:pPr>
              <w:numPr>
                <w:ilvl w:val="0"/>
                <w:numId w:val="3"/>
              </w:numPr>
              <w:spacing w:before="156" w:beforeLines="50"/>
              <w:jc w:val="center"/>
              <w:rPr>
                <w:rFonts w:ascii="宋体" w:hAnsi="宋体" w:cs="宋体"/>
                <w:sz w:val="24"/>
              </w:rPr>
            </w:pPr>
          </w:p>
        </w:tc>
        <w:tc>
          <w:tcPr>
            <w:tcW w:w="1995" w:type="dxa"/>
            <w:vAlign w:val="center"/>
          </w:tcPr>
          <w:p w14:paraId="523D7F81">
            <w:pPr>
              <w:spacing w:before="156" w:beforeLines="50"/>
              <w:ind w:firstLine="14" w:firstLineChars="6"/>
              <w:jc w:val="center"/>
              <w:rPr>
                <w:rFonts w:ascii="宋体" w:hAnsi="宋体" w:cs="宋体"/>
                <w:sz w:val="24"/>
              </w:rPr>
            </w:pPr>
            <w:r>
              <w:rPr>
                <w:rFonts w:hint="eastAsia" w:ascii="宋体" w:hAnsi="宋体" w:cs="宋体"/>
                <w:sz w:val="24"/>
              </w:rPr>
              <w:t>签订合同</w:t>
            </w:r>
          </w:p>
        </w:tc>
        <w:tc>
          <w:tcPr>
            <w:tcW w:w="6304" w:type="dxa"/>
            <w:vAlign w:val="center"/>
          </w:tcPr>
          <w:p w14:paraId="442A20D9">
            <w:pPr>
              <w:tabs>
                <w:tab w:val="left" w:pos="8640"/>
              </w:tabs>
              <w:ind w:left="-2" w:leftChars="-1"/>
              <w:rPr>
                <w:rFonts w:ascii="宋体" w:hAnsi="宋体" w:cs="宋体"/>
                <w:sz w:val="24"/>
              </w:rPr>
            </w:pPr>
            <w:r>
              <w:rPr>
                <w:rFonts w:hint="eastAsia" w:ascii="宋体" w:hAnsi="宋体" w:cs="宋体"/>
                <w:sz w:val="24"/>
              </w:rPr>
              <w:t>1）接到成交通知书30天内，成交供应商应与采购人签订采购合同。</w:t>
            </w:r>
          </w:p>
          <w:p w14:paraId="20A9F7F9">
            <w:pPr>
              <w:tabs>
                <w:tab w:val="left" w:pos="8640"/>
              </w:tabs>
              <w:ind w:left="-2" w:leftChars="-1"/>
              <w:rPr>
                <w:rFonts w:ascii="宋体" w:hAnsi="宋体" w:cs="宋体"/>
                <w:sz w:val="24"/>
              </w:rPr>
            </w:pPr>
            <w:r>
              <w:rPr>
                <w:rFonts w:hint="eastAsia" w:ascii="宋体" w:hAnsi="宋体" w:cs="宋体"/>
                <w:sz w:val="24"/>
              </w:rPr>
              <w:t>2）本磋商文件、响应文件及磋商、评审过程中有关澄清、承诺文件的内容，将作为签订合同的主要内容。</w:t>
            </w:r>
          </w:p>
        </w:tc>
      </w:tr>
      <w:tr w14:paraId="49F1D04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735" w:type="dxa"/>
            <w:vAlign w:val="center"/>
          </w:tcPr>
          <w:p w14:paraId="0E0F4A97">
            <w:pPr>
              <w:numPr>
                <w:ilvl w:val="0"/>
                <w:numId w:val="3"/>
              </w:numPr>
              <w:spacing w:before="156" w:beforeLines="50"/>
              <w:jc w:val="center"/>
              <w:rPr>
                <w:rFonts w:ascii="宋体" w:hAnsi="宋体" w:cs="宋体"/>
                <w:sz w:val="24"/>
              </w:rPr>
            </w:pPr>
          </w:p>
        </w:tc>
        <w:tc>
          <w:tcPr>
            <w:tcW w:w="1995" w:type="dxa"/>
            <w:vAlign w:val="center"/>
          </w:tcPr>
          <w:p w14:paraId="0A718CA9">
            <w:pPr>
              <w:spacing w:before="156" w:beforeLines="50"/>
              <w:ind w:firstLine="14" w:firstLineChars="6"/>
              <w:jc w:val="center"/>
              <w:rPr>
                <w:rFonts w:ascii="宋体" w:hAnsi="宋体" w:cs="宋体"/>
                <w:sz w:val="24"/>
              </w:rPr>
            </w:pPr>
            <w:r>
              <w:rPr>
                <w:rFonts w:hint="eastAsia" w:ascii="宋体" w:hAnsi="宋体" w:cs="宋体"/>
                <w:sz w:val="24"/>
              </w:rPr>
              <w:t>投标保证金</w:t>
            </w:r>
          </w:p>
        </w:tc>
        <w:tc>
          <w:tcPr>
            <w:tcW w:w="6304" w:type="dxa"/>
            <w:vAlign w:val="center"/>
          </w:tcPr>
          <w:p w14:paraId="7BA5487B">
            <w:r>
              <w:rPr>
                <w:rFonts w:hint="eastAsia" w:ascii="宋体" w:hAnsi="宋体" w:cs="宋体"/>
                <w:sz w:val="24"/>
              </w:rPr>
              <w:t>不需要缴纳投标保证金</w:t>
            </w:r>
          </w:p>
        </w:tc>
      </w:tr>
      <w:tr w14:paraId="6DCDF88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vAlign w:val="center"/>
          </w:tcPr>
          <w:p w14:paraId="697666F8">
            <w:pPr>
              <w:numPr>
                <w:ilvl w:val="0"/>
                <w:numId w:val="3"/>
              </w:numPr>
              <w:spacing w:before="156" w:beforeLines="50"/>
              <w:jc w:val="center"/>
              <w:rPr>
                <w:rFonts w:ascii="宋体" w:hAnsi="宋体" w:cs="宋体"/>
                <w:color w:val="auto"/>
                <w:sz w:val="24"/>
                <w:highlight w:val="none"/>
              </w:rPr>
            </w:pPr>
          </w:p>
        </w:tc>
        <w:tc>
          <w:tcPr>
            <w:tcW w:w="1995" w:type="dxa"/>
            <w:vAlign w:val="center"/>
          </w:tcPr>
          <w:p w14:paraId="6D2EBC51">
            <w:pPr>
              <w:jc w:val="center"/>
              <w:rPr>
                <w:rFonts w:ascii="宋体" w:hAnsi="宋体" w:cs="宋体"/>
                <w:color w:val="auto"/>
                <w:sz w:val="24"/>
                <w:highlight w:val="none"/>
              </w:rPr>
            </w:pPr>
            <w:r>
              <w:rPr>
                <w:rFonts w:hint="eastAsia" w:ascii="宋体" w:hAnsi="宋体" w:cs="宋体"/>
                <w:color w:val="auto"/>
                <w:sz w:val="24"/>
                <w:highlight w:val="none"/>
              </w:rPr>
              <w:t>服务期限</w:t>
            </w:r>
          </w:p>
        </w:tc>
        <w:tc>
          <w:tcPr>
            <w:tcW w:w="6304" w:type="dxa"/>
            <w:vAlign w:val="center"/>
          </w:tcPr>
          <w:p w14:paraId="6BB04B3B">
            <w:pPr>
              <w:jc w:val="left"/>
              <w:rPr>
                <w:rFonts w:ascii="宋体" w:hAnsi="宋体" w:cs="宋体"/>
                <w:color w:val="auto"/>
                <w:sz w:val="24"/>
                <w:highlight w:val="none"/>
              </w:rPr>
            </w:pPr>
            <w:r>
              <w:rPr>
                <w:rFonts w:hint="eastAsia" w:ascii="宋体" w:hAnsi="宋体" w:cs="宋体"/>
                <w:color w:val="auto"/>
                <w:sz w:val="24"/>
                <w:highlight w:val="none"/>
              </w:rPr>
              <w:t>详见采购公告</w:t>
            </w:r>
          </w:p>
        </w:tc>
      </w:tr>
      <w:tr w14:paraId="5A84559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35" w:type="dxa"/>
            <w:vAlign w:val="center"/>
          </w:tcPr>
          <w:p w14:paraId="270F66DC">
            <w:pPr>
              <w:numPr>
                <w:ilvl w:val="0"/>
                <w:numId w:val="3"/>
              </w:numPr>
              <w:spacing w:before="156" w:beforeLines="50"/>
              <w:jc w:val="center"/>
              <w:rPr>
                <w:rFonts w:ascii="宋体" w:hAnsi="宋体" w:cs="宋体"/>
                <w:color w:val="auto"/>
                <w:sz w:val="24"/>
                <w:highlight w:val="none"/>
              </w:rPr>
            </w:pPr>
          </w:p>
        </w:tc>
        <w:tc>
          <w:tcPr>
            <w:tcW w:w="1995" w:type="dxa"/>
            <w:vAlign w:val="center"/>
          </w:tcPr>
          <w:p w14:paraId="2213B4D8">
            <w:pPr>
              <w:tabs>
                <w:tab w:val="left" w:pos="8640"/>
              </w:tabs>
              <w:ind w:left="-2" w:leftChars="-1"/>
              <w:rPr>
                <w:rFonts w:hint="eastAsia" w:ascii="宋体" w:hAnsi="宋体" w:eastAsia="宋体" w:cs="宋体"/>
                <w:color w:val="auto"/>
                <w:sz w:val="24"/>
                <w:highlight w:val="none"/>
              </w:rPr>
            </w:pPr>
            <w:r>
              <w:rPr>
                <w:rFonts w:hint="eastAsia" w:ascii="宋体" w:hAnsi="宋体" w:eastAsia="宋体" w:cs="宋体"/>
                <w:color w:val="auto"/>
                <w:sz w:val="24"/>
                <w:highlight w:val="none"/>
              </w:rPr>
              <w:t>付款方式（要求详细填写）</w:t>
            </w:r>
          </w:p>
        </w:tc>
        <w:tc>
          <w:tcPr>
            <w:tcW w:w="6304" w:type="dxa"/>
            <w:vAlign w:val="center"/>
          </w:tcPr>
          <w:p w14:paraId="7954C1D3">
            <w:pPr>
              <w:tabs>
                <w:tab w:val="left" w:pos="8640"/>
              </w:tabs>
              <w:ind w:left="-2" w:leftChars="-1"/>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合同签订后10个工作日内，采购人向供应商支付合同总额的20%。</w:t>
            </w:r>
          </w:p>
          <w:p w14:paraId="73345D57">
            <w:pPr>
              <w:tabs>
                <w:tab w:val="left" w:pos="8640"/>
              </w:tabs>
              <w:ind w:left="-2" w:leftChars="-1"/>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供应商提交正式施工图设计文件后10个工作日内，采购人向供应商支付合同总额的50％。</w:t>
            </w:r>
          </w:p>
          <w:p w14:paraId="0202F73E">
            <w:pPr>
              <w:tabs>
                <w:tab w:val="left" w:pos="8640"/>
              </w:tabs>
              <w:ind w:left="-2" w:leftChars="-1"/>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本项目竣工验收</w:t>
            </w:r>
            <w:r>
              <w:rPr>
                <w:rFonts w:hint="eastAsia" w:ascii="宋体" w:hAnsi="宋体" w:cs="宋体"/>
                <w:color w:val="auto"/>
                <w:sz w:val="24"/>
                <w:highlight w:val="none"/>
                <w:lang w:val="en-US" w:eastAsia="zh-CN"/>
              </w:rPr>
              <w:t>合格</w:t>
            </w:r>
            <w:r>
              <w:rPr>
                <w:rFonts w:hint="eastAsia" w:ascii="宋体" w:hAnsi="宋体" w:eastAsia="宋体" w:cs="宋体"/>
                <w:color w:val="auto"/>
                <w:sz w:val="24"/>
                <w:highlight w:val="none"/>
                <w:lang w:val="en-US" w:eastAsia="zh-CN"/>
              </w:rPr>
              <w:t>后10个工作日内，采购人向供应商支付合同总额的30％。</w:t>
            </w:r>
          </w:p>
        </w:tc>
      </w:tr>
      <w:tr w14:paraId="1B5A638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735" w:type="dxa"/>
            <w:vAlign w:val="center"/>
          </w:tcPr>
          <w:p w14:paraId="757779DF">
            <w:pPr>
              <w:numPr>
                <w:ilvl w:val="0"/>
                <w:numId w:val="3"/>
              </w:numPr>
              <w:spacing w:before="156" w:beforeLines="50"/>
              <w:jc w:val="center"/>
              <w:rPr>
                <w:rFonts w:ascii="宋体" w:hAnsi="宋体" w:cs="宋体"/>
                <w:color w:val="auto"/>
                <w:sz w:val="24"/>
                <w:highlight w:val="none"/>
              </w:rPr>
            </w:pPr>
          </w:p>
        </w:tc>
        <w:tc>
          <w:tcPr>
            <w:tcW w:w="1995" w:type="dxa"/>
            <w:vAlign w:val="center"/>
          </w:tcPr>
          <w:p w14:paraId="3051A7D9">
            <w:pPr>
              <w:spacing w:before="156" w:beforeLines="50"/>
              <w:ind w:firstLine="14" w:firstLineChars="6"/>
              <w:jc w:val="center"/>
              <w:rPr>
                <w:rFonts w:ascii="宋体" w:hAnsi="宋体" w:cs="宋体"/>
                <w:color w:val="auto"/>
                <w:sz w:val="24"/>
                <w:highlight w:val="none"/>
              </w:rPr>
            </w:pPr>
            <w:r>
              <w:rPr>
                <w:rFonts w:hint="eastAsia" w:ascii="宋体" w:hAnsi="宋体" w:cs="宋体"/>
                <w:color w:val="auto"/>
                <w:sz w:val="24"/>
                <w:highlight w:val="none"/>
              </w:rPr>
              <w:t>勘察现场</w:t>
            </w:r>
          </w:p>
        </w:tc>
        <w:tc>
          <w:tcPr>
            <w:tcW w:w="6304" w:type="dxa"/>
            <w:vAlign w:val="center"/>
          </w:tcPr>
          <w:p w14:paraId="00C63034">
            <w:pPr>
              <w:tabs>
                <w:tab w:val="left" w:pos="8640"/>
              </w:tabs>
              <w:jc w:val="left"/>
              <w:rPr>
                <w:rFonts w:ascii="宋体" w:hAnsi="宋体" w:cs="宋体"/>
                <w:color w:val="auto"/>
                <w:sz w:val="24"/>
                <w:highlight w:val="none"/>
              </w:rPr>
            </w:pPr>
            <w:r>
              <w:rPr>
                <w:rFonts w:hint="eastAsia" w:ascii="宋体" w:hAnsi="宋体" w:cs="宋体"/>
                <w:color w:val="auto"/>
                <w:sz w:val="24"/>
                <w:highlight w:val="none"/>
              </w:rPr>
              <w:t>自行勘察</w:t>
            </w:r>
          </w:p>
        </w:tc>
      </w:tr>
      <w:tr w14:paraId="01AA5C2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735" w:type="dxa"/>
            <w:vAlign w:val="center"/>
          </w:tcPr>
          <w:p w14:paraId="4EED6AF6">
            <w:pPr>
              <w:numPr>
                <w:ilvl w:val="0"/>
                <w:numId w:val="3"/>
              </w:numPr>
              <w:spacing w:before="156" w:beforeLines="50"/>
              <w:jc w:val="center"/>
              <w:rPr>
                <w:rFonts w:ascii="宋体" w:hAnsi="宋体" w:cs="宋体"/>
                <w:color w:val="auto"/>
                <w:sz w:val="24"/>
                <w:highlight w:val="none"/>
              </w:rPr>
            </w:pPr>
          </w:p>
        </w:tc>
        <w:tc>
          <w:tcPr>
            <w:tcW w:w="1995" w:type="dxa"/>
            <w:vAlign w:val="center"/>
          </w:tcPr>
          <w:p w14:paraId="027D319A">
            <w:pPr>
              <w:spacing w:before="156" w:beforeLines="50"/>
              <w:ind w:firstLine="14" w:firstLineChars="6"/>
              <w:jc w:val="center"/>
              <w:rPr>
                <w:rFonts w:ascii="宋体" w:hAnsi="宋体" w:cs="宋体"/>
                <w:b/>
                <w:bCs/>
                <w:color w:val="auto"/>
                <w:sz w:val="24"/>
                <w:highlight w:val="none"/>
              </w:rPr>
            </w:pPr>
            <w:r>
              <w:rPr>
                <w:rFonts w:hint="eastAsia" w:ascii="宋体" w:hAnsi="宋体" w:cs="宋体"/>
                <w:b/>
                <w:bCs/>
                <w:color w:val="auto"/>
                <w:sz w:val="24"/>
                <w:highlight w:val="none"/>
              </w:rPr>
              <w:t>报价</w:t>
            </w:r>
          </w:p>
        </w:tc>
        <w:tc>
          <w:tcPr>
            <w:tcW w:w="6304" w:type="dxa"/>
            <w:vAlign w:val="center"/>
          </w:tcPr>
          <w:p w14:paraId="42FE3A4F">
            <w:pPr>
              <w:tabs>
                <w:tab w:val="left" w:pos="8640"/>
              </w:tabs>
              <w:jc w:val="left"/>
              <w:rPr>
                <w:rFonts w:ascii="宋体" w:hAnsi="宋体" w:cs="宋体"/>
                <w:b/>
                <w:bCs/>
                <w:color w:val="auto"/>
                <w:sz w:val="24"/>
                <w:highlight w:val="none"/>
                <w:u w:val="single"/>
              </w:rPr>
            </w:pPr>
            <w:r>
              <w:rPr>
                <w:rFonts w:hint="eastAsia" w:ascii="宋体" w:hAnsi="宋体" w:cs="宋体"/>
                <w:b/>
                <w:bCs/>
                <w:color w:val="auto"/>
                <w:sz w:val="24"/>
                <w:highlight w:val="none"/>
              </w:rPr>
              <w:t>一次报价</w:t>
            </w:r>
          </w:p>
        </w:tc>
      </w:tr>
      <w:tr w14:paraId="69D57A3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735" w:type="dxa"/>
            <w:vAlign w:val="center"/>
          </w:tcPr>
          <w:p w14:paraId="6C4A632F">
            <w:pPr>
              <w:numPr>
                <w:ilvl w:val="0"/>
                <w:numId w:val="3"/>
              </w:numPr>
              <w:spacing w:before="156" w:beforeLines="50"/>
              <w:jc w:val="center"/>
              <w:rPr>
                <w:rFonts w:ascii="宋体" w:hAnsi="宋体" w:cs="宋体"/>
                <w:color w:val="auto"/>
                <w:sz w:val="24"/>
                <w:highlight w:val="none"/>
              </w:rPr>
            </w:pPr>
          </w:p>
        </w:tc>
        <w:tc>
          <w:tcPr>
            <w:tcW w:w="1995" w:type="dxa"/>
            <w:vAlign w:val="center"/>
          </w:tcPr>
          <w:p w14:paraId="0EC660F5">
            <w:pPr>
              <w:widowControl/>
              <w:spacing w:before="156" w:beforeLines="50"/>
              <w:ind w:firstLine="14" w:firstLineChars="6"/>
              <w:jc w:val="left"/>
              <w:rPr>
                <w:rFonts w:ascii="宋体" w:hAnsi="宋体" w:cs="宋体"/>
                <w:b/>
                <w:bCs/>
                <w:color w:val="auto"/>
                <w:sz w:val="24"/>
                <w:highlight w:val="none"/>
              </w:rPr>
            </w:pPr>
            <w:r>
              <w:rPr>
                <w:rFonts w:hint="eastAsia" w:ascii="宋体" w:hAnsi="宋体" w:cs="宋体"/>
                <w:color w:val="auto"/>
                <w:kern w:val="0"/>
                <w:sz w:val="24"/>
                <w:highlight w:val="none"/>
                <w:lang w:bidi="ar"/>
              </w:rPr>
              <w:t xml:space="preserve">本项目所属行业 </w:t>
            </w:r>
          </w:p>
        </w:tc>
        <w:tc>
          <w:tcPr>
            <w:tcW w:w="6304" w:type="dxa"/>
            <w:vAlign w:val="center"/>
          </w:tcPr>
          <w:p w14:paraId="6BC484EC">
            <w:pPr>
              <w:widowControl/>
              <w:jc w:val="left"/>
              <w:rPr>
                <w:rFonts w:ascii="宋体" w:hAnsi="宋体" w:cs="宋体"/>
                <w:b/>
                <w:bCs/>
                <w:color w:val="auto"/>
                <w:sz w:val="24"/>
                <w:highlight w:val="none"/>
              </w:rPr>
            </w:pPr>
            <w:r>
              <w:rPr>
                <w:rFonts w:hint="eastAsia" w:ascii="宋体" w:hAnsi="宋体" w:cs="宋体"/>
                <w:color w:val="auto"/>
                <w:kern w:val="0"/>
                <w:sz w:val="24"/>
                <w:highlight w:val="none"/>
                <w:lang w:bidi="ar"/>
              </w:rPr>
              <w:t>其他未列明行业</w:t>
            </w:r>
          </w:p>
        </w:tc>
      </w:tr>
    </w:tbl>
    <w:p w14:paraId="472EDE90">
      <w:pPr>
        <w:spacing w:line="720" w:lineRule="auto"/>
        <w:jc w:val="center"/>
        <w:rPr>
          <w:rFonts w:ascii="宋体" w:hAnsi="宋体" w:cs="宋体"/>
          <w:b/>
          <w:color w:val="auto"/>
          <w:sz w:val="30"/>
          <w:szCs w:val="30"/>
          <w:highlight w:val="none"/>
        </w:rPr>
      </w:pPr>
      <w:r>
        <w:rPr>
          <w:rFonts w:hint="eastAsia" w:ascii="宋体" w:hAnsi="宋体" w:cs="宋体"/>
          <w:b/>
          <w:color w:val="auto"/>
          <w:sz w:val="30"/>
          <w:szCs w:val="30"/>
          <w:highlight w:val="none"/>
        </w:rPr>
        <w:t>一、总则</w:t>
      </w:r>
    </w:p>
    <w:p w14:paraId="049748F7">
      <w:pPr>
        <w:spacing w:line="560" w:lineRule="exact"/>
        <w:ind w:firstLine="482" w:firstLineChars="200"/>
        <w:rPr>
          <w:rFonts w:ascii="宋体" w:hAnsi="宋体" w:cs="宋体"/>
          <w:color w:val="auto"/>
          <w:sz w:val="24"/>
          <w:highlight w:val="none"/>
        </w:rPr>
      </w:pPr>
      <w:r>
        <w:rPr>
          <w:rFonts w:hint="eastAsia" w:ascii="宋体" w:hAnsi="宋体" w:cs="宋体"/>
          <w:b/>
          <w:color w:val="auto"/>
          <w:sz w:val="24"/>
          <w:highlight w:val="none"/>
        </w:rPr>
        <w:t>1．适用范围</w:t>
      </w:r>
    </w:p>
    <w:p w14:paraId="1411214B">
      <w:pPr>
        <w:spacing w:line="560" w:lineRule="exact"/>
        <w:ind w:firstLine="480" w:firstLineChars="200"/>
        <w:rPr>
          <w:rFonts w:ascii="宋体" w:hAnsi="宋体" w:cs="宋体"/>
          <w:bCs/>
          <w:color w:val="auto"/>
          <w:sz w:val="24"/>
          <w:highlight w:val="none"/>
        </w:rPr>
      </w:pPr>
      <w:r>
        <w:rPr>
          <w:rFonts w:hint="eastAsia" w:ascii="宋体" w:hAnsi="宋体" w:cs="宋体"/>
          <w:color w:val="auto"/>
          <w:sz w:val="24"/>
          <w:highlight w:val="none"/>
        </w:rPr>
        <w:t>1.1本竞争性磋商文件仅适用于本次竞争性磋商邀请函中所述</w:t>
      </w:r>
      <w:r>
        <w:rPr>
          <w:rFonts w:hint="eastAsia" w:ascii="宋体" w:hAnsi="宋体" w:cs="宋体"/>
          <w:bCs/>
          <w:color w:val="auto"/>
          <w:sz w:val="24"/>
          <w:highlight w:val="none"/>
        </w:rPr>
        <w:t>项目。</w:t>
      </w:r>
    </w:p>
    <w:p w14:paraId="5F07BA73">
      <w:pPr>
        <w:spacing w:line="5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2．定义</w:t>
      </w:r>
    </w:p>
    <w:p w14:paraId="156708CA">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2.1“采购代理机构”：河南泓浩工程管理有限公司。</w:t>
      </w:r>
    </w:p>
    <w:p w14:paraId="67C19842">
      <w:pPr>
        <w:tabs>
          <w:tab w:val="left" w:pos="0"/>
        </w:tabs>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2.2“采购人”：周口市城市管理局</w:t>
      </w:r>
    </w:p>
    <w:p w14:paraId="66C8BF67">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2.3“供应商”系指按竞争性磋商文件规定取得竞争性磋商文件并参加竞争性磋商活动的法人、其他组织或者自然人。</w:t>
      </w:r>
    </w:p>
    <w:p w14:paraId="645A3354">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2.4“供应商代表”：系指代表供应商参加本次竞争性磋商活动的供应商的法定代表人或其委托代理人。</w:t>
      </w:r>
    </w:p>
    <w:p w14:paraId="5C38A2FE">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2.5“服务”：系指本项目所采购的服务及其他要求等。</w:t>
      </w:r>
    </w:p>
    <w:p w14:paraId="00D8419A">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2.6“法定代表人”系指法人单位（企业）法人营业执照（或事业法人登记证书上）上注明的法定代表人；如为其他组织或个体经营者参加竞争性磋商会的，指营业执照上注明的负责人或经营者。 </w:t>
      </w:r>
    </w:p>
    <w:p w14:paraId="61F11970">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2.7“重大违法记录”系指供应商因违法经营受到刑事处罚或者责令停产停业、吊销许可证或者执照、较大数额罚款等行政处罚。</w:t>
      </w:r>
    </w:p>
    <w:p w14:paraId="0809283A">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2.8“不具备良好的商业信誉”是指：</w:t>
      </w:r>
    </w:p>
    <w:p w14:paraId="1A3072AD">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（1）有重大违法记录的（满三年的除外）；</w:t>
      </w:r>
    </w:p>
    <w:p w14:paraId="6606DE8C">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（2）被各级财政部门列入政府采购严重违法失信行为信息记录的（期限已满的除外）；</w:t>
      </w:r>
    </w:p>
    <w:p w14:paraId="30A8B9E3">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（3）被各级政府采购监督管理部门禁止在一定期限内参加政府采购活动等处罚的（期限已满的除外）；</w:t>
      </w:r>
    </w:p>
    <w:p w14:paraId="30D5D411">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（4）被各级法院列入失信名单的（已依法解除的除外）；</w:t>
      </w:r>
    </w:p>
    <w:p w14:paraId="5A45D6F9">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（5）法律法规规定的其他情形。</w:t>
      </w:r>
    </w:p>
    <w:p w14:paraId="00DB6C45">
      <w:pPr>
        <w:spacing w:line="360" w:lineRule="auto"/>
        <w:ind w:firstLine="550"/>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供应商应在投标文件中书面声明未被纳入重大税收违法失信主体名单且未存在不诚信记录，如若实际情况与投标人书面声明内容不一致，一经查实将取消其中标资格，此内容为招标人实质性要求，投标人需在投标文件中出具书面声明，否则按无效标处理。</w:t>
      </w:r>
    </w:p>
    <w:p w14:paraId="4A047E66">
      <w:pPr>
        <w:spacing w:line="5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3.采购预算</w:t>
      </w:r>
    </w:p>
    <w:p w14:paraId="1B6C8DFC">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3.1本次采购预算：见公告。</w:t>
      </w:r>
    </w:p>
    <w:p w14:paraId="5D0EB4E4">
      <w:pPr>
        <w:spacing w:line="5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4.合格的供应商</w:t>
      </w:r>
    </w:p>
    <w:p w14:paraId="63B2951E">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4.1.1符合供应商资格条件（详见第一部分供应商资格条件）</w:t>
      </w:r>
    </w:p>
    <w:p w14:paraId="4BF72F76">
      <w:pPr>
        <w:widowControl/>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4.1.2参加政府采购活动前三年内，在经营活动中没有重大违法记录的声明函；</w:t>
      </w:r>
    </w:p>
    <w:p w14:paraId="61015CCF">
      <w:pPr>
        <w:widowControl/>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4.1.3 政府采购供应商诚信承诺书；</w:t>
      </w:r>
    </w:p>
    <w:p w14:paraId="5B78926C">
      <w:pPr>
        <w:pStyle w:val="72"/>
        <w:spacing w:line="360" w:lineRule="auto"/>
        <w:ind w:firstLine="480" w:firstLineChars="200"/>
        <w:rPr>
          <w:rFonts w:hAnsi="宋体" w:eastAsia="宋体"/>
          <w:color w:val="auto"/>
          <w:sz w:val="24"/>
          <w:highlight w:val="none"/>
        </w:rPr>
      </w:pPr>
      <w:r>
        <w:rPr>
          <w:rFonts w:hint="eastAsia" w:hAnsi="宋体" w:eastAsia="宋体"/>
          <w:color w:val="auto"/>
          <w:sz w:val="24"/>
          <w:highlight w:val="none"/>
        </w:rPr>
        <w:t>4.</w:t>
      </w:r>
      <w:r>
        <w:rPr>
          <w:rFonts w:hint="eastAsia" w:hAnsi="宋体" w:eastAsia="宋体"/>
          <w:color w:val="auto"/>
          <w:sz w:val="24"/>
          <w:highlight w:val="none"/>
          <w:lang w:val="en-US"/>
        </w:rPr>
        <w:t>1.4 供应商</w:t>
      </w:r>
      <w:r>
        <w:rPr>
          <w:rFonts w:hint="eastAsia" w:hAnsi="宋体" w:eastAsia="宋体"/>
          <w:color w:val="auto"/>
          <w:sz w:val="24"/>
          <w:highlight w:val="none"/>
        </w:rPr>
        <w:t>自觉抵制政府采购领域商业贿赂行为承诺书；</w:t>
      </w:r>
    </w:p>
    <w:p w14:paraId="638DAF83">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4.2 </w:t>
      </w:r>
      <w:r>
        <w:rPr>
          <w:rFonts w:hint="eastAsia" w:ascii="宋体" w:hAnsi="宋体" w:cs="宋体"/>
          <w:color w:val="auto"/>
          <w:kern w:val="0"/>
          <w:sz w:val="24"/>
          <w:highlight w:val="none"/>
        </w:rPr>
        <w:t>供应商需提供售后服务体系与承诺</w:t>
      </w:r>
      <w:r>
        <w:rPr>
          <w:rFonts w:hint="eastAsia" w:ascii="宋体" w:hAnsi="宋体" w:cs="宋体"/>
          <w:color w:val="auto"/>
          <w:kern w:val="0"/>
          <w:sz w:val="24"/>
          <w:highlight w:val="none"/>
          <w:lang w:val="zh-CN"/>
        </w:rPr>
        <w:t>。</w:t>
      </w:r>
    </w:p>
    <w:p w14:paraId="69C4410E">
      <w:pPr>
        <w:pStyle w:val="72"/>
        <w:spacing w:line="360" w:lineRule="auto"/>
        <w:ind w:firstLine="480" w:firstLineChars="200"/>
        <w:rPr>
          <w:rFonts w:hAnsi="宋体" w:eastAsia="宋体"/>
          <w:color w:val="auto"/>
          <w:sz w:val="24"/>
          <w:highlight w:val="none"/>
        </w:rPr>
      </w:pPr>
      <w:r>
        <w:rPr>
          <w:rFonts w:hint="eastAsia" w:hAnsi="宋体" w:eastAsia="宋体"/>
          <w:color w:val="auto"/>
          <w:sz w:val="24"/>
          <w:highlight w:val="none"/>
        </w:rPr>
        <w:t>4.</w:t>
      </w:r>
      <w:r>
        <w:rPr>
          <w:rFonts w:hint="eastAsia" w:hAnsi="宋体" w:eastAsia="宋体"/>
          <w:color w:val="auto"/>
          <w:sz w:val="24"/>
          <w:highlight w:val="none"/>
          <w:lang w:val="en-US"/>
        </w:rPr>
        <w:t>3</w:t>
      </w:r>
      <w:r>
        <w:rPr>
          <w:rFonts w:hint="eastAsia" w:hAnsi="宋体" w:eastAsia="宋体"/>
          <w:color w:val="auto"/>
          <w:sz w:val="24"/>
          <w:highlight w:val="none"/>
        </w:rPr>
        <w:t>符合本竞争性磋商文件规定的供应商资格要求及项目要求的其它条件，并按照要求提供相关证明材料。</w:t>
      </w:r>
    </w:p>
    <w:p w14:paraId="44BA6F09">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4.4供应商应遵守国家法律、法规有关竞争性磋商的规定。</w:t>
      </w:r>
    </w:p>
    <w:p w14:paraId="39B3E4E9">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4.5凡通过磋商小组符合性审查的供应商均为合格供应商。未通过符合性审查的供应商将视为不响应本项目的竞争性磋商文件被否决。</w:t>
      </w:r>
    </w:p>
    <w:p w14:paraId="7AA2485A">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4.6供应商需提供加盖单位公章、法定代表人签章的营业执照正副本扫描件 。</w:t>
      </w:r>
    </w:p>
    <w:p w14:paraId="50AF1976">
      <w:pPr>
        <w:spacing w:line="360" w:lineRule="auto"/>
        <w:ind w:firstLine="48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4.7</w:t>
      </w:r>
      <w:r>
        <w:rPr>
          <w:rFonts w:hint="eastAsia" w:ascii="宋体" w:hAnsi="宋体" w:cs="宋体"/>
          <w:color w:val="auto"/>
          <w:sz w:val="24"/>
          <w:highlight w:val="none"/>
        </w:rPr>
        <w:t>未被工商行政管理机关在全国企业信用信息公示系统中列入严重违法失信企业名单和经营异常名录。(查询时间发布公告之后）</w:t>
      </w:r>
    </w:p>
    <w:p w14:paraId="7F9D07C3">
      <w:pPr>
        <w:spacing w:line="360" w:lineRule="auto"/>
        <w:ind w:firstLine="482" w:firstLineChars="0"/>
        <w:outlineLvl w:val="2"/>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rPr>
        <w:t>注：单位负责人为同一人或者存在直接控股、管理关系的不同供应商，不得参加同一合同项下的政府采购活动。提供法定代表人签章的国家企业信用信息公示系统公告后网页查询扫描件并承诺。</w:t>
      </w:r>
    </w:p>
    <w:p w14:paraId="00A689A3">
      <w:pPr>
        <w:spacing w:line="5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 xml:space="preserve">5.竞争性磋商文件的约束力 </w:t>
      </w:r>
    </w:p>
    <w:p w14:paraId="18DD4B74">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5.l供应商一旦参加竞争性磋商，即被认为接受了本竞争性磋商文件中的所有条款和规定。</w:t>
      </w:r>
    </w:p>
    <w:p w14:paraId="702EE733">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5.2供应商如认为本竞争性磋商文件含有倾向性或排斥潜在供应商的条款而使自己的权益受到损害的，请以书面形式向采购人提出，否则，将视为对本竞争性磋商文件要求无任何异议，并不得因此在竞争性磋商会开始后提出任何异议。</w:t>
      </w:r>
    </w:p>
    <w:p w14:paraId="364CA57A">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5.3本磋商文件由采购人负责解释。</w:t>
      </w:r>
    </w:p>
    <w:p w14:paraId="35F57ECB">
      <w:pPr>
        <w:pStyle w:val="26"/>
        <w:ind w:firstLine="480"/>
        <w:rPr>
          <w:rFonts w:ascii="宋体" w:hAnsi="宋体" w:eastAsia="宋体" w:cs="宋体"/>
          <w:color w:val="auto"/>
          <w:sz w:val="24"/>
          <w:highlight w:val="none"/>
        </w:rPr>
      </w:pPr>
    </w:p>
    <w:p w14:paraId="2BE9B928">
      <w:pPr>
        <w:spacing w:line="720" w:lineRule="auto"/>
        <w:jc w:val="center"/>
        <w:rPr>
          <w:rFonts w:ascii="宋体" w:hAnsi="宋体" w:cs="宋体"/>
          <w:b/>
          <w:color w:val="auto"/>
          <w:sz w:val="24"/>
          <w:highlight w:val="none"/>
        </w:rPr>
      </w:pPr>
      <w:r>
        <w:rPr>
          <w:rFonts w:hint="eastAsia" w:ascii="宋体" w:hAnsi="宋体" w:cs="宋体"/>
          <w:b/>
          <w:color w:val="auto"/>
          <w:sz w:val="24"/>
          <w:highlight w:val="none"/>
        </w:rPr>
        <w:t>二、竞争性磋商文件</w:t>
      </w:r>
    </w:p>
    <w:p w14:paraId="4EBBFE55">
      <w:pPr>
        <w:tabs>
          <w:tab w:val="left" w:pos="632"/>
          <w:tab w:val="left" w:pos="790"/>
        </w:tabs>
        <w:spacing w:line="5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6．竞争性磋商文件的组成</w:t>
      </w:r>
    </w:p>
    <w:p w14:paraId="57B935E6">
      <w:pPr>
        <w:autoSpaceDE w:val="0"/>
        <w:autoSpaceDN w:val="0"/>
        <w:adjustRightInd w:val="0"/>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6.1竞争性磋商</w:t>
      </w:r>
      <w:r>
        <w:rPr>
          <w:rFonts w:hint="eastAsia" w:ascii="宋体" w:hAnsi="宋体" w:cs="宋体"/>
          <w:color w:val="auto"/>
          <w:sz w:val="24"/>
          <w:highlight w:val="none"/>
          <w:lang w:val="zh-CN"/>
        </w:rPr>
        <w:t>文件是用以阐明的采购需求、采购程序和合同格式等的规范性文件。竞争性磋商文件主要由以下部分组成：</w:t>
      </w:r>
    </w:p>
    <w:p w14:paraId="0A4D2D6E">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（1）竞争性磋商邀请函；</w:t>
      </w:r>
    </w:p>
    <w:p w14:paraId="42230761">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（2）供应商须知；</w:t>
      </w:r>
    </w:p>
    <w:p w14:paraId="3F612629">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（3）采购需求；</w:t>
      </w:r>
    </w:p>
    <w:p w14:paraId="245F7315">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（4）响应性文件内容及格式；</w:t>
      </w:r>
    </w:p>
    <w:p w14:paraId="5CB86E13">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（5）合同主要条款。</w:t>
      </w:r>
    </w:p>
    <w:p w14:paraId="7D75277F">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6.2供应商收到竞争性磋商文件后，应仔细检查竞争性磋商文件是否齐全、是否有表述不明确或缺（错、重）字等问题。供应商发现任何页数和附件数量的遗缺，任何数字或词汇模糊不清，任何词义含混不清的情形，应立即与采购人联系解决。如果供应商因未按上述提出要求而造成不良后果的，采购人不承担任何责任。</w:t>
      </w:r>
    </w:p>
    <w:p w14:paraId="27433117">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6.3供应商被视为充分熟悉本采购项目所在地的与履行合同有关的各种情况，包括自然环境、气候条件、劳动力及公用设施等，本竞争性磋商文件不再对上述情况进行描述。</w:t>
      </w:r>
    </w:p>
    <w:p w14:paraId="082B5D31">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6.4供应商必须详阅竞争性磋商文件的所有条款、文件及表格格式等。供应商若未按竞争性磋商文件的要求和规范编制、提交响应性文件，将有可能导致响应性文件被拒绝接受或被视为无效。供应商应具备完善的</w:t>
      </w:r>
      <w:r>
        <w:rPr>
          <w:rFonts w:hint="eastAsia" w:ascii="宋体" w:hAnsi="宋体" w:cs="宋体"/>
          <w:color w:val="auto"/>
          <w:sz w:val="24"/>
          <w:highlight w:val="none"/>
          <w:lang w:val="en-US" w:eastAsia="zh-CN"/>
        </w:rPr>
        <w:t>人员</w:t>
      </w:r>
      <w:r>
        <w:rPr>
          <w:rFonts w:hint="eastAsia" w:ascii="宋体" w:hAnsi="宋体" w:cs="宋体"/>
          <w:color w:val="auto"/>
          <w:sz w:val="24"/>
          <w:highlight w:val="none"/>
        </w:rPr>
        <w:t>管理制度，</w:t>
      </w:r>
      <w:r>
        <w:rPr>
          <w:rFonts w:hint="eastAsia" w:ascii="宋体" w:hAnsi="宋体" w:cs="宋体"/>
          <w:color w:val="auto"/>
          <w:sz w:val="24"/>
          <w:highlight w:val="none"/>
          <w:lang w:val="en-US" w:eastAsia="zh-CN"/>
        </w:rPr>
        <w:t>并出具项目负责人任命函，</w:t>
      </w:r>
      <w:r>
        <w:rPr>
          <w:rFonts w:hint="eastAsia" w:ascii="宋体" w:hAnsi="宋体" w:cs="宋体"/>
          <w:color w:val="auto"/>
          <w:sz w:val="24"/>
          <w:highlight w:val="none"/>
        </w:rPr>
        <w:t>并根据制度制定合理可行的服务方案。按文件要求和规定顺序编制投标文件，并保证所提供全部资料的真实性，并在投标文件中附承诺书；</w:t>
      </w:r>
    </w:p>
    <w:p w14:paraId="22D78C27">
      <w:pPr>
        <w:widowControl/>
        <w:spacing w:line="5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7.竞争性磋商文件的澄清与修改</w:t>
      </w:r>
    </w:p>
    <w:p w14:paraId="30FF31FA">
      <w:pPr>
        <w:autoSpaceDE w:val="0"/>
        <w:autoSpaceDN w:val="0"/>
        <w:adjustRightInd w:val="0"/>
        <w:spacing w:line="560" w:lineRule="exact"/>
        <w:ind w:firstLine="480" w:firstLineChars="200"/>
        <w:rPr>
          <w:rFonts w:ascii="宋体" w:hAnsi="宋体" w:cs="宋体"/>
          <w:color w:val="auto"/>
          <w:sz w:val="24"/>
          <w:highlight w:val="none"/>
          <w:lang w:val="zh-CN"/>
        </w:rPr>
      </w:pPr>
      <w:r>
        <w:rPr>
          <w:rFonts w:hint="eastAsia" w:ascii="宋体" w:hAnsi="宋体" w:cs="宋体"/>
          <w:color w:val="auto"/>
          <w:sz w:val="24"/>
          <w:highlight w:val="none"/>
        </w:rPr>
        <w:t>7.1提交（接收）响应文件截止之日前，采购人可以对已发出的竞争性磋商文件进行必要的澄清或者修改，澄清或修改的内容作为竞争性磋商文件的组成部分。澄清或者修改的内容可能影响相应文件编制的，采购人将在提交响应文件截止时间至少5个日前，在政府采购相关网站以变更公告的方式通知所有获取竞争性磋商文件的供应商，不足5日的，采购人顺延提交（接收）响应文件截止时间。</w:t>
      </w:r>
    </w:p>
    <w:p w14:paraId="07C5C284">
      <w:pPr>
        <w:spacing w:line="720" w:lineRule="auto"/>
        <w:jc w:val="center"/>
        <w:rPr>
          <w:rFonts w:ascii="宋体" w:hAnsi="宋体" w:cs="宋体"/>
          <w:b/>
          <w:color w:val="auto"/>
          <w:sz w:val="24"/>
          <w:highlight w:val="none"/>
        </w:rPr>
      </w:pPr>
      <w:r>
        <w:rPr>
          <w:rFonts w:hint="eastAsia" w:ascii="宋体" w:hAnsi="宋体" w:cs="宋体"/>
          <w:b/>
          <w:color w:val="auto"/>
          <w:sz w:val="24"/>
          <w:highlight w:val="none"/>
        </w:rPr>
        <w:t>三、响应性文件的编制</w:t>
      </w:r>
    </w:p>
    <w:p w14:paraId="37A46712">
      <w:pPr>
        <w:spacing w:line="56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8.要求</w:t>
      </w:r>
    </w:p>
    <w:p w14:paraId="31187C43">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8.1供应商应仔细阅读、并充分理解竞争性磋商文件的所有内容，按照竞争性磋商文件的要求编制、提交响应性文件。响应性文件应对竞争性磋商文件的要求作出实质性响应，并保证所提供的全部资料的真实性、合法性，否则其响应性文件将作为无效处理。</w:t>
      </w:r>
    </w:p>
    <w:p w14:paraId="6C5068AD">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8.2任何对竞争性磋商文件的忽略或误解不能作为响应性文件没有完全响应竞争性磋商文件的有效理由。</w:t>
      </w:r>
    </w:p>
    <w:p w14:paraId="03C26043">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8.3供应商没有按照竞争性磋商文件要求提供全部资料，或者供应商没有对竞争性磋商文件在各方面都作出实质性响应是供应商的风险，并可能导致其响应性文件被拒绝。</w:t>
      </w:r>
    </w:p>
    <w:p w14:paraId="3623B8AD">
      <w:pPr>
        <w:spacing w:line="360" w:lineRule="auto"/>
        <w:ind w:firstLine="480"/>
        <w:rPr>
          <w:rFonts w:hint="eastAsia" w:ascii="宋体" w:hAnsi="宋体" w:cs="宋体"/>
          <w:color w:val="auto"/>
          <w:sz w:val="24"/>
          <w:highlight w:val="none"/>
        </w:rPr>
      </w:pPr>
      <w:r>
        <w:rPr>
          <w:rFonts w:hint="eastAsia" w:ascii="宋体" w:hAnsi="宋体" w:eastAsia="宋体" w:cs="宋体"/>
          <w:color w:val="auto"/>
          <w:sz w:val="24"/>
          <w:highlight w:val="none"/>
        </w:rPr>
        <w:t>8.4 供应商需</w:t>
      </w:r>
      <w:r>
        <w:rPr>
          <w:rFonts w:hint="eastAsia" w:ascii="宋体" w:hAnsi="宋体" w:cs="宋体"/>
          <w:color w:val="auto"/>
          <w:sz w:val="24"/>
          <w:highlight w:val="none"/>
          <w:lang w:eastAsia="zh-CN"/>
        </w:rPr>
        <w:t>书面</w:t>
      </w:r>
      <w:r>
        <w:rPr>
          <w:rFonts w:hint="eastAsia" w:ascii="宋体" w:hAnsi="宋体" w:eastAsia="宋体" w:cs="宋体"/>
          <w:color w:val="auto"/>
          <w:sz w:val="24"/>
          <w:highlight w:val="none"/>
        </w:rPr>
        <w:t>保证自行承担参加竞争性磋商采购活动有关的全部费用，竞争性磋商组织人在任何情况下均无义务和责任承担上述费用 。</w:t>
      </w:r>
    </w:p>
    <w:p w14:paraId="097139B4">
      <w:pPr>
        <w:widowControl/>
        <w:spacing w:line="5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 xml:space="preserve">9.响应性文件的语言及度量衡 </w:t>
      </w:r>
    </w:p>
    <w:p w14:paraId="39B9F2AF">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9.1响应性文件以及供应商与采购代理机构之间的所有书面往来都应用简体中文书写。 </w:t>
      </w:r>
    </w:p>
    <w:p w14:paraId="7D969589">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9.2供应商使用其他语言的，以中文翻译为准。 </w:t>
      </w:r>
    </w:p>
    <w:p w14:paraId="113F3131">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9.3关于计量单位，竞争性磋商文件已有明确规定的，使用竞争性磋商文件规定的计量单位；竞争性磋商文件没有规定的，应采用中华人民共和国法定计量单位。</w:t>
      </w:r>
    </w:p>
    <w:p w14:paraId="3F962F00">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9.4本竞争性磋商文件所表述的时间均为北京时间。</w:t>
      </w:r>
    </w:p>
    <w:p w14:paraId="2690D593">
      <w:pPr>
        <w:spacing w:line="5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10.响应性文件的组成</w:t>
      </w:r>
    </w:p>
    <w:p w14:paraId="4E3AA6E2">
      <w:pPr>
        <w:widowControl/>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10.1响应性文件由</w:t>
      </w:r>
      <w:r>
        <w:rPr>
          <w:rFonts w:hint="eastAsia" w:ascii="宋体" w:hAnsi="宋体" w:cs="宋体"/>
          <w:bCs/>
          <w:color w:val="auto"/>
          <w:sz w:val="24"/>
          <w:highlight w:val="none"/>
          <w:u w:val="single"/>
        </w:rPr>
        <w:t>资格性证明材料</w:t>
      </w:r>
      <w:r>
        <w:rPr>
          <w:rFonts w:hint="eastAsia" w:ascii="宋体" w:hAnsi="宋体" w:cs="宋体"/>
          <w:bCs/>
          <w:color w:val="auto"/>
          <w:sz w:val="24"/>
          <w:highlight w:val="none"/>
        </w:rPr>
        <w:t>、</w:t>
      </w:r>
      <w:r>
        <w:rPr>
          <w:rFonts w:hint="eastAsia" w:ascii="宋体" w:hAnsi="宋体" w:cs="宋体"/>
          <w:bCs/>
          <w:color w:val="auto"/>
          <w:sz w:val="24"/>
          <w:highlight w:val="none"/>
          <w:u w:val="single"/>
        </w:rPr>
        <w:t>符合性证明材料</w:t>
      </w:r>
      <w:r>
        <w:rPr>
          <w:rFonts w:hint="eastAsia" w:ascii="宋体" w:hAnsi="宋体" w:cs="宋体"/>
          <w:bCs/>
          <w:color w:val="auto"/>
          <w:sz w:val="24"/>
          <w:highlight w:val="none"/>
        </w:rPr>
        <w:t>、</w:t>
      </w:r>
      <w:r>
        <w:rPr>
          <w:rFonts w:hint="eastAsia" w:ascii="宋体" w:hAnsi="宋体" w:cs="宋体"/>
          <w:bCs/>
          <w:color w:val="auto"/>
          <w:sz w:val="24"/>
          <w:highlight w:val="none"/>
          <w:u w:val="single"/>
        </w:rPr>
        <w:t>其他材料</w:t>
      </w:r>
      <w:r>
        <w:rPr>
          <w:rFonts w:hint="eastAsia" w:ascii="宋体" w:hAnsi="宋体" w:cs="宋体"/>
          <w:color w:val="auto"/>
          <w:sz w:val="24"/>
          <w:highlight w:val="none"/>
        </w:rPr>
        <w:t>三部分组成。具体内容和格式见竞争性磋商文件</w:t>
      </w:r>
      <w:r>
        <w:rPr>
          <w:rFonts w:hint="eastAsia" w:ascii="宋体" w:hAnsi="宋体" w:cs="宋体"/>
          <w:bCs/>
          <w:color w:val="auto"/>
          <w:sz w:val="24"/>
          <w:highlight w:val="none"/>
        </w:rPr>
        <w:t>第四章</w:t>
      </w:r>
      <w:r>
        <w:rPr>
          <w:rFonts w:hint="eastAsia" w:ascii="宋体" w:hAnsi="宋体" w:cs="宋体"/>
          <w:color w:val="auto"/>
          <w:sz w:val="24"/>
          <w:highlight w:val="none"/>
        </w:rPr>
        <w:t>。</w:t>
      </w:r>
    </w:p>
    <w:p w14:paraId="5C408136">
      <w:pPr>
        <w:spacing w:line="5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11.响应性文件格式</w:t>
      </w:r>
    </w:p>
    <w:p w14:paraId="388CB25A">
      <w:pPr>
        <w:widowControl/>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11.1供应商应按照竞争性磋商文件提供的格式编写响应性文件，不得缺少、留空或私自更改任何竞争性磋商文件要求填写的表格或提交的资料。竞争性磋商文件提供格式的按格式填列，</w:t>
      </w:r>
      <w:r>
        <w:rPr>
          <w:rFonts w:hint="eastAsia" w:ascii="宋体" w:hAnsi="宋体" w:cs="宋体"/>
          <w:color w:val="auto"/>
          <w:kern w:val="0"/>
          <w:sz w:val="24"/>
          <w:highlight w:val="none"/>
        </w:rPr>
        <w:t>否则按无效响应文件处理。</w:t>
      </w:r>
      <w:r>
        <w:rPr>
          <w:rFonts w:hint="eastAsia" w:ascii="宋体" w:hAnsi="宋体" w:cs="宋体"/>
          <w:color w:val="auto"/>
          <w:sz w:val="24"/>
          <w:highlight w:val="none"/>
        </w:rPr>
        <w:t>未提供格式的可自行拟定。</w:t>
      </w:r>
    </w:p>
    <w:p w14:paraId="3714F7A5">
      <w:pPr>
        <w:spacing w:line="360" w:lineRule="auto"/>
        <w:ind w:firstLine="523" w:firstLineChars="218"/>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11.2</w:t>
      </w:r>
      <w:r>
        <w:rPr>
          <w:rFonts w:hint="eastAsia" w:ascii="宋体" w:hAnsi="宋体" w:eastAsia="宋体" w:cs="宋体"/>
          <w:color w:val="auto"/>
          <w:sz w:val="24"/>
          <w:highlight w:val="none"/>
          <w:lang w:val="en-US" w:eastAsia="zh-CN"/>
        </w:rPr>
        <w:t>竞争性磋商响应</w:t>
      </w:r>
      <w:r>
        <w:rPr>
          <w:rFonts w:hint="eastAsia" w:ascii="宋体" w:hAnsi="宋体" w:eastAsia="宋体" w:cs="宋体"/>
          <w:color w:val="auto"/>
          <w:sz w:val="24"/>
          <w:highlight w:val="none"/>
        </w:rPr>
        <w:t>文件应编排有序、</w:t>
      </w:r>
      <w:r>
        <w:rPr>
          <w:rFonts w:hint="eastAsia" w:ascii="宋体" w:hAnsi="宋体" w:eastAsia="宋体" w:cs="宋体"/>
          <w:color w:val="auto"/>
          <w:sz w:val="24"/>
          <w:highlight w:val="none"/>
          <w:lang w:val="en-US" w:eastAsia="zh-CN"/>
        </w:rPr>
        <w:t>报价</w:t>
      </w:r>
      <w:r>
        <w:rPr>
          <w:rFonts w:hint="eastAsia" w:ascii="宋体" w:hAnsi="宋体" w:cs="宋体"/>
          <w:color w:val="auto"/>
          <w:sz w:val="24"/>
          <w:highlight w:val="none"/>
        </w:rPr>
        <w:t>一览表应编制项目编号</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内容齐全、不得任意涂改或增删。如有错漏处必须修改，应在修改处加盖投标人电子公章。</w:t>
      </w:r>
    </w:p>
    <w:p w14:paraId="271A8FFA">
      <w:pPr>
        <w:widowControl/>
        <w:spacing w:line="560" w:lineRule="exact"/>
        <w:ind w:firstLine="482" w:firstLineChars="200"/>
        <w:rPr>
          <w:rFonts w:ascii="宋体" w:hAnsi="宋体" w:cs="宋体"/>
          <w:b/>
          <w:bCs/>
          <w:color w:val="auto"/>
          <w:kern w:val="0"/>
          <w:sz w:val="24"/>
          <w:highlight w:val="none"/>
        </w:rPr>
      </w:pPr>
      <w:r>
        <w:rPr>
          <w:rFonts w:hint="eastAsia" w:ascii="宋体" w:hAnsi="宋体" w:cs="宋体"/>
          <w:b/>
          <w:bCs/>
          <w:color w:val="auto"/>
          <w:kern w:val="0"/>
          <w:sz w:val="24"/>
          <w:highlight w:val="none"/>
        </w:rPr>
        <w:t>12.竞争性磋商报价</w:t>
      </w:r>
    </w:p>
    <w:p w14:paraId="7D763FE1">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12.1报价包括所投服务、保险、税费、检测、验收和交付后约定期限内免费维保等工作所发生的一切应有费用。</w:t>
      </w:r>
    </w:p>
    <w:p w14:paraId="345491E1">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12.2供应商应填写报价一览表，如果分项报价与单价不符，则以单价为准；其它表格与报价一览表不符，以报价一览表为准且须在报价大写处加盖公章；小写与大写不符，以大写为准。</w:t>
      </w:r>
    </w:p>
    <w:p w14:paraId="05A02812">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12.3采购人不接受有选择的报价。</w:t>
      </w:r>
    </w:p>
    <w:p w14:paraId="50F3D268">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12.4最终报价不得超过采购预算。</w:t>
      </w:r>
    </w:p>
    <w:p w14:paraId="68BDA35B">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12.5报价均须以人民币为计算单位。</w:t>
      </w:r>
    </w:p>
    <w:p w14:paraId="519D5E28">
      <w:pPr>
        <w:spacing w:line="56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 xml:space="preserve">13．响应性文件有效期 </w:t>
      </w:r>
    </w:p>
    <w:p w14:paraId="4F4B48FE">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13.l响应性文件有效期为自竞争性磋商开始之日起60天，成交的响应性文件其有效期应延续至合同执行结束，有效期短于此规定的响应性文件将被视为无效。</w:t>
      </w:r>
    </w:p>
    <w:p w14:paraId="4BDCE0EF">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13.2特殊情况下，采购人可于响应性文件有效期满之前书面要求供应商同意延长有效期，供应商应在采购人规定的期限内以书面形式予以答复。供应商答复不明确或逾期未答复的，均视为拒绝上述要求。</w:t>
      </w:r>
    </w:p>
    <w:p w14:paraId="431495C7">
      <w:pPr>
        <w:spacing w:line="56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14.响应性文件的签署、盖章</w:t>
      </w:r>
    </w:p>
    <w:p w14:paraId="3E237F3C">
      <w:pPr>
        <w:spacing w:line="560" w:lineRule="exact"/>
        <w:ind w:firstLine="480" w:firstLineChars="200"/>
        <w:rPr>
          <w:rFonts w:ascii="宋体" w:hAnsi="宋体" w:cs="宋体"/>
          <w:color w:val="auto"/>
          <w:sz w:val="24"/>
          <w:highlight w:val="none"/>
          <w:lang w:val="zh-CN"/>
        </w:rPr>
      </w:pPr>
      <w:r>
        <w:rPr>
          <w:rFonts w:hint="eastAsia" w:ascii="宋体" w:hAnsi="宋体" w:cs="宋体"/>
          <w:color w:val="auto"/>
          <w:sz w:val="24"/>
          <w:highlight w:val="none"/>
        </w:rPr>
        <w:t>14.1</w:t>
      </w:r>
      <w:r>
        <w:rPr>
          <w:rFonts w:hint="eastAsia" w:ascii="宋体" w:hAnsi="宋体" w:cs="宋体"/>
          <w:color w:val="auto"/>
          <w:sz w:val="24"/>
          <w:highlight w:val="none"/>
          <w:lang w:val="zh-CN"/>
        </w:rPr>
        <w:t>响应性文件中凡是要求签署和加盖公章处均须由供应商的法定代表人或其委托代理人签字并加盖供应商公章。</w:t>
      </w:r>
      <w:r>
        <w:rPr>
          <w:rFonts w:hint="eastAsia" w:ascii="宋体" w:hAnsi="宋体" w:eastAsia="宋体" w:cs="宋体"/>
          <w:color w:val="auto"/>
          <w:sz w:val="24"/>
          <w:highlight w:val="none"/>
        </w:rPr>
        <w:t>生成后的电子响应文件需要加盖供应商骑缝章、供应商法定代表人或委托代理人逐页签字盖章</w:t>
      </w:r>
      <w:r>
        <w:rPr>
          <w:rFonts w:hint="eastAsia" w:ascii="宋体" w:hAnsi="宋体" w:cs="宋体"/>
          <w:color w:val="auto"/>
          <w:sz w:val="24"/>
          <w:highlight w:val="none"/>
          <w:lang w:eastAsia="zh-CN"/>
        </w:rPr>
        <w:t>。</w:t>
      </w:r>
      <w:r>
        <w:rPr>
          <w:rFonts w:hint="eastAsia" w:ascii="宋体" w:hAnsi="宋体" w:cs="宋体"/>
          <w:color w:val="auto"/>
          <w:sz w:val="24"/>
          <w:highlight w:val="none"/>
          <w:lang w:val="zh-CN"/>
        </w:rPr>
        <w:t>本竞争性磋商文件所表述（指定）的签章是指签字和盖章，表述（指定）的公章是指法人（供应商）行政公章，不包括专用章。</w:t>
      </w:r>
    </w:p>
    <w:p w14:paraId="2BEF8FC7">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14.2响应性文件应无涂改和行间插字，除非这些改动是为改正供应商造成的必须修改的错误进行的。有改动时，修改处应由供应商代表签署证明或加盖公章，但非供应商出具的材料，供应商改动无效。</w:t>
      </w:r>
    </w:p>
    <w:p w14:paraId="7CDE9290">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14.3供应商提交的资料应证明其满足竞争性磋商文件要求，该文件可以是文字资料、图纸和数据等详细描述的资料。</w:t>
      </w:r>
    </w:p>
    <w:p w14:paraId="7760C122">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15电子投标文件制作，见周口市公共资源交易中心网站下载中心版块《投标单位-电子投标文件视频制作手册》的相关规定。</w:t>
      </w:r>
    </w:p>
    <w:p w14:paraId="704D4075">
      <w:pPr>
        <w:numPr>
          <w:ilvl w:val="0"/>
          <w:numId w:val="4"/>
        </w:numPr>
        <w:spacing w:line="720" w:lineRule="auto"/>
        <w:jc w:val="center"/>
        <w:rPr>
          <w:rFonts w:ascii="宋体" w:hAnsi="宋体" w:cs="宋体"/>
          <w:b/>
          <w:color w:val="auto"/>
          <w:sz w:val="24"/>
          <w:highlight w:val="none"/>
        </w:rPr>
      </w:pPr>
      <w:r>
        <w:rPr>
          <w:rFonts w:hint="eastAsia" w:ascii="宋体" w:hAnsi="宋体" w:cs="宋体"/>
          <w:b/>
          <w:color w:val="auto"/>
          <w:sz w:val="24"/>
          <w:highlight w:val="none"/>
        </w:rPr>
        <w:t>响应性文件的递交</w:t>
      </w:r>
    </w:p>
    <w:p w14:paraId="192C1F00">
      <w:pPr>
        <w:autoSpaceDE w:val="0"/>
        <w:autoSpaceDN w:val="0"/>
        <w:adjustRightIn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加密的电子磋商响应文件，应在磋商截止时间前通过周口市公共资源交易中心会员系统上传；本项目实行网上远程开标，未加密的电子响应文件和纸质响应文件均不再提交。在解密投标响应开始时30分钟内进行解密，超时视为放弃递交响应文件。</w:t>
      </w:r>
    </w:p>
    <w:p w14:paraId="2687A5B9">
      <w:pPr>
        <w:spacing w:line="360" w:lineRule="auto"/>
        <w:ind w:firstLine="550"/>
        <w:rPr>
          <w:rFonts w:ascii="宋体" w:hAnsi="宋体" w:cs="宋体"/>
          <w:color w:val="auto"/>
          <w:sz w:val="24"/>
          <w:highlight w:val="none"/>
        </w:rPr>
      </w:pPr>
      <w:r>
        <w:rPr>
          <w:rFonts w:hint="eastAsia" w:ascii="宋体" w:hAnsi="宋体" w:cs="宋体"/>
          <w:color w:val="auto"/>
          <w:sz w:val="24"/>
          <w:highlight w:val="none"/>
        </w:rPr>
        <w:t>注：加密的电子投标文件的递交，见周口市公共资源交易中心网站下载中心版块《投标单位-电子投标文件视频制作手册》的相关规定。如未在招标文件规定的投标时间截止前上传网上响应文件，投标无效。</w:t>
      </w:r>
    </w:p>
    <w:p w14:paraId="609A1AA0">
      <w:pPr>
        <w:autoSpaceDE w:val="0"/>
        <w:autoSpaceDN w:val="0"/>
        <w:adjustRightInd w:val="0"/>
        <w:spacing w:line="500" w:lineRule="exact"/>
        <w:ind w:firstLine="240" w:firstLineChars="100"/>
        <w:rPr>
          <w:rFonts w:ascii="宋体" w:hAnsi="宋体" w:cs="宋体"/>
          <w:color w:val="auto"/>
          <w:sz w:val="24"/>
          <w:highlight w:val="none"/>
        </w:rPr>
      </w:pPr>
      <w:r>
        <w:rPr>
          <w:rFonts w:hint="eastAsia" w:ascii="宋体" w:hAnsi="宋体" w:cs="宋体"/>
          <w:color w:val="auto"/>
          <w:sz w:val="24"/>
          <w:highlight w:val="none"/>
        </w:rPr>
        <w:t>供应商须使用单位CA证书进行电子响应文件远程解密，详见周口市公共资源电子交易中心网站（网址：http://jyzx.zhoukou.gov.cn）办事指南</w:t>
      </w:r>
      <w:r>
        <w:rPr>
          <w:rFonts w:hint="eastAsia" w:ascii="宋体" w:hAnsi="宋体" w:cs="宋体"/>
          <w:bCs/>
          <w:color w:val="auto"/>
          <w:sz w:val="24"/>
          <w:highlight w:val="none"/>
        </w:rPr>
        <w:t>《不见面开标远程在线解密会员端操作手册操作指南》</w:t>
      </w:r>
      <w:r>
        <w:rPr>
          <w:rFonts w:hint="eastAsia" w:ascii="宋体" w:hAnsi="宋体" w:cs="宋体"/>
          <w:color w:val="auto"/>
          <w:sz w:val="24"/>
          <w:highlight w:val="none"/>
        </w:rPr>
        <w:t>。</w:t>
      </w:r>
    </w:p>
    <w:p w14:paraId="56FB225F">
      <w:pPr>
        <w:spacing w:line="560" w:lineRule="exact"/>
        <w:rPr>
          <w:rFonts w:ascii="宋体" w:hAnsi="宋体" w:cs="宋体"/>
          <w:b/>
          <w:color w:val="auto"/>
          <w:sz w:val="24"/>
          <w:highlight w:val="none"/>
        </w:rPr>
      </w:pPr>
      <w:r>
        <w:rPr>
          <w:rFonts w:hint="eastAsia" w:ascii="宋体" w:hAnsi="宋体" w:cs="宋体"/>
          <w:b/>
          <w:color w:val="auto"/>
          <w:sz w:val="24"/>
          <w:highlight w:val="none"/>
        </w:rPr>
        <w:t>16.响应性文件的递交</w:t>
      </w:r>
    </w:p>
    <w:p w14:paraId="6D2A9C19">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16.1供应商应在竞争性磋商邀请函中规定的截止日期和时间前，将响应性文件在会员系统成功上传，递交（接收）地点为竞争性磋商邀请函中规定的地址。</w:t>
      </w:r>
    </w:p>
    <w:p w14:paraId="21844AAB">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16.2若采购人推迟了响应性文件接收截止时间，采购人和供应商受响应性文件接收截止时间制约的所有权利和义务均应以新的截止时间为准。 </w:t>
      </w:r>
    </w:p>
    <w:p w14:paraId="6104FC15">
      <w:pPr>
        <w:pStyle w:val="56"/>
        <w:spacing w:line="560" w:lineRule="exact"/>
        <w:ind w:firstLine="482" w:firstLineChars="200"/>
        <w:rPr>
          <w:rFonts w:ascii="宋体" w:hAnsi="宋体"/>
          <w:b/>
          <w:color w:val="auto"/>
          <w:sz w:val="24"/>
          <w:szCs w:val="24"/>
          <w:highlight w:val="none"/>
        </w:rPr>
      </w:pPr>
      <w:r>
        <w:rPr>
          <w:rFonts w:hint="eastAsia" w:ascii="宋体" w:hAnsi="宋体"/>
          <w:b/>
          <w:bCs/>
          <w:color w:val="auto"/>
          <w:sz w:val="24"/>
          <w:szCs w:val="24"/>
          <w:highlight w:val="none"/>
        </w:rPr>
        <w:t>17</w:t>
      </w:r>
      <w:r>
        <w:rPr>
          <w:rFonts w:hint="eastAsia" w:ascii="宋体" w:hAnsi="宋体"/>
          <w:b/>
          <w:color w:val="auto"/>
          <w:sz w:val="24"/>
          <w:szCs w:val="24"/>
          <w:highlight w:val="none"/>
        </w:rPr>
        <w:t>.响应性文件的修改和撤回</w:t>
      </w:r>
    </w:p>
    <w:p w14:paraId="63BECC32">
      <w:pPr>
        <w:pStyle w:val="56"/>
        <w:spacing w:line="560" w:lineRule="exact"/>
        <w:ind w:left="279" w:leftChars="133" w:firstLine="240" w:firstLineChars="100"/>
        <w:rPr>
          <w:rFonts w:ascii="宋体" w:hAnsi="宋体"/>
          <w:b/>
          <w:bCs/>
          <w:color w:val="auto"/>
          <w:sz w:val="24"/>
          <w:szCs w:val="24"/>
          <w:highlight w:val="none"/>
        </w:rPr>
      </w:pPr>
      <w:r>
        <w:rPr>
          <w:rFonts w:hint="eastAsia" w:ascii="宋体" w:hAnsi="宋体"/>
          <w:color w:val="auto"/>
          <w:sz w:val="24"/>
          <w:szCs w:val="24"/>
          <w:highlight w:val="none"/>
        </w:rPr>
        <w:t>17.1供应商在提交响应性文件截止时间前，可以对已上传的响应文件进行撤回补充、修改或撤回，补充、修改之后进行再次上传，再次上传内容作为响应性文件的组成部分。</w:t>
      </w:r>
    </w:p>
    <w:p w14:paraId="13AD6CE5">
      <w:pPr>
        <w:pStyle w:val="56"/>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17.2响应性文件的补充、修改文件应按照本竞争性磋商文件有关规定进行密封、签署，修改后的加密的电子投标文件须在投标截止时间前成功上传。 </w:t>
      </w:r>
    </w:p>
    <w:p w14:paraId="06C5537A">
      <w:pPr>
        <w:pStyle w:val="56"/>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17.3供应商在响应性文件接收截止时间后不得修改、撤回响应性文件。供应商在响应性文件接收截止时间后修改响应性文件的，将被拒绝接受。</w:t>
      </w:r>
    </w:p>
    <w:p w14:paraId="3E67E68D">
      <w:pPr>
        <w:pStyle w:val="56"/>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17.4供应商有下列情形之一的，采购人将拒绝接受其响应性文件：</w:t>
      </w:r>
    </w:p>
    <w:p w14:paraId="22CBA098">
      <w:pPr>
        <w:pStyle w:val="56"/>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17.4.1在竞争性磋商文件规定的响应性文件接收截止时间之后递交响应性文件的；</w:t>
      </w:r>
    </w:p>
    <w:p w14:paraId="4EEA89F5">
      <w:pPr>
        <w:pStyle w:val="56"/>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17.4.2响应性文件未按竞争性磋商文件规定密封、签署、盖章及未加盖骑缝章的；</w:t>
      </w:r>
    </w:p>
    <w:p w14:paraId="419226D4">
      <w:pPr>
        <w:pStyle w:val="56"/>
        <w:spacing w:line="560" w:lineRule="exact"/>
        <w:ind w:firstLine="480" w:firstLineChars="200"/>
        <w:rPr>
          <w:rFonts w:ascii="宋体" w:hAnsi="宋体"/>
          <w:b/>
          <w:color w:val="auto"/>
          <w:sz w:val="24"/>
          <w:szCs w:val="24"/>
          <w:highlight w:val="none"/>
        </w:rPr>
      </w:pPr>
      <w:r>
        <w:rPr>
          <w:rFonts w:hint="eastAsia" w:ascii="宋体" w:hAnsi="宋体"/>
          <w:color w:val="auto"/>
          <w:sz w:val="24"/>
          <w:szCs w:val="24"/>
          <w:highlight w:val="none"/>
        </w:rPr>
        <w:t>17.4.3一个供应商不止递交一套响应性文件的。</w:t>
      </w:r>
    </w:p>
    <w:p w14:paraId="0B596BB5">
      <w:pPr>
        <w:spacing w:line="720" w:lineRule="auto"/>
        <w:jc w:val="center"/>
        <w:rPr>
          <w:rFonts w:ascii="宋体" w:hAnsi="宋体" w:cs="宋体"/>
          <w:b/>
          <w:color w:val="auto"/>
          <w:sz w:val="24"/>
          <w:highlight w:val="none"/>
        </w:rPr>
      </w:pPr>
      <w:r>
        <w:rPr>
          <w:rFonts w:hint="eastAsia" w:ascii="宋体" w:hAnsi="宋体" w:cs="宋体"/>
          <w:b/>
          <w:color w:val="auto"/>
          <w:sz w:val="24"/>
          <w:highlight w:val="none"/>
        </w:rPr>
        <w:t>五、竞争性磋商</w:t>
      </w:r>
    </w:p>
    <w:p w14:paraId="6E851601">
      <w:pPr>
        <w:spacing w:line="560" w:lineRule="exact"/>
        <w:ind w:firstLine="482" w:firstLineChars="200"/>
        <w:rPr>
          <w:rFonts w:ascii="宋体" w:hAnsi="宋体" w:cs="宋体"/>
          <w:b/>
          <w:color w:val="auto"/>
          <w:sz w:val="24"/>
          <w:highlight w:val="none"/>
          <w:lang w:val="zh-CN"/>
        </w:rPr>
      </w:pPr>
      <w:r>
        <w:rPr>
          <w:rFonts w:hint="eastAsia" w:ascii="宋体" w:hAnsi="宋体" w:cs="宋体"/>
          <w:b/>
          <w:color w:val="auto"/>
          <w:sz w:val="24"/>
          <w:highlight w:val="none"/>
        </w:rPr>
        <w:t>18.组建</w:t>
      </w:r>
      <w:r>
        <w:rPr>
          <w:rFonts w:hint="eastAsia" w:ascii="宋体" w:hAnsi="宋体" w:cs="宋体"/>
          <w:b/>
          <w:color w:val="auto"/>
          <w:sz w:val="24"/>
          <w:highlight w:val="none"/>
          <w:lang w:val="zh-CN"/>
        </w:rPr>
        <w:t>竞争性磋商小组</w:t>
      </w:r>
    </w:p>
    <w:p w14:paraId="13A12DB8">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18.1采购人根据采购项目的特点依法组建竞争性磋商小组。</w:t>
      </w:r>
    </w:p>
    <w:p w14:paraId="4BFA709D">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18.2竞争性磋商小组</w:t>
      </w:r>
      <w:r>
        <w:rPr>
          <w:rFonts w:hint="eastAsia" w:ascii="宋体" w:hAnsi="宋体" w:cs="宋体"/>
          <w:bCs/>
          <w:color w:val="auto"/>
          <w:kern w:val="0"/>
          <w:sz w:val="24"/>
          <w:highlight w:val="none"/>
        </w:rPr>
        <w:t>确认竞争性磋商文件，并</w:t>
      </w:r>
      <w:r>
        <w:rPr>
          <w:rFonts w:hint="eastAsia" w:ascii="宋体" w:hAnsi="宋体" w:cs="宋体"/>
          <w:color w:val="auto"/>
          <w:kern w:val="0"/>
          <w:sz w:val="24"/>
          <w:highlight w:val="none"/>
        </w:rPr>
        <w:t>负责具体评审事务，根据有关法律法规和竞争性磋商文件规定的评审程序，按照评审方法及评审标准独立履行竞争性磋商小组职责。</w:t>
      </w:r>
    </w:p>
    <w:p w14:paraId="1AE5495D">
      <w:pPr>
        <w:spacing w:line="5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19.资格性和符合性审查</w:t>
      </w:r>
    </w:p>
    <w:p w14:paraId="7FC7E22C">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19.1资格性检查。竞争性磋商小组依据有关法律法规和竞争性磋商文件的规定，对响应性文件中资质证明等进行审查，本项目所涉及到各种证书、业绩合同和证明材料必须在</w:t>
      </w:r>
      <w:r>
        <w:rPr>
          <w:rFonts w:hint="eastAsia" w:ascii="宋体" w:hAnsi="宋体" w:cs="宋体"/>
          <w:color w:val="auto"/>
          <w:sz w:val="24"/>
          <w:highlight w:val="none"/>
          <w:lang w:val="en-US" w:eastAsia="zh-CN"/>
        </w:rPr>
        <w:t>竞争性磋商响应</w:t>
      </w:r>
      <w:r>
        <w:rPr>
          <w:rFonts w:hint="eastAsia" w:ascii="宋体" w:hAnsi="宋体" w:cs="宋体"/>
          <w:color w:val="auto"/>
          <w:sz w:val="24"/>
          <w:highlight w:val="none"/>
        </w:rPr>
        <w:t>文件中提供证明文件，如发现投标企业存在弄虚作假行为，将移交有关部门按照《中华人民共和国政府采购法》有关规定进行处理。按照周口市交易中心规定，本项目投标人所需提供原件在评审时无需提供，仅作为采购单位核实时使用，评审委员会评审时仅以</w:t>
      </w:r>
      <w:r>
        <w:rPr>
          <w:rFonts w:hint="eastAsia" w:ascii="宋体" w:hAnsi="宋体" w:cs="宋体"/>
          <w:color w:val="auto"/>
          <w:sz w:val="24"/>
          <w:highlight w:val="none"/>
          <w:lang w:val="en-US" w:eastAsia="zh-CN"/>
        </w:rPr>
        <w:t>供应商竞争性磋商响应</w:t>
      </w:r>
      <w:r>
        <w:rPr>
          <w:rFonts w:hint="eastAsia" w:ascii="宋体" w:hAnsi="宋体" w:cs="宋体"/>
          <w:color w:val="auto"/>
          <w:sz w:val="24"/>
          <w:highlight w:val="none"/>
        </w:rPr>
        <w:t>文件中彩色扫描件为准。</w:t>
      </w:r>
    </w:p>
    <w:p w14:paraId="53BF1833">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审查每个供应商提交的资质证明材料是否齐全、完整、合法、有效。不同投标人在同一台计算机上制作的投标文件为投标文件无效。</w:t>
      </w:r>
    </w:p>
    <w:p w14:paraId="18E63B63">
      <w:pPr>
        <w:spacing w:line="560" w:lineRule="exact"/>
        <w:ind w:firstLine="480" w:firstLineChars="200"/>
        <w:rPr>
          <w:rFonts w:ascii="宋体" w:hAnsi="宋体" w:cs="宋体"/>
          <w:b/>
          <w:bCs/>
          <w:color w:val="auto"/>
          <w:sz w:val="24"/>
          <w:highlight w:val="none"/>
        </w:rPr>
      </w:pPr>
      <w:r>
        <w:rPr>
          <w:rFonts w:hint="eastAsia" w:ascii="宋体" w:hAnsi="宋体" w:cs="宋体"/>
          <w:color w:val="auto"/>
          <w:sz w:val="24"/>
          <w:highlight w:val="none"/>
        </w:rPr>
        <w:t>19.1.1资格性审查的内容包括：竞争性磋商文件规定的供应商资格条件；</w:t>
      </w:r>
    </w:p>
    <w:p w14:paraId="604F4B9E">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19.2符合性检查。对资格性检查合格的供应商的响应性文件，依据竞争性磋商文件的规定，从响应性文件的有效性、完整性和对竞争性磋商文件的响应程度，审查响应性文件是否对竞争性磋商文件的实质性要求作出了响应。</w:t>
      </w:r>
    </w:p>
    <w:p w14:paraId="2CF91A12">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19.2.1符合性审查的内容包括：</w:t>
      </w:r>
    </w:p>
    <w:p w14:paraId="25372081">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（1）响应性文件的有效性(签署情况等)；</w:t>
      </w:r>
    </w:p>
    <w:p w14:paraId="751B60AD">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（2）响应性文件的完整性；</w:t>
      </w:r>
    </w:p>
    <w:p w14:paraId="6B34D439">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（3）对竞争性磋商文件的响应程度（是否存在重大负偏离等）。 </w:t>
      </w:r>
    </w:p>
    <w:p w14:paraId="7E5A4CD5">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u w:val="single"/>
        </w:rPr>
        <w:t>以上资格性审查和符合性审查的内容只要有一条不满足，则响应性文件无效，将不进入竞争性磋商程序。</w:t>
      </w:r>
    </w:p>
    <w:p w14:paraId="6BEC248D">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注意事项：资格性、符合性证明材料见竞争性磋商文件第四章规定。</w:t>
      </w:r>
    </w:p>
    <w:p w14:paraId="08FCB76B">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19.3实质性响应的响应性文件是指与竞争性磋商文件的全部条款、条件和规格相符，没有重大偏离；重大负偏离的认定须经竞争性磋商小组三分之二以上同意。</w:t>
      </w:r>
    </w:p>
    <w:p w14:paraId="611EC88A">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19.4重大偏离系指供应商资格条件、采购需求等明显不能满足竞争性磋商文件的要求，或者实质上与竞争性磋商文件不一致，而且限制了采购单位的权利或供应商的义务，纠正这些偏离将对其他实质性响应要求的供应商的竞争地位产生不公正的影响；</w:t>
      </w:r>
    </w:p>
    <w:p w14:paraId="2ACDB876">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19.5如果响应性文件实质上没有响应竞争性磋商文件的要求，将作为无效处理，供应商不得再对响应性文件进行任何修正从而使其响应性文件成为实质上响应的文件；</w:t>
      </w:r>
    </w:p>
    <w:p w14:paraId="3309BF6A">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19.6竞争性磋商小组审定响应性文件的响应性只根据响应性文件本身的内容而不寻求外部证据。</w:t>
      </w:r>
    </w:p>
    <w:p w14:paraId="4C0BEE8B">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19.7凡有下列情况之一的，其响应性文件也被视为未实质性响应竞争性磋商文件，按照无效处理（不再参加竞争性磋商）：</w:t>
      </w:r>
    </w:p>
    <w:p w14:paraId="1B6EAC98">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19.7.1未按竞争性磋商文件规定要求</w:t>
      </w:r>
      <w:r>
        <w:rPr>
          <w:rFonts w:hint="eastAsia" w:ascii="宋体" w:hAnsi="宋体" w:cs="宋体"/>
          <w:color w:val="auto"/>
          <w:sz w:val="24"/>
          <w:highlight w:val="none"/>
          <w:lang w:val="zh-CN"/>
        </w:rPr>
        <w:t>签署、盖章的；</w:t>
      </w:r>
    </w:p>
    <w:p w14:paraId="1503655C">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19.7.2资格证明文件不全的，或不符合竞争性磋商文件中规定的资格要求的；</w:t>
      </w:r>
    </w:p>
    <w:p w14:paraId="4A209702">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19.7.3授权委托书中法定代表人和委托代理人未在身份证扫描件正面签字的。被授权人和法定代表人未附个人社保、劳动合同的；</w:t>
      </w:r>
    </w:p>
    <w:p w14:paraId="6F8F9BFF">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19.7.4不符合竞争性磋商文件规定的实质性要求的；</w:t>
      </w:r>
    </w:p>
    <w:p w14:paraId="10710C59">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19.7.5响应性文件内容不齐全或内容虚假的；</w:t>
      </w:r>
    </w:p>
    <w:p w14:paraId="3B34F77D">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19.7.6响应性文件的实质性内容未使用中文表述；</w:t>
      </w:r>
    </w:p>
    <w:p w14:paraId="4967DEEC">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19.7.7响应性文件的内容修改处未按规定签名或盖章的；</w:t>
      </w:r>
    </w:p>
    <w:p w14:paraId="4D8025E0">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19.7.8违反法律、行政法规、竞争性磋商文件规定的其他情形的。</w:t>
      </w:r>
    </w:p>
    <w:p w14:paraId="24D9D6B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19.7.9不同供应商的电子投标（响应）文件上传计算机的网卡 MAC 地址、CPU 序列号和硬盘序列号等硬件信息相同的;</w:t>
      </w:r>
    </w:p>
    <w:p w14:paraId="70F10D7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19.7.10不同供应商的投标（响应）文件由同一电子设备编制，打印、复印、加密或者上传的；</w:t>
      </w:r>
    </w:p>
    <w:p w14:paraId="031B9C8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19.7.11不同供应商的投标（响应）文件由同一人送达或者分发，或者不同供应商联系人为同一人或不同联系人的联系电话一致的；</w:t>
      </w:r>
    </w:p>
    <w:p w14:paraId="40FE24B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19.7.12不同供应商的投标（响应）文件的内容存在两处以上细节错误一致；</w:t>
      </w:r>
    </w:p>
    <w:p w14:paraId="7A0F808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19.7.13不同供应商的法定代表人、委托代理人、项目经理、项目负责人等由同一个单位缴纳社会保险或者领取报酬的；</w:t>
      </w:r>
    </w:p>
    <w:p w14:paraId="5A7460D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19.7.14未提供经会计师事务所或审计机构审计的财务会计报表，包括资产负债表、现金流量表、利润表、和财务情况说明书的</w:t>
      </w:r>
      <w:r>
        <w:rPr>
          <w:rFonts w:hint="eastAsia" w:ascii="宋体" w:hAnsi="宋体" w:cs="宋体"/>
          <w:color w:val="auto"/>
          <w:sz w:val="24"/>
          <w:highlight w:val="none"/>
          <w:lang w:eastAsia="zh-CN"/>
        </w:rPr>
        <w:t>，财务、会计、公司合同管理、档案管理、保密制度的</w:t>
      </w:r>
      <w:r>
        <w:rPr>
          <w:rFonts w:hint="eastAsia" w:ascii="宋体" w:hAnsi="宋体" w:cs="宋体"/>
          <w:color w:val="auto"/>
          <w:sz w:val="24"/>
          <w:highlight w:val="none"/>
        </w:rPr>
        <w:t>；</w:t>
      </w:r>
    </w:p>
    <w:p w14:paraId="6C150B5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19.7.15不同供应商投标（响应）文件中法定代表人或者负责人签字出自同一人之手。</w:t>
      </w:r>
    </w:p>
    <w:p w14:paraId="2D8F16F2">
      <w:pP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 xml:space="preserve">19.7.16 </w:t>
      </w:r>
      <w:r>
        <w:rPr>
          <w:rFonts w:hint="eastAsia" w:ascii="宋体" w:hAnsi="宋体" w:cs="宋体"/>
          <w:color w:val="auto"/>
          <w:sz w:val="24"/>
          <w:highlight w:val="none"/>
        </w:rPr>
        <w:t>被</w:t>
      </w:r>
      <w:r>
        <w:rPr>
          <w:rFonts w:hint="eastAsia"/>
          <w:color w:val="auto"/>
          <w:sz w:val="24"/>
          <w:highlight w:val="none"/>
        </w:rPr>
        <w:t>授权人和法定代表人未附劳动合同和社保证明的、</w:t>
      </w:r>
      <w:r>
        <w:rPr>
          <w:rFonts w:hint="eastAsia" w:ascii="宋体" w:hAnsi="宋体" w:eastAsia="宋体" w:cs="宋体"/>
          <w:color w:val="auto"/>
          <w:sz w:val="24"/>
          <w:highlight w:val="none"/>
        </w:rPr>
        <w:t>不符合国家或者招标文件规定的资格条件；</w:t>
      </w:r>
    </w:p>
    <w:p w14:paraId="19CD4C4C">
      <w:pPr>
        <w:spacing w:line="360" w:lineRule="auto"/>
        <w:ind w:firstLine="480" w:firstLineChars="200"/>
        <w:rPr>
          <w:rFonts w:hint="eastAsia" w:ascii="宋体" w:hAnsi="宋体" w:cs="宋体"/>
          <w:color w:val="auto"/>
          <w:sz w:val="24"/>
          <w:highlight w:val="none"/>
        </w:rPr>
      </w:pPr>
      <w:r>
        <w:rPr>
          <w:rFonts w:hint="eastAsia" w:ascii="宋体" w:hAnsi="宋体" w:eastAsia="宋体" w:cs="宋体"/>
          <w:color w:val="auto"/>
          <w:sz w:val="24"/>
          <w:highlight w:val="none"/>
          <w:lang w:val="en-US" w:eastAsia="zh-CN"/>
        </w:rPr>
        <w:t>19.7.18</w:t>
      </w:r>
      <w:r>
        <w:rPr>
          <w:rFonts w:hint="eastAsia" w:ascii="宋体" w:hAnsi="宋体" w:cs="宋体"/>
          <w:color w:val="auto"/>
          <w:sz w:val="24"/>
          <w:highlight w:val="none"/>
        </w:rPr>
        <w:t>法定代表人未在信用中国查询截图扫描件上签字的；</w:t>
      </w:r>
    </w:p>
    <w:p w14:paraId="0D566A1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19.7.19竞争性磋商响应</w:t>
      </w:r>
      <w:r>
        <w:rPr>
          <w:rFonts w:hint="eastAsia" w:ascii="宋体" w:hAnsi="宋体" w:cs="宋体"/>
          <w:color w:val="auto"/>
          <w:sz w:val="24"/>
          <w:highlight w:val="none"/>
        </w:rPr>
        <w:t>文件没有提供“廉洁自律承诺书”的 。</w:t>
      </w:r>
    </w:p>
    <w:p w14:paraId="7048ECC6">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19.8在评审过程中，竞争性磋商小组发现供应商有下列情形之一的，视为供应商相互串通，按照无效处理并依据法律、法规追究其相关责任。具体表现形式如下：</w:t>
      </w:r>
    </w:p>
    <w:p w14:paraId="3BFB915A">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19.8.1不同供应商的响应性文件互相混装的；</w:t>
      </w:r>
    </w:p>
    <w:p w14:paraId="175C2080">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19.8.2不同供应商授权同一人作为供应商委托代理人的；</w:t>
      </w:r>
    </w:p>
    <w:p w14:paraId="59EEB0A1">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19.8.3不同供应商的响应性文件载明的项目管理成员为同一人的；</w:t>
      </w:r>
    </w:p>
    <w:p w14:paraId="18EF34C4">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19.8.4有证据证明供应商与采购人、采购代理机构或者其他供应商串通的其他情形；</w:t>
      </w:r>
    </w:p>
    <w:p w14:paraId="6FDF3CB9">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19.8.5竞争性磋商小组认定的其他串通情形。</w:t>
      </w:r>
    </w:p>
    <w:p w14:paraId="36CEE901">
      <w:pPr>
        <w:pStyle w:val="38"/>
        <w:rPr>
          <w:rFonts w:ascii="宋体" w:hAnsi="宋体" w:cs="宋体"/>
          <w:color w:val="auto"/>
          <w:sz w:val="24"/>
          <w:szCs w:val="24"/>
          <w:highlight w:val="none"/>
        </w:rPr>
      </w:pPr>
    </w:p>
    <w:tbl>
      <w:tblPr>
        <w:tblStyle w:val="27"/>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2665"/>
        <w:gridCol w:w="1937"/>
        <w:gridCol w:w="825"/>
        <w:gridCol w:w="2371"/>
      </w:tblGrid>
      <w:tr w14:paraId="669ED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8505" w:type="dxa"/>
            <w:gridSpan w:val="5"/>
            <w:vAlign w:val="center"/>
          </w:tcPr>
          <w:p w14:paraId="25586029">
            <w:pPr>
              <w:pStyle w:val="73"/>
              <w:pBdr>
                <w:bottom w:val="none" w:color="auto" w:sz="0" w:space="0"/>
              </w:pBdr>
              <w:tabs>
                <w:tab w:val="clear" w:pos="4153"/>
                <w:tab w:val="clear" w:pos="8306"/>
              </w:tabs>
              <w:snapToGrid w:val="0"/>
              <w:spacing w:line="360" w:lineRule="auto"/>
              <w:ind w:right="-10"/>
              <w:textAlignment w:val="auto"/>
              <w:rPr>
                <w:rFonts w:ascii="宋体" w:hAnsi="宋体" w:cs="宋体"/>
                <w:b/>
                <w:color w:val="auto"/>
                <w:kern w:val="2"/>
                <w:szCs w:val="24"/>
                <w:highlight w:val="none"/>
              </w:rPr>
            </w:pPr>
            <w:r>
              <w:rPr>
                <w:rFonts w:hint="eastAsia" w:ascii="宋体" w:hAnsi="宋体" w:cs="宋体"/>
                <w:b/>
                <w:color w:val="auto"/>
                <w:kern w:val="2"/>
                <w:szCs w:val="24"/>
                <w:highlight w:val="none"/>
              </w:rPr>
              <w:t>项目符合性审查表</w:t>
            </w:r>
          </w:p>
        </w:tc>
      </w:tr>
      <w:tr w14:paraId="235E8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trPr>
        <w:tc>
          <w:tcPr>
            <w:tcW w:w="707" w:type="dxa"/>
            <w:tcBorders>
              <w:bottom w:val="single" w:color="auto" w:sz="4" w:space="0"/>
            </w:tcBorders>
            <w:vAlign w:val="center"/>
          </w:tcPr>
          <w:p w14:paraId="7DC949B6">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序号</w:t>
            </w:r>
          </w:p>
        </w:tc>
        <w:tc>
          <w:tcPr>
            <w:tcW w:w="2665" w:type="dxa"/>
            <w:tcBorders>
              <w:bottom w:val="single" w:color="auto" w:sz="4" w:space="0"/>
            </w:tcBorders>
            <w:vAlign w:val="center"/>
          </w:tcPr>
          <w:p w14:paraId="2BBBA346">
            <w:pPr>
              <w:pStyle w:val="73"/>
              <w:pBdr>
                <w:bottom w:val="none" w:color="auto" w:sz="0" w:space="0"/>
              </w:pBdr>
              <w:tabs>
                <w:tab w:val="clear" w:pos="4153"/>
                <w:tab w:val="clear" w:pos="8306"/>
              </w:tabs>
              <w:snapToGrid w:val="0"/>
              <w:spacing w:line="360" w:lineRule="auto"/>
              <w:ind w:right="-10"/>
              <w:textAlignment w:val="auto"/>
              <w:rPr>
                <w:rFonts w:ascii="宋体" w:hAnsi="宋体" w:cs="宋体"/>
                <w:color w:val="auto"/>
                <w:kern w:val="2"/>
                <w:szCs w:val="24"/>
                <w:highlight w:val="none"/>
              </w:rPr>
            </w:pPr>
            <w:r>
              <w:rPr>
                <w:rFonts w:hint="eastAsia" w:ascii="宋体" w:hAnsi="宋体" w:cs="宋体"/>
                <w:color w:val="auto"/>
                <w:kern w:val="2"/>
                <w:szCs w:val="24"/>
                <w:highlight w:val="none"/>
              </w:rPr>
              <w:t>指标名称</w:t>
            </w:r>
          </w:p>
        </w:tc>
        <w:tc>
          <w:tcPr>
            <w:tcW w:w="1937" w:type="dxa"/>
            <w:tcBorders>
              <w:bottom w:val="single" w:color="auto" w:sz="4" w:space="0"/>
            </w:tcBorders>
            <w:vAlign w:val="center"/>
          </w:tcPr>
          <w:p w14:paraId="1E66998E">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指标要求</w:t>
            </w:r>
          </w:p>
        </w:tc>
        <w:tc>
          <w:tcPr>
            <w:tcW w:w="825" w:type="dxa"/>
            <w:tcBorders>
              <w:bottom w:val="single" w:color="auto" w:sz="4" w:space="0"/>
            </w:tcBorders>
            <w:vAlign w:val="center"/>
          </w:tcPr>
          <w:p w14:paraId="4400A4EF">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是否</w:t>
            </w:r>
          </w:p>
          <w:p w14:paraId="6289507B">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通过</w:t>
            </w:r>
          </w:p>
        </w:tc>
        <w:tc>
          <w:tcPr>
            <w:tcW w:w="2371" w:type="dxa"/>
            <w:tcBorders>
              <w:bottom w:val="single" w:color="auto" w:sz="4" w:space="0"/>
            </w:tcBorders>
            <w:vAlign w:val="center"/>
          </w:tcPr>
          <w:p w14:paraId="71B74C90">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投标文件格式及</w:t>
            </w:r>
          </w:p>
          <w:p w14:paraId="1CCCFECA">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提交资料要求</w:t>
            </w:r>
          </w:p>
        </w:tc>
      </w:tr>
      <w:tr w14:paraId="05D2D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rPr>
        <w:tc>
          <w:tcPr>
            <w:tcW w:w="707" w:type="dxa"/>
            <w:vAlign w:val="center"/>
          </w:tcPr>
          <w:p w14:paraId="165F6231">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1</w:t>
            </w:r>
          </w:p>
        </w:tc>
        <w:tc>
          <w:tcPr>
            <w:tcW w:w="2665" w:type="dxa"/>
            <w:vAlign w:val="center"/>
          </w:tcPr>
          <w:p w14:paraId="1F2A098D">
            <w:pPr>
              <w:spacing w:after="50" w:line="360" w:lineRule="auto"/>
              <w:ind w:right="-10"/>
              <w:jc w:val="center"/>
              <w:rPr>
                <w:rFonts w:ascii="宋体" w:hAnsi="宋体" w:cs="宋体"/>
                <w:color w:val="auto"/>
                <w:sz w:val="24"/>
                <w:highlight w:val="none"/>
              </w:rPr>
            </w:pPr>
            <w:r>
              <w:rPr>
                <w:rFonts w:hint="eastAsia" w:ascii="宋体" w:hAnsi="宋体" w:cs="宋体"/>
                <w:bCs/>
                <w:color w:val="auto"/>
                <w:sz w:val="24"/>
                <w:highlight w:val="none"/>
              </w:rPr>
              <w:t>营业执照</w:t>
            </w:r>
          </w:p>
        </w:tc>
        <w:tc>
          <w:tcPr>
            <w:tcW w:w="1937" w:type="dxa"/>
            <w:vAlign w:val="center"/>
          </w:tcPr>
          <w:p w14:paraId="164E92F2">
            <w:pPr>
              <w:spacing w:after="50" w:line="360" w:lineRule="auto"/>
              <w:ind w:right="-10"/>
              <w:jc w:val="center"/>
              <w:rPr>
                <w:rFonts w:ascii="宋体" w:hAnsi="宋体" w:cs="宋体"/>
                <w:color w:val="auto"/>
                <w:sz w:val="24"/>
                <w:highlight w:val="none"/>
              </w:rPr>
            </w:pPr>
            <w:r>
              <w:rPr>
                <w:rFonts w:hint="eastAsia" w:ascii="宋体" w:hAnsi="宋体" w:cs="宋体"/>
                <w:color w:val="auto"/>
                <w:sz w:val="24"/>
                <w:highlight w:val="none"/>
              </w:rPr>
              <w:t>见招标文件</w:t>
            </w:r>
          </w:p>
        </w:tc>
        <w:tc>
          <w:tcPr>
            <w:tcW w:w="825" w:type="dxa"/>
            <w:vAlign w:val="center"/>
          </w:tcPr>
          <w:p w14:paraId="0DC6D15C">
            <w:pPr>
              <w:adjustRightInd w:val="0"/>
              <w:snapToGrid w:val="0"/>
              <w:spacing w:line="360" w:lineRule="auto"/>
              <w:ind w:right="-10"/>
              <w:rPr>
                <w:rFonts w:ascii="宋体" w:hAnsi="宋体" w:cs="宋体"/>
                <w:color w:val="auto"/>
                <w:sz w:val="24"/>
                <w:highlight w:val="none"/>
              </w:rPr>
            </w:pPr>
          </w:p>
        </w:tc>
        <w:tc>
          <w:tcPr>
            <w:tcW w:w="2371" w:type="dxa"/>
            <w:vAlign w:val="center"/>
          </w:tcPr>
          <w:p w14:paraId="51354FF2">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见投标文件</w:t>
            </w:r>
          </w:p>
        </w:tc>
      </w:tr>
      <w:tr w14:paraId="4DB02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rPr>
        <w:tc>
          <w:tcPr>
            <w:tcW w:w="707" w:type="dxa"/>
            <w:vAlign w:val="center"/>
          </w:tcPr>
          <w:p w14:paraId="73E94154">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2</w:t>
            </w:r>
          </w:p>
        </w:tc>
        <w:tc>
          <w:tcPr>
            <w:tcW w:w="2665" w:type="dxa"/>
            <w:vAlign w:val="center"/>
          </w:tcPr>
          <w:p w14:paraId="7613B260">
            <w:pPr>
              <w:spacing w:after="50" w:line="360" w:lineRule="auto"/>
              <w:ind w:right="-10"/>
              <w:jc w:val="center"/>
              <w:rPr>
                <w:rFonts w:ascii="宋体" w:hAnsi="宋体" w:cs="宋体"/>
                <w:bCs/>
                <w:color w:val="auto"/>
                <w:sz w:val="24"/>
                <w:highlight w:val="none"/>
              </w:rPr>
            </w:pPr>
            <w:r>
              <w:rPr>
                <w:rFonts w:hint="eastAsia" w:ascii="宋体" w:hAnsi="宋体" w:cs="宋体"/>
                <w:bCs/>
                <w:color w:val="auto"/>
                <w:sz w:val="24"/>
                <w:highlight w:val="none"/>
              </w:rPr>
              <w:t>法定代表人及身份证</w:t>
            </w:r>
          </w:p>
        </w:tc>
        <w:tc>
          <w:tcPr>
            <w:tcW w:w="1937" w:type="dxa"/>
            <w:vAlign w:val="center"/>
          </w:tcPr>
          <w:p w14:paraId="7183A15D">
            <w:pPr>
              <w:spacing w:after="50" w:line="360" w:lineRule="auto"/>
              <w:ind w:right="-10"/>
              <w:jc w:val="center"/>
              <w:rPr>
                <w:rFonts w:ascii="宋体" w:hAnsi="宋体" w:cs="宋体"/>
                <w:color w:val="auto"/>
                <w:sz w:val="24"/>
                <w:highlight w:val="none"/>
              </w:rPr>
            </w:pPr>
            <w:r>
              <w:rPr>
                <w:rFonts w:hint="eastAsia" w:ascii="宋体" w:hAnsi="宋体" w:cs="宋体"/>
                <w:color w:val="auto"/>
                <w:sz w:val="24"/>
                <w:highlight w:val="none"/>
              </w:rPr>
              <w:t>见招标文件</w:t>
            </w:r>
          </w:p>
        </w:tc>
        <w:tc>
          <w:tcPr>
            <w:tcW w:w="825" w:type="dxa"/>
            <w:vAlign w:val="center"/>
          </w:tcPr>
          <w:p w14:paraId="0C2BC96E">
            <w:pPr>
              <w:adjustRightInd w:val="0"/>
              <w:snapToGrid w:val="0"/>
              <w:spacing w:line="360" w:lineRule="auto"/>
              <w:ind w:right="-10"/>
              <w:rPr>
                <w:rFonts w:ascii="宋体" w:hAnsi="宋体" w:cs="宋体"/>
                <w:color w:val="auto"/>
                <w:sz w:val="24"/>
                <w:highlight w:val="none"/>
              </w:rPr>
            </w:pPr>
          </w:p>
        </w:tc>
        <w:tc>
          <w:tcPr>
            <w:tcW w:w="2371" w:type="dxa"/>
            <w:vAlign w:val="center"/>
          </w:tcPr>
          <w:p w14:paraId="20C65EE1">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见投标文件</w:t>
            </w:r>
          </w:p>
        </w:tc>
      </w:tr>
      <w:tr w14:paraId="67757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rPr>
        <w:tc>
          <w:tcPr>
            <w:tcW w:w="707" w:type="dxa"/>
            <w:vAlign w:val="center"/>
          </w:tcPr>
          <w:p w14:paraId="2D110C4F">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3</w:t>
            </w:r>
          </w:p>
        </w:tc>
        <w:tc>
          <w:tcPr>
            <w:tcW w:w="2665" w:type="dxa"/>
            <w:vAlign w:val="center"/>
          </w:tcPr>
          <w:p w14:paraId="185D7F68">
            <w:pPr>
              <w:spacing w:after="50" w:line="360" w:lineRule="auto"/>
              <w:ind w:right="-10"/>
              <w:jc w:val="center"/>
              <w:rPr>
                <w:rFonts w:ascii="宋体" w:hAnsi="宋体" w:cs="宋体"/>
                <w:bCs/>
                <w:color w:val="auto"/>
                <w:sz w:val="24"/>
                <w:highlight w:val="none"/>
              </w:rPr>
            </w:pPr>
            <w:r>
              <w:rPr>
                <w:rFonts w:hint="eastAsia" w:ascii="宋体" w:hAnsi="宋体" w:cs="宋体"/>
                <w:bCs/>
                <w:color w:val="auto"/>
                <w:sz w:val="24"/>
                <w:highlight w:val="none"/>
              </w:rPr>
              <w:t>纳税凭证和社保证明</w:t>
            </w:r>
          </w:p>
        </w:tc>
        <w:tc>
          <w:tcPr>
            <w:tcW w:w="1937" w:type="dxa"/>
            <w:vAlign w:val="center"/>
          </w:tcPr>
          <w:p w14:paraId="34DF43DD">
            <w:pPr>
              <w:spacing w:after="50" w:line="360" w:lineRule="auto"/>
              <w:ind w:right="-10"/>
              <w:jc w:val="center"/>
              <w:rPr>
                <w:rFonts w:ascii="宋体" w:hAnsi="宋体" w:cs="宋体"/>
                <w:color w:val="auto"/>
                <w:sz w:val="24"/>
                <w:highlight w:val="none"/>
              </w:rPr>
            </w:pPr>
            <w:r>
              <w:rPr>
                <w:rFonts w:hint="eastAsia" w:ascii="宋体" w:hAnsi="宋体" w:cs="宋体"/>
                <w:color w:val="auto"/>
                <w:sz w:val="24"/>
                <w:highlight w:val="none"/>
              </w:rPr>
              <w:t>见招标文件</w:t>
            </w:r>
          </w:p>
        </w:tc>
        <w:tc>
          <w:tcPr>
            <w:tcW w:w="825" w:type="dxa"/>
            <w:vAlign w:val="center"/>
          </w:tcPr>
          <w:p w14:paraId="66CB8488">
            <w:pPr>
              <w:adjustRightInd w:val="0"/>
              <w:snapToGrid w:val="0"/>
              <w:spacing w:line="360" w:lineRule="auto"/>
              <w:ind w:right="-10"/>
              <w:rPr>
                <w:rFonts w:ascii="宋体" w:hAnsi="宋体" w:cs="宋体"/>
                <w:color w:val="auto"/>
                <w:sz w:val="24"/>
                <w:highlight w:val="none"/>
              </w:rPr>
            </w:pPr>
          </w:p>
        </w:tc>
        <w:tc>
          <w:tcPr>
            <w:tcW w:w="2371" w:type="dxa"/>
            <w:vAlign w:val="center"/>
          </w:tcPr>
          <w:p w14:paraId="3D4AD000">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见投标文件</w:t>
            </w:r>
          </w:p>
        </w:tc>
      </w:tr>
      <w:tr w14:paraId="408A7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6" w:hRule="atLeast"/>
        </w:trPr>
        <w:tc>
          <w:tcPr>
            <w:tcW w:w="707" w:type="dxa"/>
            <w:vAlign w:val="center"/>
          </w:tcPr>
          <w:p w14:paraId="52221783">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4</w:t>
            </w:r>
          </w:p>
        </w:tc>
        <w:tc>
          <w:tcPr>
            <w:tcW w:w="2665" w:type="dxa"/>
            <w:vAlign w:val="center"/>
          </w:tcPr>
          <w:p w14:paraId="3A225BFB">
            <w:pPr>
              <w:spacing w:after="50" w:line="360" w:lineRule="auto"/>
              <w:ind w:right="-10"/>
              <w:jc w:val="center"/>
              <w:rPr>
                <w:rFonts w:ascii="宋体" w:hAnsi="宋体" w:cs="宋体"/>
                <w:color w:val="auto"/>
                <w:sz w:val="24"/>
                <w:highlight w:val="none"/>
              </w:rPr>
            </w:pPr>
            <w:r>
              <w:rPr>
                <w:rFonts w:hint="eastAsia" w:ascii="宋体" w:hAnsi="宋体" w:cs="宋体"/>
                <w:bCs/>
                <w:color w:val="auto"/>
                <w:sz w:val="24"/>
                <w:highlight w:val="none"/>
              </w:rPr>
              <w:t>财务审计报告</w:t>
            </w:r>
          </w:p>
        </w:tc>
        <w:tc>
          <w:tcPr>
            <w:tcW w:w="1937" w:type="dxa"/>
            <w:vAlign w:val="center"/>
          </w:tcPr>
          <w:p w14:paraId="4DA56393">
            <w:pPr>
              <w:spacing w:after="50" w:line="360" w:lineRule="auto"/>
              <w:ind w:right="-10"/>
              <w:jc w:val="center"/>
              <w:rPr>
                <w:rFonts w:ascii="宋体" w:hAnsi="宋体" w:cs="宋体"/>
                <w:color w:val="auto"/>
                <w:sz w:val="24"/>
                <w:highlight w:val="none"/>
              </w:rPr>
            </w:pPr>
            <w:r>
              <w:rPr>
                <w:rFonts w:hint="eastAsia" w:ascii="宋体" w:hAnsi="宋体" w:cs="宋体"/>
                <w:color w:val="auto"/>
                <w:sz w:val="24"/>
                <w:highlight w:val="none"/>
              </w:rPr>
              <w:t>见招标文件</w:t>
            </w:r>
          </w:p>
        </w:tc>
        <w:tc>
          <w:tcPr>
            <w:tcW w:w="825" w:type="dxa"/>
            <w:vAlign w:val="center"/>
          </w:tcPr>
          <w:p w14:paraId="4D07637F">
            <w:pPr>
              <w:adjustRightInd w:val="0"/>
              <w:snapToGrid w:val="0"/>
              <w:spacing w:line="360" w:lineRule="auto"/>
              <w:ind w:right="-10"/>
              <w:rPr>
                <w:rFonts w:ascii="宋体" w:hAnsi="宋体" w:cs="宋体"/>
                <w:color w:val="auto"/>
                <w:sz w:val="24"/>
                <w:highlight w:val="none"/>
              </w:rPr>
            </w:pPr>
          </w:p>
        </w:tc>
        <w:tc>
          <w:tcPr>
            <w:tcW w:w="2371" w:type="dxa"/>
            <w:vAlign w:val="center"/>
          </w:tcPr>
          <w:p w14:paraId="4592C6AA">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见投标文件</w:t>
            </w:r>
          </w:p>
        </w:tc>
      </w:tr>
      <w:tr w14:paraId="7F212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07" w:type="dxa"/>
            <w:vAlign w:val="center"/>
          </w:tcPr>
          <w:p w14:paraId="0249D4C6">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5</w:t>
            </w:r>
          </w:p>
        </w:tc>
        <w:tc>
          <w:tcPr>
            <w:tcW w:w="2665" w:type="dxa"/>
            <w:vAlign w:val="center"/>
          </w:tcPr>
          <w:p w14:paraId="44679ED4">
            <w:pPr>
              <w:spacing w:after="50" w:line="360" w:lineRule="auto"/>
              <w:ind w:right="-10"/>
              <w:jc w:val="center"/>
              <w:rPr>
                <w:rFonts w:ascii="宋体" w:hAnsi="宋体" w:cs="宋体"/>
                <w:color w:val="auto"/>
                <w:sz w:val="24"/>
                <w:highlight w:val="none"/>
              </w:rPr>
            </w:pPr>
            <w:r>
              <w:rPr>
                <w:rFonts w:hint="eastAsia" w:ascii="宋体" w:hAnsi="宋体" w:cs="宋体"/>
                <w:bCs/>
                <w:color w:val="auto"/>
                <w:sz w:val="24"/>
                <w:highlight w:val="none"/>
              </w:rPr>
              <w:t>“信用中国”“中国政府采购网”查询</w:t>
            </w:r>
          </w:p>
        </w:tc>
        <w:tc>
          <w:tcPr>
            <w:tcW w:w="1937" w:type="dxa"/>
            <w:vAlign w:val="center"/>
          </w:tcPr>
          <w:p w14:paraId="54E28F08">
            <w:pPr>
              <w:spacing w:after="50" w:line="360" w:lineRule="auto"/>
              <w:ind w:right="-10"/>
              <w:jc w:val="center"/>
              <w:rPr>
                <w:rFonts w:ascii="宋体" w:hAnsi="宋体" w:cs="宋体"/>
                <w:color w:val="auto"/>
                <w:sz w:val="24"/>
                <w:highlight w:val="none"/>
              </w:rPr>
            </w:pPr>
            <w:r>
              <w:rPr>
                <w:rFonts w:hint="eastAsia" w:ascii="宋体" w:hAnsi="宋体" w:cs="宋体"/>
                <w:color w:val="auto"/>
                <w:sz w:val="24"/>
                <w:highlight w:val="none"/>
              </w:rPr>
              <w:t>见招标文件</w:t>
            </w:r>
          </w:p>
        </w:tc>
        <w:tc>
          <w:tcPr>
            <w:tcW w:w="825" w:type="dxa"/>
            <w:vAlign w:val="center"/>
          </w:tcPr>
          <w:p w14:paraId="7C176EB1">
            <w:pPr>
              <w:adjustRightInd w:val="0"/>
              <w:snapToGrid w:val="0"/>
              <w:spacing w:line="360" w:lineRule="auto"/>
              <w:ind w:right="-10"/>
              <w:rPr>
                <w:rFonts w:ascii="宋体" w:hAnsi="宋体" w:cs="宋体"/>
                <w:color w:val="auto"/>
                <w:sz w:val="24"/>
                <w:highlight w:val="none"/>
              </w:rPr>
            </w:pPr>
          </w:p>
        </w:tc>
        <w:tc>
          <w:tcPr>
            <w:tcW w:w="2371" w:type="dxa"/>
            <w:vAlign w:val="center"/>
          </w:tcPr>
          <w:p w14:paraId="4ECA27CB">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见投标文件</w:t>
            </w:r>
          </w:p>
        </w:tc>
      </w:tr>
      <w:tr w14:paraId="5C408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707" w:type="dxa"/>
            <w:vAlign w:val="center"/>
          </w:tcPr>
          <w:p w14:paraId="6835A6EC">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6</w:t>
            </w:r>
          </w:p>
        </w:tc>
        <w:tc>
          <w:tcPr>
            <w:tcW w:w="2665" w:type="dxa"/>
            <w:vAlign w:val="center"/>
          </w:tcPr>
          <w:p w14:paraId="13513DC6">
            <w:pPr>
              <w:spacing w:after="50" w:line="360" w:lineRule="auto"/>
              <w:ind w:right="-10"/>
              <w:jc w:val="center"/>
              <w:rPr>
                <w:rFonts w:ascii="宋体" w:hAnsi="宋体" w:cs="宋体"/>
                <w:color w:val="auto"/>
                <w:sz w:val="24"/>
                <w:highlight w:val="none"/>
              </w:rPr>
            </w:pPr>
            <w:r>
              <w:rPr>
                <w:rFonts w:hint="eastAsia" w:ascii="宋体" w:hAnsi="宋体" w:cs="宋体"/>
                <w:bCs/>
                <w:color w:val="auto"/>
                <w:sz w:val="24"/>
                <w:highlight w:val="none"/>
              </w:rPr>
              <w:t>投标文件签字盖章格式</w:t>
            </w:r>
          </w:p>
        </w:tc>
        <w:tc>
          <w:tcPr>
            <w:tcW w:w="1937" w:type="dxa"/>
            <w:vAlign w:val="center"/>
          </w:tcPr>
          <w:p w14:paraId="689A5B56">
            <w:pPr>
              <w:spacing w:after="50" w:line="360" w:lineRule="auto"/>
              <w:ind w:right="-10"/>
              <w:jc w:val="center"/>
              <w:rPr>
                <w:rFonts w:ascii="宋体" w:hAnsi="宋体" w:cs="宋体"/>
                <w:color w:val="auto"/>
                <w:sz w:val="24"/>
                <w:highlight w:val="none"/>
              </w:rPr>
            </w:pPr>
            <w:r>
              <w:rPr>
                <w:rFonts w:hint="eastAsia" w:ascii="宋体" w:hAnsi="宋体" w:cs="宋体"/>
                <w:color w:val="auto"/>
                <w:sz w:val="24"/>
                <w:highlight w:val="none"/>
              </w:rPr>
              <w:t>见招标文件</w:t>
            </w:r>
          </w:p>
        </w:tc>
        <w:tc>
          <w:tcPr>
            <w:tcW w:w="825" w:type="dxa"/>
            <w:vAlign w:val="center"/>
          </w:tcPr>
          <w:p w14:paraId="2ACA4012">
            <w:pPr>
              <w:adjustRightInd w:val="0"/>
              <w:snapToGrid w:val="0"/>
              <w:spacing w:line="360" w:lineRule="auto"/>
              <w:ind w:right="-10"/>
              <w:rPr>
                <w:rFonts w:ascii="宋体" w:hAnsi="宋体" w:cs="宋体"/>
                <w:color w:val="auto"/>
                <w:sz w:val="24"/>
                <w:highlight w:val="none"/>
              </w:rPr>
            </w:pPr>
          </w:p>
        </w:tc>
        <w:tc>
          <w:tcPr>
            <w:tcW w:w="2371" w:type="dxa"/>
            <w:vAlign w:val="center"/>
          </w:tcPr>
          <w:p w14:paraId="010D1A35">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见投标文件</w:t>
            </w:r>
          </w:p>
        </w:tc>
      </w:tr>
      <w:tr w14:paraId="46BA6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707" w:type="dxa"/>
            <w:vAlign w:val="center"/>
          </w:tcPr>
          <w:p w14:paraId="2077A5EC">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7</w:t>
            </w:r>
          </w:p>
        </w:tc>
        <w:tc>
          <w:tcPr>
            <w:tcW w:w="2665" w:type="dxa"/>
            <w:vAlign w:val="center"/>
          </w:tcPr>
          <w:p w14:paraId="351271C1">
            <w:pPr>
              <w:spacing w:after="50" w:line="360" w:lineRule="auto"/>
              <w:ind w:right="-10"/>
              <w:jc w:val="center"/>
              <w:rPr>
                <w:rFonts w:ascii="宋体" w:hAnsi="宋体" w:cs="宋体"/>
                <w:color w:val="auto"/>
                <w:sz w:val="24"/>
                <w:highlight w:val="none"/>
              </w:rPr>
            </w:pPr>
            <w:r>
              <w:rPr>
                <w:rFonts w:hint="eastAsia" w:ascii="宋体" w:hAnsi="宋体" w:cs="宋体"/>
                <w:bCs/>
                <w:color w:val="auto"/>
                <w:sz w:val="24"/>
                <w:highlight w:val="none"/>
              </w:rPr>
              <w:t>合格供应商的声明函和承诺书</w:t>
            </w:r>
          </w:p>
        </w:tc>
        <w:tc>
          <w:tcPr>
            <w:tcW w:w="1937" w:type="dxa"/>
            <w:vAlign w:val="center"/>
          </w:tcPr>
          <w:p w14:paraId="27511E76">
            <w:pPr>
              <w:spacing w:after="50" w:line="360" w:lineRule="auto"/>
              <w:ind w:right="-10"/>
              <w:jc w:val="center"/>
              <w:rPr>
                <w:rFonts w:ascii="宋体" w:hAnsi="宋体" w:cs="宋体"/>
                <w:color w:val="auto"/>
                <w:sz w:val="24"/>
                <w:highlight w:val="none"/>
              </w:rPr>
            </w:pPr>
            <w:r>
              <w:rPr>
                <w:rFonts w:hint="eastAsia" w:ascii="宋体" w:hAnsi="宋体" w:cs="宋体"/>
                <w:color w:val="auto"/>
                <w:sz w:val="24"/>
                <w:highlight w:val="none"/>
              </w:rPr>
              <w:t>见招标文件</w:t>
            </w:r>
          </w:p>
        </w:tc>
        <w:tc>
          <w:tcPr>
            <w:tcW w:w="825" w:type="dxa"/>
            <w:vAlign w:val="center"/>
          </w:tcPr>
          <w:p w14:paraId="74969B02">
            <w:pPr>
              <w:adjustRightInd w:val="0"/>
              <w:snapToGrid w:val="0"/>
              <w:spacing w:line="360" w:lineRule="auto"/>
              <w:ind w:right="-10"/>
              <w:rPr>
                <w:rFonts w:ascii="宋体" w:hAnsi="宋体" w:cs="宋体"/>
                <w:color w:val="auto"/>
                <w:sz w:val="24"/>
                <w:highlight w:val="none"/>
              </w:rPr>
            </w:pPr>
          </w:p>
        </w:tc>
        <w:tc>
          <w:tcPr>
            <w:tcW w:w="2371" w:type="dxa"/>
            <w:vAlign w:val="center"/>
          </w:tcPr>
          <w:p w14:paraId="2C8C0E35">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见投标文件</w:t>
            </w:r>
          </w:p>
        </w:tc>
      </w:tr>
      <w:tr w14:paraId="54734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707" w:type="dxa"/>
            <w:vAlign w:val="center"/>
          </w:tcPr>
          <w:p w14:paraId="17FB1E00">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8</w:t>
            </w:r>
          </w:p>
        </w:tc>
        <w:tc>
          <w:tcPr>
            <w:tcW w:w="2665" w:type="dxa"/>
            <w:vAlign w:val="center"/>
          </w:tcPr>
          <w:p w14:paraId="09F8D98F">
            <w:pPr>
              <w:spacing w:after="50" w:line="360" w:lineRule="auto"/>
              <w:ind w:right="-10"/>
              <w:jc w:val="center"/>
              <w:rPr>
                <w:rFonts w:ascii="宋体" w:hAnsi="宋体" w:cs="宋体"/>
                <w:color w:val="auto"/>
                <w:sz w:val="24"/>
                <w:highlight w:val="none"/>
              </w:rPr>
            </w:pPr>
            <w:r>
              <w:rPr>
                <w:rFonts w:hint="eastAsia" w:ascii="宋体" w:hAnsi="宋体" w:cs="宋体"/>
                <w:bCs/>
                <w:color w:val="auto"/>
                <w:sz w:val="24"/>
                <w:highlight w:val="none"/>
              </w:rPr>
              <w:t>服务期</w:t>
            </w:r>
          </w:p>
        </w:tc>
        <w:tc>
          <w:tcPr>
            <w:tcW w:w="1937" w:type="dxa"/>
            <w:vAlign w:val="center"/>
          </w:tcPr>
          <w:p w14:paraId="0069901D">
            <w:pPr>
              <w:spacing w:after="50" w:line="360" w:lineRule="auto"/>
              <w:ind w:right="-10"/>
              <w:jc w:val="center"/>
              <w:rPr>
                <w:rFonts w:ascii="宋体" w:hAnsi="宋体" w:cs="宋体"/>
                <w:color w:val="auto"/>
                <w:sz w:val="24"/>
                <w:highlight w:val="none"/>
              </w:rPr>
            </w:pPr>
            <w:r>
              <w:rPr>
                <w:rFonts w:hint="eastAsia" w:ascii="宋体" w:hAnsi="宋体" w:cs="宋体"/>
                <w:color w:val="auto"/>
                <w:sz w:val="24"/>
                <w:highlight w:val="none"/>
              </w:rPr>
              <w:t>见招标文件</w:t>
            </w:r>
          </w:p>
        </w:tc>
        <w:tc>
          <w:tcPr>
            <w:tcW w:w="825" w:type="dxa"/>
            <w:vAlign w:val="center"/>
          </w:tcPr>
          <w:p w14:paraId="4053F172">
            <w:pPr>
              <w:adjustRightInd w:val="0"/>
              <w:snapToGrid w:val="0"/>
              <w:spacing w:line="360" w:lineRule="auto"/>
              <w:ind w:right="-10"/>
              <w:rPr>
                <w:rFonts w:ascii="宋体" w:hAnsi="宋体" w:cs="宋体"/>
                <w:color w:val="auto"/>
                <w:sz w:val="24"/>
                <w:highlight w:val="none"/>
              </w:rPr>
            </w:pPr>
          </w:p>
        </w:tc>
        <w:tc>
          <w:tcPr>
            <w:tcW w:w="2371" w:type="dxa"/>
            <w:vAlign w:val="center"/>
          </w:tcPr>
          <w:p w14:paraId="06A826F2">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见投标文件</w:t>
            </w:r>
          </w:p>
        </w:tc>
      </w:tr>
      <w:tr w14:paraId="41723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1" w:hRule="atLeast"/>
        </w:trPr>
        <w:tc>
          <w:tcPr>
            <w:tcW w:w="707" w:type="dxa"/>
            <w:vAlign w:val="center"/>
          </w:tcPr>
          <w:p w14:paraId="44288B55">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9</w:t>
            </w:r>
          </w:p>
        </w:tc>
        <w:tc>
          <w:tcPr>
            <w:tcW w:w="2665" w:type="dxa"/>
            <w:vAlign w:val="center"/>
          </w:tcPr>
          <w:p w14:paraId="3216C4E3">
            <w:pPr>
              <w:spacing w:after="50" w:line="360" w:lineRule="auto"/>
              <w:ind w:right="-10"/>
              <w:jc w:val="center"/>
              <w:rPr>
                <w:rFonts w:ascii="宋体" w:hAnsi="宋体" w:cs="宋体"/>
                <w:color w:val="auto"/>
                <w:sz w:val="24"/>
                <w:highlight w:val="none"/>
              </w:rPr>
            </w:pPr>
            <w:r>
              <w:rPr>
                <w:rFonts w:hint="eastAsia" w:ascii="宋体" w:hAnsi="宋体" w:cs="宋体"/>
                <w:bCs/>
                <w:color w:val="auto"/>
                <w:sz w:val="24"/>
                <w:highlight w:val="none"/>
              </w:rPr>
              <w:t>投标有效期</w:t>
            </w:r>
          </w:p>
        </w:tc>
        <w:tc>
          <w:tcPr>
            <w:tcW w:w="1937" w:type="dxa"/>
            <w:vAlign w:val="center"/>
          </w:tcPr>
          <w:p w14:paraId="56B6210C">
            <w:pPr>
              <w:spacing w:after="50" w:line="360" w:lineRule="auto"/>
              <w:ind w:right="-10"/>
              <w:jc w:val="center"/>
              <w:rPr>
                <w:rFonts w:ascii="宋体" w:hAnsi="宋体" w:cs="宋体"/>
                <w:color w:val="auto"/>
                <w:sz w:val="24"/>
                <w:highlight w:val="none"/>
              </w:rPr>
            </w:pPr>
            <w:r>
              <w:rPr>
                <w:rFonts w:hint="eastAsia" w:ascii="宋体" w:hAnsi="宋体" w:cs="宋体"/>
                <w:color w:val="auto"/>
                <w:sz w:val="24"/>
                <w:highlight w:val="none"/>
              </w:rPr>
              <w:t>见招标文件</w:t>
            </w:r>
          </w:p>
        </w:tc>
        <w:tc>
          <w:tcPr>
            <w:tcW w:w="825" w:type="dxa"/>
            <w:vAlign w:val="center"/>
          </w:tcPr>
          <w:p w14:paraId="78737222">
            <w:pPr>
              <w:adjustRightInd w:val="0"/>
              <w:snapToGrid w:val="0"/>
              <w:spacing w:line="360" w:lineRule="auto"/>
              <w:ind w:right="-10"/>
              <w:rPr>
                <w:rFonts w:ascii="宋体" w:hAnsi="宋体" w:cs="宋体"/>
                <w:color w:val="auto"/>
                <w:sz w:val="24"/>
                <w:highlight w:val="none"/>
              </w:rPr>
            </w:pPr>
          </w:p>
        </w:tc>
        <w:tc>
          <w:tcPr>
            <w:tcW w:w="2371" w:type="dxa"/>
            <w:vAlign w:val="center"/>
          </w:tcPr>
          <w:p w14:paraId="0AAFC620">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见投标文件</w:t>
            </w:r>
          </w:p>
        </w:tc>
      </w:tr>
      <w:tr w14:paraId="449A4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707" w:type="dxa"/>
            <w:vAlign w:val="center"/>
          </w:tcPr>
          <w:p w14:paraId="2AE8C5CC">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10</w:t>
            </w:r>
          </w:p>
        </w:tc>
        <w:tc>
          <w:tcPr>
            <w:tcW w:w="2665" w:type="dxa"/>
            <w:vAlign w:val="center"/>
          </w:tcPr>
          <w:p w14:paraId="788BE8E7">
            <w:pPr>
              <w:spacing w:after="50" w:line="360" w:lineRule="auto"/>
              <w:ind w:right="-10"/>
              <w:jc w:val="center"/>
              <w:rPr>
                <w:rFonts w:ascii="宋体" w:hAnsi="宋体" w:cs="宋体"/>
                <w:color w:val="auto"/>
                <w:sz w:val="24"/>
                <w:highlight w:val="none"/>
              </w:rPr>
            </w:pPr>
            <w:r>
              <w:rPr>
                <w:rFonts w:hint="eastAsia" w:ascii="宋体" w:hAnsi="宋体" w:cs="宋体"/>
                <w:color w:val="auto"/>
                <w:sz w:val="24"/>
                <w:highlight w:val="none"/>
              </w:rPr>
              <w:t>服务技术要求</w:t>
            </w:r>
          </w:p>
        </w:tc>
        <w:tc>
          <w:tcPr>
            <w:tcW w:w="1937" w:type="dxa"/>
            <w:vAlign w:val="center"/>
          </w:tcPr>
          <w:p w14:paraId="0081ED2F">
            <w:pPr>
              <w:spacing w:after="50" w:line="360" w:lineRule="auto"/>
              <w:ind w:right="-10"/>
              <w:jc w:val="center"/>
              <w:rPr>
                <w:rFonts w:ascii="宋体" w:hAnsi="宋体" w:cs="宋体"/>
                <w:color w:val="auto"/>
                <w:sz w:val="24"/>
                <w:highlight w:val="none"/>
              </w:rPr>
            </w:pPr>
            <w:r>
              <w:rPr>
                <w:rFonts w:hint="eastAsia" w:ascii="宋体" w:hAnsi="宋体" w:cs="宋体"/>
                <w:color w:val="auto"/>
                <w:sz w:val="24"/>
                <w:highlight w:val="none"/>
              </w:rPr>
              <w:t>见招标文件</w:t>
            </w:r>
          </w:p>
        </w:tc>
        <w:tc>
          <w:tcPr>
            <w:tcW w:w="825" w:type="dxa"/>
            <w:vAlign w:val="center"/>
          </w:tcPr>
          <w:p w14:paraId="1D6DC099">
            <w:pPr>
              <w:adjustRightInd w:val="0"/>
              <w:snapToGrid w:val="0"/>
              <w:spacing w:line="360" w:lineRule="auto"/>
              <w:ind w:right="-10"/>
              <w:rPr>
                <w:rFonts w:ascii="宋体" w:hAnsi="宋体" w:cs="宋体"/>
                <w:color w:val="auto"/>
                <w:sz w:val="24"/>
                <w:highlight w:val="none"/>
              </w:rPr>
            </w:pPr>
          </w:p>
        </w:tc>
        <w:tc>
          <w:tcPr>
            <w:tcW w:w="2371" w:type="dxa"/>
            <w:vAlign w:val="center"/>
          </w:tcPr>
          <w:p w14:paraId="6E8398D4">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见投标文件</w:t>
            </w:r>
          </w:p>
        </w:tc>
      </w:tr>
      <w:tr w14:paraId="7DF86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trPr>
        <w:tc>
          <w:tcPr>
            <w:tcW w:w="707" w:type="dxa"/>
            <w:vAlign w:val="center"/>
          </w:tcPr>
          <w:p w14:paraId="2EE585AA">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11</w:t>
            </w:r>
          </w:p>
        </w:tc>
        <w:tc>
          <w:tcPr>
            <w:tcW w:w="2665" w:type="dxa"/>
            <w:vAlign w:val="center"/>
          </w:tcPr>
          <w:p w14:paraId="1A768A2A">
            <w:pPr>
              <w:spacing w:after="50" w:line="360" w:lineRule="auto"/>
              <w:ind w:right="-10"/>
              <w:jc w:val="center"/>
              <w:rPr>
                <w:rFonts w:ascii="宋体" w:hAnsi="宋体" w:cs="宋体"/>
                <w:bCs/>
                <w:color w:val="auto"/>
                <w:sz w:val="24"/>
                <w:highlight w:val="none"/>
              </w:rPr>
            </w:pPr>
            <w:r>
              <w:rPr>
                <w:rFonts w:hint="eastAsia" w:ascii="宋体" w:hAnsi="宋体" w:cs="宋体"/>
                <w:bCs/>
                <w:color w:val="auto"/>
                <w:sz w:val="24"/>
                <w:highlight w:val="none"/>
              </w:rPr>
              <w:t>其他实质性要求</w:t>
            </w:r>
          </w:p>
        </w:tc>
        <w:tc>
          <w:tcPr>
            <w:tcW w:w="1937" w:type="dxa"/>
            <w:vAlign w:val="center"/>
          </w:tcPr>
          <w:p w14:paraId="24CFBB73">
            <w:pPr>
              <w:spacing w:after="50" w:line="360" w:lineRule="auto"/>
              <w:ind w:right="-10"/>
              <w:jc w:val="center"/>
              <w:rPr>
                <w:rFonts w:ascii="宋体" w:hAnsi="宋体" w:cs="宋体"/>
                <w:color w:val="auto"/>
                <w:sz w:val="24"/>
                <w:highlight w:val="none"/>
              </w:rPr>
            </w:pPr>
            <w:r>
              <w:rPr>
                <w:rFonts w:hint="eastAsia" w:ascii="宋体" w:hAnsi="宋体" w:cs="宋体"/>
                <w:color w:val="auto"/>
                <w:sz w:val="24"/>
                <w:highlight w:val="none"/>
              </w:rPr>
              <w:t>见招标文件</w:t>
            </w:r>
          </w:p>
        </w:tc>
        <w:tc>
          <w:tcPr>
            <w:tcW w:w="825" w:type="dxa"/>
            <w:vAlign w:val="center"/>
          </w:tcPr>
          <w:p w14:paraId="07DDB473">
            <w:pPr>
              <w:adjustRightInd w:val="0"/>
              <w:snapToGrid w:val="0"/>
              <w:spacing w:line="360" w:lineRule="auto"/>
              <w:ind w:right="-10"/>
              <w:rPr>
                <w:rFonts w:ascii="宋体" w:hAnsi="宋体" w:cs="宋体"/>
                <w:color w:val="auto"/>
                <w:sz w:val="24"/>
                <w:highlight w:val="none"/>
              </w:rPr>
            </w:pPr>
          </w:p>
        </w:tc>
        <w:tc>
          <w:tcPr>
            <w:tcW w:w="2371" w:type="dxa"/>
            <w:vAlign w:val="center"/>
          </w:tcPr>
          <w:p w14:paraId="1F652D2F">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见投标文件</w:t>
            </w:r>
          </w:p>
        </w:tc>
      </w:tr>
      <w:tr w14:paraId="0CDA1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707" w:type="dxa"/>
            <w:vAlign w:val="center"/>
          </w:tcPr>
          <w:p w14:paraId="5943C04A">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12</w:t>
            </w:r>
          </w:p>
        </w:tc>
        <w:tc>
          <w:tcPr>
            <w:tcW w:w="2665" w:type="dxa"/>
            <w:vAlign w:val="center"/>
          </w:tcPr>
          <w:p w14:paraId="5D99817F">
            <w:pPr>
              <w:spacing w:after="50" w:line="360" w:lineRule="auto"/>
              <w:ind w:right="-10"/>
              <w:jc w:val="center"/>
              <w:rPr>
                <w:rFonts w:ascii="宋体" w:hAnsi="宋体" w:cs="宋体"/>
                <w:bCs/>
                <w:color w:val="auto"/>
                <w:sz w:val="24"/>
                <w:highlight w:val="none"/>
              </w:rPr>
            </w:pPr>
          </w:p>
        </w:tc>
        <w:tc>
          <w:tcPr>
            <w:tcW w:w="1937" w:type="dxa"/>
            <w:vAlign w:val="center"/>
          </w:tcPr>
          <w:p w14:paraId="462C1252">
            <w:pPr>
              <w:spacing w:after="50" w:line="360" w:lineRule="auto"/>
              <w:ind w:right="-10"/>
              <w:jc w:val="center"/>
              <w:rPr>
                <w:rFonts w:ascii="宋体" w:hAnsi="宋体" w:cs="宋体"/>
                <w:color w:val="auto"/>
                <w:sz w:val="24"/>
                <w:highlight w:val="none"/>
              </w:rPr>
            </w:pPr>
          </w:p>
        </w:tc>
        <w:tc>
          <w:tcPr>
            <w:tcW w:w="825" w:type="dxa"/>
            <w:vAlign w:val="center"/>
          </w:tcPr>
          <w:p w14:paraId="2A16B0E8">
            <w:pPr>
              <w:adjustRightInd w:val="0"/>
              <w:snapToGrid w:val="0"/>
              <w:spacing w:line="360" w:lineRule="auto"/>
              <w:ind w:right="-10"/>
              <w:rPr>
                <w:rFonts w:ascii="宋体" w:hAnsi="宋体" w:cs="宋体"/>
                <w:color w:val="auto"/>
                <w:sz w:val="24"/>
                <w:highlight w:val="none"/>
              </w:rPr>
            </w:pPr>
          </w:p>
        </w:tc>
        <w:tc>
          <w:tcPr>
            <w:tcW w:w="2371" w:type="dxa"/>
            <w:vAlign w:val="center"/>
          </w:tcPr>
          <w:p w14:paraId="7D8883AC">
            <w:pPr>
              <w:adjustRightInd w:val="0"/>
              <w:snapToGrid w:val="0"/>
              <w:spacing w:line="360" w:lineRule="auto"/>
              <w:ind w:right="-10"/>
              <w:jc w:val="center"/>
              <w:rPr>
                <w:rFonts w:ascii="宋体" w:hAnsi="宋体" w:cs="宋体"/>
                <w:color w:val="auto"/>
                <w:sz w:val="24"/>
                <w:highlight w:val="none"/>
              </w:rPr>
            </w:pPr>
          </w:p>
        </w:tc>
      </w:tr>
      <w:tr w14:paraId="3A6B9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 w:hRule="atLeast"/>
        </w:trPr>
        <w:tc>
          <w:tcPr>
            <w:tcW w:w="707" w:type="dxa"/>
            <w:vAlign w:val="center"/>
          </w:tcPr>
          <w:p w14:paraId="5A6FCB6E">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13</w:t>
            </w:r>
          </w:p>
        </w:tc>
        <w:tc>
          <w:tcPr>
            <w:tcW w:w="2665" w:type="dxa"/>
            <w:vAlign w:val="center"/>
          </w:tcPr>
          <w:p w14:paraId="055689F7">
            <w:pPr>
              <w:spacing w:after="50" w:line="360" w:lineRule="auto"/>
              <w:ind w:right="-10"/>
              <w:jc w:val="center"/>
              <w:rPr>
                <w:rFonts w:ascii="宋体" w:hAnsi="宋体" w:cs="宋体"/>
                <w:color w:val="auto"/>
                <w:sz w:val="24"/>
                <w:highlight w:val="none"/>
              </w:rPr>
            </w:pPr>
          </w:p>
        </w:tc>
        <w:tc>
          <w:tcPr>
            <w:tcW w:w="1937" w:type="dxa"/>
            <w:vAlign w:val="center"/>
          </w:tcPr>
          <w:p w14:paraId="1E146BBA">
            <w:pPr>
              <w:spacing w:after="50" w:line="360" w:lineRule="auto"/>
              <w:ind w:right="-10"/>
              <w:jc w:val="center"/>
              <w:rPr>
                <w:rFonts w:ascii="宋体" w:hAnsi="宋体" w:cs="宋体"/>
                <w:color w:val="auto"/>
                <w:sz w:val="24"/>
                <w:highlight w:val="none"/>
              </w:rPr>
            </w:pPr>
          </w:p>
        </w:tc>
        <w:tc>
          <w:tcPr>
            <w:tcW w:w="825" w:type="dxa"/>
            <w:vAlign w:val="center"/>
          </w:tcPr>
          <w:p w14:paraId="362C669E">
            <w:pPr>
              <w:adjustRightInd w:val="0"/>
              <w:snapToGrid w:val="0"/>
              <w:spacing w:line="360" w:lineRule="auto"/>
              <w:ind w:right="-10"/>
              <w:rPr>
                <w:rFonts w:ascii="宋体" w:hAnsi="宋体" w:cs="宋体"/>
                <w:color w:val="auto"/>
                <w:sz w:val="24"/>
                <w:highlight w:val="none"/>
              </w:rPr>
            </w:pPr>
          </w:p>
        </w:tc>
        <w:tc>
          <w:tcPr>
            <w:tcW w:w="2371" w:type="dxa"/>
            <w:vAlign w:val="center"/>
          </w:tcPr>
          <w:p w14:paraId="2B026DD0">
            <w:pPr>
              <w:adjustRightInd w:val="0"/>
              <w:snapToGrid w:val="0"/>
              <w:spacing w:line="360" w:lineRule="auto"/>
              <w:ind w:right="-10"/>
              <w:jc w:val="center"/>
              <w:rPr>
                <w:rFonts w:ascii="宋体" w:hAnsi="宋体" w:cs="宋体"/>
                <w:color w:val="auto"/>
                <w:sz w:val="24"/>
                <w:highlight w:val="none"/>
              </w:rPr>
            </w:pPr>
          </w:p>
        </w:tc>
      </w:tr>
      <w:tr w14:paraId="59664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707" w:type="dxa"/>
            <w:vAlign w:val="center"/>
          </w:tcPr>
          <w:p w14:paraId="70B02744">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14</w:t>
            </w:r>
          </w:p>
        </w:tc>
        <w:tc>
          <w:tcPr>
            <w:tcW w:w="2665" w:type="dxa"/>
            <w:vAlign w:val="center"/>
          </w:tcPr>
          <w:p w14:paraId="71804CB7">
            <w:pPr>
              <w:spacing w:after="50" w:line="360" w:lineRule="auto"/>
              <w:ind w:right="-10"/>
              <w:jc w:val="center"/>
              <w:rPr>
                <w:rFonts w:ascii="宋体" w:hAnsi="宋体" w:cs="宋体"/>
                <w:bCs/>
                <w:color w:val="auto"/>
                <w:sz w:val="24"/>
                <w:highlight w:val="none"/>
              </w:rPr>
            </w:pPr>
            <w:r>
              <w:rPr>
                <w:rFonts w:hint="eastAsia" w:ascii="宋体" w:hAnsi="宋体" w:cs="宋体"/>
                <w:bCs/>
                <w:color w:val="auto"/>
                <w:sz w:val="24"/>
                <w:highlight w:val="none"/>
              </w:rPr>
              <w:t>结论</w:t>
            </w:r>
          </w:p>
        </w:tc>
        <w:tc>
          <w:tcPr>
            <w:tcW w:w="5133" w:type="dxa"/>
            <w:gridSpan w:val="3"/>
            <w:vAlign w:val="center"/>
          </w:tcPr>
          <w:p w14:paraId="20B6B9CE">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bCs/>
                <w:color w:val="auto"/>
                <w:sz w:val="24"/>
                <w:highlight w:val="none"/>
              </w:rPr>
              <w:t>是否通过审查</w:t>
            </w:r>
          </w:p>
        </w:tc>
      </w:tr>
    </w:tbl>
    <w:p w14:paraId="17D52032">
      <w:pPr>
        <w:pStyle w:val="38"/>
        <w:rPr>
          <w:rFonts w:ascii="宋体" w:hAnsi="宋体" w:cs="宋体"/>
          <w:color w:val="auto"/>
          <w:sz w:val="24"/>
          <w:szCs w:val="24"/>
          <w:highlight w:val="none"/>
        </w:rPr>
      </w:pPr>
    </w:p>
    <w:p w14:paraId="33D55DFD">
      <w:pPr>
        <w:pStyle w:val="38"/>
        <w:rPr>
          <w:rFonts w:ascii="宋体" w:hAnsi="宋体" w:cs="宋体"/>
          <w:color w:val="auto"/>
          <w:sz w:val="24"/>
          <w:szCs w:val="24"/>
          <w:highlight w:val="none"/>
        </w:rPr>
      </w:pPr>
    </w:p>
    <w:p w14:paraId="03A1E894">
      <w:pPr>
        <w:spacing w:line="5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20.响应性文件的澄清</w:t>
      </w:r>
    </w:p>
    <w:p w14:paraId="772C4888">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20.1竞争性磋商小组在对响应性文件的有效性、完整性和响应程度进行审查时，可以要求供应商对响应性文件中含义不明确、同类问题表述不一致或者有明显文字和计算错误的内容等作出必要的澄清、说明或者更正。供应商的澄清、说明或者更正不得超出响应性文件的范围或者改变响应性文件的实质性内容。</w:t>
      </w:r>
    </w:p>
    <w:p w14:paraId="20624C97">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20.2竞争性磋商小组要求供应商澄清、说明或者更正响应文件应当以书面形式作出。供应商的澄清、说明或者更正应当由法定代表人或其委托代理人签字或者加盖公章。供应商为自然人的，应当由本人签字并附身份证明。</w:t>
      </w:r>
    </w:p>
    <w:p w14:paraId="0F04CC4E">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20.3供应商拒不进行澄清、说明、补正的，或者不能在竞争性磋商小组规定时间内作出书面澄清、说明、补正的，其响应性文件将被作为无效处理。</w:t>
      </w:r>
    </w:p>
    <w:p w14:paraId="501290BF">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20.4供应商的书面澄清材料作为响应性文件的补充。 </w:t>
      </w:r>
    </w:p>
    <w:p w14:paraId="66FCBEF4">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20.5竞争性磋商小组不得接受供应商主动提出的澄清和解释。 </w:t>
      </w:r>
    </w:p>
    <w:p w14:paraId="3D954E30">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20.6并非每个供应商都将被询问、澄清。</w:t>
      </w:r>
    </w:p>
    <w:p w14:paraId="1E12A3D3">
      <w:pPr>
        <w:spacing w:line="5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21.竞争性磋商</w:t>
      </w:r>
    </w:p>
    <w:p w14:paraId="5962C701">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21.1资格性审查和符合性审查合格的供应商，将进入本次竞争性磋商程序。</w:t>
      </w:r>
    </w:p>
    <w:p w14:paraId="1CD48D18">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21.2竞争性磋商将按照供应商的签到顺序进行。</w:t>
      </w:r>
    </w:p>
    <w:p w14:paraId="264B2270">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21.3磋商内容包括：</w:t>
      </w:r>
    </w:p>
    <w:p w14:paraId="32E3A605">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21.3.1按照竞争性磋商文件中商务部分的内容，对照供应商提交的响应文件逐一进行比较各项指标和要求。</w:t>
      </w:r>
    </w:p>
    <w:p w14:paraId="08AF3E9D">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21.3.2按照竞争性磋商文件中技术部分的内容，对照供应商提交的响应文件逐一进行比较各项指标和要求。</w:t>
      </w:r>
    </w:p>
    <w:p w14:paraId="6FEBCC7B">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21.3.3按照竞争性磋商文件中合同条款部分的内容，对照供应商提交的响应文件逐一进行比较各项指标和要求。</w:t>
      </w:r>
    </w:p>
    <w:p w14:paraId="5999C343">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21.3.4在磋商中，磋商的任何一方不得透露与磋商有关的其他供应商的技术资料及其他信息。</w:t>
      </w:r>
    </w:p>
    <w:p w14:paraId="47BA81A5">
      <w:pPr>
        <w:spacing w:line="560" w:lineRule="exact"/>
        <w:ind w:firstLine="480" w:firstLineChars="200"/>
        <w:rPr>
          <w:rFonts w:ascii="宋体" w:hAnsi="宋体" w:cs="宋体"/>
          <w:color w:val="auto"/>
          <w:sz w:val="24"/>
          <w:highlight w:val="none"/>
          <w:lang w:val="zh-CN"/>
        </w:rPr>
      </w:pPr>
      <w:r>
        <w:rPr>
          <w:rFonts w:hint="eastAsia" w:ascii="宋体" w:hAnsi="宋体" w:cs="宋体"/>
          <w:color w:val="auto"/>
          <w:sz w:val="24"/>
          <w:highlight w:val="none"/>
        </w:rPr>
        <w:t>21.4</w:t>
      </w:r>
      <w:r>
        <w:rPr>
          <w:rFonts w:hint="eastAsia" w:ascii="宋体" w:hAnsi="宋体" w:cs="宋体"/>
          <w:color w:val="auto"/>
          <w:sz w:val="24"/>
          <w:highlight w:val="none"/>
          <w:lang w:val="zh-CN"/>
        </w:rPr>
        <w:t>在竞争性磋商过程中，竞争性磋商小组可以根据竞争性磋商文件和竞争性磋商情况实质性变动采购需求中的技术、服务要求以及合同草案条款，但不得变动竞争性磋商文件中的其他内容。实质性变动的内容，须经采购人代表确定。</w:t>
      </w:r>
    </w:p>
    <w:p w14:paraId="16AAAE2A">
      <w:pPr>
        <w:spacing w:line="560" w:lineRule="exact"/>
        <w:ind w:firstLine="480" w:firstLineChars="200"/>
        <w:rPr>
          <w:rFonts w:ascii="宋体" w:hAnsi="宋体" w:cs="宋体"/>
          <w:color w:val="auto"/>
          <w:sz w:val="24"/>
          <w:highlight w:val="none"/>
          <w:lang w:val="zh-CN"/>
        </w:rPr>
      </w:pPr>
      <w:r>
        <w:rPr>
          <w:rFonts w:hint="eastAsia" w:ascii="宋体" w:hAnsi="宋体" w:cs="宋体"/>
          <w:color w:val="auto"/>
          <w:sz w:val="24"/>
          <w:highlight w:val="none"/>
        </w:rPr>
        <w:t>21.4.1</w:t>
      </w:r>
      <w:r>
        <w:rPr>
          <w:rFonts w:hint="eastAsia" w:ascii="宋体" w:hAnsi="宋体" w:cs="宋体"/>
          <w:color w:val="auto"/>
          <w:sz w:val="24"/>
          <w:highlight w:val="none"/>
          <w:lang w:val="zh-CN"/>
        </w:rPr>
        <w:t>对竞争性磋商文件作出实质性变动是竞争性磋商文件的有效组成部分，竞争性磋商小组应当及时以书面形式同时通知所有参加竞争性磋商的供应商。</w:t>
      </w:r>
    </w:p>
    <w:p w14:paraId="0BBF538B">
      <w:pPr>
        <w:spacing w:line="560" w:lineRule="exact"/>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21.4.2供应商应当按照竞争性磋商文件的变动情况和竞争性磋商小组的要求重新提交响应性文件，并由其法定代表人或授权代表签字或者加盖公章。</w:t>
      </w:r>
    </w:p>
    <w:p w14:paraId="3593D218">
      <w:pPr>
        <w:spacing w:line="560" w:lineRule="exact"/>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21.5报价</w:t>
      </w:r>
    </w:p>
    <w:p w14:paraId="37EFBE40">
      <w:pPr>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21.5</w:t>
      </w:r>
      <w:r>
        <w:rPr>
          <w:rFonts w:hint="eastAsia" w:ascii="宋体" w:hAnsi="宋体" w:cs="宋体"/>
          <w:color w:val="auto"/>
          <w:sz w:val="24"/>
          <w:highlight w:val="none"/>
        </w:rPr>
        <w:t>.</w:t>
      </w:r>
      <w:r>
        <w:rPr>
          <w:rFonts w:hint="eastAsia" w:ascii="宋体" w:hAnsi="宋体" w:cs="宋体"/>
          <w:color w:val="auto"/>
          <w:sz w:val="24"/>
          <w:highlight w:val="none"/>
          <w:lang w:val="zh-CN"/>
        </w:rPr>
        <w:t>1.一次报价，依据是供应商的投标函和开标记录。</w:t>
      </w:r>
    </w:p>
    <w:p w14:paraId="730178BF">
      <w:pPr>
        <w:spacing w:line="360" w:lineRule="auto"/>
        <w:ind w:firstLine="480" w:firstLineChars="200"/>
        <w:rPr>
          <w:rFonts w:ascii="宋体" w:hAnsi="宋体" w:cs="宋体"/>
          <w:color w:val="auto"/>
          <w:sz w:val="24"/>
          <w:highlight w:val="none"/>
          <w:lang w:val="zh-CN"/>
        </w:rPr>
      </w:pPr>
    </w:p>
    <w:p w14:paraId="681D383B">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六、评定标准</w:t>
      </w:r>
    </w:p>
    <w:p w14:paraId="69702877">
      <w:pPr>
        <w:spacing w:line="5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22.竞争性磋商过程及保密原则</w:t>
      </w:r>
    </w:p>
    <w:p w14:paraId="31589A2A">
      <w:pPr>
        <w:spacing w:line="46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22.1磋商小组采用综合评分法对有效供应商的响应文件和报价进行评审。磋商委员会按照投标人综合得分由高到低推荐中标候选人，采购人将从评委会推荐的中标候选人中依次选取成交供应商。</w:t>
      </w:r>
    </w:p>
    <w:p w14:paraId="2EC1C59D">
      <w:pPr>
        <w:spacing w:line="46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采购代理机构在评标结束后1个工作日内将评标报告送采购人。采购人自收到评标报告之日起５个工作日内，在评标报告确定的中标候选人名单中确定中标人。</w:t>
      </w:r>
    </w:p>
    <w:p w14:paraId="09E2EC8D">
      <w:pPr>
        <w:pStyle w:val="17"/>
        <w:spacing w:after="0" w:line="560" w:lineRule="exact"/>
        <w:ind w:left="0" w:leftChars="0" w:firstLine="480" w:firstLineChars="200"/>
        <w:rPr>
          <w:rFonts w:ascii="宋体" w:hAnsi="宋体" w:cs="宋体"/>
          <w:bCs/>
          <w:color w:val="auto"/>
          <w:sz w:val="24"/>
          <w:highlight w:val="none"/>
        </w:rPr>
      </w:pPr>
      <w:r>
        <w:rPr>
          <w:rFonts w:hint="eastAsia" w:ascii="宋体" w:hAnsi="宋体" w:cs="宋体"/>
          <w:bCs/>
          <w:color w:val="auto"/>
          <w:sz w:val="24"/>
          <w:highlight w:val="none"/>
        </w:rPr>
        <w:t>22.2对通过初步审查的响应文件，采用百分制综合评分法进行评价。</w:t>
      </w:r>
    </w:p>
    <w:p w14:paraId="4516B78E">
      <w:pPr>
        <w:spacing w:line="360" w:lineRule="auto"/>
        <w:ind w:right="-92" w:rightChars="-44"/>
        <w:rPr>
          <w:rFonts w:ascii="宋体" w:hAnsi="宋体" w:cs="宋体"/>
          <w:color w:val="auto"/>
          <w:sz w:val="24"/>
          <w:highlight w:val="none"/>
        </w:rPr>
      </w:pPr>
      <w:r>
        <w:rPr>
          <w:rFonts w:hint="eastAsia" w:ascii="宋体" w:hAnsi="宋体" w:cs="宋体"/>
          <w:color w:val="auto"/>
          <w:sz w:val="24"/>
          <w:highlight w:val="none"/>
        </w:rPr>
        <w:t>评标方法：</w:t>
      </w:r>
    </w:p>
    <w:p w14:paraId="43E15F89">
      <w:pPr>
        <w:pStyle w:val="35"/>
        <w:ind w:firstLine="400"/>
        <w:rPr>
          <w:color w:val="auto"/>
          <w:highlight w:val="none"/>
        </w:rPr>
      </w:pPr>
    </w:p>
    <w:tbl>
      <w:tblPr>
        <w:tblStyle w:val="27"/>
        <w:tblW w:w="87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2"/>
        <w:gridCol w:w="1363"/>
        <w:gridCol w:w="3691"/>
        <w:gridCol w:w="2554"/>
      </w:tblGrid>
      <w:tr w14:paraId="4410C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182" w:type="dxa"/>
            <w:vAlign w:val="center"/>
          </w:tcPr>
          <w:p w14:paraId="2B9006CF">
            <w:pPr>
              <w:tabs>
                <w:tab w:val="left" w:pos="5130"/>
              </w:tabs>
              <w:adjustRightInd w:val="0"/>
              <w:snapToGrid w:val="0"/>
              <w:spacing w:line="312" w:lineRule="auto"/>
              <w:jc w:val="center"/>
              <w:rPr>
                <w:rFonts w:ascii="宋体" w:hAnsi="宋体" w:cs="宋体"/>
                <w:b/>
                <w:bCs/>
                <w:color w:val="auto"/>
                <w:sz w:val="24"/>
                <w:highlight w:val="none"/>
              </w:rPr>
            </w:pPr>
            <w:r>
              <w:rPr>
                <w:rFonts w:hint="eastAsia" w:ascii="宋体" w:hAnsi="宋体" w:cs="宋体"/>
                <w:b/>
                <w:bCs/>
                <w:color w:val="auto"/>
                <w:sz w:val="24"/>
                <w:highlight w:val="none"/>
              </w:rPr>
              <w:t>评分指标</w:t>
            </w:r>
          </w:p>
        </w:tc>
        <w:tc>
          <w:tcPr>
            <w:tcW w:w="1363" w:type="dxa"/>
            <w:vAlign w:val="center"/>
          </w:tcPr>
          <w:p w14:paraId="0A3ED959">
            <w:pPr>
              <w:tabs>
                <w:tab w:val="left" w:pos="5130"/>
              </w:tabs>
              <w:adjustRightInd w:val="0"/>
              <w:snapToGrid w:val="0"/>
              <w:spacing w:line="312" w:lineRule="auto"/>
              <w:jc w:val="center"/>
              <w:rPr>
                <w:rFonts w:ascii="宋体" w:hAnsi="宋体" w:cs="宋体"/>
                <w:b/>
                <w:bCs/>
                <w:color w:val="auto"/>
                <w:sz w:val="24"/>
                <w:highlight w:val="none"/>
              </w:rPr>
            </w:pPr>
            <w:r>
              <w:rPr>
                <w:rFonts w:hint="eastAsia" w:ascii="宋体" w:hAnsi="宋体" w:cs="宋体"/>
                <w:b/>
                <w:bCs/>
                <w:color w:val="auto"/>
                <w:sz w:val="24"/>
                <w:highlight w:val="none"/>
              </w:rPr>
              <w:t>分值</w:t>
            </w:r>
          </w:p>
        </w:tc>
        <w:tc>
          <w:tcPr>
            <w:tcW w:w="3691" w:type="dxa"/>
            <w:vAlign w:val="center"/>
          </w:tcPr>
          <w:p w14:paraId="3FE11678">
            <w:pPr>
              <w:tabs>
                <w:tab w:val="left" w:pos="5130"/>
              </w:tabs>
              <w:adjustRightInd w:val="0"/>
              <w:snapToGrid w:val="0"/>
              <w:spacing w:line="312" w:lineRule="auto"/>
              <w:jc w:val="center"/>
              <w:rPr>
                <w:rFonts w:ascii="宋体" w:hAnsi="宋体" w:cs="宋体"/>
                <w:color w:val="auto"/>
                <w:sz w:val="24"/>
                <w:highlight w:val="none"/>
              </w:rPr>
            </w:pPr>
            <w:r>
              <w:rPr>
                <w:rFonts w:hint="eastAsia" w:ascii="宋体" w:hAnsi="宋体" w:cs="宋体"/>
                <w:b/>
                <w:bCs/>
                <w:color w:val="auto"/>
                <w:sz w:val="24"/>
                <w:highlight w:val="none"/>
              </w:rPr>
              <w:t>指标说明及评分标准</w:t>
            </w:r>
          </w:p>
        </w:tc>
        <w:tc>
          <w:tcPr>
            <w:tcW w:w="2554" w:type="dxa"/>
            <w:vAlign w:val="center"/>
          </w:tcPr>
          <w:p w14:paraId="77C409E5">
            <w:pPr>
              <w:tabs>
                <w:tab w:val="left" w:pos="5130"/>
              </w:tabs>
              <w:adjustRightInd w:val="0"/>
              <w:snapToGrid w:val="0"/>
              <w:spacing w:line="312" w:lineRule="auto"/>
              <w:jc w:val="center"/>
              <w:rPr>
                <w:rFonts w:ascii="宋体" w:hAnsi="宋体" w:cs="宋体"/>
                <w:color w:val="auto"/>
                <w:sz w:val="24"/>
                <w:highlight w:val="none"/>
              </w:rPr>
            </w:pPr>
            <w:r>
              <w:rPr>
                <w:rFonts w:hint="eastAsia" w:ascii="宋体" w:hAnsi="宋体" w:cs="宋体"/>
                <w:b/>
                <w:bCs/>
                <w:color w:val="auto"/>
                <w:sz w:val="24"/>
                <w:highlight w:val="none"/>
              </w:rPr>
              <w:t>评分依据</w:t>
            </w:r>
          </w:p>
        </w:tc>
      </w:tr>
      <w:tr w14:paraId="3D7A9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6" w:hRule="atLeast"/>
          <w:jc w:val="center"/>
        </w:trPr>
        <w:tc>
          <w:tcPr>
            <w:tcW w:w="1182" w:type="dxa"/>
            <w:vAlign w:val="center"/>
          </w:tcPr>
          <w:p w14:paraId="6069C536">
            <w:pPr>
              <w:tabs>
                <w:tab w:val="left" w:pos="5130"/>
              </w:tabs>
              <w:adjustRightInd w:val="0"/>
              <w:snapToGrid w:val="0"/>
              <w:spacing w:line="312" w:lineRule="auto"/>
              <w:jc w:val="center"/>
              <w:rPr>
                <w:rFonts w:ascii="宋体" w:hAnsi="宋体" w:cs="宋体"/>
                <w:b w:val="0"/>
                <w:bCs w:val="0"/>
                <w:color w:val="auto"/>
                <w:sz w:val="24"/>
                <w:highlight w:val="none"/>
              </w:rPr>
            </w:pPr>
            <w:r>
              <w:rPr>
                <w:rFonts w:hint="eastAsia" w:ascii="宋体" w:hAnsi="宋体" w:cs="宋体"/>
                <w:b w:val="0"/>
                <w:bCs w:val="0"/>
                <w:color w:val="auto"/>
                <w:sz w:val="24"/>
                <w:highlight w:val="none"/>
              </w:rPr>
              <w:t>报价得分（10分）</w:t>
            </w:r>
          </w:p>
        </w:tc>
        <w:tc>
          <w:tcPr>
            <w:tcW w:w="1363" w:type="dxa"/>
            <w:vAlign w:val="center"/>
          </w:tcPr>
          <w:p w14:paraId="5A49D0AC">
            <w:pPr>
              <w:tabs>
                <w:tab w:val="left" w:pos="5130"/>
              </w:tabs>
              <w:adjustRightInd w:val="0"/>
              <w:snapToGrid w:val="0"/>
              <w:spacing w:line="312" w:lineRule="auto"/>
              <w:jc w:val="center"/>
              <w:rPr>
                <w:rFonts w:ascii="宋体" w:hAnsi="宋体" w:cs="宋体"/>
                <w:b w:val="0"/>
                <w:bCs w:val="0"/>
                <w:color w:val="auto"/>
                <w:sz w:val="24"/>
                <w:highlight w:val="none"/>
              </w:rPr>
            </w:pPr>
            <w:r>
              <w:rPr>
                <w:rFonts w:hint="eastAsia" w:ascii="宋体" w:hAnsi="宋体" w:cs="宋体"/>
                <w:b w:val="0"/>
                <w:bCs w:val="0"/>
                <w:color w:val="auto"/>
                <w:sz w:val="24"/>
                <w:highlight w:val="none"/>
              </w:rPr>
              <w:t>报价</w:t>
            </w:r>
          </w:p>
          <w:p w14:paraId="6E64C4D1">
            <w:pPr>
              <w:tabs>
                <w:tab w:val="left" w:pos="5130"/>
              </w:tabs>
              <w:adjustRightInd w:val="0"/>
              <w:snapToGrid w:val="0"/>
              <w:spacing w:line="312" w:lineRule="auto"/>
              <w:jc w:val="center"/>
              <w:rPr>
                <w:rFonts w:ascii="宋体" w:hAnsi="宋体" w:cs="宋体"/>
                <w:b w:val="0"/>
                <w:bCs w:val="0"/>
                <w:color w:val="auto"/>
                <w:sz w:val="24"/>
                <w:highlight w:val="none"/>
              </w:rPr>
            </w:pPr>
            <w:r>
              <w:rPr>
                <w:rFonts w:hint="eastAsia" w:ascii="宋体" w:hAnsi="宋体" w:cs="宋体"/>
                <w:b w:val="0"/>
                <w:bCs w:val="0"/>
                <w:color w:val="auto"/>
                <w:sz w:val="24"/>
                <w:highlight w:val="none"/>
              </w:rPr>
              <w:t>（10分）</w:t>
            </w:r>
          </w:p>
        </w:tc>
        <w:tc>
          <w:tcPr>
            <w:tcW w:w="6245" w:type="dxa"/>
            <w:gridSpan w:val="2"/>
            <w:vAlign w:val="center"/>
          </w:tcPr>
          <w:p w14:paraId="38BB614E">
            <w:pPr>
              <w:tabs>
                <w:tab w:val="left" w:pos="5130"/>
              </w:tabs>
              <w:adjustRightInd w:val="0"/>
              <w:snapToGrid w:val="0"/>
              <w:spacing w:line="312" w:lineRule="auto"/>
              <w:rPr>
                <w:rFonts w:ascii="宋体" w:hAnsi="宋体" w:cs="宋体"/>
                <w:color w:val="auto"/>
                <w:sz w:val="24"/>
                <w:highlight w:val="none"/>
              </w:rPr>
            </w:pPr>
            <w:r>
              <w:rPr>
                <w:rFonts w:hint="eastAsia" w:ascii="宋体" w:hAnsi="宋体" w:cs="宋体"/>
                <w:color w:val="auto"/>
                <w:sz w:val="24"/>
                <w:highlight w:val="none"/>
              </w:rPr>
              <w:t>满足磋商文件要求且最后报价最低的供应商的价格为磋商基准价，其价格分为满分。其他供应商的价格分统一按照下列公式计算：</w:t>
            </w:r>
          </w:p>
          <w:p w14:paraId="237D1539">
            <w:pPr>
              <w:tabs>
                <w:tab w:val="left" w:pos="5130"/>
              </w:tabs>
              <w:adjustRightInd w:val="0"/>
              <w:snapToGrid w:val="0"/>
              <w:spacing w:line="312" w:lineRule="auto"/>
              <w:rPr>
                <w:rFonts w:ascii="宋体" w:hAnsi="宋体" w:cs="宋体"/>
                <w:color w:val="auto"/>
                <w:sz w:val="24"/>
                <w:highlight w:val="none"/>
              </w:rPr>
            </w:pPr>
            <w:r>
              <w:rPr>
                <w:rFonts w:hint="eastAsia" w:ascii="宋体" w:hAnsi="宋体" w:cs="宋体"/>
                <w:color w:val="auto"/>
                <w:sz w:val="24"/>
                <w:highlight w:val="none"/>
              </w:rPr>
              <w:t>磋商报价得分=（磋商基准价/最后磋商报价）×10</w:t>
            </w:r>
          </w:p>
          <w:p w14:paraId="582CC37D">
            <w:pPr>
              <w:tabs>
                <w:tab w:val="left" w:pos="5130"/>
              </w:tabs>
              <w:adjustRightInd w:val="0"/>
              <w:snapToGrid w:val="0"/>
              <w:spacing w:line="312" w:lineRule="auto"/>
              <w:rPr>
                <w:rFonts w:ascii="宋体" w:hAnsi="宋体" w:cs="宋体"/>
                <w:color w:val="auto"/>
                <w:sz w:val="24"/>
                <w:highlight w:val="none"/>
              </w:rPr>
            </w:pPr>
            <w:r>
              <w:rPr>
                <w:rFonts w:hint="eastAsia" w:ascii="宋体" w:hAnsi="宋体" w:cs="宋体"/>
                <w:color w:val="auto"/>
                <w:sz w:val="24"/>
                <w:highlight w:val="none"/>
              </w:rPr>
              <w:t>备注：价格分计算保留小数点后二位。根据财政部、工信部关于印发《政府采购促进中小企业发展管理办法》的通知（财库〔2022〕19号）文件规定：</w:t>
            </w:r>
          </w:p>
          <w:p w14:paraId="01C0E90D">
            <w:pPr>
              <w:numPr>
                <w:ilvl w:val="0"/>
                <w:numId w:val="5"/>
              </w:numPr>
              <w:tabs>
                <w:tab w:val="left" w:pos="5130"/>
              </w:tabs>
              <w:adjustRightInd w:val="0"/>
              <w:snapToGrid w:val="0"/>
              <w:spacing w:line="312" w:lineRule="auto"/>
              <w:rPr>
                <w:rFonts w:ascii="宋体" w:hAnsi="宋体" w:cs="宋体"/>
                <w:color w:val="auto"/>
                <w:sz w:val="24"/>
                <w:highlight w:val="none"/>
              </w:rPr>
            </w:pPr>
            <w:r>
              <w:rPr>
                <w:rFonts w:hint="eastAsia" w:ascii="宋体" w:hAnsi="宋体" w:cs="宋体"/>
                <w:color w:val="auto"/>
                <w:sz w:val="24"/>
                <w:highlight w:val="none"/>
              </w:rPr>
              <w:t>对小微企业报价给予20%扣除，请按照《政府采购促进中小企业发展管理办法》要求提供中小企业声明函。</w:t>
            </w:r>
          </w:p>
          <w:p w14:paraId="38AFC4AE">
            <w:pPr>
              <w:numPr>
                <w:ilvl w:val="0"/>
                <w:numId w:val="5"/>
              </w:numPr>
              <w:tabs>
                <w:tab w:val="left" w:pos="5130"/>
              </w:tabs>
              <w:adjustRightInd w:val="0"/>
              <w:snapToGrid w:val="0"/>
              <w:spacing w:line="312" w:lineRule="auto"/>
              <w:rPr>
                <w:rFonts w:ascii="宋体" w:hAnsi="宋体" w:cs="宋体"/>
                <w:color w:val="auto"/>
                <w:sz w:val="24"/>
                <w:highlight w:val="none"/>
              </w:rPr>
            </w:pPr>
            <w:r>
              <w:rPr>
                <w:rFonts w:hint="eastAsia" w:ascii="宋体" w:hAnsi="宋体" w:cs="宋体"/>
                <w:color w:val="auto"/>
                <w:sz w:val="24"/>
                <w:highlight w:val="none"/>
              </w:rPr>
              <w:t>关于监狱企业：视同小微企业。须提供由省级以上监狱管理局、戒毒管理局（含新疆生产建设兵团）出具的属于监狱企业的证明文件，否则不考虑价格扣除。</w:t>
            </w:r>
          </w:p>
          <w:p w14:paraId="2A51CDB2">
            <w:pPr>
              <w:numPr>
                <w:ilvl w:val="0"/>
                <w:numId w:val="6"/>
              </w:numPr>
              <w:tabs>
                <w:tab w:val="left" w:pos="5130"/>
              </w:tabs>
              <w:adjustRightInd w:val="0"/>
              <w:snapToGrid w:val="0"/>
              <w:spacing w:line="312" w:lineRule="auto"/>
              <w:rPr>
                <w:rFonts w:ascii="宋体" w:hAnsi="宋体" w:cs="宋体"/>
                <w:color w:val="auto"/>
                <w:sz w:val="24"/>
                <w:highlight w:val="none"/>
              </w:rPr>
            </w:pPr>
            <w:r>
              <w:rPr>
                <w:rFonts w:hint="eastAsia" w:ascii="宋体" w:hAnsi="宋体" w:cs="宋体"/>
                <w:color w:val="auto"/>
                <w:sz w:val="24"/>
                <w:highlight w:val="none"/>
              </w:rPr>
              <w:t>关于残疾人福利性单位：视同小微企业。须提供完整的“残疾人福利性单位声明函”，否则在价格评审时不予考虑价格扣除。残疾人福利性单位属于小型、微型企业的，不重复享受政策。</w:t>
            </w:r>
          </w:p>
          <w:p w14:paraId="3542ADBE">
            <w:pPr>
              <w:numPr>
                <w:ilvl w:val="0"/>
                <w:numId w:val="6"/>
              </w:numPr>
              <w:tabs>
                <w:tab w:val="left" w:pos="5130"/>
              </w:tabs>
              <w:adjustRightInd w:val="0"/>
              <w:snapToGrid w:val="0"/>
              <w:spacing w:line="312" w:lineRule="auto"/>
              <w:rPr>
                <w:rFonts w:ascii="宋体" w:hAnsi="宋体" w:cs="宋体"/>
                <w:color w:val="auto"/>
                <w:sz w:val="24"/>
                <w:highlight w:val="none"/>
              </w:rPr>
            </w:pPr>
            <w:r>
              <w:rPr>
                <w:rFonts w:hint="eastAsia" w:ascii="宋体" w:hAnsi="宋体" w:cs="宋体"/>
                <w:color w:val="auto"/>
                <w:sz w:val="24"/>
                <w:highlight w:val="none"/>
              </w:rPr>
              <w:t>没有提供有效证明材料的供应商将被视为不接受投标总价的扣除，用原投标总价参与评审。</w:t>
            </w:r>
          </w:p>
        </w:tc>
      </w:tr>
      <w:tr w14:paraId="6F035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2" w:type="dxa"/>
            <w:vMerge w:val="restart"/>
            <w:vAlign w:val="center"/>
          </w:tcPr>
          <w:p w14:paraId="40BC3B0D">
            <w:pPr>
              <w:tabs>
                <w:tab w:val="left" w:pos="5130"/>
              </w:tabs>
              <w:adjustRightInd w:val="0"/>
              <w:snapToGrid w:val="0"/>
              <w:spacing w:line="288" w:lineRule="auto"/>
              <w:jc w:val="center"/>
              <w:rPr>
                <w:rFonts w:ascii="宋体" w:hAnsi="宋体" w:cs="宋体"/>
                <w:color w:val="auto"/>
                <w:sz w:val="24"/>
                <w:highlight w:val="none"/>
              </w:rPr>
            </w:pPr>
            <w:r>
              <w:rPr>
                <w:rFonts w:hint="eastAsia" w:ascii="宋体" w:hAnsi="宋体" w:cs="宋体"/>
                <w:color w:val="auto"/>
                <w:sz w:val="24"/>
                <w:highlight w:val="none"/>
              </w:rPr>
              <w:t>技术部分（65分）</w:t>
            </w:r>
          </w:p>
        </w:tc>
        <w:tc>
          <w:tcPr>
            <w:tcW w:w="1363" w:type="dxa"/>
            <w:vAlign w:val="center"/>
          </w:tcPr>
          <w:p w14:paraId="2D64369F">
            <w:pPr>
              <w:spacing w:line="360" w:lineRule="exact"/>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lang w:val="en-US" w:eastAsia="zh-CN"/>
              </w:rPr>
              <w:t>服务方案</w:t>
            </w:r>
            <w:r>
              <w:rPr>
                <w:rFonts w:hint="eastAsia" w:asciiTheme="majorEastAsia" w:hAnsiTheme="majorEastAsia" w:eastAsiaTheme="majorEastAsia" w:cstheme="majorEastAsia"/>
                <w:color w:val="auto"/>
                <w:sz w:val="24"/>
                <w:highlight w:val="none"/>
              </w:rPr>
              <w:t>（</w:t>
            </w:r>
            <w:r>
              <w:rPr>
                <w:rFonts w:hint="eastAsia" w:asciiTheme="majorEastAsia" w:hAnsiTheme="majorEastAsia" w:eastAsiaTheme="majorEastAsia" w:cstheme="majorEastAsia"/>
                <w:color w:val="auto"/>
                <w:sz w:val="24"/>
                <w:highlight w:val="none"/>
                <w:lang w:val="en-US" w:eastAsia="zh-CN"/>
              </w:rPr>
              <w:t>15</w:t>
            </w:r>
            <w:r>
              <w:rPr>
                <w:rFonts w:hint="eastAsia" w:asciiTheme="majorEastAsia" w:hAnsiTheme="majorEastAsia" w:eastAsiaTheme="majorEastAsia" w:cstheme="majorEastAsia"/>
                <w:color w:val="auto"/>
                <w:sz w:val="24"/>
                <w:highlight w:val="none"/>
              </w:rPr>
              <w:t>分）</w:t>
            </w:r>
          </w:p>
        </w:tc>
        <w:tc>
          <w:tcPr>
            <w:tcW w:w="6245" w:type="dxa"/>
            <w:gridSpan w:val="2"/>
            <w:vAlign w:val="center"/>
          </w:tcPr>
          <w:p w14:paraId="101AEF52">
            <w:pPr>
              <w:spacing w:line="360" w:lineRule="exact"/>
              <w:rPr>
                <w:rFonts w:asciiTheme="majorEastAsia" w:hAnsiTheme="majorEastAsia" w:eastAsiaTheme="majorEastAsia" w:cstheme="majorEastAsia"/>
                <w:color w:val="auto"/>
                <w:sz w:val="24"/>
                <w:highlight w:val="none"/>
              </w:rPr>
            </w:pPr>
            <w:r>
              <w:rPr>
                <w:rFonts w:hint="eastAsia" w:ascii="宋体" w:hAnsi="宋体" w:eastAsia="宋体" w:cs="宋体"/>
                <w:bCs/>
                <w:color w:val="auto"/>
                <w:kern w:val="2"/>
                <w:sz w:val="24"/>
                <w:szCs w:val="20"/>
                <w:highlight w:val="none"/>
                <w:lang w:val="en-US" w:eastAsia="zh-CN" w:bidi="ar-SA"/>
              </w:rPr>
              <w:t>根据本项目实际情况编制整体实施服务方案，包括但不限于对本项目基本情况的理解、工作步骤、成果提交、总体思路构思，实施方案可行性，保障措施完善得</w:t>
            </w:r>
            <w:r>
              <w:rPr>
                <w:rFonts w:hint="eastAsia" w:ascii="宋体" w:hAnsi="宋体" w:cs="宋体"/>
                <w:bCs/>
                <w:color w:val="auto"/>
                <w:kern w:val="2"/>
                <w:sz w:val="24"/>
                <w:szCs w:val="20"/>
                <w:highlight w:val="none"/>
                <w:lang w:val="en-US" w:eastAsia="zh-CN" w:bidi="ar-SA"/>
              </w:rPr>
              <w:t>1</w:t>
            </w:r>
            <w:r>
              <w:rPr>
                <w:rFonts w:hint="eastAsia" w:ascii="宋体" w:hAnsi="宋体" w:eastAsia="宋体" w:cs="宋体"/>
                <w:bCs/>
                <w:color w:val="auto"/>
                <w:kern w:val="2"/>
                <w:sz w:val="24"/>
                <w:szCs w:val="20"/>
                <w:highlight w:val="none"/>
                <w:lang w:val="en-US" w:eastAsia="zh-CN" w:bidi="ar-SA"/>
              </w:rPr>
              <w:t>5分</w:t>
            </w:r>
            <w:r>
              <w:rPr>
                <w:rFonts w:hint="eastAsia" w:ascii="宋体" w:hAnsi="宋体" w:cs="宋体"/>
                <w:bCs/>
                <w:color w:val="auto"/>
                <w:kern w:val="2"/>
                <w:sz w:val="24"/>
                <w:szCs w:val="20"/>
                <w:highlight w:val="none"/>
                <w:lang w:val="en-US" w:eastAsia="zh-CN" w:bidi="ar-SA"/>
              </w:rPr>
              <w:t>；</w:t>
            </w:r>
            <w:r>
              <w:rPr>
                <w:rFonts w:hint="eastAsia" w:ascii="宋体" w:hAnsi="宋体" w:eastAsia="宋体" w:cs="Times New Roman"/>
                <w:color w:val="auto"/>
                <w:sz w:val="24"/>
                <w:szCs w:val="20"/>
                <w:highlight w:val="none"/>
                <w:lang w:eastAsia="zh-CN"/>
              </w:rPr>
              <w:t>以上所提供的方案中每有一处具有缺陷(缺陷是指凭空编造、只有简单描述无实质性内容，内容前后不一致、前后逻辑错误、涉及的规范及标准错误、地点区域错误、内容缺失、提供内容不符合本项目特点)的扣</w:t>
            </w:r>
            <w:r>
              <w:rPr>
                <w:rFonts w:hint="eastAsia" w:ascii="宋体" w:hAnsi="宋体" w:eastAsia="宋体" w:cs="Times New Roman"/>
                <w:color w:val="auto"/>
                <w:sz w:val="24"/>
                <w:szCs w:val="20"/>
                <w:highlight w:val="none"/>
                <w:lang w:val="en-US" w:eastAsia="zh-CN"/>
              </w:rPr>
              <w:t>2</w:t>
            </w:r>
            <w:r>
              <w:rPr>
                <w:rFonts w:hint="eastAsia" w:ascii="宋体" w:hAnsi="宋体" w:eastAsia="宋体" w:cs="Times New Roman"/>
                <w:color w:val="auto"/>
                <w:sz w:val="24"/>
                <w:szCs w:val="20"/>
                <w:highlight w:val="none"/>
                <w:lang w:eastAsia="zh-CN"/>
              </w:rPr>
              <w:t>分，扣完为止。</w:t>
            </w:r>
          </w:p>
        </w:tc>
      </w:tr>
      <w:tr w14:paraId="26B87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1182" w:type="dxa"/>
            <w:vMerge w:val="continue"/>
            <w:vAlign w:val="center"/>
          </w:tcPr>
          <w:p w14:paraId="3AF1E7E3">
            <w:pPr>
              <w:tabs>
                <w:tab w:val="left" w:pos="5130"/>
              </w:tabs>
              <w:adjustRightInd w:val="0"/>
              <w:snapToGrid w:val="0"/>
              <w:spacing w:line="288" w:lineRule="auto"/>
              <w:jc w:val="center"/>
              <w:rPr>
                <w:rFonts w:ascii="宋体" w:hAnsi="宋体" w:cs="宋体"/>
                <w:color w:val="auto"/>
                <w:sz w:val="24"/>
                <w:highlight w:val="none"/>
              </w:rPr>
            </w:pPr>
          </w:p>
        </w:tc>
        <w:tc>
          <w:tcPr>
            <w:tcW w:w="1363" w:type="dxa"/>
            <w:vAlign w:val="center"/>
          </w:tcPr>
          <w:p w14:paraId="52969803">
            <w:pPr>
              <w:spacing w:line="360" w:lineRule="exact"/>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总体设计思路（</w:t>
            </w:r>
            <w:r>
              <w:rPr>
                <w:rFonts w:hint="eastAsia" w:asciiTheme="majorEastAsia" w:hAnsiTheme="majorEastAsia" w:eastAsiaTheme="majorEastAsia" w:cstheme="majorEastAsia"/>
                <w:color w:val="auto"/>
                <w:sz w:val="24"/>
                <w:highlight w:val="none"/>
                <w:lang w:val="en-US" w:eastAsia="zh-CN"/>
              </w:rPr>
              <w:t>5</w:t>
            </w:r>
            <w:r>
              <w:rPr>
                <w:rFonts w:hint="eastAsia" w:asciiTheme="majorEastAsia" w:hAnsiTheme="majorEastAsia" w:eastAsiaTheme="majorEastAsia" w:cstheme="majorEastAsia"/>
                <w:color w:val="auto"/>
                <w:sz w:val="24"/>
                <w:highlight w:val="none"/>
              </w:rPr>
              <w:t>分）</w:t>
            </w:r>
          </w:p>
        </w:tc>
        <w:tc>
          <w:tcPr>
            <w:tcW w:w="6245" w:type="dxa"/>
            <w:gridSpan w:val="2"/>
            <w:vAlign w:val="center"/>
          </w:tcPr>
          <w:p w14:paraId="5AC308CB">
            <w:pPr>
              <w:spacing w:line="360" w:lineRule="exact"/>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提供总体设计思路清晰，提供针对本项目对项目场地现状周边配套及用地情况设计分析最高得</w:t>
            </w:r>
            <w:r>
              <w:rPr>
                <w:rFonts w:hint="eastAsia" w:asciiTheme="majorEastAsia" w:hAnsiTheme="majorEastAsia" w:eastAsiaTheme="majorEastAsia" w:cstheme="majorEastAsia"/>
                <w:color w:val="auto"/>
                <w:sz w:val="24"/>
                <w:highlight w:val="none"/>
                <w:lang w:val="en-US" w:eastAsia="zh-CN"/>
              </w:rPr>
              <w:t>5</w:t>
            </w:r>
            <w:r>
              <w:rPr>
                <w:rFonts w:hint="eastAsia" w:asciiTheme="majorEastAsia" w:hAnsiTheme="majorEastAsia" w:eastAsiaTheme="majorEastAsia" w:cstheme="majorEastAsia"/>
                <w:color w:val="auto"/>
                <w:sz w:val="24"/>
                <w:highlight w:val="none"/>
              </w:rPr>
              <w:t>分，缺项不得分。</w:t>
            </w:r>
          </w:p>
        </w:tc>
      </w:tr>
      <w:tr w14:paraId="25005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182" w:type="dxa"/>
            <w:vMerge w:val="continue"/>
            <w:vAlign w:val="center"/>
          </w:tcPr>
          <w:p w14:paraId="0FD0744C">
            <w:pPr>
              <w:tabs>
                <w:tab w:val="left" w:pos="5130"/>
              </w:tabs>
              <w:adjustRightInd w:val="0"/>
              <w:snapToGrid w:val="0"/>
              <w:spacing w:line="288" w:lineRule="auto"/>
              <w:jc w:val="center"/>
              <w:rPr>
                <w:rFonts w:ascii="宋体" w:hAnsi="宋体" w:cs="宋体"/>
                <w:color w:val="auto"/>
                <w:sz w:val="24"/>
                <w:highlight w:val="none"/>
              </w:rPr>
            </w:pPr>
          </w:p>
        </w:tc>
        <w:tc>
          <w:tcPr>
            <w:tcW w:w="1363" w:type="dxa"/>
            <w:shd w:val="clear" w:color="auto" w:fill="auto"/>
            <w:vAlign w:val="center"/>
          </w:tcPr>
          <w:p w14:paraId="6E9DD2F9">
            <w:pPr>
              <w:spacing w:line="360" w:lineRule="exact"/>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技术方案（25分）</w:t>
            </w:r>
          </w:p>
        </w:tc>
        <w:tc>
          <w:tcPr>
            <w:tcW w:w="6245" w:type="dxa"/>
            <w:gridSpan w:val="2"/>
            <w:shd w:val="clear" w:color="auto" w:fill="auto"/>
            <w:vAlign w:val="center"/>
          </w:tcPr>
          <w:p w14:paraId="53F74B6B">
            <w:pPr>
              <w:spacing w:line="360" w:lineRule="exact"/>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提供项目设计技术方案，包括管网布置、管道定线、管材选择、施工方式等阐述详细，最高得25分，</w:t>
            </w:r>
            <w:r>
              <w:rPr>
                <w:rFonts w:hint="eastAsia" w:ascii="宋体" w:hAnsi="宋体" w:eastAsia="宋体" w:cs="Times New Roman"/>
                <w:color w:val="auto"/>
                <w:sz w:val="24"/>
                <w:szCs w:val="20"/>
                <w:highlight w:val="none"/>
                <w:lang w:eastAsia="zh-CN"/>
              </w:rPr>
              <w:t>以上所提供的方案中每有一处具有缺陷(缺陷是指凭空编造、只有简单描述无实质性内容，内容前后不一致、前后逻辑错误、涉及的规范及标准错误、地点区域错误、内容缺失、提供内容不符合本项目特点)的扣</w:t>
            </w:r>
            <w:r>
              <w:rPr>
                <w:rFonts w:hint="eastAsia" w:ascii="宋体" w:hAnsi="宋体" w:cs="Times New Roman"/>
                <w:color w:val="auto"/>
                <w:sz w:val="24"/>
                <w:szCs w:val="20"/>
                <w:highlight w:val="none"/>
                <w:lang w:val="en-US" w:eastAsia="zh-CN"/>
              </w:rPr>
              <w:t>2</w:t>
            </w:r>
            <w:r>
              <w:rPr>
                <w:rFonts w:hint="eastAsia" w:ascii="宋体" w:hAnsi="宋体" w:eastAsia="宋体" w:cs="Times New Roman"/>
                <w:color w:val="auto"/>
                <w:sz w:val="24"/>
                <w:szCs w:val="20"/>
                <w:highlight w:val="none"/>
                <w:lang w:eastAsia="zh-CN"/>
              </w:rPr>
              <w:t>分，扣完为止。</w:t>
            </w:r>
          </w:p>
        </w:tc>
      </w:tr>
      <w:tr w14:paraId="6B27F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182" w:type="dxa"/>
            <w:vMerge w:val="continue"/>
            <w:vAlign w:val="center"/>
          </w:tcPr>
          <w:p w14:paraId="3496B1E1">
            <w:pPr>
              <w:tabs>
                <w:tab w:val="left" w:pos="5130"/>
              </w:tabs>
              <w:adjustRightInd w:val="0"/>
              <w:snapToGrid w:val="0"/>
              <w:spacing w:line="288" w:lineRule="auto"/>
              <w:jc w:val="center"/>
              <w:rPr>
                <w:rFonts w:ascii="宋体" w:hAnsi="宋体" w:cs="宋体"/>
                <w:color w:val="auto"/>
                <w:sz w:val="24"/>
                <w:highlight w:val="none"/>
              </w:rPr>
            </w:pPr>
          </w:p>
        </w:tc>
        <w:tc>
          <w:tcPr>
            <w:tcW w:w="1363" w:type="dxa"/>
            <w:vAlign w:val="center"/>
          </w:tcPr>
          <w:p w14:paraId="06B6D350">
            <w:pPr>
              <w:spacing w:line="360" w:lineRule="exact"/>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设计组织机构和岗位职责（5分）</w:t>
            </w:r>
          </w:p>
        </w:tc>
        <w:tc>
          <w:tcPr>
            <w:tcW w:w="6245" w:type="dxa"/>
            <w:gridSpan w:val="2"/>
          </w:tcPr>
          <w:p w14:paraId="6E0B694E">
            <w:pPr>
              <w:spacing w:line="360" w:lineRule="exact"/>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设计机构，人员岗位职责，保证设计流程规范完成的得5分，缺项不得分。</w:t>
            </w:r>
          </w:p>
        </w:tc>
      </w:tr>
      <w:tr w14:paraId="43C35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182" w:type="dxa"/>
            <w:vMerge w:val="continue"/>
            <w:vAlign w:val="center"/>
          </w:tcPr>
          <w:p w14:paraId="43CE5C16">
            <w:pPr>
              <w:tabs>
                <w:tab w:val="left" w:pos="5130"/>
              </w:tabs>
              <w:adjustRightInd w:val="0"/>
              <w:snapToGrid w:val="0"/>
              <w:spacing w:line="288" w:lineRule="auto"/>
              <w:jc w:val="center"/>
              <w:rPr>
                <w:rFonts w:ascii="宋体" w:hAnsi="宋体" w:cs="宋体"/>
                <w:color w:val="auto"/>
                <w:sz w:val="24"/>
                <w:highlight w:val="none"/>
              </w:rPr>
            </w:pPr>
          </w:p>
        </w:tc>
        <w:tc>
          <w:tcPr>
            <w:tcW w:w="1363" w:type="dxa"/>
            <w:vAlign w:val="center"/>
          </w:tcPr>
          <w:p w14:paraId="7376007B">
            <w:pPr>
              <w:spacing w:line="360" w:lineRule="exact"/>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设计成果质量保证措施（5分）</w:t>
            </w:r>
          </w:p>
        </w:tc>
        <w:tc>
          <w:tcPr>
            <w:tcW w:w="6245" w:type="dxa"/>
            <w:gridSpan w:val="2"/>
            <w:vAlign w:val="center"/>
          </w:tcPr>
          <w:p w14:paraId="23F87B8C">
            <w:pPr>
              <w:spacing w:line="360" w:lineRule="exact"/>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提供针对本项目设计成果质量保证措施的得5分，缺项不得分。</w:t>
            </w:r>
          </w:p>
        </w:tc>
      </w:tr>
      <w:tr w14:paraId="455BB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2" w:type="dxa"/>
            <w:vMerge w:val="continue"/>
            <w:vAlign w:val="center"/>
          </w:tcPr>
          <w:p w14:paraId="6B84770E">
            <w:pPr>
              <w:tabs>
                <w:tab w:val="left" w:pos="5130"/>
              </w:tabs>
              <w:adjustRightInd w:val="0"/>
              <w:snapToGrid w:val="0"/>
              <w:spacing w:line="288" w:lineRule="auto"/>
              <w:jc w:val="center"/>
              <w:rPr>
                <w:rFonts w:ascii="宋体" w:hAnsi="宋体" w:cs="宋体"/>
                <w:color w:val="auto"/>
                <w:sz w:val="24"/>
                <w:highlight w:val="none"/>
              </w:rPr>
            </w:pPr>
          </w:p>
        </w:tc>
        <w:tc>
          <w:tcPr>
            <w:tcW w:w="1363" w:type="dxa"/>
            <w:vAlign w:val="center"/>
          </w:tcPr>
          <w:p w14:paraId="32C92544">
            <w:pPr>
              <w:spacing w:line="360" w:lineRule="exact"/>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设计进度计划及保证措施（5分）</w:t>
            </w:r>
          </w:p>
        </w:tc>
        <w:tc>
          <w:tcPr>
            <w:tcW w:w="6245" w:type="dxa"/>
            <w:gridSpan w:val="2"/>
          </w:tcPr>
          <w:p w14:paraId="3DCECA59">
            <w:pPr>
              <w:spacing w:line="360" w:lineRule="exact"/>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提供针对本项目设计进度计划及保证措施的得5分，缺项不得分。</w:t>
            </w:r>
          </w:p>
        </w:tc>
      </w:tr>
      <w:tr w14:paraId="57E4C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182" w:type="dxa"/>
            <w:vMerge w:val="continue"/>
            <w:vAlign w:val="center"/>
          </w:tcPr>
          <w:p w14:paraId="7ADAB289">
            <w:pPr>
              <w:tabs>
                <w:tab w:val="left" w:pos="5130"/>
              </w:tabs>
              <w:adjustRightInd w:val="0"/>
              <w:snapToGrid w:val="0"/>
              <w:spacing w:line="288" w:lineRule="auto"/>
              <w:jc w:val="center"/>
              <w:rPr>
                <w:rFonts w:ascii="宋体" w:hAnsi="宋体" w:cs="宋体"/>
                <w:color w:val="auto"/>
                <w:sz w:val="24"/>
                <w:highlight w:val="none"/>
              </w:rPr>
            </w:pPr>
          </w:p>
        </w:tc>
        <w:tc>
          <w:tcPr>
            <w:tcW w:w="1363" w:type="dxa"/>
            <w:vAlign w:val="center"/>
          </w:tcPr>
          <w:p w14:paraId="17579AEB">
            <w:pPr>
              <w:spacing w:line="360" w:lineRule="exact"/>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设计阶段成本控制措施（5分）</w:t>
            </w:r>
          </w:p>
        </w:tc>
        <w:tc>
          <w:tcPr>
            <w:tcW w:w="6245" w:type="dxa"/>
            <w:gridSpan w:val="2"/>
            <w:vAlign w:val="center"/>
          </w:tcPr>
          <w:p w14:paraId="4285AA22">
            <w:pPr>
              <w:spacing w:line="360" w:lineRule="exact"/>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提供针对本项目设计阶段成本控制措施的得5分，缺项不得分。</w:t>
            </w:r>
          </w:p>
        </w:tc>
      </w:tr>
      <w:tr w14:paraId="6DB7E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182" w:type="dxa"/>
            <w:vMerge w:val="restart"/>
            <w:vAlign w:val="center"/>
          </w:tcPr>
          <w:p w14:paraId="65A20EA1">
            <w:pPr>
              <w:tabs>
                <w:tab w:val="left" w:pos="5130"/>
              </w:tabs>
              <w:adjustRightInd w:val="0"/>
              <w:snapToGrid w:val="0"/>
              <w:spacing w:line="288" w:lineRule="auto"/>
              <w:jc w:val="center"/>
              <w:rPr>
                <w:rFonts w:ascii="宋体" w:hAnsi="宋体" w:cs="宋体"/>
                <w:color w:val="auto"/>
                <w:sz w:val="24"/>
                <w:highlight w:val="none"/>
              </w:rPr>
            </w:pPr>
            <w:r>
              <w:rPr>
                <w:rFonts w:hint="eastAsia" w:ascii="宋体" w:hAnsi="宋体" w:cs="宋体"/>
                <w:color w:val="auto"/>
                <w:sz w:val="24"/>
                <w:highlight w:val="none"/>
              </w:rPr>
              <w:t>商务部分</w:t>
            </w:r>
          </w:p>
          <w:p w14:paraId="38882F17">
            <w:pPr>
              <w:tabs>
                <w:tab w:val="left" w:pos="5130"/>
              </w:tabs>
              <w:adjustRightInd w:val="0"/>
              <w:snapToGrid w:val="0"/>
              <w:spacing w:line="288" w:lineRule="auto"/>
              <w:jc w:val="center"/>
              <w:rPr>
                <w:rFonts w:ascii="宋体" w:hAnsi="宋体" w:cs="宋体"/>
                <w:color w:val="auto"/>
                <w:sz w:val="24"/>
                <w:highlight w:val="none"/>
              </w:rPr>
            </w:pPr>
            <w:r>
              <w:rPr>
                <w:rFonts w:hint="eastAsia" w:ascii="宋体" w:hAnsi="宋体" w:cs="宋体"/>
                <w:color w:val="auto"/>
                <w:sz w:val="24"/>
                <w:highlight w:val="none"/>
              </w:rPr>
              <w:t>（25分）</w:t>
            </w:r>
          </w:p>
        </w:tc>
        <w:tc>
          <w:tcPr>
            <w:tcW w:w="1363" w:type="dxa"/>
            <w:vAlign w:val="center"/>
          </w:tcPr>
          <w:p w14:paraId="092F8A14">
            <w:pPr>
              <w:spacing w:line="360" w:lineRule="exact"/>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企业业绩（4分）</w:t>
            </w:r>
          </w:p>
        </w:tc>
        <w:tc>
          <w:tcPr>
            <w:tcW w:w="6245" w:type="dxa"/>
            <w:gridSpan w:val="2"/>
            <w:vAlign w:val="center"/>
          </w:tcPr>
          <w:p w14:paraId="1682CEE0">
            <w:pPr>
              <w:spacing w:line="360" w:lineRule="exact"/>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投标人自 2022年1月1日以来承担过的类似项目设计业绩，每个得2分，最高得4分。（须提供设计合同、中标通知书，时间以合同签订日期为准</w:t>
            </w:r>
            <w:r>
              <w:rPr>
                <w:rFonts w:hint="eastAsia" w:asciiTheme="majorEastAsia" w:hAnsiTheme="majorEastAsia" w:eastAsiaTheme="majorEastAsia" w:cstheme="majorEastAsia"/>
                <w:color w:val="auto"/>
                <w:sz w:val="24"/>
                <w:highlight w:val="none"/>
                <w:lang w:eastAsia="zh-CN"/>
              </w:rPr>
              <w:t>。</w:t>
            </w:r>
            <w:r>
              <w:rPr>
                <w:rFonts w:hint="eastAsia" w:asciiTheme="majorEastAsia" w:hAnsiTheme="majorEastAsia" w:eastAsiaTheme="majorEastAsia" w:cstheme="majorEastAsia"/>
                <w:color w:val="auto"/>
                <w:sz w:val="24"/>
                <w:highlight w:val="none"/>
              </w:rPr>
              <w:t>）</w:t>
            </w:r>
          </w:p>
          <w:p w14:paraId="5BF577F3">
            <w:pPr>
              <w:spacing w:line="360" w:lineRule="exact"/>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注：合同</w:t>
            </w:r>
            <w:r>
              <w:rPr>
                <w:rFonts w:hint="eastAsia" w:asciiTheme="majorEastAsia" w:hAnsiTheme="majorEastAsia" w:eastAsiaTheme="majorEastAsia" w:cstheme="majorEastAsia"/>
                <w:color w:val="auto"/>
                <w:sz w:val="24"/>
                <w:highlight w:val="none"/>
                <w:lang w:eastAsia="zh-CN"/>
              </w:rPr>
              <w:t>必须提供与最终用户签订的合同首页、合同金额所在页、签字盖章页、合同签订日期页的</w:t>
            </w:r>
            <w:r>
              <w:rPr>
                <w:rFonts w:hint="eastAsia" w:asciiTheme="majorEastAsia" w:hAnsiTheme="majorEastAsia" w:eastAsiaTheme="majorEastAsia" w:cstheme="majorEastAsia"/>
                <w:color w:val="auto"/>
                <w:sz w:val="24"/>
                <w:highlight w:val="none"/>
                <w:lang w:val="en-US" w:eastAsia="zh-CN"/>
              </w:rPr>
              <w:t>扫描件</w:t>
            </w:r>
          </w:p>
        </w:tc>
      </w:tr>
      <w:tr w14:paraId="5DE0F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182" w:type="dxa"/>
            <w:vMerge w:val="continue"/>
            <w:vAlign w:val="center"/>
          </w:tcPr>
          <w:p w14:paraId="250EBE8C">
            <w:pPr>
              <w:tabs>
                <w:tab w:val="left" w:pos="5130"/>
              </w:tabs>
              <w:adjustRightInd w:val="0"/>
              <w:snapToGrid w:val="0"/>
              <w:spacing w:line="288" w:lineRule="auto"/>
              <w:jc w:val="center"/>
              <w:rPr>
                <w:rFonts w:ascii="宋体" w:hAnsi="宋体" w:cs="宋体"/>
                <w:color w:val="auto"/>
                <w:sz w:val="24"/>
                <w:highlight w:val="none"/>
              </w:rPr>
            </w:pPr>
          </w:p>
        </w:tc>
        <w:tc>
          <w:tcPr>
            <w:tcW w:w="1363" w:type="dxa"/>
            <w:vAlign w:val="center"/>
          </w:tcPr>
          <w:p w14:paraId="5AD495E3">
            <w:pPr>
              <w:spacing w:line="360" w:lineRule="exact"/>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体系认证（3分）</w:t>
            </w:r>
          </w:p>
        </w:tc>
        <w:tc>
          <w:tcPr>
            <w:tcW w:w="6245" w:type="dxa"/>
            <w:gridSpan w:val="2"/>
            <w:vAlign w:val="center"/>
          </w:tcPr>
          <w:p w14:paraId="20CF2BFD">
            <w:pPr>
              <w:spacing w:line="360" w:lineRule="exact"/>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投标人具有质量管理体系认证、环境管理体系认证、职业健康安全管理体系认证，每个得1分，本项最高得3分。</w:t>
            </w:r>
          </w:p>
        </w:tc>
      </w:tr>
      <w:tr w14:paraId="6A0A4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1182" w:type="dxa"/>
            <w:vMerge w:val="continue"/>
            <w:vAlign w:val="center"/>
          </w:tcPr>
          <w:p w14:paraId="6BAC4897">
            <w:pPr>
              <w:tabs>
                <w:tab w:val="left" w:pos="5130"/>
              </w:tabs>
              <w:adjustRightInd w:val="0"/>
              <w:snapToGrid w:val="0"/>
              <w:spacing w:line="288" w:lineRule="auto"/>
              <w:jc w:val="center"/>
              <w:rPr>
                <w:rFonts w:ascii="宋体" w:hAnsi="宋体" w:cs="宋体"/>
                <w:color w:val="auto"/>
                <w:sz w:val="24"/>
                <w:highlight w:val="none"/>
              </w:rPr>
            </w:pPr>
          </w:p>
        </w:tc>
        <w:tc>
          <w:tcPr>
            <w:tcW w:w="1363" w:type="dxa"/>
            <w:vAlign w:val="center"/>
          </w:tcPr>
          <w:p w14:paraId="7D1F452D">
            <w:pPr>
              <w:spacing w:line="360" w:lineRule="exact"/>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人员配备（13分）</w:t>
            </w:r>
          </w:p>
        </w:tc>
        <w:tc>
          <w:tcPr>
            <w:tcW w:w="6245" w:type="dxa"/>
            <w:gridSpan w:val="2"/>
            <w:vAlign w:val="center"/>
          </w:tcPr>
          <w:p w14:paraId="6C36DB6C">
            <w:pPr>
              <w:spacing w:line="360" w:lineRule="exact"/>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拟派项目负责人具有相关专业高级及以上技术职称和注册公用设备工程师（给水排水）注册证书得3分；</w:t>
            </w:r>
          </w:p>
          <w:p w14:paraId="1EB75EB7">
            <w:pPr>
              <w:spacing w:line="360" w:lineRule="exact"/>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除项目负责人外项目团队配备的人员中具有中级及以上技术职称或相应专业注册证书的每个得2分，本项最高得10分，不满足要求本项不得分。</w:t>
            </w:r>
          </w:p>
          <w:p w14:paraId="053B940E">
            <w:pPr>
              <w:spacing w:line="360" w:lineRule="exact"/>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注：投标文件中须附上述人员职称证书或执业资格证书扫描件</w:t>
            </w:r>
            <w:r>
              <w:rPr>
                <w:rFonts w:hint="eastAsia" w:asciiTheme="majorEastAsia" w:hAnsiTheme="majorEastAsia" w:eastAsiaTheme="majorEastAsia" w:cstheme="majorEastAsia"/>
                <w:color w:val="auto"/>
                <w:sz w:val="24"/>
                <w:highlight w:val="none"/>
                <w:lang w:val="en-US" w:eastAsia="zh-CN"/>
              </w:rPr>
              <w:t>为准</w:t>
            </w:r>
            <w:r>
              <w:rPr>
                <w:rFonts w:hint="eastAsia" w:asciiTheme="majorEastAsia" w:hAnsiTheme="majorEastAsia" w:eastAsiaTheme="majorEastAsia" w:cstheme="majorEastAsia"/>
                <w:color w:val="auto"/>
                <w:sz w:val="24"/>
                <w:highlight w:val="none"/>
              </w:rPr>
              <w:t>，须为投标单位正式员工并出具加盖单位公章的在职证明，同时提供自2025年6月1日以来任意连续3个月的社保</w:t>
            </w:r>
            <w:r>
              <w:rPr>
                <w:rFonts w:hint="eastAsia" w:asciiTheme="majorEastAsia" w:hAnsiTheme="majorEastAsia" w:eastAsiaTheme="majorEastAsia" w:cstheme="majorEastAsia"/>
                <w:color w:val="auto"/>
                <w:sz w:val="24"/>
                <w:highlight w:val="none"/>
                <w:lang w:eastAsia="zh-CN"/>
              </w:rPr>
              <w:t>，</w:t>
            </w:r>
            <w:r>
              <w:rPr>
                <w:rFonts w:hint="eastAsia" w:asciiTheme="majorEastAsia" w:hAnsiTheme="majorEastAsia" w:eastAsiaTheme="majorEastAsia" w:cstheme="majorEastAsia"/>
                <w:color w:val="auto"/>
                <w:sz w:val="24"/>
                <w:highlight w:val="none"/>
              </w:rPr>
              <w:t>否则不得分。</w:t>
            </w:r>
          </w:p>
        </w:tc>
      </w:tr>
      <w:tr w14:paraId="7245E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182" w:type="dxa"/>
            <w:vMerge w:val="continue"/>
            <w:vAlign w:val="center"/>
          </w:tcPr>
          <w:p w14:paraId="1B87CCE4">
            <w:pPr>
              <w:tabs>
                <w:tab w:val="left" w:pos="5130"/>
              </w:tabs>
              <w:adjustRightInd w:val="0"/>
              <w:snapToGrid w:val="0"/>
              <w:spacing w:line="312" w:lineRule="auto"/>
              <w:jc w:val="center"/>
              <w:rPr>
                <w:rFonts w:ascii="宋体" w:hAnsi="宋体" w:cs="宋体"/>
                <w:color w:val="auto"/>
                <w:sz w:val="24"/>
                <w:highlight w:val="none"/>
              </w:rPr>
            </w:pPr>
          </w:p>
        </w:tc>
        <w:tc>
          <w:tcPr>
            <w:tcW w:w="1363" w:type="dxa"/>
            <w:vAlign w:val="center"/>
          </w:tcPr>
          <w:p w14:paraId="42A3E69F">
            <w:pPr>
              <w:spacing w:line="360" w:lineRule="exact"/>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后续服务措施及承诺（5分）</w:t>
            </w:r>
          </w:p>
        </w:tc>
        <w:tc>
          <w:tcPr>
            <w:tcW w:w="6245" w:type="dxa"/>
            <w:gridSpan w:val="2"/>
            <w:vAlign w:val="center"/>
          </w:tcPr>
          <w:p w14:paraId="1B07931B">
            <w:pPr>
              <w:spacing w:line="360" w:lineRule="exact"/>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（1）时限和质量承诺：在服务期限内承诺须按招标人要求的时限和质量完成项目任务的；（2分）</w:t>
            </w:r>
          </w:p>
          <w:p w14:paraId="29464920">
            <w:pPr>
              <w:spacing w:line="360" w:lineRule="exact"/>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（2）服务计划；根据投标人编制的服务计划；（2分）</w:t>
            </w:r>
          </w:p>
          <w:p w14:paraId="2B6D79CB">
            <w:pPr>
              <w:spacing w:line="360" w:lineRule="exact"/>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（3）人员承诺：企业承诺，合同签订后，在合同执行过程中，在项目所在地派有常驻人员，可提供本地化服务的；（1分）</w:t>
            </w:r>
          </w:p>
        </w:tc>
      </w:tr>
    </w:tbl>
    <w:p w14:paraId="344DC512">
      <w:pPr>
        <w:pStyle w:val="26"/>
        <w:ind w:firstLine="480"/>
        <w:rPr>
          <w:rFonts w:ascii="宋体" w:hAnsi="宋体" w:eastAsia="宋体" w:cs="宋体"/>
          <w:color w:val="auto"/>
          <w:sz w:val="24"/>
          <w:highlight w:val="none"/>
        </w:rPr>
      </w:pPr>
    </w:p>
    <w:p w14:paraId="4C211E1F">
      <w:pPr>
        <w:spacing w:line="360" w:lineRule="exact"/>
        <w:ind w:firstLine="480" w:firstLineChars="200"/>
        <w:rPr>
          <w:rFonts w:asciiTheme="majorEastAsia" w:hAnsiTheme="majorEastAsia" w:eastAsiaTheme="majorEastAsia" w:cstheme="majorEastAsia"/>
          <w:color w:val="auto"/>
          <w:sz w:val="24"/>
          <w:highlight w:val="none"/>
        </w:rPr>
      </w:pPr>
    </w:p>
    <w:p w14:paraId="213AFCC5">
      <w:pPr>
        <w:spacing w:line="560" w:lineRule="exact"/>
        <w:rPr>
          <w:rFonts w:ascii="宋体" w:hAnsi="宋体" w:cs="宋体"/>
          <w:b/>
          <w:color w:val="auto"/>
          <w:sz w:val="24"/>
          <w:highlight w:val="none"/>
        </w:rPr>
      </w:pPr>
      <w:r>
        <w:rPr>
          <w:rFonts w:hint="eastAsia" w:ascii="宋体" w:hAnsi="宋体" w:cs="宋体"/>
          <w:b/>
          <w:color w:val="auto"/>
          <w:sz w:val="24"/>
          <w:highlight w:val="none"/>
        </w:rPr>
        <w:t xml:space="preserve"> 最终得分为磋商小组所有成员计分的算术平均值，计算保留小数点两位，小数点后第三位四舍五入。</w:t>
      </w:r>
    </w:p>
    <w:p w14:paraId="418000E7">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22.3磋商小组根据综合评分情况，按照评审得分由高到低顺序推荐成交候选供应商，并编写评审报告。综合得分相同的供应商，报价较低者优先；报价也相同的，由采购人自行确定。</w:t>
      </w:r>
    </w:p>
    <w:p w14:paraId="05405CE2">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22.4采购人应当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0E5B4B8C">
      <w:pPr>
        <w:spacing w:line="560" w:lineRule="exact"/>
        <w:ind w:firstLine="480" w:firstLineChars="200"/>
        <w:rPr>
          <w:rFonts w:ascii="宋体" w:hAnsi="宋体" w:cs="宋体"/>
          <w:b/>
          <w:color w:val="auto"/>
          <w:sz w:val="24"/>
          <w:highlight w:val="none"/>
        </w:rPr>
      </w:pPr>
      <w:r>
        <w:rPr>
          <w:rFonts w:hint="eastAsia" w:ascii="宋体" w:hAnsi="宋体" w:cs="宋体"/>
          <w:color w:val="auto"/>
          <w:sz w:val="24"/>
          <w:highlight w:val="none"/>
        </w:rPr>
        <w:t>22.5若供应商的报价高于项目预算，磋商小组有权根据采购人意见及其实际情况，拒绝该报价。</w:t>
      </w:r>
    </w:p>
    <w:p w14:paraId="01234F76">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22.6为保证成交结果的公正性，竞争性磋商期间直至授予供应商合同时，竞争性磋商小组成员不得与供应商私下交换意见。在竞争性磋商结束后，凡与竞争性磋商情况有接触的任何人不得将竞争性磋商情况扩散出竞争性磋商小组成员之外。</w:t>
      </w:r>
    </w:p>
    <w:p w14:paraId="12FA1EE3">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22.7在竞争性磋商期间，供应商不得向竞争性磋商小组成员询问其它供应商竞争性磋商情况，不得进行旨在影响成交结果的活动。</w:t>
      </w:r>
    </w:p>
    <w:p w14:paraId="34219144">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22.8在竞争性磋商期间，采购人将有专门人员与供应商进行联络。</w:t>
      </w:r>
    </w:p>
    <w:p w14:paraId="759EE67A">
      <w:pPr>
        <w:spacing w:line="5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23.竞争性磋商终止</w:t>
      </w:r>
    </w:p>
    <w:p w14:paraId="6A738F14">
      <w:pPr>
        <w:spacing w:line="560" w:lineRule="exact"/>
        <w:ind w:firstLine="480" w:firstLineChars="200"/>
        <w:rPr>
          <w:rFonts w:ascii="宋体" w:hAnsi="宋体" w:cs="宋体"/>
          <w:b/>
          <w:color w:val="auto"/>
          <w:sz w:val="24"/>
          <w:highlight w:val="none"/>
        </w:rPr>
      </w:pPr>
      <w:r>
        <w:rPr>
          <w:rFonts w:hint="eastAsia" w:ascii="宋体" w:hAnsi="宋体" w:cs="宋体"/>
          <w:bCs/>
          <w:color w:val="auto"/>
          <w:sz w:val="24"/>
          <w:highlight w:val="none"/>
        </w:rPr>
        <w:t>23.1出现下列情形之一时，采购人有权宣布竞争性磋商终止，并将理由通知所有供应商：</w:t>
      </w:r>
    </w:p>
    <w:p w14:paraId="14BE9AB7">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（1）因情况变化，不再符合竞争性磋商适用情形的；</w:t>
      </w:r>
    </w:p>
    <w:p w14:paraId="5D637C0F">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（2）出现影响采购公正的违法、违规行为的；</w:t>
      </w:r>
    </w:p>
    <w:p w14:paraId="7BFFE1FF">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（3）在采购过程中符合磋商文件要求的供应商不足3家的；</w:t>
      </w:r>
    </w:p>
    <w:p w14:paraId="2954702D">
      <w:pPr>
        <w:spacing w:line="560" w:lineRule="exact"/>
        <w:ind w:firstLine="480" w:firstLineChars="200"/>
        <w:rPr>
          <w:rFonts w:ascii="宋体" w:hAnsi="宋体" w:cs="宋体"/>
          <w:b/>
          <w:color w:val="auto"/>
          <w:sz w:val="24"/>
          <w:highlight w:val="none"/>
        </w:rPr>
      </w:pPr>
      <w:r>
        <w:rPr>
          <w:rFonts w:hint="eastAsia" w:ascii="宋体" w:hAnsi="宋体" w:cs="宋体"/>
          <w:color w:val="auto"/>
          <w:sz w:val="24"/>
          <w:highlight w:val="none"/>
        </w:rPr>
        <w:t>（4）在采购活动中因重大变故，采购任务取消的；</w:t>
      </w:r>
    </w:p>
    <w:p w14:paraId="2B6F4362">
      <w:pPr>
        <w:spacing w:line="720" w:lineRule="auto"/>
        <w:jc w:val="center"/>
        <w:rPr>
          <w:rFonts w:ascii="宋体" w:hAnsi="宋体" w:cs="宋体"/>
          <w:b/>
          <w:color w:val="auto"/>
          <w:sz w:val="24"/>
          <w:highlight w:val="none"/>
        </w:rPr>
      </w:pPr>
      <w:r>
        <w:rPr>
          <w:rFonts w:hint="eastAsia" w:ascii="宋体" w:hAnsi="宋体" w:cs="宋体"/>
          <w:b/>
          <w:color w:val="auto"/>
          <w:sz w:val="24"/>
          <w:highlight w:val="none"/>
        </w:rPr>
        <w:t>七、成交通知</w:t>
      </w:r>
    </w:p>
    <w:p w14:paraId="7A6E4E49">
      <w:pPr>
        <w:spacing w:line="5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24.成交通知</w:t>
      </w:r>
    </w:p>
    <w:p w14:paraId="3F6E2D03">
      <w:pPr>
        <w:pStyle w:val="36"/>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24.1采购人应当自收到评审报告之日起5个工作日内在评审报告推荐的中标或者成交候选人中按顺序确定中标或者成交供应商。</w:t>
      </w:r>
    </w:p>
    <w:p w14:paraId="6BAF365B">
      <w:pPr>
        <w:tabs>
          <w:tab w:val="left" w:pos="180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24.2在发出成交公告后请采购人、中标人登录周口市公共资源交易中心网（http://jyzx.zhoukou.gov.cn）自行下载</w:t>
      </w:r>
      <w:r>
        <w:rPr>
          <w:rFonts w:hint="eastAsia" w:cs="宋体"/>
          <w:color w:val="auto"/>
          <w:sz w:val="24"/>
          <w:highlight w:val="none"/>
        </w:rPr>
        <w:t>成交</w:t>
      </w:r>
      <w:r>
        <w:rPr>
          <w:rFonts w:hint="eastAsia" w:ascii="宋体" w:hAnsi="宋体" w:cs="宋体"/>
          <w:color w:val="auto"/>
          <w:sz w:val="24"/>
          <w:highlight w:val="none"/>
        </w:rPr>
        <w:t>通知书。</w:t>
      </w:r>
    </w:p>
    <w:p w14:paraId="7D136976">
      <w:pPr>
        <w:tabs>
          <w:tab w:val="left" w:pos="1800"/>
        </w:tabs>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24.3成交通知书对采购人和成交供应商具有同等法律效力。成交通知书发出后，采购人改变成交结果，或者成交供应商放弃成交，应当承担相应的法律责任。</w:t>
      </w:r>
    </w:p>
    <w:p w14:paraId="3F3180B2">
      <w:pPr>
        <w:spacing w:line="720" w:lineRule="auto"/>
        <w:jc w:val="center"/>
        <w:rPr>
          <w:rFonts w:ascii="宋体" w:hAnsi="宋体" w:cs="宋体"/>
          <w:color w:val="auto"/>
          <w:sz w:val="24"/>
          <w:highlight w:val="none"/>
        </w:rPr>
      </w:pPr>
      <w:r>
        <w:rPr>
          <w:rFonts w:hint="eastAsia" w:ascii="宋体" w:hAnsi="宋体" w:cs="宋体"/>
          <w:b/>
          <w:color w:val="auto"/>
          <w:sz w:val="24"/>
          <w:highlight w:val="none"/>
        </w:rPr>
        <w:t>八、合同授予</w:t>
      </w:r>
    </w:p>
    <w:p w14:paraId="655BE2A7">
      <w:pPr>
        <w:tabs>
          <w:tab w:val="left" w:pos="1620"/>
        </w:tabs>
        <w:spacing w:line="5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25.签订合同及合同的执行</w:t>
      </w:r>
    </w:p>
    <w:p w14:paraId="5946C943">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25.1采购人、成交供应商按照竞争性磋商文件确定的合同文本签订政府采购合同。签订合同后，成交供应商不得将本项目及其他相关服务进行转包，并附不转包承诺。</w:t>
      </w:r>
    </w:p>
    <w:p w14:paraId="7102CF46">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25.2采购人不得向成交供应商提出超过竞争性磋商文件以外的任何要求作为签订合同的条件，不得与成交供应商订立背离竞争性磋商文件确定的合同文本协议。</w:t>
      </w:r>
    </w:p>
    <w:p w14:paraId="4CB36BA0">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25.3竞争性磋商文件、竞争性磋商文件的修改文件、成交供应商的响应性文件、补充或修改的文件及澄清或承诺文件等，均为双方签订合同的组成部分，并与合同一并作为本竞争性磋商文件所列项目的互补性法律文件，与合同具有同等法律效力。</w:t>
      </w:r>
    </w:p>
    <w:p w14:paraId="11A3E3A5">
      <w:pPr>
        <w:spacing w:line="720" w:lineRule="auto"/>
        <w:jc w:val="center"/>
        <w:rPr>
          <w:rFonts w:ascii="宋体" w:hAnsi="宋体" w:cs="宋体"/>
          <w:b/>
          <w:color w:val="auto"/>
          <w:sz w:val="24"/>
          <w:highlight w:val="none"/>
        </w:rPr>
      </w:pPr>
      <w:r>
        <w:rPr>
          <w:rFonts w:hint="eastAsia" w:ascii="宋体" w:hAnsi="宋体" w:cs="宋体"/>
          <w:b/>
          <w:color w:val="auto"/>
          <w:sz w:val="24"/>
          <w:highlight w:val="none"/>
        </w:rPr>
        <w:t>九、质疑处理</w:t>
      </w:r>
    </w:p>
    <w:p w14:paraId="63CD40A2">
      <w:pPr>
        <w:pStyle w:val="3"/>
        <w:spacing w:line="560" w:lineRule="exact"/>
        <w:ind w:firstLine="482" w:firstLineChars="200"/>
        <w:jc w:val="both"/>
        <w:rPr>
          <w:rFonts w:ascii="宋体" w:hAnsi="宋体" w:cs="宋体"/>
          <w:b/>
          <w:color w:val="auto"/>
          <w:sz w:val="24"/>
          <w:highlight w:val="none"/>
        </w:rPr>
      </w:pPr>
      <w:r>
        <w:rPr>
          <w:rFonts w:hint="eastAsia" w:ascii="宋体" w:hAnsi="宋体" w:cs="宋体"/>
          <w:b/>
          <w:color w:val="auto"/>
          <w:sz w:val="24"/>
          <w:highlight w:val="none"/>
        </w:rPr>
        <w:t>26.质疑程序及处理</w:t>
      </w:r>
    </w:p>
    <w:p w14:paraId="1C60A55B">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26.1</w:t>
      </w:r>
      <w:r>
        <w:rPr>
          <w:rFonts w:hint="eastAsia" w:ascii="宋体" w:hAnsi="宋体" w:cs="宋体"/>
          <w:bCs/>
          <w:color w:val="auto"/>
          <w:sz w:val="24"/>
          <w:highlight w:val="none"/>
        </w:rPr>
        <w:t>投标人认为采购过程、成交结果使自己的合法权益受到损害的，可以在知道或应当知道自己的权益受到损害之日起7个工作日内，由投标人授权代表（或法人代表）按照相关规定，向采购人提出质疑，逾期不予受理。如果对竞争性磋商文件没有异议，需在响应性文件中出具对竞争性磋商文件无异议承诺书，无此承诺将被视为无效。</w:t>
      </w:r>
    </w:p>
    <w:p w14:paraId="7F98D36F">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26.2采购人在收到供应商的书面质疑后七个工作日内做出答复，并以书面形式通知质疑供应商和其他供应商，但答复内容不得涉及商业秘密。</w:t>
      </w:r>
    </w:p>
    <w:p w14:paraId="423688FF">
      <w:pPr>
        <w:spacing w:line="560" w:lineRule="exact"/>
        <w:ind w:firstLine="480" w:firstLineChars="200"/>
        <w:rPr>
          <w:rFonts w:ascii="宋体" w:hAnsi="宋体" w:cs="宋体"/>
          <w:bCs/>
          <w:color w:val="auto"/>
          <w:sz w:val="24"/>
          <w:highlight w:val="none"/>
        </w:rPr>
      </w:pPr>
      <w:r>
        <w:rPr>
          <w:rFonts w:hint="eastAsia" w:ascii="宋体" w:hAnsi="宋体" w:cs="宋体"/>
          <w:color w:val="auto"/>
          <w:sz w:val="24"/>
          <w:highlight w:val="none"/>
        </w:rPr>
        <w:t>26.3</w:t>
      </w:r>
      <w:r>
        <w:rPr>
          <w:rFonts w:hint="eastAsia" w:ascii="宋体" w:hAnsi="宋体" w:cs="宋体"/>
          <w:bCs/>
          <w:color w:val="auto"/>
          <w:sz w:val="24"/>
          <w:highlight w:val="none"/>
        </w:rPr>
        <w:t>质疑供应商行使质疑权时，必须遵守“实事求是”和“谨慎性”原则，承担使用虚假材料或恶意方式质疑的法律责任，</w:t>
      </w:r>
      <w:r>
        <w:rPr>
          <w:rFonts w:hint="eastAsia" w:ascii="宋体" w:hAnsi="宋体" w:cs="宋体"/>
          <w:color w:val="auto"/>
          <w:sz w:val="24"/>
          <w:highlight w:val="none"/>
        </w:rPr>
        <w:t>采购人</w:t>
      </w:r>
      <w:r>
        <w:rPr>
          <w:rFonts w:hint="eastAsia" w:ascii="宋体" w:hAnsi="宋体" w:cs="宋体"/>
          <w:bCs/>
          <w:color w:val="auto"/>
          <w:sz w:val="24"/>
          <w:highlight w:val="none"/>
        </w:rPr>
        <w:t>将遵循“谁过错谁负担”的原则，由过错方提交相关的调查论证费用。</w:t>
      </w:r>
    </w:p>
    <w:p w14:paraId="4A19A4DB">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26.4质疑必须由供应商的法定代表人或委托代理人（响应性文件中所确定的，如递交质疑者不是响应性文件中确定的委托代理人，须由供应商另行出具授权）以送达的方式提交，未按上述要求提交的质疑函采购人有权不予受理。</w:t>
      </w:r>
    </w:p>
    <w:p w14:paraId="0D4EAE32">
      <w:pPr>
        <w:spacing w:line="560" w:lineRule="exact"/>
        <w:rPr>
          <w:rFonts w:ascii="宋体" w:hAnsi="宋体" w:cs="宋体"/>
          <w:color w:val="auto"/>
          <w:sz w:val="24"/>
          <w:highlight w:val="none"/>
        </w:rPr>
        <w:sectPr>
          <w:headerReference r:id="rId3" w:type="default"/>
          <w:footerReference r:id="rId4" w:type="default"/>
          <w:pgSz w:w="11907" w:h="16840"/>
          <w:pgMar w:top="2098" w:right="1474" w:bottom="1985" w:left="1588" w:header="851" w:footer="992" w:gutter="0"/>
          <w:cols w:space="720" w:num="1"/>
          <w:docGrid w:type="lines" w:linePitch="312" w:charSpace="0"/>
        </w:sectPr>
      </w:pPr>
    </w:p>
    <w:p w14:paraId="4885FE35">
      <w:pPr>
        <w:jc w:val="center"/>
        <w:rPr>
          <w:rFonts w:ascii="宋体" w:hAnsi="宋体" w:cs="宋体"/>
          <w:b/>
          <w:color w:val="auto"/>
          <w:sz w:val="24"/>
          <w:highlight w:val="none"/>
        </w:rPr>
      </w:pPr>
      <w:r>
        <w:rPr>
          <w:rFonts w:hint="eastAsia" w:ascii="宋体" w:hAnsi="宋体" w:cs="宋体"/>
          <w:b/>
          <w:color w:val="auto"/>
          <w:sz w:val="24"/>
          <w:highlight w:val="none"/>
        </w:rPr>
        <w:t>第三章 采购项目内容及要求</w:t>
      </w:r>
    </w:p>
    <w:p w14:paraId="3910BA79">
      <w:pPr>
        <w:adjustRightInd w:val="0"/>
        <w:snapToGrid w:val="0"/>
        <w:spacing w:line="360" w:lineRule="auto"/>
        <w:ind w:firstLine="480" w:firstLineChars="200"/>
        <w:rPr>
          <w:rStyle w:val="67"/>
          <w:rFonts w:ascii="宋体" w:hAnsi="宋体" w:cs="宋体"/>
          <w:color w:val="auto"/>
          <w:sz w:val="24"/>
          <w:highlight w:val="none"/>
          <w:lang w:val="zh-CN"/>
        </w:rPr>
      </w:pPr>
      <w:r>
        <w:rPr>
          <w:rStyle w:val="67"/>
          <w:rFonts w:hint="eastAsia" w:ascii="宋体" w:hAnsi="宋体" w:cs="宋体"/>
          <w:color w:val="auto"/>
          <w:sz w:val="24"/>
          <w:highlight w:val="none"/>
        </w:rPr>
        <w:t>1、</w:t>
      </w:r>
      <w:r>
        <w:rPr>
          <w:rStyle w:val="67"/>
          <w:rFonts w:hint="eastAsia" w:ascii="宋体" w:hAnsi="宋体" w:cs="宋体"/>
          <w:color w:val="auto"/>
          <w:sz w:val="24"/>
          <w:highlight w:val="none"/>
          <w:lang w:val="zh-CN"/>
        </w:rPr>
        <w:t>项目建设规模和主要建设内容：</w:t>
      </w:r>
    </w:p>
    <w:p w14:paraId="75040453">
      <w:pPr>
        <w:adjustRightInd w:val="0"/>
        <w:snapToGrid w:val="0"/>
        <w:spacing w:line="360" w:lineRule="auto"/>
        <w:ind w:firstLine="480" w:firstLineChars="200"/>
        <w:rPr>
          <w:rStyle w:val="67"/>
          <w:rFonts w:ascii="宋体" w:hAnsi="宋体" w:cs="宋体"/>
          <w:color w:val="auto"/>
          <w:sz w:val="24"/>
          <w:highlight w:val="none"/>
          <w:lang w:val="zh-CN"/>
        </w:rPr>
      </w:pPr>
      <w:r>
        <w:rPr>
          <w:rStyle w:val="67"/>
          <w:rFonts w:hint="eastAsia" w:ascii="宋体" w:hAnsi="宋体" w:cs="宋体"/>
          <w:color w:val="auto"/>
          <w:sz w:val="24"/>
          <w:highlight w:val="none"/>
          <w:lang w:val="zh-CN"/>
        </w:rPr>
        <w:t>对洼冲沟排水分区内混错接合流制及老旧排水管网及其附属设施进行综合改造建设。其中，改造中州大道(兴业路-建设大道)、高庄街(新民路 - 复兴街)、阳光路(兴业路 - 建设大道)合流管，新建 DN600-DN2000Ⅱ级钢筋混凝土排水管道1863米；对文昌大道 (中原路-洼冲沟)、中原路(庆丰中路-文昌大道)、兴业路(阳 光路-健康路)、健康路(兴业路-永宁路)、永宁路(健康路-复  兴街)、复兴街(永宁路-太清路)等易涝风险区的老旧雨水主 干管网进行提标改造，废除原路段管道，新建长度725米 2400×2000钢筋混凝土雨水方涵、 DN1200-DN1800Ⅱ级钢筋混凝土雨水管2180米，在洼冲沟一支渠太清路交叉口，文昌大道洼  冲沟交叉口各新建一座一体化泵闸，规格5立方米/秒，并进行 检查井收水口等附属设施建设；对川汇路(中州大道-大庆路)、 阳光路(兴业路-太清路)等24条路进行混错接改造、管道修  复，修复255处混错接、管网维修点70处、整段改造雨污管道 6661米、整段修复管道3200米；合并入河改造川汇大道、建设大道入河口道路两侧4处管道，在洼冲沟沿线太清路、大庆路、川汇路、建设路、中原路、周口大道、政通路、人和路、腾飞路等管道入河口设置手自一体闸门20座；配套建设133座检查 井、240个偏沟式双箅雨水口等附属设施。</w:t>
      </w:r>
    </w:p>
    <w:p w14:paraId="583D577F">
      <w:pPr>
        <w:adjustRightInd w:val="0"/>
        <w:snapToGrid w:val="0"/>
        <w:spacing w:line="360" w:lineRule="auto"/>
        <w:ind w:firstLine="480" w:firstLineChars="200"/>
        <w:rPr>
          <w:rStyle w:val="67"/>
          <w:rFonts w:ascii="宋体" w:hAnsi="宋体" w:cs="宋体"/>
          <w:color w:val="auto"/>
          <w:sz w:val="24"/>
          <w:highlight w:val="none"/>
          <w:lang w:val="zh-CN"/>
        </w:rPr>
      </w:pPr>
      <w:r>
        <w:rPr>
          <w:rStyle w:val="67"/>
          <w:rFonts w:hint="eastAsia" w:ascii="宋体" w:hAnsi="宋体" w:cs="宋体"/>
          <w:color w:val="auto"/>
          <w:sz w:val="24"/>
          <w:highlight w:val="none"/>
          <w:lang w:val="zh-CN"/>
        </w:rPr>
        <w:t>2、</w:t>
      </w:r>
      <w:r>
        <w:rPr>
          <w:rStyle w:val="67"/>
          <w:rFonts w:hint="eastAsia" w:ascii="宋体" w:hAnsi="宋体" w:cs="宋体"/>
          <w:color w:val="auto"/>
          <w:sz w:val="24"/>
          <w:highlight w:val="none"/>
        </w:rPr>
        <w:t>采购</w:t>
      </w:r>
      <w:r>
        <w:rPr>
          <w:rStyle w:val="67"/>
          <w:rFonts w:hint="eastAsia" w:ascii="宋体" w:hAnsi="宋体" w:cs="宋体"/>
          <w:color w:val="auto"/>
          <w:sz w:val="24"/>
          <w:highlight w:val="none"/>
          <w:lang w:val="zh-CN"/>
        </w:rPr>
        <w:t>内容及要求：</w:t>
      </w:r>
    </w:p>
    <w:p w14:paraId="63454475">
      <w:pPr>
        <w:adjustRightInd w:val="0"/>
        <w:snapToGrid w:val="0"/>
        <w:spacing w:line="360" w:lineRule="auto"/>
        <w:ind w:firstLine="480" w:firstLineChars="200"/>
        <w:rPr>
          <w:rStyle w:val="67"/>
          <w:rFonts w:ascii="宋体" w:hAnsi="宋体" w:cs="宋体"/>
          <w:color w:val="auto"/>
          <w:sz w:val="24"/>
          <w:highlight w:val="none"/>
          <w:lang w:val="zh-CN"/>
        </w:rPr>
      </w:pPr>
      <w:r>
        <w:rPr>
          <w:rStyle w:val="67"/>
          <w:rFonts w:hint="eastAsia" w:ascii="宋体" w:hAnsi="宋体" w:cs="宋体"/>
          <w:color w:val="auto"/>
          <w:sz w:val="24"/>
          <w:highlight w:val="none"/>
          <w:lang w:val="zh-CN"/>
        </w:rPr>
        <w:t>2.1</w:t>
      </w:r>
      <w:r>
        <w:rPr>
          <w:rStyle w:val="67"/>
          <w:rFonts w:hint="eastAsia" w:ascii="宋体" w:hAnsi="宋体" w:cs="宋体"/>
          <w:color w:val="auto"/>
          <w:sz w:val="24"/>
          <w:highlight w:val="none"/>
        </w:rPr>
        <w:t>采购内容</w:t>
      </w:r>
      <w:r>
        <w:rPr>
          <w:rStyle w:val="67"/>
          <w:rFonts w:hint="eastAsia" w:ascii="宋体" w:hAnsi="宋体" w:cs="宋体"/>
          <w:color w:val="auto"/>
          <w:sz w:val="24"/>
          <w:highlight w:val="none"/>
          <w:lang w:val="zh-CN"/>
        </w:rPr>
        <w:t>：洼冲沟排水分区混错接合流制及老旧排水管网综合改造工程施工图设计及后期现场服务。</w:t>
      </w:r>
    </w:p>
    <w:p w14:paraId="75884977">
      <w:pPr>
        <w:adjustRightInd w:val="0"/>
        <w:snapToGrid w:val="0"/>
        <w:spacing w:line="360" w:lineRule="auto"/>
        <w:ind w:firstLine="480" w:firstLineChars="200"/>
        <w:rPr>
          <w:rStyle w:val="67"/>
          <w:rFonts w:ascii="宋体" w:hAnsi="宋体" w:cs="宋体"/>
          <w:color w:val="auto"/>
          <w:sz w:val="24"/>
          <w:highlight w:val="none"/>
          <w:lang w:val="zh-CN"/>
        </w:rPr>
      </w:pPr>
      <w:r>
        <w:rPr>
          <w:rStyle w:val="67"/>
          <w:rFonts w:hint="eastAsia" w:ascii="宋体" w:hAnsi="宋体" w:cs="宋体"/>
          <w:color w:val="auto"/>
          <w:sz w:val="24"/>
          <w:highlight w:val="none"/>
          <w:lang w:val="zh-CN"/>
        </w:rPr>
        <w:t>2.2</w:t>
      </w:r>
      <w:r>
        <w:rPr>
          <w:rStyle w:val="67"/>
          <w:rFonts w:hint="eastAsia" w:ascii="宋体" w:hAnsi="宋体" w:cs="宋体"/>
          <w:color w:val="auto"/>
          <w:sz w:val="24"/>
          <w:highlight w:val="none"/>
        </w:rPr>
        <w:t>服务</w:t>
      </w:r>
      <w:r>
        <w:rPr>
          <w:rStyle w:val="67"/>
          <w:rFonts w:hint="eastAsia" w:ascii="宋体" w:hAnsi="宋体" w:cs="宋体"/>
          <w:color w:val="auto"/>
          <w:sz w:val="24"/>
          <w:highlight w:val="none"/>
          <w:lang w:val="zh-CN"/>
        </w:rPr>
        <w:t>地点：采购人指定地点。</w:t>
      </w:r>
    </w:p>
    <w:p w14:paraId="6B94A46E">
      <w:pPr>
        <w:adjustRightInd w:val="0"/>
        <w:snapToGrid w:val="0"/>
        <w:spacing w:line="360" w:lineRule="auto"/>
        <w:ind w:firstLine="480" w:firstLineChars="200"/>
        <w:rPr>
          <w:rStyle w:val="67"/>
          <w:rFonts w:ascii="宋体" w:hAnsi="宋体" w:cs="宋体"/>
          <w:color w:val="auto"/>
          <w:sz w:val="24"/>
          <w:highlight w:val="none"/>
        </w:rPr>
      </w:pPr>
      <w:r>
        <w:rPr>
          <w:rStyle w:val="67"/>
          <w:rFonts w:hint="eastAsia" w:ascii="宋体" w:hAnsi="宋体" w:cs="宋体"/>
          <w:color w:val="auto"/>
          <w:sz w:val="24"/>
          <w:highlight w:val="none"/>
          <w:lang w:val="zh-CN"/>
        </w:rPr>
        <w:t>2.3</w:t>
      </w:r>
      <w:r>
        <w:rPr>
          <w:rStyle w:val="67"/>
          <w:rFonts w:hint="eastAsia" w:ascii="宋体" w:hAnsi="宋体" w:cs="宋体"/>
          <w:color w:val="auto"/>
          <w:sz w:val="24"/>
          <w:highlight w:val="none"/>
        </w:rPr>
        <w:t>设计周期</w:t>
      </w:r>
      <w:r>
        <w:rPr>
          <w:rStyle w:val="67"/>
          <w:rFonts w:hint="eastAsia" w:ascii="宋体" w:hAnsi="宋体" w:cs="宋体"/>
          <w:color w:val="auto"/>
          <w:sz w:val="24"/>
          <w:highlight w:val="none"/>
          <w:lang w:val="zh-CN"/>
        </w:rPr>
        <w:t>：</w:t>
      </w:r>
      <w:r>
        <w:rPr>
          <w:rStyle w:val="67"/>
          <w:rFonts w:hint="eastAsia" w:ascii="宋体" w:hAnsi="宋体" w:cs="宋体"/>
          <w:color w:val="auto"/>
          <w:sz w:val="24"/>
          <w:highlight w:val="none"/>
          <w:lang w:eastAsia="zh-CN"/>
        </w:rPr>
        <w:t>合同签订后20日历天</w:t>
      </w:r>
      <w:r>
        <w:rPr>
          <w:rStyle w:val="67"/>
          <w:rFonts w:hint="eastAsia" w:ascii="宋体" w:hAnsi="宋体" w:cs="宋体"/>
          <w:color w:val="auto"/>
          <w:sz w:val="24"/>
          <w:highlight w:val="none"/>
          <w:lang w:val="zh-CN"/>
        </w:rPr>
        <w:t>；</w:t>
      </w:r>
    </w:p>
    <w:p w14:paraId="349411EB">
      <w:pPr>
        <w:adjustRightInd w:val="0"/>
        <w:snapToGrid w:val="0"/>
        <w:spacing w:line="360" w:lineRule="auto"/>
        <w:ind w:firstLine="480" w:firstLineChars="200"/>
        <w:rPr>
          <w:rStyle w:val="67"/>
          <w:rFonts w:ascii="宋体" w:hAnsi="宋体" w:cs="宋体"/>
          <w:color w:val="auto"/>
          <w:sz w:val="24"/>
          <w:highlight w:val="none"/>
        </w:rPr>
      </w:pPr>
      <w:r>
        <w:rPr>
          <w:rStyle w:val="67"/>
          <w:rFonts w:hint="eastAsia" w:ascii="宋体" w:hAnsi="宋体" w:cs="宋体"/>
          <w:color w:val="auto"/>
          <w:sz w:val="24"/>
          <w:highlight w:val="none"/>
          <w:lang w:val="zh-CN"/>
        </w:rPr>
        <w:t>2.4</w:t>
      </w:r>
      <w:r>
        <w:rPr>
          <w:rStyle w:val="67"/>
          <w:rFonts w:hint="eastAsia" w:ascii="宋体" w:hAnsi="宋体" w:cs="宋体"/>
          <w:color w:val="auto"/>
          <w:sz w:val="24"/>
          <w:highlight w:val="none"/>
        </w:rPr>
        <w:t xml:space="preserve"> 服务标准：合格；</w:t>
      </w:r>
    </w:p>
    <w:p w14:paraId="7E7CD2DE">
      <w:pPr>
        <w:adjustRightInd w:val="0"/>
        <w:snapToGrid w:val="0"/>
        <w:spacing w:line="360" w:lineRule="auto"/>
        <w:ind w:firstLine="480" w:firstLineChars="200"/>
        <w:rPr>
          <w:rStyle w:val="67"/>
          <w:rFonts w:ascii="宋体" w:hAnsi="宋体" w:cs="宋体"/>
          <w:color w:val="auto"/>
          <w:sz w:val="24"/>
          <w:highlight w:val="none"/>
        </w:rPr>
      </w:pPr>
      <w:r>
        <w:rPr>
          <w:rStyle w:val="67"/>
          <w:rFonts w:hint="eastAsia" w:ascii="宋体" w:hAnsi="宋体" w:cs="宋体"/>
          <w:color w:val="auto"/>
          <w:sz w:val="24"/>
          <w:highlight w:val="none"/>
        </w:rPr>
        <w:t>2.5 质量要求：符合国家及行业现行相关规定，达到合格标准；</w:t>
      </w:r>
    </w:p>
    <w:p w14:paraId="44AB8ABA">
      <w:pPr>
        <w:adjustRightInd w:val="0"/>
        <w:snapToGrid w:val="0"/>
        <w:spacing w:line="360" w:lineRule="auto"/>
        <w:ind w:firstLine="480" w:firstLineChars="200"/>
        <w:rPr>
          <w:rStyle w:val="67"/>
          <w:rFonts w:ascii="宋体" w:hAnsi="宋体" w:cs="宋体"/>
          <w:color w:val="auto"/>
          <w:sz w:val="24"/>
          <w:highlight w:val="none"/>
          <w:lang w:val="zh-CN"/>
        </w:rPr>
      </w:pPr>
      <w:r>
        <w:rPr>
          <w:rStyle w:val="67"/>
          <w:rFonts w:hint="eastAsia" w:ascii="宋体" w:hAnsi="宋体" w:cs="宋体"/>
          <w:color w:val="auto"/>
          <w:sz w:val="24"/>
          <w:highlight w:val="none"/>
        </w:rPr>
        <w:t xml:space="preserve">2.6 </w:t>
      </w:r>
      <w:r>
        <w:rPr>
          <w:rStyle w:val="67"/>
          <w:rFonts w:hint="eastAsia" w:ascii="宋体" w:hAnsi="宋体" w:cs="宋体"/>
          <w:color w:val="auto"/>
          <w:sz w:val="24"/>
          <w:highlight w:val="none"/>
          <w:lang w:val="zh-CN"/>
        </w:rPr>
        <w:t>验收：由最终用户组织验收。</w:t>
      </w:r>
    </w:p>
    <w:p w14:paraId="787EAB13">
      <w:pPr>
        <w:pStyle w:val="35"/>
        <w:ind w:firstLine="400"/>
        <w:rPr>
          <w:color w:val="auto"/>
          <w:highlight w:val="none"/>
        </w:rPr>
      </w:pPr>
    </w:p>
    <w:p w14:paraId="4DB37E74">
      <w:pPr>
        <w:pStyle w:val="36"/>
        <w:adjustRightInd w:val="0"/>
        <w:snapToGrid w:val="0"/>
        <w:spacing w:after="0" w:line="360" w:lineRule="auto"/>
        <w:ind w:firstLineChars="200"/>
        <w:rPr>
          <w:rStyle w:val="67"/>
          <w:color w:val="auto"/>
          <w:highlight w:val="none"/>
          <w:lang w:val="zh-CN"/>
        </w:rPr>
      </w:pPr>
    </w:p>
    <w:p w14:paraId="1678B4CB">
      <w:pPr>
        <w:pStyle w:val="36"/>
        <w:ind w:firstLine="240"/>
        <w:rPr>
          <w:rFonts w:ascii="宋体" w:hAnsi="宋体" w:cs="宋体"/>
          <w:color w:val="auto"/>
          <w:sz w:val="24"/>
          <w:highlight w:val="none"/>
        </w:rPr>
      </w:pPr>
    </w:p>
    <w:p w14:paraId="4719FBDD">
      <w:pPr>
        <w:pStyle w:val="36"/>
        <w:ind w:firstLine="240"/>
        <w:rPr>
          <w:rFonts w:ascii="宋体" w:hAnsi="宋体" w:cs="宋体"/>
          <w:color w:val="auto"/>
          <w:sz w:val="24"/>
          <w:highlight w:val="none"/>
        </w:rPr>
      </w:pPr>
    </w:p>
    <w:p w14:paraId="153D0A88">
      <w:pPr>
        <w:pStyle w:val="36"/>
        <w:ind w:firstLine="240"/>
        <w:rPr>
          <w:rFonts w:ascii="宋体" w:hAnsi="宋体" w:cs="宋体"/>
          <w:color w:val="auto"/>
          <w:sz w:val="24"/>
          <w:highlight w:val="none"/>
        </w:rPr>
      </w:pPr>
    </w:p>
    <w:p w14:paraId="1C55D73E">
      <w:pPr>
        <w:pStyle w:val="36"/>
        <w:ind w:firstLine="240"/>
        <w:rPr>
          <w:rFonts w:ascii="宋体" w:hAnsi="宋体" w:cs="宋体"/>
          <w:color w:val="auto"/>
          <w:sz w:val="24"/>
          <w:highlight w:val="none"/>
        </w:rPr>
      </w:pPr>
    </w:p>
    <w:p w14:paraId="31A45297">
      <w:pPr>
        <w:spacing w:line="480" w:lineRule="auto"/>
        <w:jc w:val="center"/>
        <w:rPr>
          <w:rFonts w:ascii="宋体" w:hAnsi="宋体" w:cs="宋体"/>
          <w:color w:val="auto"/>
          <w:sz w:val="24"/>
          <w:highlight w:val="none"/>
        </w:rPr>
      </w:pPr>
      <w:r>
        <w:rPr>
          <w:rFonts w:hint="eastAsia" w:ascii="宋体" w:hAnsi="宋体" w:cs="宋体"/>
          <w:b/>
          <w:bCs/>
          <w:color w:val="auto"/>
          <w:sz w:val="24"/>
          <w:highlight w:val="none"/>
        </w:rPr>
        <w:t>第四章  响应性文件内容及格式</w:t>
      </w:r>
    </w:p>
    <w:p w14:paraId="2B53F0EE">
      <w:pPr>
        <w:widowControl/>
        <w:spacing w:line="520" w:lineRule="exact"/>
        <w:ind w:firstLine="480" w:firstLineChars="200"/>
        <w:jc w:val="center"/>
        <w:rPr>
          <w:rFonts w:ascii="宋体" w:hAnsi="宋体" w:cs="宋体"/>
          <w:color w:val="auto"/>
          <w:sz w:val="24"/>
          <w:highlight w:val="none"/>
        </w:rPr>
      </w:pPr>
    </w:p>
    <w:p w14:paraId="6E8D81DB">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注：请供应商按照以下文件的要求格式、内容，顺序制作响应性文件，并编制目录和页码及总页码，否则可能将影响对响应性文件的评价。 </w:t>
      </w:r>
    </w:p>
    <w:p w14:paraId="3B2FF74C">
      <w:pPr>
        <w:spacing w:line="5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重要提示：</w:t>
      </w:r>
    </w:p>
    <w:p w14:paraId="22D6E1B9">
      <w:pPr>
        <w:snapToGrid w:val="0"/>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1．供应商在编制响应性文件时，对于给定格式的文件内容，必须按照给定的标准格式进行填报；对于没有给定标准格式的文件内容，可以由供应商自行设计。</w:t>
      </w:r>
    </w:p>
    <w:p w14:paraId="4DDF76FC">
      <w:pPr>
        <w:snapToGrid w:val="0"/>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2.法定代表人本人参加竞争性磋商的，不需提供授权委托书。</w:t>
      </w:r>
    </w:p>
    <w:p w14:paraId="1F96D366">
      <w:pPr>
        <w:snapToGrid w:val="0"/>
        <w:jc w:val="left"/>
        <w:rPr>
          <w:rFonts w:ascii="宋体" w:hAnsi="宋体" w:cs="宋体"/>
          <w:color w:val="auto"/>
          <w:sz w:val="24"/>
          <w:highlight w:val="none"/>
        </w:rPr>
      </w:pPr>
    </w:p>
    <w:p w14:paraId="41E98A3F">
      <w:pPr>
        <w:snapToGrid w:val="0"/>
        <w:jc w:val="left"/>
        <w:rPr>
          <w:rFonts w:ascii="宋体" w:hAnsi="宋体" w:cs="宋体"/>
          <w:color w:val="auto"/>
          <w:sz w:val="24"/>
          <w:highlight w:val="none"/>
        </w:rPr>
      </w:pPr>
    </w:p>
    <w:p w14:paraId="393A9900">
      <w:pPr>
        <w:snapToGrid w:val="0"/>
        <w:jc w:val="left"/>
        <w:rPr>
          <w:rFonts w:ascii="宋体" w:hAnsi="宋体" w:cs="宋体"/>
          <w:color w:val="auto"/>
          <w:sz w:val="24"/>
          <w:highlight w:val="none"/>
        </w:rPr>
      </w:pPr>
    </w:p>
    <w:p w14:paraId="04CDC657">
      <w:pPr>
        <w:snapToGrid w:val="0"/>
        <w:jc w:val="left"/>
        <w:rPr>
          <w:rFonts w:ascii="宋体" w:hAnsi="宋体" w:cs="宋体"/>
          <w:color w:val="auto"/>
          <w:sz w:val="24"/>
          <w:highlight w:val="none"/>
        </w:rPr>
      </w:pPr>
    </w:p>
    <w:p w14:paraId="1F6F650A">
      <w:pPr>
        <w:snapToGrid w:val="0"/>
        <w:jc w:val="left"/>
        <w:rPr>
          <w:rFonts w:ascii="宋体" w:hAnsi="宋体" w:cs="宋体"/>
          <w:color w:val="auto"/>
          <w:sz w:val="24"/>
          <w:highlight w:val="none"/>
        </w:rPr>
      </w:pPr>
    </w:p>
    <w:p w14:paraId="1511B88E">
      <w:pPr>
        <w:snapToGrid w:val="0"/>
        <w:jc w:val="left"/>
        <w:rPr>
          <w:rFonts w:ascii="宋体" w:hAnsi="宋体" w:cs="宋体"/>
          <w:color w:val="auto"/>
          <w:sz w:val="24"/>
          <w:highlight w:val="none"/>
        </w:rPr>
      </w:pPr>
    </w:p>
    <w:p w14:paraId="4BB9A6E7">
      <w:pPr>
        <w:snapToGrid w:val="0"/>
        <w:jc w:val="left"/>
        <w:rPr>
          <w:rFonts w:ascii="宋体" w:hAnsi="宋体" w:cs="宋体"/>
          <w:color w:val="auto"/>
          <w:sz w:val="24"/>
          <w:highlight w:val="none"/>
        </w:rPr>
      </w:pPr>
    </w:p>
    <w:p w14:paraId="05805A8D">
      <w:pPr>
        <w:snapToGrid w:val="0"/>
        <w:jc w:val="left"/>
        <w:rPr>
          <w:rFonts w:ascii="宋体" w:hAnsi="宋体" w:cs="宋体"/>
          <w:color w:val="auto"/>
          <w:sz w:val="24"/>
          <w:highlight w:val="none"/>
        </w:rPr>
      </w:pPr>
    </w:p>
    <w:p w14:paraId="7A7E77C4">
      <w:pPr>
        <w:snapToGrid w:val="0"/>
        <w:jc w:val="left"/>
        <w:rPr>
          <w:rFonts w:ascii="宋体" w:hAnsi="宋体" w:cs="宋体"/>
          <w:color w:val="auto"/>
          <w:sz w:val="24"/>
          <w:highlight w:val="none"/>
        </w:rPr>
      </w:pPr>
    </w:p>
    <w:p w14:paraId="45B0D2CB">
      <w:pPr>
        <w:snapToGrid w:val="0"/>
        <w:jc w:val="left"/>
        <w:rPr>
          <w:rFonts w:ascii="宋体" w:hAnsi="宋体" w:cs="宋体"/>
          <w:color w:val="auto"/>
          <w:sz w:val="24"/>
          <w:highlight w:val="none"/>
        </w:rPr>
      </w:pPr>
    </w:p>
    <w:p w14:paraId="41966AD0">
      <w:pPr>
        <w:snapToGrid w:val="0"/>
        <w:jc w:val="left"/>
        <w:rPr>
          <w:rFonts w:ascii="宋体" w:hAnsi="宋体" w:cs="宋体"/>
          <w:color w:val="auto"/>
          <w:sz w:val="24"/>
          <w:highlight w:val="none"/>
        </w:rPr>
      </w:pPr>
    </w:p>
    <w:p w14:paraId="7FDFE43A">
      <w:pPr>
        <w:snapToGrid w:val="0"/>
        <w:jc w:val="left"/>
        <w:rPr>
          <w:rFonts w:ascii="宋体" w:hAnsi="宋体" w:cs="宋体"/>
          <w:color w:val="auto"/>
          <w:sz w:val="24"/>
          <w:highlight w:val="none"/>
        </w:rPr>
      </w:pPr>
    </w:p>
    <w:p w14:paraId="299C00BB">
      <w:pPr>
        <w:snapToGrid w:val="0"/>
        <w:jc w:val="left"/>
        <w:rPr>
          <w:rFonts w:ascii="宋体" w:hAnsi="宋体" w:cs="宋体"/>
          <w:color w:val="auto"/>
          <w:sz w:val="24"/>
          <w:highlight w:val="none"/>
        </w:rPr>
      </w:pPr>
    </w:p>
    <w:p w14:paraId="10A2A806">
      <w:pPr>
        <w:snapToGrid w:val="0"/>
        <w:jc w:val="left"/>
        <w:rPr>
          <w:rFonts w:ascii="宋体" w:hAnsi="宋体" w:cs="宋体"/>
          <w:color w:val="auto"/>
          <w:sz w:val="24"/>
          <w:highlight w:val="none"/>
        </w:rPr>
      </w:pPr>
    </w:p>
    <w:p w14:paraId="7A78C9AA">
      <w:pPr>
        <w:pStyle w:val="26"/>
        <w:ind w:firstLine="480"/>
        <w:rPr>
          <w:rFonts w:ascii="宋体" w:hAnsi="宋体" w:eastAsia="宋体" w:cs="宋体"/>
          <w:color w:val="auto"/>
          <w:sz w:val="24"/>
          <w:highlight w:val="none"/>
        </w:rPr>
      </w:pPr>
    </w:p>
    <w:p w14:paraId="5AC4202A">
      <w:pPr>
        <w:pStyle w:val="26"/>
        <w:ind w:firstLine="480"/>
        <w:rPr>
          <w:rFonts w:ascii="宋体" w:hAnsi="宋体" w:eastAsia="宋体" w:cs="宋体"/>
          <w:color w:val="auto"/>
          <w:sz w:val="24"/>
          <w:highlight w:val="none"/>
        </w:rPr>
      </w:pPr>
    </w:p>
    <w:p w14:paraId="2E56E17F">
      <w:pPr>
        <w:pStyle w:val="26"/>
        <w:ind w:firstLine="480"/>
        <w:rPr>
          <w:rFonts w:ascii="宋体" w:hAnsi="宋体" w:eastAsia="宋体" w:cs="宋体"/>
          <w:color w:val="auto"/>
          <w:sz w:val="24"/>
          <w:highlight w:val="none"/>
        </w:rPr>
      </w:pPr>
    </w:p>
    <w:p w14:paraId="7E46B7F9">
      <w:pPr>
        <w:pStyle w:val="26"/>
        <w:ind w:firstLine="480"/>
        <w:rPr>
          <w:rFonts w:ascii="宋体" w:hAnsi="宋体" w:eastAsia="宋体" w:cs="宋体"/>
          <w:color w:val="auto"/>
          <w:sz w:val="24"/>
          <w:highlight w:val="none"/>
        </w:rPr>
      </w:pPr>
    </w:p>
    <w:p w14:paraId="13D141D7">
      <w:pPr>
        <w:snapToGrid w:val="0"/>
        <w:jc w:val="left"/>
        <w:rPr>
          <w:rFonts w:ascii="宋体" w:hAnsi="宋体" w:cs="宋体"/>
          <w:color w:val="auto"/>
          <w:sz w:val="24"/>
          <w:highlight w:val="none"/>
        </w:rPr>
      </w:pPr>
    </w:p>
    <w:p w14:paraId="4808E067">
      <w:pPr>
        <w:snapToGrid w:val="0"/>
        <w:jc w:val="left"/>
        <w:rPr>
          <w:rFonts w:ascii="宋体" w:hAnsi="宋体" w:cs="宋体"/>
          <w:color w:val="auto"/>
          <w:sz w:val="24"/>
          <w:highlight w:val="none"/>
        </w:rPr>
      </w:pPr>
    </w:p>
    <w:p w14:paraId="5833BF11">
      <w:pPr>
        <w:snapToGrid w:val="0"/>
        <w:jc w:val="left"/>
        <w:rPr>
          <w:rFonts w:ascii="宋体" w:hAnsi="宋体" w:cs="宋体"/>
          <w:color w:val="auto"/>
          <w:sz w:val="24"/>
          <w:highlight w:val="none"/>
        </w:rPr>
      </w:pPr>
    </w:p>
    <w:p w14:paraId="27C0526B">
      <w:pPr>
        <w:snapToGrid w:val="0"/>
        <w:jc w:val="left"/>
        <w:rPr>
          <w:rFonts w:ascii="宋体" w:hAnsi="宋体" w:cs="宋体"/>
          <w:color w:val="auto"/>
          <w:sz w:val="24"/>
          <w:highlight w:val="none"/>
        </w:rPr>
      </w:pPr>
    </w:p>
    <w:p w14:paraId="451069F0">
      <w:pPr>
        <w:snapToGrid w:val="0"/>
        <w:jc w:val="left"/>
        <w:rPr>
          <w:rFonts w:ascii="宋体" w:hAnsi="宋体" w:cs="宋体"/>
          <w:color w:val="auto"/>
          <w:sz w:val="24"/>
          <w:highlight w:val="none"/>
        </w:rPr>
      </w:pPr>
    </w:p>
    <w:p w14:paraId="3AB975F7">
      <w:pPr>
        <w:snapToGrid w:val="0"/>
        <w:jc w:val="left"/>
        <w:rPr>
          <w:rFonts w:ascii="宋体" w:hAnsi="宋体" w:cs="宋体"/>
          <w:color w:val="auto"/>
          <w:sz w:val="24"/>
          <w:highlight w:val="none"/>
        </w:rPr>
      </w:pPr>
    </w:p>
    <w:p w14:paraId="3B7CED44">
      <w:pPr>
        <w:snapToGrid w:val="0"/>
        <w:jc w:val="left"/>
        <w:rPr>
          <w:rFonts w:ascii="宋体" w:hAnsi="宋体" w:cs="宋体"/>
          <w:color w:val="auto"/>
          <w:sz w:val="24"/>
          <w:highlight w:val="none"/>
        </w:rPr>
      </w:pPr>
    </w:p>
    <w:p w14:paraId="57CA47A9">
      <w:pPr>
        <w:snapToGrid w:val="0"/>
        <w:jc w:val="left"/>
        <w:rPr>
          <w:rFonts w:ascii="宋体" w:hAnsi="宋体" w:cs="宋体"/>
          <w:color w:val="auto"/>
          <w:sz w:val="24"/>
          <w:highlight w:val="none"/>
        </w:rPr>
      </w:pPr>
    </w:p>
    <w:p w14:paraId="372064ED">
      <w:pPr>
        <w:pStyle w:val="26"/>
        <w:ind w:firstLine="480"/>
        <w:rPr>
          <w:rFonts w:ascii="宋体" w:hAnsi="宋体" w:eastAsia="宋体" w:cs="宋体"/>
          <w:color w:val="auto"/>
          <w:sz w:val="24"/>
          <w:highlight w:val="none"/>
        </w:rPr>
      </w:pPr>
    </w:p>
    <w:p w14:paraId="67BBCE53">
      <w:pPr>
        <w:snapToGrid w:val="0"/>
        <w:jc w:val="left"/>
        <w:rPr>
          <w:rFonts w:ascii="宋体" w:hAnsi="宋体" w:cs="宋体"/>
          <w:color w:val="auto"/>
          <w:sz w:val="24"/>
          <w:highlight w:val="none"/>
        </w:rPr>
      </w:pPr>
    </w:p>
    <w:p w14:paraId="30BA1151">
      <w:pPr>
        <w:snapToGrid w:val="0"/>
        <w:jc w:val="left"/>
        <w:rPr>
          <w:rFonts w:ascii="宋体" w:hAnsi="宋体" w:cs="宋体"/>
          <w:color w:val="auto"/>
          <w:sz w:val="24"/>
          <w:highlight w:val="none"/>
        </w:rPr>
      </w:pPr>
    </w:p>
    <w:p w14:paraId="3BAA249A">
      <w:pPr>
        <w:pStyle w:val="26"/>
        <w:ind w:firstLine="480"/>
        <w:rPr>
          <w:rFonts w:ascii="宋体" w:hAnsi="宋体" w:eastAsia="宋体" w:cs="宋体"/>
          <w:color w:val="auto"/>
          <w:sz w:val="24"/>
          <w:highlight w:val="none"/>
        </w:rPr>
      </w:pPr>
    </w:p>
    <w:p w14:paraId="56DF9B1C">
      <w:pPr>
        <w:spacing w:line="360" w:lineRule="auto"/>
        <w:jc w:val="left"/>
        <w:rPr>
          <w:rFonts w:ascii="宋体" w:hAnsi="宋体" w:cs="宋体"/>
          <w:color w:val="auto"/>
          <w:sz w:val="24"/>
          <w:highlight w:val="none"/>
        </w:rPr>
      </w:pPr>
      <w:r>
        <w:rPr>
          <w:rFonts w:hint="eastAsia" w:ascii="宋体" w:hAnsi="宋体" w:cs="宋体"/>
          <w:color w:val="auto"/>
          <w:sz w:val="24"/>
          <w:highlight w:val="none"/>
        </w:rPr>
        <w:t>格式2-1</w:t>
      </w:r>
    </w:p>
    <w:p w14:paraId="0BB7AEF1">
      <w:pPr>
        <w:widowControl/>
        <w:jc w:val="center"/>
        <w:rPr>
          <w:rFonts w:ascii="宋体" w:hAnsi="宋体" w:cs="宋体"/>
          <w:color w:val="auto"/>
          <w:kern w:val="0"/>
          <w:sz w:val="24"/>
          <w:highlight w:val="none"/>
        </w:rPr>
      </w:pPr>
      <w:r>
        <w:rPr>
          <w:rFonts w:hint="eastAsia" w:ascii="宋体" w:hAnsi="宋体" w:cs="宋体"/>
          <w:color w:val="auto"/>
          <w:sz w:val="24"/>
          <w:highlight w:val="none"/>
        </w:rPr>
        <w:t>企业营业执照副本及</w:t>
      </w:r>
      <w:r>
        <w:rPr>
          <w:rFonts w:hint="eastAsia" w:ascii="宋体" w:hAnsi="宋体" w:cs="宋体"/>
          <w:color w:val="auto"/>
          <w:kern w:val="0"/>
          <w:sz w:val="24"/>
          <w:highlight w:val="none"/>
        </w:rPr>
        <w:t>资格性证明材料</w:t>
      </w:r>
    </w:p>
    <w:p w14:paraId="34109E51">
      <w:pPr>
        <w:pStyle w:val="36"/>
        <w:ind w:firstLine="210"/>
        <w:rPr>
          <w:color w:val="auto"/>
          <w:highlight w:val="none"/>
        </w:rPr>
      </w:pPr>
    </w:p>
    <w:p w14:paraId="3E854BB6">
      <w:pPr>
        <w:spacing w:line="360" w:lineRule="auto"/>
        <w:jc w:val="left"/>
        <w:rPr>
          <w:rFonts w:ascii="宋体" w:hAnsi="宋体" w:cs="宋体"/>
          <w:color w:val="auto"/>
          <w:sz w:val="24"/>
          <w:highlight w:val="none"/>
        </w:rPr>
      </w:pPr>
    </w:p>
    <w:p w14:paraId="0008D411">
      <w:pPr>
        <w:spacing w:line="360" w:lineRule="auto"/>
        <w:jc w:val="left"/>
        <w:rPr>
          <w:rFonts w:ascii="宋体" w:hAnsi="宋体" w:cs="宋体"/>
          <w:color w:val="auto"/>
          <w:sz w:val="24"/>
          <w:highlight w:val="none"/>
        </w:rPr>
      </w:pPr>
    </w:p>
    <w:p w14:paraId="17AD3B78">
      <w:pPr>
        <w:spacing w:line="360" w:lineRule="auto"/>
        <w:jc w:val="left"/>
        <w:rPr>
          <w:rFonts w:ascii="宋体" w:hAnsi="宋体" w:cs="宋体"/>
          <w:color w:val="auto"/>
          <w:sz w:val="24"/>
          <w:highlight w:val="none"/>
        </w:rPr>
      </w:pPr>
    </w:p>
    <w:p w14:paraId="594A5A5F">
      <w:pPr>
        <w:spacing w:line="360" w:lineRule="auto"/>
        <w:jc w:val="left"/>
        <w:rPr>
          <w:rFonts w:ascii="宋体" w:hAnsi="宋体" w:cs="宋体"/>
          <w:color w:val="auto"/>
          <w:sz w:val="24"/>
          <w:highlight w:val="none"/>
        </w:rPr>
      </w:pPr>
    </w:p>
    <w:p w14:paraId="585E9892">
      <w:pPr>
        <w:spacing w:line="360" w:lineRule="auto"/>
        <w:jc w:val="left"/>
        <w:rPr>
          <w:rFonts w:ascii="宋体" w:hAnsi="宋体" w:cs="宋体"/>
          <w:color w:val="auto"/>
          <w:sz w:val="24"/>
          <w:highlight w:val="none"/>
        </w:rPr>
      </w:pPr>
    </w:p>
    <w:p w14:paraId="1F2CE10E">
      <w:pPr>
        <w:spacing w:line="360" w:lineRule="auto"/>
        <w:jc w:val="left"/>
        <w:rPr>
          <w:rFonts w:ascii="宋体" w:hAnsi="宋体" w:cs="宋体"/>
          <w:color w:val="auto"/>
          <w:sz w:val="24"/>
          <w:highlight w:val="none"/>
        </w:rPr>
      </w:pPr>
      <w:r>
        <w:rPr>
          <w:rFonts w:hint="eastAsia" w:ascii="宋体" w:hAnsi="宋体" w:cs="宋体"/>
          <w:color w:val="auto"/>
          <w:sz w:val="24"/>
          <w:highlight w:val="none"/>
        </w:rPr>
        <w:t>格式2-2</w:t>
      </w:r>
    </w:p>
    <w:p w14:paraId="306A5694">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法定代表人身份证明书</w:t>
      </w:r>
    </w:p>
    <w:p w14:paraId="760A7E82">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（法定代表人参加竞争性磋商的，出具此证明书）</w:t>
      </w:r>
    </w:p>
    <w:p w14:paraId="04D5CFB9">
      <w:pPr>
        <w:spacing w:line="360" w:lineRule="auto"/>
        <w:ind w:firstLine="480" w:firstLineChars="200"/>
        <w:rPr>
          <w:rFonts w:ascii="宋体" w:hAnsi="宋体" w:cs="宋体"/>
          <w:color w:val="auto"/>
          <w:sz w:val="24"/>
          <w:highlight w:val="none"/>
        </w:rPr>
      </w:pPr>
    </w:p>
    <w:p w14:paraId="1D94904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同志，系我单位法定代表人，任职务。</w:t>
      </w:r>
    </w:p>
    <w:p w14:paraId="4D8C8FF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特此证明。</w:t>
      </w:r>
    </w:p>
    <w:p w14:paraId="1B635B7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附：联系地址：               </w:t>
      </w:r>
    </w:p>
    <w:p w14:paraId="72822E2A">
      <w:pPr>
        <w:spacing w:line="360" w:lineRule="auto"/>
        <w:ind w:firstLine="960" w:firstLineChars="400"/>
        <w:rPr>
          <w:rFonts w:ascii="宋体" w:hAnsi="宋体" w:cs="宋体"/>
          <w:b/>
          <w:color w:val="auto"/>
          <w:sz w:val="24"/>
          <w:highlight w:val="none"/>
        </w:rPr>
      </w:pPr>
      <w:r>
        <w:rPr>
          <w:rFonts w:hint="eastAsia" w:ascii="宋体" w:hAnsi="宋体" w:cs="宋体"/>
          <w:color w:val="auto"/>
          <w:sz w:val="24"/>
          <w:highlight w:val="none"/>
        </w:rPr>
        <w:t>联系电话：</w:t>
      </w:r>
    </w:p>
    <w:tbl>
      <w:tblPr>
        <w:tblStyle w:val="27"/>
        <w:tblpPr w:leftFromText="180" w:rightFromText="180" w:vertAnchor="text" w:horzAnchor="page" w:tblpX="2773" w:tblpY="209"/>
        <w:tblW w:w="53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14:paraId="53122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Pr>
          <w:p w14:paraId="653BCE3B">
            <w:pPr>
              <w:spacing w:line="480" w:lineRule="exact"/>
              <w:rPr>
                <w:rFonts w:ascii="宋体" w:hAnsi="宋体" w:cs="宋体"/>
                <w:b/>
                <w:bCs/>
                <w:color w:val="auto"/>
                <w:sz w:val="24"/>
                <w:highlight w:val="none"/>
              </w:rPr>
            </w:pPr>
          </w:p>
          <w:p w14:paraId="3D7EBF96">
            <w:pPr>
              <w:spacing w:line="480" w:lineRule="exact"/>
              <w:rPr>
                <w:rFonts w:ascii="宋体" w:hAnsi="宋体" w:cs="宋体"/>
                <w:b/>
                <w:bCs/>
                <w:color w:val="auto"/>
                <w:sz w:val="24"/>
                <w:highlight w:val="none"/>
              </w:rPr>
            </w:pPr>
          </w:p>
          <w:p w14:paraId="4320155A">
            <w:pPr>
              <w:spacing w:line="480" w:lineRule="exact"/>
              <w:jc w:val="center"/>
              <w:rPr>
                <w:rFonts w:ascii="宋体" w:hAnsi="宋体" w:cs="宋体"/>
                <w:b/>
                <w:bCs/>
                <w:color w:val="auto"/>
                <w:sz w:val="24"/>
                <w:highlight w:val="none"/>
              </w:rPr>
            </w:pPr>
            <w:r>
              <w:rPr>
                <w:rFonts w:hint="eastAsia" w:ascii="宋体" w:hAnsi="宋体" w:cs="宋体"/>
                <w:b/>
                <w:bCs/>
                <w:color w:val="auto"/>
                <w:sz w:val="24"/>
                <w:highlight w:val="none"/>
              </w:rPr>
              <w:t>（※附：法定代表人身份证复印件※）</w:t>
            </w:r>
          </w:p>
          <w:p w14:paraId="1ED83E9B">
            <w:pPr>
              <w:spacing w:line="480" w:lineRule="exact"/>
              <w:rPr>
                <w:rFonts w:ascii="宋体" w:hAnsi="宋体" w:cs="宋体"/>
                <w:color w:val="auto"/>
                <w:sz w:val="24"/>
                <w:highlight w:val="none"/>
              </w:rPr>
            </w:pPr>
          </w:p>
          <w:p w14:paraId="1DBB4EF1">
            <w:pPr>
              <w:spacing w:line="480" w:lineRule="exact"/>
              <w:rPr>
                <w:rFonts w:ascii="宋体" w:hAnsi="宋体" w:cs="宋体"/>
                <w:color w:val="auto"/>
                <w:sz w:val="24"/>
                <w:highlight w:val="none"/>
              </w:rPr>
            </w:pPr>
          </w:p>
        </w:tc>
      </w:tr>
    </w:tbl>
    <w:p w14:paraId="110BC299">
      <w:pPr>
        <w:spacing w:line="360" w:lineRule="auto"/>
        <w:ind w:firstLine="960" w:firstLineChars="400"/>
        <w:rPr>
          <w:rFonts w:ascii="宋体" w:hAnsi="宋体" w:cs="宋体"/>
          <w:color w:val="auto"/>
          <w:sz w:val="24"/>
          <w:highlight w:val="none"/>
        </w:rPr>
      </w:pPr>
    </w:p>
    <w:p w14:paraId="5B0D5E47">
      <w:pPr>
        <w:spacing w:line="360" w:lineRule="auto"/>
        <w:ind w:firstLine="3840" w:firstLineChars="1600"/>
        <w:rPr>
          <w:rFonts w:ascii="宋体" w:hAnsi="宋体" w:cs="宋体"/>
          <w:color w:val="auto"/>
          <w:sz w:val="24"/>
          <w:highlight w:val="none"/>
        </w:rPr>
      </w:pPr>
    </w:p>
    <w:p w14:paraId="48C5E0EB">
      <w:pPr>
        <w:spacing w:line="360" w:lineRule="auto"/>
        <w:ind w:firstLine="3840" w:firstLineChars="1600"/>
        <w:rPr>
          <w:rFonts w:ascii="宋体" w:hAnsi="宋体" w:cs="宋体"/>
          <w:color w:val="auto"/>
          <w:sz w:val="24"/>
          <w:highlight w:val="none"/>
        </w:rPr>
      </w:pPr>
    </w:p>
    <w:p w14:paraId="57E14E71">
      <w:pPr>
        <w:spacing w:line="360" w:lineRule="auto"/>
        <w:ind w:firstLine="3840" w:firstLineChars="1600"/>
        <w:rPr>
          <w:rFonts w:ascii="宋体" w:hAnsi="宋体" w:cs="宋体"/>
          <w:color w:val="auto"/>
          <w:sz w:val="24"/>
          <w:highlight w:val="none"/>
        </w:rPr>
      </w:pPr>
    </w:p>
    <w:p w14:paraId="4D9F254A">
      <w:pPr>
        <w:spacing w:line="360" w:lineRule="auto"/>
        <w:jc w:val="center"/>
        <w:rPr>
          <w:rFonts w:ascii="宋体" w:hAnsi="宋体" w:cs="宋体"/>
          <w:color w:val="auto"/>
          <w:sz w:val="24"/>
          <w:highlight w:val="none"/>
        </w:rPr>
      </w:pPr>
    </w:p>
    <w:p w14:paraId="73EE5962">
      <w:pPr>
        <w:spacing w:line="360" w:lineRule="auto"/>
        <w:jc w:val="center"/>
        <w:rPr>
          <w:rFonts w:ascii="宋体" w:hAnsi="宋体" w:cs="宋体"/>
          <w:color w:val="auto"/>
          <w:sz w:val="24"/>
          <w:highlight w:val="none"/>
        </w:rPr>
      </w:pPr>
    </w:p>
    <w:p w14:paraId="76B92697">
      <w:pPr>
        <w:spacing w:line="360" w:lineRule="auto"/>
        <w:jc w:val="center"/>
        <w:rPr>
          <w:rFonts w:ascii="宋体" w:hAnsi="宋体" w:cs="宋体"/>
          <w:color w:val="auto"/>
          <w:sz w:val="24"/>
          <w:highlight w:val="none"/>
        </w:rPr>
      </w:pPr>
    </w:p>
    <w:p w14:paraId="1D2804BC">
      <w:pPr>
        <w:spacing w:line="360" w:lineRule="auto"/>
        <w:ind w:firstLine="3840" w:firstLineChars="1600"/>
        <w:rPr>
          <w:rFonts w:ascii="宋体" w:hAnsi="宋体" w:cs="宋体"/>
          <w:color w:val="auto"/>
          <w:sz w:val="24"/>
          <w:highlight w:val="none"/>
        </w:rPr>
      </w:pPr>
      <w:r>
        <w:rPr>
          <w:rFonts w:hint="eastAsia" w:ascii="宋体" w:hAnsi="宋体" w:cs="宋体"/>
          <w:color w:val="auto"/>
          <w:sz w:val="24"/>
          <w:highlight w:val="none"/>
        </w:rPr>
        <w:t xml:space="preserve">供应商电子公章： </w:t>
      </w:r>
    </w:p>
    <w:p w14:paraId="0555A448">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年   月  日</w:t>
      </w:r>
    </w:p>
    <w:p w14:paraId="04430911">
      <w:pPr>
        <w:spacing w:line="360" w:lineRule="auto"/>
        <w:jc w:val="center"/>
        <w:rPr>
          <w:rFonts w:ascii="宋体" w:hAnsi="宋体" w:cs="宋体"/>
          <w:color w:val="auto"/>
          <w:sz w:val="24"/>
          <w:highlight w:val="none"/>
        </w:rPr>
      </w:pPr>
    </w:p>
    <w:p w14:paraId="233E4281">
      <w:pPr>
        <w:spacing w:line="360" w:lineRule="auto"/>
        <w:jc w:val="center"/>
        <w:rPr>
          <w:rFonts w:ascii="宋体" w:hAnsi="宋体" w:cs="宋体"/>
          <w:color w:val="auto"/>
          <w:sz w:val="24"/>
          <w:highlight w:val="none"/>
        </w:rPr>
      </w:pPr>
    </w:p>
    <w:p w14:paraId="09202719">
      <w:pPr>
        <w:spacing w:line="360" w:lineRule="auto"/>
        <w:jc w:val="center"/>
        <w:rPr>
          <w:rFonts w:ascii="宋体" w:hAnsi="宋体" w:cs="宋体"/>
          <w:color w:val="auto"/>
          <w:sz w:val="24"/>
          <w:highlight w:val="none"/>
        </w:rPr>
      </w:pPr>
    </w:p>
    <w:p w14:paraId="56419537">
      <w:pPr>
        <w:pStyle w:val="36"/>
        <w:ind w:firstLine="240"/>
        <w:rPr>
          <w:rFonts w:ascii="宋体" w:hAnsi="宋体" w:cs="宋体"/>
          <w:color w:val="auto"/>
          <w:sz w:val="24"/>
          <w:highlight w:val="none"/>
        </w:rPr>
      </w:pPr>
    </w:p>
    <w:p w14:paraId="17E64A77">
      <w:pPr>
        <w:pStyle w:val="36"/>
        <w:ind w:firstLine="240"/>
        <w:rPr>
          <w:rFonts w:ascii="宋体" w:hAnsi="宋体" w:cs="宋体"/>
          <w:color w:val="auto"/>
          <w:sz w:val="24"/>
          <w:highlight w:val="none"/>
        </w:rPr>
      </w:pPr>
    </w:p>
    <w:p w14:paraId="57D63C5E">
      <w:pPr>
        <w:spacing w:line="360" w:lineRule="auto"/>
        <w:jc w:val="left"/>
        <w:rPr>
          <w:rFonts w:ascii="宋体" w:hAnsi="宋体" w:cs="宋体"/>
          <w:color w:val="auto"/>
          <w:sz w:val="24"/>
          <w:highlight w:val="none"/>
        </w:rPr>
      </w:pPr>
      <w:r>
        <w:rPr>
          <w:rFonts w:hint="eastAsia" w:ascii="宋体" w:hAnsi="宋体" w:cs="宋体"/>
          <w:color w:val="auto"/>
          <w:sz w:val="24"/>
          <w:highlight w:val="none"/>
        </w:rPr>
        <w:t>格式2-3</w:t>
      </w:r>
    </w:p>
    <w:p w14:paraId="0672AAC4">
      <w:pPr>
        <w:spacing w:line="360" w:lineRule="auto"/>
        <w:ind w:firstLine="480" w:firstLineChars="200"/>
        <w:jc w:val="center"/>
        <w:rPr>
          <w:rFonts w:ascii="宋体" w:hAnsi="宋体" w:cs="宋体"/>
          <w:color w:val="auto"/>
          <w:sz w:val="24"/>
          <w:highlight w:val="none"/>
        </w:rPr>
      </w:pPr>
      <w:r>
        <w:rPr>
          <w:rFonts w:hint="eastAsia" w:ascii="宋体" w:hAnsi="宋体" w:cs="宋体"/>
          <w:color w:val="auto"/>
          <w:sz w:val="24"/>
          <w:highlight w:val="none"/>
        </w:rPr>
        <w:t>授权委托书</w:t>
      </w:r>
    </w:p>
    <w:p w14:paraId="52003A27">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（委托代理人参加竞争性磋商的，出具此证明书）</w:t>
      </w:r>
    </w:p>
    <w:p w14:paraId="3253222B">
      <w:pPr>
        <w:spacing w:line="360" w:lineRule="auto"/>
        <w:ind w:firstLine="480" w:firstLineChars="200"/>
        <w:rPr>
          <w:rFonts w:ascii="宋体" w:hAnsi="宋体" w:cs="宋体"/>
          <w:color w:val="auto"/>
          <w:sz w:val="24"/>
          <w:highlight w:val="none"/>
        </w:rPr>
      </w:pPr>
    </w:p>
    <w:p w14:paraId="13598E3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委托人授权（被委托人的姓名、职务）为委托人的委托代理人，就项目编号为的项目及合同的执行，以本单位名义处理一切与之有关的事务。</w:t>
      </w:r>
    </w:p>
    <w:p w14:paraId="70DE750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本授权书于年月日签字生效，特此声明。</w:t>
      </w:r>
    </w:p>
    <w:p w14:paraId="4B3697EF">
      <w:pPr>
        <w:spacing w:line="360" w:lineRule="auto"/>
        <w:rPr>
          <w:rFonts w:ascii="宋体" w:hAnsi="宋体" w:cs="宋体"/>
          <w:color w:val="auto"/>
          <w:sz w:val="24"/>
          <w:highlight w:val="none"/>
        </w:rPr>
      </w:pPr>
    </w:p>
    <w:p w14:paraId="49FB479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委托人：</w:t>
      </w:r>
    </w:p>
    <w:p w14:paraId="76DE69A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供应商电子签章：       </w:t>
      </w:r>
    </w:p>
    <w:p w14:paraId="650A749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被委托人：</w:t>
      </w:r>
    </w:p>
    <w:p w14:paraId="18379ED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法定代表人：</w:t>
      </w:r>
    </w:p>
    <w:tbl>
      <w:tblPr>
        <w:tblStyle w:val="27"/>
        <w:tblpPr w:leftFromText="180" w:rightFromText="180" w:vertAnchor="text" w:horzAnchor="page" w:tblpX="3282" w:tblpY="247"/>
        <w:tblW w:w="5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14:paraId="78358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Pr>
          <w:p w14:paraId="3A66684A">
            <w:pPr>
              <w:spacing w:line="480" w:lineRule="exact"/>
              <w:rPr>
                <w:rFonts w:ascii="宋体" w:hAnsi="宋体" w:cs="宋体"/>
                <w:b/>
                <w:bCs/>
                <w:color w:val="auto"/>
                <w:sz w:val="24"/>
                <w:highlight w:val="none"/>
              </w:rPr>
            </w:pPr>
          </w:p>
          <w:p w14:paraId="484804F1">
            <w:pPr>
              <w:spacing w:line="480" w:lineRule="exact"/>
              <w:rPr>
                <w:rFonts w:ascii="宋体" w:hAnsi="宋体" w:cs="宋体"/>
                <w:b/>
                <w:bCs/>
                <w:color w:val="auto"/>
                <w:sz w:val="24"/>
                <w:highlight w:val="none"/>
              </w:rPr>
            </w:pPr>
          </w:p>
          <w:p w14:paraId="7922A08B">
            <w:pPr>
              <w:spacing w:line="480" w:lineRule="exact"/>
              <w:jc w:val="center"/>
              <w:rPr>
                <w:rFonts w:ascii="宋体" w:hAnsi="宋体" w:cs="宋体"/>
                <w:color w:val="auto"/>
                <w:sz w:val="24"/>
                <w:highlight w:val="none"/>
              </w:rPr>
            </w:pPr>
            <w:r>
              <w:rPr>
                <w:rFonts w:hint="eastAsia" w:ascii="宋体" w:hAnsi="宋体" w:cs="宋体"/>
                <w:b/>
                <w:bCs/>
                <w:color w:val="auto"/>
                <w:sz w:val="24"/>
                <w:highlight w:val="none"/>
              </w:rPr>
              <w:t>（※附：被委托人身份证复印件※）</w:t>
            </w:r>
          </w:p>
        </w:tc>
      </w:tr>
    </w:tbl>
    <w:p w14:paraId="010CACFA">
      <w:pPr>
        <w:spacing w:line="360" w:lineRule="auto"/>
        <w:ind w:firstLine="480" w:firstLineChars="200"/>
        <w:rPr>
          <w:rFonts w:ascii="宋体" w:hAnsi="宋体" w:cs="宋体"/>
          <w:color w:val="auto"/>
          <w:sz w:val="24"/>
          <w:highlight w:val="none"/>
        </w:rPr>
      </w:pPr>
    </w:p>
    <w:p w14:paraId="44655618">
      <w:pPr>
        <w:spacing w:line="360" w:lineRule="auto"/>
        <w:ind w:firstLine="480" w:firstLineChars="200"/>
        <w:rPr>
          <w:rFonts w:ascii="宋体" w:hAnsi="宋体" w:cs="宋体"/>
          <w:color w:val="auto"/>
          <w:sz w:val="24"/>
          <w:highlight w:val="none"/>
        </w:rPr>
      </w:pPr>
    </w:p>
    <w:p w14:paraId="08F89321">
      <w:pPr>
        <w:spacing w:line="360" w:lineRule="auto"/>
        <w:ind w:firstLine="480" w:firstLineChars="200"/>
        <w:rPr>
          <w:rFonts w:ascii="宋体" w:hAnsi="宋体" w:cs="宋体"/>
          <w:color w:val="auto"/>
          <w:sz w:val="24"/>
          <w:highlight w:val="none"/>
        </w:rPr>
      </w:pPr>
    </w:p>
    <w:p w14:paraId="08C2A184">
      <w:pPr>
        <w:spacing w:line="360" w:lineRule="auto"/>
        <w:ind w:firstLine="4920" w:firstLineChars="2050"/>
        <w:rPr>
          <w:rFonts w:ascii="宋体" w:hAnsi="宋体" w:cs="宋体"/>
          <w:color w:val="auto"/>
          <w:sz w:val="24"/>
          <w:highlight w:val="none"/>
        </w:rPr>
      </w:pPr>
    </w:p>
    <w:p w14:paraId="531E3508">
      <w:pPr>
        <w:spacing w:line="360" w:lineRule="auto"/>
        <w:jc w:val="center"/>
        <w:rPr>
          <w:rFonts w:ascii="宋体" w:hAnsi="宋体" w:cs="宋体"/>
          <w:color w:val="auto"/>
          <w:sz w:val="24"/>
          <w:highlight w:val="none"/>
        </w:rPr>
      </w:pPr>
    </w:p>
    <w:p w14:paraId="04242B42">
      <w:pPr>
        <w:spacing w:line="360" w:lineRule="auto"/>
        <w:jc w:val="center"/>
        <w:rPr>
          <w:rFonts w:ascii="宋体" w:hAnsi="宋体" w:cs="宋体"/>
          <w:color w:val="auto"/>
          <w:sz w:val="24"/>
          <w:highlight w:val="none"/>
        </w:rPr>
      </w:pPr>
    </w:p>
    <w:p w14:paraId="333B77D5">
      <w:pPr>
        <w:spacing w:line="360" w:lineRule="auto"/>
        <w:jc w:val="center"/>
        <w:rPr>
          <w:rFonts w:ascii="宋体" w:hAnsi="宋体" w:cs="宋体"/>
          <w:color w:val="auto"/>
          <w:sz w:val="24"/>
          <w:highlight w:val="none"/>
        </w:rPr>
      </w:pPr>
    </w:p>
    <w:p w14:paraId="5443D5E2">
      <w:pPr>
        <w:spacing w:line="360" w:lineRule="auto"/>
        <w:ind w:firstLine="3840" w:firstLineChars="1600"/>
        <w:rPr>
          <w:rFonts w:ascii="宋体" w:hAnsi="宋体" w:cs="宋体"/>
          <w:color w:val="auto"/>
          <w:sz w:val="24"/>
          <w:highlight w:val="none"/>
        </w:rPr>
      </w:pPr>
      <w:r>
        <w:rPr>
          <w:rFonts w:hint="eastAsia" w:ascii="宋体" w:hAnsi="宋体" w:cs="宋体"/>
          <w:color w:val="auto"/>
          <w:sz w:val="24"/>
          <w:highlight w:val="none"/>
        </w:rPr>
        <w:t xml:space="preserve">供应商电子公章： </w:t>
      </w:r>
    </w:p>
    <w:p w14:paraId="1FB9BC5A">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w:t>
      </w:r>
    </w:p>
    <w:p w14:paraId="105F3685">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年   月   日</w:t>
      </w:r>
    </w:p>
    <w:p w14:paraId="3CD28757">
      <w:pPr>
        <w:pStyle w:val="36"/>
        <w:ind w:firstLine="210"/>
        <w:rPr>
          <w:color w:val="auto"/>
          <w:highlight w:val="none"/>
        </w:rPr>
      </w:pPr>
    </w:p>
    <w:p w14:paraId="2EB9785F">
      <w:pPr>
        <w:pStyle w:val="36"/>
        <w:ind w:firstLine="210"/>
        <w:rPr>
          <w:color w:val="auto"/>
          <w:highlight w:val="none"/>
        </w:rPr>
      </w:pPr>
    </w:p>
    <w:p w14:paraId="649C6227">
      <w:pPr>
        <w:spacing w:line="360" w:lineRule="auto"/>
        <w:jc w:val="left"/>
        <w:rPr>
          <w:rFonts w:ascii="宋体" w:hAnsi="宋体" w:cs="宋体"/>
          <w:color w:val="auto"/>
          <w:sz w:val="24"/>
          <w:highlight w:val="none"/>
        </w:rPr>
      </w:pPr>
    </w:p>
    <w:p w14:paraId="5032C399">
      <w:pPr>
        <w:spacing w:line="360" w:lineRule="auto"/>
        <w:jc w:val="left"/>
        <w:rPr>
          <w:rFonts w:ascii="宋体" w:hAnsi="宋体" w:cs="宋体"/>
          <w:color w:val="auto"/>
          <w:sz w:val="24"/>
          <w:highlight w:val="none"/>
        </w:rPr>
      </w:pPr>
    </w:p>
    <w:p w14:paraId="5C3E37EA">
      <w:pPr>
        <w:spacing w:line="360" w:lineRule="auto"/>
        <w:jc w:val="left"/>
        <w:rPr>
          <w:rFonts w:ascii="宋体" w:hAnsi="宋体" w:cs="宋体"/>
          <w:color w:val="auto"/>
          <w:sz w:val="24"/>
          <w:highlight w:val="none"/>
        </w:rPr>
      </w:pPr>
    </w:p>
    <w:p w14:paraId="2D5E891E">
      <w:pPr>
        <w:spacing w:line="360" w:lineRule="auto"/>
        <w:jc w:val="left"/>
        <w:rPr>
          <w:rFonts w:ascii="宋体" w:hAnsi="宋体" w:cs="宋体"/>
          <w:color w:val="auto"/>
          <w:sz w:val="24"/>
          <w:highlight w:val="none"/>
        </w:rPr>
      </w:pPr>
    </w:p>
    <w:p w14:paraId="78BF1849">
      <w:pPr>
        <w:spacing w:line="360" w:lineRule="auto"/>
        <w:jc w:val="left"/>
        <w:rPr>
          <w:rFonts w:ascii="宋体" w:hAnsi="宋体" w:cs="宋体"/>
          <w:color w:val="auto"/>
          <w:sz w:val="24"/>
          <w:highlight w:val="none"/>
        </w:rPr>
      </w:pPr>
    </w:p>
    <w:p w14:paraId="155262FD">
      <w:pPr>
        <w:spacing w:line="360" w:lineRule="auto"/>
        <w:jc w:val="left"/>
        <w:rPr>
          <w:rFonts w:ascii="宋体" w:hAnsi="宋体" w:cs="宋体"/>
          <w:color w:val="auto"/>
          <w:sz w:val="24"/>
          <w:highlight w:val="none"/>
        </w:rPr>
      </w:pPr>
    </w:p>
    <w:p w14:paraId="23A13C04">
      <w:pPr>
        <w:spacing w:line="360" w:lineRule="auto"/>
        <w:jc w:val="left"/>
        <w:rPr>
          <w:rFonts w:ascii="宋体" w:hAnsi="宋体" w:cs="宋体"/>
          <w:color w:val="auto"/>
          <w:sz w:val="24"/>
          <w:highlight w:val="none"/>
        </w:rPr>
      </w:pPr>
      <w:r>
        <w:rPr>
          <w:rFonts w:hint="eastAsia" w:ascii="宋体" w:hAnsi="宋体" w:cs="宋体"/>
          <w:color w:val="auto"/>
          <w:sz w:val="24"/>
          <w:highlight w:val="none"/>
        </w:rPr>
        <w:t>格式2-3政府采购法第二十二条及参加政府采购活动前三年内无重大违法记录的书面声明</w:t>
      </w:r>
    </w:p>
    <w:p w14:paraId="712B3098">
      <w:pPr>
        <w:spacing w:line="360" w:lineRule="auto"/>
        <w:jc w:val="left"/>
        <w:rPr>
          <w:rFonts w:ascii="宋体" w:hAnsi="宋体" w:cs="宋体"/>
          <w:color w:val="auto"/>
          <w:sz w:val="24"/>
          <w:highlight w:val="none"/>
        </w:rPr>
      </w:pPr>
    </w:p>
    <w:p w14:paraId="0C05E60A">
      <w:pPr>
        <w:spacing w:line="360" w:lineRule="auto"/>
        <w:jc w:val="left"/>
        <w:rPr>
          <w:rFonts w:ascii="宋体" w:hAnsi="宋体" w:cs="宋体"/>
          <w:color w:val="auto"/>
          <w:sz w:val="24"/>
          <w:highlight w:val="none"/>
        </w:rPr>
      </w:pPr>
    </w:p>
    <w:p w14:paraId="5052CA91">
      <w:pPr>
        <w:spacing w:line="360" w:lineRule="auto"/>
        <w:jc w:val="left"/>
        <w:rPr>
          <w:rFonts w:ascii="宋体" w:hAnsi="宋体" w:cs="宋体"/>
          <w:color w:val="auto"/>
          <w:sz w:val="24"/>
          <w:highlight w:val="none"/>
        </w:rPr>
      </w:pPr>
    </w:p>
    <w:p w14:paraId="650ED360">
      <w:pPr>
        <w:spacing w:line="360" w:lineRule="auto"/>
        <w:jc w:val="left"/>
        <w:rPr>
          <w:rFonts w:ascii="宋体" w:hAnsi="宋体" w:cs="宋体"/>
          <w:color w:val="auto"/>
          <w:sz w:val="24"/>
          <w:highlight w:val="none"/>
        </w:rPr>
      </w:pPr>
    </w:p>
    <w:p w14:paraId="1ED2EAE3">
      <w:pPr>
        <w:spacing w:line="360" w:lineRule="auto"/>
        <w:jc w:val="left"/>
        <w:rPr>
          <w:rFonts w:ascii="宋体" w:hAnsi="宋体" w:cs="宋体"/>
          <w:color w:val="auto"/>
          <w:sz w:val="24"/>
          <w:highlight w:val="none"/>
        </w:rPr>
      </w:pPr>
    </w:p>
    <w:p w14:paraId="5629256E">
      <w:pPr>
        <w:spacing w:line="360" w:lineRule="auto"/>
        <w:jc w:val="left"/>
        <w:rPr>
          <w:rFonts w:ascii="宋体" w:hAnsi="宋体" w:cs="宋体"/>
          <w:color w:val="auto"/>
          <w:sz w:val="24"/>
          <w:highlight w:val="none"/>
        </w:rPr>
      </w:pPr>
    </w:p>
    <w:p w14:paraId="281A1DC3">
      <w:pPr>
        <w:spacing w:line="360" w:lineRule="auto"/>
        <w:jc w:val="left"/>
        <w:rPr>
          <w:rFonts w:ascii="宋体" w:hAnsi="宋体" w:cs="宋体"/>
          <w:color w:val="auto"/>
          <w:sz w:val="24"/>
          <w:highlight w:val="none"/>
        </w:rPr>
      </w:pPr>
    </w:p>
    <w:p w14:paraId="23D8273C">
      <w:pPr>
        <w:spacing w:line="360" w:lineRule="auto"/>
        <w:jc w:val="left"/>
        <w:rPr>
          <w:rFonts w:ascii="宋体" w:hAnsi="宋体" w:cs="宋体"/>
          <w:color w:val="auto"/>
          <w:sz w:val="24"/>
          <w:highlight w:val="none"/>
        </w:rPr>
      </w:pPr>
    </w:p>
    <w:p w14:paraId="48C518F2">
      <w:pPr>
        <w:spacing w:line="360" w:lineRule="auto"/>
        <w:jc w:val="left"/>
        <w:rPr>
          <w:rFonts w:ascii="宋体" w:hAnsi="宋体" w:cs="宋体"/>
          <w:color w:val="auto"/>
          <w:sz w:val="24"/>
          <w:highlight w:val="none"/>
        </w:rPr>
      </w:pPr>
    </w:p>
    <w:p w14:paraId="33DD2B9C">
      <w:pPr>
        <w:spacing w:line="360" w:lineRule="auto"/>
        <w:jc w:val="left"/>
        <w:rPr>
          <w:rFonts w:ascii="宋体" w:hAnsi="宋体" w:cs="宋体"/>
          <w:color w:val="auto"/>
          <w:sz w:val="24"/>
          <w:highlight w:val="none"/>
        </w:rPr>
      </w:pPr>
    </w:p>
    <w:p w14:paraId="3E34E452">
      <w:pPr>
        <w:spacing w:line="360" w:lineRule="auto"/>
        <w:jc w:val="left"/>
        <w:rPr>
          <w:rFonts w:ascii="宋体" w:hAnsi="宋体" w:cs="宋体"/>
          <w:color w:val="auto"/>
          <w:sz w:val="24"/>
          <w:highlight w:val="none"/>
        </w:rPr>
      </w:pPr>
    </w:p>
    <w:p w14:paraId="2DF79053">
      <w:pPr>
        <w:spacing w:line="360" w:lineRule="auto"/>
        <w:jc w:val="left"/>
        <w:rPr>
          <w:rFonts w:ascii="宋体" w:hAnsi="宋体" w:cs="宋体"/>
          <w:color w:val="auto"/>
          <w:sz w:val="24"/>
          <w:highlight w:val="none"/>
        </w:rPr>
      </w:pPr>
    </w:p>
    <w:p w14:paraId="00BAFB0A">
      <w:pPr>
        <w:spacing w:line="360" w:lineRule="auto"/>
        <w:jc w:val="left"/>
        <w:rPr>
          <w:rFonts w:ascii="宋体" w:hAnsi="宋体" w:cs="宋体"/>
          <w:color w:val="auto"/>
          <w:sz w:val="24"/>
          <w:highlight w:val="none"/>
        </w:rPr>
      </w:pPr>
    </w:p>
    <w:p w14:paraId="3345EB14">
      <w:pPr>
        <w:spacing w:line="360" w:lineRule="auto"/>
        <w:jc w:val="left"/>
        <w:rPr>
          <w:rFonts w:ascii="宋体" w:hAnsi="宋体" w:cs="宋体"/>
          <w:color w:val="auto"/>
          <w:sz w:val="24"/>
          <w:highlight w:val="none"/>
        </w:rPr>
      </w:pPr>
    </w:p>
    <w:p w14:paraId="60BC5441">
      <w:pPr>
        <w:spacing w:line="360" w:lineRule="auto"/>
        <w:jc w:val="left"/>
        <w:rPr>
          <w:rFonts w:ascii="宋体" w:hAnsi="宋体" w:cs="宋体"/>
          <w:color w:val="auto"/>
          <w:sz w:val="24"/>
          <w:highlight w:val="none"/>
        </w:rPr>
      </w:pPr>
    </w:p>
    <w:p w14:paraId="549B7129">
      <w:pPr>
        <w:spacing w:line="360" w:lineRule="auto"/>
        <w:jc w:val="left"/>
        <w:rPr>
          <w:rFonts w:ascii="宋体" w:hAnsi="宋体" w:cs="宋体"/>
          <w:color w:val="auto"/>
          <w:sz w:val="24"/>
          <w:highlight w:val="none"/>
        </w:rPr>
      </w:pPr>
    </w:p>
    <w:p w14:paraId="00AEAB92">
      <w:pPr>
        <w:spacing w:line="360" w:lineRule="auto"/>
        <w:jc w:val="left"/>
        <w:rPr>
          <w:rFonts w:ascii="宋体" w:hAnsi="宋体" w:cs="宋体"/>
          <w:color w:val="auto"/>
          <w:sz w:val="24"/>
          <w:highlight w:val="none"/>
        </w:rPr>
      </w:pPr>
    </w:p>
    <w:p w14:paraId="56929749">
      <w:pPr>
        <w:spacing w:line="360" w:lineRule="auto"/>
        <w:jc w:val="left"/>
        <w:rPr>
          <w:rFonts w:ascii="宋体" w:hAnsi="宋体" w:cs="宋体"/>
          <w:color w:val="auto"/>
          <w:sz w:val="24"/>
          <w:highlight w:val="none"/>
        </w:rPr>
      </w:pPr>
    </w:p>
    <w:p w14:paraId="573D5107">
      <w:pPr>
        <w:spacing w:line="360" w:lineRule="auto"/>
        <w:jc w:val="left"/>
        <w:rPr>
          <w:rFonts w:ascii="宋体" w:hAnsi="宋体" w:cs="宋体"/>
          <w:color w:val="auto"/>
          <w:sz w:val="24"/>
          <w:highlight w:val="none"/>
        </w:rPr>
      </w:pPr>
    </w:p>
    <w:p w14:paraId="5FF073D8">
      <w:pPr>
        <w:spacing w:line="360" w:lineRule="auto"/>
        <w:jc w:val="left"/>
        <w:rPr>
          <w:rFonts w:ascii="宋体" w:hAnsi="宋体" w:cs="宋体"/>
          <w:color w:val="auto"/>
          <w:sz w:val="24"/>
          <w:highlight w:val="none"/>
        </w:rPr>
      </w:pPr>
    </w:p>
    <w:p w14:paraId="3A13C368">
      <w:pPr>
        <w:spacing w:line="360" w:lineRule="auto"/>
        <w:jc w:val="left"/>
        <w:rPr>
          <w:rFonts w:ascii="宋体" w:hAnsi="宋体" w:cs="宋体"/>
          <w:color w:val="auto"/>
          <w:sz w:val="24"/>
          <w:highlight w:val="none"/>
        </w:rPr>
      </w:pPr>
    </w:p>
    <w:p w14:paraId="0C2CABD3">
      <w:pPr>
        <w:spacing w:line="360" w:lineRule="auto"/>
        <w:jc w:val="left"/>
        <w:rPr>
          <w:rFonts w:ascii="宋体" w:hAnsi="宋体" w:cs="宋体"/>
          <w:color w:val="auto"/>
          <w:sz w:val="24"/>
          <w:highlight w:val="none"/>
        </w:rPr>
      </w:pPr>
    </w:p>
    <w:p w14:paraId="3B99A150">
      <w:pPr>
        <w:spacing w:line="360" w:lineRule="auto"/>
        <w:jc w:val="left"/>
        <w:rPr>
          <w:rFonts w:ascii="宋体" w:hAnsi="宋体" w:cs="宋体"/>
          <w:color w:val="auto"/>
          <w:sz w:val="24"/>
          <w:highlight w:val="none"/>
        </w:rPr>
      </w:pPr>
    </w:p>
    <w:p w14:paraId="71320314">
      <w:pPr>
        <w:spacing w:line="360" w:lineRule="auto"/>
        <w:jc w:val="left"/>
        <w:rPr>
          <w:rFonts w:ascii="宋体" w:hAnsi="宋体" w:cs="宋体"/>
          <w:color w:val="auto"/>
          <w:sz w:val="24"/>
          <w:highlight w:val="none"/>
        </w:rPr>
      </w:pPr>
    </w:p>
    <w:p w14:paraId="19C1B325">
      <w:pPr>
        <w:spacing w:line="360" w:lineRule="auto"/>
        <w:jc w:val="left"/>
        <w:rPr>
          <w:rFonts w:ascii="宋体" w:hAnsi="宋体" w:cs="宋体"/>
          <w:color w:val="auto"/>
          <w:sz w:val="24"/>
          <w:highlight w:val="none"/>
        </w:rPr>
      </w:pPr>
    </w:p>
    <w:p w14:paraId="6BBC6759">
      <w:pPr>
        <w:spacing w:line="360" w:lineRule="auto"/>
        <w:jc w:val="left"/>
        <w:rPr>
          <w:rFonts w:ascii="宋体" w:hAnsi="宋体" w:cs="宋体"/>
          <w:color w:val="auto"/>
          <w:sz w:val="24"/>
          <w:highlight w:val="none"/>
        </w:rPr>
      </w:pPr>
    </w:p>
    <w:p w14:paraId="39B024F4">
      <w:pPr>
        <w:spacing w:line="360" w:lineRule="auto"/>
        <w:jc w:val="left"/>
        <w:rPr>
          <w:rFonts w:ascii="宋体" w:hAnsi="宋体" w:cs="宋体"/>
          <w:color w:val="auto"/>
          <w:sz w:val="24"/>
          <w:highlight w:val="none"/>
        </w:rPr>
      </w:pPr>
    </w:p>
    <w:p w14:paraId="28FC8468">
      <w:pPr>
        <w:spacing w:line="360" w:lineRule="auto"/>
        <w:jc w:val="left"/>
        <w:rPr>
          <w:rFonts w:ascii="宋体" w:hAnsi="宋体" w:cs="宋体"/>
          <w:color w:val="auto"/>
          <w:sz w:val="24"/>
          <w:highlight w:val="none"/>
        </w:rPr>
      </w:pPr>
      <w:r>
        <w:rPr>
          <w:rFonts w:hint="eastAsia" w:ascii="宋体" w:hAnsi="宋体" w:cs="宋体"/>
          <w:color w:val="auto"/>
          <w:sz w:val="24"/>
          <w:highlight w:val="none"/>
        </w:rPr>
        <w:t>格式3</w:t>
      </w:r>
    </w:p>
    <w:p w14:paraId="067EA9F4">
      <w:pPr>
        <w:spacing w:line="560" w:lineRule="exact"/>
        <w:jc w:val="center"/>
        <w:rPr>
          <w:rFonts w:ascii="宋体" w:hAnsi="宋体" w:cs="宋体"/>
          <w:color w:val="auto"/>
          <w:sz w:val="24"/>
          <w:highlight w:val="none"/>
        </w:rPr>
      </w:pPr>
      <w:r>
        <w:rPr>
          <w:rFonts w:hint="eastAsia" w:ascii="宋体" w:hAnsi="宋体" w:cs="宋体"/>
          <w:color w:val="auto"/>
          <w:sz w:val="24"/>
          <w:highlight w:val="none"/>
        </w:rPr>
        <w:t>投标函</w:t>
      </w:r>
    </w:p>
    <w:p w14:paraId="5F89C851">
      <w:pPr>
        <w:pStyle w:val="24"/>
        <w:shd w:val="clear" w:color="auto" w:fill="FFFFFF"/>
        <w:adjustRightInd w:val="0"/>
        <w:snapToGrid w:val="0"/>
        <w:spacing w:before="0" w:beforeAutospacing="0" w:after="0" w:afterAutospacing="0" w:line="360" w:lineRule="auto"/>
        <w:rPr>
          <w:rFonts w:cs="宋体"/>
          <w:color w:val="auto"/>
          <w:highlight w:val="none"/>
        </w:rPr>
      </w:pPr>
      <w:r>
        <w:rPr>
          <w:rFonts w:hint="eastAsia" w:cs="宋体"/>
          <w:color w:val="auto"/>
          <w:szCs w:val="24"/>
          <w:highlight w:val="none"/>
        </w:rPr>
        <w:t>致：</w:t>
      </w:r>
      <w:r>
        <w:rPr>
          <w:rFonts w:hint="eastAsia" w:cs="宋体"/>
          <w:color w:val="auto"/>
          <w:kern w:val="2"/>
          <w:highlight w:val="none"/>
        </w:rPr>
        <w:t>（采购人或采购代理机构）</w:t>
      </w:r>
    </w:p>
    <w:p w14:paraId="5F2E74E2">
      <w:pPr>
        <w:pStyle w:val="56"/>
        <w:ind w:firstLine="600" w:firstLineChars="250"/>
        <w:rPr>
          <w:rFonts w:ascii="宋体" w:hAnsi="宋体"/>
          <w:color w:val="auto"/>
          <w:sz w:val="24"/>
          <w:szCs w:val="24"/>
          <w:highlight w:val="none"/>
        </w:rPr>
      </w:pPr>
      <w:r>
        <w:rPr>
          <w:rFonts w:hint="eastAsia" w:ascii="宋体" w:hAnsi="宋体"/>
          <w:color w:val="auto"/>
          <w:sz w:val="24"/>
          <w:szCs w:val="24"/>
          <w:highlight w:val="none"/>
        </w:rPr>
        <w:t>根据贵方</w:t>
      </w:r>
      <w:r>
        <w:rPr>
          <w:rFonts w:hint="eastAsia" w:ascii="宋体" w:hAnsi="宋体"/>
          <w:color w:val="auto"/>
          <w:sz w:val="24"/>
          <w:szCs w:val="24"/>
          <w:highlight w:val="none"/>
          <w:u w:val="single"/>
        </w:rPr>
        <w:t>（本项目名称）</w:t>
      </w:r>
      <w:r>
        <w:rPr>
          <w:rFonts w:hint="eastAsia" w:ascii="宋体" w:hAnsi="宋体"/>
          <w:color w:val="auto"/>
          <w:sz w:val="24"/>
          <w:szCs w:val="24"/>
          <w:highlight w:val="none"/>
        </w:rPr>
        <w:t>项目的竞争性磋商邀请（项目编号</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），委托代理人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签字</w:t>
      </w:r>
      <w:r>
        <w:rPr>
          <w:rFonts w:hint="eastAsia" w:ascii="宋体" w:hAnsi="宋体"/>
          <w:color w:val="auto"/>
          <w:sz w:val="24"/>
          <w:szCs w:val="24"/>
          <w:highlight w:val="none"/>
          <w:u w:val="single"/>
        </w:rPr>
        <w:t>)</w:t>
      </w:r>
      <w:r>
        <w:rPr>
          <w:rFonts w:hint="eastAsia" w:ascii="宋体" w:hAnsi="宋体"/>
          <w:color w:val="auto"/>
          <w:sz w:val="24"/>
          <w:szCs w:val="24"/>
          <w:highlight w:val="none"/>
        </w:rPr>
        <w:t>代表</w:t>
      </w:r>
      <w:r>
        <w:rPr>
          <w:rFonts w:hint="eastAsia" w:ascii="宋体" w:hAnsi="宋体"/>
          <w:color w:val="auto"/>
          <w:sz w:val="24"/>
          <w:szCs w:val="24"/>
          <w:highlight w:val="none"/>
          <w:u w:val="single"/>
        </w:rPr>
        <w:t xml:space="preserve">      （供应商名称、地址)</w:t>
      </w:r>
      <w:r>
        <w:rPr>
          <w:rFonts w:hint="eastAsia" w:ascii="宋体" w:hAnsi="宋体"/>
          <w:color w:val="auto"/>
          <w:sz w:val="24"/>
          <w:szCs w:val="24"/>
          <w:highlight w:val="none"/>
        </w:rPr>
        <w:t>签字并提交投标文件，报价为</w:t>
      </w:r>
      <w:r>
        <w:rPr>
          <w:rFonts w:hint="eastAsia" w:ascii="宋体" w:hAnsi="宋体"/>
          <w:color w:val="auto"/>
          <w:sz w:val="24"/>
          <w:szCs w:val="24"/>
          <w:highlight w:val="none"/>
          <w:u w:val="single"/>
        </w:rPr>
        <w:t>：     ，</w:t>
      </w:r>
      <w:r>
        <w:rPr>
          <w:rFonts w:hint="eastAsia" w:ascii="宋体" w:hAnsi="宋体"/>
          <w:color w:val="auto"/>
          <w:sz w:val="24"/>
          <w:szCs w:val="24"/>
          <w:highlight w:val="none"/>
        </w:rPr>
        <w:t>并对之负法律责任。</w:t>
      </w:r>
    </w:p>
    <w:p w14:paraId="1DE5983F">
      <w:pPr>
        <w:ind w:firstLine="568" w:firstLineChars="237"/>
        <w:rPr>
          <w:rFonts w:ascii="宋体" w:hAnsi="宋体" w:cs="宋体"/>
          <w:color w:val="auto"/>
          <w:sz w:val="24"/>
          <w:highlight w:val="none"/>
        </w:rPr>
      </w:pPr>
      <w:r>
        <w:rPr>
          <w:rFonts w:hint="eastAsia" w:ascii="宋体" w:hAnsi="宋体" w:cs="宋体"/>
          <w:color w:val="auto"/>
          <w:sz w:val="24"/>
          <w:highlight w:val="none"/>
        </w:rPr>
        <w:t>据此函，宣布同意如下：</w:t>
      </w:r>
    </w:p>
    <w:p w14:paraId="0751E7A7">
      <w:pPr>
        <w:ind w:firstLine="480" w:firstLineChars="200"/>
        <w:rPr>
          <w:rFonts w:ascii="宋体" w:hAnsi="宋体" w:cs="宋体"/>
          <w:color w:val="auto"/>
          <w:sz w:val="24"/>
          <w:highlight w:val="none"/>
        </w:rPr>
      </w:pPr>
      <w:r>
        <w:rPr>
          <w:rFonts w:hint="eastAsia" w:ascii="宋体" w:hAnsi="宋体" w:cs="宋体"/>
          <w:color w:val="auto"/>
          <w:sz w:val="24"/>
          <w:highlight w:val="none"/>
        </w:rPr>
        <w:t>(1)我们完全理解贵方不一定要接受最低报价，并同意本文件规定的服务期。</w:t>
      </w:r>
    </w:p>
    <w:p w14:paraId="5044479C">
      <w:pPr>
        <w:ind w:firstLine="480" w:firstLineChars="200"/>
        <w:rPr>
          <w:rFonts w:ascii="宋体" w:hAnsi="宋体" w:cs="宋体"/>
          <w:color w:val="auto"/>
          <w:sz w:val="24"/>
          <w:highlight w:val="none"/>
        </w:rPr>
      </w:pPr>
      <w:r>
        <w:rPr>
          <w:rFonts w:hint="eastAsia" w:ascii="宋体" w:hAnsi="宋体" w:cs="宋体"/>
          <w:color w:val="auto"/>
          <w:sz w:val="24"/>
          <w:highlight w:val="none"/>
        </w:rPr>
        <w:t>(2)我们已详细审核全部竞争性磋商文件，我们知道必须放弃提出含糊不清或误解的问题的权利。</w:t>
      </w:r>
    </w:p>
    <w:p w14:paraId="1A649109">
      <w:pPr>
        <w:numPr>
          <w:ilvl w:val="0"/>
          <w:numId w:val="7"/>
        </w:numPr>
        <w:ind w:firstLine="480" w:firstLineChars="200"/>
        <w:rPr>
          <w:rFonts w:ascii="宋体" w:hAnsi="宋体" w:cs="宋体"/>
          <w:color w:val="auto"/>
          <w:sz w:val="24"/>
          <w:highlight w:val="none"/>
        </w:rPr>
      </w:pPr>
      <w:r>
        <w:rPr>
          <w:rFonts w:hint="eastAsia" w:ascii="宋体" w:hAnsi="宋体" w:cs="宋体"/>
          <w:color w:val="auto"/>
          <w:sz w:val="24"/>
          <w:highlight w:val="none"/>
        </w:rPr>
        <w:t>同意向贵方提供贵方可能另外要求的与其竞争性磋商有关的任何证据和资料。</w:t>
      </w:r>
    </w:p>
    <w:p w14:paraId="431444DB">
      <w:pPr>
        <w:ind w:firstLine="480" w:firstLineChars="200"/>
        <w:rPr>
          <w:rFonts w:ascii="宋体" w:hAnsi="宋体" w:cs="宋体"/>
          <w:color w:val="auto"/>
          <w:sz w:val="24"/>
          <w:highlight w:val="none"/>
        </w:rPr>
      </w:pPr>
      <w:r>
        <w:rPr>
          <w:rFonts w:hint="eastAsia" w:ascii="宋体" w:hAnsi="宋体" w:cs="宋体"/>
          <w:color w:val="auto"/>
          <w:sz w:val="24"/>
          <w:highlight w:val="none"/>
        </w:rPr>
        <w:t>(4)一旦我们成交，我们将严格履行合同责任和义务。</w:t>
      </w:r>
    </w:p>
    <w:p w14:paraId="5F3D9243">
      <w:pPr>
        <w:ind w:firstLine="480" w:firstLineChars="200"/>
        <w:rPr>
          <w:rFonts w:ascii="宋体" w:hAnsi="宋体" w:cs="宋体"/>
          <w:color w:val="auto"/>
          <w:sz w:val="24"/>
          <w:highlight w:val="none"/>
        </w:rPr>
      </w:pPr>
      <w:r>
        <w:rPr>
          <w:rFonts w:hint="eastAsia" w:ascii="宋体" w:hAnsi="宋体" w:cs="宋体"/>
          <w:color w:val="auto"/>
          <w:sz w:val="24"/>
          <w:highlight w:val="none"/>
        </w:rPr>
        <w:t>(5)我们完全理解不向未成交人解释未成交理由的义务。</w:t>
      </w:r>
    </w:p>
    <w:p w14:paraId="0F3190E0">
      <w:pPr>
        <w:ind w:firstLine="480" w:firstLineChars="200"/>
        <w:rPr>
          <w:rFonts w:ascii="宋体" w:hAnsi="宋体" w:cs="宋体"/>
          <w:color w:val="auto"/>
          <w:sz w:val="24"/>
          <w:highlight w:val="none"/>
          <w:lang w:val="zh-CN"/>
        </w:rPr>
      </w:pPr>
      <w:r>
        <w:rPr>
          <w:rFonts w:hint="eastAsia" w:ascii="宋体" w:hAnsi="宋体" w:cs="宋体"/>
          <w:color w:val="auto"/>
          <w:sz w:val="24"/>
          <w:highlight w:val="none"/>
        </w:rPr>
        <w:t>(6)</w:t>
      </w:r>
      <w:r>
        <w:rPr>
          <w:rFonts w:hint="eastAsia" w:ascii="宋体" w:hAnsi="宋体" w:cs="宋体"/>
          <w:color w:val="auto"/>
          <w:sz w:val="24"/>
          <w:highlight w:val="none"/>
          <w:lang w:val="zh-CN"/>
        </w:rPr>
        <w:t>如果我们的谈判响应文件被接受，我们将履行谈判文件中规定的每一项要求，按期、按质、按量履行合同。</w:t>
      </w:r>
    </w:p>
    <w:p w14:paraId="23017E35">
      <w:pPr>
        <w:ind w:firstLine="480" w:firstLineChars="200"/>
        <w:rPr>
          <w:rFonts w:ascii="宋体" w:hAnsi="宋体" w:cs="宋体"/>
          <w:color w:val="auto"/>
          <w:sz w:val="24"/>
          <w:highlight w:val="none"/>
        </w:rPr>
      </w:pPr>
      <w:r>
        <w:rPr>
          <w:rFonts w:hint="eastAsia" w:ascii="宋体" w:hAnsi="宋体" w:cs="宋体"/>
          <w:color w:val="auto"/>
          <w:sz w:val="24"/>
          <w:highlight w:val="none"/>
        </w:rPr>
        <w:t>(7)</w:t>
      </w:r>
      <w:r>
        <w:rPr>
          <w:rFonts w:hint="eastAsia" w:ascii="宋体" w:hAnsi="宋体" w:cs="宋体"/>
          <w:color w:val="auto"/>
          <w:sz w:val="24"/>
          <w:highlight w:val="none"/>
          <w:lang w:val="zh-CN"/>
        </w:rPr>
        <w:t>我方愿按《中华人民共和国</w:t>
      </w:r>
      <w:r>
        <w:rPr>
          <w:rFonts w:hint="eastAsia" w:ascii="宋体" w:hAnsi="宋体" w:cs="宋体"/>
          <w:color w:val="auto"/>
          <w:sz w:val="24"/>
          <w:highlight w:val="none"/>
        </w:rPr>
        <w:t>民法典</w:t>
      </w:r>
      <w:r>
        <w:rPr>
          <w:rFonts w:hint="eastAsia" w:ascii="宋体" w:hAnsi="宋体" w:cs="宋体"/>
          <w:color w:val="auto"/>
          <w:sz w:val="24"/>
          <w:highlight w:val="none"/>
          <w:lang w:val="zh-CN"/>
        </w:rPr>
        <w:t>》履行我方的全部责任。</w:t>
      </w:r>
    </w:p>
    <w:p w14:paraId="39153281">
      <w:pPr>
        <w:ind w:firstLine="480" w:firstLineChars="200"/>
        <w:rPr>
          <w:rFonts w:ascii="宋体" w:hAnsi="宋体" w:cs="宋体"/>
          <w:color w:val="auto"/>
          <w:sz w:val="24"/>
          <w:highlight w:val="none"/>
        </w:rPr>
      </w:pPr>
      <w:r>
        <w:rPr>
          <w:rFonts w:hint="eastAsia" w:ascii="宋体" w:hAnsi="宋体" w:cs="宋体"/>
          <w:color w:val="auto"/>
          <w:sz w:val="24"/>
          <w:highlight w:val="none"/>
        </w:rPr>
        <w:t>(8)与本次竞争性磋商有关的正式通讯地址为：</w:t>
      </w:r>
    </w:p>
    <w:p w14:paraId="7CCB6BFD">
      <w:pPr>
        <w:ind w:firstLine="480" w:firstLineChars="200"/>
        <w:rPr>
          <w:rFonts w:ascii="宋体" w:hAnsi="宋体" w:cs="宋体"/>
          <w:color w:val="auto"/>
          <w:sz w:val="24"/>
          <w:highlight w:val="none"/>
        </w:rPr>
      </w:pPr>
      <w:r>
        <w:rPr>
          <w:rFonts w:hint="eastAsia" w:ascii="宋体" w:hAnsi="宋体" w:cs="宋体"/>
          <w:color w:val="auto"/>
          <w:sz w:val="24"/>
          <w:highlight w:val="none"/>
        </w:rPr>
        <w:t>地 址：                  邮 编：</w:t>
      </w:r>
    </w:p>
    <w:p w14:paraId="78288315">
      <w:pPr>
        <w:ind w:firstLine="480" w:firstLineChars="200"/>
        <w:rPr>
          <w:rFonts w:ascii="宋体" w:hAnsi="宋体" w:cs="宋体"/>
          <w:color w:val="auto"/>
          <w:sz w:val="24"/>
          <w:highlight w:val="none"/>
        </w:rPr>
      </w:pPr>
      <w:r>
        <w:rPr>
          <w:rFonts w:hint="eastAsia" w:ascii="宋体" w:hAnsi="宋体" w:cs="宋体"/>
          <w:color w:val="auto"/>
          <w:sz w:val="24"/>
          <w:highlight w:val="none"/>
        </w:rPr>
        <w:t>电 话：                  电子信箱：</w:t>
      </w:r>
    </w:p>
    <w:p w14:paraId="75418FB3">
      <w:pPr>
        <w:ind w:firstLine="480" w:firstLineChars="200"/>
        <w:jc w:val="left"/>
        <w:rPr>
          <w:rFonts w:ascii="宋体" w:hAnsi="宋体" w:cs="宋体"/>
          <w:color w:val="auto"/>
          <w:sz w:val="24"/>
          <w:highlight w:val="none"/>
        </w:rPr>
      </w:pPr>
      <w:r>
        <w:rPr>
          <w:rFonts w:hint="eastAsia" w:ascii="宋体" w:hAnsi="宋体" w:cs="宋体"/>
          <w:color w:val="auto"/>
          <w:sz w:val="24"/>
          <w:highlight w:val="none"/>
        </w:rPr>
        <w:t>我们保证：</w:t>
      </w:r>
    </w:p>
    <w:p w14:paraId="6246BFAB">
      <w:pPr>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(1)不提供虚假材料谋取成交；</w:t>
      </w:r>
    </w:p>
    <w:p w14:paraId="64D1D925">
      <w:pPr>
        <w:ind w:firstLine="480" w:firstLineChars="200"/>
        <w:jc w:val="left"/>
        <w:rPr>
          <w:rFonts w:ascii="宋体" w:hAnsi="宋体" w:cs="宋体"/>
          <w:color w:val="auto"/>
          <w:sz w:val="24"/>
          <w:highlight w:val="none"/>
        </w:rPr>
      </w:pPr>
      <w:r>
        <w:rPr>
          <w:rFonts w:hint="eastAsia" w:ascii="宋体" w:hAnsi="宋体" w:cs="宋体"/>
          <w:color w:val="auto"/>
          <w:sz w:val="24"/>
          <w:highlight w:val="none"/>
        </w:rPr>
        <w:t>(2)不以不正当手段抵毁、排挤其他供应商；</w:t>
      </w:r>
    </w:p>
    <w:p w14:paraId="0A11CE95">
      <w:pPr>
        <w:ind w:firstLine="480" w:firstLineChars="200"/>
        <w:jc w:val="left"/>
        <w:rPr>
          <w:rFonts w:ascii="宋体" w:hAnsi="宋体" w:cs="宋体"/>
          <w:color w:val="auto"/>
          <w:sz w:val="24"/>
          <w:highlight w:val="none"/>
        </w:rPr>
      </w:pPr>
      <w:r>
        <w:rPr>
          <w:rFonts w:hint="eastAsia" w:ascii="宋体" w:hAnsi="宋体" w:cs="宋体"/>
          <w:color w:val="auto"/>
          <w:sz w:val="24"/>
          <w:highlight w:val="none"/>
        </w:rPr>
        <w:t>(3)不与采购人和其它供应商恶意串通；</w:t>
      </w:r>
    </w:p>
    <w:p w14:paraId="0C3166F2">
      <w:pPr>
        <w:ind w:firstLine="480" w:firstLineChars="200"/>
        <w:jc w:val="left"/>
        <w:rPr>
          <w:rFonts w:ascii="宋体" w:hAnsi="宋体" w:cs="宋体"/>
          <w:color w:val="auto"/>
          <w:sz w:val="24"/>
          <w:highlight w:val="none"/>
        </w:rPr>
      </w:pPr>
      <w:r>
        <w:rPr>
          <w:rFonts w:hint="eastAsia" w:ascii="宋体" w:hAnsi="宋体" w:cs="宋体"/>
          <w:color w:val="auto"/>
          <w:sz w:val="24"/>
          <w:highlight w:val="none"/>
        </w:rPr>
        <w:t>(4)不向采购人和采购代理机构提供不正当利益；</w:t>
      </w:r>
    </w:p>
    <w:p w14:paraId="0FFE1E97">
      <w:pPr>
        <w:ind w:firstLine="480" w:firstLineChars="200"/>
        <w:jc w:val="left"/>
        <w:rPr>
          <w:rFonts w:ascii="宋体" w:hAnsi="宋体" w:cs="宋体"/>
          <w:color w:val="auto"/>
          <w:sz w:val="24"/>
          <w:highlight w:val="none"/>
        </w:rPr>
      </w:pPr>
      <w:r>
        <w:rPr>
          <w:rFonts w:hint="eastAsia" w:ascii="宋体" w:hAnsi="宋体" w:cs="宋体"/>
          <w:color w:val="auto"/>
          <w:sz w:val="24"/>
          <w:highlight w:val="none"/>
        </w:rPr>
        <w:t>(5)不拒绝有关部门监督检查或提供虚假情况。</w:t>
      </w:r>
    </w:p>
    <w:p w14:paraId="1C8AB0F0">
      <w:pPr>
        <w:spacing w:line="560" w:lineRule="exact"/>
        <w:jc w:val="left"/>
        <w:rPr>
          <w:rFonts w:ascii="宋体" w:hAnsi="宋体" w:cs="宋体"/>
          <w:color w:val="auto"/>
          <w:sz w:val="24"/>
          <w:highlight w:val="none"/>
        </w:rPr>
      </w:pPr>
    </w:p>
    <w:p w14:paraId="6A754B04">
      <w:pPr>
        <w:spacing w:line="560" w:lineRule="exact"/>
        <w:jc w:val="left"/>
        <w:rPr>
          <w:rFonts w:ascii="宋体" w:hAnsi="宋体" w:cs="宋体"/>
          <w:color w:val="auto"/>
          <w:sz w:val="24"/>
          <w:highlight w:val="none"/>
        </w:rPr>
      </w:pPr>
      <w:r>
        <w:rPr>
          <w:rFonts w:hint="eastAsia" w:ascii="宋体" w:hAnsi="宋体" w:cs="宋体"/>
          <w:color w:val="auto"/>
          <w:sz w:val="24"/>
          <w:highlight w:val="none"/>
        </w:rPr>
        <w:t xml:space="preserve">     联系人：              联系电话：</w:t>
      </w:r>
    </w:p>
    <w:p w14:paraId="356E75F2">
      <w:pPr>
        <w:spacing w:line="360" w:lineRule="auto"/>
        <w:ind w:firstLine="3840" w:firstLineChars="1600"/>
        <w:rPr>
          <w:rFonts w:ascii="宋体" w:hAnsi="宋体" w:cs="宋体"/>
          <w:color w:val="auto"/>
          <w:sz w:val="24"/>
          <w:highlight w:val="none"/>
        </w:rPr>
      </w:pPr>
      <w:r>
        <w:rPr>
          <w:rFonts w:hint="eastAsia" w:ascii="宋体" w:hAnsi="宋体" w:cs="宋体"/>
          <w:color w:val="auto"/>
          <w:sz w:val="24"/>
          <w:highlight w:val="none"/>
        </w:rPr>
        <w:t xml:space="preserve">供应商电子公章： </w:t>
      </w:r>
    </w:p>
    <w:p w14:paraId="465D392E">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年   月   日</w:t>
      </w:r>
    </w:p>
    <w:p w14:paraId="57906F78">
      <w:pPr>
        <w:spacing w:line="360" w:lineRule="auto"/>
        <w:jc w:val="left"/>
        <w:rPr>
          <w:rFonts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color w:val="auto"/>
          <w:sz w:val="24"/>
          <w:highlight w:val="none"/>
        </w:rPr>
        <w:t>格式4</w:t>
      </w:r>
    </w:p>
    <w:p w14:paraId="1436585F">
      <w:pPr>
        <w:pStyle w:val="4"/>
        <w:jc w:val="center"/>
        <w:rPr>
          <w:rFonts w:ascii="宋体" w:hAnsi="宋体" w:cs="宋体"/>
          <w:b w:val="0"/>
          <w:color w:val="auto"/>
          <w:sz w:val="24"/>
          <w:szCs w:val="24"/>
          <w:highlight w:val="none"/>
        </w:rPr>
      </w:pPr>
      <w:bookmarkStart w:id="34" w:name="_Toc495414231"/>
      <w:bookmarkStart w:id="35" w:name="_Toc197934561"/>
      <w:r>
        <w:rPr>
          <w:rFonts w:hint="eastAsia" w:ascii="宋体" w:hAnsi="宋体" w:cs="宋体"/>
          <w:b w:val="0"/>
          <w:color w:val="auto"/>
          <w:sz w:val="24"/>
          <w:szCs w:val="24"/>
          <w:highlight w:val="none"/>
        </w:rPr>
        <w:t>一．报价一览表</w:t>
      </w:r>
      <w:bookmarkEnd w:id="34"/>
      <w:bookmarkEnd w:id="35"/>
    </w:p>
    <w:tbl>
      <w:tblPr>
        <w:tblStyle w:val="27"/>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14:paraId="74B1A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471" w:type="dxa"/>
            <w:tcBorders>
              <w:top w:val="single" w:color="auto" w:sz="4" w:space="0"/>
              <w:bottom w:val="single" w:color="auto" w:sz="4" w:space="0"/>
              <w:right w:val="single" w:color="auto" w:sz="4" w:space="0"/>
            </w:tcBorders>
            <w:vAlign w:val="center"/>
          </w:tcPr>
          <w:p w14:paraId="3765C662">
            <w:pPr>
              <w:widowControl/>
              <w:spacing w:line="360" w:lineRule="exact"/>
              <w:jc w:val="center"/>
              <w:rPr>
                <w:rFonts w:ascii="宋体" w:hAnsi="宋体" w:cs="宋体"/>
                <w:color w:val="auto"/>
                <w:sz w:val="24"/>
                <w:highlight w:val="none"/>
              </w:rPr>
            </w:pPr>
            <w:r>
              <w:rPr>
                <w:rFonts w:hint="eastAsia" w:ascii="宋体" w:hAnsi="宋体" w:cs="宋体"/>
                <w:color w:val="auto"/>
                <w:sz w:val="24"/>
                <w:highlight w:val="none"/>
              </w:rPr>
              <w:t>项目名称</w:t>
            </w:r>
          </w:p>
        </w:tc>
        <w:tc>
          <w:tcPr>
            <w:tcW w:w="6667" w:type="dxa"/>
            <w:tcBorders>
              <w:top w:val="single" w:color="auto" w:sz="4" w:space="0"/>
              <w:bottom w:val="single" w:color="auto" w:sz="4" w:space="0"/>
              <w:right w:val="single" w:color="auto" w:sz="4" w:space="0"/>
            </w:tcBorders>
            <w:vAlign w:val="center"/>
          </w:tcPr>
          <w:p w14:paraId="60C47DC3">
            <w:pPr>
              <w:spacing w:line="360" w:lineRule="exact"/>
              <w:jc w:val="center"/>
              <w:rPr>
                <w:rFonts w:ascii="宋体" w:hAnsi="宋体" w:cs="宋体"/>
                <w:color w:val="auto"/>
                <w:sz w:val="24"/>
                <w:highlight w:val="none"/>
              </w:rPr>
            </w:pPr>
          </w:p>
        </w:tc>
      </w:tr>
      <w:tr w14:paraId="06AB7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14:paraId="6C869051">
            <w:pPr>
              <w:spacing w:line="360" w:lineRule="exact"/>
              <w:jc w:val="center"/>
              <w:rPr>
                <w:rFonts w:ascii="宋体" w:hAnsi="宋体" w:cs="宋体"/>
                <w:color w:val="auto"/>
                <w:sz w:val="24"/>
                <w:highlight w:val="none"/>
              </w:rPr>
            </w:pPr>
            <w:r>
              <w:rPr>
                <w:rFonts w:hint="eastAsia" w:ascii="宋体" w:hAnsi="宋体" w:cs="宋体"/>
                <w:color w:val="auto"/>
                <w:sz w:val="24"/>
                <w:highlight w:val="none"/>
              </w:rPr>
              <w:t>投标人全称</w:t>
            </w:r>
          </w:p>
        </w:tc>
        <w:tc>
          <w:tcPr>
            <w:tcW w:w="6667" w:type="dxa"/>
            <w:tcBorders>
              <w:top w:val="nil"/>
            </w:tcBorders>
            <w:vAlign w:val="center"/>
          </w:tcPr>
          <w:p w14:paraId="701BFCF5">
            <w:pPr>
              <w:spacing w:line="360" w:lineRule="auto"/>
              <w:rPr>
                <w:rFonts w:ascii="宋体" w:hAnsi="宋体" w:cs="宋体"/>
                <w:color w:val="auto"/>
                <w:sz w:val="24"/>
                <w:highlight w:val="none"/>
              </w:rPr>
            </w:pPr>
          </w:p>
        </w:tc>
      </w:tr>
      <w:tr w14:paraId="30DE1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14:paraId="4778A0EB">
            <w:pPr>
              <w:spacing w:line="360" w:lineRule="exact"/>
              <w:jc w:val="center"/>
              <w:rPr>
                <w:rFonts w:ascii="宋体" w:hAnsi="宋体" w:cs="宋体"/>
                <w:color w:val="auto"/>
                <w:sz w:val="24"/>
                <w:highlight w:val="none"/>
              </w:rPr>
            </w:pPr>
            <w:r>
              <w:rPr>
                <w:rFonts w:hint="eastAsia" w:ascii="宋体" w:hAnsi="宋体" w:cs="宋体"/>
                <w:color w:val="auto"/>
                <w:sz w:val="24"/>
                <w:highlight w:val="none"/>
              </w:rPr>
              <w:t>最终投标报价（包：）</w:t>
            </w:r>
          </w:p>
        </w:tc>
        <w:tc>
          <w:tcPr>
            <w:tcW w:w="6667" w:type="dxa"/>
            <w:tcBorders>
              <w:top w:val="nil"/>
            </w:tcBorders>
            <w:vAlign w:val="center"/>
          </w:tcPr>
          <w:p w14:paraId="05D1E327">
            <w:pPr>
              <w:spacing w:line="360" w:lineRule="auto"/>
              <w:ind w:right="-670"/>
              <w:rPr>
                <w:rFonts w:ascii="宋体" w:hAnsi="宋体" w:cs="宋体"/>
                <w:color w:val="auto"/>
                <w:sz w:val="24"/>
                <w:highlight w:val="none"/>
              </w:rPr>
            </w:pPr>
            <w:r>
              <w:rPr>
                <w:rFonts w:hint="eastAsia" w:ascii="宋体" w:hAnsi="宋体" w:cs="宋体"/>
                <w:color w:val="auto"/>
                <w:sz w:val="24"/>
                <w:highlight w:val="none"/>
              </w:rPr>
              <w:t xml:space="preserve">投标总价：       大写：           </w:t>
            </w:r>
          </w:p>
        </w:tc>
      </w:tr>
      <w:tr w14:paraId="7EB20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2471" w:type="dxa"/>
            <w:tcBorders>
              <w:top w:val="nil"/>
            </w:tcBorders>
            <w:vAlign w:val="center"/>
          </w:tcPr>
          <w:p w14:paraId="6F3D7D32">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备注</w:t>
            </w:r>
          </w:p>
        </w:tc>
        <w:tc>
          <w:tcPr>
            <w:tcW w:w="6667" w:type="dxa"/>
            <w:tcBorders>
              <w:top w:val="nil"/>
            </w:tcBorders>
            <w:vAlign w:val="center"/>
          </w:tcPr>
          <w:p w14:paraId="3FB94951">
            <w:pPr>
              <w:spacing w:line="360" w:lineRule="auto"/>
              <w:jc w:val="left"/>
              <w:rPr>
                <w:rFonts w:ascii="宋体" w:hAnsi="宋体" w:cs="宋体"/>
                <w:color w:val="auto"/>
                <w:sz w:val="24"/>
                <w:highlight w:val="none"/>
              </w:rPr>
            </w:pPr>
          </w:p>
        </w:tc>
      </w:tr>
    </w:tbl>
    <w:p w14:paraId="31F6E773">
      <w:pPr>
        <w:spacing w:line="360" w:lineRule="auto"/>
        <w:ind w:firstLine="3840" w:firstLineChars="1600"/>
        <w:rPr>
          <w:rFonts w:ascii="宋体" w:hAnsi="宋体" w:cs="宋体"/>
          <w:color w:val="auto"/>
          <w:sz w:val="24"/>
          <w:highlight w:val="none"/>
        </w:rPr>
      </w:pPr>
      <w:r>
        <w:rPr>
          <w:rFonts w:hint="eastAsia" w:ascii="宋体" w:hAnsi="宋体" w:cs="宋体"/>
          <w:color w:val="auto"/>
          <w:sz w:val="24"/>
          <w:highlight w:val="none"/>
        </w:rPr>
        <w:t xml:space="preserve">供应商电子公章： </w:t>
      </w:r>
    </w:p>
    <w:p w14:paraId="37C9A258">
      <w:pPr>
        <w:spacing w:line="360" w:lineRule="auto"/>
        <w:rPr>
          <w:rFonts w:ascii="宋体" w:hAnsi="宋体" w:cs="宋体"/>
          <w:color w:val="auto"/>
          <w:sz w:val="24"/>
          <w:highlight w:val="none"/>
        </w:rPr>
      </w:pPr>
      <w:r>
        <w:rPr>
          <w:rFonts w:hint="eastAsia" w:ascii="宋体" w:hAnsi="宋体" w:cs="宋体"/>
          <w:color w:val="auto"/>
          <w:sz w:val="24"/>
          <w:highlight w:val="none"/>
        </w:rPr>
        <w:t>备注：</w:t>
      </w:r>
    </w:p>
    <w:p w14:paraId="10CF1216">
      <w:pPr>
        <w:spacing w:line="360" w:lineRule="auto"/>
        <w:rPr>
          <w:rFonts w:ascii="宋体" w:hAnsi="宋体" w:cs="宋体"/>
          <w:color w:val="auto"/>
          <w:sz w:val="24"/>
          <w:highlight w:val="none"/>
        </w:rPr>
      </w:pPr>
      <w:r>
        <w:rPr>
          <w:rFonts w:hint="eastAsia" w:ascii="宋体" w:hAnsi="宋体" w:cs="宋体"/>
          <w:color w:val="auto"/>
          <w:sz w:val="24"/>
          <w:highlight w:val="none"/>
        </w:rPr>
        <w:t>1、此表用于开标会唱标之用。</w:t>
      </w:r>
    </w:p>
    <w:p w14:paraId="0395D75C">
      <w:pPr>
        <w:spacing w:line="360" w:lineRule="auto"/>
        <w:rPr>
          <w:rFonts w:ascii="宋体" w:hAnsi="宋体" w:cs="宋体"/>
          <w:color w:val="auto"/>
          <w:sz w:val="24"/>
          <w:highlight w:val="none"/>
        </w:rPr>
      </w:pPr>
      <w:r>
        <w:rPr>
          <w:rFonts w:hint="eastAsia" w:ascii="宋体" w:hAnsi="宋体" w:cs="宋体"/>
          <w:color w:val="auto"/>
          <w:sz w:val="24"/>
          <w:highlight w:val="none"/>
        </w:rPr>
        <w:t>2、表中最终投标报价即为优惠后报价，并作为评审及定标依据。任何有选择或有条件的最终投标报价，或者表中某一包填写多个报价，均为无效报价。</w:t>
      </w:r>
    </w:p>
    <w:p w14:paraId="48E7B972">
      <w:pPr>
        <w:spacing w:line="360" w:lineRule="auto"/>
        <w:jc w:val="left"/>
        <w:rPr>
          <w:rFonts w:ascii="宋体" w:hAnsi="宋体" w:cs="宋体"/>
          <w:color w:val="auto"/>
          <w:sz w:val="24"/>
          <w:highlight w:val="none"/>
        </w:rPr>
      </w:pPr>
      <w:bookmarkStart w:id="36" w:name="_Toc220232409"/>
      <w:bookmarkStart w:id="37" w:name="_Toc495414234"/>
    </w:p>
    <w:p w14:paraId="16555968">
      <w:pPr>
        <w:spacing w:line="360" w:lineRule="auto"/>
        <w:jc w:val="left"/>
        <w:rPr>
          <w:rFonts w:ascii="宋体" w:hAnsi="宋体" w:cs="宋体"/>
          <w:color w:val="auto"/>
          <w:sz w:val="24"/>
          <w:highlight w:val="none"/>
        </w:rPr>
      </w:pPr>
    </w:p>
    <w:p w14:paraId="0F64B069">
      <w:pPr>
        <w:pStyle w:val="36"/>
        <w:ind w:firstLine="240"/>
        <w:rPr>
          <w:rFonts w:ascii="宋体" w:hAnsi="宋体" w:cs="宋体"/>
          <w:color w:val="auto"/>
          <w:sz w:val="24"/>
          <w:highlight w:val="none"/>
        </w:rPr>
      </w:pPr>
    </w:p>
    <w:p w14:paraId="7CD4EC5B">
      <w:pPr>
        <w:pStyle w:val="36"/>
        <w:ind w:firstLine="240"/>
        <w:rPr>
          <w:rFonts w:ascii="宋体" w:hAnsi="宋体" w:cs="宋体"/>
          <w:color w:val="auto"/>
          <w:sz w:val="24"/>
          <w:highlight w:val="none"/>
        </w:rPr>
      </w:pPr>
    </w:p>
    <w:p w14:paraId="1FB93D41">
      <w:pPr>
        <w:pStyle w:val="36"/>
        <w:ind w:firstLine="240"/>
        <w:rPr>
          <w:rFonts w:ascii="宋体" w:hAnsi="宋体" w:cs="宋体"/>
          <w:color w:val="auto"/>
          <w:sz w:val="24"/>
          <w:highlight w:val="none"/>
        </w:rPr>
      </w:pPr>
    </w:p>
    <w:p w14:paraId="519820D5">
      <w:pPr>
        <w:pStyle w:val="36"/>
        <w:ind w:firstLine="240"/>
        <w:rPr>
          <w:rFonts w:ascii="宋体" w:hAnsi="宋体" w:cs="宋体"/>
          <w:color w:val="auto"/>
          <w:sz w:val="24"/>
          <w:highlight w:val="none"/>
        </w:rPr>
      </w:pPr>
    </w:p>
    <w:p w14:paraId="76960C74">
      <w:pPr>
        <w:pStyle w:val="36"/>
        <w:ind w:firstLine="240"/>
        <w:rPr>
          <w:rFonts w:ascii="宋体" w:hAnsi="宋体" w:cs="宋体"/>
          <w:color w:val="auto"/>
          <w:sz w:val="24"/>
          <w:highlight w:val="none"/>
        </w:rPr>
      </w:pPr>
    </w:p>
    <w:p w14:paraId="28F46CA3">
      <w:pPr>
        <w:spacing w:line="360" w:lineRule="auto"/>
        <w:jc w:val="left"/>
        <w:rPr>
          <w:rFonts w:ascii="宋体" w:hAnsi="宋体" w:cs="宋体"/>
          <w:color w:val="auto"/>
          <w:sz w:val="24"/>
          <w:highlight w:val="none"/>
        </w:rPr>
      </w:pPr>
    </w:p>
    <w:p w14:paraId="7418E3A1">
      <w:pPr>
        <w:spacing w:line="360" w:lineRule="auto"/>
        <w:jc w:val="left"/>
        <w:rPr>
          <w:rFonts w:ascii="宋体" w:hAnsi="宋体" w:cs="宋体"/>
          <w:color w:val="auto"/>
          <w:sz w:val="24"/>
          <w:highlight w:val="none"/>
        </w:rPr>
      </w:pPr>
      <w:r>
        <w:rPr>
          <w:rFonts w:hint="eastAsia" w:ascii="宋体" w:hAnsi="宋体" w:cs="宋体"/>
          <w:color w:val="auto"/>
          <w:sz w:val="24"/>
          <w:highlight w:val="none"/>
        </w:rPr>
        <w:t>格式5</w:t>
      </w:r>
    </w:p>
    <w:p w14:paraId="668C5F1C">
      <w:pPr>
        <w:pStyle w:val="4"/>
        <w:jc w:val="center"/>
        <w:rPr>
          <w:rFonts w:ascii="宋体" w:hAnsi="宋体" w:cs="宋体"/>
          <w:b w:val="0"/>
          <w:color w:val="auto"/>
          <w:sz w:val="24"/>
          <w:szCs w:val="24"/>
          <w:highlight w:val="none"/>
        </w:rPr>
      </w:pPr>
      <w:r>
        <w:rPr>
          <w:rFonts w:hint="eastAsia" w:ascii="宋体" w:hAnsi="宋体" w:cs="宋体"/>
          <w:b w:val="0"/>
          <w:color w:val="auto"/>
          <w:sz w:val="24"/>
          <w:szCs w:val="24"/>
          <w:highlight w:val="none"/>
        </w:rPr>
        <w:t>投标分项报价表</w:t>
      </w:r>
      <w:bookmarkEnd w:id="36"/>
      <w:bookmarkEnd w:id="37"/>
    </w:p>
    <w:tbl>
      <w:tblPr>
        <w:tblStyle w:val="27"/>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205"/>
        <w:gridCol w:w="957"/>
        <w:gridCol w:w="840"/>
        <w:gridCol w:w="1260"/>
        <w:gridCol w:w="1340"/>
        <w:gridCol w:w="1347"/>
      </w:tblGrid>
      <w:tr w14:paraId="4FBEB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vAlign w:val="center"/>
          </w:tcPr>
          <w:p w14:paraId="0D0BAE91">
            <w:pPr>
              <w:pStyle w:val="60"/>
              <w:widowControl w:val="0"/>
              <w:spacing w:before="0" w:beforeAutospacing="0" w:after="0" w:afterAutospacing="0" w:line="340" w:lineRule="exact"/>
              <w:rPr>
                <w:rFonts w:cs="宋体"/>
                <w:b w:val="0"/>
                <w:bCs w:val="0"/>
                <w:color w:val="auto"/>
                <w:kern w:val="2"/>
                <w:sz w:val="24"/>
                <w:szCs w:val="24"/>
                <w:highlight w:val="none"/>
              </w:rPr>
            </w:pPr>
            <w:r>
              <w:rPr>
                <w:rFonts w:hint="eastAsia" w:cs="宋体"/>
                <w:b w:val="0"/>
                <w:bCs w:val="0"/>
                <w:color w:val="auto"/>
                <w:kern w:val="2"/>
                <w:sz w:val="24"/>
                <w:szCs w:val="24"/>
                <w:highlight w:val="none"/>
              </w:rPr>
              <w:t>序号</w:t>
            </w:r>
          </w:p>
        </w:tc>
        <w:tc>
          <w:tcPr>
            <w:tcW w:w="2205" w:type="dxa"/>
            <w:vAlign w:val="center"/>
          </w:tcPr>
          <w:p w14:paraId="2A69D918">
            <w:pPr>
              <w:spacing w:line="340" w:lineRule="exact"/>
              <w:jc w:val="center"/>
              <w:rPr>
                <w:rFonts w:ascii="宋体" w:hAnsi="宋体" w:cs="宋体"/>
                <w:color w:val="auto"/>
                <w:sz w:val="24"/>
                <w:highlight w:val="none"/>
              </w:rPr>
            </w:pPr>
            <w:r>
              <w:rPr>
                <w:rFonts w:hint="eastAsia" w:ascii="宋体" w:hAnsi="宋体" w:cs="宋体"/>
                <w:color w:val="auto"/>
                <w:sz w:val="24"/>
                <w:highlight w:val="none"/>
              </w:rPr>
              <w:t>服务项目名称</w:t>
            </w:r>
          </w:p>
        </w:tc>
        <w:tc>
          <w:tcPr>
            <w:tcW w:w="957" w:type="dxa"/>
            <w:vAlign w:val="center"/>
          </w:tcPr>
          <w:p w14:paraId="342AE4F1">
            <w:pPr>
              <w:spacing w:line="340" w:lineRule="exact"/>
              <w:jc w:val="center"/>
              <w:rPr>
                <w:rFonts w:ascii="宋体" w:hAnsi="宋体" w:cs="宋体"/>
                <w:color w:val="auto"/>
                <w:sz w:val="24"/>
                <w:highlight w:val="none"/>
              </w:rPr>
            </w:pPr>
            <w:r>
              <w:rPr>
                <w:rFonts w:hint="eastAsia" w:ascii="宋体" w:hAnsi="宋体" w:cs="宋体"/>
                <w:color w:val="auto"/>
                <w:sz w:val="24"/>
                <w:highlight w:val="none"/>
              </w:rPr>
              <w:t>单位</w:t>
            </w:r>
          </w:p>
        </w:tc>
        <w:tc>
          <w:tcPr>
            <w:tcW w:w="840" w:type="dxa"/>
            <w:vAlign w:val="center"/>
          </w:tcPr>
          <w:p w14:paraId="37E51906">
            <w:pPr>
              <w:spacing w:line="340" w:lineRule="exact"/>
              <w:jc w:val="center"/>
              <w:rPr>
                <w:rFonts w:ascii="宋体" w:hAnsi="宋体" w:cs="宋体"/>
                <w:color w:val="auto"/>
                <w:sz w:val="24"/>
                <w:highlight w:val="none"/>
              </w:rPr>
            </w:pPr>
            <w:r>
              <w:rPr>
                <w:rFonts w:hint="eastAsia" w:ascii="宋体" w:hAnsi="宋体" w:cs="宋体"/>
                <w:color w:val="auto"/>
                <w:sz w:val="24"/>
                <w:highlight w:val="none"/>
              </w:rPr>
              <w:t>数量</w:t>
            </w:r>
          </w:p>
        </w:tc>
        <w:tc>
          <w:tcPr>
            <w:tcW w:w="1260" w:type="dxa"/>
            <w:vAlign w:val="center"/>
          </w:tcPr>
          <w:p w14:paraId="0DB364D5">
            <w:pPr>
              <w:spacing w:line="340" w:lineRule="exact"/>
              <w:jc w:val="center"/>
              <w:rPr>
                <w:rFonts w:ascii="宋体" w:hAnsi="宋体" w:cs="宋体"/>
                <w:color w:val="auto"/>
                <w:sz w:val="24"/>
                <w:highlight w:val="none"/>
              </w:rPr>
            </w:pPr>
            <w:r>
              <w:rPr>
                <w:rFonts w:hint="eastAsia" w:ascii="宋体" w:hAnsi="宋体" w:cs="宋体"/>
                <w:color w:val="auto"/>
                <w:sz w:val="24"/>
                <w:highlight w:val="none"/>
              </w:rPr>
              <w:t>单价</w:t>
            </w:r>
          </w:p>
        </w:tc>
        <w:tc>
          <w:tcPr>
            <w:tcW w:w="1340" w:type="dxa"/>
            <w:vAlign w:val="center"/>
          </w:tcPr>
          <w:p w14:paraId="3C180B0B">
            <w:pPr>
              <w:spacing w:line="340" w:lineRule="exact"/>
              <w:jc w:val="center"/>
              <w:rPr>
                <w:rFonts w:ascii="宋体" w:hAnsi="宋体" w:cs="宋体"/>
                <w:color w:val="auto"/>
                <w:sz w:val="24"/>
                <w:highlight w:val="none"/>
              </w:rPr>
            </w:pPr>
            <w:r>
              <w:rPr>
                <w:rFonts w:hint="eastAsia" w:ascii="宋体" w:hAnsi="宋体" w:cs="宋体"/>
                <w:bCs/>
                <w:color w:val="auto"/>
                <w:sz w:val="24"/>
                <w:highlight w:val="none"/>
              </w:rPr>
              <w:t>小计</w:t>
            </w:r>
          </w:p>
        </w:tc>
        <w:tc>
          <w:tcPr>
            <w:tcW w:w="1347" w:type="dxa"/>
            <w:vAlign w:val="center"/>
          </w:tcPr>
          <w:p w14:paraId="080F6CD6">
            <w:pPr>
              <w:spacing w:line="340" w:lineRule="exact"/>
              <w:jc w:val="center"/>
              <w:rPr>
                <w:rFonts w:ascii="宋体" w:hAnsi="宋体" w:cs="宋体"/>
                <w:color w:val="auto"/>
                <w:sz w:val="24"/>
                <w:highlight w:val="none"/>
              </w:rPr>
            </w:pPr>
            <w:r>
              <w:rPr>
                <w:rFonts w:hint="eastAsia" w:ascii="宋体" w:hAnsi="宋体" w:cs="宋体"/>
                <w:color w:val="auto"/>
                <w:sz w:val="24"/>
                <w:highlight w:val="none"/>
              </w:rPr>
              <w:t>备注</w:t>
            </w:r>
          </w:p>
        </w:tc>
      </w:tr>
      <w:tr w14:paraId="62F1A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Borders>
              <w:bottom w:val="single" w:color="auto" w:sz="4" w:space="0"/>
            </w:tcBorders>
          </w:tcPr>
          <w:p w14:paraId="72180EF5">
            <w:pPr>
              <w:spacing w:line="34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2205" w:type="dxa"/>
          </w:tcPr>
          <w:p w14:paraId="0BBC9719">
            <w:pPr>
              <w:spacing w:line="340" w:lineRule="exact"/>
              <w:rPr>
                <w:rFonts w:ascii="宋体" w:hAnsi="宋体" w:cs="宋体"/>
                <w:color w:val="auto"/>
                <w:sz w:val="24"/>
                <w:highlight w:val="none"/>
              </w:rPr>
            </w:pPr>
          </w:p>
        </w:tc>
        <w:tc>
          <w:tcPr>
            <w:tcW w:w="957" w:type="dxa"/>
          </w:tcPr>
          <w:p w14:paraId="7AE0D82B">
            <w:pPr>
              <w:spacing w:line="340" w:lineRule="exact"/>
              <w:rPr>
                <w:rFonts w:ascii="宋体" w:hAnsi="宋体" w:cs="宋体"/>
                <w:color w:val="auto"/>
                <w:sz w:val="24"/>
                <w:highlight w:val="none"/>
              </w:rPr>
            </w:pPr>
          </w:p>
        </w:tc>
        <w:tc>
          <w:tcPr>
            <w:tcW w:w="840" w:type="dxa"/>
          </w:tcPr>
          <w:p w14:paraId="4DCBA4F1">
            <w:pPr>
              <w:spacing w:line="340" w:lineRule="exact"/>
              <w:rPr>
                <w:rFonts w:ascii="宋体" w:hAnsi="宋体" w:cs="宋体"/>
                <w:color w:val="auto"/>
                <w:sz w:val="24"/>
                <w:highlight w:val="none"/>
              </w:rPr>
            </w:pPr>
          </w:p>
        </w:tc>
        <w:tc>
          <w:tcPr>
            <w:tcW w:w="1260" w:type="dxa"/>
          </w:tcPr>
          <w:p w14:paraId="6B5E6784">
            <w:pPr>
              <w:spacing w:line="340" w:lineRule="exact"/>
              <w:rPr>
                <w:rFonts w:ascii="宋体" w:hAnsi="宋体" w:cs="宋体"/>
                <w:color w:val="auto"/>
                <w:sz w:val="24"/>
                <w:highlight w:val="none"/>
              </w:rPr>
            </w:pPr>
          </w:p>
        </w:tc>
        <w:tc>
          <w:tcPr>
            <w:tcW w:w="1340" w:type="dxa"/>
          </w:tcPr>
          <w:p w14:paraId="641074C5">
            <w:pPr>
              <w:spacing w:line="340" w:lineRule="exact"/>
              <w:rPr>
                <w:rFonts w:ascii="宋体" w:hAnsi="宋体" w:cs="宋体"/>
                <w:color w:val="auto"/>
                <w:sz w:val="24"/>
                <w:highlight w:val="none"/>
              </w:rPr>
            </w:pPr>
          </w:p>
        </w:tc>
        <w:tc>
          <w:tcPr>
            <w:tcW w:w="1347" w:type="dxa"/>
          </w:tcPr>
          <w:p w14:paraId="26D8684E">
            <w:pPr>
              <w:spacing w:line="340" w:lineRule="exact"/>
              <w:rPr>
                <w:rFonts w:ascii="宋体" w:hAnsi="宋体" w:cs="宋体"/>
                <w:color w:val="auto"/>
                <w:sz w:val="24"/>
                <w:highlight w:val="none"/>
              </w:rPr>
            </w:pPr>
          </w:p>
        </w:tc>
      </w:tr>
      <w:tr w14:paraId="1F1FD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tcPr>
          <w:p w14:paraId="17A01955">
            <w:pPr>
              <w:spacing w:line="34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205" w:type="dxa"/>
          </w:tcPr>
          <w:p w14:paraId="36DACDC6">
            <w:pPr>
              <w:spacing w:line="340" w:lineRule="exact"/>
              <w:rPr>
                <w:rFonts w:ascii="宋体" w:hAnsi="宋体" w:cs="宋体"/>
                <w:color w:val="auto"/>
                <w:sz w:val="24"/>
                <w:highlight w:val="none"/>
              </w:rPr>
            </w:pPr>
          </w:p>
        </w:tc>
        <w:tc>
          <w:tcPr>
            <w:tcW w:w="957" w:type="dxa"/>
          </w:tcPr>
          <w:p w14:paraId="448A5746">
            <w:pPr>
              <w:spacing w:line="340" w:lineRule="exact"/>
              <w:rPr>
                <w:rFonts w:ascii="宋体" w:hAnsi="宋体" w:cs="宋体"/>
                <w:color w:val="auto"/>
                <w:sz w:val="24"/>
                <w:highlight w:val="none"/>
              </w:rPr>
            </w:pPr>
          </w:p>
        </w:tc>
        <w:tc>
          <w:tcPr>
            <w:tcW w:w="840" w:type="dxa"/>
          </w:tcPr>
          <w:p w14:paraId="42CB1118">
            <w:pPr>
              <w:spacing w:line="340" w:lineRule="exact"/>
              <w:rPr>
                <w:rFonts w:ascii="宋体" w:hAnsi="宋体" w:cs="宋体"/>
                <w:color w:val="auto"/>
                <w:sz w:val="24"/>
                <w:highlight w:val="none"/>
              </w:rPr>
            </w:pPr>
          </w:p>
        </w:tc>
        <w:tc>
          <w:tcPr>
            <w:tcW w:w="1260" w:type="dxa"/>
          </w:tcPr>
          <w:p w14:paraId="6EE67EC1">
            <w:pPr>
              <w:spacing w:line="340" w:lineRule="exact"/>
              <w:rPr>
                <w:rFonts w:ascii="宋体" w:hAnsi="宋体" w:cs="宋体"/>
                <w:color w:val="auto"/>
                <w:sz w:val="24"/>
                <w:highlight w:val="none"/>
              </w:rPr>
            </w:pPr>
          </w:p>
        </w:tc>
        <w:tc>
          <w:tcPr>
            <w:tcW w:w="1340" w:type="dxa"/>
          </w:tcPr>
          <w:p w14:paraId="59452123">
            <w:pPr>
              <w:spacing w:line="340" w:lineRule="exact"/>
              <w:rPr>
                <w:rFonts w:ascii="宋体" w:hAnsi="宋体" w:cs="宋体"/>
                <w:color w:val="auto"/>
                <w:sz w:val="24"/>
                <w:highlight w:val="none"/>
              </w:rPr>
            </w:pPr>
          </w:p>
        </w:tc>
        <w:tc>
          <w:tcPr>
            <w:tcW w:w="1347" w:type="dxa"/>
          </w:tcPr>
          <w:p w14:paraId="48D05A98">
            <w:pPr>
              <w:spacing w:line="340" w:lineRule="exact"/>
              <w:rPr>
                <w:rFonts w:ascii="宋体" w:hAnsi="宋体" w:cs="宋体"/>
                <w:color w:val="auto"/>
                <w:sz w:val="24"/>
                <w:highlight w:val="none"/>
              </w:rPr>
            </w:pPr>
          </w:p>
        </w:tc>
      </w:tr>
      <w:tr w14:paraId="0DD93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0C5B488E">
            <w:pPr>
              <w:spacing w:line="34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2205" w:type="dxa"/>
          </w:tcPr>
          <w:p w14:paraId="61C224A3">
            <w:pPr>
              <w:spacing w:line="340" w:lineRule="exact"/>
              <w:rPr>
                <w:rFonts w:ascii="宋体" w:hAnsi="宋体" w:cs="宋体"/>
                <w:color w:val="auto"/>
                <w:sz w:val="24"/>
                <w:highlight w:val="none"/>
              </w:rPr>
            </w:pPr>
          </w:p>
        </w:tc>
        <w:tc>
          <w:tcPr>
            <w:tcW w:w="957" w:type="dxa"/>
          </w:tcPr>
          <w:p w14:paraId="2E6C843C">
            <w:pPr>
              <w:spacing w:line="340" w:lineRule="exact"/>
              <w:rPr>
                <w:rFonts w:ascii="宋体" w:hAnsi="宋体" w:cs="宋体"/>
                <w:color w:val="auto"/>
                <w:sz w:val="24"/>
                <w:highlight w:val="none"/>
              </w:rPr>
            </w:pPr>
          </w:p>
        </w:tc>
        <w:tc>
          <w:tcPr>
            <w:tcW w:w="840" w:type="dxa"/>
          </w:tcPr>
          <w:p w14:paraId="26A85C01">
            <w:pPr>
              <w:spacing w:line="340" w:lineRule="exact"/>
              <w:rPr>
                <w:rFonts w:ascii="宋体" w:hAnsi="宋体" w:cs="宋体"/>
                <w:color w:val="auto"/>
                <w:sz w:val="24"/>
                <w:highlight w:val="none"/>
              </w:rPr>
            </w:pPr>
          </w:p>
        </w:tc>
        <w:tc>
          <w:tcPr>
            <w:tcW w:w="1260" w:type="dxa"/>
          </w:tcPr>
          <w:p w14:paraId="3A057EC5">
            <w:pPr>
              <w:spacing w:line="340" w:lineRule="exact"/>
              <w:rPr>
                <w:rFonts w:ascii="宋体" w:hAnsi="宋体" w:cs="宋体"/>
                <w:color w:val="auto"/>
                <w:sz w:val="24"/>
                <w:highlight w:val="none"/>
              </w:rPr>
            </w:pPr>
          </w:p>
        </w:tc>
        <w:tc>
          <w:tcPr>
            <w:tcW w:w="1340" w:type="dxa"/>
          </w:tcPr>
          <w:p w14:paraId="7B4E934E">
            <w:pPr>
              <w:spacing w:line="340" w:lineRule="exact"/>
              <w:rPr>
                <w:rFonts w:ascii="宋体" w:hAnsi="宋体" w:cs="宋体"/>
                <w:color w:val="auto"/>
                <w:sz w:val="24"/>
                <w:highlight w:val="none"/>
              </w:rPr>
            </w:pPr>
          </w:p>
        </w:tc>
        <w:tc>
          <w:tcPr>
            <w:tcW w:w="1347" w:type="dxa"/>
          </w:tcPr>
          <w:p w14:paraId="6ACF3624">
            <w:pPr>
              <w:spacing w:line="340" w:lineRule="exact"/>
              <w:rPr>
                <w:rFonts w:ascii="宋体" w:hAnsi="宋体" w:cs="宋体"/>
                <w:color w:val="auto"/>
                <w:sz w:val="24"/>
                <w:highlight w:val="none"/>
              </w:rPr>
            </w:pPr>
          </w:p>
        </w:tc>
      </w:tr>
      <w:tr w14:paraId="2C7ED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tcPr>
          <w:p w14:paraId="207995CB">
            <w:pPr>
              <w:spacing w:line="340" w:lineRule="exact"/>
              <w:jc w:val="center"/>
              <w:rPr>
                <w:rFonts w:ascii="宋体" w:hAnsi="宋体" w:cs="宋体"/>
                <w:color w:val="auto"/>
                <w:sz w:val="24"/>
                <w:highlight w:val="none"/>
              </w:rPr>
            </w:pPr>
            <w:r>
              <w:rPr>
                <w:rFonts w:hint="eastAsia" w:ascii="宋体" w:hAnsi="宋体" w:cs="宋体"/>
                <w:color w:val="auto"/>
                <w:sz w:val="24"/>
                <w:highlight w:val="none"/>
              </w:rPr>
              <w:t>4</w:t>
            </w:r>
          </w:p>
        </w:tc>
        <w:tc>
          <w:tcPr>
            <w:tcW w:w="2205" w:type="dxa"/>
          </w:tcPr>
          <w:p w14:paraId="1BBBC525">
            <w:pPr>
              <w:spacing w:line="340" w:lineRule="exact"/>
              <w:rPr>
                <w:rFonts w:ascii="宋体" w:hAnsi="宋体" w:cs="宋体"/>
                <w:color w:val="auto"/>
                <w:sz w:val="24"/>
                <w:highlight w:val="none"/>
              </w:rPr>
            </w:pPr>
          </w:p>
        </w:tc>
        <w:tc>
          <w:tcPr>
            <w:tcW w:w="957" w:type="dxa"/>
          </w:tcPr>
          <w:p w14:paraId="04D29A06">
            <w:pPr>
              <w:spacing w:line="340" w:lineRule="exact"/>
              <w:rPr>
                <w:rFonts w:ascii="宋体" w:hAnsi="宋体" w:cs="宋体"/>
                <w:color w:val="auto"/>
                <w:sz w:val="24"/>
                <w:highlight w:val="none"/>
              </w:rPr>
            </w:pPr>
          </w:p>
        </w:tc>
        <w:tc>
          <w:tcPr>
            <w:tcW w:w="840" w:type="dxa"/>
          </w:tcPr>
          <w:p w14:paraId="2F29582D">
            <w:pPr>
              <w:spacing w:line="340" w:lineRule="exact"/>
              <w:rPr>
                <w:rFonts w:ascii="宋体" w:hAnsi="宋体" w:cs="宋体"/>
                <w:color w:val="auto"/>
                <w:sz w:val="24"/>
                <w:highlight w:val="none"/>
              </w:rPr>
            </w:pPr>
          </w:p>
        </w:tc>
        <w:tc>
          <w:tcPr>
            <w:tcW w:w="1260" w:type="dxa"/>
          </w:tcPr>
          <w:p w14:paraId="6FC0A6EB">
            <w:pPr>
              <w:spacing w:line="340" w:lineRule="exact"/>
              <w:rPr>
                <w:rFonts w:ascii="宋体" w:hAnsi="宋体" w:cs="宋体"/>
                <w:color w:val="auto"/>
                <w:sz w:val="24"/>
                <w:highlight w:val="none"/>
              </w:rPr>
            </w:pPr>
          </w:p>
        </w:tc>
        <w:tc>
          <w:tcPr>
            <w:tcW w:w="1340" w:type="dxa"/>
          </w:tcPr>
          <w:p w14:paraId="019ABE3A">
            <w:pPr>
              <w:spacing w:line="340" w:lineRule="exact"/>
              <w:rPr>
                <w:rFonts w:ascii="宋体" w:hAnsi="宋体" w:cs="宋体"/>
                <w:color w:val="auto"/>
                <w:sz w:val="24"/>
                <w:highlight w:val="none"/>
              </w:rPr>
            </w:pPr>
          </w:p>
        </w:tc>
        <w:tc>
          <w:tcPr>
            <w:tcW w:w="1347" w:type="dxa"/>
          </w:tcPr>
          <w:p w14:paraId="67A48A0F">
            <w:pPr>
              <w:spacing w:line="340" w:lineRule="exact"/>
              <w:rPr>
                <w:rFonts w:ascii="宋体" w:hAnsi="宋体" w:cs="宋体"/>
                <w:color w:val="auto"/>
                <w:sz w:val="24"/>
                <w:highlight w:val="none"/>
              </w:rPr>
            </w:pPr>
          </w:p>
        </w:tc>
      </w:tr>
      <w:tr w14:paraId="6E673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527E2256">
            <w:pPr>
              <w:spacing w:line="340" w:lineRule="exact"/>
              <w:jc w:val="center"/>
              <w:rPr>
                <w:rFonts w:ascii="宋体" w:hAnsi="宋体" w:cs="宋体"/>
                <w:color w:val="auto"/>
                <w:sz w:val="24"/>
                <w:highlight w:val="none"/>
              </w:rPr>
            </w:pPr>
            <w:r>
              <w:rPr>
                <w:rFonts w:hint="eastAsia" w:ascii="宋体" w:hAnsi="宋体" w:cs="宋体"/>
                <w:color w:val="auto"/>
                <w:sz w:val="24"/>
                <w:highlight w:val="none"/>
              </w:rPr>
              <w:t>5</w:t>
            </w:r>
          </w:p>
        </w:tc>
        <w:tc>
          <w:tcPr>
            <w:tcW w:w="2205" w:type="dxa"/>
          </w:tcPr>
          <w:p w14:paraId="2035CAEE">
            <w:pPr>
              <w:spacing w:line="340" w:lineRule="exact"/>
              <w:rPr>
                <w:rFonts w:ascii="宋体" w:hAnsi="宋体" w:cs="宋体"/>
                <w:color w:val="auto"/>
                <w:sz w:val="24"/>
                <w:highlight w:val="none"/>
              </w:rPr>
            </w:pPr>
          </w:p>
        </w:tc>
        <w:tc>
          <w:tcPr>
            <w:tcW w:w="957" w:type="dxa"/>
          </w:tcPr>
          <w:p w14:paraId="00E0A16E">
            <w:pPr>
              <w:spacing w:line="340" w:lineRule="exact"/>
              <w:rPr>
                <w:rFonts w:ascii="宋体" w:hAnsi="宋体" w:cs="宋体"/>
                <w:color w:val="auto"/>
                <w:sz w:val="24"/>
                <w:highlight w:val="none"/>
              </w:rPr>
            </w:pPr>
          </w:p>
        </w:tc>
        <w:tc>
          <w:tcPr>
            <w:tcW w:w="840" w:type="dxa"/>
          </w:tcPr>
          <w:p w14:paraId="6764B68A">
            <w:pPr>
              <w:spacing w:line="340" w:lineRule="exact"/>
              <w:rPr>
                <w:rFonts w:ascii="宋体" w:hAnsi="宋体" w:cs="宋体"/>
                <w:color w:val="auto"/>
                <w:sz w:val="24"/>
                <w:highlight w:val="none"/>
              </w:rPr>
            </w:pPr>
          </w:p>
        </w:tc>
        <w:tc>
          <w:tcPr>
            <w:tcW w:w="1260" w:type="dxa"/>
          </w:tcPr>
          <w:p w14:paraId="7344C334">
            <w:pPr>
              <w:spacing w:line="340" w:lineRule="exact"/>
              <w:rPr>
                <w:rFonts w:ascii="宋体" w:hAnsi="宋体" w:cs="宋体"/>
                <w:color w:val="auto"/>
                <w:sz w:val="24"/>
                <w:highlight w:val="none"/>
              </w:rPr>
            </w:pPr>
          </w:p>
        </w:tc>
        <w:tc>
          <w:tcPr>
            <w:tcW w:w="1340" w:type="dxa"/>
          </w:tcPr>
          <w:p w14:paraId="2899C098">
            <w:pPr>
              <w:spacing w:line="340" w:lineRule="exact"/>
              <w:rPr>
                <w:rFonts w:ascii="宋体" w:hAnsi="宋体" w:cs="宋体"/>
                <w:color w:val="auto"/>
                <w:sz w:val="24"/>
                <w:highlight w:val="none"/>
              </w:rPr>
            </w:pPr>
          </w:p>
        </w:tc>
        <w:tc>
          <w:tcPr>
            <w:tcW w:w="1347" w:type="dxa"/>
          </w:tcPr>
          <w:p w14:paraId="29138371">
            <w:pPr>
              <w:spacing w:line="340" w:lineRule="exact"/>
              <w:rPr>
                <w:rFonts w:ascii="宋体" w:hAnsi="宋体" w:cs="宋体"/>
                <w:color w:val="auto"/>
                <w:sz w:val="24"/>
                <w:highlight w:val="none"/>
              </w:rPr>
            </w:pPr>
          </w:p>
        </w:tc>
      </w:tr>
      <w:tr w14:paraId="40B66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tcPr>
          <w:p w14:paraId="26019F0F">
            <w:pPr>
              <w:spacing w:line="340" w:lineRule="exact"/>
              <w:jc w:val="center"/>
              <w:rPr>
                <w:rFonts w:ascii="宋体" w:hAnsi="宋体" w:cs="宋体"/>
                <w:color w:val="auto"/>
                <w:sz w:val="24"/>
                <w:highlight w:val="none"/>
              </w:rPr>
            </w:pPr>
            <w:r>
              <w:rPr>
                <w:rFonts w:hint="eastAsia" w:ascii="宋体" w:hAnsi="宋体" w:cs="宋体"/>
                <w:color w:val="auto"/>
                <w:sz w:val="24"/>
                <w:highlight w:val="none"/>
              </w:rPr>
              <w:t>6</w:t>
            </w:r>
          </w:p>
        </w:tc>
        <w:tc>
          <w:tcPr>
            <w:tcW w:w="2205" w:type="dxa"/>
          </w:tcPr>
          <w:p w14:paraId="4C45CC2A">
            <w:pPr>
              <w:spacing w:line="340" w:lineRule="exact"/>
              <w:rPr>
                <w:rFonts w:ascii="宋体" w:hAnsi="宋体" w:cs="宋体"/>
                <w:color w:val="auto"/>
                <w:sz w:val="24"/>
                <w:highlight w:val="none"/>
              </w:rPr>
            </w:pPr>
          </w:p>
        </w:tc>
        <w:tc>
          <w:tcPr>
            <w:tcW w:w="957" w:type="dxa"/>
          </w:tcPr>
          <w:p w14:paraId="6537561C">
            <w:pPr>
              <w:spacing w:line="340" w:lineRule="exact"/>
              <w:rPr>
                <w:rFonts w:ascii="宋体" w:hAnsi="宋体" w:cs="宋体"/>
                <w:color w:val="auto"/>
                <w:sz w:val="24"/>
                <w:highlight w:val="none"/>
              </w:rPr>
            </w:pPr>
          </w:p>
        </w:tc>
        <w:tc>
          <w:tcPr>
            <w:tcW w:w="840" w:type="dxa"/>
          </w:tcPr>
          <w:p w14:paraId="31D885F6">
            <w:pPr>
              <w:spacing w:line="340" w:lineRule="exact"/>
              <w:rPr>
                <w:rFonts w:ascii="宋体" w:hAnsi="宋体" w:cs="宋体"/>
                <w:color w:val="auto"/>
                <w:sz w:val="24"/>
                <w:highlight w:val="none"/>
              </w:rPr>
            </w:pPr>
          </w:p>
        </w:tc>
        <w:tc>
          <w:tcPr>
            <w:tcW w:w="1260" w:type="dxa"/>
          </w:tcPr>
          <w:p w14:paraId="3A6B8AA0">
            <w:pPr>
              <w:spacing w:line="340" w:lineRule="exact"/>
              <w:rPr>
                <w:rFonts w:ascii="宋体" w:hAnsi="宋体" w:cs="宋体"/>
                <w:color w:val="auto"/>
                <w:sz w:val="24"/>
                <w:highlight w:val="none"/>
              </w:rPr>
            </w:pPr>
          </w:p>
        </w:tc>
        <w:tc>
          <w:tcPr>
            <w:tcW w:w="1340" w:type="dxa"/>
          </w:tcPr>
          <w:p w14:paraId="54EB02FF">
            <w:pPr>
              <w:spacing w:line="340" w:lineRule="exact"/>
              <w:rPr>
                <w:rFonts w:ascii="宋体" w:hAnsi="宋体" w:cs="宋体"/>
                <w:color w:val="auto"/>
                <w:sz w:val="24"/>
                <w:highlight w:val="none"/>
              </w:rPr>
            </w:pPr>
          </w:p>
        </w:tc>
        <w:tc>
          <w:tcPr>
            <w:tcW w:w="1347" w:type="dxa"/>
          </w:tcPr>
          <w:p w14:paraId="4F755698">
            <w:pPr>
              <w:spacing w:line="340" w:lineRule="exact"/>
              <w:rPr>
                <w:rFonts w:ascii="宋体" w:hAnsi="宋体" w:cs="宋体"/>
                <w:color w:val="auto"/>
                <w:sz w:val="24"/>
                <w:highlight w:val="none"/>
              </w:rPr>
            </w:pPr>
          </w:p>
        </w:tc>
      </w:tr>
      <w:tr w14:paraId="471AB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6E3B9F35">
            <w:pPr>
              <w:spacing w:line="340" w:lineRule="exact"/>
              <w:jc w:val="center"/>
              <w:rPr>
                <w:rFonts w:ascii="宋体" w:hAnsi="宋体" w:cs="宋体"/>
                <w:color w:val="auto"/>
                <w:sz w:val="24"/>
                <w:highlight w:val="none"/>
              </w:rPr>
            </w:pPr>
            <w:r>
              <w:rPr>
                <w:rFonts w:hint="eastAsia" w:ascii="宋体" w:hAnsi="宋体" w:cs="宋体"/>
                <w:color w:val="auto"/>
                <w:sz w:val="24"/>
                <w:highlight w:val="none"/>
              </w:rPr>
              <w:t>7</w:t>
            </w:r>
          </w:p>
        </w:tc>
        <w:tc>
          <w:tcPr>
            <w:tcW w:w="2205" w:type="dxa"/>
          </w:tcPr>
          <w:p w14:paraId="1255C656">
            <w:pPr>
              <w:spacing w:line="340" w:lineRule="exact"/>
              <w:rPr>
                <w:rFonts w:ascii="宋体" w:hAnsi="宋体" w:cs="宋体"/>
                <w:color w:val="auto"/>
                <w:sz w:val="24"/>
                <w:highlight w:val="none"/>
              </w:rPr>
            </w:pPr>
          </w:p>
        </w:tc>
        <w:tc>
          <w:tcPr>
            <w:tcW w:w="957" w:type="dxa"/>
          </w:tcPr>
          <w:p w14:paraId="7F602A49">
            <w:pPr>
              <w:spacing w:line="340" w:lineRule="exact"/>
              <w:rPr>
                <w:rFonts w:ascii="宋体" w:hAnsi="宋体" w:cs="宋体"/>
                <w:color w:val="auto"/>
                <w:sz w:val="24"/>
                <w:highlight w:val="none"/>
              </w:rPr>
            </w:pPr>
          </w:p>
        </w:tc>
        <w:tc>
          <w:tcPr>
            <w:tcW w:w="840" w:type="dxa"/>
          </w:tcPr>
          <w:p w14:paraId="7D309375">
            <w:pPr>
              <w:spacing w:line="340" w:lineRule="exact"/>
              <w:rPr>
                <w:rFonts w:ascii="宋体" w:hAnsi="宋体" w:cs="宋体"/>
                <w:color w:val="auto"/>
                <w:sz w:val="24"/>
                <w:highlight w:val="none"/>
              </w:rPr>
            </w:pPr>
          </w:p>
        </w:tc>
        <w:tc>
          <w:tcPr>
            <w:tcW w:w="1260" w:type="dxa"/>
          </w:tcPr>
          <w:p w14:paraId="1356313E">
            <w:pPr>
              <w:spacing w:line="340" w:lineRule="exact"/>
              <w:rPr>
                <w:rFonts w:ascii="宋体" w:hAnsi="宋体" w:cs="宋体"/>
                <w:color w:val="auto"/>
                <w:sz w:val="24"/>
                <w:highlight w:val="none"/>
              </w:rPr>
            </w:pPr>
          </w:p>
        </w:tc>
        <w:tc>
          <w:tcPr>
            <w:tcW w:w="1340" w:type="dxa"/>
          </w:tcPr>
          <w:p w14:paraId="2120038E">
            <w:pPr>
              <w:spacing w:line="340" w:lineRule="exact"/>
              <w:rPr>
                <w:rFonts w:ascii="宋体" w:hAnsi="宋体" w:cs="宋体"/>
                <w:color w:val="auto"/>
                <w:sz w:val="24"/>
                <w:highlight w:val="none"/>
              </w:rPr>
            </w:pPr>
          </w:p>
        </w:tc>
        <w:tc>
          <w:tcPr>
            <w:tcW w:w="1347" w:type="dxa"/>
          </w:tcPr>
          <w:p w14:paraId="34AA23E6">
            <w:pPr>
              <w:spacing w:line="340" w:lineRule="exact"/>
              <w:rPr>
                <w:rFonts w:ascii="宋体" w:hAnsi="宋体" w:cs="宋体"/>
                <w:color w:val="auto"/>
                <w:sz w:val="24"/>
                <w:highlight w:val="none"/>
              </w:rPr>
            </w:pPr>
          </w:p>
        </w:tc>
      </w:tr>
      <w:tr w14:paraId="5993D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tcPr>
          <w:p w14:paraId="64A6AE72">
            <w:pPr>
              <w:spacing w:line="340" w:lineRule="exact"/>
              <w:jc w:val="center"/>
              <w:rPr>
                <w:rFonts w:ascii="宋体" w:hAnsi="宋体" w:cs="宋体"/>
                <w:color w:val="auto"/>
                <w:sz w:val="24"/>
                <w:highlight w:val="none"/>
              </w:rPr>
            </w:pPr>
            <w:r>
              <w:rPr>
                <w:rFonts w:hint="eastAsia" w:ascii="宋体" w:hAnsi="宋体" w:cs="宋体"/>
                <w:color w:val="auto"/>
                <w:sz w:val="24"/>
                <w:highlight w:val="none"/>
              </w:rPr>
              <w:t>8</w:t>
            </w:r>
          </w:p>
        </w:tc>
        <w:tc>
          <w:tcPr>
            <w:tcW w:w="2205" w:type="dxa"/>
          </w:tcPr>
          <w:p w14:paraId="4A267805">
            <w:pPr>
              <w:spacing w:line="340" w:lineRule="exact"/>
              <w:rPr>
                <w:rFonts w:ascii="宋体" w:hAnsi="宋体" w:cs="宋体"/>
                <w:color w:val="auto"/>
                <w:sz w:val="24"/>
                <w:highlight w:val="none"/>
              </w:rPr>
            </w:pPr>
          </w:p>
        </w:tc>
        <w:tc>
          <w:tcPr>
            <w:tcW w:w="957" w:type="dxa"/>
          </w:tcPr>
          <w:p w14:paraId="62FF306E">
            <w:pPr>
              <w:spacing w:line="340" w:lineRule="exact"/>
              <w:rPr>
                <w:rFonts w:ascii="宋体" w:hAnsi="宋体" w:cs="宋体"/>
                <w:color w:val="auto"/>
                <w:sz w:val="24"/>
                <w:highlight w:val="none"/>
              </w:rPr>
            </w:pPr>
          </w:p>
        </w:tc>
        <w:tc>
          <w:tcPr>
            <w:tcW w:w="840" w:type="dxa"/>
          </w:tcPr>
          <w:p w14:paraId="75FA6CDC">
            <w:pPr>
              <w:spacing w:line="340" w:lineRule="exact"/>
              <w:rPr>
                <w:rFonts w:ascii="宋体" w:hAnsi="宋体" w:cs="宋体"/>
                <w:color w:val="auto"/>
                <w:sz w:val="24"/>
                <w:highlight w:val="none"/>
              </w:rPr>
            </w:pPr>
          </w:p>
        </w:tc>
        <w:tc>
          <w:tcPr>
            <w:tcW w:w="1260" w:type="dxa"/>
          </w:tcPr>
          <w:p w14:paraId="40387146">
            <w:pPr>
              <w:spacing w:line="340" w:lineRule="exact"/>
              <w:rPr>
                <w:rFonts w:ascii="宋体" w:hAnsi="宋体" w:cs="宋体"/>
                <w:color w:val="auto"/>
                <w:sz w:val="24"/>
                <w:highlight w:val="none"/>
              </w:rPr>
            </w:pPr>
          </w:p>
        </w:tc>
        <w:tc>
          <w:tcPr>
            <w:tcW w:w="1340" w:type="dxa"/>
          </w:tcPr>
          <w:p w14:paraId="225709DB">
            <w:pPr>
              <w:spacing w:line="340" w:lineRule="exact"/>
              <w:rPr>
                <w:rFonts w:ascii="宋体" w:hAnsi="宋体" w:cs="宋体"/>
                <w:color w:val="auto"/>
                <w:sz w:val="24"/>
                <w:highlight w:val="none"/>
              </w:rPr>
            </w:pPr>
          </w:p>
        </w:tc>
        <w:tc>
          <w:tcPr>
            <w:tcW w:w="1347" w:type="dxa"/>
          </w:tcPr>
          <w:p w14:paraId="2E9C4B55">
            <w:pPr>
              <w:spacing w:line="340" w:lineRule="exact"/>
              <w:rPr>
                <w:rFonts w:ascii="宋体" w:hAnsi="宋体" w:cs="宋体"/>
                <w:color w:val="auto"/>
                <w:sz w:val="24"/>
                <w:highlight w:val="none"/>
              </w:rPr>
            </w:pPr>
          </w:p>
        </w:tc>
      </w:tr>
      <w:tr w14:paraId="4B00F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23E1859E">
            <w:pPr>
              <w:spacing w:line="340" w:lineRule="exact"/>
              <w:jc w:val="center"/>
              <w:rPr>
                <w:rFonts w:ascii="宋体" w:hAnsi="宋体" w:cs="宋体"/>
                <w:color w:val="auto"/>
                <w:sz w:val="24"/>
                <w:highlight w:val="none"/>
              </w:rPr>
            </w:pPr>
            <w:r>
              <w:rPr>
                <w:rFonts w:hint="eastAsia" w:ascii="宋体" w:hAnsi="宋体" w:cs="宋体"/>
                <w:color w:val="auto"/>
                <w:sz w:val="24"/>
                <w:highlight w:val="none"/>
              </w:rPr>
              <w:t>9</w:t>
            </w:r>
          </w:p>
        </w:tc>
        <w:tc>
          <w:tcPr>
            <w:tcW w:w="2205" w:type="dxa"/>
          </w:tcPr>
          <w:p w14:paraId="601BFCC3">
            <w:pPr>
              <w:spacing w:line="340" w:lineRule="exact"/>
              <w:rPr>
                <w:rFonts w:ascii="宋体" w:hAnsi="宋体" w:cs="宋体"/>
                <w:color w:val="auto"/>
                <w:sz w:val="24"/>
                <w:highlight w:val="none"/>
              </w:rPr>
            </w:pPr>
          </w:p>
        </w:tc>
        <w:tc>
          <w:tcPr>
            <w:tcW w:w="957" w:type="dxa"/>
          </w:tcPr>
          <w:p w14:paraId="0F0061F5">
            <w:pPr>
              <w:spacing w:line="340" w:lineRule="exact"/>
              <w:rPr>
                <w:rFonts w:ascii="宋体" w:hAnsi="宋体" w:cs="宋体"/>
                <w:color w:val="auto"/>
                <w:sz w:val="24"/>
                <w:highlight w:val="none"/>
              </w:rPr>
            </w:pPr>
          </w:p>
        </w:tc>
        <w:tc>
          <w:tcPr>
            <w:tcW w:w="840" w:type="dxa"/>
          </w:tcPr>
          <w:p w14:paraId="34A65168">
            <w:pPr>
              <w:spacing w:line="340" w:lineRule="exact"/>
              <w:rPr>
                <w:rFonts w:ascii="宋体" w:hAnsi="宋体" w:cs="宋体"/>
                <w:color w:val="auto"/>
                <w:sz w:val="24"/>
                <w:highlight w:val="none"/>
              </w:rPr>
            </w:pPr>
          </w:p>
        </w:tc>
        <w:tc>
          <w:tcPr>
            <w:tcW w:w="1260" w:type="dxa"/>
          </w:tcPr>
          <w:p w14:paraId="2A07999E">
            <w:pPr>
              <w:spacing w:line="340" w:lineRule="exact"/>
              <w:rPr>
                <w:rFonts w:ascii="宋体" w:hAnsi="宋体" w:cs="宋体"/>
                <w:color w:val="auto"/>
                <w:sz w:val="24"/>
                <w:highlight w:val="none"/>
              </w:rPr>
            </w:pPr>
          </w:p>
        </w:tc>
        <w:tc>
          <w:tcPr>
            <w:tcW w:w="1340" w:type="dxa"/>
          </w:tcPr>
          <w:p w14:paraId="2E2A9BC1">
            <w:pPr>
              <w:spacing w:line="340" w:lineRule="exact"/>
              <w:rPr>
                <w:rFonts w:ascii="宋体" w:hAnsi="宋体" w:cs="宋体"/>
                <w:color w:val="auto"/>
                <w:sz w:val="24"/>
                <w:highlight w:val="none"/>
              </w:rPr>
            </w:pPr>
          </w:p>
        </w:tc>
        <w:tc>
          <w:tcPr>
            <w:tcW w:w="1347" w:type="dxa"/>
          </w:tcPr>
          <w:p w14:paraId="47D5CE42">
            <w:pPr>
              <w:spacing w:line="340" w:lineRule="exact"/>
              <w:rPr>
                <w:rFonts w:ascii="宋体" w:hAnsi="宋体" w:cs="宋体"/>
                <w:color w:val="auto"/>
                <w:sz w:val="24"/>
                <w:highlight w:val="none"/>
              </w:rPr>
            </w:pPr>
          </w:p>
        </w:tc>
      </w:tr>
      <w:tr w14:paraId="44828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0D4CFFE6">
            <w:pPr>
              <w:spacing w:line="340" w:lineRule="exact"/>
              <w:jc w:val="center"/>
              <w:rPr>
                <w:rFonts w:ascii="宋体" w:hAnsi="宋体" w:cs="宋体"/>
                <w:color w:val="auto"/>
                <w:sz w:val="24"/>
                <w:highlight w:val="none"/>
              </w:rPr>
            </w:pPr>
            <w:r>
              <w:rPr>
                <w:rFonts w:hint="eastAsia" w:ascii="宋体" w:hAnsi="宋体" w:cs="宋体"/>
                <w:color w:val="auto"/>
                <w:sz w:val="24"/>
                <w:highlight w:val="none"/>
              </w:rPr>
              <w:t>10</w:t>
            </w:r>
          </w:p>
        </w:tc>
        <w:tc>
          <w:tcPr>
            <w:tcW w:w="2205" w:type="dxa"/>
          </w:tcPr>
          <w:p w14:paraId="02328E38">
            <w:pPr>
              <w:spacing w:line="340" w:lineRule="exact"/>
              <w:rPr>
                <w:rFonts w:ascii="宋体" w:hAnsi="宋体" w:cs="宋体"/>
                <w:color w:val="auto"/>
                <w:sz w:val="24"/>
                <w:highlight w:val="none"/>
              </w:rPr>
            </w:pPr>
          </w:p>
        </w:tc>
        <w:tc>
          <w:tcPr>
            <w:tcW w:w="957" w:type="dxa"/>
          </w:tcPr>
          <w:p w14:paraId="0F238AA7">
            <w:pPr>
              <w:spacing w:line="340" w:lineRule="exact"/>
              <w:rPr>
                <w:rFonts w:ascii="宋体" w:hAnsi="宋体" w:cs="宋体"/>
                <w:color w:val="auto"/>
                <w:sz w:val="24"/>
                <w:highlight w:val="none"/>
              </w:rPr>
            </w:pPr>
          </w:p>
        </w:tc>
        <w:tc>
          <w:tcPr>
            <w:tcW w:w="840" w:type="dxa"/>
          </w:tcPr>
          <w:p w14:paraId="068349F1">
            <w:pPr>
              <w:spacing w:line="340" w:lineRule="exact"/>
              <w:rPr>
                <w:rFonts w:ascii="宋体" w:hAnsi="宋体" w:cs="宋体"/>
                <w:color w:val="auto"/>
                <w:sz w:val="24"/>
                <w:highlight w:val="none"/>
              </w:rPr>
            </w:pPr>
          </w:p>
        </w:tc>
        <w:tc>
          <w:tcPr>
            <w:tcW w:w="1260" w:type="dxa"/>
          </w:tcPr>
          <w:p w14:paraId="7DE81C4B">
            <w:pPr>
              <w:spacing w:line="340" w:lineRule="exact"/>
              <w:rPr>
                <w:rFonts w:ascii="宋体" w:hAnsi="宋体" w:cs="宋体"/>
                <w:color w:val="auto"/>
                <w:sz w:val="24"/>
                <w:highlight w:val="none"/>
              </w:rPr>
            </w:pPr>
          </w:p>
        </w:tc>
        <w:tc>
          <w:tcPr>
            <w:tcW w:w="1340" w:type="dxa"/>
          </w:tcPr>
          <w:p w14:paraId="555A1605">
            <w:pPr>
              <w:spacing w:line="340" w:lineRule="exact"/>
              <w:rPr>
                <w:rFonts w:ascii="宋体" w:hAnsi="宋体" w:cs="宋体"/>
                <w:color w:val="auto"/>
                <w:sz w:val="24"/>
                <w:highlight w:val="none"/>
              </w:rPr>
            </w:pPr>
          </w:p>
        </w:tc>
        <w:tc>
          <w:tcPr>
            <w:tcW w:w="1347" w:type="dxa"/>
          </w:tcPr>
          <w:p w14:paraId="1161879E">
            <w:pPr>
              <w:spacing w:line="340" w:lineRule="exact"/>
              <w:rPr>
                <w:rFonts w:ascii="宋体" w:hAnsi="宋体" w:cs="宋体"/>
                <w:color w:val="auto"/>
                <w:sz w:val="24"/>
                <w:highlight w:val="none"/>
              </w:rPr>
            </w:pPr>
          </w:p>
        </w:tc>
      </w:tr>
      <w:tr w14:paraId="1B288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17BD1BEB">
            <w:pPr>
              <w:spacing w:line="340" w:lineRule="exact"/>
              <w:jc w:val="center"/>
              <w:rPr>
                <w:rFonts w:ascii="宋体" w:hAnsi="宋体" w:cs="宋体"/>
                <w:color w:val="auto"/>
                <w:sz w:val="24"/>
                <w:highlight w:val="none"/>
              </w:rPr>
            </w:pPr>
            <w:r>
              <w:rPr>
                <w:rFonts w:hint="eastAsia" w:ascii="宋体" w:hAnsi="宋体" w:cs="宋体"/>
                <w:color w:val="auto"/>
                <w:sz w:val="24"/>
                <w:highlight w:val="none"/>
              </w:rPr>
              <w:t>11</w:t>
            </w:r>
          </w:p>
        </w:tc>
        <w:tc>
          <w:tcPr>
            <w:tcW w:w="2205" w:type="dxa"/>
          </w:tcPr>
          <w:p w14:paraId="73961683">
            <w:pPr>
              <w:spacing w:line="340" w:lineRule="exact"/>
              <w:rPr>
                <w:rFonts w:ascii="宋体" w:hAnsi="宋体" w:cs="宋体"/>
                <w:color w:val="auto"/>
                <w:sz w:val="24"/>
                <w:highlight w:val="none"/>
              </w:rPr>
            </w:pPr>
          </w:p>
        </w:tc>
        <w:tc>
          <w:tcPr>
            <w:tcW w:w="957" w:type="dxa"/>
          </w:tcPr>
          <w:p w14:paraId="2C542516">
            <w:pPr>
              <w:spacing w:line="340" w:lineRule="exact"/>
              <w:rPr>
                <w:rFonts w:ascii="宋体" w:hAnsi="宋体" w:cs="宋体"/>
                <w:color w:val="auto"/>
                <w:sz w:val="24"/>
                <w:highlight w:val="none"/>
              </w:rPr>
            </w:pPr>
          </w:p>
        </w:tc>
        <w:tc>
          <w:tcPr>
            <w:tcW w:w="840" w:type="dxa"/>
          </w:tcPr>
          <w:p w14:paraId="514E6DF2">
            <w:pPr>
              <w:spacing w:line="340" w:lineRule="exact"/>
              <w:rPr>
                <w:rFonts w:ascii="宋体" w:hAnsi="宋体" w:cs="宋体"/>
                <w:color w:val="auto"/>
                <w:sz w:val="24"/>
                <w:highlight w:val="none"/>
              </w:rPr>
            </w:pPr>
          </w:p>
        </w:tc>
        <w:tc>
          <w:tcPr>
            <w:tcW w:w="1260" w:type="dxa"/>
          </w:tcPr>
          <w:p w14:paraId="2232F01A">
            <w:pPr>
              <w:spacing w:line="340" w:lineRule="exact"/>
              <w:rPr>
                <w:rFonts w:ascii="宋体" w:hAnsi="宋体" w:cs="宋体"/>
                <w:color w:val="auto"/>
                <w:sz w:val="24"/>
                <w:highlight w:val="none"/>
              </w:rPr>
            </w:pPr>
          </w:p>
        </w:tc>
        <w:tc>
          <w:tcPr>
            <w:tcW w:w="1340" w:type="dxa"/>
          </w:tcPr>
          <w:p w14:paraId="627B48AA">
            <w:pPr>
              <w:spacing w:line="340" w:lineRule="exact"/>
              <w:rPr>
                <w:rFonts w:ascii="宋体" w:hAnsi="宋体" w:cs="宋体"/>
                <w:color w:val="auto"/>
                <w:sz w:val="24"/>
                <w:highlight w:val="none"/>
              </w:rPr>
            </w:pPr>
          </w:p>
        </w:tc>
        <w:tc>
          <w:tcPr>
            <w:tcW w:w="1347" w:type="dxa"/>
          </w:tcPr>
          <w:p w14:paraId="22F35842">
            <w:pPr>
              <w:spacing w:line="340" w:lineRule="exact"/>
              <w:rPr>
                <w:rFonts w:ascii="宋体" w:hAnsi="宋体" w:cs="宋体"/>
                <w:color w:val="auto"/>
                <w:sz w:val="24"/>
                <w:highlight w:val="none"/>
              </w:rPr>
            </w:pPr>
          </w:p>
        </w:tc>
      </w:tr>
      <w:tr w14:paraId="5CAC8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4ADA4248">
            <w:pPr>
              <w:spacing w:line="340" w:lineRule="exact"/>
              <w:jc w:val="center"/>
              <w:rPr>
                <w:rFonts w:ascii="宋体" w:hAnsi="宋体" w:cs="宋体"/>
                <w:color w:val="auto"/>
                <w:sz w:val="24"/>
                <w:highlight w:val="none"/>
              </w:rPr>
            </w:pPr>
            <w:r>
              <w:rPr>
                <w:rFonts w:hint="eastAsia" w:ascii="宋体" w:hAnsi="宋体" w:cs="宋体"/>
                <w:color w:val="auto"/>
                <w:sz w:val="24"/>
                <w:highlight w:val="none"/>
              </w:rPr>
              <w:t>12</w:t>
            </w:r>
          </w:p>
        </w:tc>
        <w:tc>
          <w:tcPr>
            <w:tcW w:w="2205" w:type="dxa"/>
          </w:tcPr>
          <w:p w14:paraId="2BD659B7">
            <w:pPr>
              <w:spacing w:line="340" w:lineRule="exact"/>
              <w:rPr>
                <w:rFonts w:ascii="宋体" w:hAnsi="宋体" w:cs="宋体"/>
                <w:color w:val="auto"/>
                <w:sz w:val="24"/>
                <w:highlight w:val="none"/>
              </w:rPr>
            </w:pPr>
          </w:p>
        </w:tc>
        <w:tc>
          <w:tcPr>
            <w:tcW w:w="957" w:type="dxa"/>
          </w:tcPr>
          <w:p w14:paraId="671AF19D">
            <w:pPr>
              <w:spacing w:line="340" w:lineRule="exact"/>
              <w:rPr>
                <w:rFonts w:ascii="宋体" w:hAnsi="宋体" w:cs="宋体"/>
                <w:color w:val="auto"/>
                <w:sz w:val="24"/>
                <w:highlight w:val="none"/>
              </w:rPr>
            </w:pPr>
          </w:p>
        </w:tc>
        <w:tc>
          <w:tcPr>
            <w:tcW w:w="840" w:type="dxa"/>
          </w:tcPr>
          <w:p w14:paraId="20B8B33D">
            <w:pPr>
              <w:spacing w:line="340" w:lineRule="exact"/>
              <w:rPr>
                <w:rFonts w:ascii="宋体" w:hAnsi="宋体" w:cs="宋体"/>
                <w:color w:val="auto"/>
                <w:sz w:val="24"/>
                <w:highlight w:val="none"/>
              </w:rPr>
            </w:pPr>
          </w:p>
        </w:tc>
        <w:tc>
          <w:tcPr>
            <w:tcW w:w="1260" w:type="dxa"/>
          </w:tcPr>
          <w:p w14:paraId="03DB21CD">
            <w:pPr>
              <w:spacing w:line="340" w:lineRule="exact"/>
              <w:rPr>
                <w:rFonts w:ascii="宋体" w:hAnsi="宋体" w:cs="宋体"/>
                <w:color w:val="auto"/>
                <w:sz w:val="24"/>
                <w:highlight w:val="none"/>
              </w:rPr>
            </w:pPr>
          </w:p>
        </w:tc>
        <w:tc>
          <w:tcPr>
            <w:tcW w:w="1340" w:type="dxa"/>
          </w:tcPr>
          <w:p w14:paraId="6D3FF110">
            <w:pPr>
              <w:spacing w:line="340" w:lineRule="exact"/>
              <w:rPr>
                <w:rFonts w:ascii="宋体" w:hAnsi="宋体" w:cs="宋体"/>
                <w:color w:val="auto"/>
                <w:sz w:val="24"/>
                <w:highlight w:val="none"/>
              </w:rPr>
            </w:pPr>
          </w:p>
        </w:tc>
        <w:tc>
          <w:tcPr>
            <w:tcW w:w="1347" w:type="dxa"/>
          </w:tcPr>
          <w:p w14:paraId="09D62E1C">
            <w:pPr>
              <w:spacing w:line="340" w:lineRule="exact"/>
              <w:rPr>
                <w:rFonts w:ascii="宋体" w:hAnsi="宋体" w:cs="宋体"/>
                <w:color w:val="auto"/>
                <w:sz w:val="24"/>
                <w:highlight w:val="none"/>
              </w:rPr>
            </w:pPr>
          </w:p>
        </w:tc>
      </w:tr>
      <w:tr w14:paraId="37FCA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50F9B12C">
            <w:pPr>
              <w:spacing w:line="340" w:lineRule="exact"/>
              <w:jc w:val="center"/>
              <w:rPr>
                <w:rFonts w:ascii="宋体" w:hAnsi="宋体" w:cs="宋体"/>
                <w:color w:val="auto"/>
                <w:sz w:val="24"/>
                <w:highlight w:val="none"/>
              </w:rPr>
            </w:pPr>
            <w:r>
              <w:rPr>
                <w:rFonts w:hint="eastAsia" w:ascii="宋体" w:hAnsi="宋体" w:cs="宋体"/>
                <w:color w:val="auto"/>
                <w:sz w:val="24"/>
                <w:highlight w:val="none"/>
              </w:rPr>
              <w:t>13</w:t>
            </w:r>
          </w:p>
        </w:tc>
        <w:tc>
          <w:tcPr>
            <w:tcW w:w="2205" w:type="dxa"/>
          </w:tcPr>
          <w:p w14:paraId="3ED9F936">
            <w:pPr>
              <w:spacing w:line="340" w:lineRule="exact"/>
              <w:rPr>
                <w:rFonts w:ascii="宋体" w:hAnsi="宋体" w:cs="宋体"/>
                <w:color w:val="auto"/>
                <w:sz w:val="24"/>
                <w:highlight w:val="none"/>
              </w:rPr>
            </w:pPr>
          </w:p>
        </w:tc>
        <w:tc>
          <w:tcPr>
            <w:tcW w:w="957" w:type="dxa"/>
          </w:tcPr>
          <w:p w14:paraId="5312C5D4">
            <w:pPr>
              <w:spacing w:line="340" w:lineRule="exact"/>
              <w:rPr>
                <w:rFonts w:ascii="宋体" w:hAnsi="宋体" w:cs="宋体"/>
                <w:color w:val="auto"/>
                <w:sz w:val="24"/>
                <w:highlight w:val="none"/>
              </w:rPr>
            </w:pPr>
          </w:p>
        </w:tc>
        <w:tc>
          <w:tcPr>
            <w:tcW w:w="840" w:type="dxa"/>
          </w:tcPr>
          <w:p w14:paraId="2B108684">
            <w:pPr>
              <w:spacing w:line="340" w:lineRule="exact"/>
              <w:rPr>
                <w:rFonts w:ascii="宋体" w:hAnsi="宋体" w:cs="宋体"/>
                <w:color w:val="auto"/>
                <w:sz w:val="24"/>
                <w:highlight w:val="none"/>
              </w:rPr>
            </w:pPr>
          </w:p>
        </w:tc>
        <w:tc>
          <w:tcPr>
            <w:tcW w:w="1260" w:type="dxa"/>
          </w:tcPr>
          <w:p w14:paraId="4F73256A">
            <w:pPr>
              <w:spacing w:line="340" w:lineRule="exact"/>
              <w:rPr>
                <w:rFonts w:ascii="宋体" w:hAnsi="宋体" w:cs="宋体"/>
                <w:color w:val="auto"/>
                <w:sz w:val="24"/>
                <w:highlight w:val="none"/>
              </w:rPr>
            </w:pPr>
          </w:p>
        </w:tc>
        <w:tc>
          <w:tcPr>
            <w:tcW w:w="1340" w:type="dxa"/>
          </w:tcPr>
          <w:p w14:paraId="3F4747B1">
            <w:pPr>
              <w:spacing w:line="340" w:lineRule="exact"/>
              <w:rPr>
                <w:rFonts w:ascii="宋体" w:hAnsi="宋体" w:cs="宋体"/>
                <w:color w:val="auto"/>
                <w:sz w:val="24"/>
                <w:highlight w:val="none"/>
              </w:rPr>
            </w:pPr>
          </w:p>
        </w:tc>
        <w:tc>
          <w:tcPr>
            <w:tcW w:w="1347" w:type="dxa"/>
          </w:tcPr>
          <w:p w14:paraId="4D3D2C2C">
            <w:pPr>
              <w:spacing w:line="340" w:lineRule="exact"/>
              <w:rPr>
                <w:rFonts w:ascii="宋体" w:hAnsi="宋体" w:cs="宋体"/>
                <w:color w:val="auto"/>
                <w:sz w:val="24"/>
                <w:highlight w:val="none"/>
              </w:rPr>
            </w:pPr>
          </w:p>
        </w:tc>
      </w:tr>
      <w:tr w14:paraId="4B420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74CBEFCD">
            <w:pPr>
              <w:spacing w:line="340" w:lineRule="exact"/>
              <w:jc w:val="center"/>
              <w:rPr>
                <w:rFonts w:ascii="宋体" w:hAnsi="宋体" w:cs="宋体"/>
                <w:color w:val="auto"/>
                <w:sz w:val="24"/>
                <w:highlight w:val="none"/>
              </w:rPr>
            </w:pPr>
          </w:p>
        </w:tc>
        <w:tc>
          <w:tcPr>
            <w:tcW w:w="2205" w:type="dxa"/>
            <w:vAlign w:val="center"/>
          </w:tcPr>
          <w:p w14:paraId="37C512B5">
            <w:pPr>
              <w:pStyle w:val="61"/>
              <w:spacing w:line="340" w:lineRule="exact"/>
              <w:rPr>
                <w:rFonts w:ascii="宋体" w:hAnsi="宋体" w:cs="宋体"/>
                <w:color w:val="auto"/>
                <w:szCs w:val="24"/>
                <w:highlight w:val="none"/>
              </w:rPr>
            </w:pPr>
            <w:r>
              <w:rPr>
                <w:rFonts w:hint="eastAsia" w:ascii="宋体" w:hAnsi="宋体" w:cs="宋体"/>
                <w:color w:val="auto"/>
                <w:szCs w:val="24"/>
                <w:highlight w:val="none"/>
              </w:rPr>
              <w:t>其他费用</w:t>
            </w:r>
          </w:p>
        </w:tc>
        <w:tc>
          <w:tcPr>
            <w:tcW w:w="957" w:type="dxa"/>
          </w:tcPr>
          <w:p w14:paraId="6192541D">
            <w:pPr>
              <w:spacing w:line="340" w:lineRule="exact"/>
              <w:rPr>
                <w:rFonts w:ascii="宋体" w:hAnsi="宋体" w:cs="宋体"/>
                <w:color w:val="auto"/>
                <w:sz w:val="24"/>
                <w:highlight w:val="none"/>
              </w:rPr>
            </w:pPr>
          </w:p>
        </w:tc>
        <w:tc>
          <w:tcPr>
            <w:tcW w:w="840" w:type="dxa"/>
          </w:tcPr>
          <w:p w14:paraId="6DC73C45">
            <w:pPr>
              <w:spacing w:line="340" w:lineRule="exact"/>
              <w:rPr>
                <w:rFonts w:ascii="宋体" w:hAnsi="宋体" w:cs="宋体"/>
                <w:color w:val="auto"/>
                <w:sz w:val="24"/>
                <w:highlight w:val="none"/>
              </w:rPr>
            </w:pPr>
          </w:p>
        </w:tc>
        <w:tc>
          <w:tcPr>
            <w:tcW w:w="1260" w:type="dxa"/>
          </w:tcPr>
          <w:p w14:paraId="3240737C">
            <w:pPr>
              <w:spacing w:line="340" w:lineRule="exact"/>
              <w:rPr>
                <w:rFonts w:ascii="宋体" w:hAnsi="宋体" w:cs="宋体"/>
                <w:color w:val="auto"/>
                <w:sz w:val="24"/>
                <w:highlight w:val="none"/>
              </w:rPr>
            </w:pPr>
          </w:p>
        </w:tc>
        <w:tc>
          <w:tcPr>
            <w:tcW w:w="1340" w:type="dxa"/>
          </w:tcPr>
          <w:p w14:paraId="1D9AC989">
            <w:pPr>
              <w:spacing w:line="340" w:lineRule="exact"/>
              <w:rPr>
                <w:rFonts w:ascii="宋体" w:hAnsi="宋体" w:cs="宋体"/>
                <w:color w:val="auto"/>
                <w:sz w:val="24"/>
                <w:highlight w:val="none"/>
              </w:rPr>
            </w:pPr>
          </w:p>
        </w:tc>
        <w:tc>
          <w:tcPr>
            <w:tcW w:w="1347" w:type="dxa"/>
          </w:tcPr>
          <w:p w14:paraId="3C8FFC08">
            <w:pPr>
              <w:spacing w:line="340" w:lineRule="exact"/>
              <w:rPr>
                <w:rFonts w:ascii="宋体" w:hAnsi="宋体" w:cs="宋体"/>
                <w:color w:val="auto"/>
                <w:sz w:val="24"/>
                <w:highlight w:val="none"/>
              </w:rPr>
            </w:pPr>
          </w:p>
        </w:tc>
      </w:tr>
      <w:tr w14:paraId="465EF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471DB9FE">
            <w:pPr>
              <w:spacing w:line="340" w:lineRule="exact"/>
              <w:jc w:val="center"/>
              <w:rPr>
                <w:rFonts w:ascii="宋体" w:hAnsi="宋体" w:cs="宋体"/>
                <w:color w:val="auto"/>
                <w:sz w:val="24"/>
                <w:highlight w:val="none"/>
              </w:rPr>
            </w:pPr>
          </w:p>
        </w:tc>
        <w:tc>
          <w:tcPr>
            <w:tcW w:w="2205" w:type="dxa"/>
          </w:tcPr>
          <w:p w14:paraId="0FB8F568">
            <w:pPr>
              <w:spacing w:line="340" w:lineRule="exact"/>
              <w:rPr>
                <w:rFonts w:ascii="宋体" w:hAnsi="宋体" w:cs="宋体"/>
                <w:color w:val="auto"/>
                <w:sz w:val="24"/>
                <w:highlight w:val="none"/>
              </w:rPr>
            </w:pPr>
            <w:r>
              <w:rPr>
                <w:rFonts w:hint="eastAsia" w:ascii="宋体" w:hAnsi="宋体" w:cs="宋体"/>
                <w:color w:val="auto"/>
                <w:sz w:val="24"/>
                <w:highlight w:val="none"/>
              </w:rPr>
              <w:t>…</w:t>
            </w:r>
          </w:p>
        </w:tc>
        <w:tc>
          <w:tcPr>
            <w:tcW w:w="957" w:type="dxa"/>
          </w:tcPr>
          <w:p w14:paraId="0796D870">
            <w:pPr>
              <w:spacing w:line="340" w:lineRule="exact"/>
              <w:rPr>
                <w:rFonts w:ascii="宋体" w:hAnsi="宋体" w:cs="宋体"/>
                <w:color w:val="auto"/>
                <w:sz w:val="24"/>
                <w:highlight w:val="none"/>
              </w:rPr>
            </w:pPr>
          </w:p>
        </w:tc>
        <w:tc>
          <w:tcPr>
            <w:tcW w:w="840" w:type="dxa"/>
          </w:tcPr>
          <w:p w14:paraId="0859A5D7">
            <w:pPr>
              <w:spacing w:line="340" w:lineRule="exact"/>
              <w:rPr>
                <w:rFonts w:ascii="宋体" w:hAnsi="宋体" w:cs="宋体"/>
                <w:color w:val="auto"/>
                <w:sz w:val="24"/>
                <w:highlight w:val="none"/>
              </w:rPr>
            </w:pPr>
          </w:p>
        </w:tc>
        <w:tc>
          <w:tcPr>
            <w:tcW w:w="1260" w:type="dxa"/>
          </w:tcPr>
          <w:p w14:paraId="0FF169E9">
            <w:pPr>
              <w:spacing w:line="340" w:lineRule="exact"/>
              <w:rPr>
                <w:rFonts w:ascii="宋体" w:hAnsi="宋体" w:cs="宋体"/>
                <w:color w:val="auto"/>
                <w:sz w:val="24"/>
                <w:highlight w:val="none"/>
              </w:rPr>
            </w:pPr>
          </w:p>
        </w:tc>
        <w:tc>
          <w:tcPr>
            <w:tcW w:w="1340" w:type="dxa"/>
          </w:tcPr>
          <w:p w14:paraId="20BA0D08">
            <w:pPr>
              <w:spacing w:line="340" w:lineRule="exact"/>
              <w:rPr>
                <w:rFonts w:ascii="宋体" w:hAnsi="宋体" w:cs="宋体"/>
                <w:color w:val="auto"/>
                <w:sz w:val="24"/>
                <w:highlight w:val="none"/>
              </w:rPr>
            </w:pPr>
          </w:p>
        </w:tc>
        <w:tc>
          <w:tcPr>
            <w:tcW w:w="1347" w:type="dxa"/>
          </w:tcPr>
          <w:p w14:paraId="20B00B1F">
            <w:pPr>
              <w:spacing w:line="340" w:lineRule="exact"/>
              <w:rPr>
                <w:rFonts w:ascii="宋体" w:hAnsi="宋体" w:cs="宋体"/>
                <w:color w:val="auto"/>
                <w:sz w:val="24"/>
                <w:highlight w:val="none"/>
              </w:rPr>
            </w:pPr>
          </w:p>
        </w:tc>
      </w:tr>
      <w:tr w14:paraId="78AC1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3447AE79">
            <w:pPr>
              <w:spacing w:line="340" w:lineRule="exact"/>
              <w:jc w:val="center"/>
              <w:rPr>
                <w:rFonts w:ascii="宋体" w:hAnsi="宋体" w:cs="宋体"/>
                <w:color w:val="auto"/>
                <w:sz w:val="24"/>
                <w:highlight w:val="none"/>
              </w:rPr>
            </w:pPr>
          </w:p>
        </w:tc>
        <w:tc>
          <w:tcPr>
            <w:tcW w:w="2205" w:type="dxa"/>
          </w:tcPr>
          <w:p w14:paraId="2C0DA9B6">
            <w:pPr>
              <w:pStyle w:val="61"/>
              <w:spacing w:line="340" w:lineRule="exact"/>
              <w:rPr>
                <w:rFonts w:ascii="宋体" w:hAnsi="宋体" w:cs="宋体"/>
                <w:color w:val="auto"/>
                <w:szCs w:val="24"/>
                <w:highlight w:val="none"/>
              </w:rPr>
            </w:pPr>
            <w:r>
              <w:rPr>
                <w:rFonts w:hint="eastAsia" w:ascii="宋体" w:hAnsi="宋体" w:cs="宋体"/>
                <w:color w:val="auto"/>
                <w:szCs w:val="24"/>
                <w:highlight w:val="none"/>
              </w:rPr>
              <w:t>…</w:t>
            </w:r>
          </w:p>
        </w:tc>
        <w:tc>
          <w:tcPr>
            <w:tcW w:w="957" w:type="dxa"/>
          </w:tcPr>
          <w:p w14:paraId="48C1ED8E">
            <w:pPr>
              <w:spacing w:line="340" w:lineRule="exact"/>
              <w:rPr>
                <w:rFonts w:ascii="宋体" w:hAnsi="宋体" w:cs="宋体"/>
                <w:color w:val="auto"/>
                <w:sz w:val="24"/>
                <w:highlight w:val="none"/>
              </w:rPr>
            </w:pPr>
          </w:p>
        </w:tc>
        <w:tc>
          <w:tcPr>
            <w:tcW w:w="840" w:type="dxa"/>
          </w:tcPr>
          <w:p w14:paraId="49591464">
            <w:pPr>
              <w:spacing w:line="340" w:lineRule="exact"/>
              <w:rPr>
                <w:rFonts w:ascii="宋体" w:hAnsi="宋体" w:cs="宋体"/>
                <w:color w:val="auto"/>
                <w:sz w:val="24"/>
                <w:highlight w:val="none"/>
              </w:rPr>
            </w:pPr>
          </w:p>
        </w:tc>
        <w:tc>
          <w:tcPr>
            <w:tcW w:w="1260" w:type="dxa"/>
          </w:tcPr>
          <w:p w14:paraId="79C7DC0A">
            <w:pPr>
              <w:spacing w:line="340" w:lineRule="exact"/>
              <w:rPr>
                <w:rFonts w:ascii="宋体" w:hAnsi="宋体" w:cs="宋体"/>
                <w:color w:val="auto"/>
                <w:sz w:val="24"/>
                <w:highlight w:val="none"/>
              </w:rPr>
            </w:pPr>
          </w:p>
        </w:tc>
        <w:tc>
          <w:tcPr>
            <w:tcW w:w="1340" w:type="dxa"/>
          </w:tcPr>
          <w:p w14:paraId="5BFA319B">
            <w:pPr>
              <w:spacing w:line="340" w:lineRule="exact"/>
              <w:rPr>
                <w:rFonts w:ascii="宋体" w:hAnsi="宋体" w:cs="宋体"/>
                <w:color w:val="auto"/>
                <w:sz w:val="24"/>
                <w:highlight w:val="none"/>
              </w:rPr>
            </w:pPr>
          </w:p>
        </w:tc>
        <w:tc>
          <w:tcPr>
            <w:tcW w:w="1347" w:type="dxa"/>
          </w:tcPr>
          <w:p w14:paraId="79653D34">
            <w:pPr>
              <w:spacing w:line="340" w:lineRule="exact"/>
              <w:rPr>
                <w:rFonts w:ascii="宋体" w:hAnsi="宋体" w:cs="宋体"/>
                <w:color w:val="auto"/>
                <w:sz w:val="24"/>
                <w:highlight w:val="none"/>
              </w:rPr>
            </w:pPr>
          </w:p>
        </w:tc>
      </w:tr>
      <w:tr w14:paraId="2FA58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076034F3">
            <w:pPr>
              <w:spacing w:line="340" w:lineRule="exact"/>
              <w:jc w:val="center"/>
              <w:rPr>
                <w:rFonts w:ascii="宋体" w:hAnsi="宋体" w:cs="宋体"/>
                <w:color w:val="auto"/>
                <w:sz w:val="24"/>
                <w:highlight w:val="none"/>
              </w:rPr>
            </w:pPr>
          </w:p>
        </w:tc>
        <w:tc>
          <w:tcPr>
            <w:tcW w:w="2205" w:type="dxa"/>
          </w:tcPr>
          <w:p w14:paraId="413A3D0F">
            <w:pPr>
              <w:spacing w:line="340" w:lineRule="exact"/>
              <w:rPr>
                <w:rFonts w:ascii="宋体" w:hAnsi="宋体" w:cs="宋体"/>
                <w:color w:val="auto"/>
                <w:sz w:val="24"/>
                <w:highlight w:val="none"/>
              </w:rPr>
            </w:pPr>
            <w:r>
              <w:rPr>
                <w:rFonts w:hint="eastAsia" w:ascii="宋体" w:hAnsi="宋体" w:cs="宋体"/>
                <w:color w:val="auto"/>
                <w:sz w:val="24"/>
                <w:highlight w:val="none"/>
              </w:rPr>
              <w:t>…</w:t>
            </w:r>
          </w:p>
        </w:tc>
        <w:tc>
          <w:tcPr>
            <w:tcW w:w="957" w:type="dxa"/>
          </w:tcPr>
          <w:p w14:paraId="7CFF3E86">
            <w:pPr>
              <w:spacing w:line="340" w:lineRule="exact"/>
              <w:rPr>
                <w:rFonts w:ascii="宋体" w:hAnsi="宋体" w:cs="宋体"/>
                <w:color w:val="auto"/>
                <w:sz w:val="24"/>
                <w:highlight w:val="none"/>
              </w:rPr>
            </w:pPr>
          </w:p>
        </w:tc>
        <w:tc>
          <w:tcPr>
            <w:tcW w:w="840" w:type="dxa"/>
          </w:tcPr>
          <w:p w14:paraId="7FDE9091">
            <w:pPr>
              <w:spacing w:line="340" w:lineRule="exact"/>
              <w:rPr>
                <w:rFonts w:ascii="宋体" w:hAnsi="宋体" w:cs="宋体"/>
                <w:color w:val="auto"/>
                <w:sz w:val="24"/>
                <w:highlight w:val="none"/>
              </w:rPr>
            </w:pPr>
          </w:p>
        </w:tc>
        <w:tc>
          <w:tcPr>
            <w:tcW w:w="1260" w:type="dxa"/>
          </w:tcPr>
          <w:p w14:paraId="7EF882D1">
            <w:pPr>
              <w:spacing w:line="340" w:lineRule="exact"/>
              <w:rPr>
                <w:rFonts w:ascii="宋体" w:hAnsi="宋体" w:cs="宋体"/>
                <w:color w:val="auto"/>
                <w:sz w:val="24"/>
                <w:highlight w:val="none"/>
              </w:rPr>
            </w:pPr>
          </w:p>
        </w:tc>
        <w:tc>
          <w:tcPr>
            <w:tcW w:w="1340" w:type="dxa"/>
          </w:tcPr>
          <w:p w14:paraId="05013BC8">
            <w:pPr>
              <w:spacing w:line="340" w:lineRule="exact"/>
              <w:rPr>
                <w:rFonts w:ascii="宋体" w:hAnsi="宋体" w:cs="宋体"/>
                <w:color w:val="auto"/>
                <w:sz w:val="24"/>
                <w:highlight w:val="none"/>
              </w:rPr>
            </w:pPr>
          </w:p>
        </w:tc>
        <w:tc>
          <w:tcPr>
            <w:tcW w:w="1347" w:type="dxa"/>
          </w:tcPr>
          <w:p w14:paraId="4BCD4942">
            <w:pPr>
              <w:spacing w:line="340" w:lineRule="exact"/>
              <w:rPr>
                <w:rFonts w:ascii="宋体" w:hAnsi="宋体" w:cs="宋体"/>
                <w:color w:val="auto"/>
                <w:sz w:val="24"/>
                <w:highlight w:val="none"/>
              </w:rPr>
            </w:pPr>
          </w:p>
        </w:tc>
      </w:tr>
      <w:tr w14:paraId="223AC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339E4F66">
            <w:pPr>
              <w:spacing w:line="340" w:lineRule="exact"/>
              <w:jc w:val="center"/>
              <w:rPr>
                <w:rFonts w:ascii="宋体" w:hAnsi="宋体" w:cs="宋体"/>
                <w:color w:val="auto"/>
                <w:sz w:val="24"/>
                <w:highlight w:val="none"/>
              </w:rPr>
            </w:pPr>
          </w:p>
        </w:tc>
        <w:tc>
          <w:tcPr>
            <w:tcW w:w="2205" w:type="dxa"/>
            <w:vAlign w:val="center"/>
          </w:tcPr>
          <w:p w14:paraId="6CAD8DD2">
            <w:pPr>
              <w:pStyle w:val="61"/>
              <w:spacing w:line="340" w:lineRule="exact"/>
              <w:rPr>
                <w:rFonts w:ascii="宋体" w:hAnsi="宋体" w:cs="宋体"/>
                <w:color w:val="auto"/>
                <w:szCs w:val="24"/>
                <w:highlight w:val="none"/>
              </w:rPr>
            </w:pPr>
            <w:r>
              <w:rPr>
                <w:rFonts w:hint="eastAsia" w:ascii="宋体" w:hAnsi="宋体" w:cs="宋体"/>
                <w:color w:val="auto"/>
                <w:szCs w:val="24"/>
                <w:highlight w:val="none"/>
              </w:rPr>
              <w:t>合计</w:t>
            </w:r>
          </w:p>
        </w:tc>
        <w:tc>
          <w:tcPr>
            <w:tcW w:w="957" w:type="dxa"/>
          </w:tcPr>
          <w:p w14:paraId="415D4BFC">
            <w:pPr>
              <w:spacing w:line="340" w:lineRule="exact"/>
              <w:rPr>
                <w:rFonts w:ascii="宋体" w:hAnsi="宋体" w:cs="宋体"/>
                <w:color w:val="auto"/>
                <w:sz w:val="24"/>
                <w:highlight w:val="none"/>
              </w:rPr>
            </w:pPr>
          </w:p>
        </w:tc>
        <w:tc>
          <w:tcPr>
            <w:tcW w:w="840" w:type="dxa"/>
          </w:tcPr>
          <w:p w14:paraId="3172B083">
            <w:pPr>
              <w:spacing w:line="340" w:lineRule="exact"/>
              <w:rPr>
                <w:rFonts w:ascii="宋体" w:hAnsi="宋体" w:cs="宋体"/>
                <w:color w:val="auto"/>
                <w:sz w:val="24"/>
                <w:highlight w:val="none"/>
              </w:rPr>
            </w:pPr>
          </w:p>
        </w:tc>
        <w:tc>
          <w:tcPr>
            <w:tcW w:w="1260" w:type="dxa"/>
          </w:tcPr>
          <w:p w14:paraId="2E03204D">
            <w:pPr>
              <w:spacing w:line="340" w:lineRule="exact"/>
              <w:rPr>
                <w:rFonts w:ascii="宋体" w:hAnsi="宋体" w:cs="宋体"/>
                <w:color w:val="auto"/>
                <w:sz w:val="24"/>
                <w:highlight w:val="none"/>
              </w:rPr>
            </w:pPr>
          </w:p>
        </w:tc>
        <w:tc>
          <w:tcPr>
            <w:tcW w:w="1340" w:type="dxa"/>
          </w:tcPr>
          <w:p w14:paraId="3F39AB53">
            <w:pPr>
              <w:spacing w:line="340" w:lineRule="exact"/>
              <w:rPr>
                <w:rFonts w:ascii="宋体" w:hAnsi="宋体" w:cs="宋体"/>
                <w:color w:val="auto"/>
                <w:sz w:val="24"/>
                <w:highlight w:val="none"/>
              </w:rPr>
            </w:pPr>
          </w:p>
        </w:tc>
        <w:tc>
          <w:tcPr>
            <w:tcW w:w="1347" w:type="dxa"/>
          </w:tcPr>
          <w:p w14:paraId="00DF7A34">
            <w:pPr>
              <w:spacing w:line="340" w:lineRule="exact"/>
              <w:rPr>
                <w:rFonts w:ascii="宋体" w:hAnsi="宋体" w:cs="宋体"/>
                <w:color w:val="auto"/>
                <w:sz w:val="24"/>
                <w:highlight w:val="none"/>
              </w:rPr>
            </w:pPr>
          </w:p>
        </w:tc>
      </w:tr>
    </w:tbl>
    <w:p w14:paraId="2ABE6DC7">
      <w:pPr>
        <w:spacing w:line="360" w:lineRule="auto"/>
        <w:ind w:firstLine="3840" w:firstLineChars="1600"/>
        <w:rPr>
          <w:rFonts w:ascii="宋体" w:hAnsi="宋体" w:cs="宋体"/>
          <w:color w:val="auto"/>
          <w:sz w:val="24"/>
          <w:highlight w:val="none"/>
        </w:rPr>
      </w:pPr>
      <w:r>
        <w:rPr>
          <w:rFonts w:hint="eastAsia" w:ascii="宋体" w:hAnsi="宋体" w:cs="宋体"/>
          <w:color w:val="auto"/>
          <w:sz w:val="24"/>
          <w:highlight w:val="none"/>
        </w:rPr>
        <w:t xml:space="preserve">供应商电子公章： </w:t>
      </w:r>
    </w:p>
    <w:p w14:paraId="751AF0B5">
      <w:pPr>
        <w:spacing w:line="360" w:lineRule="auto"/>
        <w:jc w:val="right"/>
        <w:rPr>
          <w:rFonts w:ascii="宋体" w:hAnsi="宋体" w:cs="宋体"/>
          <w:color w:val="auto"/>
          <w:sz w:val="24"/>
          <w:highlight w:val="none"/>
        </w:rPr>
      </w:pPr>
      <w:r>
        <w:rPr>
          <w:rFonts w:hint="eastAsia" w:ascii="宋体" w:hAnsi="宋体" w:cs="宋体"/>
          <w:color w:val="auto"/>
          <w:sz w:val="24"/>
          <w:highlight w:val="none"/>
        </w:rPr>
        <w:t xml:space="preserve">  年  月  日</w:t>
      </w:r>
    </w:p>
    <w:p w14:paraId="744A01BD">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备注：</w:t>
      </w:r>
    </w:p>
    <w:p w14:paraId="567C28FA">
      <w:pPr>
        <w:spacing w:line="360" w:lineRule="auto"/>
        <w:jc w:val="left"/>
        <w:rPr>
          <w:rFonts w:ascii="宋体" w:hAnsi="宋体" w:cs="宋体"/>
          <w:color w:val="auto"/>
          <w:sz w:val="24"/>
          <w:highlight w:val="none"/>
        </w:rPr>
      </w:pPr>
      <w:r>
        <w:rPr>
          <w:rFonts w:hint="eastAsia" w:ascii="宋体" w:hAnsi="宋体" w:cs="宋体"/>
          <w:color w:val="auto"/>
          <w:sz w:val="24"/>
          <w:highlight w:val="none"/>
        </w:rPr>
        <w:t>表中所列内容为对应本项目需求的全部要求。如有漏项或缺项，投标人承担全部责任。</w:t>
      </w:r>
    </w:p>
    <w:p w14:paraId="5F215418">
      <w:pPr>
        <w:spacing w:line="360" w:lineRule="auto"/>
        <w:jc w:val="center"/>
        <w:rPr>
          <w:rFonts w:ascii="宋体" w:hAnsi="宋体" w:cs="宋体"/>
          <w:b/>
          <w:color w:val="auto"/>
          <w:sz w:val="24"/>
          <w:highlight w:val="none"/>
        </w:rPr>
      </w:pPr>
    </w:p>
    <w:p w14:paraId="5257FDCB">
      <w:pPr>
        <w:spacing w:line="360" w:lineRule="auto"/>
        <w:jc w:val="center"/>
        <w:rPr>
          <w:rFonts w:ascii="宋体" w:hAnsi="宋体" w:cs="宋体"/>
          <w:b/>
          <w:color w:val="auto"/>
          <w:sz w:val="24"/>
          <w:highlight w:val="none"/>
        </w:rPr>
      </w:pPr>
    </w:p>
    <w:p w14:paraId="6F9445BD">
      <w:pPr>
        <w:pStyle w:val="36"/>
        <w:ind w:firstLine="241"/>
        <w:rPr>
          <w:rFonts w:ascii="宋体" w:hAnsi="宋体" w:cs="宋体"/>
          <w:b/>
          <w:color w:val="auto"/>
          <w:sz w:val="24"/>
          <w:highlight w:val="none"/>
        </w:rPr>
      </w:pPr>
    </w:p>
    <w:p w14:paraId="74AFCCDA">
      <w:pPr>
        <w:pStyle w:val="36"/>
        <w:ind w:firstLine="241"/>
        <w:rPr>
          <w:rFonts w:ascii="宋体" w:hAnsi="宋体" w:cs="宋体"/>
          <w:b/>
          <w:color w:val="auto"/>
          <w:sz w:val="24"/>
          <w:highlight w:val="none"/>
        </w:rPr>
      </w:pPr>
    </w:p>
    <w:p w14:paraId="5D629F6B">
      <w:pPr>
        <w:pStyle w:val="36"/>
        <w:ind w:firstLine="241"/>
        <w:rPr>
          <w:rFonts w:ascii="宋体" w:hAnsi="宋体" w:cs="宋体"/>
          <w:b/>
          <w:color w:val="auto"/>
          <w:sz w:val="24"/>
          <w:highlight w:val="none"/>
        </w:rPr>
      </w:pPr>
    </w:p>
    <w:p w14:paraId="6D594282">
      <w:pPr>
        <w:spacing w:line="360" w:lineRule="auto"/>
        <w:jc w:val="left"/>
        <w:rPr>
          <w:rFonts w:ascii="宋体" w:hAnsi="宋体" w:cs="宋体"/>
          <w:color w:val="auto"/>
          <w:sz w:val="24"/>
          <w:highlight w:val="none"/>
        </w:rPr>
      </w:pPr>
      <w:r>
        <w:rPr>
          <w:rFonts w:hint="eastAsia" w:ascii="宋体" w:hAnsi="宋体" w:cs="宋体"/>
          <w:color w:val="auto"/>
          <w:sz w:val="24"/>
          <w:highlight w:val="none"/>
        </w:rPr>
        <w:t xml:space="preserve">格式6                     </w:t>
      </w:r>
      <w:r>
        <w:rPr>
          <w:rFonts w:hint="eastAsia" w:ascii="宋体" w:hAnsi="宋体" w:cs="宋体"/>
          <w:b/>
          <w:color w:val="auto"/>
          <w:sz w:val="24"/>
          <w:highlight w:val="none"/>
        </w:rPr>
        <w:t>技术参数响应表</w:t>
      </w:r>
    </w:p>
    <w:p w14:paraId="2900422E">
      <w:pPr>
        <w:rPr>
          <w:rFonts w:ascii="宋体" w:hAnsi="宋体" w:cs="宋体"/>
          <w:color w:val="auto"/>
          <w:sz w:val="24"/>
          <w:highlight w:val="none"/>
        </w:rPr>
      </w:pPr>
    </w:p>
    <w:p w14:paraId="6DD0CCEC">
      <w:pPr>
        <w:rPr>
          <w:rFonts w:ascii="宋体" w:hAnsi="宋体" w:cs="宋体"/>
          <w:color w:val="auto"/>
          <w:sz w:val="24"/>
          <w:highlight w:val="none"/>
        </w:rPr>
      </w:pPr>
    </w:p>
    <w:tbl>
      <w:tblPr>
        <w:tblStyle w:val="27"/>
        <w:tblW w:w="90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723"/>
        <w:gridCol w:w="3490"/>
        <w:gridCol w:w="2810"/>
        <w:gridCol w:w="1336"/>
      </w:tblGrid>
      <w:tr w14:paraId="77B15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4937" w:type="dxa"/>
            <w:gridSpan w:val="3"/>
            <w:tcBorders>
              <w:top w:val="single" w:color="auto" w:sz="4" w:space="0"/>
              <w:left w:val="single" w:color="auto" w:sz="4" w:space="0"/>
              <w:bottom w:val="single" w:color="auto" w:sz="4" w:space="0"/>
              <w:right w:val="single" w:color="auto" w:sz="4" w:space="0"/>
            </w:tcBorders>
            <w:vAlign w:val="center"/>
          </w:tcPr>
          <w:p w14:paraId="2E1149FA">
            <w:pPr>
              <w:pStyle w:val="15"/>
              <w:jc w:val="center"/>
              <w:rPr>
                <w:rFonts w:hAnsi="宋体" w:cs="宋体"/>
                <w:bCs/>
                <w:color w:val="auto"/>
                <w:sz w:val="24"/>
                <w:szCs w:val="24"/>
                <w:highlight w:val="none"/>
              </w:rPr>
            </w:pPr>
            <w:r>
              <w:rPr>
                <w:rFonts w:hint="eastAsia" w:hAnsi="宋体" w:cs="宋体"/>
                <w:bCs/>
                <w:color w:val="auto"/>
                <w:sz w:val="24"/>
                <w:szCs w:val="24"/>
                <w:highlight w:val="none"/>
              </w:rPr>
              <w:t>按招标文件规定填写</w:t>
            </w:r>
          </w:p>
        </w:tc>
        <w:tc>
          <w:tcPr>
            <w:tcW w:w="4146" w:type="dxa"/>
            <w:gridSpan w:val="2"/>
            <w:tcBorders>
              <w:top w:val="single" w:color="auto" w:sz="4" w:space="0"/>
              <w:left w:val="nil"/>
              <w:bottom w:val="single" w:color="auto" w:sz="4" w:space="0"/>
              <w:right w:val="single" w:color="auto" w:sz="4" w:space="0"/>
            </w:tcBorders>
            <w:vAlign w:val="center"/>
          </w:tcPr>
          <w:p w14:paraId="39EDE703">
            <w:pPr>
              <w:pStyle w:val="15"/>
              <w:jc w:val="center"/>
              <w:rPr>
                <w:rFonts w:hAnsi="宋体" w:cs="宋体"/>
                <w:bCs/>
                <w:color w:val="auto"/>
                <w:sz w:val="24"/>
                <w:szCs w:val="24"/>
                <w:highlight w:val="none"/>
              </w:rPr>
            </w:pPr>
            <w:r>
              <w:rPr>
                <w:rFonts w:hint="eastAsia" w:hAnsi="宋体" w:cs="宋体"/>
                <w:bCs/>
                <w:color w:val="auto"/>
                <w:sz w:val="24"/>
                <w:szCs w:val="24"/>
                <w:highlight w:val="none"/>
              </w:rPr>
              <w:t>按投标人所投内容填写</w:t>
            </w:r>
          </w:p>
        </w:tc>
      </w:tr>
      <w:tr w14:paraId="77DB0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24" w:type="dxa"/>
            <w:tcBorders>
              <w:top w:val="single" w:color="auto" w:sz="4" w:space="0"/>
              <w:left w:val="single" w:color="auto" w:sz="4" w:space="0"/>
              <w:bottom w:val="single" w:color="auto" w:sz="4" w:space="0"/>
              <w:right w:val="single" w:color="auto" w:sz="4" w:space="0"/>
            </w:tcBorders>
            <w:vAlign w:val="center"/>
          </w:tcPr>
          <w:p w14:paraId="46FAEA4F">
            <w:pPr>
              <w:pStyle w:val="15"/>
              <w:jc w:val="center"/>
              <w:rPr>
                <w:rFonts w:hAnsi="宋体" w:cs="宋体"/>
                <w:bCs/>
                <w:color w:val="auto"/>
                <w:sz w:val="24"/>
                <w:szCs w:val="24"/>
                <w:highlight w:val="none"/>
              </w:rPr>
            </w:pPr>
            <w:r>
              <w:rPr>
                <w:rFonts w:hint="eastAsia" w:hAnsi="宋体" w:cs="宋体"/>
                <w:bCs/>
                <w:color w:val="auto"/>
                <w:sz w:val="24"/>
                <w:szCs w:val="24"/>
                <w:highlight w:val="none"/>
              </w:rPr>
              <w:t>序号</w:t>
            </w:r>
          </w:p>
        </w:tc>
        <w:tc>
          <w:tcPr>
            <w:tcW w:w="723" w:type="dxa"/>
            <w:tcBorders>
              <w:top w:val="single" w:color="auto" w:sz="4" w:space="0"/>
              <w:left w:val="nil"/>
              <w:bottom w:val="single" w:color="auto" w:sz="4" w:space="0"/>
              <w:right w:val="single" w:color="auto" w:sz="4" w:space="0"/>
            </w:tcBorders>
            <w:vAlign w:val="center"/>
          </w:tcPr>
          <w:p w14:paraId="33E0F3EC">
            <w:pPr>
              <w:pStyle w:val="15"/>
              <w:jc w:val="center"/>
              <w:rPr>
                <w:rFonts w:hAnsi="宋体" w:cs="宋体"/>
                <w:bCs/>
                <w:color w:val="auto"/>
                <w:sz w:val="24"/>
                <w:szCs w:val="24"/>
                <w:highlight w:val="none"/>
              </w:rPr>
            </w:pPr>
            <w:r>
              <w:rPr>
                <w:rFonts w:hint="eastAsia" w:hAnsi="宋体" w:cs="宋体"/>
                <w:bCs/>
                <w:color w:val="auto"/>
                <w:sz w:val="24"/>
                <w:szCs w:val="24"/>
                <w:highlight w:val="none"/>
              </w:rPr>
              <w:t>品名</w:t>
            </w:r>
          </w:p>
        </w:tc>
        <w:tc>
          <w:tcPr>
            <w:tcW w:w="3490" w:type="dxa"/>
            <w:tcBorders>
              <w:top w:val="single" w:color="auto" w:sz="4" w:space="0"/>
              <w:left w:val="nil"/>
              <w:bottom w:val="single" w:color="auto" w:sz="4" w:space="0"/>
              <w:right w:val="single" w:color="auto" w:sz="4" w:space="0"/>
            </w:tcBorders>
            <w:vAlign w:val="center"/>
          </w:tcPr>
          <w:p w14:paraId="15EB49FA">
            <w:pPr>
              <w:pStyle w:val="15"/>
              <w:jc w:val="center"/>
              <w:rPr>
                <w:rFonts w:hAnsi="宋体" w:cs="宋体"/>
                <w:bCs/>
                <w:color w:val="auto"/>
                <w:sz w:val="24"/>
                <w:szCs w:val="24"/>
                <w:highlight w:val="none"/>
              </w:rPr>
            </w:pPr>
            <w:r>
              <w:rPr>
                <w:rFonts w:hint="eastAsia" w:hAnsi="宋体" w:cs="宋体"/>
                <w:color w:val="auto"/>
                <w:sz w:val="24"/>
                <w:szCs w:val="24"/>
                <w:highlight w:val="none"/>
              </w:rPr>
              <w:t>磋商文件服务要求及其他要求</w:t>
            </w:r>
          </w:p>
        </w:tc>
        <w:tc>
          <w:tcPr>
            <w:tcW w:w="2810" w:type="dxa"/>
            <w:tcBorders>
              <w:top w:val="single" w:color="auto" w:sz="4" w:space="0"/>
              <w:left w:val="nil"/>
              <w:bottom w:val="single" w:color="auto" w:sz="4" w:space="0"/>
              <w:right w:val="single" w:color="auto" w:sz="4" w:space="0"/>
            </w:tcBorders>
            <w:vAlign w:val="center"/>
          </w:tcPr>
          <w:p w14:paraId="753A6EF9">
            <w:pPr>
              <w:pStyle w:val="15"/>
              <w:jc w:val="center"/>
              <w:rPr>
                <w:rFonts w:hAnsi="宋体" w:cs="宋体"/>
                <w:bCs/>
                <w:color w:val="auto"/>
                <w:sz w:val="24"/>
                <w:szCs w:val="24"/>
                <w:highlight w:val="none"/>
              </w:rPr>
            </w:pPr>
            <w:r>
              <w:rPr>
                <w:rFonts w:hint="eastAsia" w:hAnsi="宋体" w:cs="宋体"/>
                <w:color w:val="auto"/>
                <w:sz w:val="24"/>
                <w:szCs w:val="24"/>
                <w:highlight w:val="none"/>
              </w:rPr>
              <w:t>响应</w:t>
            </w:r>
          </w:p>
        </w:tc>
        <w:tc>
          <w:tcPr>
            <w:tcW w:w="1336" w:type="dxa"/>
            <w:tcBorders>
              <w:top w:val="single" w:color="auto" w:sz="4" w:space="0"/>
              <w:left w:val="nil"/>
              <w:bottom w:val="single" w:color="auto" w:sz="4" w:space="0"/>
              <w:right w:val="single" w:color="auto" w:sz="4" w:space="0"/>
            </w:tcBorders>
            <w:vAlign w:val="center"/>
          </w:tcPr>
          <w:p w14:paraId="10214F72">
            <w:pPr>
              <w:pStyle w:val="15"/>
              <w:jc w:val="center"/>
              <w:rPr>
                <w:rFonts w:hAnsi="宋体" w:cs="宋体"/>
                <w:bCs/>
                <w:color w:val="auto"/>
                <w:sz w:val="24"/>
                <w:szCs w:val="24"/>
                <w:highlight w:val="none"/>
              </w:rPr>
            </w:pPr>
            <w:r>
              <w:rPr>
                <w:rFonts w:hint="eastAsia" w:hAnsi="宋体" w:cs="宋体"/>
                <w:bCs/>
                <w:color w:val="auto"/>
                <w:sz w:val="24"/>
                <w:szCs w:val="24"/>
                <w:highlight w:val="none"/>
              </w:rPr>
              <w:t>偏离说明</w:t>
            </w:r>
          </w:p>
        </w:tc>
      </w:tr>
      <w:tr w14:paraId="34D60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14:paraId="558B231F">
            <w:pPr>
              <w:jc w:val="center"/>
              <w:rPr>
                <w:rFonts w:ascii="宋体" w:hAnsi="宋体" w:cs="宋体"/>
                <w:color w:val="auto"/>
                <w:sz w:val="24"/>
                <w:highlight w:val="none"/>
              </w:rPr>
            </w:pPr>
            <w:r>
              <w:rPr>
                <w:rFonts w:hint="eastAsia" w:ascii="宋体" w:hAnsi="宋体" w:cs="宋体"/>
                <w:color w:val="auto"/>
                <w:sz w:val="24"/>
                <w:highlight w:val="none"/>
              </w:rPr>
              <w:t>1</w:t>
            </w:r>
          </w:p>
        </w:tc>
        <w:tc>
          <w:tcPr>
            <w:tcW w:w="723" w:type="dxa"/>
            <w:tcBorders>
              <w:top w:val="single" w:color="auto" w:sz="4" w:space="0"/>
              <w:left w:val="nil"/>
              <w:bottom w:val="single" w:color="auto" w:sz="4" w:space="0"/>
              <w:right w:val="single" w:color="auto" w:sz="4" w:space="0"/>
            </w:tcBorders>
            <w:vAlign w:val="center"/>
          </w:tcPr>
          <w:p w14:paraId="4FBE88A8">
            <w:pPr>
              <w:widowControl/>
              <w:jc w:val="left"/>
              <w:rPr>
                <w:rFonts w:ascii="宋体" w:hAnsi="宋体" w:cs="宋体"/>
                <w:color w:val="auto"/>
                <w:kern w:val="0"/>
                <w:sz w:val="24"/>
                <w:highlight w:val="none"/>
              </w:rPr>
            </w:pPr>
          </w:p>
        </w:tc>
        <w:tc>
          <w:tcPr>
            <w:tcW w:w="3490" w:type="dxa"/>
            <w:tcBorders>
              <w:top w:val="single" w:color="auto" w:sz="4" w:space="0"/>
              <w:left w:val="nil"/>
              <w:bottom w:val="single" w:color="auto" w:sz="4" w:space="0"/>
              <w:right w:val="single" w:color="auto" w:sz="4" w:space="0"/>
            </w:tcBorders>
          </w:tcPr>
          <w:p w14:paraId="55C73217">
            <w:pPr>
              <w:rPr>
                <w:rFonts w:ascii="宋体" w:hAnsi="宋体" w:cs="宋体"/>
                <w:color w:val="auto"/>
                <w:sz w:val="24"/>
                <w:highlight w:val="none"/>
              </w:rPr>
            </w:pPr>
          </w:p>
        </w:tc>
        <w:tc>
          <w:tcPr>
            <w:tcW w:w="2810" w:type="dxa"/>
            <w:tcBorders>
              <w:top w:val="single" w:color="auto" w:sz="4" w:space="0"/>
              <w:left w:val="nil"/>
              <w:bottom w:val="single" w:color="auto" w:sz="4" w:space="0"/>
              <w:right w:val="single" w:color="auto" w:sz="4" w:space="0"/>
            </w:tcBorders>
          </w:tcPr>
          <w:p w14:paraId="3781BEE3">
            <w:pPr>
              <w:widowControl/>
              <w:rPr>
                <w:rFonts w:ascii="宋体" w:hAnsi="宋体" w:cs="宋体"/>
                <w:color w:val="auto"/>
                <w:kern w:val="0"/>
                <w:sz w:val="24"/>
                <w:highlight w:val="none"/>
              </w:rPr>
            </w:pPr>
          </w:p>
        </w:tc>
        <w:tc>
          <w:tcPr>
            <w:tcW w:w="1336" w:type="dxa"/>
            <w:tcBorders>
              <w:top w:val="single" w:color="auto" w:sz="4" w:space="0"/>
              <w:left w:val="nil"/>
              <w:bottom w:val="single" w:color="auto" w:sz="4" w:space="0"/>
              <w:right w:val="single" w:color="auto" w:sz="4" w:space="0"/>
            </w:tcBorders>
            <w:vAlign w:val="center"/>
          </w:tcPr>
          <w:p w14:paraId="0EDAC600">
            <w:pPr>
              <w:jc w:val="center"/>
              <w:rPr>
                <w:rFonts w:ascii="宋体" w:hAnsi="宋体" w:cs="宋体"/>
                <w:color w:val="auto"/>
                <w:sz w:val="24"/>
                <w:highlight w:val="none"/>
              </w:rPr>
            </w:pPr>
          </w:p>
        </w:tc>
      </w:tr>
      <w:tr w14:paraId="1B964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14:paraId="276E5D5D">
            <w:pPr>
              <w:jc w:val="center"/>
              <w:rPr>
                <w:rFonts w:ascii="宋体" w:hAnsi="宋体" w:cs="宋体"/>
                <w:color w:val="auto"/>
                <w:sz w:val="24"/>
                <w:highlight w:val="none"/>
              </w:rPr>
            </w:pPr>
            <w:r>
              <w:rPr>
                <w:rFonts w:hint="eastAsia" w:ascii="宋体" w:hAnsi="宋体" w:cs="宋体"/>
                <w:color w:val="auto"/>
                <w:sz w:val="24"/>
                <w:highlight w:val="none"/>
              </w:rPr>
              <w:t>2</w:t>
            </w:r>
          </w:p>
        </w:tc>
        <w:tc>
          <w:tcPr>
            <w:tcW w:w="723" w:type="dxa"/>
            <w:tcBorders>
              <w:top w:val="single" w:color="auto" w:sz="4" w:space="0"/>
              <w:left w:val="nil"/>
              <w:bottom w:val="single" w:color="auto" w:sz="4" w:space="0"/>
              <w:right w:val="single" w:color="auto" w:sz="4" w:space="0"/>
            </w:tcBorders>
            <w:vAlign w:val="center"/>
          </w:tcPr>
          <w:p w14:paraId="722DB1D0">
            <w:pPr>
              <w:jc w:val="center"/>
              <w:rPr>
                <w:rFonts w:ascii="宋体" w:hAnsi="宋体" w:cs="宋体"/>
                <w:color w:val="auto"/>
                <w:sz w:val="24"/>
                <w:highlight w:val="none"/>
              </w:rPr>
            </w:pPr>
          </w:p>
        </w:tc>
        <w:tc>
          <w:tcPr>
            <w:tcW w:w="3490" w:type="dxa"/>
            <w:tcBorders>
              <w:top w:val="single" w:color="auto" w:sz="4" w:space="0"/>
              <w:left w:val="nil"/>
              <w:bottom w:val="single" w:color="auto" w:sz="4" w:space="0"/>
              <w:right w:val="single" w:color="auto" w:sz="4" w:space="0"/>
            </w:tcBorders>
            <w:vAlign w:val="center"/>
          </w:tcPr>
          <w:p w14:paraId="2981D1D6">
            <w:pPr>
              <w:ind w:left="240" w:hanging="240" w:hangingChars="100"/>
              <w:jc w:val="left"/>
              <w:rPr>
                <w:rFonts w:ascii="宋体" w:hAnsi="宋体" w:cs="宋体"/>
                <w:color w:val="auto"/>
                <w:sz w:val="24"/>
                <w:highlight w:val="none"/>
              </w:rPr>
            </w:pPr>
          </w:p>
        </w:tc>
        <w:tc>
          <w:tcPr>
            <w:tcW w:w="2810" w:type="dxa"/>
            <w:tcBorders>
              <w:top w:val="single" w:color="auto" w:sz="4" w:space="0"/>
              <w:left w:val="nil"/>
              <w:bottom w:val="single" w:color="auto" w:sz="4" w:space="0"/>
              <w:right w:val="single" w:color="auto" w:sz="4" w:space="0"/>
            </w:tcBorders>
            <w:vAlign w:val="center"/>
          </w:tcPr>
          <w:p w14:paraId="2D84EB03">
            <w:pPr>
              <w:ind w:left="240" w:hanging="240" w:hangingChars="100"/>
              <w:jc w:val="left"/>
              <w:rPr>
                <w:rFonts w:ascii="宋体" w:hAnsi="宋体" w:cs="宋体"/>
                <w:color w:val="auto"/>
                <w:sz w:val="24"/>
                <w:highlight w:val="none"/>
              </w:rPr>
            </w:pPr>
          </w:p>
        </w:tc>
        <w:tc>
          <w:tcPr>
            <w:tcW w:w="1336" w:type="dxa"/>
            <w:tcBorders>
              <w:top w:val="single" w:color="auto" w:sz="4" w:space="0"/>
              <w:left w:val="nil"/>
              <w:bottom w:val="single" w:color="auto" w:sz="4" w:space="0"/>
              <w:right w:val="single" w:color="auto" w:sz="4" w:space="0"/>
            </w:tcBorders>
            <w:vAlign w:val="center"/>
          </w:tcPr>
          <w:p w14:paraId="24FD828B">
            <w:pPr>
              <w:jc w:val="center"/>
              <w:rPr>
                <w:rFonts w:ascii="宋体" w:hAnsi="宋体" w:cs="宋体"/>
                <w:color w:val="auto"/>
                <w:sz w:val="24"/>
                <w:highlight w:val="none"/>
              </w:rPr>
            </w:pPr>
          </w:p>
        </w:tc>
      </w:tr>
      <w:tr w14:paraId="7F6CD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14:paraId="31B0FE8C">
            <w:pPr>
              <w:rPr>
                <w:rFonts w:ascii="宋体" w:hAnsi="宋体" w:cs="宋体"/>
                <w:color w:val="auto"/>
                <w:sz w:val="24"/>
                <w:highlight w:val="none"/>
              </w:rPr>
            </w:pPr>
          </w:p>
        </w:tc>
        <w:tc>
          <w:tcPr>
            <w:tcW w:w="723" w:type="dxa"/>
            <w:tcBorders>
              <w:top w:val="single" w:color="auto" w:sz="4" w:space="0"/>
              <w:left w:val="nil"/>
              <w:bottom w:val="single" w:color="auto" w:sz="4" w:space="0"/>
              <w:right w:val="single" w:color="auto" w:sz="4" w:space="0"/>
            </w:tcBorders>
            <w:vAlign w:val="center"/>
          </w:tcPr>
          <w:p w14:paraId="0FCCDE4F">
            <w:pPr>
              <w:jc w:val="center"/>
              <w:rPr>
                <w:rFonts w:ascii="宋体" w:hAnsi="宋体" w:cs="宋体"/>
                <w:color w:val="auto"/>
                <w:sz w:val="24"/>
                <w:highlight w:val="none"/>
              </w:rPr>
            </w:pPr>
          </w:p>
        </w:tc>
        <w:tc>
          <w:tcPr>
            <w:tcW w:w="3490" w:type="dxa"/>
            <w:tcBorders>
              <w:top w:val="single" w:color="auto" w:sz="4" w:space="0"/>
              <w:left w:val="nil"/>
              <w:bottom w:val="single" w:color="auto" w:sz="4" w:space="0"/>
              <w:right w:val="single" w:color="auto" w:sz="4" w:space="0"/>
            </w:tcBorders>
            <w:vAlign w:val="center"/>
          </w:tcPr>
          <w:p w14:paraId="64B0BF69">
            <w:pPr>
              <w:jc w:val="left"/>
              <w:rPr>
                <w:rFonts w:ascii="宋体" w:hAnsi="宋体" w:cs="宋体"/>
                <w:color w:val="auto"/>
                <w:sz w:val="24"/>
                <w:highlight w:val="none"/>
              </w:rPr>
            </w:pPr>
          </w:p>
        </w:tc>
        <w:tc>
          <w:tcPr>
            <w:tcW w:w="2810" w:type="dxa"/>
            <w:tcBorders>
              <w:top w:val="single" w:color="auto" w:sz="4" w:space="0"/>
              <w:left w:val="nil"/>
              <w:bottom w:val="single" w:color="auto" w:sz="4" w:space="0"/>
              <w:right w:val="single" w:color="auto" w:sz="4" w:space="0"/>
            </w:tcBorders>
            <w:vAlign w:val="center"/>
          </w:tcPr>
          <w:p w14:paraId="798D09A5">
            <w:pPr>
              <w:ind w:left="240" w:hanging="240" w:hangingChars="100"/>
              <w:jc w:val="left"/>
              <w:rPr>
                <w:rFonts w:ascii="宋体" w:hAnsi="宋体" w:cs="宋体"/>
                <w:color w:val="auto"/>
                <w:sz w:val="24"/>
                <w:highlight w:val="none"/>
              </w:rPr>
            </w:pPr>
          </w:p>
        </w:tc>
        <w:tc>
          <w:tcPr>
            <w:tcW w:w="1336" w:type="dxa"/>
            <w:tcBorders>
              <w:top w:val="single" w:color="auto" w:sz="4" w:space="0"/>
              <w:left w:val="nil"/>
              <w:bottom w:val="single" w:color="auto" w:sz="4" w:space="0"/>
              <w:right w:val="single" w:color="auto" w:sz="4" w:space="0"/>
            </w:tcBorders>
            <w:vAlign w:val="center"/>
          </w:tcPr>
          <w:p w14:paraId="421717B6">
            <w:pPr>
              <w:jc w:val="center"/>
              <w:rPr>
                <w:rFonts w:ascii="宋体" w:hAnsi="宋体" w:cs="宋体"/>
                <w:color w:val="auto"/>
                <w:sz w:val="24"/>
                <w:highlight w:val="none"/>
              </w:rPr>
            </w:pPr>
          </w:p>
        </w:tc>
      </w:tr>
      <w:tr w14:paraId="4159C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14:paraId="6B125D0B">
            <w:pPr>
              <w:rPr>
                <w:rFonts w:ascii="宋体" w:hAnsi="宋体" w:cs="宋体"/>
                <w:color w:val="auto"/>
                <w:sz w:val="24"/>
                <w:highlight w:val="none"/>
              </w:rPr>
            </w:pPr>
          </w:p>
        </w:tc>
        <w:tc>
          <w:tcPr>
            <w:tcW w:w="723" w:type="dxa"/>
            <w:tcBorders>
              <w:top w:val="single" w:color="auto" w:sz="4" w:space="0"/>
              <w:left w:val="nil"/>
              <w:bottom w:val="single" w:color="auto" w:sz="4" w:space="0"/>
              <w:right w:val="single" w:color="auto" w:sz="4" w:space="0"/>
            </w:tcBorders>
            <w:vAlign w:val="center"/>
          </w:tcPr>
          <w:p w14:paraId="480E4E71">
            <w:pPr>
              <w:jc w:val="center"/>
              <w:rPr>
                <w:rFonts w:ascii="宋体" w:hAnsi="宋体" w:cs="宋体"/>
                <w:color w:val="auto"/>
                <w:sz w:val="24"/>
                <w:highlight w:val="none"/>
              </w:rPr>
            </w:pPr>
          </w:p>
        </w:tc>
        <w:tc>
          <w:tcPr>
            <w:tcW w:w="3490" w:type="dxa"/>
            <w:tcBorders>
              <w:top w:val="single" w:color="auto" w:sz="4" w:space="0"/>
              <w:left w:val="nil"/>
              <w:bottom w:val="single" w:color="auto" w:sz="4" w:space="0"/>
              <w:right w:val="single" w:color="auto" w:sz="4" w:space="0"/>
            </w:tcBorders>
            <w:vAlign w:val="center"/>
          </w:tcPr>
          <w:p w14:paraId="7DF61D3F">
            <w:pPr>
              <w:jc w:val="left"/>
              <w:rPr>
                <w:rFonts w:ascii="宋体" w:hAnsi="宋体" w:cs="宋体"/>
                <w:color w:val="auto"/>
                <w:sz w:val="24"/>
                <w:highlight w:val="none"/>
              </w:rPr>
            </w:pPr>
          </w:p>
        </w:tc>
        <w:tc>
          <w:tcPr>
            <w:tcW w:w="2810" w:type="dxa"/>
            <w:tcBorders>
              <w:top w:val="single" w:color="auto" w:sz="4" w:space="0"/>
              <w:left w:val="nil"/>
              <w:bottom w:val="single" w:color="auto" w:sz="4" w:space="0"/>
              <w:right w:val="single" w:color="auto" w:sz="4" w:space="0"/>
            </w:tcBorders>
            <w:vAlign w:val="center"/>
          </w:tcPr>
          <w:p w14:paraId="14EC601B">
            <w:pPr>
              <w:ind w:left="240" w:hanging="240" w:hangingChars="100"/>
              <w:jc w:val="left"/>
              <w:rPr>
                <w:rFonts w:ascii="宋体" w:hAnsi="宋体" w:cs="宋体"/>
                <w:color w:val="auto"/>
                <w:sz w:val="24"/>
                <w:highlight w:val="none"/>
              </w:rPr>
            </w:pPr>
          </w:p>
        </w:tc>
        <w:tc>
          <w:tcPr>
            <w:tcW w:w="1336" w:type="dxa"/>
            <w:tcBorders>
              <w:top w:val="single" w:color="auto" w:sz="4" w:space="0"/>
              <w:left w:val="nil"/>
              <w:bottom w:val="single" w:color="auto" w:sz="4" w:space="0"/>
              <w:right w:val="single" w:color="auto" w:sz="4" w:space="0"/>
            </w:tcBorders>
            <w:vAlign w:val="center"/>
          </w:tcPr>
          <w:p w14:paraId="5B126DED">
            <w:pPr>
              <w:jc w:val="center"/>
              <w:rPr>
                <w:rFonts w:ascii="宋体" w:hAnsi="宋体" w:cs="宋体"/>
                <w:color w:val="auto"/>
                <w:sz w:val="24"/>
                <w:highlight w:val="none"/>
              </w:rPr>
            </w:pPr>
          </w:p>
        </w:tc>
      </w:tr>
      <w:tr w14:paraId="74BCA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14:paraId="296526EE">
            <w:pPr>
              <w:rPr>
                <w:rFonts w:ascii="宋体" w:hAnsi="宋体" w:cs="宋体"/>
                <w:color w:val="auto"/>
                <w:sz w:val="24"/>
                <w:highlight w:val="none"/>
              </w:rPr>
            </w:pPr>
          </w:p>
        </w:tc>
        <w:tc>
          <w:tcPr>
            <w:tcW w:w="723" w:type="dxa"/>
            <w:tcBorders>
              <w:top w:val="single" w:color="auto" w:sz="4" w:space="0"/>
              <w:left w:val="nil"/>
              <w:bottom w:val="single" w:color="auto" w:sz="4" w:space="0"/>
              <w:right w:val="single" w:color="auto" w:sz="4" w:space="0"/>
            </w:tcBorders>
            <w:vAlign w:val="center"/>
          </w:tcPr>
          <w:p w14:paraId="06E28EE3">
            <w:pPr>
              <w:jc w:val="center"/>
              <w:rPr>
                <w:rFonts w:ascii="宋体" w:hAnsi="宋体" w:cs="宋体"/>
                <w:color w:val="auto"/>
                <w:sz w:val="24"/>
                <w:highlight w:val="none"/>
              </w:rPr>
            </w:pPr>
          </w:p>
        </w:tc>
        <w:tc>
          <w:tcPr>
            <w:tcW w:w="3490" w:type="dxa"/>
            <w:tcBorders>
              <w:top w:val="single" w:color="auto" w:sz="4" w:space="0"/>
              <w:left w:val="nil"/>
              <w:bottom w:val="single" w:color="auto" w:sz="4" w:space="0"/>
              <w:right w:val="single" w:color="auto" w:sz="4" w:space="0"/>
            </w:tcBorders>
            <w:vAlign w:val="center"/>
          </w:tcPr>
          <w:p w14:paraId="04591C1F">
            <w:pPr>
              <w:ind w:left="240" w:hanging="240" w:hangingChars="100"/>
              <w:jc w:val="left"/>
              <w:rPr>
                <w:rFonts w:ascii="宋体" w:hAnsi="宋体" w:cs="宋体"/>
                <w:color w:val="auto"/>
                <w:sz w:val="24"/>
                <w:highlight w:val="none"/>
              </w:rPr>
            </w:pPr>
          </w:p>
        </w:tc>
        <w:tc>
          <w:tcPr>
            <w:tcW w:w="2810" w:type="dxa"/>
            <w:tcBorders>
              <w:top w:val="single" w:color="auto" w:sz="4" w:space="0"/>
              <w:left w:val="nil"/>
              <w:bottom w:val="single" w:color="auto" w:sz="4" w:space="0"/>
              <w:right w:val="single" w:color="auto" w:sz="4" w:space="0"/>
            </w:tcBorders>
            <w:vAlign w:val="center"/>
          </w:tcPr>
          <w:p w14:paraId="7433A552">
            <w:pPr>
              <w:ind w:left="240" w:hanging="240" w:hangingChars="100"/>
              <w:jc w:val="left"/>
              <w:rPr>
                <w:rFonts w:ascii="宋体" w:hAnsi="宋体" w:cs="宋体"/>
                <w:color w:val="auto"/>
                <w:sz w:val="24"/>
                <w:highlight w:val="none"/>
              </w:rPr>
            </w:pPr>
          </w:p>
        </w:tc>
        <w:tc>
          <w:tcPr>
            <w:tcW w:w="1336" w:type="dxa"/>
            <w:tcBorders>
              <w:top w:val="single" w:color="auto" w:sz="4" w:space="0"/>
              <w:left w:val="nil"/>
              <w:bottom w:val="single" w:color="auto" w:sz="4" w:space="0"/>
              <w:right w:val="single" w:color="auto" w:sz="4" w:space="0"/>
            </w:tcBorders>
            <w:vAlign w:val="center"/>
          </w:tcPr>
          <w:p w14:paraId="26575EA0">
            <w:pPr>
              <w:jc w:val="center"/>
              <w:rPr>
                <w:rFonts w:ascii="宋体" w:hAnsi="宋体" w:cs="宋体"/>
                <w:color w:val="auto"/>
                <w:sz w:val="24"/>
                <w:highlight w:val="none"/>
              </w:rPr>
            </w:pPr>
          </w:p>
        </w:tc>
      </w:tr>
      <w:tr w14:paraId="59DD8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14:paraId="5F781D67">
            <w:pPr>
              <w:jc w:val="center"/>
              <w:rPr>
                <w:rFonts w:ascii="宋体" w:hAnsi="宋体" w:cs="宋体"/>
                <w:color w:val="auto"/>
                <w:sz w:val="24"/>
                <w:highlight w:val="none"/>
              </w:rPr>
            </w:pPr>
            <w:r>
              <w:rPr>
                <w:rFonts w:hint="eastAsia" w:ascii="宋体" w:hAnsi="宋体" w:cs="宋体"/>
                <w:color w:val="auto"/>
                <w:sz w:val="24"/>
                <w:highlight w:val="none"/>
              </w:rPr>
              <w:t>....</w:t>
            </w:r>
          </w:p>
        </w:tc>
        <w:tc>
          <w:tcPr>
            <w:tcW w:w="723" w:type="dxa"/>
            <w:tcBorders>
              <w:top w:val="single" w:color="auto" w:sz="4" w:space="0"/>
              <w:left w:val="nil"/>
              <w:bottom w:val="single" w:color="auto" w:sz="4" w:space="0"/>
              <w:right w:val="single" w:color="auto" w:sz="4" w:space="0"/>
            </w:tcBorders>
            <w:vAlign w:val="center"/>
          </w:tcPr>
          <w:p w14:paraId="7333BE0A">
            <w:pPr>
              <w:jc w:val="center"/>
              <w:rPr>
                <w:rFonts w:ascii="宋体" w:hAnsi="宋体" w:cs="宋体"/>
                <w:color w:val="auto"/>
                <w:sz w:val="24"/>
                <w:highlight w:val="none"/>
              </w:rPr>
            </w:pPr>
          </w:p>
        </w:tc>
        <w:tc>
          <w:tcPr>
            <w:tcW w:w="3490" w:type="dxa"/>
            <w:tcBorders>
              <w:top w:val="single" w:color="auto" w:sz="4" w:space="0"/>
              <w:left w:val="nil"/>
              <w:bottom w:val="single" w:color="auto" w:sz="4" w:space="0"/>
              <w:right w:val="single" w:color="auto" w:sz="4" w:space="0"/>
            </w:tcBorders>
            <w:vAlign w:val="center"/>
          </w:tcPr>
          <w:p w14:paraId="3BEFC57D">
            <w:pPr>
              <w:ind w:left="240" w:hanging="240" w:hangingChars="100"/>
              <w:jc w:val="left"/>
              <w:rPr>
                <w:rFonts w:ascii="宋体" w:hAnsi="宋体" w:cs="宋体"/>
                <w:color w:val="auto"/>
                <w:sz w:val="24"/>
                <w:highlight w:val="none"/>
              </w:rPr>
            </w:pPr>
            <w:r>
              <w:rPr>
                <w:rFonts w:hint="eastAsia" w:ascii="宋体" w:hAnsi="宋体" w:cs="宋体"/>
                <w:color w:val="auto"/>
                <w:sz w:val="24"/>
                <w:highlight w:val="none"/>
              </w:rPr>
              <w:t>.....</w:t>
            </w:r>
          </w:p>
        </w:tc>
        <w:tc>
          <w:tcPr>
            <w:tcW w:w="2810" w:type="dxa"/>
            <w:tcBorders>
              <w:top w:val="single" w:color="auto" w:sz="4" w:space="0"/>
              <w:left w:val="nil"/>
              <w:bottom w:val="single" w:color="auto" w:sz="4" w:space="0"/>
              <w:right w:val="single" w:color="auto" w:sz="4" w:space="0"/>
            </w:tcBorders>
            <w:vAlign w:val="center"/>
          </w:tcPr>
          <w:p w14:paraId="65DF19FC">
            <w:pPr>
              <w:ind w:left="240" w:hanging="240" w:hangingChars="100"/>
              <w:jc w:val="left"/>
              <w:rPr>
                <w:rFonts w:ascii="宋体" w:hAnsi="宋体" w:cs="宋体"/>
                <w:color w:val="auto"/>
                <w:sz w:val="24"/>
                <w:highlight w:val="none"/>
              </w:rPr>
            </w:pPr>
          </w:p>
        </w:tc>
        <w:tc>
          <w:tcPr>
            <w:tcW w:w="1336" w:type="dxa"/>
            <w:tcBorders>
              <w:top w:val="single" w:color="auto" w:sz="4" w:space="0"/>
              <w:left w:val="nil"/>
              <w:bottom w:val="single" w:color="auto" w:sz="4" w:space="0"/>
              <w:right w:val="single" w:color="auto" w:sz="4" w:space="0"/>
            </w:tcBorders>
            <w:vAlign w:val="center"/>
          </w:tcPr>
          <w:p w14:paraId="3F480401">
            <w:pPr>
              <w:jc w:val="center"/>
              <w:rPr>
                <w:rFonts w:ascii="宋体" w:hAnsi="宋体" w:cs="宋体"/>
                <w:color w:val="auto"/>
                <w:sz w:val="24"/>
                <w:highlight w:val="none"/>
              </w:rPr>
            </w:pPr>
          </w:p>
        </w:tc>
      </w:tr>
    </w:tbl>
    <w:p w14:paraId="6DB738DF">
      <w:pPr>
        <w:rPr>
          <w:rFonts w:ascii="宋体" w:hAnsi="宋体" w:cs="宋体"/>
          <w:color w:val="auto"/>
          <w:sz w:val="24"/>
          <w:highlight w:val="none"/>
        </w:rPr>
      </w:pPr>
    </w:p>
    <w:p w14:paraId="7D69CC59">
      <w:pPr>
        <w:rPr>
          <w:rFonts w:ascii="宋体" w:hAnsi="宋体" w:cs="宋体"/>
          <w:color w:val="auto"/>
          <w:sz w:val="24"/>
          <w:highlight w:val="none"/>
        </w:rPr>
      </w:pPr>
      <w:r>
        <w:rPr>
          <w:rFonts w:hint="eastAsia" w:ascii="宋体" w:hAnsi="宋体" w:cs="宋体"/>
          <w:color w:val="auto"/>
          <w:sz w:val="24"/>
          <w:highlight w:val="none"/>
        </w:rPr>
        <w:t>(可根据需求自行更改)</w:t>
      </w:r>
    </w:p>
    <w:p w14:paraId="1CB89FED">
      <w:pPr>
        <w:rPr>
          <w:rFonts w:ascii="宋体" w:hAnsi="宋体" w:cs="宋体"/>
          <w:color w:val="auto"/>
          <w:sz w:val="24"/>
          <w:highlight w:val="none"/>
        </w:rPr>
      </w:pPr>
    </w:p>
    <w:p w14:paraId="51FBC299">
      <w:pPr>
        <w:spacing w:line="360" w:lineRule="auto"/>
        <w:ind w:firstLine="3840" w:firstLineChars="1600"/>
        <w:rPr>
          <w:rFonts w:ascii="宋体" w:hAnsi="宋体" w:cs="宋体"/>
          <w:color w:val="auto"/>
          <w:sz w:val="24"/>
          <w:highlight w:val="none"/>
        </w:rPr>
      </w:pPr>
      <w:r>
        <w:rPr>
          <w:rFonts w:hint="eastAsia" w:ascii="宋体" w:hAnsi="宋体" w:cs="宋体"/>
          <w:color w:val="auto"/>
          <w:sz w:val="24"/>
          <w:highlight w:val="none"/>
        </w:rPr>
        <w:t xml:space="preserve">供应商电子公章： </w:t>
      </w:r>
    </w:p>
    <w:p w14:paraId="6E8AD7DF">
      <w:pPr>
        <w:spacing w:line="360" w:lineRule="auto"/>
        <w:jc w:val="right"/>
        <w:rPr>
          <w:rFonts w:ascii="宋体" w:hAnsi="宋体" w:cs="宋体"/>
          <w:color w:val="auto"/>
          <w:sz w:val="24"/>
          <w:highlight w:val="none"/>
        </w:rPr>
      </w:pPr>
      <w:r>
        <w:rPr>
          <w:rFonts w:hint="eastAsia" w:ascii="宋体" w:hAnsi="宋体" w:cs="宋体"/>
          <w:color w:val="auto"/>
          <w:sz w:val="24"/>
          <w:highlight w:val="none"/>
        </w:rPr>
        <w:t xml:space="preserve">  年  月  日</w:t>
      </w:r>
    </w:p>
    <w:p w14:paraId="2E683BF3">
      <w:pPr>
        <w:spacing w:line="360" w:lineRule="auto"/>
        <w:rPr>
          <w:rFonts w:ascii="宋体" w:hAnsi="宋体" w:cs="宋体"/>
          <w:b/>
          <w:color w:val="auto"/>
          <w:sz w:val="24"/>
          <w:highlight w:val="none"/>
        </w:rPr>
      </w:pPr>
    </w:p>
    <w:p w14:paraId="3FA2D41D">
      <w:pPr>
        <w:spacing w:line="360" w:lineRule="auto"/>
        <w:rPr>
          <w:rFonts w:ascii="宋体" w:hAnsi="宋体" w:cs="宋体"/>
          <w:b/>
          <w:color w:val="auto"/>
          <w:sz w:val="24"/>
          <w:highlight w:val="none"/>
        </w:rPr>
      </w:pPr>
    </w:p>
    <w:p w14:paraId="104F9435">
      <w:pPr>
        <w:spacing w:line="360" w:lineRule="auto"/>
        <w:rPr>
          <w:rFonts w:ascii="宋体" w:hAnsi="宋体" w:cs="宋体"/>
          <w:b/>
          <w:color w:val="auto"/>
          <w:sz w:val="24"/>
          <w:highlight w:val="none"/>
        </w:rPr>
      </w:pPr>
    </w:p>
    <w:p w14:paraId="772087A6">
      <w:pPr>
        <w:spacing w:line="360" w:lineRule="auto"/>
        <w:rPr>
          <w:rFonts w:ascii="宋体" w:hAnsi="宋体" w:cs="宋体"/>
          <w:b/>
          <w:color w:val="auto"/>
          <w:sz w:val="24"/>
          <w:highlight w:val="none"/>
        </w:rPr>
      </w:pPr>
    </w:p>
    <w:p w14:paraId="5F096DF8">
      <w:pPr>
        <w:spacing w:line="360" w:lineRule="auto"/>
        <w:jc w:val="left"/>
        <w:rPr>
          <w:rFonts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color w:val="auto"/>
          <w:sz w:val="24"/>
          <w:highlight w:val="none"/>
        </w:rPr>
        <w:t>格式7</w:t>
      </w:r>
    </w:p>
    <w:p w14:paraId="1D9875F6">
      <w:pPr>
        <w:pStyle w:val="26"/>
        <w:ind w:firstLine="480"/>
        <w:rPr>
          <w:rFonts w:ascii="宋体" w:hAnsi="宋体" w:eastAsia="宋体" w:cs="宋体"/>
          <w:color w:val="auto"/>
          <w:sz w:val="24"/>
          <w:highlight w:val="none"/>
        </w:rPr>
      </w:pPr>
    </w:p>
    <w:p w14:paraId="52E148B1">
      <w:pPr>
        <w:spacing w:line="380" w:lineRule="exact"/>
        <w:jc w:val="center"/>
        <w:rPr>
          <w:rFonts w:ascii="宋体" w:hAnsi="宋体" w:cs="宋体"/>
          <w:color w:val="auto"/>
          <w:sz w:val="24"/>
          <w:highlight w:val="none"/>
        </w:rPr>
      </w:pPr>
      <w:r>
        <w:rPr>
          <w:rFonts w:hint="eastAsia" w:ascii="宋体" w:hAnsi="宋体" w:cs="宋体"/>
          <w:color w:val="auto"/>
          <w:sz w:val="24"/>
          <w:highlight w:val="none"/>
        </w:rPr>
        <w:t>服务方案及服务承诺</w:t>
      </w:r>
    </w:p>
    <w:p w14:paraId="59AAF534">
      <w:pPr>
        <w:spacing w:line="380" w:lineRule="exact"/>
        <w:jc w:val="center"/>
        <w:rPr>
          <w:rFonts w:ascii="宋体" w:hAnsi="宋体" w:cs="宋体"/>
          <w:color w:val="auto"/>
          <w:sz w:val="24"/>
          <w:highlight w:val="none"/>
        </w:rPr>
      </w:pPr>
    </w:p>
    <w:p w14:paraId="733E6A82">
      <w:pPr>
        <w:spacing w:line="380" w:lineRule="exact"/>
        <w:ind w:firstLine="360" w:firstLineChars="150"/>
        <w:rPr>
          <w:rFonts w:ascii="宋体" w:hAnsi="宋体" w:cs="宋体"/>
          <w:color w:val="auto"/>
          <w:sz w:val="24"/>
          <w:highlight w:val="none"/>
        </w:rPr>
      </w:pPr>
    </w:p>
    <w:p w14:paraId="66EE471D">
      <w:pPr>
        <w:pStyle w:val="38"/>
        <w:rPr>
          <w:rFonts w:ascii="宋体" w:hAnsi="宋体" w:cs="宋体"/>
          <w:color w:val="auto"/>
          <w:sz w:val="24"/>
          <w:szCs w:val="24"/>
          <w:highlight w:val="none"/>
        </w:rPr>
      </w:pPr>
    </w:p>
    <w:p w14:paraId="47D1E734">
      <w:pPr>
        <w:pStyle w:val="38"/>
        <w:rPr>
          <w:rFonts w:ascii="宋体" w:hAnsi="宋体" w:cs="宋体"/>
          <w:color w:val="auto"/>
          <w:sz w:val="24"/>
          <w:szCs w:val="24"/>
          <w:highlight w:val="none"/>
        </w:rPr>
      </w:pPr>
    </w:p>
    <w:p w14:paraId="39A0CC8E">
      <w:pPr>
        <w:pStyle w:val="38"/>
        <w:rPr>
          <w:rFonts w:ascii="宋体" w:hAnsi="宋体" w:cs="宋体"/>
          <w:color w:val="auto"/>
          <w:sz w:val="24"/>
          <w:szCs w:val="24"/>
          <w:highlight w:val="none"/>
        </w:rPr>
      </w:pPr>
    </w:p>
    <w:p w14:paraId="593BB8C7">
      <w:pPr>
        <w:pStyle w:val="38"/>
        <w:rPr>
          <w:rFonts w:ascii="宋体" w:hAnsi="宋体" w:cs="宋体"/>
          <w:color w:val="auto"/>
          <w:sz w:val="24"/>
          <w:szCs w:val="24"/>
          <w:highlight w:val="none"/>
        </w:rPr>
      </w:pPr>
    </w:p>
    <w:p w14:paraId="7452F2EC">
      <w:pPr>
        <w:pStyle w:val="38"/>
        <w:rPr>
          <w:rFonts w:ascii="宋体" w:hAnsi="宋体" w:cs="宋体"/>
          <w:color w:val="auto"/>
          <w:sz w:val="24"/>
          <w:szCs w:val="24"/>
          <w:highlight w:val="none"/>
        </w:rPr>
      </w:pPr>
    </w:p>
    <w:p w14:paraId="05470ED4">
      <w:pPr>
        <w:pStyle w:val="38"/>
        <w:rPr>
          <w:rFonts w:ascii="宋体" w:hAnsi="宋体" w:cs="宋体"/>
          <w:color w:val="auto"/>
          <w:sz w:val="24"/>
          <w:szCs w:val="24"/>
          <w:highlight w:val="none"/>
        </w:rPr>
      </w:pPr>
    </w:p>
    <w:p w14:paraId="70696202">
      <w:pPr>
        <w:spacing w:line="380" w:lineRule="exact"/>
        <w:rPr>
          <w:rFonts w:ascii="宋体" w:hAnsi="宋体" w:cs="宋体"/>
          <w:color w:val="auto"/>
          <w:sz w:val="24"/>
          <w:highlight w:val="none"/>
        </w:rPr>
      </w:pPr>
    </w:p>
    <w:p w14:paraId="1B76DABC">
      <w:pPr>
        <w:spacing w:line="360" w:lineRule="auto"/>
        <w:ind w:firstLine="3840" w:firstLineChars="1600"/>
        <w:rPr>
          <w:rFonts w:ascii="宋体" w:hAnsi="宋体" w:cs="宋体"/>
          <w:color w:val="auto"/>
          <w:sz w:val="24"/>
          <w:highlight w:val="none"/>
        </w:rPr>
      </w:pPr>
      <w:r>
        <w:rPr>
          <w:rFonts w:hint="eastAsia" w:ascii="宋体" w:hAnsi="宋体" w:cs="宋体"/>
          <w:color w:val="auto"/>
          <w:sz w:val="24"/>
          <w:highlight w:val="none"/>
        </w:rPr>
        <w:t xml:space="preserve">供应商电子公章： </w:t>
      </w:r>
    </w:p>
    <w:p w14:paraId="7A1AC251">
      <w:pPr>
        <w:spacing w:line="380" w:lineRule="exact"/>
        <w:ind w:right="640" w:firstLine="1560" w:firstLineChars="650"/>
        <w:rPr>
          <w:rFonts w:ascii="宋体" w:hAnsi="宋体" w:cs="宋体"/>
          <w:color w:val="auto"/>
          <w:sz w:val="24"/>
          <w:highlight w:val="none"/>
        </w:rPr>
      </w:pPr>
    </w:p>
    <w:p w14:paraId="593C88EB">
      <w:pPr>
        <w:spacing w:line="380" w:lineRule="exact"/>
        <w:ind w:right="640" w:firstLine="4680" w:firstLineChars="1950"/>
        <w:rPr>
          <w:rFonts w:ascii="宋体" w:hAnsi="宋体" w:cs="宋体"/>
          <w:color w:val="auto"/>
          <w:sz w:val="24"/>
          <w:highlight w:val="none"/>
        </w:rPr>
      </w:pPr>
    </w:p>
    <w:p w14:paraId="28BC5233">
      <w:pPr>
        <w:spacing w:line="380" w:lineRule="exact"/>
        <w:jc w:val="center"/>
        <w:rPr>
          <w:rFonts w:ascii="宋体" w:hAnsi="宋体" w:cs="宋体"/>
          <w:color w:val="auto"/>
          <w:sz w:val="24"/>
          <w:highlight w:val="none"/>
        </w:rPr>
      </w:pPr>
    </w:p>
    <w:p w14:paraId="5FFCAB22">
      <w:pPr>
        <w:spacing w:line="380" w:lineRule="exact"/>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      年   月    日</w:t>
      </w:r>
    </w:p>
    <w:p w14:paraId="595B1C1B">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br w:type="page"/>
      </w:r>
    </w:p>
    <w:p w14:paraId="4F118BF7">
      <w:pPr>
        <w:spacing w:line="380" w:lineRule="exact"/>
        <w:jc w:val="center"/>
        <w:rPr>
          <w:rFonts w:ascii="宋体" w:hAnsi="宋体" w:cs="宋体"/>
          <w:color w:val="auto"/>
          <w:sz w:val="24"/>
          <w:highlight w:val="none"/>
        </w:rPr>
      </w:pPr>
      <w:r>
        <w:rPr>
          <w:rFonts w:hint="eastAsia" w:ascii="宋体" w:hAnsi="宋体" w:cs="宋体"/>
          <w:color w:val="auto"/>
          <w:sz w:val="24"/>
          <w:highlight w:val="none"/>
        </w:rPr>
        <w:t>格式8合格供应商的声明函和承诺书</w:t>
      </w:r>
    </w:p>
    <w:p w14:paraId="37D78EE0">
      <w:pPr>
        <w:spacing w:line="360" w:lineRule="auto"/>
        <w:rPr>
          <w:rFonts w:ascii="宋体" w:hAnsi="宋体" w:cs="宋体"/>
          <w:color w:val="auto"/>
          <w:sz w:val="24"/>
          <w:highlight w:val="none"/>
        </w:rPr>
      </w:pPr>
    </w:p>
    <w:p w14:paraId="3E2FBC06">
      <w:pPr>
        <w:spacing w:line="360" w:lineRule="auto"/>
        <w:jc w:val="center"/>
        <w:rPr>
          <w:rFonts w:ascii="宋体" w:hAnsi="宋体" w:cs="宋体"/>
          <w:b/>
          <w:bCs/>
          <w:color w:val="auto"/>
          <w:sz w:val="24"/>
          <w:highlight w:val="none"/>
        </w:rPr>
      </w:pPr>
    </w:p>
    <w:p w14:paraId="7B9BDDCE">
      <w:pPr>
        <w:pStyle w:val="38"/>
        <w:rPr>
          <w:color w:val="auto"/>
          <w:highlight w:val="none"/>
        </w:rPr>
      </w:pPr>
    </w:p>
    <w:p w14:paraId="1CEAD146">
      <w:pPr>
        <w:spacing w:line="360" w:lineRule="auto"/>
        <w:jc w:val="center"/>
        <w:rPr>
          <w:rFonts w:ascii="宋体" w:hAnsi="宋体" w:cs="宋体"/>
          <w:b/>
          <w:color w:val="auto"/>
          <w:sz w:val="24"/>
          <w:highlight w:val="none"/>
        </w:rPr>
      </w:pPr>
    </w:p>
    <w:p w14:paraId="1BC69FB2">
      <w:pPr>
        <w:spacing w:line="360" w:lineRule="auto"/>
        <w:jc w:val="center"/>
        <w:rPr>
          <w:rFonts w:ascii="宋体" w:hAnsi="宋体" w:cs="宋体"/>
          <w:b/>
          <w:color w:val="auto"/>
          <w:sz w:val="24"/>
          <w:highlight w:val="none"/>
        </w:rPr>
      </w:pPr>
    </w:p>
    <w:p w14:paraId="0E177919">
      <w:pPr>
        <w:spacing w:line="360" w:lineRule="auto"/>
        <w:jc w:val="center"/>
        <w:rPr>
          <w:rFonts w:ascii="宋体" w:hAnsi="宋体" w:cs="宋体"/>
          <w:b/>
          <w:color w:val="auto"/>
          <w:sz w:val="24"/>
          <w:highlight w:val="none"/>
        </w:rPr>
      </w:pPr>
    </w:p>
    <w:p w14:paraId="5CE3674E">
      <w:pPr>
        <w:spacing w:line="360" w:lineRule="auto"/>
        <w:jc w:val="center"/>
        <w:rPr>
          <w:rFonts w:ascii="宋体" w:hAnsi="宋体" w:cs="宋体"/>
          <w:b/>
          <w:color w:val="auto"/>
          <w:sz w:val="24"/>
          <w:highlight w:val="none"/>
        </w:rPr>
      </w:pPr>
    </w:p>
    <w:p w14:paraId="475BC3BB">
      <w:pPr>
        <w:spacing w:line="360" w:lineRule="auto"/>
        <w:jc w:val="center"/>
        <w:rPr>
          <w:rFonts w:ascii="宋体" w:hAnsi="宋体" w:cs="宋体"/>
          <w:b/>
          <w:color w:val="auto"/>
          <w:sz w:val="24"/>
          <w:highlight w:val="none"/>
        </w:rPr>
      </w:pPr>
    </w:p>
    <w:p w14:paraId="415F8628">
      <w:pPr>
        <w:spacing w:line="360" w:lineRule="auto"/>
        <w:jc w:val="center"/>
        <w:rPr>
          <w:rFonts w:ascii="宋体" w:hAnsi="宋体" w:cs="宋体"/>
          <w:b/>
          <w:color w:val="auto"/>
          <w:sz w:val="24"/>
          <w:highlight w:val="none"/>
        </w:rPr>
      </w:pPr>
    </w:p>
    <w:p w14:paraId="141A5533">
      <w:pPr>
        <w:spacing w:line="360" w:lineRule="auto"/>
        <w:jc w:val="center"/>
        <w:rPr>
          <w:rFonts w:ascii="宋体" w:hAnsi="宋体" w:cs="宋体"/>
          <w:b/>
          <w:color w:val="auto"/>
          <w:sz w:val="24"/>
          <w:highlight w:val="none"/>
        </w:rPr>
      </w:pPr>
    </w:p>
    <w:p w14:paraId="1A49857C">
      <w:pPr>
        <w:spacing w:line="360" w:lineRule="auto"/>
        <w:jc w:val="center"/>
        <w:rPr>
          <w:rFonts w:ascii="宋体" w:hAnsi="宋体" w:cs="宋体"/>
          <w:b/>
          <w:color w:val="auto"/>
          <w:sz w:val="24"/>
          <w:highlight w:val="none"/>
        </w:rPr>
      </w:pPr>
    </w:p>
    <w:p w14:paraId="7010416D">
      <w:pPr>
        <w:spacing w:line="360" w:lineRule="auto"/>
        <w:jc w:val="center"/>
        <w:rPr>
          <w:rFonts w:ascii="宋体" w:hAnsi="宋体" w:cs="宋体"/>
          <w:b/>
          <w:color w:val="auto"/>
          <w:sz w:val="24"/>
          <w:highlight w:val="none"/>
        </w:rPr>
      </w:pPr>
    </w:p>
    <w:p w14:paraId="18104A64">
      <w:pPr>
        <w:spacing w:line="360" w:lineRule="auto"/>
        <w:jc w:val="center"/>
        <w:rPr>
          <w:rFonts w:ascii="宋体" w:hAnsi="宋体" w:cs="宋体"/>
          <w:b/>
          <w:color w:val="auto"/>
          <w:sz w:val="24"/>
          <w:highlight w:val="none"/>
        </w:rPr>
      </w:pPr>
    </w:p>
    <w:p w14:paraId="3D1F75AF">
      <w:pPr>
        <w:spacing w:line="360" w:lineRule="auto"/>
        <w:jc w:val="center"/>
        <w:rPr>
          <w:rFonts w:ascii="宋体" w:hAnsi="宋体" w:cs="宋体"/>
          <w:b/>
          <w:color w:val="auto"/>
          <w:sz w:val="24"/>
          <w:highlight w:val="none"/>
        </w:rPr>
      </w:pPr>
    </w:p>
    <w:p w14:paraId="51DF6E89">
      <w:pPr>
        <w:spacing w:line="360" w:lineRule="auto"/>
        <w:ind w:firstLine="3840" w:firstLineChars="1600"/>
        <w:rPr>
          <w:rFonts w:ascii="宋体" w:hAnsi="宋体" w:cs="宋体"/>
          <w:color w:val="auto"/>
          <w:sz w:val="24"/>
          <w:highlight w:val="none"/>
        </w:rPr>
      </w:pPr>
      <w:r>
        <w:rPr>
          <w:rFonts w:hint="eastAsia" w:ascii="宋体" w:hAnsi="宋体" w:cs="宋体"/>
          <w:color w:val="auto"/>
          <w:sz w:val="24"/>
          <w:highlight w:val="none"/>
        </w:rPr>
        <w:t xml:space="preserve">供应商电子公章： </w:t>
      </w:r>
    </w:p>
    <w:p w14:paraId="178505A3">
      <w:pPr>
        <w:spacing w:line="380" w:lineRule="exact"/>
        <w:ind w:right="640" w:firstLine="1560" w:firstLineChars="650"/>
        <w:rPr>
          <w:rFonts w:ascii="宋体" w:hAnsi="宋体" w:cs="宋体"/>
          <w:color w:val="auto"/>
          <w:sz w:val="24"/>
          <w:highlight w:val="none"/>
        </w:rPr>
      </w:pPr>
    </w:p>
    <w:p w14:paraId="253E6033">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年   月    日</w:t>
      </w:r>
    </w:p>
    <w:p w14:paraId="2F95D27B">
      <w:pPr>
        <w:spacing w:line="360" w:lineRule="auto"/>
        <w:rPr>
          <w:rFonts w:ascii="宋体" w:hAnsi="宋体" w:cs="宋体"/>
          <w:color w:val="auto"/>
          <w:sz w:val="24"/>
          <w:highlight w:val="none"/>
        </w:rPr>
      </w:pPr>
    </w:p>
    <w:p w14:paraId="21444EF7">
      <w:pPr>
        <w:spacing w:line="360" w:lineRule="auto"/>
        <w:rPr>
          <w:rFonts w:ascii="宋体" w:hAnsi="宋体" w:cs="宋体"/>
          <w:color w:val="auto"/>
          <w:sz w:val="24"/>
          <w:highlight w:val="none"/>
        </w:rPr>
      </w:pPr>
    </w:p>
    <w:p w14:paraId="70DA12D2">
      <w:pPr>
        <w:spacing w:line="360" w:lineRule="auto"/>
        <w:rPr>
          <w:rFonts w:ascii="宋体" w:hAnsi="宋体" w:cs="宋体"/>
          <w:color w:val="auto"/>
          <w:sz w:val="24"/>
          <w:highlight w:val="none"/>
        </w:rPr>
      </w:pPr>
    </w:p>
    <w:p w14:paraId="47832AEB">
      <w:pPr>
        <w:spacing w:line="360" w:lineRule="auto"/>
        <w:rPr>
          <w:rFonts w:ascii="宋体" w:hAnsi="宋体" w:cs="宋体"/>
          <w:color w:val="auto"/>
          <w:sz w:val="24"/>
          <w:highlight w:val="none"/>
        </w:rPr>
      </w:pPr>
    </w:p>
    <w:p w14:paraId="721CBB2F">
      <w:pPr>
        <w:spacing w:line="380" w:lineRule="exact"/>
        <w:jc w:val="center"/>
        <w:rPr>
          <w:rFonts w:ascii="宋体" w:hAnsi="宋体" w:cs="宋体"/>
          <w:color w:val="auto"/>
          <w:sz w:val="24"/>
          <w:highlight w:val="none"/>
        </w:rPr>
      </w:pPr>
    </w:p>
    <w:p w14:paraId="38EE63FC">
      <w:pPr>
        <w:spacing w:line="380" w:lineRule="exact"/>
        <w:jc w:val="center"/>
        <w:rPr>
          <w:rFonts w:ascii="宋体" w:hAnsi="宋体" w:cs="宋体"/>
          <w:color w:val="auto"/>
          <w:sz w:val="24"/>
          <w:highlight w:val="none"/>
        </w:rPr>
      </w:pPr>
    </w:p>
    <w:p w14:paraId="4E26C52E">
      <w:pPr>
        <w:spacing w:line="380" w:lineRule="exact"/>
        <w:jc w:val="center"/>
        <w:rPr>
          <w:rFonts w:ascii="宋体" w:hAnsi="宋体" w:cs="宋体"/>
          <w:color w:val="auto"/>
          <w:sz w:val="24"/>
          <w:highlight w:val="none"/>
        </w:rPr>
      </w:pPr>
    </w:p>
    <w:p w14:paraId="3353A13D">
      <w:pPr>
        <w:spacing w:line="380" w:lineRule="exact"/>
        <w:jc w:val="center"/>
        <w:rPr>
          <w:rFonts w:ascii="宋体" w:hAnsi="宋体" w:cs="宋体"/>
          <w:color w:val="auto"/>
          <w:sz w:val="24"/>
          <w:highlight w:val="none"/>
        </w:rPr>
      </w:pPr>
    </w:p>
    <w:p w14:paraId="37E23375">
      <w:pPr>
        <w:spacing w:line="380" w:lineRule="exact"/>
        <w:jc w:val="center"/>
        <w:rPr>
          <w:rFonts w:ascii="宋体" w:hAnsi="宋体" w:cs="宋体"/>
          <w:color w:val="auto"/>
          <w:sz w:val="24"/>
          <w:highlight w:val="none"/>
        </w:rPr>
      </w:pPr>
    </w:p>
    <w:p w14:paraId="728C8DF7">
      <w:pPr>
        <w:spacing w:line="380" w:lineRule="exact"/>
        <w:jc w:val="center"/>
        <w:rPr>
          <w:rFonts w:ascii="宋体" w:hAnsi="宋体" w:cs="宋体"/>
          <w:color w:val="auto"/>
          <w:sz w:val="24"/>
          <w:highlight w:val="none"/>
        </w:rPr>
      </w:pPr>
    </w:p>
    <w:p w14:paraId="772C1930">
      <w:pPr>
        <w:spacing w:line="380" w:lineRule="exact"/>
        <w:jc w:val="center"/>
        <w:rPr>
          <w:rFonts w:ascii="宋体" w:hAnsi="宋体" w:cs="宋体"/>
          <w:color w:val="auto"/>
          <w:sz w:val="24"/>
          <w:highlight w:val="none"/>
        </w:rPr>
      </w:pPr>
    </w:p>
    <w:p w14:paraId="110BFF94">
      <w:pPr>
        <w:spacing w:line="380" w:lineRule="exact"/>
        <w:jc w:val="center"/>
        <w:rPr>
          <w:rFonts w:ascii="宋体" w:hAnsi="宋体" w:cs="宋体"/>
          <w:color w:val="auto"/>
          <w:sz w:val="24"/>
          <w:highlight w:val="none"/>
        </w:rPr>
      </w:pPr>
    </w:p>
    <w:p w14:paraId="02F1928B">
      <w:pPr>
        <w:spacing w:line="380" w:lineRule="exact"/>
        <w:jc w:val="center"/>
        <w:rPr>
          <w:rFonts w:ascii="宋体" w:hAnsi="宋体" w:cs="宋体"/>
          <w:color w:val="auto"/>
          <w:sz w:val="24"/>
          <w:highlight w:val="none"/>
        </w:rPr>
      </w:pPr>
    </w:p>
    <w:p w14:paraId="31AC10A4">
      <w:pPr>
        <w:spacing w:line="380" w:lineRule="exact"/>
        <w:jc w:val="center"/>
        <w:rPr>
          <w:rFonts w:ascii="宋体" w:hAnsi="宋体" w:cs="宋体"/>
          <w:color w:val="auto"/>
          <w:sz w:val="24"/>
          <w:highlight w:val="none"/>
        </w:rPr>
      </w:pPr>
    </w:p>
    <w:p w14:paraId="2FBAB6D8">
      <w:pPr>
        <w:spacing w:line="380" w:lineRule="exact"/>
        <w:jc w:val="center"/>
        <w:rPr>
          <w:rFonts w:ascii="宋体" w:hAnsi="宋体" w:cs="宋体"/>
          <w:color w:val="auto"/>
          <w:sz w:val="24"/>
          <w:highlight w:val="none"/>
        </w:rPr>
      </w:pPr>
      <w:r>
        <w:rPr>
          <w:rFonts w:hint="eastAsia" w:ascii="宋体" w:hAnsi="宋体" w:cs="宋体"/>
          <w:color w:val="auto"/>
          <w:sz w:val="24"/>
          <w:highlight w:val="none"/>
        </w:rPr>
        <w:t>格式9中小企业声明函（工程、服务）</w:t>
      </w:r>
    </w:p>
    <w:p w14:paraId="5FEF7ECD">
      <w:pPr>
        <w:spacing w:line="360" w:lineRule="auto"/>
        <w:rPr>
          <w:b/>
          <w:bCs/>
          <w:color w:val="auto"/>
          <w:sz w:val="32"/>
          <w:szCs w:val="32"/>
          <w:highlight w:val="none"/>
        </w:rPr>
      </w:pPr>
    </w:p>
    <w:p w14:paraId="2D08D2B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本公司（联合体）郑重声明，根据《政府采购促进中小企业发展管理办法》（财库﹝2020﹞46号）的规定，本公司（联合体）参加</w:t>
      </w:r>
      <w:r>
        <w:rPr>
          <w:rFonts w:hint="eastAsia" w:ascii="宋体" w:hAnsi="宋体" w:cs="宋体"/>
          <w:color w:val="auto"/>
          <w:sz w:val="24"/>
          <w:highlight w:val="none"/>
          <w:u w:val="single"/>
        </w:rPr>
        <w:t>（单位名称）</w:t>
      </w:r>
      <w:r>
        <w:rPr>
          <w:rFonts w:hint="eastAsia" w:ascii="宋体" w:hAnsi="宋体" w:cs="宋体"/>
          <w:color w:val="auto"/>
          <w:sz w:val="24"/>
          <w:highlight w:val="none"/>
        </w:rPr>
        <w:t>的</w:t>
      </w:r>
      <w:r>
        <w:rPr>
          <w:rFonts w:hint="eastAsia" w:ascii="宋体" w:hAnsi="宋体" w:cs="宋体"/>
          <w:color w:val="auto"/>
          <w:sz w:val="24"/>
          <w:highlight w:val="none"/>
          <w:u w:val="single"/>
        </w:rPr>
        <w:t>（项目名称）</w:t>
      </w:r>
      <w:r>
        <w:rPr>
          <w:rFonts w:hint="eastAsia" w:ascii="宋体" w:hAnsi="宋体" w:cs="宋体"/>
          <w:color w:val="auto"/>
          <w:sz w:val="24"/>
          <w:highlight w:val="none"/>
        </w:rPr>
        <w:t>采购活动，工程的施工单位全部为符合政策要求的中小企业</w:t>
      </w:r>
      <w:r>
        <w:rPr>
          <w:rFonts w:hint="eastAsia" w:ascii="宋体" w:hAnsi="宋体" w:cs="宋体"/>
          <w:color w:val="auto"/>
          <w:sz w:val="24"/>
          <w:highlight w:val="none"/>
          <w:u w:val="single"/>
        </w:rPr>
        <w:t>（或者：服务全部由符合政策要求的中小企业承接）</w:t>
      </w:r>
      <w:r>
        <w:rPr>
          <w:rFonts w:hint="eastAsia" w:ascii="宋体" w:hAnsi="宋体" w:cs="宋体"/>
          <w:color w:val="auto"/>
          <w:sz w:val="24"/>
          <w:highlight w:val="none"/>
        </w:rPr>
        <w:t>。相关企业</w:t>
      </w:r>
      <w:r>
        <w:rPr>
          <w:rFonts w:hint="eastAsia" w:ascii="宋体" w:hAnsi="宋体" w:cs="宋体"/>
          <w:color w:val="auto"/>
          <w:sz w:val="24"/>
          <w:highlight w:val="none"/>
          <w:u w:val="single"/>
        </w:rPr>
        <w:t>（含联合体中的中小企业、签订分包意向协议的中小企业）</w:t>
      </w:r>
      <w:r>
        <w:rPr>
          <w:rFonts w:hint="eastAsia" w:ascii="宋体" w:hAnsi="宋体" w:cs="宋体"/>
          <w:color w:val="auto"/>
          <w:sz w:val="24"/>
          <w:highlight w:val="none"/>
        </w:rPr>
        <w:t>的具体情 况如下：</w:t>
      </w:r>
    </w:p>
    <w:p w14:paraId="5FC5CAD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u w:val="single"/>
        </w:rPr>
        <w:t>（标的名称）</w:t>
      </w:r>
      <w:r>
        <w:rPr>
          <w:rFonts w:hint="eastAsia" w:ascii="宋体" w:hAnsi="宋体" w:cs="宋体"/>
          <w:color w:val="auto"/>
          <w:sz w:val="24"/>
          <w:highlight w:val="none"/>
        </w:rPr>
        <w:t>，属于</w:t>
      </w:r>
      <w:r>
        <w:rPr>
          <w:rFonts w:hint="eastAsia" w:ascii="宋体" w:hAnsi="宋体" w:cs="宋体"/>
          <w:color w:val="auto"/>
          <w:sz w:val="24"/>
          <w:highlight w:val="none"/>
          <w:u w:val="single"/>
        </w:rPr>
        <w:t>（采购文件中明确的所属行业）</w:t>
      </w:r>
      <w:r>
        <w:rPr>
          <w:rFonts w:hint="eastAsia" w:ascii="宋体" w:hAnsi="宋体" w:cs="宋体"/>
          <w:color w:val="auto"/>
          <w:sz w:val="24"/>
          <w:highlight w:val="none"/>
        </w:rPr>
        <w:t>； 承建（承接）企业为（企业名称），从业人员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万元1，属于（中型企业、小型企业、微型企业）； </w:t>
      </w:r>
    </w:p>
    <w:p w14:paraId="4E478AB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u w:val="single"/>
        </w:rPr>
        <w:t>（标的名称）</w:t>
      </w:r>
      <w:r>
        <w:rPr>
          <w:rFonts w:hint="eastAsia" w:ascii="宋体" w:hAnsi="宋体" w:cs="宋体"/>
          <w:color w:val="auto"/>
          <w:sz w:val="24"/>
          <w:highlight w:val="none"/>
        </w:rPr>
        <w:t>，属于</w:t>
      </w:r>
      <w:r>
        <w:rPr>
          <w:rFonts w:hint="eastAsia" w:ascii="宋体" w:hAnsi="宋体" w:cs="宋体"/>
          <w:color w:val="auto"/>
          <w:sz w:val="24"/>
          <w:highlight w:val="none"/>
          <w:u w:val="single"/>
        </w:rPr>
        <w:t>（采购文件中明确的所属行业）</w:t>
      </w:r>
      <w:r>
        <w:rPr>
          <w:rFonts w:hint="eastAsia" w:ascii="宋体" w:hAnsi="宋体" w:cs="宋体"/>
          <w:color w:val="auto"/>
          <w:sz w:val="24"/>
          <w:highlight w:val="none"/>
        </w:rPr>
        <w:t>； 承建（承接）企业为</w:t>
      </w:r>
      <w:r>
        <w:rPr>
          <w:rFonts w:hint="eastAsia" w:ascii="宋体" w:hAnsi="宋体" w:cs="宋体"/>
          <w:color w:val="auto"/>
          <w:sz w:val="24"/>
          <w:highlight w:val="none"/>
          <w:u w:val="single"/>
        </w:rPr>
        <w:t>（企业名称）</w:t>
      </w:r>
      <w:r>
        <w:rPr>
          <w:rFonts w:hint="eastAsia" w:ascii="宋体" w:hAnsi="宋体" w:cs="宋体"/>
          <w:color w:val="auto"/>
          <w:sz w:val="24"/>
          <w:highlight w:val="none"/>
        </w:rPr>
        <w:t>，从业人员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（中型企业、 小型企业、微型企业）</w:t>
      </w:r>
      <w:r>
        <w:rPr>
          <w:rFonts w:hint="eastAsia" w:ascii="宋体" w:hAnsi="宋体" w:cs="宋体"/>
          <w:color w:val="auto"/>
          <w:sz w:val="24"/>
          <w:highlight w:val="none"/>
        </w:rPr>
        <w:t>； ……</w:t>
      </w:r>
    </w:p>
    <w:p w14:paraId="008A39A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以上企业，不属于大企业的分支机构，不存在控股股东 为大企业的情形，也不存在与大企业的负责人为同一人的情形。</w:t>
      </w:r>
    </w:p>
    <w:p w14:paraId="1D2CA89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本企业对上述声明内容的真实性负责。如有虚假，将依 法承担相应责任。 </w:t>
      </w:r>
    </w:p>
    <w:p w14:paraId="4287F6A7">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企业名称（盖章）： </w:t>
      </w:r>
    </w:p>
    <w:p w14:paraId="1D0C93BB">
      <w:pPr>
        <w:spacing w:line="360" w:lineRule="auto"/>
        <w:ind w:firstLine="4800" w:firstLineChars="2000"/>
        <w:rPr>
          <w:rFonts w:ascii="宋体" w:hAnsi="宋体" w:cs="宋体"/>
          <w:color w:val="auto"/>
          <w:sz w:val="24"/>
          <w:highlight w:val="none"/>
        </w:rPr>
      </w:pPr>
      <w:r>
        <w:rPr>
          <w:rFonts w:hint="eastAsia" w:ascii="宋体" w:hAnsi="宋体" w:cs="宋体"/>
          <w:color w:val="auto"/>
          <w:sz w:val="24"/>
          <w:highlight w:val="none"/>
        </w:rPr>
        <w:t xml:space="preserve">日 期： </w:t>
      </w:r>
    </w:p>
    <w:p w14:paraId="5E5CBCF0">
      <w:pPr>
        <w:rPr>
          <w:rFonts w:ascii="宋体" w:hAnsi="宋体" w:cs="宋体"/>
          <w:color w:val="auto"/>
          <w:sz w:val="24"/>
          <w:highlight w:val="none"/>
        </w:rPr>
      </w:pPr>
    </w:p>
    <w:p w14:paraId="5F80243D">
      <w:pPr>
        <w:pStyle w:val="38"/>
        <w:rPr>
          <w:rFonts w:ascii="宋体" w:hAnsi="宋体" w:cs="宋体"/>
          <w:color w:val="auto"/>
          <w:sz w:val="24"/>
          <w:szCs w:val="24"/>
          <w:highlight w:val="none"/>
        </w:rPr>
      </w:pPr>
    </w:p>
    <w:p w14:paraId="3ABF1327">
      <w:pPr>
        <w:pStyle w:val="5"/>
        <w:rPr>
          <w:color w:val="auto"/>
          <w:highlight w:val="none"/>
        </w:rPr>
      </w:pPr>
    </w:p>
    <w:p w14:paraId="697C61C8">
      <w:pPr>
        <w:spacing w:line="360" w:lineRule="auto"/>
        <w:ind w:firstLine="420" w:firstLineChars="200"/>
        <w:rPr>
          <w:color w:val="auto"/>
          <w:highlight w:val="none"/>
        </w:rPr>
      </w:pPr>
      <w:r>
        <w:rPr>
          <w:rFonts w:hint="eastAsia"/>
          <w:color w:val="auto"/>
          <w:highlight w:val="none"/>
        </w:rPr>
        <w:t>注：1.从业人员、营业收入、资产总额填报上一年度数据，无上一年度数据的新成立企业可不填报。</w:t>
      </w:r>
    </w:p>
    <w:p w14:paraId="1888F5C2">
      <w:pPr>
        <w:spacing w:line="360" w:lineRule="auto"/>
        <w:ind w:firstLine="420" w:firstLineChars="200"/>
        <w:rPr>
          <w:color w:val="auto"/>
          <w:highlight w:val="none"/>
        </w:rPr>
      </w:pPr>
      <w:r>
        <w:rPr>
          <w:rFonts w:hint="eastAsia"/>
          <w:color w:val="auto"/>
          <w:highlight w:val="none"/>
        </w:rPr>
        <w:t>2.本项目如是只面向中小企业采购的应当必须提供。</w:t>
      </w:r>
    </w:p>
    <w:p w14:paraId="77693062">
      <w:pPr>
        <w:spacing w:line="360" w:lineRule="auto"/>
        <w:jc w:val="center"/>
        <w:rPr>
          <w:rFonts w:ascii="宋体" w:hAnsi="宋体" w:cs="宋体"/>
          <w:b/>
          <w:bCs/>
          <w:color w:val="auto"/>
          <w:sz w:val="24"/>
          <w:highlight w:val="none"/>
        </w:rPr>
      </w:pPr>
    </w:p>
    <w:p w14:paraId="78534E85">
      <w:pPr>
        <w:spacing w:line="360" w:lineRule="auto"/>
        <w:jc w:val="center"/>
        <w:rPr>
          <w:rFonts w:ascii="宋体" w:hAnsi="宋体" w:cs="宋体"/>
          <w:b/>
          <w:bCs/>
          <w:color w:val="auto"/>
          <w:sz w:val="24"/>
          <w:highlight w:val="none"/>
        </w:rPr>
      </w:pPr>
    </w:p>
    <w:p w14:paraId="6B1253CF">
      <w:pPr>
        <w:spacing w:line="360" w:lineRule="auto"/>
        <w:rPr>
          <w:rFonts w:ascii="宋体" w:hAnsi="宋体" w:cs="宋体"/>
          <w:color w:val="auto"/>
          <w:sz w:val="24"/>
          <w:highlight w:val="none"/>
        </w:rPr>
      </w:pPr>
    </w:p>
    <w:p w14:paraId="40293597">
      <w:pPr>
        <w:spacing w:line="360" w:lineRule="auto"/>
        <w:rPr>
          <w:rFonts w:ascii="宋体" w:hAnsi="宋体" w:cs="宋体"/>
          <w:color w:val="auto"/>
          <w:sz w:val="24"/>
          <w:highlight w:val="none"/>
        </w:rPr>
      </w:pPr>
    </w:p>
    <w:p w14:paraId="0FF09EB0">
      <w:pPr>
        <w:spacing w:line="360" w:lineRule="auto"/>
        <w:rPr>
          <w:rFonts w:ascii="宋体" w:hAnsi="宋体" w:cs="宋体"/>
          <w:color w:val="auto"/>
          <w:sz w:val="24"/>
          <w:highlight w:val="none"/>
        </w:rPr>
      </w:pPr>
    </w:p>
    <w:p w14:paraId="21C89853">
      <w:pPr>
        <w:spacing w:line="360" w:lineRule="auto"/>
        <w:rPr>
          <w:rFonts w:ascii="宋体" w:hAnsi="宋体" w:cs="宋体"/>
          <w:color w:val="auto"/>
          <w:sz w:val="24"/>
          <w:highlight w:val="none"/>
        </w:rPr>
      </w:pPr>
    </w:p>
    <w:p w14:paraId="198415C3">
      <w:pPr>
        <w:spacing w:line="360" w:lineRule="auto"/>
        <w:rPr>
          <w:rFonts w:ascii="宋体" w:hAnsi="宋体" w:cs="宋体"/>
          <w:color w:val="auto"/>
          <w:sz w:val="24"/>
          <w:highlight w:val="none"/>
        </w:rPr>
      </w:pPr>
      <w:r>
        <w:rPr>
          <w:rFonts w:hint="eastAsia" w:ascii="宋体" w:hAnsi="宋体" w:cs="宋体"/>
          <w:color w:val="auto"/>
          <w:sz w:val="24"/>
          <w:highlight w:val="none"/>
        </w:rPr>
        <w:t>格式10其他资料</w:t>
      </w:r>
    </w:p>
    <w:p w14:paraId="5166B18B">
      <w:pPr>
        <w:spacing w:line="360" w:lineRule="auto"/>
        <w:rPr>
          <w:rFonts w:ascii="宋体" w:hAnsi="宋体" w:cs="宋体"/>
          <w:color w:val="auto"/>
          <w:sz w:val="24"/>
          <w:highlight w:val="none"/>
        </w:rPr>
      </w:pPr>
    </w:p>
    <w:p w14:paraId="1A63B541">
      <w:pPr>
        <w:spacing w:line="360" w:lineRule="auto"/>
        <w:rPr>
          <w:rFonts w:ascii="宋体" w:hAnsi="宋体" w:cs="宋体"/>
          <w:color w:val="auto"/>
          <w:sz w:val="24"/>
          <w:highlight w:val="none"/>
        </w:rPr>
      </w:pPr>
    </w:p>
    <w:p w14:paraId="6E1DBFA9">
      <w:pPr>
        <w:spacing w:line="360" w:lineRule="auto"/>
        <w:rPr>
          <w:rFonts w:ascii="宋体" w:hAnsi="宋体" w:cs="宋体"/>
          <w:color w:val="auto"/>
          <w:sz w:val="24"/>
          <w:highlight w:val="none"/>
        </w:rPr>
      </w:pPr>
    </w:p>
    <w:p w14:paraId="6383815B">
      <w:pPr>
        <w:spacing w:line="360" w:lineRule="auto"/>
        <w:rPr>
          <w:rFonts w:ascii="宋体" w:hAnsi="宋体" w:cs="宋体"/>
          <w:color w:val="auto"/>
          <w:sz w:val="24"/>
          <w:highlight w:val="none"/>
        </w:rPr>
      </w:pPr>
    </w:p>
    <w:p w14:paraId="330FF396">
      <w:pPr>
        <w:spacing w:line="360" w:lineRule="auto"/>
        <w:rPr>
          <w:rFonts w:ascii="宋体" w:hAnsi="宋体" w:cs="宋体"/>
          <w:color w:val="auto"/>
          <w:sz w:val="24"/>
          <w:highlight w:val="none"/>
        </w:rPr>
      </w:pPr>
    </w:p>
    <w:p w14:paraId="2B7D7FE1">
      <w:pPr>
        <w:spacing w:line="360" w:lineRule="auto"/>
        <w:rPr>
          <w:rFonts w:ascii="宋体" w:hAnsi="宋体" w:cs="宋体"/>
          <w:color w:val="auto"/>
          <w:sz w:val="24"/>
          <w:highlight w:val="none"/>
        </w:rPr>
      </w:pPr>
    </w:p>
    <w:p w14:paraId="11D43FF1">
      <w:pPr>
        <w:spacing w:line="360" w:lineRule="auto"/>
        <w:rPr>
          <w:rFonts w:ascii="宋体" w:hAnsi="宋体" w:cs="宋体"/>
          <w:color w:val="auto"/>
          <w:sz w:val="24"/>
          <w:highlight w:val="none"/>
        </w:rPr>
      </w:pPr>
    </w:p>
    <w:p w14:paraId="0EF044D6">
      <w:pPr>
        <w:spacing w:line="360" w:lineRule="auto"/>
        <w:rPr>
          <w:rFonts w:ascii="宋体" w:hAnsi="宋体" w:cs="宋体"/>
          <w:color w:val="auto"/>
          <w:sz w:val="24"/>
          <w:highlight w:val="none"/>
        </w:rPr>
      </w:pPr>
    </w:p>
    <w:p w14:paraId="1556ABA8">
      <w:pPr>
        <w:spacing w:line="360" w:lineRule="auto"/>
        <w:rPr>
          <w:rFonts w:ascii="宋体" w:hAnsi="宋体" w:cs="宋体"/>
          <w:color w:val="auto"/>
          <w:sz w:val="24"/>
          <w:highlight w:val="none"/>
        </w:rPr>
      </w:pPr>
    </w:p>
    <w:p w14:paraId="7D883BAD">
      <w:pPr>
        <w:spacing w:line="360" w:lineRule="auto"/>
        <w:rPr>
          <w:rFonts w:ascii="宋体" w:hAnsi="宋体" w:cs="宋体"/>
          <w:color w:val="auto"/>
          <w:sz w:val="24"/>
          <w:highlight w:val="none"/>
        </w:rPr>
      </w:pPr>
    </w:p>
    <w:p w14:paraId="51C6CA83">
      <w:pPr>
        <w:spacing w:line="360" w:lineRule="auto"/>
        <w:rPr>
          <w:rFonts w:ascii="宋体" w:hAnsi="宋体" w:cs="宋体"/>
          <w:color w:val="auto"/>
          <w:sz w:val="24"/>
          <w:highlight w:val="none"/>
        </w:rPr>
      </w:pPr>
    </w:p>
    <w:p w14:paraId="74109A49">
      <w:pPr>
        <w:spacing w:line="360" w:lineRule="auto"/>
        <w:rPr>
          <w:rFonts w:ascii="宋体" w:hAnsi="宋体" w:cs="宋体"/>
          <w:color w:val="auto"/>
          <w:sz w:val="24"/>
          <w:highlight w:val="none"/>
        </w:rPr>
      </w:pPr>
    </w:p>
    <w:p w14:paraId="1B893797">
      <w:pPr>
        <w:spacing w:line="360" w:lineRule="auto"/>
        <w:rPr>
          <w:rFonts w:ascii="宋体" w:hAnsi="宋体" w:cs="宋体"/>
          <w:color w:val="auto"/>
          <w:sz w:val="24"/>
          <w:highlight w:val="none"/>
        </w:rPr>
      </w:pPr>
    </w:p>
    <w:p w14:paraId="73E3C395">
      <w:pPr>
        <w:spacing w:line="360" w:lineRule="auto"/>
        <w:rPr>
          <w:rFonts w:ascii="宋体" w:hAnsi="宋体" w:cs="宋体"/>
          <w:color w:val="auto"/>
          <w:sz w:val="24"/>
          <w:highlight w:val="none"/>
        </w:rPr>
      </w:pPr>
    </w:p>
    <w:p w14:paraId="367DD998">
      <w:pPr>
        <w:spacing w:line="360" w:lineRule="auto"/>
        <w:rPr>
          <w:rFonts w:ascii="宋体" w:hAnsi="宋体" w:cs="宋体"/>
          <w:color w:val="auto"/>
          <w:sz w:val="24"/>
          <w:highlight w:val="none"/>
        </w:rPr>
      </w:pPr>
    </w:p>
    <w:p w14:paraId="0EC1DDAD">
      <w:pPr>
        <w:spacing w:line="360" w:lineRule="auto"/>
        <w:rPr>
          <w:rFonts w:ascii="宋体" w:hAnsi="宋体" w:cs="宋体"/>
          <w:color w:val="auto"/>
          <w:sz w:val="24"/>
          <w:highlight w:val="none"/>
        </w:rPr>
      </w:pPr>
    </w:p>
    <w:p w14:paraId="44FF64AA">
      <w:pPr>
        <w:spacing w:line="360" w:lineRule="auto"/>
        <w:rPr>
          <w:rFonts w:ascii="宋体" w:hAnsi="宋体" w:cs="宋体"/>
          <w:color w:val="auto"/>
          <w:sz w:val="24"/>
          <w:highlight w:val="none"/>
        </w:rPr>
      </w:pPr>
    </w:p>
    <w:p w14:paraId="1B225834">
      <w:pPr>
        <w:spacing w:line="360" w:lineRule="auto"/>
        <w:rPr>
          <w:rFonts w:ascii="宋体" w:hAnsi="宋体" w:cs="宋体"/>
          <w:color w:val="auto"/>
          <w:sz w:val="24"/>
          <w:highlight w:val="none"/>
        </w:rPr>
      </w:pPr>
    </w:p>
    <w:p w14:paraId="298A2935">
      <w:pPr>
        <w:spacing w:line="360" w:lineRule="auto"/>
        <w:rPr>
          <w:rFonts w:ascii="宋体" w:hAnsi="宋体" w:cs="宋体"/>
          <w:color w:val="auto"/>
          <w:sz w:val="24"/>
          <w:highlight w:val="none"/>
        </w:rPr>
      </w:pPr>
    </w:p>
    <w:p w14:paraId="564BA379">
      <w:pPr>
        <w:spacing w:line="360" w:lineRule="auto"/>
        <w:rPr>
          <w:rFonts w:ascii="宋体" w:hAnsi="宋体" w:cs="宋体"/>
          <w:color w:val="auto"/>
          <w:sz w:val="24"/>
          <w:highlight w:val="none"/>
        </w:rPr>
      </w:pPr>
    </w:p>
    <w:p w14:paraId="7B7DE1BD">
      <w:pPr>
        <w:spacing w:line="360" w:lineRule="auto"/>
        <w:rPr>
          <w:rFonts w:ascii="宋体" w:hAnsi="宋体" w:cs="宋体"/>
          <w:color w:val="auto"/>
          <w:sz w:val="24"/>
          <w:highlight w:val="none"/>
        </w:rPr>
      </w:pPr>
    </w:p>
    <w:p w14:paraId="066404DB">
      <w:pPr>
        <w:spacing w:line="360" w:lineRule="auto"/>
        <w:rPr>
          <w:rFonts w:ascii="宋体" w:hAnsi="宋体" w:cs="宋体"/>
          <w:color w:val="auto"/>
          <w:sz w:val="24"/>
          <w:highlight w:val="none"/>
        </w:rPr>
      </w:pPr>
    </w:p>
    <w:p w14:paraId="440D5943">
      <w:pPr>
        <w:spacing w:line="360" w:lineRule="auto"/>
        <w:rPr>
          <w:rFonts w:ascii="宋体" w:hAnsi="宋体" w:cs="宋体"/>
          <w:color w:val="auto"/>
          <w:sz w:val="24"/>
          <w:highlight w:val="none"/>
        </w:rPr>
      </w:pPr>
    </w:p>
    <w:p w14:paraId="65173600">
      <w:pPr>
        <w:spacing w:line="360" w:lineRule="auto"/>
        <w:rPr>
          <w:rFonts w:ascii="宋体" w:hAnsi="宋体" w:cs="宋体"/>
          <w:color w:val="auto"/>
          <w:sz w:val="24"/>
          <w:highlight w:val="none"/>
        </w:rPr>
      </w:pPr>
    </w:p>
    <w:p w14:paraId="12EB86F8">
      <w:pPr>
        <w:spacing w:line="360" w:lineRule="auto"/>
        <w:rPr>
          <w:rFonts w:ascii="宋体" w:hAnsi="宋体" w:cs="宋体"/>
          <w:color w:val="auto"/>
          <w:sz w:val="24"/>
          <w:highlight w:val="none"/>
        </w:rPr>
      </w:pPr>
    </w:p>
    <w:p w14:paraId="4C74F272">
      <w:pPr>
        <w:spacing w:line="360" w:lineRule="auto"/>
        <w:rPr>
          <w:rFonts w:ascii="宋体" w:hAnsi="宋体" w:cs="宋体"/>
          <w:color w:val="auto"/>
          <w:sz w:val="24"/>
          <w:highlight w:val="none"/>
        </w:rPr>
      </w:pPr>
    </w:p>
    <w:p w14:paraId="7B1976CE">
      <w:pPr>
        <w:spacing w:line="360" w:lineRule="auto"/>
        <w:rPr>
          <w:rFonts w:ascii="宋体" w:hAnsi="宋体" w:cs="宋体"/>
          <w:color w:val="auto"/>
          <w:sz w:val="24"/>
          <w:highlight w:val="none"/>
        </w:rPr>
      </w:pPr>
    </w:p>
    <w:p w14:paraId="7BDB0ACB">
      <w:pPr>
        <w:spacing w:line="360" w:lineRule="auto"/>
        <w:rPr>
          <w:rFonts w:ascii="宋体" w:hAnsi="宋体" w:cs="宋体"/>
          <w:color w:val="auto"/>
          <w:sz w:val="24"/>
          <w:highlight w:val="none"/>
        </w:rPr>
      </w:pPr>
    </w:p>
    <w:p w14:paraId="6E21D746">
      <w:pPr>
        <w:spacing w:line="360" w:lineRule="auto"/>
        <w:rPr>
          <w:color w:val="auto"/>
          <w:highlight w:val="none"/>
        </w:rPr>
      </w:pPr>
      <w:r>
        <w:rPr>
          <w:rFonts w:hint="eastAsia" w:ascii="宋体" w:hAnsi="宋体" w:cs="宋体"/>
          <w:color w:val="auto"/>
          <w:sz w:val="24"/>
          <w:highlight w:val="none"/>
        </w:rPr>
        <w:t>格式11</w:t>
      </w:r>
    </w:p>
    <w:p w14:paraId="1F166951">
      <w:pPr>
        <w:spacing w:line="380" w:lineRule="exact"/>
        <w:jc w:val="center"/>
        <w:rPr>
          <w:rStyle w:val="67"/>
          <w:rFonts w:ascii="宋体"/>
          <w:b/>
          <w:bCs/>
          <w:color w:val="auto"/>
          <w:sz w:val="28"/>
          <w:szCs w:val="28"/>
          <w:highlight w:val="none"/>
        </w:rPr>
      </w:pPr>
      <w:r>
        <w:rPr>
          <w:rStyle w:val="67"/>
          <w:rFonts w:hint="eastAsia" w:ascii="宋体" w:hAnsi="宋体" w:cs="宋体"/>
          <w:b/>
          <w:bCs/>
          <w:color w:val="auto"/>
          <w:sz w:val="28"/>
          <w:szCs w:val="28"/>
          <w:highlight w:val="none"/>
        </w:rPr>
        <w:t>政府采购供应商诚信承诺书</w:t>
      </w:r>
    </w:p>
    <w:p w14:paraId="22352085">
      <w:pPr>
        <w:spacing w:line="380" w:lineRule="exact"/>
        <w:jc w:val="center"/>
        <w:rPr>
          <w:rStyle w:val="67"/>
          <w:rFonts w:ascii="宋体"/>
          <w:b/>
          <w:bCs/>
          <w:color w:val="auto"/>
          <w:sz w:val="24"/>
          <w:highlight w:val="none"/>
        </w:rPr>
      </w:pPr>
    </w:p>
    <w:p w14:paraId="1BE4EFD9">
      <w:pPr>
        <w:spacing w:line="380" w:lineRule="exact"/>
        <w:ind w:firstLine="720" w:firstLineChars="300"/>
        <w:rPr>
          <w:rFonts w:ascii="宋体" w:hAnsi="宋体" w:cs="宋体"/>
          <w:color w:val="auto"/>
          <w:sz w:val="24"/>
          <w:highlight w:val="none"/>
        </w:rPr>
      </w:pPr>
      <w:r>
        <w:rPr>
          <w:rFonts w:hint="eastAsia" w:ascii="宋体" w:hAnsi="宋体" w:cs="宋体"/>
          <w:color w:val="auto"/>
          <w:sz w:val="24"/>
          <w:highlight w:val="none"/>
        </w:rPr>
        <w:t>我公司自愿参与政府采购活动，严格遵守《中华人民共和国政府采购法》等相关法律法规的规定，坚守公平竞争，并无条件地遵守采购活动的各项规定，我们郑重承诺：如果在政府采购招标活动中有以下情形的,愿接受政府采购监管部门给予相关处罚并承担法律责任。</w:t>
      </w:r>
    </w:p>
    <w:p w14:paraId="4D6AF696">
      <w:pPr>
        <w:spacing w:line="380" w:lineRule="exact"/>
        <w:rPr>
          <w:rFonts w:ascii="宋体" w:hAnsi="宋体" w:cs="宋体"/>
          <w:color w:val="auto"/>
          <w:sz w:val="24"/>
          <w:highlight w:val="none"/>
        </w:rPr>
      </w:pPr>
      <w:r>
        <w:rPr>
          <w:rFonts w:hint="eastAsia" w:ascii="宋体" w:hAnsi="宋体" w:cs="宋体"/>
          <w:color w:val="auto"/>
          <w:sz w:val="24"/>
          <w:highlight w:val="none"/>
        </w:rPr>
        <w:t>（一）提供虚假材料谋取中标;</w:t>
      </w:r>
    </w:p>
    <w:p w14:paraId="4FF68425">
      <w:pPr>
        <w:spacing w:line="380" w:lineRule="exact"/>
        <w:rPr>
          <w:rFonts w:ascii="宋体" w:hAnsi="宋体" w:cs="宋体"/>
          <w:color w:val="auto"/>
          <w:sz w:val="24"/>
          <w:highlight w:val="none"/>
        </w:rPr>
      </w:pPr>
      <w:r>
        <w:rPr>
          <w:rFonts w:hint="eastAsia" w:ascii="宋体" w:hAnsi="宋体" w:cs="宋体"/>
          <w:color w:val="auto"/>
          <w:sz w:val="24"/>
          <w:highlight w:val="none"/>
        </w:rPr>
        <w:t>（二）采取不正当手段诋毁、排挤其他供应商;</w:t>
      </w:r>
    </w:p>
    <w:p w14:paraId="57ECD608">
      <w:pPr>
        <w:spacing w:line="380" w:lineRule="exact"/>
        <w:rPr>
          <w:rFonts w:ascii="宋体" w:hAnsi="宋体" w:cs="宋体"/>
          <w:color w:val="auto"/>
          <w:sz w:val="24"/>
          <w:highlight w:val="none"/>
        </w:rPr>
      </w:pPr>
      <w:r>
        <w:rPr>
          <w:rFonts w:hint="eastAsia" w:ascii="宋体" w:hAnsi="宋体" w:cs="宋体"/>
          <w:color w:val="auto"/>
          <w:sz w:val="24"/>
          <w:highlight w:val="none"/>
        </w:rPr>
        <w:t>（三）与招标采购单位、其他投标人恶意串通;</w:t>
      </w:r>
    </w:p>
    <w:p w14:paraId="3E19B4E1">
      <w:pPr>
        <w:spacing w:line="380" w:lineRule="exact"/>
        <w:rPr>
          <w:rFonts w:ascii="宋体" w:hAnsi="宋体" w:cs="宋体"/>
          <w:color w:val="auto"/>
          <w:sz w:val="24"/>
          <w:highlight w:val="none"/>
        </w:rPr>
      </w:pPr>
      <w:r>
        <w:rPr>
          <w:rFonts w:hint="eastAsia" w:ascii="宋体" w:hAnsi="宋体" w:cs="宋体"/>
          <w:color w:val="auto"/>
          <w:sz w:val="24"/>
          <w:highlight w:val="none"/>
        </w:rPr>
        <w:t>（四）向招标采购单位或提供其他不正当利益;</w:t>
      </w:r>
    </w:p>
    <w:p w14:paraId="6D0FFDA3">
      <w:pPr>
        <w:spacing w:line="380" w:lineRule="exact"/>
        <w:rPr>
          <w:rFonts w:ascii="宋体" w:hAnsi="宋体" w:cs="宋体"/>
          <w:color w:val="auto"/>
          <w:sz w:val="24"/>
          <w:highlight w:val="none"/>
        </w:rPr>
      </w:pPr>
      <w:r>
        <w:rPr>
          <w:rFonts w:hint="eastAsia" w:ascii="宋体" w:hAnsi="宋体" w:cs="宋体"/>
          <w:color w:val="auto"/>
          <w:sz w:val="24"/>
          <w:highlight w:val="none"/>
        </w:rPr>
        <w:t>（五）在招标过程中与招标采购单位进行协商谈判、不按照招标文件和投标文件订立合同，或者与采购人另立背离合同实质性内容协议;</w:t>
      </w:r>
    </w:p>
    <w:p w14:paraId="32D678FA">
      <w:pPr>
        <w:spacing w:line="380" w:lineRule="exact"/>
        <w:rPr>
          <w:rFonts w:ascii="宋体" w:hAnsi="宋体" w:cs="宋体"/>
          <w:color w:val="auto"/>
          <w:sz w:val="24"/>
          <w:highlight w:val="none"/>
        </w:rPr>
      </w:pPr>
      <w:r>
        <w:rPr>
          <w:rFonts w:hint="eastAsia" w:ascii="宋体" w:hAnsi="宋体" w:cs="宋体"/>
          <w:color w:val="auto"/>
          <w:sz w:val="24"/>
          <w:highlight w:val="none"/>
        </w:rPr>
        <w:t>（六）开标后擅自撤销投标，影响招标继续进行的或领取招标文件纳投标保证金后不投标导致废标;</w:t>
      </w:r>
    </w:p>
    <w:p w14:paraId="6ED36372">
      <w:pPr>
        <w:spacing w:line="380" w:lineRule="exact"/>
        <w:rPr>
          <w:rFonts w:ascii="宋体" w:hAnsi="宋体" w:cs="宋体"/>
          <w:color w:val="auto"/>
          <w:sz w:val="24"/>
          <w:highlight w:val="none"/>
        </w:rPr>
      </w:pPr>
      <w:r>
        <w:rPr>
          <w:rFonts w:hint="eastAsia" w:ascii="宋体" w:hAnsi="宋体" w:cs="宋体"/>
          <w:color w:val="auto"/>
          <w:sz w:val="24"/>
          <w:highlight w:val="none"/>
        </w:rPr>
        <w:t>（七）中标后无正当理由，在规定时间内不与采购单位签订合同;</w:t>
      </w:r>
    </w:p>
    <w:p w14:paraId="7C8D543A">
      <w:pPr>
        <w:spacing w:line="380" w:lineRule="exact"/>
        <w:rPr>
          <w:rFonts w:ascii="宋体" w:hAnsi="宋体" w:cs="宋体"/>
          <w:color w:val="auto"/>
          <w:sz w:val="24"/>
          <w:highlight w:val="none"/>
        </w:rPr>
      </w:pPr>
      <w:r>
        <w:rPr>
          <w:rFonts w:hint="eastAsia" w:ascii="宋体" w:hAnsi="宋体" w:cs="宋体"/>
          <w:color w:val="auto"/>
          <w:sz w:val="24"/>
          <w:highlight w:val="none"/>
        </w:rPr>
        <w:t>（八）将中标项目转让给他人或非法分包他人;</w:t>
      </w:r>
    </w:p>
    <w:p w14:paraId="131CEE58">
      <w:pPr>
        <w:spacing w:line="380" w:lineRule="exact"/>
        <w:rPr>
          <w:rFonts w:ascii="宋体" w:hAnsi="宋体" w:cs="宋体"/>
          <w:color w:val="auto"/>
          <w:sz w:val="24"/>
          <w:highlight w:val="none"/>
        </w:rPr>
      </w:pPr>
      <w:r>
        <w:rPr>
          <w:rFonts w:hint="eastAsia" w:ascii="宋体" w:hAnsi="宋体" w:cs="宋体"/>
          <w:color w:val="auto"/>
          <w:sz w:val="24"/>
          <w:highlight w:val="none"/>
        </w:rPr>
        <w:t>（九）无正当理由，拒绝履行合同义务;</w:t>
      </w:r>
    </w:p>
    <w:p w14:paraId="1459C4CF">
      <w:pPr>
        <w:spacing w:line="380" w:lineRule="exact"/>
        <w:rPr>
          <w:rFonts w:ascii="宋体" w:hAnsi="宋体" w:cs="宋体"/>
          <w:color w:val="auto"/>
          <w:sz w:val="24"/>
          <w:highlight w:val="none"/>
        </w:rPr>
      </w:pPr>
      <w:r>
        <w:rPr>
          <w:rFonts w:hint="eastAsia" w:ascii="宋体" w:hAnsi="宋体" w:cs="宋体"/>
          <w:color w:val="auto"/>
          <w:sz w:val="24"/>
          <w:highlight w:val="none"/>
        </w:rPr>
        <w:t>（十）无正当理由放弃中标（成交）项目;</w:t>
      </w:r>
    </w:p>
    <w:p w14:paraId="2D502FD8">
      <w:pPr>
        <w:spacing w:line="380" w:lineRule="exact"/>
        <w:rPr>
          <w:rFonts w:ascii="宋体" w:hAnsi="宋体" w:cs="宋体"/>
          <w:color w:val="auto"/>
          <w:sz w:val="24"/>
          <w:highlight w:val="none"/>
        </w:rPr>
      </w:pPr>
      <w:r>
        <w:rPr>
          <w:rFonts w:hint="eastAsia" w:ascii="宋体" w:hAnsi="宋体" w:cs="宋体"/>
          <w:color w:val="auto"/>
          <w:sz w:val="24"/>
          <w:highlight w:val="none"/>
        </w:rPr>
        <w:t>（十ー）撞自或与与采购人串通或接受采购人要求，在履约合同中通过减少货物数量，更换品牌、降低配置、技术要求、质量和服务标准等，却仍按原合同进行虚假验收或终止政府采购合同;</w:t>
      </w:r>
    </w:p>
    <w:p w14:paraId="5B411137">
      <w:pPr>
        <w:spacing w:line="380" w:lineRule="exact"/>
        <w:rPr>
          <w:rFonts w:ascii="宋体" w:hAnsi="宋体" w:cs="宋体"/>
          <w:color w:val="auto"/>
          <w:sz w:val="24"/>
          <w:highlight w:val="none"/>
        </w:rPr>
      </w:pPr>
      <w:r>
        <w:rPr>
          <w:rFonts w:hint="eastAsia" w:ascii="宋体" w:hAnsi="宋体" w:cs="宋体"/>
          <w:color w:val="auto"/>
          <w:sz w:val="24"/>
          <w:highlight w:val="none"/>
        </w:rPr>
        <w:t>（十二）与采购人串通，对尚未履约完毕的采购项目出具虚假验收报告；</w:t>
      </w:r>
    </w:p>
    <w:p w14:paraId="5E82FABC">
      <w:pPr>
        <w:spacing w:line="380" w:lineRule="exact"/>
        <w:rPr>
          <w:rFonts w:ascii="宋体" w:hAnsi="宋体" w:cs="宋体"/>
          <w:color w:val="auto"/>
          <w:sz w:val="24"/>
          <w:highlight w:val="none"/>
        </w:rPr>
      </w:pPr>
      <w:r>
        <w:rPr>
          <w:rFonts w:hint="eastAsia" w:ascii="宋体" w:hAnsi="宋体" w:cs="宋体"/>
          <w:color w:val="auto"/>
          <w:sz w:val="24"/>
          <w:highlight w:val="none"/>
        </w:rPr>
        <w:t>（十三）无不可抗力因素，拒绝提供售后服务、售后服务态度恶劣、故意提高维修配件价格（高于市场平均价）；</w:t>
      </w:r>
    </w:p>
    <w:p w14:paraId="1ADDAD69">
      <w:pPr>
        <w:spacing w:line="380" w:lineRule="exact"/>
        <w:rPr>
          <w:rFonts w:ascii="宋体" w:hAnsi="宋体" w:cs="宋体"/>
          <w:color w:val="auto"/>
          <w:sz w:val="24"/>
          <w:highlight w:val="none"/>
        </w:rPr>
      </w:pPr>
      <w:r>
        <w:rPr>
          <w:rFonts w:hint="eastAsia" w:ascii="宋体" w:hAnsi="宋体" w:cs="宋体"/>
          <w:color w:val="auto"/>
          <w:sz w:val="24"/>
          <w:highlight w:val="none"/>
        </w:rPr>
        <w:t>（十四）开标后对招标文件的相关内容再进行质疑；</w:t>
      </w:r>
    </w:p>
    <w:p w14:paraId="07074454">
      <w:pPr>
        <w:spacing w:line="380" w:lineRule="exact"/>
        <w:rPr>
          <w:rFonts w:ascii="宋体" w:hAnsi="宋体" w:cs="宋体"/>
          <w:color w:val="auto"/>
          <w:sz w:val="24"/>
          <w:highlight w:val="none"/>
        </w:rPr>
      </w:pPr>
      <w:r>
        <w:rPr>
          <w:rFonts w:hint="eastAsia" w:ascii="宋体" w:hAnsi="宋体" w:cs="宋体"/>
          <w:color w:val="auto"/>
          <w:sz w:val="24"/>
          <w:highlight w:val="none"/>
        </w:rPr>
        <w:t>（十五）恶意投诉的行为：投诉经查无实据的、捏造事实或者提供虚假设诉材料；</w:t>
      </w:r>
    </w:p>
    <w:p w14:paraId="0B6D807A">
      <w:pPr>
        <w:spacing w:line="380" w:lineRule="exact"/>
        <w:rPr>
          <w:rFonts w:ascii="宋体" w:hAnsi="宋体" w:cs="宋体"/>
          <w:color w:val="auto"/>
          <w:sz w:val="24"/>
          <w:highlight w:val="none"/>
        </w:rPr>
      </w:pPr>
      <w:r>
        <w:rPr>
          <w:rFonts w:hint="eastAsia" w:ascii="宋体" w:hAnsi="宋体" w:cs="宋体"/>
          <w:color w:val="auto"/>
          <w:sz w:val="24"/>
          <w:highlight w:val="none"/>
        </w:rPr>
        <w:t>（十六）拒绝有关部门监督检查或者提供虚假情况；</w:t>
      </w:r>
    </w:p>
    <w:p w14:paraId="0656FBAC">
      <w:pPr>
        <w:spacing w:line="380" w:lineRule="exact"/>
        <w:rPr>
          <w:rFonts w:ascii="宋体" w:hAnsi="宋体" w:cs="宋体"/>
          <w:color w:val="auto"/>
          <w:sz w:val="24"/>
          <w:highlight w:val="none"/>
        </w:rPr>
      </w:pPr>
      <w:r>
        <w:rPr>
          <w:rFonts w:hint="eastAsia" w:ascii="宋体" w:hAnsi="宋体" w:cs="宋体"/>
          <w:color w:val="auto"/>
          <w:sz w:val="24"/>
          <w:highlight w:val="none"/>
        </w:rPr>
        <w:t>（十七）政府采购监管部门认定的其他政府采购活动中的不诚信行为。</w:t>
      </w:r>
    </w:p>
    <w:p w14:paraId="06B086B6">
      <w:pPr>
        <w:spacing w:line="380" w:lineRule="exact"/>
        <w:ind w:firstLine="3360" w:firstLineChars="1400"/>
        <w:rPr>
          <w:rFonts w:ascii="宋体" w:hAnsi="宋体" w:cs="宋体"/>
          <w:color w:val="auto"/>
          <w:sz w:val="24"/>
          <w:highlight w:val="none"/>
        </w:rPr>
      </w:pPr>
    </w:p>
    <w:p w14:paraId="58E57923">
      <w:pPr>
        <w:spacing w:line="380" w:lineRule="exact"/>
        <w:ind w:firstLine="3360" w:firstLineChars="1400"/>
        <w:rPr>
          <w:rFonts w:ascii="宋体" w:hAnsi="宋体" w:cs="宋体"/>
          <w:color w:val="auto"/>
          <w:sz w:val="24"/>
          <w:highlight w:val="none"/>
        </w:rPr>
      </w:pPr>
      <w:r>
        <w:rPr>
          <w:rFonts w:hint="eastAsia" w:ascii="宋体" w:hAnsi="宋体" w:cs="宋体"/>
          <w:color w:val="auto"/>
          <w:sz w:val="24"/>
          <w:highlight w:val="none"/>
        </w:rPr>
        <w:t>供应商名称：（盖章）</w:t>
      </w:r>
    </w:p>
    <w:p w14:paraId="42D09DC3">
      <w:pPr>
        <w:spacing w:line="380" w:lineRule="exact"/>
        <w:ind w:firstLine="3360" w:firstLineChars="1400"/>
        <w:rPr>
          <w:rFonts w:ascii="宋体" w:hAnsi="宋体" w:cs="宋体"/>
          <w:color w:val="auto"/>
          <w:sz w:val="24"/>
          <w:highlight w:val="none"/>
        </w:rPr>
      </w:pPr>
      <w:r>
        <w:rPr>
          <w:rFonts w:hint="eastAsia" w:ascii="宋体" w:hAnsi="宋体" w:cs="宋体"/>
          <w:color w:val="auto"/>
          <w:sz w:val="24"/>
          <w:highlight w:val="none"/>
        </w:rPr>
        <w:t>法定代表人：（签章）</w:t>
      </w:r>
    </w:p>
    <w:p w14:paraId="2A1F787D">
      <w:pPr>
        <w:spacing w:line="380" w:lineRule="exact"/>
        <w:ind w:firstLine="3360" w:firstLineChars="1400"/>
        <w:rPr>
          <w:rFonts w:ascii="宋体" w:hAnsi="宋体" w:cs="宋体"/>
          <w:color w:val="auto"/>
          <w:sz w:val="24"/>
          <w:highlight w:val="none"/>
        </w:rPr>
      </w:pPr>
    </w:p>
    <w:p w14:paraId="23F071B0">
      <w:pPr>
        <w:spacing w:line="380" w:lineRule="exact"/>
        <w:ind w:firstLine="3360" w:firstLineChars="1400"/>
        <w:rPr>
          <w:rFonts w:ascii="宋体" w:hAnsi="宋体" w:cs="宋体"/>
          <w:b/>
          <w:color w:val="auto"/>
          <w:sz w:val="24"/>
          <w:highlight w:val="none"/>
        </w:rPr>
      </w:pPr>
      <w:r>
        <w:rPr>
          <w:rFonts w:hint="eastAsia" w:ascii="宋体" w:hAnsi="宋体" w:cs="宋体"/>
          <w:color w:val="auto"/>
          <w:sz w:val="24"/>
          <w:highlight w:val="none"/>
        </w:rPr>
        <w:t>日期：年月日</w:t>
      </w:r>
    </w:p>
    <w:p w14:paraId="2CD12D0F">
      <w:pPr>
        <w:pStyle w:val="36"/>
        <w:ind w:firstLine="0" w:firstLineChars="0"/>
        <w:rPr>
          <w:rFonts w:ascii="宋体" w:hAnsi="宋体" w:cs="宋体"/>
          <w:b/>
          <w:color w:val="auto"/>
          <w:sz w:val="24"/>
          <w:highlight w:val="none"/>
        </w:rPr>
      </w:pPr>
    </w:p>
    <w:p w14:paraId="477880DE">
      <w:pPr>
        <w:spacing w:line="360" w:lineRule="auto"/>
        <w:rPr>
          <w:rFonts w:ascii="宋体" w:hAnsi="宋体" w:cs="宋体"/>
          <w:b/>
          <w:bCs/>
          <w:color w:val="auto"/>
          <w:sz w:val="24"/>
          <w:highlight w:val="none"/>
        </w:rPr>
      </w:pPr>
    </w:p>
    <w:p w14:paraId="085FA98B">
      <w:pPr>
        <w:pStyle w:val="3"/>
        <w:spacing w:line="500" w:lineRule="exact"/>
        <w:rPr>
          <w:rFonts w:ascii="宋体" w:hAnsi="宋体" w:cs="宋体"/>
          <w:b/>
          <w:color w:val="auto"/>
          <w:sz w:val="32"/>
          <w:szCs w:val="32"/>
          <w:highlight w:val="none"/>
        </w:rPr>
      </w:pPr>
      <w:r>
        <w:rPr>
          <w:rFonts w:hint="eastAsia" w:ascii="宋体" w:hAnsi="宋体" w:cs="宋体"/>
          <w:b/>
          <w:color w:val="auto"/>
          <w:sz w:val="32"/>
          <w:szCs w:val="32"/>
          <w:highlight w:val="none"/>
        </w:rPr>
        <w:t xml:space="preserve">第五章  </w:t>
      </w:r>
      <w:r>
        <w:rPr>
          <w:rFonts w:hint="eastAsia" w:ascii="宋体" w:hAnsi="宋体" w:cs="宋体"/>
          <w:b/>
          <w:color w:val="auto"/>
          <w:w w:val="92"/>
          <w:sz w:val="32"/>
          <w:szCs w:val="32"/>
          <w:highlight w:val="none"/>
        </w:rPr>
        <w:t>周口市</w:t>
      </w:r>
      <w:r>
        <w:rPr>
          <w:rFonts w:hint="eastAsia" w:ascii="宋体" w:hAnsi="宋体" w:cs="宋体"/>
          <w:b/>
          <w:color w:val="auto"/>
          <w:sz w:val="32"/>
          <w:szCs w:val="32"/>
          <w:highlight w:val="none"/>
        </w:rPr>
        <w:t>政府采购合同（服务类）标准文本</w:t>
      </w:r>
    </w:p>
    <w:p w14:paraId="6DE6D7D4">
      <w:pPr>
        <w:ind w:firstLine="640" w:firstLineChars="200"/>
        <w:rPr>
          <w:rFonts w:ascii="宋体" w:hAnsi="宋体" w:cs="宋体"/>
          <w:color w:val="auto"/>
          <w:sz w:val="32"/>
          <w:szCs w:val="32"/>
          <w:highlight w:val="none"/>
        </w:rPr>
      </w:pPr>
    </w:p>
    <w:p w14:paraId="577AFEC6">
      <w:pPr>
        <w:pStyle w:val="80"/>
        <w:spacing w:beforeLines="0" w:afterLines="0"/>
        <w:ind w:left="0" w:firstLine="640" w:firstLineChars="200"/>
        <w:rPr>
          <w:rFonts w:ascii="宋体" w:hAnsi="宋体" w:cs="宋体"/>
          <w:color w:val="auto"/>
          <w:sz w:val="32"/>
          <w:szCs w:val="32"/>
          <w:highlight w:val="none"/>
        </w:rPr>
      </w:pPr>
    </w:p>
    <w:p w14:paraId="5A23D4B6">
      <w:pPr>
        <w:pStyle w:val="80"/>
        <w:spacing w:beforeLines="0" w:afterLines="0"/>
        <w:ind w:left="0" w:firstLine="640" w:firstLineChars="200"/>
        <w:rPr>
          <w:rFonts w:ascii="宋体" w:hAnsi="宋体" w:cs="宋体"/>
          <w:color w:val="auto"/>
          <w:sz w:val="32"/>
          <w:szCs w:val="32"/>
          <w:highlight w:val="none"/>
        </w:rPr>
      </w:pPr>
    </w:p>
    <w:p w14:paraId="039CFAE9">
      <w:pPr>
        <w:pStyle w:val="80"/>
        <w:spacing w:beforeLines="0" w:afterLines="0"/>
        <w:ind w:left="0" w:firstLine="600" w:firstLineChars="200"/>
        <w:rPr>
          <w:rFonts w:ascii="宋体" w:hAnsi="宋体" w:cs="宋体"/>
          <w:color w:val="auto"/>
          <w:sz w:val="30"/>
          <w:szCs w:val="30"/>
          <w:highlight w:val="none"/>
        </w:rPr>
      </w:pPr>
    </w:p>
    <w:p w14:paraId="76CF0561">
      <w:pPr>
        <w:pStyle w:val="80"/>
        <w:spacing w:beforeLines="0" w:afterLines="0"/>
        <w:ind w:left="0" w:firstLine="600" w:firstLineChars="200"/>
        <w:rPr>
          <w:rFonts w:ascii="宋体" w:hAnsi="宋体" w:cs="宋体"/>
          <w:color w:val="auto"/>
          <w:sz w:val="30"/>
          <w:szCs w:val="30"/>
          <w:highlight w:val="none"/>
        </w:rPr>
      </w:pPr>
    </w:p>
    <w:p w14:paraId="4833552D">
      <w:pPr>
        <w:pStyle w:val="80"/>
        <w:spacing w:beforeLines="0" w:afterLines="0"/>
        <w:ind w:left="0" w:firstLine="600" w:firstLineChars="200"/>
        <w:rPr>
          <w:rFonts w:ascii="宋体" w:hAnsi="宋体" w:cs="宋体"/>
          <w:color w:val="auto"/>
          <w:sz w:val="30"/>
          <w:szCs w:val="30"/>
          <w:highlight w:val="none"/>
        </w:rPr>
      </w:pPr>
    </w:p>
    <w:p w14:paraId="2CF9ADF5">
      <w:pPr>
        <w:pStyle w:val="80"/>
        <w:spacing w:beforeLines="0" w:afterLines="0"/>
        <w:ind w:left="0" w:firstLine="600" w:firstLineChars="200"/>
        <w:rPr>
          <w:rFonts w:ascii="宋体" w:hAnsi="宋体" w:cs="宋体"/>
          <w:color w:val="auto"/>
          <w:sz w:val="30"/>
          <w:szCs w:val="30"/>
          <w:highlight w:val="none"/>
        </w:rPr>
      </w:pPr>
    </w:p>
    <w:p w14:paraId="61C38479">
      <w:pPr>
        <w:pStyle w:val="80"/>
        <w:spacing w:beforeLines="0" w:afterLines="0"/>
        <w:ind w:left="0" w:firstLine="600" w:firstLineChars="200"/>
        <w:rPr>
          <w:rFonts w:ascii="宋体" w:hAnsi="宋体" w:cs="宋体"/>
          <w:color w:val="auto"/>
          <w:sz w:val="30"/>
          <w:szCs w:val="30"/>
          <w:highlight w:val="none"/>
        </w:rPr>
      </w:pPr>
    </w:p>
    <w:p w14:paraId="26E93662">
      <w:pPr>
        <w:pStyle w:val="80"/>
        <w:spacing w:beforeLines="0" w:afterLines="0"/>
        <w:ind w:left="0" w:firstLine="600" w:firstLineChars="200"/>
        <w:rPr>
          <w:rFonts w:ascii="宋体" w:hAnsi="宋体" w:cs="宋体"/>
          <w:color w:val="auto"/>
          <w:sz w:val="30"/>
          <w:szCs w:val="30"/>
          <w:highlight w:val="none"/>
        </w:rPr>
      </w:pPr>
    </w:p>
    <w:p w14:paraId="1C6F6D33">
      <w:pPr>
        <w:pStyle w:val="80"/>
        <w:spacing w:beforeLines="0" w:afterLines="0"/>
        <w:ind w:left="0" w:firstLine="600" w:firstLineChars="200"/>
        <w:rPr>
          <w:rFonts w:ascii="宋体" w:hAnsi="宋体" w:cs="宋体"/>
          <w:color w:val="auto"/>
          <w:sz w:val="30"/>
          <w:szCs w:val="30"/>
          <w:highlight w:val="none"/>
        </w:rPr>
      </w:pPr>
      <w:r>
        <w:rPr>
          <w:rFonts w:hint="eastAsia" w:ascii="宋体" w:hAnsi="宋体" w:cs="宋体"/>
          <w:color w:val="auto"/>
          <w:sz w:val="30"/>
          <w:szCs w:val="30"/>
          <w:highlight w:val="none"/>
        </w:rPr>
        <w:t>政府采购项目名称：</w:t>
      </w:r>
    </w:p>
    <w:p w14:paraId="41D45E99">
      <w:pPr>
        <w:pStyle w:val="80"/>
        <w:spacing w:beforeLines="0" w:afterLines="0"/>
        <w:ind w:left="0" w:firstLine="600" w:firstLineChars="200"/>
        <w:rPr>
          <w:rFonts w:ascii="宋体" w:hAnsi="宋体" w:cs="宋体"/>
          <w:color w:val="auto"/>
          <w:sz w:val="30"/>
          <w:szCs w:val="30"/>
          <w:highlight w:val="none"/>
        </w:rPr>
      </w:pPr>
      <w:r>
        <w:rPr>
          <w:rFonts w:hint="eastAsia" w:ascii="宋体" w:hAnsi="宋体" w:cs="宋体"/>
          <w:color w:val="auto"/>
          <w:sz w:val="30"/>
          <w:szCs w:val="30"/>
          <w:highlight w:val="none"/>
        </w:rPr>
        <w:t>政府采购项目编号：</w:t>
      </w:r>
    </w:p>
    <w:p w14:paraId="72B84B5A">
      <w:pPr>
        <w:pStyle w:val="80"/>
        <w:spacing w:beforeLines="0" w:afterLines="0"/>
        <w:ind w:left="0" w:firstLine="600" w:firstLineChars="200"/>
        <w:rPr>
          <w:rFonts w:ascii="宋体" w:hAnsi="宋体" w:cs="宋体"/>
          <w:color w:val="auto"/>
          <w:sz w:val="30"/>
          <w:szCs w:val="30"/>
          <w:highlight w:val="none"/>
        </w:rPr>
      </w:pPr>
      <w:r>
        <w:rPr>
          <w:rFonts w:hint="eastAsia" w:ascii="宋体" w:hAnsi="宋体" w:cs="宋体"/>
          <w:color w:val="auto"/>
          <w:sz w:val="30"/>
          <w:szCs w:val="30"/>
          <w:highlight w:val="none"/>
        </w:rPr>
        <w:t>采      购    人：</w:t>
      </w:r>
    </w:p>
    <w:p w14:paraId="674E630E">
      <w:pPr>
        <w:pStyle w:val="80"/>
        <w:spacing w:beforeLines="0" w:afterLines="0"/>
        <w:ind w:left="0" w:firstLine="600" w:firstLineChars="200"/>
        <w:rPr>
          <w:rFonts w:ascii="宋体" w:hAnsi="宋体" w:cs="宋体"/>
          <w:color w:val="auto"/>
          <w:sz w:val="30"/>
          <w:szCs w:val="30"/>
          <w:highlight w:val="none"/>
        </w:rPr>
      </w:pPr>
      <w:r>
        <w:rPr>
          <w:rFonts w:hint="eastAsia" w:ascii="宋体" w:hAnsi="宋体" w:cs="宋体"/>
          <w:color w:val="auto"/>
          <w:sz w:val="30"/>
          <w:szCs w:val="30"/>
          <w:highlight w:val="none"/>
        </w:rPr>
        <w:t>供      应    商：</w:t>
      </w:r>
    </w:p>
    <w:p w14:paraId="084F0801">
      <w:pPr>
        <w:pStyle w:val="80"/>
        <w:spacing w:beforeLines="0" w:afterLines="0"/>
        <w:ind w:left="0" w:firstLine="600" w:firstLineChars="200"/>
        <w:rPr>
          <w:rFonts w:ascii="宋体" w:hAnsi="宋体" w:cs="宋体"/>
          <w:color w:val="auto"/>
          <w:sz w:val="30"/>
          <w:szCs w:val="30"/>
          <w:highlight w:val="none"/>
        </w:rPr>
      </w:pPr>
      <w:r>
        <w:rPr>
          <w:rFonts w:hint="eastAsia" w:ascii="宋体" w:hAnsi="宋体" w:cs="宋体"/>
          <w:color w:val="auto"/>
          <w:sz w:val="30"/>
          <w:szCs w:val="30"/>
          <w:highlight w:val="none"/>
        </w:rPr>
        <w:t>合  同  签 订 地：</w:t>
      </w:r>
    </w:p>
    <w:p w14:paraId="5231673E">
      <w:pPr>
        <w:pStyle w:val="80"/>
        <w:spacing w:beforeLines="0" w:afterLines="0"/>
        <w:ind w:left="0" w:firstLine="600" w:firstLineChars="200"/>
        <w:rPr>
          <w:rFonts w:ascii="宋体" w:hAnsi="宋体" w:cs="宋体"/>
          <w:color w:val="auto"/>
          <w:sz w:val="30"/>
          <w:szCs w:val="30"/>
          <w:highlight w:val="none"/>
        </w:rPr>
      </w:pPr>
      <w:r>
        <w:rPr>
          <w:rFonts w:hint="eastAsia" w:ascii="宋体" w:hAnsi="宋体" w:cs="宋体"/>
          <w:color w:val="auto"/>
          <w:sz w:val="30"/>
          <w:szCs w:val="30"/>
          <w:highlight w:val="none"/>
        </w:rPr>
        <w:t>合 同 签订 时 间：</w:t>
      </w:r>
    </w:p>
    <w:p w14:paraId="58F4908D">
      <w:pPr>
        <w:pStyle w:val="80"/>
        <w:spacing w:beforeLines="0" w:afterLines="0"/>
        <w:ind w:left="0" w:firstLine="600" w:firstLineChars="200"/>
        <w:rPr>
          <w:rFonts w:ascii="宋体" w:hAnsi="宋体" w:cs="宋体"/>
          <w:color w:val="auto"/>
          <w:sz w:val="30"/>
          <w:szCs w:val="30"/>
          <w:highlight w:val="none"/>
        </w:rPr>
      </w:pPr>
    </w:p>
    <w:p w14:paraId="5E40E8B2">
      <w:pPr>
        <w:pStyle w:val="80"/>
        <w:spacing w:beforeLines="0" w:afterLines="0"/>
        <w:ind w:left="0" w:firstLine="600" w:firstLineChars="200"/>
        <w:rPr>
          <w:rFonts w:ascii="宋体" w:hAnsi="宋体" w:cs="宋体"/>
          <w:color w:val="auto"/>
          <w:sz w:val="30"/>
          <w:szCs w:val="30"/>
          <w:highlight w:val="none"/>
        </w:rPr>
      </w:pPr>
    </w:p>
    <w:p w14:paraId="6B244133">
      <w:pPr>
        <w:pStyle w:val="80"/>
        <w:spacing w:beforeLines="0" w:afterLines="0"/>
        <w:ind w:left="0" w:firstLine="600" w:firstLineChars="200"/>
        <w:rPr>
          <w:rFonts w:ascii="宋体" w:hAnsi="宋体" w:cs="宋体"/>
          <w:color w:val="auto"/>
          <w:sz w:val="30"/>
          <w:szCs w:val="30"/>
          <w:highlight w:val="none"/>
        </w:rPr>
      </w:pPr>
    </w:p>
    <w:p w14:paraId="7ECC161A">
      <w:pPr>
        <w:pStyle w:val="80"/>
        <w:spacing w:beforeLines="0" w:afterLines="0"/>
        <w:ind w:left="0" w:firstLine="600" w:firstLineChars="200"/>
        <w:rPr>
          <w:rFonts w:ascii="宋体" w:hAnsi="宋体" w:cs="宋体"/>
          <w:color w:val="auto"/>
          <w:sz w:val="30"/>
          <w:szCs w:val="30"/>
          <w:highlight w:val="none"/>
        </w:rPr>
      </w:pPr>
    </w:p>
    <w:p w14:paraId="4FB017A8">
      <w:pPr>
        <w:pStyle w:val="80"/>
        <w:spacing w:beforeLines="0" w:afterLines="0"/>
        <w:ind w:left="0" w:firstLine="600" w:firstLineChars="200"/>
        <w:rPr>
          <w:rFonts w:ascii="宋体" w:hAnsi="宋体" w:cs="宋体"/>
          <w:color w:val="auto"/>
          <w:sz w:val="30"/>
          <w:szCs w:val="30"/>
          <w:highlight w:val="none"/>
        </w:rPr>
      </w:pPr>
    </w:p>
    <w:p w14:paraId="652479D9">
      <w:pPr>
        <w:pStyle w:val="80"/>
        <w:spacing w:beforeLines="0" w:afterLines="0"/>
        <w:ind w:left="0" w:firstLine="600" w:firstLineChars="200"/>
        <w:rPr>
          <w:rFonts w:ascii="宋体" w:hAnsi="宋体" w:cs="宋体"/>
          <w:color w:val="auto"/>
          <w:sz w:val="30"/>
          <w:szCs w:val="30"/>
          <w:highlight w:val="none"/>
        </w:rPr>
      </w:pPr>
    </w:p>
    <w:p w14:paraId="749DF21D">
      <w:pPr>
        <w:pStyle w:val="80"/>
        <w:spacing w:beforeLines="0" w:afterLines="0" w:line="440" w:lineRule="exact"/>
        <w:ind w:left="0"/>
        <w:jc w:val="center"/>
        <w:rPr>
          <w:rFonts w:ascii="宋体" w:hAnsi="宋体" w:cs="宋体"/>
          <w:color w:val="auto"/>
          <w:sz w:val="32"/>
          <w:szCs w:val="32"/>
          <w:highlight w:val="none"/>
        </w:rPr>
      </w:pPr>
    </w:p>
    <w:p w14:paraId="7DC6297C">
      <w:pPr>
        <w:pStyle w:val="80"/>
        <w:spacing w:beforeLines="0" w:afterLines="0" w:line="440" w:lineRule="exact"/>
        <w:ind w:left="0"/>
        <w:jc w:val="center"/>
        <w:rPr>
          <w:rFonts w:ascii="宋体" w:hAnsi="宋体" w:cs="宋体"/>
          <w:color w:val="auto"/>
          <w:sz w:val="32"/>
          <w:szCs w:val="32"/>
          <w:highlight w:val="none"/>
        </w:rPr>
      </w:pPr>
      <w:r>
        <w:rPr>
          <w:rFonts w:hint="eastAsia" w:ascii="宋体" w:hAnsi="宋体" w:cs="宋体"/>
          <w:color w:val="auto"/>
          <w:sz w:val="32"/>
          <w:szCs w:val="32"/>
          <w:highlight w:val="none"/>
        </w:rPr>
        <w:t>合同签订指引</w:t>
      </w:r>
    </w:p>
    <w:p w14:paraId="4479F0DD">
      <w:pPr>
        <w:pStyle w:val="80"/>
        <w:spacing w:beforeLines="0" w:afterLines="0" w:line="440" w:lineRule="exact"/>
        <w:ind w:left="0"/>
        <w:rPr>
          <w:rFonts w:ascii="宋体" w:hAnsi="宋体" w:cs="宋体"/>
          <w:color w:val="auto"/>
          <w:sz w:val="30"/>
          <w:szCs w:val="30"/>
          <w:highlight w:val="none"/>
        </w:rPr>
      </w:pPr>
    </w:p>
    <w:p w14:paraId="0542176D">
      <w:pPr>
        <w:pStyle w:val="80"/>
        <w:spacing w:beforeLines="0" w:afterLines="0" w:line="440" w:lineRule="exact"/>
        <w:ind w:left="0" w:firstLine="420" w:firstLineChars="200"/>
        <w:rPr>
          <w:rFonts w:ascii="宋体" w:hAnsi="宋体" w:cs="宋体"/>
          <w:color w:val="auto"/>
          <w:szCs w:val="21"/>
          <w:highlight w:val="none"/>
        </w:rPr>
      </w:pPr>
      <w:r>
        <w:rPr>
          <w:rFonts w:hint="eastAsia" w:ascii="宋体" w:hAnsi="宋体" w:cs="宋体"/>
          <w:color w:val="auto"/>
          <w:szCs w:val="21"/>
          <w:highlight w:val="none"/>
        </w:rPr>
        <w:t>一、采购人在签订合同时应提供的资料：</w:t>
      </w:r>
    </w:p>
    <w:p w14:paraId="25A28558">
      <w:pPr>
        <w:pStyle w:val="80"/>
        <w:spacing w:beforeLines="0" w:afterLines="0" w:line="440" w:lineRule="exact"/>
        <w:ind w:left="0" w:firstLine="420" w:firstLineChars="200"/>
        <w:rPr>
          <w:rFonts w:ascii="宋体" w:hAnsi="宋体" w:cs="宋体"/>
          <w:color w:val="auto"/>
          <w:szCs w:val="21"/>
          <w:highlight w:val="none"/>
        </w:rPr>
      </w:pPr>
      <w:r>
        <w:rPr>
          <w:rFonts w:hint="eastAsia" w:ascii="宋体" w:hAnsi="宋体" w:cs="宋体"/>
          <w:color w:val="auto"/>
          <w:szCs w:val="21"/>
          <w:highlight w:val="none"/>
        </w:rPr>
        <w:t>1、该政府采购项目的招标采购文件（以网上发布内容为准）；</w:t>
      </w:r>
    </w:p>
    <w:p w14:paraId="0934F221">
      <w:pPr>
        <w:pStyle w:val="80"/>
        <w:spacing w:beforeLines="0" w:afterLines="0" w:line="440" w:lineRule="exact"/>
        <w:ind w:left="0" w:firstLine="420" w:firstLineChars="200"/>
        <w:rPr>
          <w:rFonts w:ascii="宋体" w:hAnsi="宋体" w:cs="宋体"/>
          <w:color w:val="auto"/>
          <w:szCs w:val="21"/>
          <w:highlight w:val="none"/>
        </w:rPr>
      </w:pPr>
      <w:r>
        <w:rPr>
          <w:rFonts w:hint="eastAsia" w:ascii="宋体" w:hAnsi="宋体" w:cs="宋体"/>
          <w:color w:val="auto"/>
          <w:szCs w:val="21"/>
          <w:highlight w:val="none"/>
        </w:rPr>
        <w:t>2、该政府采购项目招标文件的澄清和修改内容（公告内容）；</w:t>
      </w:r>
    </w:p>
    <w:p w14:paraId="19945B98">
      <w:pPr>
        <w:pStyle w:val="80"/>
        <w:spacing w:beforeLines="0" w:afterLines="0" w:line="440" w:lineRule="exact"/>
        <w:ind w:left="0" w:firstLine="420" w:firstLineChars="200"/>
        <w:rPr>
          <w:rFonts w:ascii="宋体" w:hAnsi="宋体" w:cs="宋体"/>
          <w:color w:val="auto"/>
          <w:szCs w:val="21"/>
          <w:highlight w:val="none"/>
        </w:rPr>
      </w:pPr>
      <w:r>
        <w:rPr>
          <w:rFonts w:hint="eastAsia" w:ascii="宋体" w:hAnsi="宋体" w:cs="宋体"/>
          <w:color w:val="auto"/>
          <w:szCs w:val="21"/>
          <w:highlight w:val="none"/>
        </w:rPr>
        <w:t>3、该政府采购项目评审报告；</w:t>
      </w:r>
    </w:p>
    <w:p w14:paraId="5CE7BF02">
      <w:pPr>
        <w:pStyle w:val="80"/>
        <w:spacing w:beforeLines="0" w:afterLines="0" w:line="440" w:lineRule="exact"/>
        <w:ind w:left="0" w:firstLine="420" w:firstLineChars="200"/>
        <w:rPr>
          <w:rFonts w:ascii="宋体" w:hAnsi="宋体" w:cs="宋体"/>
          <w:color w:val="auto"/>
          <w:szCs w:val="21"/>
          <w:highlight w:val="none"/>
        </w:rPr>
      </w:pPr>
      <w:r>
        <w:rPr>
          <w:rFonts w:hint="eastAsia" w:ascii="宋体" w:hAnsi="宋体" w:cs="宋体"/>
          <w:color w:val="auto"/>
          <w:szCs w:val="21"/>
          <w:highlight w:val="none"/>
        </w:rPr>
        <w:t>4、采购单位法人授权委托书（法人到场并签字的除外）；</w:t>
      </w:r>
    </w:p>
    <w:p w14:paraId="2E85BEE1">
      <w:pPr>
        <w:pStyle w:val="80"/>
        <w:spacing w:beforeLines="0" w:afterLines="0" w:line="440" w:lineRule="exact"/>
        <w:ind w:left="0" w:firstLine="420" w:firstLineChars="200"/>
        <w:rPr>
          <w:rFonts w:ascii="宋体" w:hAnsi="宋体" w:cs="宋体"/>
          <w:color w:val="auto"/>
          <w:szCs w:val="21"/>
          <w:highlight w:val="none"/>
        </w:rPr>
      </w:pPr>
      <w:r>
        <w:rPr>
          <w:rFonts w:hint="eastAsia" w:ascii="宋体" w:hAnsi="宋体" w:cs="宋体"/>
          <w:color w:val="auto"/>
          <w:szCs w:val="21"/>
          <w:highlight w:val="none"/>
        </w:rPr>
        <w:t>5、采购单位被授权人身份证件（法人到场并签字的除外）；</w:t>
      </w:r>
    </w:p>
    <w:p w14:paraId="52D5899D">
      <w:pPr>
        <w:pStyle w:val="80"/>
        <w:spacing w:beforeLines="0" w:afterLines="0" w:line="440" w:lineRule="exact"/>
        <w:ind w:left="0" w:firstLine="420" w:firstLineChars="200"/>
        <w:rPr>
          <w:rFonts w:ascii="宋体" w:hAnsi="宋体" w:cs="宋体"/>
          <w:color w:val="auto"/>
          <w:szCs w:val="21"/>
          <w:highlight w:val="none"/>
        </w:rPr>
      </w:pPr>
      <w:r>
        <w:rPr>
          <w:rFonts w:hint="eastAsia" w:ascii="宋体" w:hAnsi="宋体" w:cs="宋体"/>
          <w:color w:val="auto"/>
          <w:szCs w:val="21"/>
          <w:highlight w:val="none"/>
        </w:rPr>
        <w:t>6、采购人和中标供应商（或服务商，下同）约定的其它内容（不得超出招标采购文件实质性内容）。</w:t>
      </w:r>
    </w:p>
    <w:p w14:paraId="3978CE7D">
      <w:pPr>
        <w:pStyle w:val="80"/>
        <w:spacing w:beforeLines="0" w:afterLines="0" w:line="440" w:lineRule="exact"/>
        <w:ind w:left="0" w:firstLine="420" w:firstLineChars="200"/>
        <w:rPr>
          <w:rFonts w:ascii="宋体" w:hAnsi="宋体" w:cs="宋体"/>
          <w:color w:val="auto"/>
          <w:szCs w:val="21"/>
          <w:highlight w:val="none"/>
        </w:rPr>
      </w:pPr>
      <w:r>
        <w:rPr>
          <w:rFonts w:hint="eastAsia" w:ascii="宋体" w:hAnsi="宋体" w:cs="宋体"/>
          <w:color w:val="auto"/>
          <w:szCs w:val="21"/>
          <w:highlight w:val="none"/>
        </w:rPr>
        <w:t>二、供应商在签订合同时应提供的资料：</w:t>
      </w:r>
    </w:p>
    <w:p w14:paraId="31A9BEDF">
      <w:pPr>
        <w:pStyle w:val="80"/>
        <w:spacing w:beforeLines="0" w:afterLines="0" w:line="440" w:lineRule="exact"/>
        <w:ind w:left="0" w:firstLine="420" w:firstLineChars="200"/>
        <w:rPr>
          <w:rFonts w:ascii="宋体" w:hAnsi="宋体" w:cs="宋体"/>
          <w:color w:val="auto"/>
          <w:szCs w:val="21"/>
          <w:highlight w:val="none"/>
        </w:rPr>
      </w:pPr>
      <w:r>
        <w:rPr>
          <w:rFonts w:hint="eastAsia" w:ascii="宋体" w:hAnsi="宋体" w:cs="宋体"/>
          <w:color w:val="auto"/>
          <w:szCs w:val="21"/>
          <w:highlight w:val="none"/>
        </w:rPr>
        <w:t>1、该政府采购项目的投标文件（纸质或DPF格式的电子投标文件）；</w:t>
      </w:r>
    </w:p>
    <w:p w14:paraId="184818C3">
      <w:pPr>
        <w:pStyle w:val="80"/>
        <w:spacing w:beforeLines="0" w:afterLines="0" w:line="440" w:lineRule="exact"/>
        <w:ind w:left="0" w:firstLine="420" w:firstLineChars="200"/>
        <w:rPr>
          <w:rFonts w:ascii="宋体" w:hAnsi="宋体" w:cs="宋体"/>
          <w:color w:val="auto"/>
          <w:szCs w:val="21"/>
          <w:highlight w:val="none"/>
        </w:rPr>
      </w:pPr>
      <w:r>
        <w:rPr>
          <w:rFonts w:hint="eastAsia" w:ascii="宋体" w:hAnsi="宋体" w:cs="宋体"/>
          <w:color w:val="auto"/>
          <w:szCs w:val="21"/>
          <w:highlight w:val="none"/>
        </w:rPr>
        <w:t>2、针对该项目评审时评审委员会提出的质询答复（纸质并签章）；</w:t>
      </w:r>
    </w:p>
    <w:p w14:paraId="66E626A2">
      <w:pPr>
        <w:pStyle w:val="80"/>
        <w:spacing w:beforeLines="0" w:afterLines="0" w:line="440" w:lineRule="exact"/>
        <w:ind w:left="0" w:firstLine="420" w:firstLineChars="200"/>
        <w:rPr>
          <w:rFonts w:ascii="宋体" w:hAnsi="宋体" w:cs="宋体"/>
          <w:color w:val="auto"/>
          <w:szCs w:val="21"/>
          <w:highlight w:val="none"/>
        </w:rPr>
      </w:pPr>
      <w:r>
        <w:rPr>
          <w:rFonts w:hint="eastAsia" w:ascii="宋体" w:hAnsi="宋体" w:cs="宋体"/>
          <w:color w:val="auto"/>
          <w:szCs w:val="21"/>
          <w:highlight w:val="none"/>
        </w:rPr>
        <w:t>3、该政府采购项目中标通知书；</w:t>
      </w:r>
    </w:p>
    <w:p w14:paraId="4D00223E">
      <w:pPr>
        <w:pStyle w:val="80"/>
        <w:spacing w:beforeLines="0" w:afterLines="0" w:line="440" w:lineRule="exact"/>
        <w:ind w:left="0" w:firstLine="420" w:firstLineChars="200"/>
        <w:rPr>
          <w:rFonts w:ascii="宋体" w:hAnsi="宋体" w:cs="宋体"/>
          <w:color w:val="auto"/>
          <w:szCs w:val="21"/>
          <w:highlight w:val="none"/>
        </w:rPr>
      </w:pPr>
      <w:r>
        <w:rPr>
          <w:rFonts w:hint="eastAsia" w:ascii="宋体" w:hAnsi="宋体" w:cs="宋体"/>
          <w:color w:val="auto"/>
          <w:szCs w:val="21"/>
          <w:highlight w:val="none"/>
        </w:rPr>
        <w:t>4、供应商法人授权委托书（法人到场并签字的除外）；</w:t>
      </w:r>
    </w:p>
    <w:p w14:paraId="7BC141DF">
      <w:pPr>
        <w:pStyle w:val="80"/>
        <w:spacing w:beforeLines="0" w:afterLines="0" w:line="440" w:lineRule="exact"/>
        <w:ind w:left="0" w:firstLine="420" w:firstLineChars="200"/>
        <w:rPr>
          <w:rFonts w:ascii="宋体" w:hAnsi="宋体" w:cs="宋体"/>
          <w:color w:val="auto"/>
          <w:szCs w:val="21"/>
          <w:highlight w:val="none"/>
        </w:rPr>
      </w:pPr>
      <w:r>
        <w:rPr>
          <w:rFonts w:hint="eastAsia" w:ascii="宋体" w:hAnsi="宋体" w:cs="宋体"/>
          <w:color w:val="auto"/>
          <w:szCs w:val="21"/>
          <w:highlight w:val="none"/>
        </w:rPr>
        <w:t>5、供应商被授权人身份证件（法人到场并签字的除外）；</w:t>
      </w:r>
    </w:p>
    <w:p w14:paraId="77E99D2F">
      <w:pPr>
        <w:pStyle w:val="80"/>
        <w:spacing w:beforeLines="0" w:afterLines="0" w:line="440" w:lineRule="exact"/>
        <w:ind w:left="0" w:firstLine="420" w:firstLineChars="200"/>
        <w:rPr>
          <w:rFonts w:ascii="宋体" w:hAnsi="宋体" w:cs="宋体"/>
          <w:color w:val="auto"/>
          <w:szCs w:val="21"/>
          <w:highlight w:val="none"/>
        </w:rPr>
      </w:pPr>
      <w:r>
        <w:rPr>
          <w:rFonts w:hint="eastAsia" w:ascii="宋体" w:hAnsi="宋体" w:cs="宋体"/>
          <w:color w:val="auto"/>
          <w:szCs w:val="21"/>
          <w:highlight w:val="none"/>
        </w:rPr>
        <w:t>6、供应商和采购人约定的其它内容（不得超出招标采购文件实质性内容）。</w:t>
      </w:r>
    </w:p>
    <w:p w14:paraId="35EB8D34">
      <w:pPr>
        <w:pStyle w:val="80"/>
        <w:spacing w:beforeLines="0" w:afterLines="0" w:line="440" w:lineRule="exact"/>
        <w:ind w:left="0" w:firstLine="420" w:firstLineChars="200"/>
        <w:rPr>
          <w:rFonts w:ascii="宋体" w:hAnsi="宋体" w:cs="宋体"/>
          <w:color w:val="auto"/>
          <w:sz w:val="30"/>
          <w:szCs w:val="30"/>
          <w:highlight w:val="none"/>
        </w:rPr>
      </w:pPr>
      <w:r>
        <w:rPr>
          <w:rFonts w:hint="eastAsia" w:ascii="宋体" w:hAnsi="宋体" w:cs="宋体"/>
          <w:color w:val="auto"/>
          <w:szCs w:val="21"/>
          <w:highlight w:val="none"/>
        </w:rPr>
        <w:t>三、本合同签订后二个工作日内有采购人在“周口市政府采购网”上进行合同公示。</w:t>
      </w:r>
    </w:p>
    <w:p w14:paraId="556BF443">
      <w:pPr>
        <w:pStyle w:val="80"/>
        <w:spacing w:beforeLines="0" w:afterLines="0" w:line="440" w:lineRule="exact"/>
        <w:ind w:left="0"/>
        <w:jc w:val="center"/>
        <w:rPr>
          <w:rFonts w:ascii="宋体" w:hAnsi="宋体" w:cs="宋体"/>
          <w:bCs/>
          <w:color w:val="auto"/>
          <w:sz w:val="32"/>
          <w:szCs w:val="32"/>
          <w:highlight w:val="none"/>
        </w:rPr>
      </w:pPr>
    </w:p>
    <w:p w14:paraId="49E711C7">
      <w:pPr>
        <w:pStyle w:val="80"/>
        <w:spacing w:beforeLines="0" w:afterLines="0" w:line="440" w:lineRule="exact"/>
        <w:ind w:left="0"/>
        <w:jc w:val="center"/>
        <w:rPr>
          <w:rFonts w:ascii="宋体" w:hAnsi="宋体" w:cs="宋体"/>
          <w:color w:val="auto"/>
          <w:sz w:val="32"/>
          <w:szCs w:val="32"/>
          <w:highlight w:val="none"/>
        </w:rPr>
      </w:pPr>
      <w:r>
        <w:rPr>
          <w:rFonts w:hint="eastAsia" w:ascii="宋体" w:hAnsi="宋体" w:cs="宋体"/>
          <w:bCs/>
          <w:color w:val="auto"/>
          <w:sz w:val="32"/>
          <w:szCs w:val="32"/>
          <w:highlight w:val="none"/>
        </w:rPr>
        <w:t>供应商履约验收指引</w:t>
      </w:r>
    </w:p>
    <w:p w14:paraId="4EC89484">
      <w:pPr>
        <w:pStyle w:val="80"/>
        <w:spacing w:beforeLines="0" w:afterLines="0" w:line="440" w:lineRule="exact"/>
        <w:ind w:left="0" w:firstLine="420" w:firstLineChars="200"/>
        <w:rPr>
          <w:rFonts w:ascii="宋体" w:hAnsi="宋体" w:cs="宋体"/>
          <w:color w:val="auto"/>
          <w:szCs w:val="27"/>
          <w:highlight w:val="none"/>
        </w:rPr>
      </w:pPr>
      <w:r>
        <w:rPr>
          <w:rFonts w:hint="eastAsia" w:ascii="宋体" w:hAnsi="宋体" w:cs="宋体"/>
          <w:color w:val="auto"/>
          <w:szCs w:val="21"/>
          <w:highlight w:val="none"/>
        </w:rPr>
        <w:t>1、供应商不得擅自变更合同标的服务内容；</w:t>
      </w:r>
    </w:p>
    <w:p w14:paraId="4F16FE96">
      <w:pPr>
        <w:pStyle w:val="80"/>
        <w:spacing w:beforeLines="0" w:afterLines="0" w:line="440" w:lineRule="exact"/>
        <w:ind w:left="0" w:firstLine="420" w:firstLineChars="200"/>
        <w:rPr>
          <w:rFonts w:ascii="宋体" w:hAnsi="宋体" w:cs="宋体"/>
          <w:color w:val="auto"/>
          <w:szCs w:val="21"/>
          <w:highlight w:val="none"/>
        </w:rPr>
      </w:pPr>
      <w:r>
        <w:rPr>
          <w:rFonts w:hint="eastAsia" w:ascii="宋体" w:hAnsi="宋体" w:cs="宋体"/>
          <w:color w:val="auto"/>
          <w:szCs w:val="21"/>
          <w:highlight w:val="none"/>
        </w:rPr>
        <w:t>2、不得以次充优，随意降低服务标准和水平；</w:t>
      </w:r>
    </w:p>
    <w:p w14:paraId="62D08E65">
      <w:pPr>
        <w:pStyle w:val="80"/>
        <w:spacing w:beforeLines="0" w:afterLines="0" w:line="440" w:lineRule="exact"/>
        <w:ind w:left="0" w:firstLine="420" w:firstLineChars="200"/>
        <w:rPr>
          <w:rFonts w:ascii="宋体" w:hAnsi="宋体" w:cs="宋体"/>
          <w:color w:val="auto"/>
          <w:szCs w:val="21"/>
          <w:highlight w:val="none"/>
        </w:rPr>
      </w:pPr>
      <w:r>
        <w:rPr>
          <w:rFonts w:hint="eastAsia" w:ascii="宋体" w:hAnsi="宋体" w:cs="宋体"/>
          <w:color w:val="auto"/>
          <w:szCs w:val="21"/>
          <w:highlight w:val="none"/>
        </w:rPr>
        <w:t>3、对因客观上采购人采购需求发生变化造成的，应提供采、供双方的纸质备忘录材料；</w:t>
      </w:r>
    </w:p>
    <w:p w14:paraId="68C775E4">
      <w:pPr>
        <w:pStyle w:val="80"/>
        <w:spacing w:beforeLines="0" w:afterLines="0" w:line="440" w:lineRule="exact"/>
        <w:ind w:left="0" w:firstLine="420" w:firstLineChars="200"/>
        <w:rPr>
          <w:rFonts w:ascii="宋体" w:hAnsi="宋体" w:cs="宋体"/>
          <w:color w:val="auto"/>
          <w:szCs w:val="21"/>
          <w:highlight w:val="none"/>
        </w:rPr>
      </w:pPr>
      <w:r>
        <w:rPr>
          <w:rFonts w:hint="eastAsia" w:ascii="宋体" w:hAnsi="宋体" w:cs="宋体"/>
          <w:color w:val="auto"/>
          <w:szCs w:val="21"/>
          <w:highlight w:val="none"/>
        </w:rPr>
        <w:t>4、在满足验收条件5个工作日内通知采购人组织验收；</w:t>
      </w:r>
    </w:p>
    <w:p w14:paraId="335605E6">
      <w:pPr>
        <w:pStyle w:val="80"/>
        <w:spacing w:beforeLines="0" w:afterLines="0" w:line="440" w:lineRule="exact"/>
        <w:ind w:left="0" w:firstLine="420" w:firstLineChars="200"/>
        <w:rPr>
          <w:rFonts w:ascii="宋体" w:hAnsi="宋体" w:cs="宋体"/>
          <w:color w:val="auto"/>
          <w:szCs w:val="21"/>
          <w:highlight w:val="none"/>
        </w:rPr>
      </w:pPr>
      <w:r>
        <w:rPr>
          <w:rFonts w:hint="eastAsia" w:ascii="宋体" w:hAnsi="宋体" w:cs="宋体"/>
          <w:color w:val="auto"/>
          <w:szCs w:val="21"/>
          <w:highlight w:val="none"/>
        </w:rPr>
        <w:t>5、供应商应提供需验收服务的清单、标准、达到的水平等量化资料；</w:t>
      </w:r>
    </w:p>
    <w:p w14:paraId="03745B97">
      <w:pPr>
        <w:pStyle w:val="80"/>
        <w:spacing w:beforeLines="0" w:afterLines="0" w:line="440" w:lineRule="exact"/>
        <w:ind w:left="0" w:firstLine="420" w:firstLineChars="200"/>
        <w:rPr>
          <w:rFonts w:ascii="宋体" w:hAnsi="宋体" w:cs="宋体"/>
          <w:color w:val="auto"/>
          <w:szCs w:val="21"/>
          <w:highlight w:val="none"/>
        </w:rPr>
      </w:pPr>
      <w:r>
        <w:rPr>
          <w:rFonts w:hint="eastAsia" w:ascii="宋体" w:hAnsi="宋体" w:cs="宋体"/>
          <w:color w:val="auto"/>
          <w:szCs w:val="21"/>
          <w:highlight w:val="none"/>
        </w:rPr>
        <w:t>6、采、供双方约定的验收机构及相关人员组成情况。</w:t>
      </w:r>
    </w:p>
    <w:p w14:paraId="2D5E21DE">
      <w:pPr>
        <w:pStyle w:val="80"/>
        <w:spacing w:beforeLines="0" w:afterLines="0" w:line="440" w:lineRule="exact"/>
        <w:ind w:left="0" w:firstLine="420" w:firstLineChars="200"/>
        <w:rPr>
          <w:rFonts w:ascii="宋体" w:hAnsi="宋体" w:cs="宋体"/>
          <w:color w:val="auto"/>
          <w:szCs w:val="21"/>
          <w:highlight w:val="none"/>
        </w:rPr>
      </w:pPr>
      <w:r>
        <w:rPr>
          <w:rFonts w:hint="eastAsia" w:ascii="宋体" w:hAnsi="宋体" w:cs="宋体"/>
          <w:color w:val="auto"/>
          <w:szCs w:val="21"/>
          <w:highlight w:val="none"/>
        </w:rPr>
        <w:t>7、督促采购人在项目验收结束并达到相关要求后一个工作日内，在“周口市政府采购网”上进行“履约验收”公示。</w:t>
      </w:r>
    </w:p>
    <w:p w14:paraId="62947B7C">
      <w:pPr>
        <w:pStyle w:val="3"/>
        <w:spacing w:line="500" w:lineRule="exact"/>
        <w:jc w:val="both"/>
        <w:rPr>
          <w:rFonts w:ascii="宋体" w:hAnsi="宋体" w:cs="宋体"/>
          <w:color w:val="auto"/>
          <w:sz w:val="21"/>
          <w:szCs w:val="21"/>
          <w:highlight w:val="none"/>
        </w:rPr>
      </w:pPr>
    </w:p>
    <w:p w14:paraId="0A2282D7">
      <w:pPr>
        <w:pStyle w:val="3"/>
        <w:spacing w:line="500" w:lineRule="exact"/>
        <w:rPr>
          <w:rFonts w:ascii="宋体" w:hAnsi="宋体" w:cs="宋体"/>
          <w:color w:val="auto"/>
          <w:sz w:val="44"/>
          <w:szCs w:val="44"/>
          <w:highlight w:val="none"/>
        </w:rPr>
      </w:pPr>
    </w:p>
    <w:p w14:paraId="159930EC">
      <w:pPr>
        <w:pStyle w:val="3"/>
        <w:spacing w:line="500" w:lineRule="exact"/>
        <w:rPr>
          <w:rFonts w:ascii="宋体" w:hAnsi="宋体" w:cs="宋体"/>
          <w:color w:val="auto"/>
          <w:sz w:val="44"/>
          <w:szCs w:val="44"/>
          <w:highlight w:val="none"/>
        </w:rPr>
      </w:pPr>
    </w:p>
    <w:p w14:paraId="0BF09A7E">
      <w:pPr>
        <w:pStyle w:val="3"/>
        <w:spacing w:line="500" w:lineRule="exact"/>
        <w:rPr>
          <w:rFonts w:ascii="宋体" w:hAnsi="宋体" w:cs="宋体"/>
          <w:color w:val="auto"/>
          <w:sz w:val="44"/>
          <w:szCs w:val="44"/>
          <w:highlight w:val="none"/>
        </w:rPr>
      </w:pPr>
      <w:r>
        <w:rPr>
          <w:rFonts w:hint="eastAsia" w:ascii="宋体" w:hAnsi="宋体" w:cs="宋体"/>
          <w:color w:val="auto"/>
          <w:sz w:val="44"/>
          <w:szCs w:val="44"/>
          <w:highlight w:val="none"/>
        </w:rPr>
        <w:t>服务合同内容</w:t>
      </w:r>
    </w:p>
    <w:p w14:paraId="7193EBAC">
      <w:pPr>
        <w:spacing w:line="360" w:lineRule="auto"/>
        <w:ind w:firstLine="420" w:firstLineChars="200"/>
        <w:rPr>
          <w:rFonts w:ascii="宋体" w:hAnsi="宋体" w:cs="宋体"/>
          <w:color w:val="auto"/>
          <w:szCs w:val="27"/>
          <w:highlight w:val="none"/>
        </w:rPr>
      </w:pPr>
    </w:p>
    <w:p w14:paraId="57DDD75E">
      <w:pPr>
        <w:spacing w:line="360" w:lineRule="auto"/>
        <w:ind w:firstLine="420" w:firstLineChars="200"/>
        <w:rPr>
          <w:rFonts w:ascii="宋体" w:hAnsi="宋体" w:cs="宋体"/>
          <w:color w:val="auto"/>
          <w:szCs w:val="27"/>
          <w:highlight w:val="none"/>
          <w:u w:val="single"/>
        </w:rPr>
      </w:pPr>
      <w:r>
        <w:rPr>
          <w:rFonts w:hint="eastAsia" w:ascii="宋体" w:hAnsi="宋体" w:cs="宋体"/>
          <w:color w:val="auto"/>
          <w:szCs w:val="27"/>
          <w:highlight w:val="none"/>
        </w:rPr>
        <w:t xml:space="preserve">采购人（甲方）： </w:t>
      </w:r>
    </w:p>
    <w:p w14:paraId="3FF72216">
      <w:pPr>
        <w:spacing w:line="360" w:lineRule="auto"/>
        <w:ind w:firstLine="420" w:firstLineChars="200"/>
        <w:rPr>
          <w:rFonts w:ascii="宋体" w:hAnsi="宋体" w:cs="宋体"/>
          <w:color w:val="auto"/>
          <w:szCs w:val="27"/>
          <w:highlight w:val="none"/>
        </w:rPr>
      </w:pPr>
      <w:r>
        <w:rPr>
          <w:rFonts w:hint="eastAsia" w:ascii="宋体" w:hAnsi="宋体" w:cs="宋体"/>
          <w:color w:val="auto"/>
          <w:szCs w:val="27"/>
          <w:highlight w:val="none"/>
        </w:rPr>
        <w:t>供应商（乙方）：</w:t>
      </w:r>
    </w:p>
    <w:p w14:paraId="0F911D9B">
      <w:pPr>
        <w:spacing w:line="360" w:lineRule="auto"/>
        <w:ind w:firstLine="420" w:firstLineChars="200"/>
        <w:rPr>
          <w:rFonts w:ascii="宋体" w:hAnsi="宋体" w:cs="宋体"/>
          <w:color w:val="auto"/>
          <w:szCs w:val="27"/>
          <w:highlight w:val="none"/>
          <w:u w:val="single"/>
        </w:rPr>
      </w:pPr>
      <w:r>
        <w:rPr>
          <w:rFonts w:hint="eastAsia" w:ascii="宋体" w:hAnsi="宋体" w:cs="宋体"/>
          <w:color w:val="auto"/>
          <w:szCs w:val="27"/>
          <w:highlight w:val="none"/>
        </w:rPr>
        <w:t>签订地点：</w:t>
      </w:r>
    </w:p>
    <w:p w14:paraId="0B1F39C2">
      <w:pPr>
        <w:spacing w:line="360" w:lineRule="auto"/>
        <w:ind w:firstLine="420" w:firstLineChars="200"/>
        <w:rPr>
          <w:rFonts w:ascii="宋体" w:hAnsi="宋体" w:cs="宋体"/>
          <w:color w:val="auto"/>
          <w:szCs w:val="27"/>
          <w:highlight w:val="none"/>
          <w:u w:val="single"/>
        </w:rPr>
      </w:pPr>
      <w:r>
        <w:rPr>
          <w:rFonts w:hint="eastAsia" w:ascii="宋体" w:hAnsi="宋体" w:cs="宋体"/>
          <w:color w:val="auto"/>
          <w:szCs w:val="27"/>
          <w:highlight w:val="none"/>
        </w:rPr>
        <w:t>项目名称：</w:t>
      </w:r>
    </w:p>
    <w:p w14:paraId="23A74CA1">
      <w:pPr>
        <w:spacing w:line="360" w:lineRule="auto"/>
        <w:ind w:firstLine="420" w:firstLineChars="200"/>
        <w:rPr>
          <w:rFonts w:ascii="宋体" w:hAnsi="宋体" w:cs="宋体"/>
          <w:color w:val="auto"/>
          <w:szCs w:val="27"/>
          <w:highlight w:val="none"/>
          <w:u w:val="single"/>
        </w:rPr>
      </w:pPr>
      <w:r>
        <w:rPr>
          <w:rFonts w:hint="eastAsia" w:ascii="宋体" w:hAnsi="宋体" w:cs="宋体"/>
          <w:color w:val="auto"/>
          <w:szCs w:val="27"/>
          <w:highlight w:val="none"/>
        </w:rPr>
        <w:t>项目编号：</w:t>
      </w:r>
    </w:p>
    <w:p w14:paraId="7218DED4">
      <w:pPr>
        <w:spacing w:line="360" w:lineRule="auto"/>
        <w:ind w:firstLine="420" w:firstLineChars="200"/>
        <w:rPr>
          <w:rFonts w:ascii="宋体" w:hAnsi="宋体" w:cs="宋体"/>
          <w:color w:val="auto"/>
          <w:highlight w:val="none"/>
        </w:rPr>
      </w:pPr>
      <w:r>
        <w:rPr>
          <w:rFonts w:hint="eastAsia" w:ascii="宋体" w:hAnsi="宋体" w:cs="宋体"/>
          <w:color w:val="auto"/>
          <w:szCs w:val="27"/>
          <w:highlight w:val="none"/>
        </w:rPr>
        <w:t>财政委托号：</w:t>
      </w:r>
      <w:r>
        <w:rPr>
          <w:rFonts w:hint="eastAsia" w:ascii="宋体" w:hAnsi="宋体" w:cs="宋体"/>
          <w:color w:val="auto"/>
          <w:szCs w:val="27"/>
          <w:highlight w:val="none"/>
          <w:u w:val="single"/>
        </w:rPr>
        <w:t xml:space="preserve">      </w:t>
      </w:r>
      <w:r>
        <w:rPr>
          <w:rFonts w:hint="eastAsia" w:ascii="宋体" w:hAnsi="宋体" w:cs="宋体"/>
          <w:color w:val="auto"/>
          <w:szCs w:val="27"/>
          <w:highlight w:val="none"/>
        </w:rPr>
        <w:t>(财政资金项目必须填写)</w:t>
      </w:r>
    </w:p>
    <w:p w14:paraId="658314AF">
      <w:pPr>
        <w:spacing w:line="360" w:lineRule="auto"/>
        <w:ind w:firstLine="420" w:firstLineChars="200"/>
        <w:rPr>
          <w:rFonts w:ascii="宋体" w:hAnsi="宋体" w:cs="宋体"/>
          <w:color w:val="auto"/>
          <w:highlight w:val="none"/>
        </w:rPr>
      </w:pPr>
      <w:r>
        <w:rPr>
          <w:rFonts w:hint="eastAsia" w:ascii="宋体" w:hAnsi="宋体" w:cs="宋体"/>
          <w:color w:val="auto"/>
          <w:szCs w:val="27"/>
          <w:highlight w:val="none"/>
        </w:rPr>
        <w:t>本项目经批准采用</w:t>
      </w:r>
      <w:r>
        <w:rPr>
          <w:rFonts w:hint="eastAsia" w:ascii="宋体" w:hAnsi="宋体" w:cs="宋体"/>
          <w:color w:val="auto"/>
          <w:szCs w:val="27"/>
          <w:highlight w:val="none"/>
          <w:u w:val="single"/>
        </w:rPr>
        <w:t xml:space="preserve">           </w:t>
      </w:r>
      <w:r>
        <w:rPr>
          <w:rFonts w:hint="eastAsia" w:ascii="宋体" w:hAnsi="宋体" w:cs="宋体"/>
          <w:color w:val="auto"/>
          <w:szCs w:val="27"/>
          <w:highlight w:val="none"/>
        </w:rPr>
        <w:t>采购方式，经本项目评审委员会认真评审，决定将采购合同授予乙方。为进一步明确双方的责任，确保合同的顺利履行，根据《中华人民共和国政府采购法》、《中华人民共和国民法典》之规定，经甲乙双方充分协商，特订立本合同，以便共同遵守。</w:t>
      </w:r>
    </w:p>
    <w:p w14:paraId="05C80C1C">
      <w:pPr>
        <w:spacing w:line="360" w:lineRule="auto"/>
        <w:ind w:firstLine="422" w:firstLineChars="200"/>
        <w:rPr>
          <w:rFonts w:ascii="宋体" w:hAnsi="宋体" w:cs="宋体"/>
          <w:color w:val="auto"/>
          <w:highlight w:val="none"/>
          <w:u w:val="single"/>
        </w:rPr>
      </w:pPr>
      <w:r>
        <w:rPr>
          <w:rFonts w:hint="eastAsia" w:ascii="宋体" w:hAnsi="宋体" w:cs="宋体"/>
          <w:b/>
          <w:bCs/>
          <w:color w:val="auto"/>
          <w:szCs w:val="27"/>
          <w:highlight w:val="none"/>
        </w:rPr>
        <w:t>第一条</w:t>
      </w:r>
      <w:r>
        <w:rPr>
          <w:rFonts w:hint="eastAsia" w:ascii="宋体" w:hAnsi="宋体" w:cs="宋体"/>
          <w:color w:val="auto"/>
          <w:szCs w:val="27"/>
          <w:highlight w:val="none"/>
        </w:rPr>
        <w:t>   服务的内容、标准、数量和价格：（若服务项目过多则见附表，如有附表则必须加盖印章）</w:t>
      </w:r>
    </w:p>
    <w:tbl>
      <w:tblPr>
        <w:tblStyle w:val="27"/>
        <w:tblW w:w="883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3"/>
        <w:gridCol w:w="1623"/>
        <w:gridCol w:w="902"/>
        <w:gridCol w:w="902"/>
        <w:gridCol w:w="1071"/>
        <w:gridCol w:w="1250"/>
        <w:gridCol w:w="1106"/>
      </w:tblGrid>
      <w:tr w14:paraId="2BF78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tcPr>
          <w:p w14:paraId="185783CA">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服务内容</w:t>
            </w:r>
          </w:p>
        </w:tc>
        <w:tc>
          <w:tcPr>
            <w:tcW w:w="1623" w:type="dxa"/>
          </w:tcPr>
          <w:p w14:paraId="37AE9B7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标准水平</w:t>
            </w:r>
          </w:p>
        </w:tc>
        <w:tc>
          <w:tcPr>
            <w:tcW w:w="902" w:type="dxa"/>
          </w:tcPr>
          <w:p w14:paraId="27BBB38A">
            <w:pPr>
              <w:spacing w:line="360" w:lineRule="auto"/>
              <w:rPr>
                <w:rFonts w:ascii="宋体" w:hAnsi="宋体" w:cs="宋体"/>
                <w:color w:val="auto"/>
                <w:highlight w:val="none"/>
              </w:rPr>
            </w:pPr>
            <w:r>
              <w:rPr>
                <w:rFonts w:hint="eastAsia" w:ascii="宋体" w:hAnsi="宋体" w:cs="宋体"/>
                <w:color w:val="auto"/>
                <w:highlight w:val="none"/>
              </w:rPr>
              <w:t>单位</w:t>
            </w:r>
          </w:p>
        </w:tc>
        <w:tc>
          <w:tcPr>
            <w:tcW w:w="902" w:type="dxa"/>
          </w:tcPr>
          <w:p w14:paraId="5E5B46C6">
            <w:pPr>
              <w:spacing w:line="360" w:lineRule="auto"/>
              <w:rPr>
                <w:rFonts w:ascii="宋体" w:hAnsi="宋体" w:cs="宋体"/>
                <w:color w:val="auto"/>
                <w:highlight w:val="none"/>
              </w:rPr>
            </w:pPr>
            <w:r>
              <w:rPr>
                <w:rFonts w:hint="eastAsia" w:ascii="宋体" w:hAnsi="宋体" w:cs="宋体"/>
                <w:color w:val="auto"/>
                <w:highlight w:val="none"/>
              </w:rPr>
              <w:t>数量</w:t>
            </w:r>
          </w:p>
        </w:tc>
        <w:tc>
          <w:tcPr>
            <w:tcW w:w="1071" w:type="dxa"/>
          </w:tcPr>
          <w:p w14:paraId="2D8214C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单价</w:t>
            </w:r>
          </w:p>
        </w:tc>
        <w:tc>
          <w:tcPr>
            <w:tcW w:w="1250" w:type="dxa"/>
          </w:tcPr>
          <w:p w14:paraId="574423A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小计</w:t>
            </w:r>
          </w:p>
        </w:tc>
        <w:tc>
          <w:tcPr>
            <w:tcW w:w="1106" w:type="dxa"/>
          </w:tcPr>
          <w:p w14:paraId="3A33C9F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备注</w:t>
            </w:r>
          </w:p>
        </w:tc>
      </w:tr>
      <w:tr w14:paraId="7F3AA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tcPr>
          <w:p w14:paraId="39463C51">
            <w:pPr>
              <w:spacing w:line="360" w:lineRule="auto"/>
              <w:ind w:firstLine="420" w:firstLineChars="200"/>
              <w:rPr>
                <w:rFonts w:ascii="宋体" w:hAnsi="宋体" w:cs="宋体"/>
                <w:color w:val="auto"/>
                <w:highlight w:val="none"/>
              </w:rPr>
            </w:pPr>
          </w:p>
        </w:tc>
        <w:tc>
          <w:tcPr>
            <w:tcW w:w="1623" w:type="dxa"/>
          </w:tcPr>
          <w:p w14:paraId="256796C4">
            <w:pPr>
              <w:spacing w:line="360" w:lineRule="auto"/>
              <w:ind w:firstLine="420" w:firstLineChars="200"/>
              <w:rPr>
                <w:rFonts w:ascii="宋体" w:hAnsi="宋体" w:cs="宋体"/>
                <w:color w:val="auto"/>
                <w:highlight w:val="none"/>
              </w:rPr>
            </w:pPr>
          </w:p>
        </w:tc>
        <w:tc>
          <w:tcPr>
            <w:tcW w:w="902" w:type="dxa"/>
          </w:tcPr>
          <w:p w14:paraId="09873FD5">
            <w:pPr>
              <w:spacing w:line="360" w:lineRule="auto"/>
              <w:ind w:firstLine="420" w:firstLineChars="200"/>
              <w:rPr>
                <w:rFonts w:ascii="宋体" w:hAnsi="宋体" w:cs="宋体"/>
                <w:color w:val="auto"/>
                <w:highlight w:val="none"/>
              </w:rPr>
            </w:pPr>
          </w:p>
        </w:tc>
        <w:tc>
          <w:tcPr>
            <w:tcW w:w="902" w:type="dxa"/>
          </w:tcPr>
          <w:p w14:paraId="5E3AC82E">
            <w:pPr>
              <w:spacing w:line="360" w:lineRule="auto"/>
              <w:ind w:firstLine="420" w:firstLineChars="200"/>
              <w:rPr>
                <w:rFonts w:ascii="宋体" w:hAnsi="宋体" w:cs="宋体"/>
                <w:color w:val="auto"/>
                <w:highlight w:val="none"/>
              </w:rPr>
            </w:pPr>
          </w:p>
        </w:tc>
        <w:tc>
          <w:tcPr>
            <w:tcW w:w="1071" w:type="dxa"/>
          </w:tcPr>
          <w:p w14:paraId="069DF732">
            <w:pPr>
              <w:spacing w:line="360" w:lineRule="auto"/>
              <w:ind w:firstLine="420" w:firstLineChars="200"/>
              <w:rPr>
                <w:rFonts w:ascii="宋体" w:hAnsi="宋体" w:cs="宋体"/>
                <w:color w:val="auto"/>
                <w:highlight w:val="none"/>
              </w:rPr>
            </w:pPr>
          </w:p>
        </w:tc>
        <w:tc>
          <w:tcPr>
            <w:tcW w:w="1250" w:type="dxa"/>
          </w:tcPr>
          <w:p w14:paraId="7F14D1CA">
            <w:pPr>
              <w:spacing w:line="360" w:lineRule="auto"/>
              <w:ind w:firstLine="420" w:firstLineChars="200"/>
              <w:rPr>
                <w:rFonts w:ascii="宋体" w:hAnsi="宋体" w:cs="宋体"/>
                <w:color w:val="auto"/>
                <w:highlight w:val="none"/>
              </w:rPr>
            </w:pPr>
          </w:p>
        </w:tc>
        <w:tc>
          <w:tcPr>
            <w:tcW w:w="1106" w:type="dxa"/>
          </w:tcPr>
          <w:p w14:paraId="7F9C6759">
            <w:pPr>
              <w:spacing w:line="360" w:lineRule="auto"/>
              <w:ind w:firstLine="420" w:firstLineChars="200"/>
              <w:rPr>
                <w:rFonts w:ascii="宋体" w:hAnsi="宋体" w:cs="宋体"/>
                <w:color w:val="auto"/>
                <w:highlight w:val="none"/>
              </w:rPr>
            </w:pPr>
          </w:p>
        </w:tc>
      </w:tr>
      <w:tr w14:paraId="73236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tcPr>
          <w:p w14:paraId="0CF2FD1C">
            <w:pPr>
              <w:spacing w:line="360" w:lineRule="auto"/>
              <w:ind w:firstLine="420" w:firstLineChars="200"/>
              <w:rPr>
                <w:rFonts w:ascii="宋体" w:hAnsi="宋体" w:cs="宋体"/>
                <w:color w:val="auto"/>
                <w:highlight w:val="none"/>
              </w:rPr>
            </w:pPr>
          </w:p>
        </w:tc>
        <w:tc>
          <w:tcPr>
            <w:tcW w:w="1623" w:type="dxa"/>
          </w:tcPr>
          <w:p w14:paraId="44A2318C">
            <w:pPr>
              <w:spacing w:line="360" w:lineRule="auto"/>
              <w:ind w:firstLine="420" w:firstLineChars="200"/>
              <w:rPr>
                <w:rFonts w:ascii="宋体" w:hAnsi="宋体" w:cs="宋体"/>
                <w:color w:val="auto"/>
                <w:highlight w:val="none"/>
              </w:rPr>
            </w:pPr>
          </w:p>
        </w:tc>
        <w:tc>
          <w:tcPr>
            <w:tcW w:w="902" w:type="dxa"/>
          </w:tcPr>
          <w:p w14:paraId="6FF49340">
            <w:pPr>
              <w:spacing w:line="360" w:lineRule="auto"/>
              <w:ind w:firstLine="420" w:firstLineChars="200"/>
              <w:rPr>
                <w:rFonts w:ascii="宋体" w:hAnsi="宋体" w:cs="宋体"/>
                <w:color w:val="auto"/>
                <w:highlight w:val="none"/>
              </w:rPr>
            </w:pPr>
          </w:p>
        </w:tc>
        <w:tc>
          <w:tcPr>
            <w:tcW w:w="902" w:type="dxa"/>
          </w:tcPr>
          <w:p w14:paraId="6EB55619">
            <w:pPr>
              <w:spacing w:line="360" w:lineRule="auto"/>
              <w:ind w:firstLine="420" w:firstLineChars="200"/>
              <w:rPr>
                <w:rFonts w:ascii="宋体" w:hAnsi="宋体" w:cs="宋体"/>
                <w:color w:val="auto"/>
                <w:highlight w:val="none"/>
              </w:rPr>
            </w:pPr>
          </w:p>
        </w:tc>
        <w:tc>
          <w:tcPr>
            <w:tcW w:w="1071" w:type="dxa"/>
          </w:tcPr>
          <w:p w14:paraId="7FE27D74">
            <w:pPr>
              <w:spacing w:line="360" w:lineRule="auto"/>
              <w:ind w:firstLine="420" w:firstLineChars="200"/>
              <w:rPr>
                <w:rFonts w:ascii="宋体" w:hAnsi="宋体" w:cs="宋体"/>
                <w:color w:val="auto"/>
                <w:highlight w:val="none"/>
              </w:rPr>
            </w:pPr>
          </w:p>
        </w:tc>
        <w:tc>
          <w:tcPr>
            <w:tcW w:w="1250" w:type="dxa"/>
          </w:tcPr>
          <w:p w14:paraId="5B8E2145">
            <w:pPr>
              <w:spacing w:line="360" w:lineRule="auto"/>
              <w:ind w:firstLine="420" w:firstLineChars="200"/>
              <w:rPr>
                <w:rFonts w:ascii="宋体" w:hAnsi="宋体" w:cs="宋体"/>
                <w:color w:val="auto"/>
                <w:highlight w:val="none"/>
              </w:rPr>
            </w:pPr>
          </w:p>
        </w:tc>
        <w:tc>
          <w:tcPr>
            <w:tcW w:w="1106" w:type="dxa"/>
          </w:tcPr>
          <w:p w14:paraId="62E0AA17">
            <w:pPr>
              <w:spacing w:line="360" w:lineRule="auto"/>
              <w:ind w:firstLine="420" w:firstLineChars="200"/>
              <w:rPr>
                <w:rFonts w:ascii="宋体" w:hAnsi="宋体" w:cs="宋体"/>
                <w:color w:val="auto"/>
                <w:highlight w:val="none"/>
              </w:rPr>
            </w:pPr>
          </w:p>
        </w:tc>
      </w:tr>
      <w:tr w14:paraId="3EBA2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tcPr>
          <w:p w14:paraId="047927D7">
            <w:pPr>
              <w:spacing w:line="360" w:lineRule="auto"/>
              <w:ind w:firstLine="420" w:firstLineChars="200"/>
              <w:rPr>
                <w:rFonts w:ascii="宋体" w:hAnsi="宋体" w:cs="宋体"/>
                <w:color w:val="auto"/>
                <w:highlight w:val="none"/>
              </w:rPr>
            </w:pPr>
          </w:p>
        </w:tc>
        <w:tc>
          <w:tcPr>
            <w:tcW w:w="1623" w:type="dxa"/>
          </w:tcPr>
          <w:p w14:paraId="50CC01AE">
            <w:pPr>
              <w:spacing w:line="360" w:lineRule="auto"/>
              <w:ind w:firstLine="420" w:firstLineChars="200"/>
              <w:rPr>
                <w:rFonts w:ascii="宋体" w:hAnsi="宋体" w:cs="宋体"/>
                <w:color w:val="auto"/>
                <w:highlight w:val="none"/>
              </w:rPr>
            </w:pPr>
          </w:p>
        </w:tc>
        <w:tc>
          <w:tcPr>
            <w:tcW w:w="902" w:type="dxa"/>
          </w:tcPr>
          <w:p w14:paraId="1C965C12">
            <w:pPr>
              <w:spacing w:line="360" w:lineRule="auto"/>
              <w:ind w:firstLine="420" w:firstLineChars="200"/>
              <w:rPr>
                <w:rFonts w:ascii="宋体" w:hAnsi="宋体" w:cs="宋体"/>
                <w:color w:val="auto"/>
                <w:highlight w:val="none"/>
              </w:rPr>
            </w:pPr>
          </w:p>
        </w:tc>
        <w:tc>
          <w:tcPr>
            <w:tcW w:w="902" w:type="dxa"/>
          </w:tcPr>
          <w:p w14:paraId="315398F1">
            <w:pPr>
              <w:spacing w:line="360" w:lineRule="auto"/>
              <w:ind w:firstLine="420" w:firstLineChars="200"/>
              <w:rPr>
                <w:rFonts w:ascii="宋体" w:hAnsi="宋体" w:cs="宋体"/>
                <w:color w:val="auto"/>
                <w:highlight w:val="none"/>
              </w:rPr>
            </w:pPr>
          </w:p>
        </w:tc>
        <w:tc>
          <w:tcPr>
            <w:tcW w:w="1071" w:type="dxa"/>
          </w:tcPr>
          <w:p w14:paraId="38A62C49">
            <w:pPr>
              <w:spacing w:line="360" w:lineRule="auto"/>
              <w:ind w:firstLine="420" w:firstLineChars="200"/>
              <w:rPr>
                <w:rFonts w:ascii="宋体" w:hAnsi="宋体" w:cs="宋体"/>
                <w:color w:val="auto"/>
                <w:highlight w:val="none"/>
              </w:rPr>
            </w:pPr>
          </w:p>
        </w:tc>
        <w:tc>
          <w:tcPr>
            <w:tcW w:w="1250" w:type="dxa"/>
          </w:tcPr>
          <w:p w14:paraId="048ED1ED">
            <w:pPr>
              <w:spacing w:line="360" w:lineRule="auto"/>
              <w:ind w:firstLine="420" w:firstLineChars="200"/>
              <w:rPr>
                <w:rFonts w:ascii="宋体" w:hAnsi="宋体" w:cs="宋体"/>
                <w:color w:val="auto"/>
                <w:highlight w:val="none"/>
              </w:rPr>
            </w:pPr>
          </w:p>
        </w:tc>
        <w:tc>
          <w:tcPr>
            <w:tcW w:w="1106" w:type="dxa"/>
          </w:tcPr>
          <w:p w14:paraId="7370A283">
            <w:pPr>
              <w:spacing w:line="360" w:lineRule="auto"/>
              <w:ind w:firstLine="420" w:firstLineChars="200"/>
              <w:rPr>
                <w:rFonts w:ascii="宋体" w:hAnsi="宋体" w:cs="宋体"/>
                <w:color w:val="auto"/>
                <w:highlight w:val="none"/>
              </w:rPr>
            </w:pPr>
          </w:p>
        </w:tc>
      </w:tr>
      <w:tr w14:paraId="53AE0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8837" w:type="dxa"/>
            <w:gridSpan w:val="7"/>
          </w:tcPr>
          <w:p w14:paraId="2000811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合同总价款（大小写）：</w:t>
            </w:r>
          </w:p>
          <w:p w14:paraId="5ADEDBBE">
            <w:pPr>
              <w:spacing w:line="360" w:lineRule="auto"/>
              <w:ind w:firstLine="420" w:firstLineChars="200"/>
              <w:rPr>
                <w:rFonts w:ascii="宋体" w:hAnsi="宋体" w:cs="宋体"/>
                <w:color w:val="auto"/>
                <w:highlight w:val="none"/>
              </w:rPr>
            </w:pPr>
            <w:r>
              <w:rPr>
                <w:rFonts w:hint="eastAsia" w:ascii="宋体" w:hAnsi="宋体" w:cs="宋体"/>
                <w:color w:val="auto"/>
                <w:szCs w:val="28"/>
                <w:highlight w:val="none"/>
              </w:rPr>
              <w:t>备注：上述服务包含相关设备购置、人员工资及售后服务、税金、劳保基金、人员培训等费用。</w:t>
            </w:r>
          </w:p>
        </w:tc>
      </w:tr>
    </w:tbl>
    <w:p w14:paraId="36B9FAC2">
      <w:pPr>
        <w:spacing w:line="360" w:lineRule="auto"/>
        <w:ind w:firstLine="422" w:firstLineChars="200"/>
        <w:rPr>
          <w:rFonts w:ascii="宋体" w:hAnsi="宋体" w:cs="宋体"/>
          <w:color w:val="auto"/>
          <w:highlight w:val="none"/>
        </w:rPr>
      </w:pPr>
      <w:r>
        <w:rPr>
          <w:rFonts w:hint="eastAsia" w:ascii="宋体" w:hAnsi="宋体" w:cs="宋体"/>
          <w:b/>
          <w:bCs/>
          <w:color w:val="auto"/>
          <w:szCs w:val="27"/>
          <w:highlight w:val="none"/>
        </w:rPr>
        <w:t xml:space="preserve">第二条  </w:t>
      </w:r>
      <w:r>
        <w:rPr>
          <w:rFonts w:hint="eastAsia" w:ascii="宋体" w:hAnsi="宋体" w:cs="宋体"/>
          <w:color w:val="auto"/>
          <w:szCs w:val="27"/>
          <w:highlight w:val="none"/>
        </w:rPr>
        <w:t>服务标准（包括达到的水平要求），按下列第（ ）项执行：</w:t>
      </w:r>
    </w:p>
    <w:p w14:paraId="41048645">
      <w:pPr>
        <w:spacing w:line="360" w:lineRule="auto"/>
        <w:ind w:firstLine="420" w:firstLineChars="200"/>
        <w:rPr>
          <w:rFonts w:ascii="宋体" w:hAnsi="宋体" w:cs="宋体"/>
          <w:color w:val="auto"/>
          <w:szCs w:val="27"/>
          <w:highlight w:val="none"/>
        </w:rPr>
      </w:pPr>
      <w:r>
        <w:rPr>
          <w:rFonts w:hint="eastAsia" w:ascii="宋体" w:hAnsi="宋体" w:cs="宋体"/>
          <w:color w:val="auto"/>
          <w:szCs w:val="27"/>
          <w:highlight w:val="none"/>
        </w:rPr>
        <w:t>①按国家标准执行；②按部颁标准执行；③若无以上标准，则应不低于同行业服务标准；④有特殊要求的，按甲乙双方在合同中商定的要求执行；</w:t>
      </w:r>
    </w:p>
    <w:p w14:paraId="69E50A85">
      <w:pPr>
        <w:spacing w:line="360" w:lineRule="auto"/>
        <w:ind w:firstLine="420" w:firstLineChars="200"/>
        <w:rPr>
          <w:rFonts w:ascii="宋体" w:hAnsi="宋体" w:cs="宋体"/>
          <w:color w:val="auto"/>
          <w:szCs w:val="27"/>
          <w:highlight w:val="none"/>
          <w:u w:val="single"/>
        </w:rPr>
      </w:pPr>
      <w:r>
        <w:rPr>
          <w:rFonts w:hint="eastAsia" w:ascii="宋体" w:hAnsi="宋体" w:cs="宋体"/>
          <w:color w:val="auto"/>
          <w:highlight w:val="none"/>
        </w:rPr>
        <w:t>乙方应在响应文件中保 证严格按照国家及行业规范和标准编制成果。</w:t>
      </w:r>
    </w:p>
    <w:p w14:paraId="79CC6248">
      <w:pPr>
        <w:spacing w:line="360" w:lineRule="auto"/>
        <w:ind w:firstLine="422" w:firstLineChars="200"/>
        <w:rPr>
          <w:rFonts w:ascii="宋体" w:hAnsi="宋体" w:cs="宋体"/>
          <w:color w:val="auto"/>
          <w:szCs w:val="27"/>
          <w:highlight w:val="none"/>
        </w:rPr>
      </w:pPr>
      <w:r>
        <w:rPr>
          <w:rFonts w:hint="eastAsia" w:ascii="宋体" w:hAnsi="宋体" w:cs="宋体"/>
          <w:b/>
          <w:bCs/>
          <w:color w:val="auto"/>
          <w:szCs w:val="27"/>
          <w:highlight w:val="none"/>
        </w:rPr>
        <w:t xml:space="preserve">第三条  </w:t>
      </w:r>
      <w:r>
        <w:rPr>
          <w:rFonts w:hint="eastAsia" w:ascii="宋体" w:hAnsi="宋体" w:cs="宋体"/>
          <w:color w:val="auto"/>
          <w:szCs w:val="27"/>
          <w:highlight w:val="none"/>
        </w:rPr>
        <w:t>服务的方式、方法、地点和期限</w:t>
      </w:r>
    </w:p>
    <w:p w14:paraId="2FFB4396">
      <w:pPr>
        <w:spacing w:line="360" w:lineRule="auto"/>
        <w:ind w:firstLine="420" w:firstLineChars="200"/>
        <w:rPr>
          <w:rFonts w:ascii="宋体" w:hAnsi="宋体" w:cs="宋体"/>
          <w:color w:val="auto"/>
          <w:highlight w:val="none"/>
        </w:rPr>
      </w:pPr>
      <w:r>
        <w:rPr>
          <w:rFonts w:hint="eastAsia" w:ascii="宋体" w:hAnsi="宋体" w:cs="宋体"/>
          <w:color w:val="auto"/>
          <w:szCs w:val="27"/>
          <w:highlight w:val="none"/>
        </w:rPr>
        <w:t>1、服务方式：</w:t>
      </w:r>
    </w:p>
    <w:p w14:paraId="4A14066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2、服务方法：</w:t>
      </w:r>
    </w:p>
    <w:p w14:paraId="37D32536">
      <w:pPr>
        <w:spacing w:line="360" w:lineRule="auto"/>
        <w:ind w:firstLine="420" w:firstLineChars="200"/>
        <w:rPr>
          <w:rFonts w:ascii="宋体" w:hAnsi="宋体" w:cs="宋体"/>
          <w:color w:val="auto"/>
          <w:szCs w:val="27"/>
          <w:highlight w:val="none"/>
        </w:rPr>
      </w:pPr>
      <w:r>
        <w:rPr>
          <w:rFonts w:hint="eastAsia" w:ascii="宋体" w:hAnsi="宋体" w:cs="宋体"/>
          <w:color w:val="auto"/>
          <w:szCs w:val="27"/>
          <w:highlight w:val="none"/>
        </w:rPr>
        <w:t>2、服务地点：</w:t>
      </w:r>
      <w:r>
        <w:rPr>
          <w:rFonts w:hint="eastAsia" w:ascii="宋体" w:hAnsi="宋体" w:cs="宋体"/>
          <w:color w:val="auto"/>
          <w:szCs w:val="27"/>
          <w:highlight w:val="none"/>
        </w:rPr>
        <w:softHyphen/>
      </w:r>
      <w:r>
        <w:rPr>
          <w:rFonts w:hint="eastAsia" w:ascii="宋体" w:hAnsi="宋体" w:cs="宋体"/>
          <w:color w:val="auto"/>
          <w:szCs w:val="27"/>
          <w:highlight w:val="none"/>
        </w:rPr>
        <w:softHyphen/>
      </w:r>
      <w:r>
        <w:rPr>
          <w:rFonts w:hint="eastAsia" w:ascii="宋体" w:hAnsi="宋体" w:cs="宋体"/>
          <w:color w:val="auto"/>
          <w:szCs w:val="27"/>
          <w:highlight w:val="none"/>
        </w:rPr>
        <w:softHyphen/>
      </w:r>
      <w:r>
        <w:rPr>
          <w:rFonts w:hint="eastAsia" w:ascii="宋体" w:hAnsi="宋体" w:cs="宋体"/>
          <w:color w:val="auto"/>
          <w:szCs w:val="27"/>
          <w:highlight w:val="none"/>
        </w:rPr>
        <w:softHyphen/>
      </w:r>
      <w:r>
        <w:rPr>
          <w:rFonts w:hint="eastAsia" w:ascii="宋体" w:hAnsi="宋体" w:cs="宋体"/>
          <w:color w:val="auto"/>
          <w:szCs w:val="27"/>
          <w:highlight w:val="none"/>
        </w:rPr>
        <w:softHyphen/>
      </w:r>
      <w:r>
        <w:rPr>
          <w:rFonts w:hint="eastAsia" w:ascii="宋体" w:hAnsi="宋体" w:cs="宋体"/>
          <w:color w:val="auto"/>
          <w:szCs w:val="27"/>
          <w:highlight w:val="none"/>
        </w:rPr>
        <w:softHyphen/>
      </w:r>
      <w:r>
        <w:rPr>
          <w:rFonts w:hint="eastAsia" w:ascii="宋体" w:hAnsi="宋体" w:cs="宋体"/>
          <w:color w:val="auto"/>
          <w:szCs w:val="27"/>
          <w:highlight w:val="none"/>
        </w:rPr>
        <w:softHyphen/>
      </w:r>
      <w:r>
        <w:rPr>
          <w:rFonts w:hint="eastAsia" w:ascii="宋体" w:hAnsi="宋体" w:cs="宋体"/>
          <w:color w:val="auto"/>
          <w:szCs w:val="27"/>
          <w:highlight w:val="none"/>
        </w:rPr>
        <w:softHyphen/>
      </w:r>
      <w:r>
        <w:rPr>
          <w:rFonts w:hint="eastAsia" w:ascii="宋体" w:hAnsi="宋体" w:cs="宋体"/>
          <w:color w:val="auto"/>
          <w:szCs w:val="27"/>
          <w:highlight w:val="none"/>
        </w:rPr>
        <w:softHyphen/>
      </w:r>
      <w:r>
        <w:rPr>
          <w:rFonts w:hint="eastAsia" w:ascii="宋体" w:hAnsi="宋体" w:cs="宋体"/>
          <w:color w:val="auto"/>
          <w:szCs w:val="27"/>
          <w:highlight w:val="none"/>
        </w:rPr>
        <w:softHyphen/>
      </w:r>
    </w:p>
    <w:p w14:paraId="2534ED93">
      <w:pPr>
        <w:spacing w:line="360" w:lineRule="auto"/>
        <w:ind w:firstLine="420" w:firstLineChars="200"/>
        <w:rPr>
          <w:rFonts w:ascii="宋体" w:hAnsi="宋体" w:cs="宋体"/>
          <w:color w:val="auto"/>
          <w:szCs w:val="27"/>
          <w:highlight w:val="none"/>
        </w:rPr>
      </w:pPr>
      <w:r>
        <w:rPr>
          <w:rFonts w:hint="eastAsia" w:ascii="宋体" w:hAnsi="宋体" w:cs="宋体"/>
          <w:color w:val="auto"/>
          <w:szCs w:val="27"/>
          <w:highlight w:val="none"/>
        </w:rPr>
        <w:t>3、服务期限：</w:t>
      </w:r>
    </w:p>
    <w:p w14:paraId="702C162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第四条  费用及支付方式</w:t>
      </w:r>
    </w:p>
    <w:p w14:paraId="1D982A80">
      <w:pPr>
        <w:pStyle w:val="9"/>
        <w:kinsoku w:val="0"/>
        <w:overflowPunct w:val="0"/>
        <w:spacing w:line="364" w:lineRule="auto"/>
        <w:ind w:firstLine="422" w:firstLineChars="200"/>
        <w:rPr>
          <w:rFonts w:ascii="宋体" w:hAnsi="宋体" w:cs="宋体"/>
          <w:b/>
          <w:color w:val="auto"/>
          <w:highlight w:val="none"/>
        </w:rPr>
      </w:pPr>
      <w:r>
        <w:rPr>
          <w:rFonts w:hint="eastAsia" w:ascii="宋体" w:hAnsi="宋体" w:cs="宋体"/>
          <w:b/>
          <w:color w:val="auto"/>
          <w:highlight w:val="none"/>
        </w:rPr>
        <w:t>(一)本项目费用有以下组成：</w:t>
      </w:r>
    </w:p>
    <w:p w14:paraId="0A6BA449">
      <w:pPr>
        <w:pStyle w:val="9"/>
        <w:kinsoku w:val="0"/>
        <w:overflowPunct w:val="0"/>
        <w:spacing w:line="364" w:lineRule="auto"/>
        <w:ind w:firstLine="420" w:firstLineChars="200"/>
        <w:rPr>
          <w:rFonts w:ascii="宋体" w:hAnsi="宋体" w:cs="宋体"/>
          <w:color w:val="auto"/>
          <w:highlight w:val="none"/>
        </w:rPr>
      </w:pPr>
      <w:r>
        <w:rPr>
          <w:rFonts w:hint="eastAsia" w:ascii="宋体" w:hAnsi="宋体" w:cs="宋体"/>
          <w:color w:val="auto"/>
          <w:highlight w:val="none"/>
        </w:rPr>
        <w:t xml:space="preserve"> 1、XX 万元；</w:t>
      </w:r>
    </w:p>
    <w:p w14:paraId="3A83CA7A">
      <w:pPr>
        <w:pStyle w:val="9"/>
        <w:kinsoku w:val="0"/>
        <w:overflowPunct w:val="0"/>
        <w:spacing w:line="364" w:lineRule="auto"/>
        <w:ind w:firstLine="420" w:firstLineChars="200"/>
        <w:rPr>
          <w:rFonts w:ascii="宋体" w:hAnsi="宋体" w:cs="宋体"/>
          <w:color w:val="auto"/>
          <w:highlight w:val="none"/>
        </w:rPr>
      </w:pPr>
      <w:r>
        <w:rPr>
          <w:rFonts w:hint="eastAsia" w:ascii="宋体" w:hAnsi="宋体" w:cs="宋体"/>
          <w:color w:val="auto"/>
          <w:highlight w:val="none"/>
        </w:rPr>
        <w:t>2、XX 万元；</w:t>
      </w:r>
    </w:p>
    <w:p w14:paraId="3AD5E92B">
      <w:pPr>
        <w:pStyle w:val="9"/>
        <w:kinsoku w:val="0"/>
        <w:overflowPunct w:val="0"/>
        <w:spacing w:line="364" w:lineRule="auto"/>
        <w:ind w:firstLine="420" w:firstLineChars="200"/>
        <w:rPr>
          <w:rFonts w:ascii="宋体" w:hAnsi="宋体" w:cs="宋体"/>
          <w:color w:val="auto"/>
          <w:highlight w:val="none"/>
        </w:rPr>
      </w:pPr>
      <w:r>
        <w:rPr>
          <w:rFonts w:hint="eastAsia" w:ascii="宋体" w:hAnsi="宋体" w:cs="宋体"/>
          <w:color w:val="auto"/>
          <w:highlight w:val="none"/>
        </w:rPr>
        <w:t>……</w:t>
      </w:r>
    </w:p>
    <w:p w14:paraId="0E1E6308">
      <w:pPr>
        <w:pStyle w:val="9"/>
        <w:kinsoku w:val="0"/>
        <w:overflowPunct w:val="0"/>
        <w:ind w:firstLine="422" w:firstLineChars="200"/>
        <w:rPr>
          <w:rFonts w:ascii="宋体" w:hAnsi="宋体" w:cs="宋体"/>
          <w:b/>
          <w:color w:val="auto"/>
          <w:highlight w:val="none"/>
        </w:rPr>
      </w:pPr>
      <w:r>
        <w:rPr>
          <w:rFonts w:hint="eastAsia" w:ascii="宋体" w:hAnsi="宋体" w:cs="宋体"/>
          <w:b/>
          <w:color w:val="auto"/>
          <w:highlight w:val="none"/>
        </w:rPr>
        <w:t>(二)费用支付方式：</w:t>
      </w:r>
    </w:p>
    <w:p w14:paraId="429C8BD7">
      <w:pPr>
        <w:pStyle w:val="9"/>
        <w:kinsoku w:val="0"/>
        <w:overflowPunct w:val="0"/>
        <w:spacing w:line="364" w:lineRule="auto"/>
        <w:ind w:firstLine="420" w:firstLineChars="200"/>
        <w:rPr>
          <w:rFonts w:ascii="宋体" w:hAnsi="宋体" w:cs="宋体"/>
          <w:color w:val="auto"/>
          <w:highlight w:val="none"/>
        </w:rPr>
      </w:pPr>
      <w:r>
        <w:rPr>
          <w:rFonts w:hint="eastAsia" w:ascii="宋体" w:hAnsi="宋体" w:cs="宋体"/>
          <w:color w:val="auto"/>
          <w:highlight w:val="none"/>
        </w:rPr>
        <w:t>1、XXXX；</w:t>
      </w:r>
    </w:p>
    <w:p w14:paraId="63CCA74D">
      <w:pPr>
        <w:pStyle w:val="9"/>
        <w:kinsoku w:val="0"/>
        <w:overflowPunct w:val="0"/>
        <w:spacing w:line="364" w:lineRule="auto"/>
        <w:ind w:firstLine="420" w:firstLineChars="200"/>
        <w:rPr>
          <w:rFonts w:ascii="宋体" w:hAnsi="宋体" w:cs="宋体"/>
          <w:color w:val="auto"/>
          <w:highlight w:val="none"/>
        </w:rPr>
      </w:pPr>
      <w:r>
        <w:rPr>
          <w:rFonts w:hint="eastAsia" w:ascii="宋体" w:hAnsi="宋体" w:cs="宋体"/>
          <w:color w:val="auto"/>
          <w:highlight w:val="none"/>
        </w:rPr>
        <w:t>2、XXXX ；</w:t>
      </w:r>
    </w:p>
    <w:p w14:paraId="51207491">
      <w:pPr>
        <w:pStyle w:val="9"/>
        <w:kinsoku w:val="0"/>
        <w:overflowPunct w:val="0"/>
        <w:spacing w:line="364" w:lineRule="auto"/>
        <w:ind w:firstLine="420" w:firstLineChars="200"/>
        <w:rPr>
          <w:rFonts w:ascii="宋体" w:hAnsi="宋体" w:cs="宋体"/>
          <w:color w:val="auto"/>
          <w:highlight w:val="none"/>
        </w:rPr>
      </w:pPr>
      <w:r>
        <w:rPr>
          <w:rFonts w:hint="eastAsia" w:ascii="宋体" w:hAnsi="宋体" w:cs="宋体"/>
          <w:color w:val="auto"/>
          <w:highlight w:val="none"/>
        </w:rPr>
        <w:t>3、在支付前甲方对乙方的服务进行考核或验收，合格的支付相应款 项。乙方须向甲方出具合法有效完整的完税发票及凭证资料进行支付结算。</w:t>
      </w:r>
    </w:p>
    <w:p w14:paraId="24676505">
      <w:pPr>
        <w:pStyle w:val="9"/>
        <w:kinsoku w:val="0"/>
        <w:overflowPunct w:val="0"/>
        <w:ind w:firstLine="422" w:firstLineChars="200"/>
        <w:rPr>
          <w:rFonts w:ascii="宋体" w:hAnsi="宋体" w:cs="宋体"/>
          <w:color w:val="auto"/>
          <w:highlight w:val="none"/>
        </w:rPr>
      </w:pPr>
      <w:r>
        <w:rPr>
          <w:rFonts w:hint="eastAsia" w:ascii="宋体" w:hAnsi="宋体" w:cs="宋体"/>
          <w:b/>
          <w:color w:val="auto"/>
          <w:highlight w:val="none"/>
        </w:rPr>
        <w:t xml:space="preserve">第五条  付款条件   </w:t>
      </w:r>
      <w:r>
        <w:rPr>
          <w:rFonts w:hint="eastAsia" w:ascii="宋体" w:hAnsi="宋体" w:cs="宋体"/>
          <w:color w:val="auto"/>
          <w:highlight w:val="none"/>
        </w:rPr>
        <w:t xml:space="preserve">               </w:t>
      </w:r>
    </w:p>
    <w:p w14:paraId="5083219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本合同以人民币付款。</w:t>
      </w:r>
    </w:p>
    <w:p w14:paraId="76CCB9E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该项目是否实行预付款：</w:t>
      </w:r>
    </w:p>
    <w:p w14:paraId="7C0CD2B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实行预付款的条件和比例：</w:t>
      </w:r>
    </w:p>
    <w:p w14:paraId="63A2D2B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合同款项结算方式和支付比例：   </w:t>
      </w:r>
    </w:p>
    <w:p w14:paraId="44949387">
      <w:pPr>
        <w:spacing w:line="360" w:lineRule="auto"/>
        <w:ind w:firstLine="420" w:firstLineChars="200"/>
        <w:rPr>
          <w:rFonts w:ascii="宋体" w:hAnsi="宋体" w:cs="宋体"/>
          <w:color w:val="auto"/>
          <w:highlight w:val="none"/>
          <w:u w:val="single"/>
        </w:rPr>
      </w:pPr>
      <w:r>
        <w:rPr>
          <w:rFonts w:hint="eastAsia" w:ascii="宋体" w:hAnsi="宋体" w:cs="宋体"/>
          <w:color w:val="auto"/>
          <w:highlight w:val="none"/>
        </w:rPr>
        <w:t>(具体付款方式</w:t>
      </w:r>
      <w:r>
        <w:rPr>
          <w:rFonts w:hint="eastAsia" w:ascii="宋体" w:hAnsi="宋体" w:cs="宋体"/>
          <w:color w:val="auto"/>
          <w:highlight w:val="none"/>
          <w:u w:val="single"/>
        </w:rPr>
        <w:t>按投标人须知前附表以及采、购双方的具体约定</w:t>
      </w:r>
    </w:p>
    <w:p w14:paraId="36D85F72">
      <w:pPr>
        <w:pStyle w:val="2"/>
        <w:kinsoku w:val="0"/>
        <w:overflowPunct w:val="0"/>
        <w:ind w:firstLine="422" w:firstLineChars="200"/>
        <w:rPr>
          <w:rFonts w:ascii="宋体" w:hAnsi="宋体" w:cs="宋体"/>
          <w:color w:val="auto"/>
          <w:kern w:val="2"/>
          <w:sz w:val="21"/>
          <w:szCs w:val="27"/>
          <w:highlight w:val="none"/>
        </w:rPr>
      </w:pPr>
      <w:r>
        <w:rPr>
          <w:rFonts w:hint="eastAsia" w:ascii="宋体" w:hAnsi="宋体" w:cs="宋体"/>
          <w:color w:val="auto"/>
          <w:kern w:val="2"/>
          <w:sz w:val="21"/>
          <w:szCs w:val="27"/>
          <w:highlight w:val="none"/>
        </w:rPr>
        <w:t>第六条  验收方法</w:t>
      </w:r>
    </w:p>
    <w:p w14:paraId="2EDFE93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1.甲、乙双方应严格履行合同有关条款，如果验收过程中发现乙方在没有征得采购人同意的情况下擅自变更合同服务内容，将拒绝通过验收，由此引起的一切后果及损失由乙方承担。</w:t>
      </w:r>
    </w:p>
    <w:p w14:paraId="6F4D226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甲方应承担项目验收的主体责任。项目验收时，应成立三人以上（由甲、乙双方、管理人员、技术人员、纪检等相关人员组成）验收小组，明确责任，严格依照采购文件、中标（成交）通知书、政府采购合同及相关验收规范进行核对、验收、签字形成验收结论，并出具书面验收报告。验收人员有不同意见的，按少数服从多数的原则，但在验收报告上应注明不同意见的内容。</w:t>
      </w:r>
    </w:p>
    <w:p w14:paraId="300F0DB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3、甲方视情况可以邀请参加本项目的其他投标人或者第三方机构参与验收，参与验收的投标人或者第三方机构的意见作为验收书的参考资料一并存档。</w:t>
      </w:r>
    </w:p>
    <w:p w14:paraId="4380424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4、涉及安全、消防、环保等其他需要由质检或行业主管部门进行验收的项目，必须邀请相关部门或相关专家参与验收。涉及社会化服务的项目，甲方将要求社会公众人员参与验收。</w:t>
      </w:r>
    </w:p>
    <w:p w14:paraId="30425F3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检测、验收费用承担方式：</w:t>
      </w:r>
    </w:p>
    <w:p w14:paraId="3172BCE9">
      <w:pPr>
        <w:pStyle w:val="9"/>
        <w:kinsoku w:val="0"/>
        <w:overflowPunct w:val="0"/>
        <w:spacing w:line="364" w:lineRule="auto"/>
        <w:ind w:firstLine="422" w:firstLineChars="200"/>
        <w:rPr>
          <w:rFonts w:ascii="宋体" w:hAnsi="宋体" w:cs="宋体"/>
          <w:b/>
          <w:color w:val="auto"/>
          <w:highlight w:val="none"/>
        </w:rPr>
      </w:pPr>
      <w:r>
        <w:rPr>
          <w:rFonts w:hint="eastAsia" w:ascii="宋体" w:hAnsi="宋体" w:cs="宋体"/>
          <w:b/>
          <w:color w:val="auto"/>
          <w:highlight w:val="none"/>
        </w:rPr>
        <w:t>第七条 知识产权</w:t>
      </w:r>
    </w:p>
    <w:p w14:paraId="19083424">
      <w:pPr>
        <w:pStyle w:val="9"/>
        <w:kinsoku w:val="0"/>
        <w:overflowPunct w:val="0"/>
        <w:spacing w:line="364" w:lineRule="auto"/>
        <w:ind w:firstLine="420" w:firstLineChars="200"/>
        <w:rPr>
          <w:rFonts w:ascii="宋体" w:hAnsi="宋体" w:cs="宋体"/>
          <w:color w:val="auto"/>
          <w:highlight w:val="none"/>
        </w:rPr>
      </w:pPr>
      <w:r>
        <w:rPr>
          <w:rFonts w:hint="eastAsia" w:ascii="宋体" w:hAnsi="宋体" w:cs="宋体"/>
          <w:color w:val="auto"/>
          <w:highlight w:val="none"/>
        </w:rPr>
        <w:t>乙方应保证所提供的服务或其任何一部分均不会侵犯任何第三方的专利权、商标权或著作权。</w:t>
      </w:r>
    </w:p>
    <w:p w14:paraId="0C966555">
      <w:pPr>
        <w:pStyle w:val="2"/>
        <w:kinsoku w:val="0"/>
        <w:overflowPunct w:val="0"/>
        <w:ind w:firstLine="422" w:firstLineChars="200"/>
        <w:rPr>
          <w:rFonts w:ascii="宋体" w:hAnsi="宋体" w:cs="宋体"/>
          <w:color w:val="auto"/>
          <w:kern w:val="2"/>
          <w:sz w:val="21"/>
          <w:szCs w:val="27"/>
          <w:highlight w:val="none"/>
        </w:rPr>
      </w:pPr>
      <w:r>
        <w:rPr>
          <w:rFonts w:hint="eastAsia" w:ascii="宋体" w:hAnsi="宋体" w:cs="宋体"/>
          <w:color w:val="auto"/>
          <w:kern w:val="2"/>
          <w:sz w:val="21"/>
          <w:szCs w:val="27"/>
          <w:highlight w:val="none"/>
        </w:rPr>
        <w:t>第八条 无产权瑕疵条款</w:t>
      </w:r>
    </w:p>
    <w:p w14:paraId="0FD167CE">
      <w:pPr>
        <w:pStyle w:val="9"/>
        <w:kinsoku w:val="0"/>
        <w:overflowPunct w:val="0"/>
        <w:spacing w:line="364" w:lineRule="auto"/>
        <w:ind w:firstLine="420" w:firstLineChars="200"/>
        <w:rPr>
          <w:rFonts w:ascii="宋体" w:hAnsi="宋体" w:cs="宋体"/>
          <w:color w:val="auto"/>
          <w:highlight w:val="none"/>
        </w:rPr>
      </w:pPr>
      <w:r>
        <w:rPr>
          <w:rFonts w:hint="eastAsia" w:ascii="宋体" w:hAnsi="宋体" w:cs="宋体"/>
          <w:color w:val="auto"/>
          <w:highlight w:val="none"/>
        </w:rPr>
        <w:t>乙方保证所提供的服务的所有权完全属于乙方且无任何抵押、查封等产权瑕疵。如有产权瑕疵的，视为乙方违约。乙方应负担由此而产生的一切损失。</w:t>
      </w:r>
    </w:p>
    <w:p w14:paraId="2605A0A6">
      <w:pPr>
        <w:spacing w:line="400" w:lineRule="exact"/>
        <w:ind w:firstLine="422" w:firstLineChars="200"/>
        <w:rPr>
          <w:rFonts w:ascii="宋体" w:hAnsi="宋体" w:cs="宋体"/>
          <w:b/>
          <w:bCs/>
          <w:color w:val="auto"/>
          <w:szCs w:val="27"/>
          <w:highlight w:val="none"/>
        </w:rPr>
      </w:pPr>
      <w:r>
        <w:rPr>
          <w:rFonts w:hint="eastAsia" w:ascii="宋体" w:hAnsi="宋体" w:cs="宋体"/>
          <w:b/>
          <w:bCs/>
          <w:color w:val="auto"/>
          <w:szCs w:val="27"/>
          <w:highlight w:val="none"/>
        </w:rPr>
        <w:t xml:space="preserve">第九条  </w:t>
      </w:r>
      <w:r>
        <w:rPr>
          <w:rFonts w:hint="eastAsia" w:ascii="宋体" w:hAnsi="宋体" w:cs="宋体"/>
          <w:color w:val="auto"/>
          <w:szCs w:val="27"/>
          <w:highlight w:val="none"/>
        </w:rPr>
        <w:t>履约（或质量）保证金</w:t>
      </w:r>
    </w:p>
    <w:p w14:paraId="75F88A7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1.本项目不收取履约保证金。确需收取履约保证金的，甲方不得要求乙方以现款的形式提供。乙方提供的履约保证金按规定格式以银行保函形式提供，与此有关的费用由服务方承担。</w:t>
      </w:r>
    </w:p>
    <w:p w14:paraId="51C53D1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2.若确需质量保证金的，质量保证金不得超过合同总价款的5%</w:t>
      </w:r>
    </w:p>
    <w:p w14:paraId="38C4C0E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3.如乙方未能履行其合同规定的任何义务，甲方有权从履约保证金中取得补偿。</w:t>
      </w:r>
    </w:p>
    <w:p w14:paraId="7C0AB46A">
      <w:pPr>
        <w:pStyle w:val="2"/>
        <w:kinsoku w:val="0"/>
        <w:overflowPunct w:val="0"/>
        <w:ind w:firstLine="422" w:firstLineChars="200"/>
        <w:rPr>
          <w:rFonts w:ascii="宋体" w:hAnsi="宋体" w:cs="宋体"/>
          <w:color w:val="auto"/>
          <w:kern w:val="2"/>
          <w:sz w:val="21"/>
          <w:szCs w:val="27"/>
          <w:highlight w:val="none"/>
        </w:rPr>
      </w:pPr>
      <w:r>
        <w:rPr>
          <w:rFonts w:hint="eastAsia" w:ascii="宋体" w:hAnsi="宋体" w:cs="宋体"/>
          <w:color w:val="auto"/>
          <w:kern w:val="2"/>
          <w:sz w:val="21"/>
          <w:szCs w:val="27"/>
          <w:highlight w:val="none"/>
        </w:rPr>
        <w:t>第十条 甲方的权利和义务</w:t>
      </w:r>
    </w:p>
    <w:p w14:paraId="0C8BC43A">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1、甲方有权对合同规定范围内乙方的行为进行监督和检查，拥有监管权。有权定期核对乙方提供服务所配备的人员数量。对甲方认为不合理的部分有权下达整改通知书，并要求乙方限期整改。</w:t>
      </w:r>
    </w:p>
    <w:p w14:paraId="6BCCCAA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2、甲方有权依据双方签订的考评办法对乙方提供的服务进行定期考评。当考评结果未达到标准时，有权依据考评办法约定的数额扣除履约保证金。</w:t>
      </w:r>
    </w:p>
    <w:p w14:paraId="2E7584C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3、负责检查监督乙方管理工作的实施及制度的执行情况。</w:t>
      </w:r>
    </w:p>
    <w:p w14:paraId="19F93F0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4、根据本合同规定，按时向乙方支付应付服务费用。</w:t>
      </w:r>
    </w:p>
    <w:p w14:paraId="7C72AF8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5、国家法律、法规所规定由甲方承担的其他责任               </w:t>
      </w:r>
    </w:p>
    <w:p w14:paraId="7FD85896">
      <w:pPr>
        <w:pStyle w:val="9"/>
        <w:kinsoku w:val="0"/>
        <w:overflowPunct w:val="0"/>
        <w:spacing w:line="364" w:lineRule="auto"/>
        <w:ind w:firstLine="422" w:firstLineChars="200"/>
        <w:rPr>
          <w:rFonts w:ascii="宋体" w:hAnsi="宋体" w:cs="宋体"/>
          <w:b/>
          <w:color w:val="auto"/>
          <w:highlight w:val="none"/>
        </w:rPr>
      </w:pPr>
      <w:r>
        <w:rPr>
          <w:rFonts w:hint="eastAsia" w:ascii="宋体" w:hAnsi="宋体" w:cs="宋体"/>
          <w:b/>
          <w:color w:val="auto"/>
          <w:highlight w:val="none"/>
        </w:rPr>
        <w:t>第十一条 乙方的权利和义务</w:t>
      </w:r>
    </w:p>
    <w:p w14:paraId="3E774F9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1、对本合同规定的委托服务范围内的项目享有管理权及服务义务。</w:t>
      </w:r>
    </w:p>
    <w:p w14:paraId="1A14D40A">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2、根据本合同的规定向甲方收取相关服务费用，并有权在本项目管理范围内管理及合理使用。</w:t>
      </w:r>
    </w:p>
    <w:p w14:paraId="4D5DF4B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3、及时向甲方通告本项目服务范围内有关服务的重大事项，及时配合处理投诉。</w:t>
      </w:r>
    </w:p>
    <w:p w14:paraId="02BD54D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4、接受项目行业管理部门及政府有关部门的指导，接受甲方的监督。</w:t>
      </w:r>
    </w:p>
    <w:p w14:paraId="15D5FCD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5、国家法律、法规所规定由乙方承担的其它责任。</w:t>
      </w:r>
    </w:p>
    <w:p w14:paraId="562BA480">
      <w:pPr>
        <w:pStyle w:val="9"/>
        <w:kinsoku w:val="0"/>
        <w:overflowPunct w:val="0"/>
        <w:spacing w:line="364" w:lineRule="auto"/>
        <w:ind w:firstLine="422" w:firstLineChars="200"/>
        <w:rPr>
          <w:rFonts w:ascii="宋体" w:hAnsi="宋体" w:cs="宋体"/>
          <w:b/>
          <w:color w:val="auto"/>
          <w:highlight w:val="none"/>
        </w:rPr>
      </w:pPr>
      <w:r>
        <w:rPr>
          <w:rFonts w:hint="eastAsia" w:ascii="宋体" w:hAnsi="宋体" w:cs="宋体"/>
          <w:b/>
          <w:color w:val="auto"/>
          <w:highlight w:val="none"/>
        </w:rPr>
        <w:t>第十二条 违约责任</w:t>
      </w:r>
    </w:p>
    <w:p w14:paraId="04B72490">
      <w:pPr>
        <w:pStyle w:val="9"/>
        <w:kinsoku w:val="0"/>
        <w:overflowPunct w:val="0"/>
        <w:ind w:firstLine="420" w:firstLineChars="200"/>
        <w:rPr>
          <w:rFonts w:ascii="宋体" w:hAnsi="宋体" w:cs="宋体"/>
          <w:color w:val="auto"/>
          <w:highlight w:val="none"/>
        </w:rPr>
      </w:pPr>
      <w:r>
        <w:rPr>
          <w:rFonts w:hint="eastAsia" w:ascii="宋体" w:hAnsi="宋体" w:cs="宋体"/>
          <w:color w:val="auto"/>
          <w:highlight w:val="none"/>
        </w:rPr>
        <w:t>1、甲乙双方必须遵守本合同并执行合同中的各项规定，保证本合同的正常履行。</w:t>
      </w:r>
    </w:p>
    <w:p w14:paraId="7599CE71">
      <w:pPr>
        <w:pStyle w:val="9"/>
        <w:kinsoku w:val="0"/>
        <w:overflowPunct w:val="0"/>
        <w:spacing w:line="364" w:lineRule="auto"/>
        <w:ind w:firstLine="420" w:firstLineChars="200"/>
        <w:rPr>
          <w:rFonts w:ascii="宋体" w:hAnsi="宋体" w:cs="宋体"/>
          <w:color w:val="auto"/>
          <w:highlight w:val="none"/>
        </w:rPr>
      </w:pPr>
      <w:r>
        <w:rPr>
          <w:rFonts w:hint="eastAsia" w:ascii="宋体" w:hAnsi="宋体" w:cs="宋体"/>
          <w:color w:val="auto"/>
          <w:highlight w:val="none"/>
        </w:rPr>
        <w:t>2、甲方逾期付款的，除应及时付足款项外，应向乙方偿付欠款总额万分之 /天的违约金；逾期付款超过 天的，乙方有权终止合同。</w:t>
      </w:r>
    </w:p>
    <w:p w14:paraId="53E48C36">
      <w:pPr>
        <w:pStyle w:val="9"/>
        <w:kinsoku w:val="0"/>
        <w:overflowPunct w:val="0"/>
        <w:spacing w:line="364" w:lineRule="auto"/>
        <w:ind w:firstLine="420" w:firstLineChars="200"/>
        <w:rPr>
          <w:rFonts w:ascii="宋体" w:hAnsi="宋体" w:cs="宋体"/>
          <w:color w:val="auto"/>
          <w:highlight w:val="none"/>
        </w:rPr>
      </w:pPr>
      <w:r>
        <w:rPr>
          <w:rFonts w:hint="eastAsia" w:ascii="宋体" w:hAnsi="宋体" w:cs="宋体"/>
          <w:color w:val="auto"/>
          <w:highlight w:val="none"/>
        </w:rPr>
        <w:t>3、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14:paraId="138BAB26">
      <w:pPr>
        <w:pStyle w:val="9"/>
        <w:kinsoku w:val="0"/>
        <w:overflowPunct w:val="0"/>
        <w:spacing w:line="364" w:lineRule="auto"/>
        <w:ind w:firstLine="420" w:firstLineChars="200"/>
        <w:rPr>
          <w:rFonts w:ascii="宋体" w:hAnsi="宋体" w:cs="宋体"/>
          <w:color w:val="auto"/>
          <w:highlight w:val="none"/>
        </w:rPr>
      </w:pPr>
      <w:r>
        <w:rPr>
          <w:rFonts w:hint="eastAsia" w:ascii="宋体" w:hAnsi="宋体" w:cs="宋体"/>
          <w:color w:val="auto"/>
          <w:highlight w:val="none"/>
        </w:rPr>
        <w:t>4、变更、中止或者终止合同，有过错的一方应当承担赔偿责任，双方都有过错的，各自承担相应的责任。</w:t>
      </w:r>
    </w:p>
    <w:p w14:paraId="5B9DB063">
      <w:pPr>
        <w:spacing w:line="360" w:lineRule="auto"/>
        <w:ind w:firstLine="422" w:firstLineChars="200"/>
        <w:rPr>
          <w:rFonts w:ascii="宋体" w:hAnsi="宋体" w:cs="宋体"/>
          <w:b/>
          <w:color w:val="auto"/>
          <w:highlight w:val="none"/>
        </w:rPr>
      </w:pPr>
      <w:r>
        <w:rPr>
          <w:rFonts w:hint="eastAsia" w:ascii="宋体" w:hAnsi="宋体" w:cs="宋体"/>
          <w:b/>
          <w:bCs/>
          <w:color w:val="auto"/>
          <w:szCs w:val="27"/>
          <w:highlight w:val="none"/>
        </w:rPr>
        <w:t xml:space="preserve">第十三条 </w:t>
      </w:r>
      <w:r>
        <w:rPr>
          <w:rFonts w:hint="eastAsia" w:ascii="宋体" w:hAnsi="宋体" w:cs="宋体"/>
          <w:bCs/>
          <w:color w:val="auto"/>
          <w:highlight w:val="none"/>
        </w:rPr>
        <w:t>转让与分包</w:t>
      </w:r>
    </w:p>
    <w:p w14:paraId="1BCDDD7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szCs w:val="27"/>
          <w:highlight w:val="none"/>
        </w:rPr>
        <w:t>.</w:t>
      </w:r>
      <w:r>
        <w:rPr>
          <w:rFonts w:hint="eastAsia" w:ascii="宋体" w:hAnsi="宋体" w:cs="宋体"/>
          <w:color w:val="auto"/>
          <w:highlight w:val="none"/>
        </w:rPr>
        <w:t>除甲方事先书面同意外，乙方不得部分转让或全部转让其应履行的合同义务。</w:t>
      </w:r>
    </w:p>
    <w:p w14:paraId="0BABF44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szCs w:val="27"/>
          <w:highlight w:val="none"/>
        </w:rPr>
        <w:t>.</w:t>
      </w:r>
      <w:r>
        <w:rPr>
          <w:rFonts w:hint="eastAsia" w:ascii="宋体" w:hAnsi="宋体" w:cs="宋体"/>
          <w:color w:val="auto"/>
          <w:highlight w:val="none"/>
        </w:rPr>
        <w:t>乙方应在投标文件中或以其他书面形式对甲方确认本合同项下所授予的所有分包合同。但该确认不解除乙方承担的本合同下的任何责任或义务。意即在本合同项下，乙方对甲方负总责。</w:t>
      </w:r>
    </w:p>
    <w:p w14:paraId="78A92556">
      <w:pPr>
        <w:spacing w:line="360" w:lineRule="auto"/>
        <w:ind w:firstLine="422" w:firstLineChars="200"/>
        <w:rPr>
          <w:rFonts w:ascii="宋体" w:hAnsi="宋体" w:cs="宋体"/>
          <w:b/>
          <w:color w:val="auto"/>
          <w:highlight w:val="none"/>
        </w:rPr>
      </w:pPr>
      <w:r>
        <w:rPr>
          <w:rFonts w:hint="eastAsia" w:ascii="宋体" w:hAnsi="宋体" w:cs="宋体"/>
          <w:b/>
          <w:bCs/>
          <w:color w:val="auto"/>
          <w:szCs w:val="27"/>
          <w:highlight w:val="none"/>
        </w:rPr>
        <w:t xml:space="preserve">第十四条 </w:t>
      </w:r>
      <w:r>
        <w:rPr>
          <w:rFonts w:hint="eastAsia" w:ascii="宋体" w:hAnsi="宋体" w:cs="宋体"/>
          <w:bCs/>
          <w:color w:val="auto"/>
          <w:highlight w:val="none"/>
        </w:rPr>
        <w:t>合同文件及资料的使用</w:t>
      </w:r>
    </w:p>
    <w:p w14:paraId="64845E8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szCs w:val="27"/>
          <w:highlight w:val="none"/>
        </w:rPr>
        <w:t>.</w:t>
      </w:r>
      <w:r>
        <w:rPr>
          <w:rFonts w:hint="eastAsia" w:ascii="宋体" w:hAnsi="宋体" w:cs="宋体"/>
          <w:color w:val="auto"/>
          <w:highlight w:val="none"/>
        </w:rPr>
        <w:t>乙方在未经甲方同意的情况下，不得将合同、合同中的规定、有关计划、图纸、样本或甲方为上述内容向乙方提供的资料透露给任何人。</w:t>
      </w:r>
    </w:p>
    <w:p w14:paraId="009B92E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szCs w:val="27"/>
          <w:highlight w:val="none"/>
        </w:rPr>
        <w:t>.</w:t>
      </w:r>
      <w:r>
        <w:rPr>
          <w:rFonts w:hint="eastAsia" w:ascii="宋体" w:hAnsi="宋体" w:cs="宋体"/>
          <w:color w:val="auto"/>
          <w:highlight w:val="none"/>
        </w:rPr>
        <w:t>除非执行合同需要，在事先未得到甲方同意的情况下，乙方不得使用前款所列的任何文件和资料。</w:t>
      </w:r>
    </w:p>
    <w:p w14:paraId="6AE4A316">
      <w:pPr>
        <w:pStyle w:val="2"/>
        <w:kinsoku w:val="0"/>
        <w:overflowPunct w:val="0"/>
        <w:ind w:firstLine="422" w:firstLineChars="200"/>
        <w:rPr>
          <w:rFonts w:ascii="宋体" w:hAnsi="宋体" w:cs="宋体"/>
          <w:color w:val="auto"/>
          <w:kern w:val="2"/>
          <w:sz w:val="21"/>
          <w:szCs w:val="27"/>
          <w:highlight w:val="none"/>
        </w:rPr>
      </w:pPr>
      <w:r>
        <w:rPr>
          <w:rFonts w:hint="eastAsia" w:ascii="宋体" w:hAnsi="宋体" w:cs="宋体"/>
          <w:color w:val="auto"/>
          <w:kern w:val="2"/>
          <w:sz w:val="21"/>
          <w:szCs w:val="27"/>
          <w:highlight w:val="none"/>
        </w:rPr>
        <w:t>第十五条 不可抗力事件处理</w:t>
      </w:r>
    </w:p>
    <w:p w14:paraId="2729B56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szCs w:val="27"/>
          <w:highlight w:val="none"/>
        </w:rPr>
        <w:t>.</w:t>
      </w:r>
      <w:r>
        <w:rPr>
          <w:rFonts w:hint="eastAsia" w:ascii="宋体" w:hAnsi="宋体" w:cs="宋体"/>
          <w:color w:val="auto"/>
          <w:highlight w:val="none"/>
        </w:rPr>
        <w:t>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14:paraId="67AFFA32">
      <w:pPr>
        <w:spacing w:line="360" w:lineRule="auto"/>
        <w:ind w:firstLine="420" w:firstLineChars="200"/>
        <w:rPr>
          <w:rFonts w:ascii="宋体" w:hAnsi="宋体" w:cs="宋体"/>
          <w:color w:val="auto"/>
          <w:szCs w:val="27"/>
          <w:highlight w:val="none"/>
        </w:rPr>
      </w:pPr>
      <w:r>
        <w:rPr>
          <w:rFonts w:hint="eastAsia" w:ascii="宋体" w:hAnsi="宋体" w:cs="宋体"/>
          <w:color w:val="auto"/>
          <w:highlight w:val="none"/>
        </w:rPr>
        <w:t>2</w:t>
      </w:r>
      <w:r>
        <w:rPr>
          <w:rFonts w:hint="eastAsia" w:ascii="宋体" w:hAnsi="宋体" w:cs="宋体"/>
          <w:color w:val="auto"/>
          <w:szCs w:val="27"/>
          <w:highlight w:val="none"/>
        </w:rPr>
        <w:t>.甲乙双方的任何一方由于不可抗力的原因不能履行合同时，应及时向对方通报不能履行或不能完全履行的理由，在取得有关部门证明以后，允许延期履行、部分履行或者不履行合同，并根据情况可部分或全部免予承担违约责任。</w:t>
      </w:r>
    </w:p>
    <w:p w14:paraId="20AFE809">
      <w:pPr>
        <w:pStyle w:val="2"/>
        <w:kinsoku w:val="0"/>
        <w:overflowPunct w:val="0"/>
        <w:ind w:firstLine="422" w:firstLineChars="200"/>
        <w:rPr>
          <w:rFonts w:ascii="宋体" w:hAnsi="宋体" w:cs="宋体"/>
          <w:color w:val="auto"/>
          <w:kern w:val="2"/>
          <w:sz w:val="21"/>
          <w:szCs w:val="27"/>
          <w:highlight w:val="none"/>
        </w:rPr>
      </w:pPr>
      <w:r>
        <w:rPr>
          <w:rFonts w:hint="eastAsia" w:ascii="宋体" w:hAnsi="宋体" w:cs="宋体"/>
          <w:color w:val="auto"/>
          <w:kern w:val="2"/>
          <w:sz w:val="21"/>
          <w:szCs w:val="27"/>
          <w:highlight w:val="none"/>
        </w:rPr>
        <w:t>第十六条 合同纠纷调处</w:t>
      </w:r>
    </w:p>
    <w:p w14:paraId="6F7474E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szCs w:val="27"/>
          <w:highlight w:val="none"/>
        </w:rPr>
        <w:t>.按本合同规定应该偿付的违约金、赔偿金、保管保养费和各种经济损失，应当在明确责任后10天内，按银行规定的结算办法付清，否则按逾期付款处理。</w:t>
      </w:r>
    </w:p>
    <w:p w14:paraId="378987CA">
      <w:pPr>
        <w:spacing w:line="360" w:lineRule="auto"/>
        <w:ind w:firstLine="420" w:firstLineChars="200"/>
        <w:rPr>
          <w:rFonts w:ascii="宋体" w:hAnsi="宋体" w:cs="宋体"/>
          <w:color w:val="auto"/>
          <w:szCs w:val="27"/>
          <w:highlight w:val="none"/>
        </w:rPr>
      </w:pPr>
      <w:r>
        <w:rPr>
          <w:rFonts w:hint="eastAsia" w:ascii="宋体" w:hAnsi="宋体" w:cs="宋体"/>
          <w:color w:val="auto"/>
          <w:highlight w:val="none"/>
        </w:rPr>
        <w:t>2</w:t>
      </w:r>
      <w:r>
        <w:rPr>
          <w:rFonts w:hint="eastAsia" w:ascii="宋体" w:hAnsi="宋体" w:cs="宋体"/>
          <w:color w:val="auto"/>
          <w:szCs w:val="27"/>
          <w:highlight w:val="none"/>
        </w:rPr>
        <w:t>.本合同如发生纠纷，当事人双方应当及时协商解决，协商不成时，任何一方均可请本项目政府采购监督管理部门调解，调解不成，按以下第（ ）项方式处理：①根据《中华人民共和国仲裁法》的规定向</w:t>
      </w:r>
      <w:r>
        <w:rPr>
          <w:rFonts w:hint="eastAsia" w:ascii="宋体" w:hAnsi="宋体" w:cs="宋体"/>
          <w:b/>
          <w:bCs/>
          <w:color w:val="auto"/>
          <w:szCs w:val="27"/>
          <w:highlight w:val="none"/>
          <w:u w:val="single"/>
        </w:rPr>
        <w:t>周口仲裁委员会</w:t>
      </w:r>
      <w:r>
        <w:rPr>
          <w:rFonts w:hint="eastAsia" w:ascii="宋体" w:hAnsi="宋体" w:cs="宋体"/>
          <w:color w:val="auto"/>
          <w:szCs w:val="27"/>
          <w:highlight w:val="none"/>
        </w:rPr>
        <w:t>申请仲裁。②向</w:t>
      </w:r>
      <w:r>
        <w:rPr>
          <w:rFonts w:hint="eastAsia" w:ascii="宋体" w:hAnsi="宋体" w:cs="宋体"/>
          <w:color w:val="auto"/>
          <w:highlight w:val="none"/>
        </w:rPr>
        <w:t>合同签订地有级别管辖权的</w:t>
      </w:r>
      <w:r>
        <w:rPr>
          <w:rFonts w:hint="eastAsia" w:ascii="宋体" w:hAnsi="宋体" w:cs="宋体"/>
          <w:color w:val="auto"/>
          <w:szCs w:val="27"/>
          <w:highlight w:val="none"/>
        </w:rPr>
        <w:t>人民法院起诉。</w:t>
      </w:r>
    </w:p>
    <w:p w14:paraId="7F7875B7">
      <w:pPr>
        <w:pStyle w:val="2"/>
        <w:kinsoku w:val="0"/>
        <w:overflowPunct w:val="0"/>
        <w:ind w:firstLine="420" w:firstLineChars="200"/>
        <w:rPr>
          <w:rFonts w:ascii="宋体" w:hAnsi="宋体" w:cs="宋体"/>
          <w:b w:val="0"/>
          <w:bCs w:val="0"/>
          <w:color w:val="auto"/>
          <w:kern w:val="2"/>
          <w:sz w:val="21"/>
          <w:szCs w:val="27"/>
          <w:highlight w:val="none"/>
        </w:rPr>
      </w:pPr>
      <w:r>
        <w:rPr>
          <w:rFonts w:hint="eastAsia" w:ascii="宋体" w:hAnsi="宋体" w:cs="宋体"/>
          <w:b w:val="0"/>
          <w:bCs w:val="0"/>
          <w:color w:val="auto"/>
          <w:kern w:val="2"/>
          <w:sz w:val="21"/>
          <w:szCs w:val="27"/>
          <w:highlight w:val="none"/>
        </w:rPr>
        <w:t>3、甲、乙双方均有权利向本项目具有监管职能的政府采购监督管理部门举报反映对方在合同履约中的违法违纪行为。</w:t>
      </w:r>
    </w:p>
    <w:p w14:paraId="7FBA788A">
      <w:pPr>
        <w:spacing w:line="360" w:lineRule="auto"/>
        <w:ind w:firstLine="422" w:firstLineChars="200"/>
        <w:rPr>
          <w:rFonts w:ascii="宋体" w:hAnsi="宋体" w:cs="宋体"/>
          <w:b/>
          <w:bCs/>
          <w:color w:val="auto"/>
          <w:szCs w:val="27"/>
          <w:highlight w:val="none"/>
        </w:rPr>
      </w:pPr>
      <w:r>
        <w:rPr>
          <w:rFonts w:hint="eastAsia" w:ascii="宋体" w:hAnsi="宋体" w:cs="宋体"/>
          <w:b/>
          <w:bCs/>
          <w:color w:val="auto"/>
          <w:szCs w:val="27"/>
          <w:highlight w:val="none"/>
        </w:rPr>
        <w:t>第十七条 其他</w:t>
      </w:r>
    </w:p>
    <w:p w14:paraId="001C93D2">
      <w:pPr>
        <w:spacing w:line="360" w:lineRule="auto"/>
        <w:ind w:firstLine="422" w:firstLineChars="200"/>
        <w:rPr>
          <w:rFonts w:ascii="宋体" w:hAnsi="宋体" w:cs="宋体"/>
          <w:color w:val="auto"/>
          <w:szCs w:val="27"/>
          <w:highlight w:val="none"/>
        </w:rPr>
      </w:pPr>
      <w:r>
        <w:rPr>
          <w:rFonts w:hint="eastAsia" w:ascii="宋体" w:hAnsi="宋体" w:cs="宋体"/>
          <w:b/>
          <w:bCs/>
          <w:color w:val="auto"/>
          <w:szCs w:val="27"/>
          <w:highlight w:val="none"/>
        </w:rPr>
        <w:t xml:space="preserve"> </w:t>
      </w:r>
      <w:r>
        <w:rPr>
          <w:rFonts w:hint="eastAsia" w:ascii="宋体" w:hAnsi="宋体" w:cs="宋体"/>
          <w:color w:val="auto"/>
          <w:szCs w:val="27"/>
          <w:highlight w:val="none"/>
        </w:rPr>
        <w:t>下列关于</w:t>
      </w:r>
      <w:r>
        <w:rPr>
          <w:rFonts w:hint="eastAsia" w:ascii="宋体" w:hAnsi="宋体" w:cs="宋体"/>
          <w:color w:val="auto"/>
          <w:szCs w:val="27"/>
          <w:highlight w:val="none"/>
          <w:u w:val="single"/>
        </w:rPr>
        <w:t>某项目（项目编号：某编号）</w:t>
      </w:r>
      <w:r>
        <w:rPr>
          <w:rFonts w:hint="eastAsia" w:ascii="宋体" w:hAnsi="宋体" w:cs="宋体"/>
          <w:color w:val="auto"/>
          <w:szCs w:val="27"/>
          <w:highlight w:val="none"/>
        </w:rPr>
        <w:t>的采购文件及有关附件是本合同不可分割的组成部分，与本合同具有同等法律效力，这些文件包括但不限于：①招标文件；②乙方提供的投标文件；③服务承诺；④甲乙双方商定的其他文件。以上附件顺序在前的具有优先解释权。</w:t>
      </w:r>
    </w:p>
    <w:p w14:paraId="39B6A1B1">
      <w:pPr>
        <w:spacing w:line="360" w:lineRule="auto"/>
        <w:ind w:firstLine="420" w:firstLineChars="200"/>
        <w:rPr>
          <w:rFonts w:ascii="宋体" w:hAnsi="宋体" w:cs="宋体"/>
          <w:color w:val="auto"/>
          <w:szCs w:val="27"/>
          <w:highlight w:val="none"/>
        </w:rPr>
      </w:pPr>
      <w:r>
        <w:rPr>
          <w:rFonts w:hint="eastAsia" w:ascii="宋体" w:hAnsi="宋体" w:cs="宋体"/>
          <w:color w:val="auto"/>
          <w:szCs w:val="27"/>
          <w:highlight w:val="none"/>
        </w:rPr>
        <w:t xml:space="preserve">    </w:t>
      </w:r>
      <w:r>
        <w:rPr>
          <w:rFonts w:hint="eastAsia" w:ascii="宋体" w:hAnsi="宋体" w:cs="宋体"/>
          <w:color w:val="auto"/>
          <w:highlight w:val="none"/>
        </w:rPr>
        <w:t>本合同一式</w:t>
      </w:r>
      <w:r>
        <w:rPr>
          <w:rFonts w:hint="eastAsia" w:ascii="宋体" w:hAnsi="宋体" w:cs="宋体"/>
          <w:color w:val="auto"/>
          <w:highlight w:val="none"/>
          <w:u w:val="single"/>
        </w:rPr>
        <w:t xml:space="preserve">   </w:t>
      </w:r>
      <w:r>
        <w:rPr>
          <w:rFonts w:hint="eastAsia" w:ascii="宋体" w:hAnsi="宋体" w:cs="宋体"/>
          <w:color w:val="auto"/>
          <w:highlight w:val="none"/>
        </w:rPr>
        <w:t>份，甲乙双方各执</w:t>
      </w:r>
      <w:r>
        <w:rPr>
          <w:rFonts w:hint="eastAsia" w:ascii="宋体" w:hAnsi="宋体" w:cs="宋体"/>
          <w:color w:val="auto"/>
          <w:highlight w:val="none"/>
          <w:u w:val="single"/>
        </w:rPr>
        <w:t xml:space="preserve">   </w:t>
      </w:r>
      <w:r>
        <w:rPr>
          <w:rFonts w:hint="eastAsia" w:ascii="宋体" w:hAnsi="宋体" w:cs="宋体"/>
          <w:color w:val="auto"/>
          <w:highlight w:val="none"/>
        </w:rPr>
        <w:t>份，自双方当事人签字盖章之日起生效。</w:t>
      </w:r>
    </w:p>
    <w:p w14:paraId="0CDB9CAE">
      <w:pPr>
        <w:spacing w:line="360" w:lineRule="auto"/>
        <w:ind w:firstLine="420" w:firstLineChars="200"/>
        <w:rPr>
          <w:rFonts w:ascii="宋体" w:hAnsi="宋体" w:cs="宋体"/>
          <w:color w:val="auto"/>
          <w:szCs w:val="27"/>
          <w:highlight w:val="none"/>
        </w:rPr>
      </w:pPr>
    </w:p>
    <w:p w14:paraId="2936BEFB">
      <w:pPr>
        <w:pStyle w:val="36"/>
        <w:ind w:firstLine="210"/>
        <w:rPr>
          <w:rFonts w:ascii="宋体" w:hAnsi="宋体" w:cs="宋体"/>
          <w:color w:val="auto"/>
          <w:highlight w:val="none"/>
        </w:rPr>
      </w:pPr>
    </w:p>
    <w:p w14:paraId="79E98624">
      <w:pPr>
        <w:spacing w:line="360" w:lineRule="auto"/>
        <w:ind w:firstLine="420" w:firstLineChars="200"/>
        <w:rPr>
          <w:rFonts w:ascii="宋体" w:hAnsi="宋体" w:cs="宋体"/>
          <w:color w:val="auto"/>
          <w:szCs w:val="27"/>
          <w:highlight w:val="none"/>
        </w:rPr>
      </w:pPr>
      <w:r>
        <w:rPr>
          <w:rFonts w:hint="eastAsia" w:ascii="宋体" w:hAnsi="宋体" w:cs="宋体"/>
          <w:color w:val="auto"/>
          <w:szCs w:val="27"/>
          <w:highlight w:val="none"/>
        </w:rPr>
        <w:t xml:space="preserve">采购人（甲方）：    （公章）           供货人（乙方）：     （公章）  </w:t>
      </w:r>
    </w:p>
    <w:p w14:paraId="329E7648">
      <w:pPr>
        <w:spacing w:line="360" w:lineRule="auto"/>
        <w:ind w:firstLine="420" w:firstLineChars="200"/>
        <w:rPr>
          <w:rFonts w:ascii="宋体" w:hAnsi="宋体" w:cs="宋体"/>
          <w:color w:val="auto"/>
          <w:highlight w:val="none"/>
        </w:rPr>
      </w:pPr>
      <w:r>
        <w:rPr>
          <w:rFonts w:hint="eastAsia" w:ascii="宋体" w:hAnsi="宋体" w:cs="宋体"/>
          <w:color w:val="auto"/>
          <w:szCs w:val="27"/>
          <w:highlight w:val="none"/>
        </w:rPr>
        <w:t>地址：                               地址：</w:t>
      </w:r>
    </w:p>
    <w:p w14:paraId="25E832A4">
      <w:pPr>
        <w:spacing w:line="360" w:lineRule="auto"/>
        <w:ind w:firstLine="420" w:firstLineChars="200"/>
        <w:rPr>
          <w:rFonts w:ascii="宋体" w:hAnsi="宋体" w:cs="宋体"/>
          <w:color w:val="auto"/>
          <w:szCs w:val="27"/>
          <w:highlight w:val="none"/>
        </w:rPr>
      </w:pPr>
      <w:r>
        <w:rPr>
          <w:rFonts w:hint="eastAsia" w:ascii="宋体" w:hAnsi="宋体" w:cs="宋体"/>
          <w:color w:val="auto"/>
          <w:szCs w:val="27"/>
          <w:highlight w:val="none"/>
        </w:rPr>
        <w:t>法定代表人：                         法定代表人：</w:t>
      </w:r>
    </w:p>
    <w:p w14:paraId="175198C7">
      <w:pPr>
        <w:spacing w:line="360" w:lineRule="auto"/>
        <w:ind w:firstLine="420" w:firstLineChars="200"/>
        <w:rPr>
          <w:rFonts w:ascii="宋体" w:hAnsi="宋体" w:cs="宋体"/>
          <w:color w:val="auto"/>
          <w:highlight w:val="none"/>
          <w:u w:val="single"/>
        </w:rPr>
      </w:pPr>
      <w:r>
        <w:rPr>
          <w:rFonts w:hint="eastAsia" w:ascii="宋体" w:hAnsi="宋体" w:cs="宋体"/>
          <w:color w:val="auto"/>
          <w:szCs w:val="27"/>
          <w:highlight w:val="none"/>
        </w:rPr>
        <w:t>委托代理人：                         委托代理人：</w:t>
      </w:r>
    </w:p>
    <w:p w14:paraId="20CF655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电话：                               电话：</w:t>
      </w:r>
    </w:p>
    <w:p w14:paraId="211BB971">
      <w:pPr>
        <w:spacing w:line="360" w:lineRule="auto"/>
        <w:ind w:firstLine="420" w:firstLineChars="200"/>
        <w:rPr>
          <w:rFonts w:ascii="宋体" w:hAnsi="宋体" w:cs="宋体"/>
          <w:color w:val="auto"/>
          <w:szCs w:val="27"/>
          <w:highlight w:val="none"/>
        </w:rPr>
      </w:pPr>
      <w:r>
        <w:rPr>
          <w:rFonts w:hint="eastAsia" w:ascii="宋体" w:hAnsi="宋体" w:cs="宋体"/>
          <w:color w:val="auto"/>
          <w:szCs w:val="27"/>
          <w:highlight w:val="none"/>
        </w:rPr>
        <w:t>开户银行：                           开户银行：</w:t>
      </w:r>
    </w:p>
    <w:p w14:paraId="1522978E">
      <w:pPr>
        <w:spacing w:line="360" w:lineRule="auto"/>
        <w:ind w:firstLine="420" w:firstLineChars="200"/>
        <w:rPr>
          <w:rFonts w:ascii="宋体" w:hAnsi="宋体" w:cs="宋体"/>
          <w:color w:val="auto"/>
          <w:highlight w:val="none"/>
        </w:rPr>
      </w:pPr>
      <w:r>
        <w:rPr>
          <w:rFonts w:hint="eastAsia" w:ascii="宋体" w:hAnsi="宋体" w:cs="宋体"/>
          <w:color w:val="auto"/>
          <w:szCs w:val="27"/>
          <w:highlight w:val="none"/>
        </w:rPr>
        <w:t>账号：                               账号：</w:t>
      </w:r>
    </w:p>
    <w:p w14:paraId="3C195AC5">
      <w:pPr>
        <w:spacing w:line="640" w:lineRule="exact"/>
        <w:ind w:firstLine="420" w:firstLineChars="200"/>
        <w:rPr>
          <w:rFonts w:ascii="宋体" w:hAnsi="宋体" w:cs="宋体"/>
          <w:color w:val="auto"/>
          <w:szCs w:val="27"/>
          <w:highlight w:val="none"/>
          <w:u w:val="single"/>
        </w:rPr>
      </w:pPr>
    </w:p>
    <w:p w14:paraId="7732A2ED">
      <w:pPr>
        <w:pStyle w:val="36"/>
        <w:ind w:firstLine="210"/>
        <w:jc w:val="center"/>
        <w:rPr>
          <w:b/>
          <w:color w:val="auto"/>
          <w:sz w:val="32"/>
          <w:szCs w:val="32"/>
          <w:highlight w:val="none"/>
        </w:rPr>
      </w:pPr>
      <w:r>
        <w:rPr>
          <w:rFonts w:hint="eastAsia" w:ascii="宋体" w:hAnsi="宋体" w:cs="宋体"/>
          <w:color w:val="auto"/>
          <w:szCs w:val="27"/>
          <w:highlight w:val="none"/>
          <w:u w:val="single"/>
        </w:rPr>
        <w:t>        </w:t>
      </w:r>
      <w:r>
        <w:rPr>
          <w:rFonts w:hint="eastAsia" w:ascii="宋体" w:hAnsi="宋体" w:cs="宋体"/>
          <w:color w:val="auto"/>
          <w:szCs w:val="27"/>
          <w:highlight w:val="none"/>
        </w:rPr>
        <w:t>年</w:t>
      </w:r>
      <w:r>
        <w:rPr>
          <w:rFonts w:hint="eastAsia" w:ascii="宋体" w:hAnsi="宋体" w:cs="宋体"/>
          <w:color w:val="auto"/>
          <w:szCs w:val="27"/>
          <w:highlight w:val="none"/>
          <w:u w:val="single"/>
        </w:rPr>
        <w:t xml:space="preserve">    </w:t>
      </w:r>
      <w:r>
        <w:rPr>
          <w:rFonts w:hint="eastAsia" w:ascii="宋体" w:hAnsi="宋体" w:cs="宋体"/>
          <w:color w:val="auto"/>
          <w:szCs w:val="27"/>
          <w:highlight w:val="none"/>
        </w:rPr>
        <w:t>月</w:t>
      </w:r>
      <w:r>
        <w:rPr>
          <w:rFonts w:hint="eastAsia" w:ascii="宋体" w:hAnsi="宋体" w:cs="宋体"/>
          <w:color w:val="auto"/>
          <w:szCs w:val="27"/>
          <w:highlight w:val="none"/>
          <w:u w:val="single"/>
        </w:rPr>
        <w:t xml:space="preserve">    </w:t>
      </w:r>
      <w:r>
        <w:rPr>
          <w:rFonts w:hint="eastAsia" w:ascii="宋体" w:hAnsi="宋体" w:cs="宋体"/>
          <w:color w:val="auto"/>
          <w:szCs w:val="27"/>
          <w:highlight w:val="none"/>
        </w:rPr>
        <w:t xml:space="preserve">日                      </w:t>
      </w:r>
      <w:r>
        <w:rPr>
          <w:rFonts w:hint="eastAsia" w:ascii="宋体" w:hAnsi="宋体" w:cs="宋体"/>
          <w:color w:val="auto"/>
          <w:szCs w:val="27"/>
          <w:highlight w:val="none"/>
          <w:u w:val="single"/>
        </w:rPr>
        <w:t xml:space="preserve">         </w:t>
      </w:r>
      <w:r>
        <w:rPr>
          <w:rFonts w:hint="eastAsia" w:ascii="宋体" w:hAnsi="宋体" w:cs="宋体"/>
          <w:color w:val="auto"/>
          <w:szCs w:val="27"/>
          <w:highlight w:val="none"/>
        </w:rPr>
        <w:t>年</w:t>
      </w:r>
      <w:r>
        <w:rPr>
          <w:rFonts w:hint="eastAsia" w:ascii="宋体" w:hAnsi="宋体" w:cs="宋体"/>
          <w:color w:val="auto"/>
          <w:szCs w:val="27"/>
          <w:highlight w:val="none"/>
          <w:u w:val="single"/>
        </w:rPr>
        <w:t xml:space="preserve">    </w:t>
      </w:r>
      <w:r>
        <w:rPr>
          <w:rFonts w:hint="eastAsia" w:ascii="宋体" w:hAnsi="宋体" w:cs="宋体"/>
          <w:color w:val="auto"/>
          <w:szCs w:val="27"/>
          <w:highlight w:val="none"/>
        </w:rPr>
        <w:t>月</w:t>
      </w:r>
      <w:r>
        <w:rPr>
          <w:rFonts w:hint="eastAsia" w:ascii="宋体" w:hAnsi="宋体" w:cs="宋体"/>
          <w:color w:val="auto"/>
          <w:szCs w:val="27"/>
          <w:highlight w:val="none"/>
          <w:u w:val="single"/>
        </w:rPr>
        <w:t xml:space="preserve">  </w:t>
      </w:r>
      <w:r>
        <w:rPr>
          <w:rFonts w:hint="eastAsia" w:ascii="宋体" w:hAnsi="宋体" w:cs="宋体"/>
          <w:color w:val="auto"/>
          <w:szCs w:val="27"/>
          <w:highlight w:val="none"/>
        </w:rPr>
        <w:t>日</w:t>
      </w:r>
    </w:p>
    <w:p w14:paraId="7D5AE6CC">
      <w:pPr>
        <w:pStyle w:val="36"/>
        <w:ind w:firstLine="321"/>
        <w:jc w:val="center"/>
        <w:rPr>
          <w:b/>
          <w:color w:val="auto"/>
          <w:sz w:val="32"/>
          <w:szCs w:val="32"/>
          <w:highlight w:val="none"/>
        </w:rPr>
      </w:pPr>
    </w:p>
    <w:p w14:paraId="2D26135E">
      <w:pPr>
        <w:pStyle w:val="36"/>
        <w:ind w:firstLine="321"/>
        <w:jc w:val="center"/>
        <w:rPr>
          <w:b/>
          <w:color w:val="auto"/>
          <w:sz w:val="32"/>
          <w:szCs w:val="32"/>
          <w:highlight w:val="none"/>
        </w:rPr>
      </w:pPr>
    </w:p>
    <w:p w14:paraId="1EA8836A">
      <w:pPr>
        <w:pStyle w:val="36"/>
        <w:ind w:firstLine="321"/>
        <w:jc w:val="center"/>
        <w:rPr>
          <w:b/>
          <w:color w:val="auto"/>
          <w:sz w:val="32"/>
          <w:szCs w:val="32"/>
          <w:highlight w:val="none"/>
        </w:rPr>
      </w:pPr>
    </w:p>
    <w:p w14:paraId="45C37D29">
      <w:pPr>
        <w:pStyle w:val="36"/>
        <w:ind w:firstLine="321"/>
        <w:jc w:val="center"/>
        <w:rPr>
          <w:b/>
          <w:color w:val="auto"/>
          <w:sz w:val="32"/>
          <w:szCs w:val="32"/>
          <w:highlight w:val="none"/>
        </w:rPr>
      </w:pPr>
    </w:p>
    <w:p w14:paraId="2BF47A39">
      <w:pPr>
        <w:pStyle w:val="36"/>
        <w:ind w:firstLine="321"/>
        <w:jc w:val="center"/>
        <w:rPr>
          <w:b/>
          <w:color w:val="auto"/>
          <w:sz w:val="32"/>
          <w:szCs w:val="32"/>
          <w:highlight w:val="none"/>
        </w:rPr>
      </w:pPr>
    </w:p>
    <w:p w14:paraId="7A8CE835">
      <w:pPr>
        <w:pStyle w:val="36"/>
        <w:ind w:firstLine="321"/>
        <w:jc w:val="center"/>
        <w:rPr>
          <w:b/>
          <w:color w:val="auto"/>
          <w:sz w:val="32"/>
          <w:szCs w:val="32"/>
          <w:highlight w:val="none"/>
        </w:rPr>
      </w:pPr>
    </w:p>
    <w:p w14:paraId="5E31350A">
      <w:pPr>
        <w:pStyle w:val="36"/>
        <w:ind w:firstLine="321"/>
        <w:jc w:val="center"/>
        <w:rPr>
          <w:b/>
          <w:color w:val="auto"/>
          <w:sz w:val="32"/>
          <w:szCs w:val="32"/>
          <w:highlight w:val="none"/>
        </w:rPr>
      </w:pPr>
    </w:p>
    <w:p w14:paraId="0EFA1CB3">
      <w:pPr>
        <w:pStyle w:val="36"/>
        <w:ind w:firstLine="321"/>
        <w:jc w:val="center"/>
        <w:rPr>
          <w:b/>
          <w:color w:val="auto"/>
          <w:sz w:val="32"/>
          <w:szCs w:val="32"/>
          <w:highlight w:val="none"/>
        </w:rPr>
      </w:pPr>
    </w:p>
    <w:p w14:paraId="0DDA3127">
      <w:pPr>
        <w:pStyle w:val="36"/>
        <w:ind w:firstLine="321"/>
        <w:jc w:val="center"/>
        <w:rPr>
          <w:b/>
          <w:color w:val="auto"/>
          <w:sz w:val="32"/>
          <w:szCs w:val="32"/>
          <w:highlight w:val="none"/>
        </w:rPr>
      </w:pPr>
    </w:p>
    <w:p w14:paraId="2C519C40">
      <w:pPr>
        <w:pStyle w:val="36"/>
        <w:ind w:firstLine="321"/>
        <w:jc w:val="center"/>
        <w:rPr>
          <w:b/>
          <w:color w:val="auto"/>
          <w:sz w:val="32"/>
          <w:szCs w:val="32"/>
          <w:highlight w:val="none"/>
        </w:rPr>
      </w:pPr>
    </w:p>
    <w:p w14:paraId="73AD1989">
      <w:pPr>
        <w:pStyle w:val="36"/>
        <w:ind w:firstLine="321"/>
        <w:jc w:val="center"/>
        <w:rPr>
          <w:b/>
          <w:color w:val="auto"/>
          <w:sz w:val="32"/>
          <w:szCs w:val="32"/>
          <w:highlight w:val="none"/>
        </w:rPr>
      </w:pPr>
    </w:p>
    <w:p w14:paraId="3343F0B4">
      <w:pPr>
        <w:pStyle w:val="36"/>
        <w:ind w:firstLine="321"/>
        <w:jc w:val="center"/>
        <w:rPr>
          <w:b/>
          <w:color w:val="auto"/>
          <w:sz w:val="32"/>
          <w:szCs w:val="32"/>
          <w:highlight w:val="none"/>
        </w:rPr>
      </w:pPr>
    </w:p>
    <w:p w14:paraId="5FA89B8D">
      <w:pPr>
        <w:pStyle w:val="36"/>
        <w:ind w:firstLine="321"/>
        <w:jc w:val="center"/>
        <w:rPr>
          <w:b/>
          <w:color w:val="auto"/>
          <w:sz w:val="32"/>
          <w:szCs w:val="32"/>
          <w:highlight w:val="none"/>
        </w:rPr>
      </w:pPr>
    </w:p>
    <w:p w14:paraId="5AA7DD92">
      <w:pPr>
        <w:pStyle w:val="36"/>
        <w:ind w:firstLine="321"/>
        <w:jc w:val="center"/>
        <w:rPr>
          <w:b/>
          <w:color w:val="auto"/>
          <w:sz w:val="32"/>
          <w:szCs w:val="32"/>
          <w:highlight w:val="none"/>
        </w:rPr>
      </w:pPr>
    </w:p>
    <w:p w14:paraId="48C4D08B">
      <w:pPr>
        <w:pStyle w:val="36"/>
        <w:ind w:firstLine="321"/>
        <w:jc w:val="center"/>
        <w:rPr>
          <w:b/>
          <w:color w:val="auto"/>
          <w:sz w:val="32"/>
          <w:szCs w:val="32"/>
          <w:highlight w:val="none"/>
        </w:rPr>
      </w:pPr>
    </w:p>
    <w:p w14:paraId="4D474F64">
      <w:pPr>
        <w:pStyle w:val="36"/>
        <w:ind w:firstLine="321"/>
        <w:jc w:val="center"/>
        <w:rPr>
          <w:b/>
          <w:color w:val="auto"/>
          <w:sz w:val="32"/>
          <w:szCs w:val="32"/>
          <w:highlight w:val="none"/>
        </w:rPr>
      </w:pPr>
    </w:p>
    <w:p w14:paraId="07893231">
      <w:pPr>
        <w:pStyle w:val="36"/>
        <w:ind w:firstLine="321"/>
        <w:jc w:val="center"/>
        <w:rPr>
          <w:b/>
          <w:color w:val="auto"/>
          <w:sz w:val="32"/>
          <w:szCs w:val="32"/>
          <w:highlight w:val="none"/>
        </w:rPr>
      </w:pPr>
      <w:r>
        <w:rPr>
          <w:rFonts w:hint="eastAsia"/>
          <w:b/>
          <w:color w:val="auto"/>
          <w:sz w:val="32"/>
          <w:szCs w:val="32"/>
          <w:highlight w:val="none"/>
        </w:rPr>
        <w:t>周口市政府采购合同融资政策告知函</w:t>
      </w:r>
    </w:p>
    <w:p w14:paraId="179DF188">
      <w:pPr>
        <w:pStyle w:val="36"/>
        <w:ind w:firstLine="240"/>
        <w:rPr>
          <w:rFonts w:asciiTheme="minorEastAsia" w:hAnsiTheme="minorEastAsia" w:eastAsiaTheme="minorEastAsia"/>
          <w:color w:val="auto"/>
          <w:sz w:val="24"/>
          <w:highlight w:val="none"/>
        </w:rPr>
      </w:pPr>
    </w:p>
    <w:p w14:paraId="3F4A5CB0">
      <w:pPr>
        <w:pStyle w:val="36"/>
        <w:ind w:firstLine="240"/>
        <w:rPr>
          <w:rFonts w:asciiTheme="minorEastAsia" w:hAnsiTheme="minorEastAsia" w:eastAsiaTheme="minorEastAsia"/>
          <w:color w:val="auto"/>
          <w:sz w:val="24"/>
          <w:highlight w:val="none"/>
        </w:rPr>
      </w:pPr>
    </w:p>
    <w:p w14:paraId="122588D9">
      <w:pPr>
        <w:pStyle w:val="36"/>
        <w:ind w:firstLine="240"/>
        <w:rPr>
          <w:rFonts w:asciiTheme="minorEastAsia" w:hAnsiTheme="minorEastAsia" w:eastAsiaTheme="minorEastAsia"/>
          <w:color w:val="auto"/>
          <w:sz w:val="24"/>
          <w:highlight w:val="none"/>
        </w:rPr>
      </w:pPr>
    </w:p>
    <w:p w14:paraId="49EE7DC6">
      <w:pPr>
        <w:pStyle w:val="36"/>
        <w:ind w:firstLine="24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各供应商：</w:t>
      </w:r>
    </w:p>
    <w:p w14:paraId="3CD9F9A5">
      <w:pPr>
        <w:pStyle w:val="36"/>
        <w:ind w:firstLine="24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欢迎贵公司参与周口市政府采购活动！</w:t>
      </w:r>
    </w:p>
    <w:p w14:paraId="212D48A7">
      <w:pPr>
        <w:pStyle w:val="36"/>
        <w:ind w:firstLine="24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68F08692">
      <w:pPr>
        <w:pStyle w:val="36"/>
        <w:ind w:firstLine="24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贷款渠道和提供贷款的金融机构，可在河南省政府采购网“河南省政府采购合同融资平台”查询联系。</w:t>
      </w:r>
    </w:p>
    <w:p w14:paraId="22BFD508">
      <w:pPr>
        <w:pStyle w:val="36"/>
        <w:ind w:firstLine="240"/>
        <w:rPr>
          <w:rFonts w:asciiTheme="minorEastAsia" w:hAnsiTheme="minorEastAsia" w:eastAsiaTheme="minorEastAsia"/>
          <w:color w:val="auto"/>
          <w:sz w:val="24"/>
          <w:highlight w:val="none"/>
        </w:rPr>
      </w:pPr>
    </w:p>
    <w:p w14:paraId="57F4A110">
      <w:pPr>
        <w:pStyle w:val="36"/>
        <w:ind w:firstLine="240"/>
        <w:rPr>
          <w:rFonts w:asciiTheme="minorEastAsia" w:hAnsiTheme="minorEastAsia" w:eastAsiaTheme="minorEastAsia"/>
          <w:color w:val="auto"/>
          <w:sz w:val="24"/>
          <w:highlight w:val="none"/>
        </w:rPr>
      </w:pPr>
    </w:p>
    <w:p w14:paraId="5ADC1914">
      <w:pPr>
        <w:pStyle w:val="36"/>
        <w:ind w:firstLine="240"/>
        <w:rPr>
          <w:rFonts w:asciiTheme="minorEastAsia" w:hAnsiTheme="minorEastAsia" w:eastAsiaTheme="minorEastAsia"/>
          <w:color w:val="auto"/>
          <w:sz w:val="24"/>
          <w:highlight w:val="none"/>
        </w:rPr>
      </w:pPr>
    </w:p>
    <w:p w14:paraId="2662BDEF">
      <w:pPr>
        <w:pStyle w:val="36"/>
        <w:ind w:firstLine="240"/>
        <w:rPr>
          <w:rFonts w:asciiTheme="minorEastAsia" w:hAnsiTheme="minorEastAsia" w:eastAsiaTheme="minorEastAsia"/>
          <w:color w:val="auto"/>
          <w:sz w:val="24"/>
          <w:highlight w:val="none"/>
        </w:rPr>
      </w:pPr>
    </w:p>
    <w:p w14:paraId="6BE72FD2">
      <w:pPr>
        <w:pStyle w:val="36"/>
        <w:ind w:firstLine="240"/>
        <w:rPr>
          <w:rFonts w:asciiTheme="minorEastAsia" w:hAnsiTheme="minorEastAsia" w:eastAsiaTheme="minorEastAsia"/>
          <w:color w:val="auto"/>
          <w:sz w:val="24"/>
          <w:highlight w:val="none"/>
        </w:rPr>
      </w:pPr>
    </w:p>
    <w:p w14:paraId="62507DA5">
      <w:pPr>
        <w:pStyle w:val="36"/>
        <w:ind w:firstLine="240"/>
        <w:rPr>
          <w:rFonts w:asciiTheme="minorEastAsia" w:hAnsiTheme="minorEastAsia" w:eastAsiaTheme="minorEastAsia"/>
          <w:color w:val="auto"/>
          <w:sz w:val="24"/>
          <w:highlight w:val="none"/>
        </w:rPr>
      </w:pPr>
    </w:p>
    <w:p w14:paraId="542696F3">
      <w:pPr>
        <w:pStyle w:val="36"/>
        <w:ind w:firstLine="240"/>
        <w:rPr>
          <w:rFonts w:asciiTheme="minorEastAsia" w:hAnsiTheme="minorEastAsia" w:eastAsiaTheme="minorEastAsia"/>
          <w:color w:val="auto"/>
          <w:sz w:val="24"/>
          <w:highlight w:val="none"/>
        </w:rPr>
      </w:pPr>
    </w:p>
    <w:p w14:paraId="1EB82567">
      <w:pPr>
        <w:pStyle w:val="36"/>
        <w:ind w:firstLine="240"/>
        <w:rPr>
          <w:rFonts w:asciiTheme="minorEastAsia" w:hAnsiTheme="minorEastAsia" w:eastAsiaTheme="minorEastAsia"/>
          <w:color w:val="auto"/>
          <w:sz w:val="24"/>
          <w:highlight w:val="none"/>
        </w:rPr>
      </w:pPr>
    </w:p>
    <w:p w14:paraId="14C48397">
      <w:pPr>
        <w:pStyle w:val="36"/>
        <w:ind w:firstLine="240"/>
        <w:rPr>
          <w:rFonts w:asciiTheme="minorEastAsia" w:hAnsiTheme="minorEastAsia" w:eastAsiaTheme="minorEastAsia"/>
          <w:color w:val="auto"/>
          <w:sz w:val="24"/>
          <w:highlight w:val="none"/>
        </w:rPr>
      </w:pPr>
    </w:p>
    <w:p w14:paraId="54FB4B48">
      <w:pPr>
        <w:pStyle w:val="36"/>
        <w:ind w:firstLine="240"/>
        <w:rPr>
          <w:rFonts w:asciiTheme="minorEastAsia" w:hAnsiTheme="minorEastAsia" w:eastAsiaTheme="minorEastAsia"/>
          <w:color w:val="auto"/>
          <w:sz w:val="24"/>
          <w:highlight w:val="none"/>
        </w:rPr>
      </w:pPr>
    </w:p>
    <w:p w14:paraId="43813916">
      <w:pPr>
        <w:pStyle w:val="36"/>
        <w:ind w:firstLine="240"/>
        <w:rPr>
          <w:rFonts w:asciiTheme="minorEastAsia" w:hAnsiTheme="minorEastAsia" w:eastAsiaTheme="minorEastAsia"/>
          <w:color w:val="auto"/>
          <w:sz w:val="24"/>
          <w:highlight w:val="none"/>
        </w:rPr>
      </w:pPr>
    </w:p>
    <w:p w14:paraId="58E87DA2">
      <w:pPr>
        <w:pStyle w:val="36"/>
        <w:ind w:firstLine="240"/>
        <w:rPr>
          <w:rFonts w:asciiTheme="minorEastAsia" w:hAnsiTheme="minorEastAsia" w:eastAsiaTheme="minorEastAsia"/>
          <w:color w:val="auto"/>
          <w:sz w:val="24"/>
          <w:highlight w:val="none"/>
        </w:rPr>
      </w:pPr>
    </w:p>
    <w:p w14:paraId="7430D48B">
      <w:pPr>
        <w:pStyle w:val="36"/>
        <w:ind w:firstLine="240"/>
        <w:rPr>
          <w:rFonts w:asciiTheme="minorEastAsia" w:hAnsiTheme="minorEastAsia" w:eastAsiaTheme="minorEastAsia"/>
          <w:color w:val="auto"/>
          <w:sz w:val="24"/>
          <w:highlight w:val="none"/>
        </w:rPr>
      </w:pPr>
    </w:p>
    <w:p w14:paraId="759AA27C">
      <w:pPr>
        <w:pStyle w:val="36"/>
        <w:ind w:firstLine="240"/>
        <w:rPr>
          <w:rFonts w:asciiTheme="minorEastAsia" w:hAnsiTheme="minorEastAsia" w:eastAsiaTheme="minorEastAsia"/>
          <w:color w:val="auto"/>
          <w:sz w:val="24"/>
          <w:highlight w:val="none"/>
        </w:rPr>
      </w:pPr>
    </w:p>
    <w:p w14:paraId="62E01C1D">
      <w:pPr>
        <w:pStyle w:val="36"/>
        <w:ind w:firstLine="240"/>
        <w:rPr>
          <w:rFonts w:asciiTheme="minorEastAsia" w:hAnsiTheme="minorEastAsia" w:eastAsiaTheme="minorEastAsia"/>
          <w:color w:val="auto"/>
          <w:sz w:val="24"/>
          <w:highlight w:val="none"/>
        </w:rPr>
      </w:pPr>
    </w:p>
    <w:p w14:paraId="4AEAFCF1">
      <w:pPr>
        <w:pStyle w:val="36"/>
        <w:ind w:firstLine="240"/>
        <w:rPr>
          <w:rFonts w:asciiTheme="minorEastAsia" w:hAnsiTheme="minorEastAsia" w:eastAsiaTheme="minorEastAsia"/>
          <w:color w:val="auto"/>
          <w:sz w:val="24"/>
          <w:highlight w:val="none"/>
        </w:rPr>
      </w:pPr>
    </w:p>
    <w:p w14:paraId="2C368608">
      <w:pPr>
        <w:pStyle w:val="36"/>
        <w:ind w:firstLine="240"/>
        <w:rPr>
          <w:rFonts w:asciiTheme="minorEastAsia" w:hAnsiTheme="minorEastAsia" w:eastAsiaTheme="minorEastAsia"/>
          <w:color w:val="auto"/>
          <w:sz w:val="24"/>
          <w:highlight w:val="none"/>
        </w:rPr>
      </w:pPr>
    </w:p>
    <w:p w14:paraId="36817C28">
      <w:pPr>
        <w:pStyle w:val="36"/>
        <w:ind w:firstLine="240"/>
        <w:rPr>
          <w:rFonts w:asciiTheme="minorEastAsia" w:hAnsiTheme="minorEastAsia" w:eastAsiaTheme="minorEastAsia"/>
          <w:color w:val="auto"/>
          <w:sz w:val="24"/>
          <w:highlight w:val="none"/>
        </w:rPr>
      </w:pPr>
    </w:p>
    <w:p w14:paraId="1B1B5D2F">
      <w:pPr>
        <w:pStyle w:val="36"/>
        <w:ind w:firstLine="240"/>
        <w:rPr>
          <w:rFonts w:asciiTheme="minorEastAsia" w:hAnsiTheme="minorEastAsia" w:eastAsiaTheme="minorEastAsia"/>
          <w:color w:val="auto"/>
          <w:sz w:val="24"/>
          <w:highlight w:val="none"/>
        </w:rPr>
      </w:pPr>
    </w:p>
    <w:p w14:paraId="53CF0DC3">
      <w:pPr>
        <w:pStyle w:val="36"/>
        <w:ind w:firstLine="240"/>
        <w:rPr>
          <w:rFonts w:asciiTheme="minorEastAsia" w:hAnsiTheme="minorEastAsia" w:eastAsiaTheme="minorEastAsia"/>
          <w:color w:val="auto"/>
          <w:sz w:val="24"/>
          <w:highlight w:val="none"/>
        </w:rPr>
      </w:pPr>
    </w:p>
    <w:p w14:paraId="72615680">
      <w:pPr>
        <w:pStyle w:val="36"/>
        <w:ind w:firstLine="24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附：                     中小企业划型标准规定</w:t>
      </w:r>
    </w:p>
    <w:p w14:paraId="3AC7ADA7">
      <w:pPr>
        <w:pStyle w:val="36"/>
        <w:ind w:firstLine="240"/>
        <w:rPr>
          <w:rFonts w:asciiTheme="minorEastAsia" w:hAnsiTheme="minorEastAsia" w:eastAsiaTheme="minorEastAsia"/>
          <w:color w:val="auto"/>
          <w:sz w:val="24"/>
          <w:highlight w:val="none"/>
        </w:rPr>
      </w:pPr>
    </w:p>
    <w:p w14:paraId="126F8B4C">
      <w:pPr>
        <w:pStyle w:val="36"/>
        <w:ind w:firstLine="24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一、根据《中华人民共和国中小企业促进法》和《国务院关于进一步促进中小企业发展的若干意见》 (国发〔2009〕36 号)，制定本规定。</w:t>
      </w:r>
    </w:p>
    <w:p w14:paraId="1696C5B2">
      <w:pPr>
        <w:pStyle w:val="36"/>
        <w:ind w:firstLine="240"/>
        <w:rPr>
          <w:rFonts w:asciiTheme="minorEastAsia" w:hAnsiTheme="minorEastAsia" w:eastAsiaTheme="minorEastAsia"/>
          <w:color w:val="auto"/>
          <w:sz w:val="24"/>
          <w:highlight w:val="none"/>
        </w:rPr>
      </w:pPr>
    </w:p>
    <w:p w14:paraId="1EE218DF">
      <w:pPr>
        <w:pStyle w:val="36"/>
        <w:ind w:firstLine="24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二、中小企业划分为中型、小型、微型三种类型， 具体标准根据企业从业人员、营业收入、资产总额等指标，结合行业特点制定。</w:t>
      </w:r>
    </w:p>
    <w:p w14:paraId="1D513266">
      <w:pPr>
        <w:pStyle w:val="36"/>
        <w:ind w:firstLine="240"/>
        <w:rPr>
          <w:rFonts w:asciiTheme="minorEastAsia" w:hAnsiTheme="minorEastAsia" w:eastAsiaTheme="minorEastAsia"/>
          <w:color w:val="auto"/>
          <w:sz w:val="24"/>
          <w:highlight w:val="none"/>
        </w:rPr>
      </w:pPr>
    </w:p>
    <w:p w14:paraId="782566EE">
      <w:pPr>
        <w:pStyle w:val="36"/>
        <w:ind w:firstLine="24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三、本规定适用的行业包括：农、林、牧、渔业， 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111471AE">
      <w:pPr>
        <w:pStyle w:val="36"/>
        <w:ind w:firstLine="240"/>
        <w:rPr>
          <w:rFonts w:asciiTheme="minorEastAsia" w:hAnsiTheme="minorEastAsia" w:eastAsiaTheme="minorEastAsia"/>
          <w:color w:val="auto"/>
          <w:sz w:val="24"/>
          <w:highlight w:val="none"/>
        </w:rPr>
      </w:pPr>
    </w:p>
    <w:p w14:paraId="64DBF26F">
      <w:pPr>
        <w:pStyle w:val="36"/>
        <w:ind w:firstLine="24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四、各行业划型标准为：</w:t>
      </w:r>
    </w:p>
    <w:p w14:paraId="5DCDC3B3">
      <w:pPr>
        <w:pStyle w:val="36"/>
        <w:ind w:firstLine="240"/>
        <w:rPr>
          <w:rFonts w:asciiTheme="minorEastAsia" w:hAnsiTheme="minorEastAsia" w:eastAsiaTheme="minorEastAsia"/>
          <w:color w:val="auto"/>
          <w:sz w:val="24"/>
          <w:highlight w:val="none"/>
        </w:rPr>
      </w:pPr>
    </w:p>
    <w:p w14:paraId="5FFD5DB4">
      <w:pPr>
        <w:pStyle w:val="36"/>
        <w:ind w:firstLine="24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（一）农、林、牧、渔业。营业收入 20000 万元以下的为中小微型企业。其中，营业收入 500 万元及以上的为中型企业，营业收入 50 万元及以上的为小型企业，营业收入 50 万元以下的为微型企业。</w:t>
      </w:r>
    </w:p>
    <w:p w14:paraId="41608F0F">
      <w:pPr>
        <w:pStyle w:val="36"/>
        <w:ind w:firstLine="240"/>
        <w:rPr>
          <w:rFonts w:asciiTheme="minorEastAsia" w:hAnsiTheme="minorEastAsia" w:eastAsiaTheme="minorEastAsia"/>
          <w:color w:val="auto"/>
          <w:sz w:val="24"/>
          <w:highlight w:val="none"/>
        </w:rPr>
      </w:pPr>
    </w:p>
    <w:p w14:paraId="09577F13">
      <w:pPr>
        <w:pStyle w:val="36"/>
        <w:ind w:firstLine="24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（二）工业。从业人员 1000 人以下或营业收入40000 万元以下的为中小微型企业。其中， 从业人员 300 人及以上，且营业收入 2000 万元及以上的为中型企业；从业人员 20 人及以上，且营业收入 300 万元及以上的为小型企业；从业人员 20 人以下或营业收入 300 万元以下的为微型企业。</w:t>
      </w:r>
    </w:p>
    <w:p w14:paraId="46309318">
      <w:pPr>
        <w:pStyle w:val="36"/>
        <w:ind w:firstLine="240"/>
        <w:rPr>
          <w:rFonts w:asciiTheme="minorEastAsia" w:hAnsiTheme="minorEastAsia" w:eastAsiaTheme="minorEastAsia"/>
          <w:color w:val="auto"/>
          <w:sz w:val="24"/>
          <w:highlight w:val="none"/>
        </w:rPr>
      </w:pPr>
    </w:p>
    <w:p w14:paraId="44AF85E2">
      <w:pPr>
        <w:pStyle w:val="36"/>
        <w:ind w:firstLine="24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（三）建筑业。营业收入 80000 万元以下或资产总额 80000 万元以下的为中小微型企业。其中，营业收入 6000 万元及以上，且资产总额 5000 万元及以上的为中型企业；营业收入 300 万元及以上，且资产总额 300 万元及以上的为小型企业；营业收入 300 万元以下或资产总额 300 万元以下的为微型企业。</w:t>
      </w:r>
    </w:p>
    <w:p w14:paraId="377E6374">
      <w:pPr>
        <w:pStyle w:val="36"/>
        <w:ind w:firstLine="240"/>
        <w:rPr>
          <w:rFonts w:asciiTheme="minorEastAsia" w:hAnsiTheme="minorEastAsia" w:eastAsiaTheme="minorEastAsia"/>
          <w:color w:val="auto"/>
          <w:sz w:val="24"/>
          <w:highlight w:val="none"/>
        </w:rPr>
      </w:pPr>
    </w:p>
    <w:p w14:paraId="26779658">
      <w:pPr>
        <w:pStyle w:val="36"/>
        <w:ind w:firstLine="24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（四）批发业。从业人员 200 人以下或营业收入40000 万元以下的为中小微型企业。其中，从业人员 20 人及以上，且营业收入 5000 万元及以上的为中型企业；</w:t>
      </w:r>
    </w:p>
    <w:p w14:paraId="0C8442D5">
      <w:pPr>
        <w:pStyle w:val="36"/>
        <w:ind w:firstLine="240"/>
        <w:rPr>
          <w:rFonts w:asciiTheme="minorEastAsia" w:hAnsiTheme="minorEastAsia" w:eastAsiaTheme="minorEastAsia"/>
          <w:color w:val="auto"/>
          <w:sz w:val="24"/>
          <w:highlight w:val="none"/>
        </w:rPr>
      </w:pPr>
    </w:p>
    <w:p w14:paraId="34F5F546">
      <w:pPr>
        <w:pStyle w:val="36"/>
        <w:ind w:firstLine="240"/>
        <w:rPr>
          <w:rFonts w:asciiTheme="minorEastAsia" w:hAnsiTheme="minorEastAsia" w:eastAsiaTheme="minorEastAsia"/>
          <w:color w:val="auto"/>
          <w:sz w:val="24"/>
          <w:highlight w:val="none"/>
        </w:rPr>
      </w:pPr>
    </w:p>
    <w:p w14:paraId="14E7D7B6">
      <w:pPr>
        <w:pStyle w:val="36"/>
        <w:ind w:firstLine="240"/>
        <w:rPr>
          <w:rFonts w:asciiTheme="minorEastAsia" w:hAnsiTheme="minorEastAsia" w:eastAsiaTheme="minorEastAsia"/>
          <w:color w:val="auto"/>
          <w:sz w:val="24"/>
          <w:highlight w:val="none"/>
        </w:rPr>
      </w:pPr>
    </w:p>
    <w:p w14:paraId="3B4AD414">
      <w:pPr>
        <w:pStyle w:val="36"/>
        <w:ind w:firstLine="240"/>
        <w:rPr>
          <w:rFonts w:asciiTheme="minorEastAsia" w:hAnsiTheme="minorEastAsia" w:eastAsiaTheme="minorEastAsia"/>
          <w:color w:val="auto"/>
          <w:sz w:val="24"/>
          <w:highlight w:val="none"/>
        </w:rPr>
      </w:pPr>
    </w:p>
    <w:p w14:paraId="29A19655">
      <w:pPr>
        <w:pStyle w:val="36"/>
        <w:ind w:firstLine="240"/>
        <w:rPr>
          <w:rFonts w:asciiTheme="minorEastAsia" w:hAnsiTheme="minorEastAsia" w:eastAsiaTheme="minorEastAsia"/>
          <w:color w:val="auto"/>
          <w:sz w:val="24"/>
          <w:highlight w:val="none"/>
        </w:rPr>
      </w:pPr>
    </w:p>
    <w:p w14:paraId="01195E04">
      <w:pPr>
        <w:pStyle w:val="36"/>
        <w:ind w:firstLine="24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从业人员 5 人及以上，且营业收入 1000 万元及以上的为小型企业；从业人员 5 人以下或营业收入 1000 万元以下的为微型企业。</w:t>
      </w:r>
    </w:p>
    <w:p w14:paraId="3415F08A">
      <w:pPr>
        <w:pStyle w:val="36"/>
        <w:ind w:firstLine="24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（五）零售业。从业人员 300 人以下或营业收入 20000 万元以下的为中小微型企业。其中， 从业人员 50 人及以上，且营业收入 500 万元及以上的为中型企业；从业人员 10 人及以上，且营业收入 100 万元及以上的为小型企业；从业人员 10 人以下或营业收入 100 万元以下的为微型企业。</w:t>
      </w:r>
    </w:p>
    <w:p w14:paraId="277CB93C">
      <w:pPr>
        <w:pStyle w:val="36"/>
        <w:ind w:firstLine="240"/>
        <w:rPr>
          <w:rFonts w:asciiTheme="minorEastAsia" w:hAnsiTheme="minorEastAsia" w:eastAsiaTheme="minorEastAsia"/>
          <w:color w:val="auto"/>
          <w:sz w:val="24"/>
          <w:highlight w:val="none"/>
        </w:rPr>
      </w:pPr>
    </w:p>
    <w:p w14:paraId="21627CC5">
      <w:pPr>
        <w:pStyle w:val="36"/>
        <w:ind w:firstLine="24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（六）交通运输业。从业人员 1000 人以下或营业收入 30000 万元以下的为中小微型企业。其中， 从业人员 300 人及以上，且营业收入 3000 万元及以上的为中型企业；从业人员 20 人及以上，且营业收入 200 万元及以上的为小型企业；从业人员 20人以下或营业收入 200 万元以下的为微型企业。</w:t>
      </w:r>
    </w:p>
    <w:p w14:paraId="3E39F38A">
      <w:pPr>
        <w:pStyle w:val="36"/>
        <w:ind w:firstLine="240"/>
        <w:rPr>
          <w:rFonts w:asciiTheme="minorEastAsia" w:hAnsiTheme="minorEastAsia" w:eastAsiaTheme="minorEastAsia"/>
          <w:color w:val="auto"/>
          <w:sz w:val="24"/>
          <w:highlight w:val="none"/>
        </w:rPr>
      </w:pPr>
    </w:p>
    <w:p w14:paraId="214378B3">
      <w:pPr>
        <w:pStyle w:val="36"/>
        <w:ind w:firstLine="24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（七）仓储业。从业人员 200 人以下或营业收入 30000 万元以下的为中小微型企业。其中，从业人员 100 人及以上，且营业收入 1000 万元及以上的为中型企业；从业人员 20 人及以上，且营业收入 100 万元及以上的为小型企业；从业人员 20 人以下或营业收入 100 万元以下的为微型企业。</w:t>
      </w:r>
    </w:p>
    <w:p w14:paraId="55335BB7">
      <w:pPr>
        <w:pStyle w:val="36"/>
        <w:ind w:firstLine="240"/>
        <w:rPr>
          <w:rFonts w:asciiTheme="minorEastAsia" w:hAnsiTheme="minorEastAsia" w:eastAsiaTheme="minorEastAsia"/>
          <w:color w:val="auto"/>
          <w:sz w:val="24"/>
          <w:highlight w:val="none"/>
        </w:rPr>
      </w:pPr>
    </w:p>
    <w:p w14:paraId="59E4FE96">
      <w:pPr>
        <w:pStyle w:val="36"/>
        <w:ind w:firstLine="24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（八）邮政业。从业人员 1000 人以下或营业收入 30000 万元以下的为中小微型企业。其中，从业人员 300 人及以上，且营业收入 2000 万元及以上的为中型企业；从业人员 20 人及以上，且营业收入 100 万元及以上的为小型企业；从业人员 20 人以下或营业收入 100 万元以下的为微型企业。</w:t>
      </w:r>
    </w:p>
    <w:p w14:paraId="79F104B2">
      <w:pPr>
        <w:pStyle w:val="36"/>
        <w:ind w:firstLine="240"/>
        <w:rPr>
          <w:rFonts w:asciiTheme="minorEastAsia" w:hAnsiTheme="minorEastAsia" w:eastAsiaTheme="minorEastAsia"/>
          <w:color w:val="auto"/>
          <w:sz w:val="24"/>
          <w:highlight w:val="none"/>
        </w:rPr>
      </w:pPr>
    </w:p>
    <w:p w14:paraId="68F494C0">
      <w:pPr>
        <w:pStyle w:val="36"/>
        <w:ind w:firstLine="24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（九）住宿业。从业人员 300 人以下或营业收入 10000 万元以下的为中小微型企业。其中，从业人员 100 人及以上，且营业收入 2000 万元及以上的为中型企业；从业人员 10 人及以上，且营业收入 100 万元及以上的为小型企业；从业人员 10 人以下或营业收入 100 万元以下的为微型企业。</w:t>
      </w:r>
    </w:p>
    <w:p w14:paraId="6CE13BF5">
      <w:pPr>
        <w:pStyle w:val="36"/>
        <w:ind w:firstLine="240"/>
        <w:rPr>
          <w:rFonts w:asciiTheme="minorEastAsia" w:hAnsiTheme="minorEastAsia" w:eastAsiaTheme="minorEastAsia"/>
          <w:color w:val="auto"/>
          <w:sz w:val="24"/>
          <w:highlight w:val="none"/>
        </w:rPr>
      </w:pPr>
    </w:p>
    <w:p w14:paraId="342324B6">
      <w:pPr>
        <w:pStyle w:val="36"/>
        <w:ind w:firstLine="24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（十）餐饮业。从业人员 300 人以下或营业收入 10000 万元以下的为中小微型企业。其中，从业人员 100 人及以上，且营业收入 2000 万元及以上的为中型企业；从业人员 10 人及以上，且营业收入 100 万元及以上的为小型企业；从业人员 10 人以下或营业收入 100 万元以下的为微型企业。</w:t>
      </w:r>
    </w:p>
    <w:p w14:paraId="600557F2">
      <w:pPr>
        <w:pStyle w:val="36"/>
        <w:ind w:firstLine="240"/>
        <w:rPr>
          <w:rFonts w:asciiTheme="minorEastAsia" w:hAnsiTheme="minorEastAsia" w:eastAsiaTheme="minorEastAsia"/>
          <w:color w:val="auto"/>
          <w:sz w:val="24"/>
          <w:highlight w:val="none"/>
        </w:rPr>
      </w:pPr>
    </w:p>
    <w:p w14:paraId="4FC6B956">
      <w:pPr>
        <w:pStyle w:val="36"/>
        <w:ind w:firstLine="240"/>
        <w:rPr>
          <w:rFonts w:asciiTheme="minorEastAsia" w:hAnsiTheme="minorEastAsia" w:eastAsiaTheme="minorEastAsia"/>
          <w:color w:val="auto"/>
          <w:sz w:val="24"/>
          <w:highlight w:val="none"/>
        </w:rPr>
      </w:pPr>
    </w:p>
    <w:p w14:paraId="4CED1F53">
      <w:pPr>
        <w:pStyle w:val="36"/>
        <w:ind w:firstLine="240"/>
        <w:rPr>
          <w:rFonts w:asciiTheme="minorEastAsia" w:hAnsiTheme="minorEastAsia" w:eastAsiaTheme="minorEastAsia"/>
          <w:color w:val="auto"/>
          <w:sz w:val="24"/>
          <w:highlight w:val="none"/>
        </w:rPr>
      </w:pPr>
    </w:p>
    <w:p w14:paraId="1B4F5579">
      <w:pPr>
        <w:pStyle w:val="36"/>
        <w:ind w:firstLine="240"/>
        <w:rPr>
          <w:rFonts w:asciiTheme="minorEastAsia" w:hAnsiTheme="minorEastAsia" w:eastAsiaTheme="minorEastAsia"/>
          <w:color w:val="auto"/>
          <w:sz w:val="24"/>
          <w:highlight w:val="none"/>
        </w:rPr>
      </w:pPr>
    </w:p>
    <w:p w14:paraId="722847D6">
      <w:pPr>
        <w:pStyle w:val="36"/>
        <w:ind w:firstLine="240"/>
        <w:rPr>
          <w:rFonts w:asciiTheme="minorEastAsia" w:hAnsiTheme="minorEastAsia" w:eastAsiaTheme="minorEastAsia"/>
          <w:color w:val="auto"/>
          <w:sz w:val="24"/>
          <w:highlight w:val="none"/>
        </w:rPr>
      </w:pPr>
    </w:p>
    <w:p w14:paraId="1D0617C8">
      <w:pPr>
        <w:pStyle w:val="36"/>
        <w:ind w:firstLine="24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（十一）信息传输业。从业人员 2000 人以下或营业收入 100000 万元以下的为中小微型企业。其中， 从业人员 100 人及以上，且营业收入 1000 万元及以上的为中型企业；从业人员 10 人及以上，且营业收入 100 万元及以上的为小型企业；从业人员 10 人以下或营业收入 100 万元以下的为微型企业。</w:t>
      </w:r>
    </w:p>
    <w:p w14:paraId="027DC31B">
      <w:pPr>
        <w:pStyle w:val="36"/>
        <w:ind w:firstLine="240"/>
        <w:rPr>
          <w:rFonts w:asciiTheme="minorEastAsia" w:hAnsiTheme="minorEastAsia" w:eastAsiaTheme="minorEastAsia"/>
          <w:color w:val="auto"/>
          <w:sz w:val="24"/>
          <w:highlight w:val="none"/>
        </w:rPr>
      </w:pPr>
    </w:p>
    <w:p w14:paraId="7C60A5D7">
      <w:pPr>
        <w:pStyle w:val="36"/>
        <w:ind w:firstLine="24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（十二）软件和信息技术服务业。从业人员 300 人以下或营业收入 10000 万元以下的为中小微型企业。其中， 从业人员 100 人及以上，且营业收入 1000 万元及以上的为中型企业；从业人员 10 人及以上，且营业收入 50 万元及以上的为小型企业；从业人员 10 人以下或营业收入 50 万元以下的为微型企业。</w:t>
      </w:r>
    </w:p>
    <w:p w14:paraId="2FF727BF">
      <w:pPr>
        <w:pStyle w:val="36"/>
        <w:ind w:firstLine="240"/>
        <w:rPr>
          <w:rFonts w:asciiTheme="minorEastAsia" w:hAnsiTheme="minorEastAsia" w:eastAsiaTheme="minorEastAsia"/>
          <w:color w:val="auto"/>
          <w:sz w:val="24"/>
          <w:highlight w:val="none"/>
        </w:rPr>
      </w:pPr>
    </w:p>
    <w:p w14:paraId="5B902786">
      <w:pPr>
        <w:pStyle w:val="36"/>
        <w:ind w:firstLine="24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（十三）房地产开发经营。营业收入 200000 万元以下或资产总额 10000 万元以下的为中小微型企业。其中，营业收入 1000 万元及以上，且资产总额 5000 万元及以上的为中型企业；营业收入 100 万元及以上，且资产总额 2000 万元及以上的为小型企业；营业收入 100 万元以下或资产总额 2000 万元以下的为微型企业。</w:t>
      </w:r>
    </w:p>
    <w:p w14:paraId="2EB7334E">
      <w:pPr>
        <w:pStyle w:val="36"/>
        <w:ind w:firstLine="240"/>
        <w:rPr>
          <w:rFonts w:asciiTheme="minorEastAsia" w:hAnsiTheme="minorEastAsia" w:eastAsiaTheme="minorEastAsia"/>
          <w:color w:val="auto"/>
          <w:sz w:val="24"/>
          <w:highlight w:val="none"/>
        </w:rPr>
      </w:pPr>
    </w:p>
    <w:p w14:paraId="20442B97">
      <w:pPr>
        <w:pStyle w:val="36"/>
        <w:ind w:firstLine="24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（十四）物业管理。从业人员 1000 人以下或营业收入 5000 万元以下的为中小微型企业。其中， 从业人员 300 人及以上，且营业收入 1000 万元及以上的为中型企业；从业人员 100 人及以上，且营业收入 500 万元及以上的为小型企业；从业人员100 人以下或营业收入 500 万元以下的为微型企业。</w:t>
      </w:r>
    </w:p>
    <w:p w14:paraId="4028D658">
      <w:pPr>
        <w:pStyle w:val="36"/>
        <w:ind w:firstLine="240"/>
        <w:rPr>
          <w:rFonts w:asciiTheme="minorEastAsia" w:hAnsiTheme="minorEastAsia" w:eastAsiaTheme="minorEastAsia"/>
          <w:color w:val="auto"/>
          <w:sz w:val="24"/>
          <w:highlight w:val="none"/>
        </w:rPr>
      </w:pPr>
    </w:p>
    <w:p w14:paraId="6E989AA6">
      <w:pPr>
        <w:pStyle w:val="36"/>
        <w:ind w:firstLine="24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（十五）租赁和商务服务业。从业人员 300 人以下或资产总额 120000 万元以下的为中小微型企业。其中， 从业人员 100 人及以上，且资产总额8000 万元及以上的为中型企业；从业人员 10 人及以上，且资产总额 100 万元及以上的为小型企业；从业人员 10 人以下或资产总额 100 万元以下的为微型企业。</w:t>
      </w:r>
    </w:p>
    <w:p w14:paraId="3AF69030">
      <w:pPr>
        <w:pStyle w:val="36"/>
        <w:ind w:firstLine="240"/>
        <w:rPr>
          <w:rFonts w:asciiTheme="minorEastAsia" w:hAnsiTheme="minorEastAsia" w:eastAsiaTheme="minorEastAsia"/>
          <w:color w:val="auto"/>
          <w:sz w:val="24"/>
          <w:highlight w:val="none"/>
        </w:rPr>
      </w:pPr>
    </w:p>
    <w:p w14:paraId="25E92297">
      <w:pPr>
        <w:pStyle w:val="36"/>
        <w:ind w:firstLine="24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（十六）其他未列明行业。从业人员 300 人以下的为中小微型企业。其中，从业人员 100 人及以上的为中型企业；从业人员 10 人及以上的为小型企业；从业人员10 人以下的为微型企业。</w:t>
      </w:r>
    </w:p>
    <w:p w14:paraId="689AF39C">
      <w:pPr>
        <w:pStyle w:val="36"/>
        <w:ind w:firstLine="240"/>
        <w:rPr>
          <w:rFonts w:asciiTheme="minorEastAsia" w:hAnsiTheme="minorEastAsia" w:eastAsiaTheme="minorEastAsia"/>
          <w:color w:val="auto"/>
          <w:sz w:val="24"/>
          <w:highlight w:val="none"/>
        </w:rPr>
      </w:pPr>
    </w:p>
    <w:p w14:paraId="390588A7">
      <w:pPr>
        <w:pStyle w:val="36"/>
        <w:ind w:firstLine="24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五、企业类型的划分以统计部门的统计数据为依据。</w:t>
      </w:r>
    </w:p>
    <w:p w14:paraId="3B223908">
      <w:pPr>
        <w:pStyle w:val="36"/>
        <w:ind w:firstLine="240"/>
        <w:rPr>
          <w:rFonts w:asciiTheme="minorEastAsia" w:hAnsiTheme="minorEastAsia" w:eastAsiaTheme="minorEastAsia"/>
          <w:color w:val="auto"/>
          <w:sz w:val="24"/>
          <w:highlight w:val="none"/>
        </w:rPr>
      </w:pPr>
    </w:p>
    <w:p w14:paraId="43AF4E8C">
      <w:pPr>
        <w:pStyle w:val="36"/>
        <w:ind w:firstLine="24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六、本规定适用于在中华人民共和国境内依法设立的各类所有制和各种组织形式的企业。个体工商户和本规定以外的行业，参照本规定进行划型。</w:t>
      </w:r>
    </w:p>
    <w:p w14:paraId="217C9FB7">
      <w:pPr>
        <w:pStyle w:val="36"/>
        <w:ind w:firstLine="240"/>
        <w:rPr>
          <w:rFonts w:asciiTheme="minorEastAsia" w:hAnsiTheme="minorEastAsia" w:eastAsiaTheme="minorEastAsia"/>
          <w:color w:val="auto"/>
          <w:sz w:val="24"/>
          <w:highlight w:val="none"/>
        </w:rPr>
      </w:pPr>
    </w:p>
    <w:p w14:paraId="47D0CC2E">
      <w:pPr>
        <w:pStyle w:val="36"/>
        <w:ind w:firstLine="240"/>
        <w:rPr>
          <w:rFonts w:asciiTheme="minorEastAsia" w:hAnsiTheme="minorEastAsia" w:eastAsiaTheme="minorEastAsia"/>
          <w:color w:val="auto"/>
          <w:sz w:val="24"/>
          <w:highlight w:val="none"/>
        </w:rPr>
      </w:pPr>
    </w:p>
    <w:p w14:paraId="314295E5">
      <w:pPr>
        <w:pStyle w:val="36"/>
        <w:ind w:firstLine="240"/>
        <w:rPr>
          <w:rFonts w:asciiTheme="minorEastAsia" w:hAnsiTheme="minorEastAsia" w:eastAsiaTheme="minorEastAsia"/>
          <w:color w:val="auto"/>
          <w:sz w:val="24"/>
          <w:highlight w:val="none"/>
        </w:rPr>
      </w:pPr>
    </w:p>
    <w:p w14:paraId="2D6C718E">
      <w:pPr>
        <w:pStyle w:val="36"/>
        <w:ind w:firstLine="240"/>
        <w:rPr>
          <w:rFonts w:asciiTheme="minorEastAsia" w:hAnsiTheme="minorEastAsia" w:eastAsiaTheme="minorEastAsia"/>
          <w:color w:val="auto"/>
          <w:sz w:val="24"/>
          <w:highlight w:val="none"/>
        </w:rPr>
      </w:pPr>
    </w:p>
    <w:p w14:paraId="38A9F501">
      <w:pPr>
        <w:pStyle w:val="36"/>
        <w:ind w:firstLine="240"/>
        <w:rPr>
          <w:rFonts w:asciiTheme="minorEastAsia" w:hAnsiTheme="minorEastAsia" w:eastAsiaTheme="minorEastAsia"/>
          <w:color w:val="auto"/>
          <w:sz w:val="24"/>
          <w:highlight w:val="none"/>
        </w:rPr>
      </w:pPr>
    </w:p>
    <w:p w14:paraId="76279F42">
      <w:pPr>
        <w:pStyle w:val="36"/>
        <w:ind w:firstLine="24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七、本规定的中型企业标准上限即为大型企业标准的下限，国家统计部门据此制定大中小微型企业的统计分类。国务院有关部门据此进行相关数据分析，不得制定与本规定不一致的企业划型标准。</w:t>
      </w:r>
    </w:p>
    <w:p w14:paraId="7E0A3C61">
      <w:pPr>
        <w:pStyle w:val="36"/>
        <w:ind w:firstLine="240"/>
        <w:rPr>
          <w:rFonts w:asciiTheme="minorEastAsia" w:hAnsiTheme="minorEastAsia" w:eastAsiaTheme="minorEastAsia"/>
          <w:color w:val="auto"/>
          <w:sz w:val="24"/>
          <w:highlight w:val="none"/>
        </w:rPr>
      </w:pPr>
    </w:p>
    <w:p w14:paraId="2BF31C50">
      <w:pPr>
        <w:pStyle w:val="36"/>
        <w:ind w:firstLine="24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八、本规定由工业和信息化部、国家统计局会同有关部门根据《国民经济行业分类》修订情况和企业发展变化情况适时修订。</w:t>
      </w:r>
    </w:p>
    <w:p w14:paraId="02B88C60">
      <w:pPr>
        <w:pStyle w:val="36"/>
        <w:ind w:firstLine="240"/>
        <w:rPr>
          <w:rFonts w:asciiTheme="minorEastAsia" w:hAnsiTheme="minorEastAsia" w:eastAsiaTheme="minorEastAsia"/>
          <w:color w:val="auto"/>
          <w:sz w:val="24"/>
          <w:highlight w:val="none"/>
        </w:rPr>
      </w:pPr>
    </w:p>
    <w:p w14:paraId="14D3A647">
      <w:pPr>
        <w:pStyle w:val="36"/>
        <w:ind w:firstLine="24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九、本规定由工业和信息化部、国家统计局会同有关部门负责解释。</w:t>
      </w:r>
    </w:p>
    <w:p w14:paraId="6A461871">
      <w:pPr>
        <w:pStyle w:val="36"/>
        <w:ind w:firstLine="240"/>
        <w:rPr>
          <w:rFonts w:asciiTheme="minorEastAsia" w:hAnsiTheme="minorEastAsia" w:eastAsiaTheme="minorEastAsia"/>
          <w:color w:val="auto"/>
          <w:sz w:val="24"/>
          <w:highlight w:val="none"/>
        </w:rPr>
      </w:pPr>
    </w:p>
    <w:p w14:paraId="556A4786">
      <w:pPr>
        <w:pStyle w:val="36"/>
        <w:ind w:firstLine="240"/>
        <w:rPr>
          <w:rFonts w:asciiTheme="minorEastAsia" w:hAnsiTheme="minorEastAsia" w:eastAsiaTheme="minorEastAsia"/>
          <w:sz w:val="24"/>
        </w:rPr>
      </w:pPr>
      <w:r>
        <w:rPr>
          <w:rFonts w:hint="eastAsia" w:asciiTheme="minorEastAsia" w:hAnsiTheme="minorEastAsia" w:eastAsiaTheme="minorEastAsia"/>
          <w:color w:val="auto"/>
          <w:sz w:val="24"/>
          <w:highlight w:val="none"/>
        </w:rPr>
        <w:t>十、本规定自发布之日起执行，原国家经贸委、原国家计委、财政部和国家统计局 2003 年颁布的《中小企业标准暂行规定》同时废止。</w:t>
      </w:r>
    </w:p>
    <w:sectPr>
      <w:pgSz w:w="11907" w:h="16840"/>
      <w:pgMar w:top="1440" w:right="1588" w:bottom="1440"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华文楷体">
    <w:altName w:val="宋体"/>
    <w:panose1 w:val="02010600040101010101"/>
    <w:charset w:val="86"/>
    <w:family w:val="auto"/>
    <w:pitch w:val="default"/>
    <w:sig w:usb0="00000000" w:usb1="00000000" w:usb2="00000010" w:usb3="00000000" w:csb0="0004009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微软简标宋">
    <w:altName w:val="黑体"/>
    <w:panose1 w:val="00000000000000000000"/>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DCDC6">
    <w:pPr>
      <w:pStyle w:val="19"/>
      <w:jc w:val="center"/>
      <w:rPr>
        <w:rFonts w:ascii="宋体" w:hAnsi="宋体"/>
        <w:kern w:val="0"/>
        <w:sz w:val="21"/>
        <w:szCs w:val="21"/>
      </w:rPr>
    </w:pPr>
    <w:r>
      <w:rPr>
        <w:rFonts w:hint="eastAsia" w:ascii="宋体" w:hAnsi="宋体"/>
        <w:kern w:val="0"/>
        <w:sz w:val="21"/>
        <w:szCs w:val="21"/>
      </w:rPr>
      <w:t>-------------------------------------</w:t>
    </w:r>
    <w:r>
      <w:rPr>
        <w:rFonts w:ascii="宋体" w:hAnsi="宋体"/>
        <w:kern w:val="0"/>
        <w:sz w:val="21"/>
        <w:szCs w:val="21"/>
      </w:rPr>
      <w:t xml:space="preserve">- </w:t>
    </w:r>
    <w:r>
      <w:rPr>
        <w:rFonts w:ascii="宋体" w:hAnsi="宋体"/>
        <w:kern w:val="0"/>
        <w:sz w:val="21"/>
        <w:szCs w:val="21"/>
      </w:rPr>
      <w:fldChar w:fldCharType="begin"/>
    </w:r>
    <w:r>
      <w:rPr>
        <w:rFonts w:ascii="宋体" w:hAnsi="宋体"/>
        <w:kern w:val="0"/>
        <w:sz w:val="21"/>
        <w:szCs w:val="21"/>
      </w:rPr>
      <w:instrText xml:space="preserve"> PAGE </w:instrText>
    </w:r>
    <w:r>
      <w:rPr>
        <w:rFonts w:ascii="宋体" w:hAnsi="宋体"/>
        <w:kern w:val="0"/>
        <w:sz w:val="21"/>
        <w:szCs w:val="21"/>
      </w:rPr>
      <w:fldChar w:fldCharType="separate"/>
    </w:r>
    <w:r>
      <w:rPr>
        <w:rFonts w:ascii="宋体" w:hAnsi="宋体"/>
        <w:kern w:val="0"/>
        <w:sz w:val="21"/>
        <w:szCs w:val="21"/>
      </w:rPr>
      <w:t>25</w:t>
    </w:r>
    <w:r>
      <w:rPr>
        <w:rFonts w:ascii="宋体" w:hAnsi="宋体"/>
        <w:kern w:val="0"/>
        <w:sz w:val="21"/>
        <w:szCs w:val="21"/>
      </w:rPr>
      <w:fldChar w:fldCharType="end"/>
    </w:r>
    <w:r>
      <w:rPr>
        <w:rFonts w:hint="eastAsia" w:ascii="宋体" w:hAnsi="宋体"/>
        <w:kern w:val="0"/>
        <w:sz w:val="21"/>
        <w:szCs w:val="21"/>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31F08C">
    <w:pPr>
      <w:pStyle w:val="20"/>
      <w:pBdr>
        <w:bottom w:val="none" w:color="auto" w:sz="0" w:space="0"/>
      </w:pBdr>
      <w:spacing w:line="160" w:lineRule="atLeast"/>
      <w:jc w:val="both"/>
      <w:rPr>
        <w:rFonts w:ascii="楷体_GB2312" w:eastAsia="楷体_GB2312"/>
        <w:sz w:val="2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A02D31"/>
    <w:multiLevelType w:val="singleLevel"/>
    <w:tmpl w:val="9DA02D31"/>
    <w:lvl w:ilvl="0" w:tentative="0">
      <w:start w:val="1"/>
      <w:numFmt w:val="decimal"/>
      <w:suff w:val="nothing"/>
      <w:lvlText w:val="（%1）"/>
      <w:lvlJc w:val="left"/>
    </w:lvl>
  </w:abstractNum>
  <w:abstractNum w:abstractNumId="1">
    <w:nsid w:val="00000002"/>
    <w:multiLevelType w:val="singleLevel"/>
    <w:tmpl w:val="00000002"/>
    <w:lvl w:ilvl="0" w:tentative="0">
      <w:start w:val="3"/>
      <w:numFmt w:val="decimal"/>
      <w:suff w:val="nothing"/>
      <w:lvlText w:val="(%1)"/>
      <w:lvlJc w:val="left"/>
    </w:lvl>
  </w:abstractNum>
  <w:abstractNum w:abstractNumId="2">
    <w:nsid w:val="00000005"/>
    <w:multiLevelType w:val="multilevel"/>
    <w:tmpl w:val="00000005"/>
    <w:lvl w:ilvl="0" w:tentative="0">
      <w:start w:val="4"/>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8"/>
    <w:multiLevelType w:val="multilevel"/>
    <w:tmpl w:val="00000008"/>
    <w:lvl w:ilvl="0" w:tentative="0">
      <w:start w:val="1"/>
      <w:numFmt w:val="decimal"/>
      <w:lvlText w:val="%1."/>
      <w:lvlJc w:val="left"/>
      <w:pPr>
        <w:tabs>
          <w:tab w:val="left" w:pos="420"/>
        </w:tabs>
        <w:ind w:left="420" w:hanging="420"/>
      </w:pPr>
    </w:lvl>
    <w:lvl w:ilvl="1" w:tentative="0">
      <w:start w:val="1"/>
      <w:numFmt w:val="decimal"/>
      <w:lvlText w:val="%2)"/>
      <w:lvlJc w:val="left"/>
      <w:pPr>
        <w:tabs>
          <w:tab w:val="left" w:pos="840"/>
        </w:tabs>
        <w:ind w:left="840" w:hanging="420"/>
      </w:pPr>
    </w:lvl>
    <w:lvl w:ilvl="2" w:tentative="0">
      <w:start w:val="1"/>
      <w:numFmt w:val="decimal"/>
      <w:lvlText w:val="(%3)"/>
      <w:lvlJc w:val="left"/>
      <w:pPr>
        <w:tabs>
          <w:tab w:val="left" w:pos="1260"/>
        </w:tabs>
        <w:ind w:left="1260" w:hanging="420"/>
      </w:pPr>
      <w:rPr>
        <w:rFonts w:hint="eastAsia"/>
      </w:rPr>
    </w:lvl>
    <w:lvl w:ilvl="3" w:tentative="0">
      <w:start w:val="1"/>
      <w:numFmt w:val="decimal"/>
      <w:lvlText w:val="%4）"/>
      <w:lvlJc w:val="left"/>
      <w:pPr>
        <w:tabs>
          <w:tab w:val="left" w:pos="1635"/>
        </w:tabs>
        <w:ind w:left="1635" w:hanging="375"/>
      </w:pPr>
      <w:rPr>
        <w:rFonts w:ascii="Times New Roman" w:hAnsi="Times New Roman"/>
        <w:b w:val="0"/>
        <w:i w:val="0"/>
        <w:sz w:val="21"/>
        <w:szCs w:val="21"/>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2B300210"/>
    <w:multiLevelType w:val="singleLevel"/>
    <w:tmpl w:val="2B300210"/>
    <w:lvl w:ilvl="0" w:tentative="0">
      <w:start w:val="3"/>
      <w:numFmt w:val="decimal"/>
      <w:suff w:val="nothing"/>
      <w:lvlText w:val="（%1）"/>
      <w:lvlJc w:val="left"/>
    </w:lvl>
  </w:abstractNum>
  <w:abstractNum w:abstractNumId="5">
    <w:nsid w:val="4836396F"/>
    <w:multiLevelType w:val="singleLevel"/>
    <w:tmpl w:val="4836396F"/>
    <w:lvl w:ilvl="0" w:tentative="0">
      <w:start w:val="7"/>
      <w:numFmt w:val="chineseCounting"/>
      <w:suff w:val="nothing"/>
      <w:lvlText w:val="%1、"/>
      <w:lvlJc w:val="left"/>
      <w:rPr>
        <w:rFonts w:hint="eastAsia"/>
      </w:rPr>
    </w:lvl>
  </w:abstractNum>
  <w:abstractNum w:abstractNumId="6">
    <w:nsid w:val="51D4A582"/>
    <w:multiLevelType w:val="multilevel"/>
    <w:tmpl w:val="51D4A582"/>
    <w:lvl w:ilvl="0" w:tentative="0">
      <w:start w:val="1"/>
      <w:numFmt w:val="decimal"/>
      <w:lvlText w:val="%1."/>
      <w:lvlJc w:val="left"/>
      <w:pPr>
        <w:ind w:left="425" w:hanging="425"/>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num w:numId="1">
    <w:abstractNumId w:val="6"/>
  </w:num>
  <w:num w:numId="2">
    <w:abstractNumId w:val="5"/>
  </w:num>
  <w:num w:numId="3">
    <w:abstractNumId w:val="3"/>
  </w:num>
  <w:num w:numId="4">
    <w:abstractNumId w:val="2"/>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gutterAtTop/>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FlNWMwOGNjYmRlM2EyNjViM2E3OWUxZDIzMWIwZDkifQ=="/>
  </w:docVars>
  <w:rsids>
    <w:rsidRoot w:val="00172A27"/>
    <w:rsid w:val="00000EB7"/>
    <w:rsid w:val="00002165"/>
    <w:rsid w:val="00003AB0"/>
    <w:rsid w:val="00006828"/>
    <w:rsid w:val="00007916"/>
    <w:rsid w:val="000102C8"/>
    <w:rsid w:val="00010D52"/>
    <w:rsid w:val="000129DA"/>
    <w:rsid w:val="00013396"/>
    <w:rsid w:val="00013D3C"/>
    <w:rsid w:val="00014E7F"/>
    <w:rsid w:val="00017F2D"/>
    <w:rsid w:val="000213BA"/>
    <w:rsid w:val="00024C10"/>
    <w:rsid w:val="0004275F"/>
    <w:rsid w:val="00044689"/>
    <w:rsid w:val="000449D3"/>
    <w:rsid w:val="00045FE3"/>
    <w:rsid w:val="00050196"/>
    <w:rsid w:val="000511E4"/>
    <w:rsid w:val="000529C4"/>
    <w:rsid w:val="00052DCC"/>
    <w:rsid w:val="0005462A"/>
    <w:rsid w:val="00057BB8"/>
    <w:rsid w:val="00066982"/>
    <w:rsid w:val="00071C67"/>
    <w:rsid w:val="00074405"/>
    <w:rsid w:val="000749C6"/>
    <w:rsid w:val="00081415"/>
    <w:rsid w:val="000829BC"/>
    <w:rsid w:val="00085402"/>
    <w:rsid w:val="000864BD"/>
    <w:rsid w:val="00086641"/>
    <w:rsid w:val="00086B9C"/>
    <w:rsid w:val="00091B49"/>
    <w:rsid w:val="000928CD"/>
    <w:rsid w:val="00093E90"/>
    <w:rsid w:val="00094BB5"/>
    <w:rsid w:val="000A257B"/>
    <w:rsid w:val="000A26CA"/>
    <w:rsid w:val="000A44B1"/>
    <w:rsid w:val="000A520A"/>
    <w:rsid w:val="000A5315"/>
    <w:rsid w:val="000B3B85"/>
    <w:rsid w:val="000B7098"/>
    <w:rsid w:val="000C0E0E"/>
    <w:rsid w:val="000D1060"/>
    <w:rsid w:val="000D13CD"/>
    <w:rsid w:val="000D2FDB"/>
    <w:rsid w:val="000D5EE1"/>
    <w:rsid w:val="000E6816"/>
    <w:rsid w:val="000F00E0"/>
    <w:rsid w:val="000F1943"/>
    <w:rsid w:val="000F24C7"/>
    <w:rsid w:val="000F7A85"/>
    <w:rsid w:val="00101C3F"/>
    <w:rsid w:val="00110380"/>
    <w:rsid w:val="00112A3E"/>
    <w:rsid w:val="00114EC3"/>
    <w:rsid w:val="0011768E"/>
    <w:rsid w:val="00120244"/>
    <w:rsid w:val="00123AA2"/>
    <w:rsid w:val="001302F5"/>
    <w:rsid w:val="001337D6"/>
    <w:rsid w:val="00135109"/>
    <w:rsid w:val="00136327"/>
    <w:rsid w:val="00144E58"/>
    <w:rsid w:val="00146C5A"/>
    <w:rsid w:val="001569E0"/>
    <w:rsid w:val="00156E7B"/>
    <w:rsid w:val="00157047"/>
    <w:rsid w:val="00163FD1"/>
    <w:rsid w:val="001670CA"/>
    <w:rsid w:val="00170FFC"/>
    <w:rsid w:val="00172A27"/>
    <w:rsid w:val="001740C8"/>
    <w:rsid w:val="001741A6"/>
    <w:rsid w:val="0017512B"/>
    <w:rsid w:val="0018079E"/>
    <w:rsid w:val="00186974"/>
    <w:rsid w:val="00191897"/>
    <w:rsid w:val="00194767"/>
    <w:rsid w:val="00195842"/>
    <w:rsid w:val="00195D4F"/>
    <w:rsid w:val="00196EC8"/>
    <w:rsid w:val="001A0695"/>
    <w:rsid w:val="001A26F3"/>
    <w:rsid w:val="001A346F"/>
    <w:rsid w:val="001A59B6"/>
    <w:rsid w:val="001A5BD3"/>
    <w:rsid w:val="001B4FAB"/>
    <w:rsid w:val="001B576E"/>
    <w:rsid w:val="001B5FA9"/>
    <w:rsid w:val="001B7F67"/>
    <w:rsid w:val="001C2A62"/>
    <w:rsid w:val="001C5B45"/>
    <w:rsid w:val="001C621E"/>
    <w:rsid w:val="001D45CF"/>
    <w:rsid w:val="001D7BCE"/>
    <w:rsid w:val="001F1738"/>
    <w:rsid w:val="001F441B"/>
    <w:rsid w:val="00200168"/>
    <w:rsid w:val="002025C2"/>
    <w:rsid w:val="00205F75"/>
    <w:rsid w:val="00206F03"/>
    <w:rsid w:val="00207987"/>
    <w:rsid w:val="00212001"/>
    <w:rsid w:val="00213E36"/>
    <w:rsid w:val="002156E9"/>
    <w:rsid w:val="002176AB"/>
    <w:rsid w:val="0022038E"/>
    <w:rsid w:val="0022145E"/>
    <w:rsid w:val="00222577"/>
    <w:rsid w:val="00224F94"/>
    <w:rsid w:val="00246082"/>
    <w:rsid w:val="00247A19"/>
    <w:rsid w:val="00251AE3"/>
    <w:rsid w:val="00257C04"/>
    <w:rsid w:val="00265B18"/>
    <w:rsid w:val="00270508"/>
    <w:rsid w:val="00270AB4"/>
    <w:rsid w:val="00280A38"/>
    <w:rsid w:val="0028546B"/>
    <w:rsid w:val="002A134F"/>
    <w:rsid w:val="002A2FB3"/>
    <w:rsid w:val="002A33CC"/>
    <w:rsid w:val="002A6593"/>
    <w:rsid w:val="002A6941"/>
    <w:rsid w:val="002B247F"/>
    <w:rsid w:val="002B29FD"/>
    <w:rsid w:val="002B4CF0"/>
    <w:rsid w:val="002B7671"/>
    <w:rsid w:val="002B7AB2"/>
    <w:rsid w:val="002C00CD"/>
    <w:rsid w:val="002C24BA"/>
    <w:rsid w:val="002C440E"/>
    <w:rsid w:val="002C650A"/>
    <w:rsid w:val="002D2A87"/>
    <w:rsid w:val="002D2DA6"/>
    <w:rsid w:val="002D6658"/>
    <w:rsid w:val="002D6811"/>
    <w:rsid w:val="002D7BB8"/>
    <w:rsid w:val="002E3325"/>
    <w:rsid w:val="002F3064"/>
    <w:rsid w:val="00300BC8"/>
    <w:rsid w:val="00304C09"/>
    <w:rsid w:val="00310CDB"/>
    <w:rsid w:val="00315AD3"/>
    <w:rsid w:val="00322F75"/>
    <w:rsid w:val="0032356A"/>
    <w:rsid w:val="00327B1D"/>
    <w:rsid w:val="00331138"/>
    <w:rsid w:val="00336C0C"/>
    <w:rsid w:val="003370FE"/>
    <w:rsid w:val="00341B57"/>
    <w:rsid w:val="003420B3"/>
    <w:rsid w:val="0034239E"/>
    <w:rsid w:val="00342B36"/>
    <w:rsid w:val="00342B7F"/>
    <w:rsid w:val="00347F63"/>
    <w:rsid w:val="00360B52"/>
    <w:rsid w:val="0036629C"/>
    <w:rsid w:val="00367065"/>
    <w:rsid w:val="003723EC"/>
    <w:rsid w:val="0037369C"/>
    <w:rsid w:val="00373F72"/>
    <w:rsid w:val="0037728A"/>
    <w:rsid w:val="00381FD5"/>
    <w:rsid w:val="0038214C"/>
    <w:rsid w:val="00386520"/>
    <w:rsid w:val="00397A34"/>
    <w:rsid w:val="003A3D7E"/>
    <w:rsid w:val="003A4ABC"/>
    <w:rsid w:val="003B488B"/>
    <w:rsid w:val="003C0583"/>
    <w:rsid w:val="003C21D6"/>
    <w:rsid w:val="003C2A5C"/>
    <w:rsid w:val="003C4372"/>
    <w:rsid w:val="003C5B13"/>
    <w:rsid w:val="003D68C0"/>
    <w:rsid w:val="003D7330"/>
    <w:rsid w:val="003E7C35"/>
    <w:rsid w:val="003F0BE5"/>
    <w:rsid w:val="003F2257"/>
    <w:rsid w:val="00412000"/>
    <w:rsid w:val="00412743"/>
    <w:rsid w:val="004144EF"/>
    <w:rsid w:val="00415E9C"/>
    <w:rsid w:val="00416396"/>
    <w:rsid w:val="00417C7F"/>
    <w:rsid w:val="00417D8B"/>
    <w:rsid w:val="00421E87"/>
    <w:rsid w:val="00427E1C"/>
    <w:rsid w:val="00436E32"/>
    <w:rsid w:val="00440598"/>
    <w:rsid w:val="004441AE"/>
    <w:rsid w:val="00451260"/>
    <w:rsid w:val="004546C0"/>
    <w:rsid w:val="00467101"/>
    <w:rsid w:val="00467BD4"/>
    <w:rsid w:val="00475851"/>
    <w:rsid w:val="00480775"/>
    <w:rsid w:val="00480D31"/>
    <w:rsid w:val="00484B9E"/>
    <w:rsid w:val="00487991"/>
    <w:rsid w:val="00492A0C"/>
    <w:rsid w:val="00493EBA"/>
    <w:rsid w:val="00495DFE"/>
    <w:rsid w:val="004A2891"/>
    <w:rsid w:val="004A35A6"/>
    <w:rsid w:val="004A669D"/>
    <w:rsid w:val="004B0282"/>
    <w:rsid w:val="004B253B"/>
    <w:rsid w:val="004B2C3C"/>
    <w:rsid w:val="004B48C7"/>
    <w:rsid w:val="004B6352"/>
    <w:rsid w:val="004B7594"/>
    <w:rsid w:val="004C2474"/>
    <w:rsid w:val="004C4124"/>
    <w:rsid w:val="004C4A46"/>
    <w:rsid w:val="004C5947"/>
    <w:rsid w:val="004C62B5"/>
    <w:rsid w:val="004D63CD"/>
    <w:rsid w:val="004E01F6"/>
    <w:rsid w:val="004E0E11"/>
    <w:rsid w:val="004E2003"/>
    <w:rsid w:val="004E29E2"/>
    <w:rsid w:val="004E3C63"/>
    <w:rsid w:val="004F400C"/>
    <w:rsid w:val="004F613D"/>
    <w:rsid w:val="00503FE1"/>
    <w:rsid w:val="00505A03"/>
    <w:rsid w:val="0050669F"/>
    <w:rsid w:val="00510C03"/>
    <w:rsid w:val="00513FAF"/>
    <w:rsid w:val="00520620"/>
    <w:rsid w:val="00522CAA"/>
    <w:rsid w:val="00526086"/>
    <w:rsid w:val="005269CB"/>
    <w:rsid w:val="005301E0"/>
    <w:rsid w:val="0053098E"/>
    <w:rsid w:val="00534938"/>
    <w:rsid w:val="005429D6"/>
    <w:rsid w:val="005507A4"/>
    <w:rsid w:val="00556822"/>
    <w:rsid w:val="00557571"/>
    <w:rsid w:val="005745F5"/>
    <w:rsid w:val="00575B7A"/>
    <w:rsid w:val="00576301"/>
    <w:rsid w:val="005812D3"/>
    <w:rsid w:val="005839B0"/>
    <w:rsid w:val="00586720"/>
    <w:rsid w:val="0058696C"/>
    <w:rsid w:val="005A0AEF"/>
    <w:rsid w:val="005A1487"/>
    <w:rsid w:val="005A5948"/>
    <w:rsid w:val="005A60F7"/>
    <w:rsid w:val="005B0990"/>
    <w:rsid w:val="005B3A63"/>
    <w:rsid w:val="005B7620"/>
    <w:rsid w:val="005C0F6E"/>
    <w:rsid w:val="005C3659"/>
    <w:rsid w:val="005C4554"/>
    <w:rsid w:val="005C627C"/>
    <w:rsid w:val="005D1CE5"/>
    <w:rsid w:val="005D40FE"/>
    <w:rsid w:val="005D69B1"/>
    <w:rsid w:val="005D6ACD"/>
    <w:rsid w:val="005D71B0"/>
    <w:rsid w:val="005E0004"/>
    <w:rsid w:val="005E260C"/>
    <w:rsid w:val="005E43B1"/>
    <w:rsid w:val="005F4D02"/>
    <w:rsid w:val="00601BF7"/>
    <w:rsid w:val="0060524B"/>
    <w:rsid w:val="00607654"/>
    <w:rsid w:val="006113CF"/>
    <w:rsid w:val="006132B9"/>
    <w:rsid w:val="006158DC"/>
    <w:rsid w:val="0061645A"/>
    <w:rsid w:val="0062126D"/>
    <w:rsid w:val="00621B09"/>
    <w:rsid w:val="006227BE"/>
    <w:rsid w:val="0063018F"/>
    <w:rsid w:val="00632A25"/>
    <w:rsid w:val="006353B4"/>
    <w:rsid w:val="006362B0"/>
    <w:rsid w:val="0064576F"/>
    <w:rsid w:val="00650ECD"/>
    <w:rsid w:val="006547BF"/>
    <w:rsid w:val="00660AE8"/>
    <w:rsid w:val="00664807"/>
    <w:rsid w:val="00665625"/>
    <w:rsid w:val="00666A24"/>
    <w:rsid w:val="00671CF7"/>
    <w:rsid w:val="00676B60"/>
    <w:rsid w:val="0067790A"/>
    <w:rsid w:val="006828EF"/>
    <w:rsid w:val="00683330"/>
    <w:rsid w:val="00685DDD"/>
    <w:rsid w:val="00690481"/>
    <w:rsid w:val="00690661"/>
    <w:rsid w:val="00692E2F"/>
    <w:rsid w:val="006A1EA6"/>
    <w:rsid w:val="006A3E62"/>
    <w:rsid w:val="006A4ACB"/>
    <w:rsid w:val="006B09AC"/>
    <w:rsid w:val="006B3C32"/>
    <w:rsid w:val="006B41DC"/>
    <w:rsid w:val="006B70D2"/>
    <w:rsid w:val="006C1791"/>
    <w:rsid w:val="006C631F"/>
    <w:rsid w:val="006D09EA"/>
    <w:rsid w:val="006E3FE7"/>
    <w:rsid w:val="006E430F"/>
    <w:rsid w:val="006E6A04"/>
    <w:rsid w:val="006F3DCD"/>
    <w:rsid w:val="006F68AD"/>
    <w:rsid w:val="00702C0E"/>
    <w:rsid w:val="00706198"/>
    <w:rsid w:val="00714C4C"/>
    <w:rsid w:val="00715BAF"/>
    <w:rsid w:val="00726195"/>
    <w:rsid w:val="007268FD"/>
    <w:rsid w:val="00731000"/>
    <w:rsid w:val="00732671"/>
    <w:rsid w:val="007353E7"/>
    <w:rsid w:val="00741235"/>
    <w:rsid w:val="007635E7"/>
    <w:rsid w:val="00771B3B"/>
    <w:rsid w:val="00772250"/>
    <w:rsid w:val="0077769A"/>
    <w:rsid w:val="00777F77"/>
    <w:rsid w:val="00781022"/>
    <w:rsid w:val="00785043"/>
    <w:rsid w:val="007865D6"/>
    <w:rsid w:val="00795CE5"/>
    <w:rsid w:val="007A02D3"/>
    <w:rsid w:val="007A1F1A"/>
    <w:rsid w:val="007A6607"/>
    <w:rsid w:val="007B22A9"/>
    <w:rsid w:val="007B26AB"/>
    <w:rsid w:val="007C2E93"/>
    <w:rsid w:val="007C4817"/>
    <w:rsid w:val="007C5B30"/>
    <w:rsid w:val="007C66B3"/>
    <w:rsid w:val="007D68B2"/>
    <w:rsid w:val="007E1DC9"/>
    <w:rsid w:val="007E360B"/>
    <w:rsid w:val="007E4794"/>
    <w:rsid w:val="007F0F99"/>
    <w:rsid w:val="007F7BCC"/>
    <w:rsid w:val="007F7E0C"/>
    <w:rsid w:val="0080554F"/>
    <w:rsid w:val="00806276"/>
    <w:rsid w:val="0081290A"/>
    <w:rsid w:val="008154F8"/>
    <w:rsid w:val="00820E85"/>
    <w:rsid w:val="008249A0"/>
    <w:rsid w:val="008256E0"/>
    <w:rsid w:val="008300B9"/>
    <w:rsid w:val="00834ADC"/>
    <w:rsid w:val="00837F30"/>
    <w:rsid w:val="00843022"/>
    <w:rsid w:val="008449D1"/>
    <w:rsid w:val="00852238"/>
    <w:rsid w:val="008556E9"/>
    <w:rsid w:val="008567B8"/>
    <w:rsid w:val="00862964"/>
    <w:rsid w:val="0086450E"/>
    <w:rsid w:val="0087215E"/>
    <w:rsid w:val="00873150"/>
    <w:rsid w:val="008773D9"/>
    <w:rsid w:val="00877A82"/>
    <w:rsid w:val="00884033"/>
    <w:rsid w:val="00885D9E"/>
    <w:rsid w:val="0089021D"/>
    <w:rsid w:val="008950FC"/>
    <w:rsid w:val="00895142"/>
    <w:rsid w:val="008A0F14"/>
    <w:rsid w:val="008A4F0E"/>
    <w:rsid w:val="008A57B7"/>
    <w:rsid w:val="008B0347"/>
    <w:rsid w:val="008B5DE6"/>
    <w:rsid w:val="008C0B9D"/>
    <w:rsid w:val="008C6860"/>
    <w:rsid w:val="008D14C4"/>
    <w:rsid w:val="008D2636"/>
    <w:rsid w:val="008D4262"/>
    <w:rsid w:val="008D565A"/>
    <w:rsid w:val="008D666A"/>
    <w:rsid w:val="008E0610"/>
    <w:rsid w:val="008E4432"/>
    <w:rsid w:val="008F025C"/>
    <w:rsid w:val="008F0C14"/>
    <w:rsid w:val="008F3065"/>
    <w:rsid w:val="008F3DC2"/>
    <w:rsid w:val="009002BC"/>
    <w:rsid w:val="00904236"/>
    <w:rsid w:val="00905099"/>
    <w:rsid w:val="009141DA"/>
    <w:rsid w:val="0091594C"/>
    <w:rsid w:val="00915B0D"/>
    <w:rsid w:val="0091644E"/>
    <w:rsid w:val="009202CA"/>
    <w:rsid w:val="00923FD9"/>
    <w:rsid w:val="0092553D"/>
    <w:rsid w:val="00925D64"/>
    <w:rsid w:val="0093017D"/>
    <w:rsid w:val="00931C19"/>
    <w:rsid w:val="00933328"/>
    <w:rsid w:val="00933FF5"/>
    <w:rsid w:val="0094012B"/>
    <w:rsid w:val="009405C8"/>
    <w:rsid w:val="00945398"/>
    <w:rsid w:val="00950DCC"/>
    <w:rsid w:val="009563B8"/>
    <w:rsid w:val="0097211C"/>
    <w:rsid w:val="00973CCF"/>
    <w:rsid w:val="00973CFC"/>
    <w:rsid w:val="00981EA7"/>
    <w:rsid w:val="009826D9"/>
    <w:rsid w:val="009833E8"/>
    <w:rsid w:val="00985B87"/>
    <w:rsid w:val="00986993"/>
    <w:rsid w:val="00994E2B"/>
    <w:rsid w:val="009B640D"/>
    <w:rsid w:val="009C1641"/>
    <w:rsid w:val="009C1815"/>
    <w:rsid w:val="009C1E45"/>
    <w:rsid w:val="009C4A93"/>
    <w:rsid w:val="009D02F1"/>
    <w:rsid w:val="009D1DF4"/>
    <w:rsid w:val="009D26B5"/>
    <w:rsid w:val="009D2780"/>
    <w:rsid w:val="009D43AA"/>
    <w:rsid w:val="009D5101"/>
    <w:rsid w:val="009D7296"/>
    <w:rsid w:val="009D7626"/>
    <w:rsid w:val="009E2358"/>
    <w:rsid w:val="009E43E0"/>
    <w:rsid w:val="009F1033"/>
    <w:rsid w:val="009F12AB"/>
    <w:rsid w:val="00A05FC7"/>
    <w:rsid w:val="00A11EE6"/>
    <w:rsid w:val="00A21FFC"/>
    <w:rsid w:val="00A248DE"/>
    <w:rsid w:val="00A325C7"/>
    <w:rsid w:val="00A37EC9"/>
    <w:rsid w:val="00A37FA9"/>
    <w:rsid w:val="00A51635"/>
    <w:rsid w:val="00A52293"/>
    <w:rsid w:val="00A54E30"/>
    <w:rsid w:val="00A71698"/>
    <w:rsid w:val="00A720FE"/>
    <w:rsid w:val="00A74266"/>
    <w:rsid w:val="00A82462"/>
    <w:rsid w:val="00A86E65"/>
    <w:rsid w:val="00A904CC"/>
    <w:rsid w:val="00A9111B"/>
    <w:rsid w:val="00A96B4F"/>
    <w:rsid w:val="00AA5AED"/>
    <w:rsid w:val="00AA68A2"/>
    <w:rsid w:val="00AB1BAE"/>
    <w:rsid w:val="00AB3E61"/>
    <w:rsid w:val="00AB40DB"/>
    <w:rsid w:val="00AB7180"/>
    <w:rsid w:val="00AC28E3"/>
    <w:rsid w:val="00AC5FEA"/>
    <w:rsid w:val="00AC68FB"/>
    <w:rsid w:val="00AC7F1A"/>
    <w:rsid w:val="00AD1707"/>
    <w:rsid w:val="00AD4CA5"/>
    <w:rsid w:val="00AE0466"/>
    <w:rsid w:val="00AE701D"/>
    <w:rsid w:val="00AE7549"/>
    <w:rsid w:val="00AF7CA7"/>
    <w:rsid w:val="00B00A00"/>
    <w:rsid w:val="00B222CB"/>
    <w:rsid w:val="00B2244A"/>
    <w:rsid w:val="00B22C29"/>
    <w:rsid w:val="00B261F9"/>
    <w:rsid w:val="00B353DE"/>
    <w:rsid w:val="00B46D0E"/>
    <w:rsid w:val="00B50E69"/>
    <w:rsid w:val="00B53549"/>
    <w:rsid w:val="00B61578"/>
    <w:rsid w:val="00B61F6A"/>
    <w:rsid w:val="00B63E2D"/>
    <w:rsid w:val="00B63E3B"/>
    <w:rsid w:val="00B65B2B"/>
    <w:rsid w:val="00B74DF6"/>
    <w:rsid w:val="00B75749"/>
    <w:rsid w:val="00B75770"/>
    <w:rsid w:val="00B80066"/>
    <w:rsid w:val="00B810FF"/>
    <w:rsid w:val="00B813C9"/>
    <w:rsid w:val="00B819C0"/>
    <w:rsid w:val="00B832B4"/>
    <w:rsid w:val="00B91785"/>
    <w:rsid w:val="00BA1264"/>
    <w:rsid w:val="00BA1E07"/>
    <w:rsid w:val="00BA3F05"/>
    <w:rsid w:val="00BA4044"/>
    <w:rsid w:val="00BA7189"/>
    <w:rsid w:val="00BB16AB"/>
    <w:rsid w:val="00BC0324"/>
    <w:rsid w:val="00BC3C3C"/>
    <w:rsid w:val="00BD0FFD"/>
    <w:rsid w:val="00BE1722"/>
    <w:rsid w:val="00BE48BE"/>
    <w:rsid w:val="00BF01C3"/>
    <w:rsid w:val="00BF02C3"/>
    <w:rsid w:val="00BF0FC6"/>
    <w:rsid w:val="00BF5086"/>
    <w:rsid w:val="00BF5F55"/>
    <w:rsid w:val="00BF7F74"/>
    <w:rsid w:val="00C060D6"/>
    <w:rsid w:val="00C11BA9"/>
    <w:rsid w:val="00C11CE1"/>
    <w:rsid w:val="00C15294"/>
    <w:rsid w:val="00C163FF"/>
    <w:rsid w:val="00C2478C"/>
    <w:rsid w:val="00C25084"/>
    <w:rsid w:val="00C26042"/>
    <w:rsid w:val="00C31016"/>
    <w:rsid w:val="00C35ACF"/>
    <w:rsid w:val="00C4116C"/>
    <w:rsid w:val="00C463AE"/>
    <w:rsid w:val="00C4680C"/>
    <w:rsid w:val="00C46CF6"/>
    <w:rsid w:val="00C474B8"/>
    <w:rsid w:val="00C537EC"/>
    <w:rsid w:val="00C543C0"/>
    <w:rsid w:val="00C5522C"/>
    <w:rsid w:val="00C6454E"/>
    <w:rsid w:val="00C65D27"/>
    <w:rsid w:val="00C6787E"/>
    <w:rsid w:val="00C71746"/>
    <w:rsid w:val="00C74533"/>
    <w:rsid w:val="00C762CB"/>
    <w:rsid w:val="00C7681E"/>
    <w:rsid w:val="00C77074"/>
    <w:rsid w:val="00C82739"/>
    <w:rsid w:val="00C83BC9"/>
    <w:rsid w:val="00C83D2E"/>
    <w:rsid w:val="00C86968"/>
    <w:rsid w:val="00C9550F"/>
    <w:rsid w:val="00C97E4E"/>
    <w:rsid w:val="00CA0847"/>
    <w:rsid w:val="00CA0D11"/>
    <w:rsid w:val="00CA0D50"/>
    <w:rsid w:val="00CA170A"/>
    <w:rsid w:val="00CA17D5"/>
    <w:rsid w:val="00CA4004"/>
    <w:rsid w:val="00CB02EF"/>
    <w:rsid w:val="00CB78A2"/>
    <w:rsid w:val="00CB7A49"/>
    <w:rsid w:val="00CC18F5"/>
    <w:rsid w:val="00CC21DA"/>
    <w:rsid w:val="00CC2BBE"/>
    <w:rsid w:val="00CC781E"/>
    <w:rsid w:val="00CC7E9F"/>
    <w:rsid w:val="00CD469E"/>
    <w:rsid w:val="00CD54AB"/>
    <w:rsid w:val="00CD56D5"/>
    <w:rsid w:val="00CD76A3"/>
    <w:rsid w:val="00CE70B2"/>
    <w:rsid w:val="00CF09ED"/>
    <w:rsid w:val="00CF20C5"/>
    <w:rsid w:val="00CF3A78"/>
    <w:rsid w:val="00CF5D7A"/>
    <w:rsid w:val="00CF62CB"/>
    <w:rsid w:val="00CF7273"/>
    <w:rsid w:val="00CF7C4A"/>
    <w:rsid w:val="00D02838"/>
    <w:rsid w:val="00D02BC5"/>
    <w:rsid w:val="00D03761"/>
    <w:rsid w:val="00D075D0"/>
    <w:rsid w:val="00D10914"/>
    <w:rsid w:val="00D23640"/>
    <w:rsid w:val="00D26C7D"/>
    <w:rsid w:val="00D27725"/>
    <w:rsid w:val="00D27DEA"/>
    <w:rsid w:val="00D31B04"/>
    <w:rsid w:val="00D514B2"/>
    <w:rsid w:val="00D52EE1"/>
    <w:rsid w:val="00D5419F"/>
    <w:rsid w:val="00D63B3F"/>
    <w:rsid w:val="00D663BA"/>
    <w:rsid w:val="00D722E5"/>
    <w:rsid w:val="00D90069"/>
    <w:rsid w:val="00D90654"/>
    <w:rsid w:val="00D90954"/>
    <w:rsid w:val="00D963B5"/>
    <w:rsid w:val="00DB2611"/>
    <w:rsid w:val="00DB3311"/>
    <w:rsid w:val="00DB5086"/>
    <w:rsid w:val="00DB6E55"/>
    <w:rsid w:val="00DB7C7E"/>
    <w:rsid w:val="00DC178C"/>
    <w:rsid w:val="00DC4C8F"/>
    <w:rsid w:val="00DD0C58"/>
    <w:rsid w:val="00DD4886"/>
    <w:rsid w:val="00DE2836"/>
    <w:rsid w:val="00DF2BF0"/>
    <w:rsid w:val="00DF50DE"/>
    <w:rsid w:val="00DF6901"/>
    <w:rsid w:val="00DF7061"/>
    <w:rsid w:val="00E061E2"/>
    <w:rsid w:val="00E10368"/>
    <w:rsid w:val="00E10BED"/>
    <w:rsid w:val="00E20C65"/>
    <w:rsid w:val="00E23C7A"/>
    <w:rsid w:val="00E34F1B"/>
    <w:rsid w:val="00E37B8C"/>
    <w:rsid w:val="00E41920"/>
    <w:rsid w:val="00E4462C"/>
    <w:rsid w:val="00E46EEB"/>
    <w:rsid w:val="00E47566"/>
    <w:rsid w:val="00E50376"/>
    <w:rsid w:val="00E525C0"/>
    <w:rsid w:val="00E70704"/>
    <w:rsid w:val="00E73041"/>
    <w:rsid w:val="00E774FE"/>
    <w:rsid w:val="00E85EA8"/>
    <w:rsid w:val="00E91F2D"/>
    <w:rsid w:val="00E94E14"/>
    <w:rsid w:val="00EB0ADA"/>
    <w:rsid w:val="00EB48A6"/>
    <w:rsid w:val="00EB7E8A"/>
    <w:rsid w:val="00EC1F8A"/>
    <w:rsid w:val="00EC5DB1"/>
    <w:rsid w:val="00ED32AA"/>
    <w:rsid w:val="00EE2AA0"/>
    <w:rsid w:val="00EE313D"/>
    <w:rsid w:val="00EE44DC"/>
    <w:rsid w:val="00EF42A8"/>
    <w:rsid w:val="00F06E68"/>
    <w:rsid w:val="00F15662"/>
    <w:rsid w:val="00F15FAA"/>
    <w:rsid w:val="00F249A7"/>
    <w:rsid w:val="00F26376"/>
    <w:rsid w:val="00F30298"/>
    <w:rsid w:val="00F3029E"/>
    <w:rsid w:val="00F32031"/>
    <w:rsid w:val="00F32F54"/>
    <w:rsid w:val="00F37939"/>
    <w:rsid w:val="00F400A4"/>
    <w:rsid w:val="00F52EE4"/>
    <w:rsid w:val="00F61537"/>
    <w:rsid w:val="00F66FB2"/>
    <w:rsid w:val="00F67CEB"/>
    <w:rsid w:val="00F816B6"/>
    <w:rsid w:val="00F8251B"/>
    <w:rsid w:val="00F8641B"/>
    <w:rsid w:val="00F87182"/>
    <w:rsid w:val="00F907E3"/>
    <w:rsid w:val="00FA1603"/>
    <w:rsid w:val="00FA2AB7"/>
    <w:rsid w:val="00FB185F"/>
    <w:rsid w:val="00FB1D44"/>
    <w:rsid w:val="00FB21C7"/>
    <w:rsid w:val="00FB5C5D"/>
    <w:rsid w:val="00FB7BB8"/>
    <w:rsid w:val="00FD440F"/>
    <w:rsid w:val="00FD52EF"/>
    <w:rsid w:val="00FD7284"/>
    <w:rsid w:val="00FE0F29"/>
    <w:rsid w:val="00FE6ED6"/>
    <w:rsid w:val="00FE7F88"/>
    <w:rsid w:val="00FF26A5"/>
    <w:rsid w:val="00FF309F"/>
    <w:rsid w:val="01527C8C"/>
    <w:rsid w:val="017C3055"/>
    <w:rsid w:val="01AF70E0"/>
    <w:rsid w:val="01DF79C5"/>
    <w:rsid w:val="01E054EB"/>
    <w:rsid w:val="01F50F9D"/>
    <w:rsid w:val="020411DA"/>
    <w:rsid w:val="029E1C0F"/>
    <w:rsid w:val="02B07FF7"/>
    <w:rsid w:val="02BE247E"/>
    <w:rsid w:val="02F456F2"/>
    <w:rsid w:val="03125B78"/>
    <w:rsid w:val="032B6C3A"/>
    <w:rsid w:val="03323B24"/>
    <w:rsid w:val="03724869"/>
    <w:rsid w:val="03733BDF"/>
    <w:rsid w:val="03A308DC"/>
    <w:rsid w:val="040532BA"/>
    <w:rsid w:val="04176582"/>
    <w:rsid w:val="044A3845"/>
    <w:rsid w:val="0473320E"/>
    <w:rsid w:val="04937B6A"/>
    <w:rsid w:val="04C86418"/>
    <w:rsid w:val="04EF66A6"/>
    <w:rsid w:val="051259ED"/>
    <w:rsid w:val="051A0D14"/>
    <w:rsid w:val="054D29BC"/>
    <w:rsid w:val="054F6C10"/>
    <w:rsid w:val="056C5A14"/>
    <w:rsid w:val="05D215EF"/>
    <w:rsid w:val="064918B1"/>
    <w:rsid w:val="06D53145"/>
    <w:rsid w:val="06E93094"/>
    <w:rsid w:val="07041580"/>
    <w:rsid w:val="07932A4C"/>
    <w:rsid w:val="08400A92"/>
    <w:rsid w:val="089112ED"/>
    <w:rsid w:val="08DB1CFF"/>
    <w:rsid w:val="08FF0C82"/>
    <w:rsid w:val="09090583"/>
    <w:rsid w:val="09175C96"/>
    <w:rsid w:val="0983332C"/>
    <w:rsid w:val="09840E52"/>
    <w:rsid w:val="0A9E30AD"/>
    <w:rsid w:val="0B5D2EC7"/>
    <w:rsid w:val="0B867103"/>
    <w:rsid w:val="0BEB3B44"/>
    <w:rsid w:val="0C0644C0"/>
    <w:rsid w:val="0C550884"/>
    <w:rsid w:val="0C9910B8"/>
    <w:rsid w:val="0CD21507"/>
    <w:rsid w:val="0CD66DD1"/>
    <w:rsid w:val="0D352B8F"/>
    <w:rsid w:val="0D5F7846"/>
    <w:rsid w:val="0D7D62E4"/>
    <w:rsid w:val="0D8E04F1"/>
    <w:rsid w:val="0DA56F71"/>
    <w:rsid w:val="0DEB6E75"/>
    <w:rsid w:val="0E1C5AFD"/>
    <w:rsid w:val="0E87741A"/>
    <w:rsid w:val="0EB70D5C"/>
    <w:rsid w:val="0F184516"/>
    <w:rsid w:val="0F2C1D70"/>
    <w:rsid w:val="0F362BEE"/>
    <w:rsid w:val="0F9470D3"/>
    <w:rsid w:val="0FD53874"/>
    <w:rsid w:val="100131FC"/>
    <w:rsid w:val="100C3F23"/>
    <w:rsid w:val="10C34956"/>
    <w:rsid w:val="10D62AA4"/>
    <w:rsid w:val="11CB3AC2"/>
    <w:rsid w:val="1319260B"/>
    <w:rsid w:val="13342C88"/>
    <w:rsid w:val="13552B79"/>
    <w:rsid w:val="13743CE5"/>
    <w:rsid w:val="13793DF7"/>
    <w:rsid w:val="137B5074"/>
    <w:rsid w:val="13BB7B66"/>
    <w:rsid w:val="13C8306A"/>
    <w:rsid w:val="13C833DE"/>
    <w:rsid w:val="13FD017F"/>
    <w:rsid w:val="141C4A83"/>
    <w:rsid w:val="14354A58"/>
    <w:rsid w:val="145204CA"/>
    <w:rsid w:val="14677422"/>
    <w:rsid w:val="149C7998"/>
    <w:rsid w:val="14D13D37"/>
    <w:rsid w:val="14EF1110"/>
    <w:rsid w:val="152E6B10"/>
    <w:rsid w:val="15714980"/>
    <w:rsid w:val="15714A54"/>
    <w:rsid w:val="15BF1042"/>
    <w:rsid w:val="15EF58A5"/>
    <w:rsid w:val="1656732A"/>
    <w:rsid w:val="16BC1C2B"/>
    <w:rsid w:val="16FB6BF7"/>
    <w:rsid w:val="17081314"/>
    <w:rsid w:val="179E57D5"/>
    <w:rsid w:val="17C0574B"/>
    <w:rsid w:val="181939B9"/>
    <w:rsid w:val="18356139"/>
    <w:rsid w:val="188E6525"/>
    <w:rsid w:val="18C13529"/>
    <w:rsid w:val="18D74DC1"/>
    <w:rsid w:val="18E436BB"/>
    <w:rsid w:val="19185418"/>
    <w:rsid w:val="195C449A"/>
    <w:rsid w:val="196B7938"/>
    <w:rsid w:val="198B3B37"/>
    <w:rsid w:val="1AA1530A"/>
    <w:rsid w:val="1AED58EF"/>
    <w:rsid w:val="1B3D0FC9"/>
    <w:rsid w:val="1B4346C9"/>
    <w:rsid w:val="1CEC68B7"/>
    <w:rsid w:val="1DB21FDA"/>
    <w:rsid w:val="1E0839A8"/>
    <w:rsid w:val="1EEE0DF0"/>
    <w:rsid w:val="1F115DF3"/>
    <w:rsid w:val="1F397F3B"/>
    <w:rsid w:val="1F3A0BB5"/>
    <w:rsid w:val="1FA92FCB"/>
    <w:rsid w:val="20193BC8"/>
    <w:rsid w:val="207B66B3"/>
    <w:rsid w:val="209B2C72"/>
    <w:rsid w:val="20B9542D"/>
    <w:rsid w:val="20E26732"/>
    <w:rsid w:val="21935C7E"/>
    <w:rsid w:val="21E52AB7"/>
    <w:rsid w:val="21F9164A"/>
    <w:rsid w:val="21FC7CC7"/>
    <w:rsid w:val="220D398C"/>
    <w:rsid w:val="222D60D3"/>
    <w:rsid w:val="223C00C4"/>
    <w:rsid w:val="22401962"/>
    <w:rsid w:val="2261695B"/>
    <w:rsid w:val="22E206D2"/>
    <w:rsid w:val="2301566F"/>
    <w:rsid w:val="235774D3"/>
    <w:rsid w:val="23735D67"/>
    <w:rsid w:val="23CD191B"/>
    <w:rsid w:val="24165293"/>
    <w:rsid w:val="245231DD"/>
    <w:rsid w:val="2482721D"/>
    <w:rsid w:val="24A10BF5"/>
    <w:rsid w:val="24D70B68"/>
    <w:rsid w:val="24F86524"/>
    <w:rsid w:val="252523ED"/>
    <w:rsid w:val="253D4AB1"/>
    <w:rsid w:val="25757B75"/>
    <w:rsid w:val="25E42F4C"/>
    <w:rsid w:val="265B37A1"/>
    <w:rsid w:val="26AB07CC"/>
    <w:rsid w:val="26F64CE5"/>
    <w:rsid w:val="27644D1D"/>
    <w:rsid w:val="277F2F2D"/>
    <w:rsid w:val="27992E69"/>
    <w:rsid w:val="27C76682"/>
    <w:rsid w:val="285223EF"/>
    <w:rsid w:val="287B63A6"/>
    <w:rsid w:val="28D23530"/>
    <w:rsid w:val="290B020C"/>
    <w:rsid w:val="29613C02"/>
    <w:rsid w:val="2A397C18"/>
    <w:rsid w:val="2A4A1650"/>
    <w:rsid w:val="2A5015D5"/>
    <w:rsid w:val="2AF63392"/>
    <w:rsid w:val="2B7803BF"/>
    <w:rsid w:val="2B9179C0"/>
    <w:rsid w:val="2BA67492"/>
    <w:rsid w:val="2BD1187D"/>
    <w:rsid w:val="2BD80267"/>
    <w:rsid w:val="2BEE68D3"/>
    <w:rsid w:val="2C2045B2"/>
    <w:rsid w:val="2C66791C"/>
    <w:rsid w:val="2CB4455C"/>
    <w:rsid w:val="2D221D01"/>
    <w:rsid w:val="2D676A80"/>
    <w:rsid w:val="2D7A3266"/>
    <w:rsid w:val="2DEC04BA"/>
    <w:rsid w:val="2DF126AA"/>
    <w:rsid w:val="2E123636"/>
    <w:rsid w:val="2E496043"/>
    <w:rsid w:val="2E5D389C"/>
    <w:rsid w:val="2F2D2E5F"/>
    <w:rsid w:val="2F3A006E"/>
    <w:rsid w:val="2F5F2B72"/>
    <w:rsid w:val="2F791B26"/>
    <w:rsid w:val="2F7C41F6"/>
    <w:rsid w:val="2FF41FDE"/>
    <w:rsid w:val="309F019C"/>
    <w:rsid w:val="31071BD3"/>
    <w:rsid w:val="312513B2"/>
    <w:rsid w:val="314C3B33"/>
    <w:rsid w:val="31745184"/>
    <w:rsid w:val="31916A3A"/>
    <w:rsid w:val="31B042BF"/>
    <w:rsid w:val="31F12401"/>
    <w:rsid w:val="31FF5F72"/>
    <w:rsid w:val="3202689B"/>
    <w:rsid w:val="32035D60"/>
    <w:rsid w:val="3242018E"/>
    <w:rsid w:val="324A67B5"/>
    <w:rsid w:val="326E6953"/>
    <w:rsid w:val="327001B2"/>
    <w:rsid w:val="32807B59"/>
    <w:rsid w:val="33523A32"/>
    <w:rsid w:val="343E1A7A"/>
    <w:rsid w:val="34873421"/>
    <w:rsid w:val="34B524C1"/>
    <w:rsid w:val="34FD7B87"/>
    <w:rsid w:val="355C665B"/>
    <w:rsid w:val="35BC0C8D"/>
    <w:rsid w:val="36080591"/>
    <w:rsid w:val="361B6516"/>
    <w:rsid w:val="365D08DD"/>
    <w:rsid w:val="36624145"/>
    <w:rsid w:val="36714388"/>
    <w:rsid w:val="36D23A94"/>
    <w:rsid w:val="376940D0"/>
    <w:rsid w:val="37A02D63"/>
    <w:rsid w:val="38204506"/>
    <w:rsid w:val="38303DCF"/>
    <w:rsid w:val="38AA5930"/>
    <w:rsid w:val="39321D68"/>
    <w:rsid w:val="39400042"/>
    <w:rsid w:val="39CB3B9A"/>
    <w:rsid w:val="39EE5CF0"/>
    <w:rsid w:val="3A5E4C24"/>
    <w:rsid w:val="3A744447"/>
    <w:rsid w:val="3B3D2A8B"/>
    <w:rsid w:val="3B8C756F"/>
    <w:rsid w:val="3B90705F"/>
    <w:rsid w:val="3BAE6CD9"/>
    <w:rsid w:val="3BB44BD3"/>
    <w:rsid w:val="3BBC60A6"/>
    <w:rsid w:val="3C17152E"/>
    <w:rsid w:val="3C3000ED"/>
    <w:rsid w:val="3C3C2D43"/>
    <w:rsid w:val="3C4936B2"/>
    <w:rsid w:val="3C5E0F0B"/>
    <w:rsid w:val="3C6329C5"/>
    <w:rsid w:val="3CCD45E0"/>
    <w:rsid w:val="3D232399"/>
    <w:rsid w:val="3D2E2D19"/>
    <w:rsid w:val="3D31181A"/>
    <w:rsid w:val="3D736C38"/>
    <w:rsid w:val="3D7B4584"/>
    <w:rsid w:val="3D9B618F"/>
    <w:rsid w:val="3DC87CB2"/>
    <w:rsid w:val="3DEB4AAE"/>
    <w:rsid w:val="3E350391"/>
    <w:rsid w:val="3EC51715"/>
    <w:rsid w:val="3F1749BD"/>
    <w:rsid w:val="3F4F365B"/>
    <w:rsid w:val="3F9A5B70"/>
    <w:rsid w:val="3FEE25A6"/>
    <w:rsid w:val="40C31C84"/>
    <w:rsid w:val="41093759"/>
    <w:rsid w:val="41380196"/>
    <w:rsid w:val="41415EFF"/>
    <w:rsid w:val="41C95079"/>
    <w:rsid w:val="41D026B4"/>
    <w:rsid w:val="42740669"/>
    <w:rsid w:val="434E3D93"/>
    <w:rsid w:val="439A372E"/>
    <w:rsid w:val="43FD53EB"/>
    <w:rsid w:val="44402940"/>
    <w:rsid w:val="4441183E"/>
    <w:rsid w:val="449B6886"/>
    <w:rsid w:val="452567EA"/>
    <w:rsid w:val="4561639F"/>
    <w:rsid w:val="45DB35CC"/>
    <w:rsid w:val="46717A8D"/>
    <w:rsid w:val="468204C4"/>
    <w:rsid w:val="46886BA6"/>
    <w:rsid w:val="46B57F77"/>
    <w:rsid w:val="46EE5581"/>
    <w:rsid w:val="46FA3F26"/>
    <w:rsid w:val="47182221"/>
    <w:rsid w:val="472B5CFC"/>
    <w:rsid w:val="47307948"/>
    <w:rsid w:val="48066D69"/>
    <w:rsid w:val="48124F71"/>
    <w:rsid w:val="481D4BC7"/>
    <w:rsid w:val="484418FD"/>
    <w:rsid w:val="48524AAD"/>
    <w:rsid w:val="48643D4D"/>
    <w:rsid w:val="490552AA"/>
    <w:rsid w:val="499A379E"/>
    <w:rsid w:val="49B77EAC"/>
    <w:rsid w:val="4AB4263E"/>
    <w:rsid w:val="4B7A4CDC"/>
    <w:rsid w:val="4B7F0E9E"/>
    <w:rsid w:val="4BEB1E50"/>
    <w:rsid w:val="4C764CF2"/>
    <w:rsid w:val="4D37082D"/>
    <w:rsid w:val="4D63247C"/>
    <w:rsid w:val="4DAD3AA0"/>
    <w:rsid w:val="4DF64B12"/>
    <w:rsid w:val="4EAD187E"/>
    <w:rsid w:val="4EBC7C5E"/>
    <w:rsid w:val="4EF94AC3"/>
    <w:rsid w:val="4F9009A8"/>
    <w:rsid w:val="4FFA680C"/>
    <w:rsid w:val="4FFC288D"/>
    <w:rsid w:val="502D3360"/>
    <w:rsid w:val="506844AD"/>
    <w:rsid w:val="50981A4B"/>
    <w:rsid w:val="50B837EC"/>
    <w:rsid w:val="50CD4459"/>
    <w:rsid w:val="50E80421"/>
    <w:rsid w:val="51962A9D"/>
    <w:rsid w:val="519C4558"/>
    <w:rsid w:val="51A21442"/>
    <w:rsid w:val="521E31BF"/>
    <w:rsid w:val="52390069"/>
    <w:rsid w:val="528D1696"/>
    <w:rsid w:val="52CB2821"/>
    <w:rsid w:val="53420DCF"/>
    <w:rsid w:val="53B4545D"/>
    <w:rsid w:val="542F765C"/>
    <w:rsid w:val="54300F87"/>
    <w:rsid w:val="54914939"/>
    <w:rsid w:val="54D44008"/>
    <w:rsid w:val="54EB5EC1"/>
    <w:rsid w:val="55434CEA"/>
    <w:rsid w:val="554D13F6"/>
    <w:rsid w:val="565A678F"/>
    <w:rsid w:val="569357FD"/>
    <w:rsid w:val="5730129E"/>
    <w:rsid w:val="5737262D"/>
    <w:rsid w:val="57580486"/>
    <w:rsid w:val="576158FB"/>
    <w:rsid w:val="579C1992"/>
    <w:rsid w:val="57FB5D50"/>
    <w:rsid w:val="58005114"/>
    <w:rsid w:val="58070251"/>
    <w:rsid w:val="581666E6"/>
    <w:rsid w:val="581A4428"/>
    <w:rsid w:val="583B32B5"/>
    <w:rsid w:val="58496ABB"/>
    <w:rsid w:val="58920462"/>
    <w:rsid w:val="5919023C"/>
    <w:rsid w:val="59380FD3"/>
    <w:rsid w:val="594F0101"/>
    <w:rsid w:val="59B60492"/>
    <w:rsid w:val="59DA41E0"/>
    <w:rsid w:val="5A2424B3"/>
    <w:rsid w:val="5A3906A0"/>
    <w:rsid w:val="5A5D684E"/>
    <w:rsid w:val="5A7140A7"/>
    <w:rsid w:val="5A9919E3"/>
    <w:rsid w:val="5B2A7B0A"/>
    <w:rsid w:val="5B417B6B"/>
    <w:rsid w:val="5B54373E"/>
    <w:rsid w:val="5B8A3673"/>
    <w:rsid w:val="5BC745F2"/>
    <w:rsid w:val="5C653798"/>
    <w:rsid w:val="5CA161B2"/>
    <w:rsid w:val="5CAC7619"/>
    <w:rsid w:val="5DAA7FFC"/>
    <w:rsid w:val="5DB70023"/>
    <w:rsid w:val="5DFC1EDA"/>
    <w:rsid w:val="5EC073AC"/>
    <w:rsid w:val="5EE21916"/>
    <w:rsid w:val="5F41229A"/>
    <w:rsid w:val="5F4417E0"/>
    <w:rsid w:val="5F5F0972"/>
    <w:rsid w:val="5F88669E"/>
    <w:rsid w:val="5F9156AE"/>
    <w:rsid w:val="5FD7038B"/>
    <w:rsid w:val="60097ACC"/>
    <w:rsid w:val="601F4893"/>
    <w:rsid w:val="60787F3E"/>
    <w:rsid w:val="60964868"/>
    <w:rsid w:val="611C318D"/>
    <w:rsid w:val="614918DA"/>
    <w:rsid w:val="61B9080E"/>
    <w:rsid w:val="61D2155E"/>
    <w:rsid w:val="622F04A1"/>
    <w:rsid w:val="62707B3A"/>
    <w:rsid w:val="62C16498"/>
    <w:rsid w:val="62FB4E56"/>
    <w:rsid w:val="63424833"/>
    <w:rsid w:val="638C5AAE"/>
    <w:rsid w:val="63A159FD"/>
    <w:rsid w:val="645C0879"/>
    <w:rsid w:val="646031C3"/>
    <w:rsid w:val="64741C1C"/>
    <w:rsid w:val="6485002B"/>
    <w:rsid w:val="648C064A"/>
    <w:rsid w:val="64D43BB1"/>
    <w:rsid w:val="654E74BF"/>
    <w:rsid w:val="655303F8"/>
    <w:rsid w:val="656B3097"/>
    <w:rsid w:val="657333CA"/>
    <w:rsid w:val="65AA5ABB"/>
    <w:rsid w:val="65F67A1A"/>
    <w:rsid w:val="66042274"/>
    <w:rsid w:val="66AB4942"/>
    <w:rsid w:val="67191CD7"/>
    <w:rsid w:val="67746F85"/>
    <w:rsid w:val="68420AA1"/>
    <w:rsid w:val="687951D6"/>
    <w:rsid w:val="68AB69AF"/>
    <w:rsid w:val="68D653C8"/>
    <w:rsid w:val="68D85250"/>
    <w:rsid w:val="69787200"/>
    <w:rsid w:val="698D4180"/>
    <w:rsid w:val="69C77840"/>
    <w:rsid w:val="6A246A40"/>
    <w:rsid w:val="6A6634FD"/>
    <w:rsid w:val="6AA3205B"/>
    <w:rsid w:val="6B8533ED"/>
    <w:rsid w:val="6BB92C49"/>
    <w:rsid w:val="6C731F01"/>
    <w:rsid w:val="6D1F0B58"/>
    <w:rsid w:val="6D3654A5"/>
    <w:rsid w:val="6D91263F"/>
    <w:rsid w:val="6DAB2C31"/>
    <w:rsid w:val="6DB10E69"/>
    <w:rsid w:val="6EB2306A"/>
    <w:rsid w:val="6EB24C26"/>
    <w:rsid w:val="6ED22F0F"/>
    <w:rsid w:val="6FD44A65"/>
    <w:rsid w:val="7036127C"/>
    <w:rsid w:val="7040034C"/>
    <w:rsid w:val="704A2F79"/>
    <w:rsid w:val="70ED3F4C"/>
    <w:rsid w:val="7103668C"/>
    <w:rsid w:val="717958C4"/>
    <w:rsid w:val="71940950"/>
    <w:rsid w:val="72281680"/>
    <w:rsid w:val="7238577F"/>
    <w:rsid w:val="72804262"/>
    <w:rsid w:val="733221CE"/>
    <w:rsid w:val="735A1725"/>
    <w:rsid w:val="735E5441"/>
    <w:rsid w:val="739A7D73"/>
    <w:rsid w:val="74170E85"/>
    <w:rsid w:val="7439758C"/>
    <w:rsid w:val="744D7ABE"/>
    <w:rsid w:val="74BF2BFB"/>
    <w:rsid w:val="75114065"/>
    <w:rsid w:val="75190AF4"/>
    <w:rsid w:val="75907680"/>
    <w:rsid w:val="75C5557C"/>
    <w:rsid w:val="75CE24DF"/>
    <w:rsid w:val="75DC35E9"/>
    <w:rsid w:val="763D52B6"/>
    <w:rsid w:val="767B0330"/>
    <w:rsid w:val="77132317"/>
    <w:rsid w:val="771679B1"/>
    <w:rsid w:val="771B1882"/>
    <w:rsid w:val="77422BFC"/>
    <w:rsid w:val="777F348A"/>
    <w:rsid w:val="77CD6969"/>
    <w:rsid w:val="77FA11D3"/>
    <w:rsid w:val="789E6834"/>
    <w:rsid w:val="79404F19"/>
    <w:rsid w:val="794E79D3"/>
    <w:rsid w:val="79B06543"/>
    <w:rsid w:val="79DD67E6"/>
    <w:rsid w:val="79FF300D"/>
    <w:rsid w:val="7A537953"/>
    <w:rsid w:val="7AD149C3"/>
    <w:rsid w:val="7B4E53D1"/>
    <w:rsid w:val="7BCF79D9"/>
    <w:rsid w:val="7C1A4C7A"/>
    <w:rsid w:val="7C444892"/>
    <w:rsid w:val="7CAE7448"/>
    <w:rsid w:val="7CF4697E"/>
    <w:rsid w:val="7D4C5018"/>
    <w:rsid w:val="7DF36BF7"/>
    <w:rsid w:val="7E543E84"/>
    <w:rsid w:val="7E7713DD"/>
    <w:rsid w:val="7EC90255"/>
    <w:rsid w:val="7F7D6EC7"/>
    <w:rsid w:val="7F956F0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spacing w:line="0" w:lineRule="atLeast"/>
      <w:jc w:val="center"/>
      <w:outlineLvl w:val="1"/>
    </w:pPr>
    <w:rPr>
      <w:kern w:val="0"/>
      <w:sz w:val="28"/>
    </w:rPr>
  </w:style>
  <w:style w:type="paragraph" w:styleId="4">
    <w:name w:val="heading 3"/>
    <w:basedOn w:val="1"/>
    <w:next w:val="1"/>
    <w:link w:val="39"/>
    <w:qFormat/>
    <w:uiPriority w:val="0"/>
    <w:pPr>
      <w:keepNext/>
      <w:keepLines/>
      <w:spacing w:before="260" w:after="260" w:line="416" w:lineRule="auto"/>
      <w:outlineLvl w:val="2"/>
    </w:pPr>
    <w:rPr>
      <w:b/>
      <w:bCs/>
      <w:sz w:val="32"/>
      <w:szCs w:val="32"/>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5">
    <w:name w:val="caption"/>
    <w:basedOn w:val="1"/>
    <w:next w:val="1"/>
    <w:qFormat/>
    <w:uiPriority w:val="0"/>
    <w:rPr>
      <w:rFonts w:ascii="Cambria" w:hAnsi="Cambria" w:eastAsia="黑体"/>
      <w:sz w:val="20"/>
    </w:rPr>
  </w:style>
  <w:style w:type="paragraph" w:styleId="6">
    <w:name w:val="Document Map"/>
    <w:basedOn w:val="1"/>
    <w:link w:val="47"/>
    <w:autoRedefine/>
    <w:qFormat/>
    <w:uiPriority w:val="0"/>
    <w:rPr>
      <w:rFonts w:ascii="宋体"/>
      <w:sz w:val="18"/>
      <w:szCs w:val="18"/>
    </w:rPr>
  </w:style>
  <w:style w:type="paragraph" w:styleId="7">
    <w:name w:val="annotation text"/>
    <w:basedOn w:val="1"/>
    <w:link w:val="46"/>
    <w:qFormat/>
    <w:uiPriority w:val="0"/>
    <w:pPr>
      <w:jc w:val="left"/>
    </w:pPr>
  </w:style>
  <w:style w:type="paragraph" w:styleId="8">
    <w:name w:val="Body Text 3"/>
    <w:basedOn w:val="1"/>
    <w:qFormat/>
    <w:uiPriority w:val="0"/>
    <w:pPr>
      <w:spacing w:after="120"/>
    </w:pPr>
    <w:rPr>
      <w:sz w:val="16"/>
      <w:szCs w:val="16"/>
    </w:rPr>
  </w:style>
  <w:style w:type="paragraph" w:styleId="9">
    <w:name w:val="Body Text"/>
    <w:basedOn w:val="1"/>
    <w:next w:val="10"/>
    <w:link w:val="44"/>
    <w:qFormat/>
    <w:uiPriority w:val="99"/>
    <w:pPr>
      <w:spacing w:after="120"/>
    </w:pPr>
  </w:style>
  <w:style w:type="paragraph" w:customStyle="1" w:styleId="10">
    <w:name w:val="Default"/>
    <w:next w:val="11"/>
    <w:autoRedefine/>
    <w:qFormat/>
    <w:uiPriority w:val="0"/>
    <w:pPr>
      <w:widowControl w:val="0"/>
      <w:autoSpaceDE w:val="0"/>
      <w:autoSpaceDN w:val="0"/>
    </w:pPr>
    <w:rPr>
      <w:rFonts w:hint="eastAsia" w:ascii="仿宋" w:hAnsi="仿宋" w:eastAsia="仿宋" w:cs="Times New Roman"/>
      <w:color w:val="000000"/>
      <w:sz w:val="24"/>
      <w:lang w:val="en-US" w:eastAsia="zh-CN" w:bidi="ar-SA"/>
    </w:rPr>
  </w:style>
  <w:style w:type="paragraph" w:styleId="11">
    <w:name w:val="footnote text"/>
    <w:basedOn w:val="1"/>
    <w:qFormat/>
    <w:uiPriority w:val="99"/>
    <w:pPr>
      <w:snapToGrid w:val="0"/>
      <w:jc w:val="left"/>
    </w:pPr>
    <w:rPr>
      <w:sz w:val="18"/>
      <w:szCs w:val="18"/>
    </w:rPr>
  </w:style>
  <w:style w:type="paragraph" w:styleId="12">
    <w:name w:val="Body Text Indent"/>
    <w:basedOn w:val="1"/>
    <w:next w:val="13"/>
    <w:qFormat/>
    <w:uiPriority w:val="0"/>
    <w:pPr>
      <w:ind w:firstLine="632" w:firstLineChars="200"/>
    </w:pPr>
    <w:rPr>
      <w:rFonts w:ascii="仿宋_GB2312" w:hAnsi="华文楷体" w:eastAsia="仿宋_GB2312"/>
      <w:sz w:val="32"/>
    </w:rPr>
  </w:style>
  <w:style w:type="paragraph" w:styleId="13">
    <w:name w:val="envelope return"/>
    <w:basedOn w:val="1"/>
    <w:autoRedefine/>
    <w:qFormat/>
    <w:uiPriority w:val="99"/>
    <w:pPr>
      <w:snapToGrid w:val="0"/>
    </w:pPr>
    <w:rPr>
      <w:rFonts w:ascii="Arial" w:hAnsi="Arial"/>
    </w:rPr>
  </w:style>
  <w:style w:type="paragraph" w:styleId="14">
    <w:name w:val="List 2"/>
    <w:basedOn w:val="1"/>
    <w:qFormat/>
    <w:uiPriority w:val="0"/>
    <w:pPr>
      <w:ind w:left="400" w:leftChars="200" w:hanging="200" w:hangingChars="200"/>
    </w:pPr>
  </w:style>
  <w:style w:type="paragraph" w:styleId="15">
    <w:name w:val="Plain Text"/>
    <w:basedOn w:val="1"/>
    <w:link w:val="52"/>
    <w:qFormat/>
    <w:uiPriority w:val="99"/>
    <w:rPr>
      <w:rFonts w:ascii="宋体" w:hAnsi="Courier New"/>
      <w:szCs w:val="20"/>
    </w:rPr>
  </w:style>
  <w:style w:type="paragraph" w:styleId="16">
    <w:name w:val="Date"/>
    <w:basedOn w:val="1"/>
    <w:next w:val="1"/>
    <w:link w:val="48"/>
    <w:qFormat/>
    <w:uiPriority w:val="0"/>
    <w:pPr>
      <w:ind w:left="100" w:leftChars="2500"/>
    </w:pPr>
  </w:style>
  <w:style w:type="paragraph" w:styleId="17">
    <w:name w:val="Body Text Indent 2"/>
    <w:basedOn w:val="1"/>
    <w:qFormat/>
    <w:uiPriority w:val="0"/>
    <w:pPr>
      <w:spacing w:after="120" w:line="480" w:lineRule="auto"/>
      <w:ind w:left="420" w:leftChars="200"/>
    </w:pPr>
  </w:style>
  <w:style w:type="paragraph" w:styleId="18">
    <w:name w:val="Balloon Text"/>
    <w:basedOn w:val="1"/>
    <w:qFormat/>
    <w:uiPriority w:val="0"/>
    <w:rPr>
      <w:sz w:val="18"/>
      <w:szCs w:val="18"/>
    </w:rPr>
  </w:style>
  <w:style w:type="paragraph" w:styleId="19">
    <w:name w:val="footer"/>
    <w:basedOn w:val="1"/>
    <w:link w:val="69"/>
    <w:qFormat/>
    <w:uiPriority w:val="99"/>
    <w:pPr>
      <w:tabs>
        <w:tab w:val="center" w:pos="4153"/>
        <w:tab w:val="right" w:pos="8306"/>
      </w:tabs>
      <w:snapToGrid w:val="0"/>
      <w:jc w:val="left"/>
    </w:pPr>
    <w:rPr>
      <w:sz w:val="18"/>
      <w:szCs w:val="18"/>
    </w:rPr>
  </w:style>
  <w:style w:type="paragraph" w:styleId="20">
    <w:name w:val="header"/>
    <w:basedOn w:val="1"/>
    <w:link w:val="68"/>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autoRedefine/>
    <w:qFormat/>
    <w:uiPriority w:val="39"/>
    <w:pPr>
      <w:spacing w:before="120" w:after="120"/>
      <w:jc w:val="left"/>
    </w:pPr>
    <w:rPr>
      <w:caps/>
    </w:rPr>
  </w:style>
  <w:style w:type="paragraph" w:styleId="22">
    <w:name w:val="Body Text 2"/>
    <w:basedOn w:val="1"/>
    <w:link w:val="66"/>
    <w:autoRedefine/>
    <w:qFormat/>
    <w:uiPriority w:val="0"/>
    <w:pPr>
      <w:spacing w:after="120" w:line="480" w:lineRule="auto"/>
    </w:pPr>
  </w:style>
  <w:style w:type="paragraph" w:styleId="23">
    <w:name w:val="Message Header"/>
    <w:basedOn w:val="1"/>
    <w:autoRedefine/>
    <w:qFormat/>
    <w:uiPriority w:val="0"/>
    <w:pPr>
      <w:widowControl/>
      <w:shd w:val="pct20" w:color="000000" w:fill="auto"/>
      <w:ind w:left="1080" w:hanging="1080"/>
    </w:pPr>
    <w:rPr>
      <w:rFonts w:ascii="Cambria" w:hAnsi="Cambria" w:eastAsia="Cambria"/>
      <w:sz w:val="24"/>
    </w:rPr>
  </w:style>
  <w:style w:type="paragraph" w:styleId="24">
    <w:name w:val="Normal (Web)"/>
    <w:basedOn w:val="1"/>
    <w:autoRedefine/>
    <w:unhideWhenUsed/>
    <w:qFormat/>
    <w:uiPriority w:val="99"/>
    <w:pPr>
      <w:widowControl/>
      <w:spacing w:before="100" w:beforeAutospacing="1" w:after="100" w:afterAutospacing="1"/>
      <w:jc w:val="left"/>
    </w:pPr>
    <w:rPr>
      <w:rFonts w:ascii="宋体" w:hAnsi="宋体"/>
      <w:kern w:val="0"/>
      <w:sz w:val="24"/>
      <w:szCs w:val="20"/>
    </w:rPr>
  </w:style>
  <w:style w:type="paragraph" w:styleId="25">
    <w:name w:val="Body Text First Indent"/>
    <w:basedOn w:val="9"/>
    <w:link w:val="43"/>
    <w:autoRedefine/>
    <w:qFormat/>
    <w:uiPriority w:val="0"/>
    <w:pPr>
      <w:ind w:firstLine="420" w:firstLineChars="100"/>
    </w:pPr>
  </w:style>
  <w:style w:type="paragraph" w:styleId="26">
    <w:name w:val="Body Text First Indent 2"/>
    <w:basedOn w:val="12"/>
    <w:autoRedefine/>
    <w:qFormat/>
    <w:uiPriority w:val="99"/>
    <w:pPr>
      <w:tabs>
        <w:tab w:val="left" w:pos="0"/>
        <w:tab w:val="left" w:pos="993"/>
        <w:tab w:val="left" w:pos="1134"/>
      </w:tabs>
      <w:ind w:firstLine="420"/>
    </w:pPr>
  </w:style>
  <w:style w:type="table" w:styleId="28">
    <w:name w:val="Table Grid"/>
    <w:basedOn w:val="2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0">
    <w:name w:val="Strong"/>
    <w:qFormat/>
    <w:uiPriority w:val="22"/>
    <w:rPr>
      <w:b/>
      <w:bCs/>
    </w:rPr>
  </w:style>
  <w:style w:type="character" w:styleId="31">
    <w:name w:val="page number"/>
    <w:basedOn w:val="29"/>
    <w:qFormat/>
    <w:uiPriority w:val="0"/>
  </w:style>
  <w:style w:type="character" w:styleId="32">
    <w:name w:val="FollowedHyperlink"/>
    <w:basedOn w:val="29"/>
    <w:autoRedefine/>
    <w:qFormat/>
    <w:uiPriority w:val="0"/>
    <w:rPr>
      <w:color w:val="000000"/>
      <w:u w:val="none"/>
    </w:rPr>
  </w:style>
  <w:style w:type="character" w:styleId="33">
    <w:name w:val="Hyperlink"/>
    <w:qFormat/>
    <w:uiPriority w:val="0"/>
    <w:rPr>
      <w:color w:val="333333"/>
      <w:u w:val="none"/>
    </w:rPr>
  </w:style>
  <w:style w:type="character" w:styleId="34">
    <w:name w:val="annotation reference"/>
    <w:autoRedefine/>
    <w:qFormat/>
    <w:uiPriority w:val="99"/>
    <w:rPr>
      <w:sz w:val="21"/>
    </w:rPr>
  </w:style>
  <w:style w:type="paragraph" w:customStyle="1" w:styleId="35">
    <w:name w:val="_Style 2"/>
    <w:qFormat/>
    <w:uiPriority w:val="99"/>
    <w:pPr>
      <w:widowControl w:val="0"/>
      <w:ind w:firstLine="420" w:firstLineChars="200"/>
      <w:jc w:val="both"/>
    </w:pPr>
    <w:rPr>
      <w:rFonts w:ascii="Calibri" w:hAnsi="Calibri" w:eastAsia="宋体" w:cs="Times New Roman"/>
      <w:kern w:val="2"/>
      <w:lang w:val="en-US" w:eastAsia="zh-CN" w:bidi="ar-SA"/>
    </w:rPr>
  </w:style>
  <w:style w:type="paragraph" w:customStyle="1" w:styleId="36">
    <w:name w:val="BodyText1I"/>
    <w:basedOn w:val="37"/>
    <w:autoRedefine/>
    <w:qFormat/>
    <w:uiPriority w:val="99"/>
    <w:pPr>
      <w:ind w:firstLine="420" w:firstLineChars="100"/>
    </w:pPr>
  </w:style>
  <w:style w:type="paragraph" w:customStyle="1" w:styleId="37">
    <w:name w:val="BodyText"/>
    <w:basedOn w:val="1"/>
    <w:qFormat/>
    <w:uiPriority w:val="99"/>
    <w:pPr>
      <w:spacing w:after="120"/>
    </w:pPr>
  </w:style>
  <w:style w:type="paragraph" w:customStyle="1" w:styleId="38">
    <w:name w:val="无间隔1"/>
    <w:next w:val="5"/>
    <w:qFormat/>
    <w:uiPriority w:val="0"/>
    <w:pPr>
      <w:widowControl w:val="0"/>
      <w:jc w:val="both"/>
    </w:pPr>
    <w:rPr>
      <w:rFonts w:ascii="Calibri" w:hAnsi="Calibri" w:eastAsia="宋体" w:cs="Times New Roman"/>
      <w:kern w:val="2"/>
      <w:sz w:val="21"/>
      <w:szCs w:val="22"/>
      <w:lang w:val="en-US" w:eastAsia="zh-CN" w:bidi="ar-SA"/>
    </w:rPr>
  </w:style>
  <w:style w:type="character" w:customStyle="1" w:styleId="39">
    <w:name w:val="标题 3 Char"/>
    <w:link w:val="4"/>
    <w:semiHidden/>
    <w:qFormat/>
    <w:uiPriority w:val="0"/>
    <w:rPr>
      <w:b/>
      <w:bCs/>
      <w:kern w:val="2"/>
      <w:sz w:val="32"/>
      <w:szCs w:val="32"/>
    </w:rPr>
  </w:style>
  <w:style w:type="character" w:customStyle="1" w:styleId="40">
    <w:name w:val="font231"/>
    <w:qFormat/>
    <w:uiPriority w:val="0"/>
    <w:rPr>
      <w:rFonts w:hint="eastAsia" w:ascii="宋体" w:hAnsi="宋体" w:eastAsia="宋体" w:cs="宋体"/>
      <w:color w:val="000000"/>
      <w:sz w:val="22"/>
      <w:szCs w:val="22"/>
      <w:u w:val="none"/>
    </w:rPr>
  </w:style>
  <w:style w:type="character" w:customStyle="1" w:styleId="41">
    <w:name w:val="font11"/>
    <w:qFormat/>
    <w:uiPriority w:val="0"/>
    <w:rPr>
      <w:rFonts w:hint="default" w:ascii="Times New Roman" w:hAnsi="Times New Roman" w:cs="Times New Roman"/>
      <w:color w:val="000000"/>
      <w:sz w:val="18"/>
      <w:szCs w:val="18"/>
      <w:u w:val="none"/>
    </w:rPr>
  </w:style>
  <w:style w:type="character" w:customStyle="1" w:styleId="42">
    <w:name w:val="font191"/>
    <w:qFormat/>
    <w:uiPriority w:val="0"/>
    <w:rPr>
      <w:rFonts w:hint="default" w:ascii="Calibri" w:hAnsi="Calibri" w:cs="Calibri"/>
      <w:color w:val="000000"/>
      <w:sz w:val="22"/>
      <w:szCs w:val="22"/>
      <w:u w:val="none"/>
    </w:rPr>
  </w:style>
  <w:style w:type="character" w:customStyle="1" w:styleId="43">
    <w:name w:val="正文首行缩进 Char"/>
    <w:link w:val="25"/>
    <w:qFormat/>
    <w:uiPriority w:val="0"/>
    <w:rPr>
      <w:kern w:val="2"/>
      <w:sz w:val="21"/>
      <w:szCs w:val="24"/>
    </w:rPr>
  </w:style>
  <w:style w:type="character" w:customStyle="1" w:styleId="44">
    <w:name w:val="正文文本 Char"/>
    <w:link w:val="9"/>
    <w:qFormat/>
    <w:uiPriority w:val="99"/>
    <w:rPr>
      <w:kern w:val="2"/>
      <w:sz w:val="21"/>
      <w:szCs w:val="24"/>
    </w:rPr>
  </w:style>
  <w:style w:type="character" w:customStyle="1" w:styleId="45">
    <w:name w:val="font151"/>
    <w:qFormat/>
    <w:uiPriority w:val="0"/>
    <w:rPr>
      <w:rFonts w:hint="default" w:ascii="Calibri" w:hAnsi="Calibri" w:cs="Calibri"/>
      <w:color w:val="000000"/>
      <w:sz w:val="22"/>
      <w:szCs w:val="22"/>
      <w:u w:val="none"/>
    </w:rPr>
  </w:style>
  <w:style w:type="character" w:customStyle="1" w:styleId="46">
    <w:name w:val="批注文字 Char"/>
    <w:link w:val="7"/>
    <w:qFormat/>
    <w:uiPriority w:val="0"/>
    <w:rPr>
      <w:kern w:val="2"/>
      <w:sz w:val="21"/>
      <w:szCs w:val="24"/>
    </w:rPr>
  </w:style>
  <w:style w:type="character" w:customStyle="1" w:styleId="47">
    <w:name w:val="文档结构图 Char"/>
    <w:link w:val="6"/>
    <w:qFormat/>
    <w:uiPriority w:val="0"/>
    <w:rPr>
      <w:rFonts w:ascii="宋体"/>
      <w:kern w:val="2"/>
      <w:sz w:val="18"/>
      <w:szCs w:val="18"/>
    </w:rPr>
  </w:style>
  <w:style w:type="character" w:customStyle="1" w:styleId="48">
    <w:name w:val="日期 Char"/>
    <w:link w:val="16"/>
    <w:qFormat/>
    <w:uiPriority w:val="0"/>
    <w:rPr>
      <w:kern w:val="2"/>
      <w:sz w:val="21"/>
      <w:szCs w:val="24"/>
    </w:rPr>
  </w:style>
  <w:style w:type="character" w:customStyle="1" w:styleId="49">
    <w:name w:val="font221"/>
    <w:qFormat/>
    <w:uiPriority w:val="0"/>
    <w:rPr>
      <w:rFonts w:hint="eastAsia" w:ascii="宋体" w:hAnsi="宋体" w:eastAsia="宋体" w:cs="宋体"/>
      <w:color w:val="000000"/>
      <w:sz w:val="20"/>
      <w:szCs w:val="20"/>
      <w:u w:val="none"/>
    </w:rPr>
  </w:style>
  <w:style w:type="character" w:customStyle="1" w:styleId="50">
    <w:name w:val="font61"/>
    <w:qFormat/>
    <w:uiPriority w:val="0"/>
    <w:rPr>
      <w:rFonts w:hint="eastAsia" w:ascii="宋体" w:hAnsi="宋体" w:eastAsia="宋体" w:cs="宋体"/>
      <w:color w:val="FF0000"/>
      <w:sz w:val="22"/>
      <w:szCs w:val="22"/>
      <w:u w:val="none"/>
    </w:rPr>
  </w:style>
  <w:style w:type="character" w:customStyle="1" w:styleId="51">
    <w:name w:val="font31"/>
    <w:autoRedefine/>
    <w:qFormat/>
    <w:uiPriority w:val="0"/>
    <w:rPr>
      <w:rFonts w:hint="eastAsia" w:ascii="宋体" w:hAnsi="宋体" w:eastAsia="宋体" w:cs="宋体"/>
      <w:color w:val="000000"/>
      <w:sz w:val="18"/>
      <w:szCs w:val="18"/>
      <w:u w:val="none"/>
    </w:rPr>
  </w:style>
  <w:style w:type="character" w:customStyle="1" w:styleId="52">
    <w:name w:val="纯文本 Char"/>
    <w:link w:val="15"/>
    <w:autoRedefine/>
    <w:qFormat/>
    <w:uiPriority w:val="99"/>
    <w:rPr>
      <w:rFonts w:ascii="宋体" w:hAnsi="Courier New"/>
      <w:kern w:val="2"/>
      <w:sz w:val="21"/>
    </w:rPr>
  </w:style>
  <w:style w:type="character" w:customStyle="1" w:styleId="53">
    <w:name w:val="访问过的超链接1"/>
    <w:autoRedefine/>
    <w:qFormat/>
    <w:uiPriority w:val="0"/>
    <w:rPr>
      <w:color w:val="333333"/>
      <w:u w:val="none"/>
    </w:rPr>
  </w:style>
  <w:style w:type="character" w:customStyle="1" w:styleId="54">
    <w:name w:val="font01"/>
    <w:autoRedefine/>
    <w:qFormat/>
    <w:uiPriority w:val="0"/>
    <w:rPr>
      <w:rFonts w:hint="eastAsia" w:ascii="宋体" w:hAnsi="宋体" w:eastAsia="宋体" w:cs="宋体"/>
      <w:color w:val="000000"/>
      <w:sz w:val="22"/>
      <w:szCs w:val="22"/>
      <w:u w:val="none"/>
    </w:rPr>
  </w:style>
  <w:style w:type="character" w:customStyle="1" w:styleId="55">
    <w:name w:val="font21"/>
    <w:autoRedefine/>
    <w:qFormat/>
    <w:uiPriority w:val="0"/>
    <w:rPr>
      <w:rFonts w:hint="default" w:ascii="Times New Roman" w:hAnsi="Times New Roman" w:cs="Times New Roman"/>
      <w:color w:val="000000"/>
      <w:sz w:val="18"/>
      <w:szCs w:val="18"/>
      <w:u w:val="none"/>
    </w:rPr>
  </w:style>
  <w:style w:type="paragraph" w:customStyle="1" w:styleId="56">
    <w:name w:val="p0"/>
    <w:basedOn w:val="1"/>
    <w:autoRedefine/>
    <w:qFormat/>
    <w:uiPriority w:val="0"/>
    <w:pPr>
      <w:widowControl/>
    </w:pPr>
    <w:rPr>
      <w:rFonts w:ascii="Calibri" w:hAnsi="Calibri" w:cs="宋体"/>
      <w:kern w:val="0"/>
      <w:szCs w:val="21"/>
    </w:rPr>
  </w:style>
  <w:style w:type="paragraph" w:customStyle="1" w:styleId="57">
    <w:name w:val="List Paragraph1"/>
    <w:basedOn w:val="1"/>
    <w:autoRedefine/>
    <w:qFormat/>
    <w:uiPriority w:val="0"/>
    <w:pPr>
      <w:ind w:firstLine="420" w:firstLineChars="200"/>
    </w:pPr>
  </w:style>
  <w:style w:type="paragraph" w:customStyle="1" w:styleId="58">
    <w:name w:val="样式1"/>
    <w:basedOn w:val="1"/>
    <w:autoRedefine/>
    <w:qFormat/>
    <w:uiPriority w:val="0"/>
    <w:pPr>
      <w:tabs>
        <w:tab w:val="left" w:pos="709"/>
      </w:tabs>
      <w:adjustRightInd w:val="0"/>
      <w:ind w:left="709" w:hanging="709"/>
      <w:textAlignment w:val="baseline"/>
    </w:pPr>
    <w:rPr>
      <w:rFonts w:ascii="宋体" w:hAnsi="宋体"/>
      <w:kern w:val="0"/>
    </w:rPr>
  </w:style>
  <w:style w:type="paragraph" w:customStyle="1" w:styleId="59">
    <w:name w:val="Table Paragraph"/>
    <w:basedOn w:val="1"/>
    <w:autoRedefine/>
    <w:qFormat/>
    <w:uiPriority w:val="0"/>
    <w:pPr>
      <w:autoSpaceDE w:val="0"/>
      <w:autoSpaceDN w:val="0"/>
      <w:jc w:val="left"/>
    </w:pPr>
    <w:rPr>
      <w:rFonts w:ascii="宋体" w:hAnsi="宋体" w:cs="宋体"/>
      <w:kern w:val="0"/>
      <w:sz w:val="22"/>
      <w:szCs w:val="22"/>
      <w:lang w:val="zh-CN" w:bidi="zh-CN"/>
    </w:rPr>
  </w:style>
  <w:style w:type="paragraph" w:customStyle="1" w:styleId="60">
    <w:name w:val="xl31"/>
    <w:basedOn w:val="1"/>
    <w:autoRedefine/>
    <w:qFormat/>
    <w:uiPriority w:val="0"/>
    <w:pPr>
      <w:widowControl/>
      <w:spacing w:before="100" w:beforeAutospacing="1" w:after="100" w:afterAutospacing="1"/>
      <w:jc w:val="center"/>
    </w:pPr>
    <w:rPr>
      <w:rFonts w:ascii="宋体" w:hAnsi="宋体"/>
      <w:b/>
      <w:bCs/>
      <w:kern w:val="0"/>
      <w:sz w:val="28"/>
      <w:szCs w:val="28"/>
    </w:rPr>
  </w:style>
  <w:style w:type="paragraph" w:customStyle="1" w:styleId="61">
    <w:name w:val="Char Char Char Char Char Char Char1 Char"/>
    <w:basedOn w:val="1"/>
    <w:autoRedefine/>
    <w:qFormat/>
    <w:uiPriority w:val="0"/>
    <w:rPr>
      <w:rFonts w:ascii="Tahoma" w:hAnsi="Tahoma"/>
      <w:sz w:val="24"/>
      <w:szCs w:val="20"/>
    </w:rPr>
  </w:style>
  <w:style w:type="paragraph" w:styleId="62">
    <w:name w:val="List Paragraph"/>
    <w:basedOn w:val="1"/>
    <w:autoRedefine/>
    <w:qFormat/>
    <w:uiPriority w:val="34"/>
    <w:pPr>
      <w:ind w:firstLine="420" w:firstLineChars="200"/>
    </w:pPr>
  </w:style>
  <w:style w:type="paragraph" w:customStyle="1" w:styleId="63">
    <w:name w:val="Char Char Char1 Char"/>
    <w:basedOn w:val="1"/>
    <w:autoRedefine/>
    <w:qFormat/>
    <w:uiPriority w:val="0"/>
    <w:pPr>
      <w:spacing w:line="360" w:lineRule="auto"/>
      <w:ind w:firstLine="200" w:firstLineChars="200"/>
    </w:pPr>
    <w:rPr>
      <w:rFonts w:ascii="宋体" w:hAnsi="宋体" w:cs="宋体"/>
      <w:sz w:val="24"/>
    </w:rPr>
  </w:style>
  <w:style w:type="paragraph" w:customStyle="1" w:styleId="64">
    <w:name w:val="默认段落字体 Para Char Char Char Char Char Char Char Char Char Char"/>
    <w:basedOn w:val="1"/>
    <w:autoRedefine/>
    <w:qFormat/>
    <w:uiPriority w:val="0"/>
    <w:pPr>
      <w:tabs>
        <w:tab w:val="right" w:pos="-2120"/>
      </w:tabs>
      <w:snapToGrid w:val="0"/>
    </w:pPr>
  </w:style>
  <w:style w:type="character" w:customStyle="1" w:styleId="65">
    <w:name w:val="generalinfo-address-text"/>
    <w:basedOn w:val="29"/>
    <w:autoRedefine/>
    <w:qFormat/>
    <w:uiPriority w:val="0"/>
  </w:style>
  <w:style w:type="character" w:customStyle="1" w:styleId="66">
    <w:name w:val="正文文本 2 Char"/>
    <w:link w:val="22"/>
    <w:autoRedefine/>
    <w:qFormat/>
    <w:uiPriority w:val="0"/>
    <w:rPr>
      <w:kern w:val="2"/>
      <w:sz w:val="21"/>
      <w:szCs w:val="24"/>
    </w:rPr>
  </w:style>
  <w:style w:type="character" w:customStyle="1" w:styleId="67">
    <w:name w:val="NormalCharacter"/>
    <w:autoRedefine/>
    <w:qFormat/>
    <w:uiPriority w:val="0"/>
  </w:style>
  <w:style w:type="character" w:customStyle="1" w:styleId="68">
    <w:name w:val="页眉 Char"/>
    <w:link w:val="20"/>
    <w:autoRedefine/>
    <w:qFormat/>
    <w:uiPriority w:val="99"/>
    <w:rPr>
      <w:kern w:val="2"/>
      <w:sz w:val="18"/>
      <w:szCs w:val="18"/>
    </w:rPr>
  </w:style>
  <w:style w:type="character" w:customStyle="1" w:styleId="69">
    <w:name w:val="页脚 Char"/>
    <w:link w:val="19"/>
    <w:autoRedefine/>
    <w:qFormat/>
    <w:uiPriority w:val="99"/>
    <w:rPr>
      <w:kern w:val="2"/>
      <w:sz w:val="18"/>
      <w:szCs w:val="18"/>
    </w:rPr>
  </w:style>
  <w:style w:type="paragraph" w:customStyle="1" w:styleId="70">
    <w:name w:val="普通(网站)1"/>
    <w:basedOn w:val="1"/>
    <w:autoRedefine/>
    <w:qFormat/>
    <w:uiPriority w:val="0"/>
    <w:pPr>
      <w:widowControl/>
      <w:spacing w:before="100" w:beforeAutospacing="1" w:after="100" w:afterAutospacing="1"/>
      <w:jc w:val="left"/>
    </w:pPr>
    <w:rPr>
      <w:rFonts w:ascii="宋体" w:hAnsi="宋体"/>
      <w:kern w:val="0"/>
      <w:sz w:val="24"/>
    </w:rPr>
  </w:style>
  <w:style w:type="character" w:customStyle="1" w:styleId="71">
    <w:name w:val="contentlabel"/>
    <w:autoRedefine/>
    <w:qFormat/>
    <w:uiPriority w:val="0"/>
  </w:style>
  <w:style w:type="paragraph" w:customStyle="1" w:styleId="72">
    <w:name w:val="Body Text First Indent1"/>
    <w:basedOn w:val="9"/>
    <w:autoRedefine/>
    <w:qFormat/>
    <w:uiPriority w:val="0"/>
    <w:pPr>
      <w:autoSpaceDE w:val="0"/>
      <w:autoSpaceDN w:val="0"/>
      <w:ind w:firstLine="420" w:firstLineChars="100"/>
      <w:jc w:val="left"/>
    </w:pPr>
    <w:rPr>
      <w:rFonts w:ascii="宋体" w:hAnsi="等线" w:eastAsia="等线" w:cs="宋体"/>
      <w:kern w:val="0"/>
      <w:lang w:val="zh-CN"/>
    </w:rPr>
  </w:style>
  <w:style w:type="paragraph" w:customStyle="1" w:styleId="73">
    <w:name w:val="D&amp;L"/>
    <w:basedOn w:val="20"/>
    <w:autoRedefine/>
    <w:qFormat/>
    <w:uiPriority w:val="0"/>
    <w:pPr>
      <w:pBdr>
        <w:bottom w:val="thinThickSmallGap" w:color="auto" w:sz="18" w:space="1"/>
      </w:pBdr>
      <w:adjustRightInd w:val="0"/>
      <w:snapToGrid/>
      <w:spacing w:line="240" w:lineRule="atLeast"/>
      <w:textAlignment w:val="baseline"/>
    </w:pPr>
    <w:rPr>
      <w:kern w:val="0"/>
      <w:sz w:val="24"/>
    </w:rPr>
  </w:style>
  <w:style w:type="character" w:customStyle="1" w:styleId="74">
    <w:name w:val="icon_gys"/>
    <w:basedOn w:val="29"/>
    <w:autoRedefine/>
    <w:qFormat/>
    <w:uiPriority w:val="0"/>
    <w:rPr>
      <w:sz w:val="21"/>
      <w:szCs w:val="21"/>
    </w:rPr>
  </w:style>
  <w:style w:type="character" w:customStyle="1" w:styleId="75">
    <w:name w:val="first-child"/>
    <w:basedOn w:val="29"/>
    <w:autoRedefine/>
    <w:qFormat/>
    <w:uiPriority w:val="0"/>
    <w:rPr>
      <w:color w:val="1F3149"/>
      <w:sz w:val="24"/>
      <w:szCs w:val="24"/>
    </w:rPr>
  </w:style>
  <w:style w:type="character" w:customStyle="1" w:styleId="76">
    <w:name w:val="first-child1"/>
    <w:basedOn w:val="29"/>
    <w:autoRedefine/>
    <w:qFormat/>
    <w:uiPriority w:val="0"/>
    <w:rPr>
      <w:color w:val="1F3149"/>
      <w:sz w:val="24"/>
      <w:szCs w:val="24"/>
    </w:rPr>
  </w:style>
  <w:style w:type="character" w:customStyle="1" w:styleId="77">
    <w:name w:val="xiadan"/>
    <w:basedOn w:val="29"/>
    <w:autoRedefine/>
    <w:qFormat/>
    <w:uiPriority w:val="0"/>
    <w:rPr>
      <w:shd w:val="clear" w:color="auto" w:fill="E4393C"/>
    </w:rPr>
  </w:style>
  <w:style w:type="character" w:customStyle="1" w:styleId="78">
    <w:name w:val="fr"/>
    <w:basedOn w:val="29"/>
    <w:autoRedefine/>
    <w:qFormat/>
    <w:uiPriority w:val="0"/>
  </w:style>
  <w:style w:type="character" w:customStyle="1" w:styleId="79">
    <w:name w:val="icon_ds"/>
    <w:basedOn w:val="29"/>
    <w:autoRedefine/>
    <w:qFormat/>
    <w:uiPriority w:val="0"/>
  </w:style>
  <w:style w:type="paragraph" w:customStyle="1" w:styleId="80">
    <w:name w:val="正文1"/>
    <w:basedOn w:val="1"/>
    <w:autoRedefine/>
    <w:qFormat/>
    <w:uiPriority w:val="0"/>
    <w:pPr>
      <w:widowControl/>
      <w:topLinePunct/>
      <w:spacing w:beforeLines="50" w:afterLines="50" w:line="300" w:lineRule="auto"/>
      <w:ind w:left="420"/>
    </w:pPr>
  </w:style>
  <w:style w:type="paragraph" w:customStyle="1" w:styleId="81">
    <w:name w:val="Table Text"/>
    <w:basedOn w:val="1"/>
    <w:semiHidden/>
    <w:qFormat/>
    <w:uiPriority w:val="0"/>
    <w:rPr>
      <w:rFonts w:ascii="仿宋" w:hAnsi="仿宋" w:eastAsia="仿宋" w:cs="仿宋"/>
      <w:sz w:val="24"/>
      <w:lang w:eastAsia="en-US"/>
    </w:rPr>
  </w:style>
  <w:style w:type="table" w:customStyle="1" w:styleId="82">
    <w:name w:val="Table Normal"/>
    <w:semiHidden/>
    <w:unhideWhenUsed/>
    <w:qFormat/>
    <w:uiPriority w:val="0"/>
    <w:tblPr>
      <w:tblCellMar>
        <w:top w:w="0" w:type="dxa"/>
        <w:left w:w="0" w:type="dxa"/>
        <w:bottom w:w="0" w:type="dxa"/>
        <w:right w:w="0" w:type="dxa"/>
      </w:tblCellMar>
    </w:tblPr>
  </w:style>
  <w:style w:type="character" w:customStyle="1" w:styleId="83">
    <w:name w:val="nth-child(1)"/>
    <w:basedOn w:val="29"/>
    <w:uiPriority w:val="0"/>
  </w:style>
  <w:style w:type="character" w:customStyle="1" w:styleId="84">
    <w:name w:val="icon_ds1"/>
    <w:basedOn w:val="29"/>
    <w:uiPriority w:val="0"/>
    <w:rPr>
      <w:sz w:val="21"/>
      <w:szCs w:val="21"/>
      <w:bdr w:val="none" w:color="auto" w:sz="0" w:space="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3F48032-1C43-48EC-9D87-D2E31A94F121}">
  <ds:schemaRefs/>
</ds:datastoreItem>
</file>

<file path=docProps/app.xml><?xml version="1.0" encoding="utf-8"?>
<Properties xmlns="http://schemas.openxmlformats.org/officeDocument/2006/extended-properties" xmlns:vt="http://schemas.openxmlformats.org/officeDocument/2006/docPropsVTypes">
  <Template>Normal.dotm</Template>
  <Pages>54</Pages>
  <Words>22736</Words>
  <Characters>24167</Characters>
  <Lines>180</Lines>
  <Paragraphs>50</Paragraphs>
  <TotalTime>0</TotalTime>
  <ScaleCrop>false</ScaleCrop>
  <LinksUpToDate>false</LinksUpToDate>
  <CharactersWithSpaces>25233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2026-03-04T02:28:00Z</dcterms:created>
  <dc:creator>gg1</dc:creator>
  <cp:lastModifiedBy>Administrator</cp:lastModifiedBy>
  <cp:lastPrinted>2020-11-18T03:21:00Z</cp:lastPrinted>
  <dcterms:modified xsi:type="dcterms:W3CDTF">2026-03-09T03:27:53Z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3F3AEF60031F459BB45F1EB8C7A16E06</vt:lpwstr>
  </property>
  <property fmtid="{D5CDD505-2E9C-101B-9397-08002B2CF9AE}" pid="4" name="KSOTemplateDocerSaveRecord">
    <vt:lpwstr>eyJoZGlkIjoiMjg1OGU4ODAyZmIwOTI2Zjc0ZDI3NDc5MmYwZTM2Y2EiLCJ1c2VySWQiOiIyMzQ2OTE2MzQifQ==</vt:lpwstr>
  </property>
</Properties>
</file>