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C4F02">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292CD6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0A932E5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6FB13D4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639B5D32">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0F1F873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15F572F">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1342F01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2CD5DFBD">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p>
    <w:p w14:paraId="63A065DB">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p>
    <w:p w14:paraId="08A7D2D0">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p>
    <w:p w14:paraId="41EF52A2">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p>
    <w:p w14:paraId="3CB0544B">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宋体" w:hAnsi="宋体" w:eastAsia="宋体" w:cs="宋体"/>
          <w:b w:val="0"/>
          <w:bCs/>
          <w:color w:val="auto"/>
          <w:spacing w:val="0"/>
          <w:position w:val="0"/>
          <w:sz w:val="32"/>
          <w:szCs w:val="32"/>
          <w:highlight w:val="none"/>
          <w:shd w:val="clear" w:fill="auto"/>
          <w:lang w:eastAsia="zh-CN"/>
        </w:rPr>
        <w:t>项城市教育体育局关于实施项城市第一初级中学实验室装备采购项目</w:t>
      </w:r>
    </w:p>
    <w:p w14:paraId="47D7FF3B">
      <w:pPr>
        <w:tabs>
          <w:tab w:val="left" w:pos="315"/>
          <w:tab w:val="left" w:pos="8820"/>
        </w:tabs>
        <w:spacing w:before="0" w:after="0" w:line="240" w:lineRule="auto"/>
        <w:ind w:left="0" w:right="267" w:firstLine="640" w:firstLineChars="2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val="en-US" w:eastAsia="zh-CN"/>
        </w:rPr>
        <w:t xml:space="preserve"> 项财磋商采购-2026-11        </w:t>
      </w:r>
    </w:p>
    <w:p w14:paraId="25226370">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0CE7C851">
      <w:pPr>
        <w:spacing w:before="0" w:after="120" w:line="240" w:lineRule="auto"/>
        <w:ind w:left="0" w:right="0" w:firstLine="0"/>
        <w:jc w:val="center"/>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val="0"/>
          <w:bCs/>
          <w:color w:val="auto"/>
          <w:spacing w:val="0"/>
          <w:position w:val="0"/>
          <w:sz w:val="32"/>
          <w:szCs w:val="32"/>
          <w:highlight w:val="none"/>
          <w:shd w:val="clear" w:fill="auto"/>
          <w:lang w:val="en-US" w:eastAsia="zh-CN"/>
        </w:rPr>
        <w:t>2026</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3</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17日</w:t>
      </w:r>
    </w:p>
    <w:p w14:paraId="6E9099D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24881330">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14C330D1">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4A4663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35E8E73D">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AE08045">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9</w:t>
      </w:r>
    </w:p>
    <w:p w14:paraId="050EF137">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53</w:t>
      </w:r>
    </w:p>
    <w:p w14:paraId="37E57499">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68</w:t>
      </w:r>
    </w:p>
    <w:p w14:paraId="2E095A2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7B261EF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08433C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BF6EF9">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24060E9F">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78587470">
      <w:pPr>
        <w:spacing w:before="0" w:after="0" w:line="240" w:lineRule="auto"/>
        <w:ind w:right="0"/>
        <w:jc w:val="left"/>
        <w:rPr>
          <w:rFonts w:ascii="仿宋_GB2312" w:hAnsi="仿宋_GB2312" w:eastAsia="仿宋_GB2312" w:cs="仿宋_GB2312"/>
          <w:b/>
          <w:color w:val="auto"/>
          <w:spacing w:val="0"/>
          <w:position w:val="0"/>
          <w:sz w:val="32"/>
          <w:highlight w:val="none"/>
          <w:shd w:val="clear" w:fill="auto"/>
        </w:rPr>
      </w:pPr>
    </w:p>
    <w:p w14:paraId="57C688C4">
      <w:pPr>
        <w:pStyle w:val="7"/>
        <w:bidi w:val="0"/>
        <w:rPr>
          <w:highlight w:val="none"/>
        </w:rPr>
      </w:pPr>
      <w:r>
        <w:rPr>
          <w:highlight w:val="none"/>
        </w:rPr>
        <w:t>第一章    竞争性磋商邀请函</w:t>
      </w:r>
    </w:p>
    <w:p w14:paraId="45E6DB7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3C46128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3DB6C45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7673AD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项财磋商采购-2026-11</w:t>
      </w:r>
    </w:p>
    <w:p w14:paraId="4A7648D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p>
    <w:p w14:paraId="47FA7A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5772E977">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81.00万元</w:t>
      </w:r>
    </w:p>
    <w:p w14:paraId="3F3CFF9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81.00万元</w:t>
      </w:r>
    </w:p>
    <w:p w14:paraId="3D3D5B12">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0"/>
        <w:tblW w:w="0" w:type="auto"/>
        <w:tblInd w:w="249" w:type="dxa"/>
        <w:tblLayout w:type="autofit"/>
        <w:tblCellMar>
          <w:top w:w="0" w:type="dxa"/>
          <w:left w:w="10" w:type="dxa"/>
          <w:bottom w:w="0" w:type="dxa"/>
          <w:right w:w="10" w:type="dxa"/>
        </w:tblCellMar>
      </w:tblPr>
      <w:tblGrid>
        <w:gridCol w:w="905"/>
        <w:gridCol w:w="4405"/>
        <w:gridCol w:w="2299"/>
      </w:tblGrid>
      <w:tr w14:paraId="70ED24CB">
        <w:tblPrEx>
          <w:tblCellMar>
            <w:top w:w="0" w:type="dxa"/>
            <w:left w:w="10" w:type="dxa"/>
            <w:bottom w:w="0" w:type="dxa"/>
            <w:right w:w="10" w:type="dxa"/>
          </w:tblCellMar>
        </w:tblPrEx>
        <w:trPr>
          <w:trHeight w:val="659" w:hRule="atLeast"/>
        </w:trPr>
        <w:tc>
          <w:tcPr>
            <w:tcW w:w="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8869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3E2B2">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2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38E7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0E695152">
        <w:tblPrEx>
          <w:tblCellMar>
            <w:top w:w="0" w:type="dxa"/>
            <w:left w:w="10" w:type="dxa"/>
            <w:bottom w:w="0" w:type="dxa"/>
            <w:right w:w="10" w:type="dxa"/>
          </w:tblCellMar>
        </w:tblPrEx>
        <w:trPr>
          <w:trHeight w:val="725" w:hRule="atLeast"/>
        </w:trPr>
        <w:tc>
          <w:tcPr>
            <w:tcW w:w="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305DE">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7AC53">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p>
        </w:tc>
        <w:tc>
          <w:tcPr>
            <w:tcW w:w="22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F5B96">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81.00</w:t>
            </w:r>
          </w:p>
        </w:tc>
      </w:tr>
    </w:tbl>
    <w:p w14:paraId="23D6964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A1F65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合同签订后30日历天内</w:t>
      </w:r>
    </w:p>
    <w:p w14:paraId="11D417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2AA03F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23154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是</w:t>
      </w:r>
    </w:p>
    <w:p w14:paraId="503C04B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E25C1E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3BFA4EB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（1）具有独立承担民事责任的能力（企业营业执照等证明文件）；</w:t>
      </w:r>
    </w:p>
    <w:p w14:paraId="5AA890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（2）具有良好的商业信誉和健全的财务会计制度；</w:t>
      </w:r>
    </w:p>
    <w:p w14:paraId="63FEE8B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（3）具有履行合同所必需的设备和专业技术能力；</w:t>
      </w:r>
    </w:p>
    <w:p w14:paraId="540F030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（4）有依法缴纳税收和社会保障资金的良好记录（缴纳的税收凭据、社会保险凭据，依法免税或不需要缴纳社会保障资金的供应商应提供相应的证明文件）；</w:t>
      </w:r>
    </w:p>
    <w:p w14:paraId="6F5A83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（5）参加政府采购活动前三年内，在经营活动中没有重大违法记录（提供没有重大违法记录的书面声明函，格式自拟）</w:t>
      </w: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 xml:space="preserve"> </w:t>
      </w:r>
    </w:p>
    <w:p w14:paraId="40123293">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9FD734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3F7237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D21713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25FB5D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17</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24</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07C53BE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0F8AB4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818112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77307A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8EA89C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27</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FDB8EA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1B549E1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55C5CED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27</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EAA66D9">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735C227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52C028E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C7D49D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14B735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0AAEF35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91FB56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项城市教育体育局</w:t>
      </w:r>
      <w:r>
        <w:rPr>
          <w:rFonts w:ascii="宋体" w:hAnsi="宋体" w:eastAsia="宋体" w:cs="宋体"/>
          <w:color w:val="auto"/>
          <w:spacing w:val="0"/>
          <w:position w:val="0"/>
          <w:sz w:val="24"/>
          <w:highlight w:val="none"/>
          <w:shd w:val="clear" w:fill="auto"/>
        </w:rPr>
        <w:t>　　　　　　　　　　　　</w:t>
      </w:r>
    </w:p>
    <w:p w14:paraId="48BBD19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项城市境内</w:t>
      </w:r>
      <w:r>
        <w:rPr>
          <w:rFonts w:ascii="宋体" w:hAnsi="宋体" w:eastAsia="宋体" w:cs="宋体"/>
          <w:color w:val="auto"/>
          <w:spacing w:val="0"/>
          <w:position w:val="0"/>
          <w:sz w:val="24"/>
          <w:highlight w:val="none"/>
          <w:shd w:val="clear" w:fill="auto"/>
        </w:rPr>
        <w:t>　　　　　　　　　　　　</w:t>
      </w:r>
    </w:p>
    <w:p w14:paraId="3113AE6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cs="宋体"/>
          <w:i w:val="0"/>
          <w:iCs w:val="0"/>
          <w:sz w:val="24"/>
          <w:szCs w:val="24"/>
          <w:highlight w:val="none"/>
          <w:lang w:val="en-US" w:eastAsia="zh-CN"/>
        </w:rPr>
        <w:t>闫文政</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15993245770</w:t>
      </w:r>
      <w:r>
        <w:rPr>
          <w:rFonts w:ascii="宋体" w:hAnsi="宋体" w:eastAsia="宋体" w:cs="宋体"/>
          <w:color w:val="auto"/>
          <w:spacing w:val="0"/>
          <w:position w:val="0"/>
          <w:sz w:val="24"/>
          <w:highlight w:val="none"/>
          <w:shd w:val="clear" w:fill="auto"/>
        </w:rPr>
        <w:t xml:space="preserve">　　　　 </w:t>
      </w:r>
    </w:p>
    <w:p w14:paraId="2AA85C8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0A757D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7505E8F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01B4A80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0394-8106517、17839489001</w:t>
      </w:r>
      <w:r>
        <w:rPr>
          <w:rFonts w:ascii="宋体" w:hAnsi="宋体" w:eastAsia="宋体" w:cs="宋体"/>
          <w:color w:val="auto"/>
          <w:spacing w:val="0"/>
          <w:position w:val="0"/>
          <w:sz w:val="24"/>
          <w:highlight w:val="none"/>
          <w:shd w:val="clear" w:fill="auto"/>
        </w:rPr>
        <w:t>　　　　　　　　</w:t>
      </w:r>
    </w:p>
    <w:p w14:paraId="389C963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项城市财政局</w:t>
      </w:r>
    </w:p>
    <w:p w14:paraId="23075C6E">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color="auto" w:fill="auto"/>
        </w:rPr>
        <w:t>0394-4315676</w:t>
      </w:r>
      <w:r>
        <w:rPr>
          <w:rFonts w:ascii="宋体" w:hAnsi="宋体" w:eastAsia="宋体" w:cs="宋体"/>
          <w:color w:val="auto"/>
          <w:spacing w:val="0"/>
          <w:position w:val="0"/>
          <w:sz w:val="24"/>
          <w:highlight w:val="none"/>
          <w:shd w:val="clear" w:fill="auto"/>
        </w:rPr>
        <w:t xml:space="preserve">  </w:t>
      </w:r>
    </w:p>
    <w:p w14:paraId="4046544A">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2D9EC44">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p>
    <w:p w14:paraId="791A145C">
      <w:pPr>
        <w:spacing w:before="0" w:after="120" w:line="360" w:lineRule="auto"/>
        <w:ind w:left="0" w:right="0" w:firstLine="3050" w:firstLineChars="1271"/>
        <w:jc w:val="both"/>
        <w:rPr>
          <w:rFonts w:ascii="宋体" w:hAnsi="宋体" w:eastAsia="宋体" w:cs="宋体"/>
          <w:color w:val="auto"/>
          <w:spacing w:val="0"/>
          <w:position w:val="0"/>
          <w:sz w:val="24"/>
          <w:highlight w:val="none"/>
          <w:shd w:val="clear" w:fill="auto"/>
        </w:rPr>
      </w:pPr>
      <w:bookmarkStart w:id="0" w:name="_GoBack"/>
      <w:bookmarkEnd w:id="0"/>
      <w:r>
        <w:rPr>
          <w:rFonts w:ascii="宋体" w:hAnsi="宋体" w:eastAsia="宋体" w:cs="宋体"/>
          <w:color w:val="auto"/>
          <w:spacing w:val="0"/>
          <w:position w:val="0"/>
          <w:sz w:val="24"/>
          <w:highlight w:val="none"/>
          <w:shd w:val="clear" w:fill="auto"/>
        </w:rPr>
        <w:t>周口市公共资源交易中心政府采购中心</w:t>
      </w:r>
    </w:p>
    <w:p w14:paraId="198B3E3F">
      <w:pPr>
        <w:tabs>
          <w:tab w:val="left" w:pos="0"/>
          <w:tab w:val="left" w:pos="993"/>
          <w:tab w:val="left" w:pos="1134"/>
        </w:tabs>
        <w:spacing w:before="0" w:after="0" w:line="240" w:lineRule="auto"/>
        <w:ind w:left="0" w:right="0" w:firstLine="4353" w:firstLineChars="1814"/>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17</w:t>
      </w:r>
      <w:r>
        <w:rPr>
          <w:rFonts w:ascii="宋体" w:hAnsi="宋体" w:eastAsia="宋体" w:cs="宋体"/>
          <w:color w:val="auto"/>
          <w:spacing w:val="0"/>
          <w:position w:val="0"/>
          <w:sz w:val="24"/>
          <w:highlight w:val="none"/>
          <w:shd w:val="clear" w:fill="auto"/>
        </w:rPr>
        <w:t>日</w:t>
      </w:r>
    </w:p>
    <w:p w14:paraId="40915AFA">
      <w:pPr>
        <w:pStyle w:val="13"/>
        <w:rPr>
          <w:rFonts w:ascii="宋体" w:hAnsi="宋体" w:eastAsia="宋体" w:cs="宋体"/>
          <w:color w:val="auto"/>
          <w:spacing w:val="0"/>
          <w:position w:val="0"/>
          <w:sz w:val="24"/>
          <w:highlight w:val="none"/>
          <w:shd w:val="clear" w:fill="auto"/>
        </w:rPr>
      </w:pPr>
    </w:p>
    <w:p w14:paraId="7C9FBB95">
      <w:pPr>
        <w:pStyle w:val="13"/>
        <w:rPr>
          <w:rFonts w:ascii="宋体" w:hAnsi="宋体" w:eastAsia="宋体" w:cs="宋体"/>
          <w:color w:val="auto"/>
          <w:spacing w:val="0"/>
          <w:position w:val="0"/>
          <w:sz w:val="24"/>
          <w:highlight w:val="none"/>
          <w:shd w:val="clear" w:fill="auto"/>
        </w:rPr>
      </w:pPr>
    </w:p>
    <w:p w14:paraId="27064E59">
      <w:pPr>
        <w:pStyle w:val="13"/>
        <w:rPr>
          <w:rFonts w:ascii="宋体" w:hAnsi="宋体" w:eastAsia="宋体" w:cs="宋体"/>
          <w:color w:val="auto"/>
          <w:spacing w:val="0"/>
          <w:position w:val="0"/>
          <w:sz w:val="24"/>
          <w:highlight w:val="none"/>
          <w:shd w:val="clear" w:fill="auto"/>
        </w:rPr>
      </w:pPr>
    </w:p>
    <w:p w14:paraId="385E3847">
      <w:pPr>
        <w:pStyle w:val="13"/>
        <w:rPr>
          <w:rFonts w:ascii="宋体" w:hAnsi="宋体" w:eastAsia="宋体" w:cs="宋体"/>
          <w:color w:val="auto"/>
          <w:spacing w:val="0"/>
          <w:position w:val="0"/>
          <w:sz w:val="24"/>
          <w:highlight w:val="none"/>
          <w:shd w:val="clear" w:fill="auto"/>
        </w:rPr>
      </w:pPr>
    </w:p>
    <w:p w14:paraId="0BB17C93">
      <w:pPr>
        <w:pStyle w:val="13"/>
        <w:rPr>
          <w:rFonts w:ascii="宋体" w:hAnsi="宋体" w:eastAsia="宋体" w:cs="宋体"/>
          <w:color w:val="auto"/>
          <w:spacing w:val="0"/>
          <w:position w:val="0"/>
          <w:sz w:val="24"/>
          <w:highlight w:val="none"/>
          <w:shd w:val="clear" w:fill="auto"/>
        </w:rPr>
      </w:pPr>
    </w:p>
    <w:p w14:paraId="798A4E79">
      <w:pPr>
        <w:pStyle w:val="13"/>
        <w:rPr>
          <w:rFonts w:ascii="宋体" w:hAnsi="宋体" w:eastAsia="宋体" w:cs="宋体"/>
          <w:color w:val="auto"/>
          <w:spacing w:val="0"/>
          <w:position w:val="0"/>
          <w:sz w:val="24"/>
          <w:highlight w:val="none"/>
          <w:shd w:val="clear" w:fill="auto"/>
        </w:rPr>
      </w:pPr>
    </w:p>
    <w:p w14:paraId="714362A9">
      <w:pPr>
        <w:pStyle w:val="13"/>
        <w:rPr>
          <w:rFonts w:ascii="宋体" w:hAnsi="宋体" w:eastAsia="宋体" w:cs="宋体"/>
          <w:color w:val="auto"/>
          <w:spacing w:val="0"/>
          <w:position w:val="0"/>
          <w:sz w:val="24"/>
          <w:highlight w:val="none"/>
          <w:shd w:val="clear" w:fill="auto"/>
        </w:rPr>
      </w:pPr>
    </w:p>
    <w:p w14:paraId="310AC81C">
      <w:pPr>
        <w:pStyle w:val="13"/>
        <w:rPr>
          <w:rFonts w:ascii="宋体" w:hAnsi="宋体" w:eastAsia="宋体" w:cs="宋体"/>
          <w:color w:val="auto"/>
          <w:spacing w:val="0"/>
          <w:position w:val="0"/>
          <w:sz w:val="24"/>
          <w:highlight w:val="none"/>
          <w:shd w:val="clear" w:fill="auto"/>
        </w:rPr>
      </w:pPr>
    </w:p>
    <w:p w14:paraId="11341656">
      <w:pPr>
        <w:pStyle w:val="13"/>
        <w:rPr>
          <w:rFonts w:ascii="宋体" w:hAnsi="宋体" w:eastAsia="宋体" w:cs="宋体"/>
          <w:color w:val="auto"/>
          <w:spacing w:val="0"/>
          <w:position w:val="0"/>
          <w:sz w:val="24"/>
          <w:highlight w:val="none"/>
          <w:shd w:val="clear" w:fill="auto"/>
        </w:rPr>
      </w:pPr>
    </w:p>
    <w:p w14:paraId="29DB40FF">
      <w:pPr>
        <w:pStyle w:val="13"/>
        <w:rPr>
          <w:rFonts w:ascii="宋体" w:hAnsi="宋体" w:eastAsia="宋体" w:cs="宋体"/>
          <w:color w:val="auto"/>
          <w:spacing w:val="0"/>
          <w:position w:val="0"/>
          <w:sz w:val="24"/>
          <w:highlight w:val="none"/>
          <w:shd w:val="clear" w:fill="auto"/>
        </w:rPr>
      </w:pPr>
    </w:p>
    <w:p w14:paraId="68E06B73">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4EA339AE">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C7509C7">
      <w:pPr>
        <w:pStyle w:val="7"/>
        <w:bidi w:val="0"/>
        <w:rPr>
          <w:highlight w:val="none"/>
        </w:rPr>
      </w:pPr>
      <w:r>
        <w:rPr>
          <w:highlight w:val="none"/>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42FA4DB7">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170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473E81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2B1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2155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6595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E80E0B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A659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A5700">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1E41B">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项城市教育体育局关于实施项城市第一初级中学实验室装备采购项目</w:t>
            </w:r>
          </w:p>
          <w:p w14:paraId="4067F052">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采购需求</w:t>
            </w:r>
          </w:p>
          <w:p w14:paraId="63D8DA7E">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项城市教育体育局</w:t>
            </w:r>
          </w:p>
          <w:p w14:paraId="2DFE897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68CDE8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B6E1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A0AA">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839C">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3395D35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8CF0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3765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89BF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6BCB439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64E3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57C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ECF6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75AD727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B98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8B2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FA65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3B8FAD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841E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911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37A1F">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42E75EA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A708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2BE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B53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408D20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1253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6428">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B9B2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4028A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B8CF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F8C3C">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B35DB">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0159953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0FAF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808D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62C5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76536C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E745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C449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EA68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9492C3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51C2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53C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AFE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3FC2168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416A669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A394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DC9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04C4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7B6ACC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A700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4867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E35AD">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08B56328">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6CD73975">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645842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0FCC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CE4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BE9AB">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73E878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CA9C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3A5F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A310">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58ECAFB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3DFC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C85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591D1">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B3F46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A462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E63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3756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41E2C12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B2C8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04A7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1ED1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14299538">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AE47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223E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BB4AE">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合同签订后30日历天内</w:t>
            </w:r>
          </w:p>
        </w:tc>
      </w:tr>
      <w:tr w14:paraId="562A6B52">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1F6FC">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9E7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FDC73">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产品供货、安装、调试交付使用并验收合格后支付合同价款的100%</w:t>
            </w:r>
            <w:r>
              <w:rPr>
                <w:rFonts w:hint="eastAsia" w:ascii="宋体" w:hAnsi="宋体" w:eastAsia="宋体" w:cs="宋体"/>
                <w:color w:val="auto"/>
                <w:spacing w:val="0"/>
                <w:position w:val="0"/>
                <w:sz w:val="24"/>
                <w:szCs w:val="28"/>
                <w:highlight w:val="none"/>
                <w:shd w:val="clear" w:fill="auto"/>
              </w:rPr>
              <w:t>。</w:t>
            </w:r>
          </w:p>
        </w:tc>
      </w:tr>
      <w:tr w14:paraId="6623FFF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90C78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3D5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46CF">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68BA0D2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54FF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35F56">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48B9C">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6A98B68F">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B2957">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7C6AE">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E183C">
            <w:pPr>
              <w:jc w:val="both"/>
              <w:rPr>
                <w:rFonts w:hint="default"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1年</w:t>
            </w:r>
          </w:p>
        </w:tc>
      </w:tr>
      <w:tr w14:paraId="5E523CE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19180">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FAF9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F162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05ADA1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B1B14">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DCBB6">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73B1A">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4949CE2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3983982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A1BA5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F2A6EB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D3659C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59347BD">
      <w:pPr>
        <w:pStyle w:val="5"/>
        <w:ind w:left="0" w:leftChars="0" w:firstLine="0" w:firstLineChars="0"/>
        <w:rPr>
          <w:highlight w:val="none"/>
        </w:rPr>
      </w:pPr>
    </w:p>
    <w:p w14:paraId="2C95AA70">
      <w:pPr>
        <w:pStyle w:val="5"/>
        <w:rPr>
          <w:highlight w:val="none"/>
        </w:rPr>
      </w:pPr>
    </w:p>
    <w:p w14:paraId="23320A6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033FB82D">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1AC848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1D7F9E7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79565C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6CBAE9E8">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项城市教育体育局</w:t>
      </w:r>
    </w:p>
    <w:p w14:paraId="6FBA01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6EC5DD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9A9FF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0D2ACE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0A07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CBBC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750690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E9FC6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848C7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88C1B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3105F4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911CE8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C0A0F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643D2A6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2C53B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3DBEFE0B">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CF1DD34">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4287A8AF">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3EC7FD90">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lang w:val="en-US" w:eastAsia="zh-CN"/>
        </w:rPr>
        <w:t>4.1.5 供应商</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2122AC2">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225AF25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68768A4E">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5417325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6090320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7786C4F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430B27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25D4D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3C99B5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00EDCD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F3E9D2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8CAB3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59B6DE6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4A7BF9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2F8469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701DFA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99B46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720AC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7F92B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51B9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E72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B8EF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F24DDA2">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63163E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8D5D77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293E6C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09EFAC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C622A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718C17A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0C6B6C9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2312A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32D717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57E877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C1BCC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32D87A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3EE33C2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4E8BA5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089FA2A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投标文件封面应列明项目名称、采购编号、供应商名称、地址被授权人姓名及联系方式等信息。</w:t>
      </w:r>
      <w:r>
        <w:rPr>
          <w:rFonts w:ascii="宋体" w:hAnsi="宋体" w:eastAsia="宋体" w:cs="宋体"/>
          <w:color w:val="auto"/>
          <w:spacing w:val="0"/>
          <w:position w:val="0"/>
          <w:sz w:val="24"/>
          <w:highlight w:val="none"/>
          <w:shd w:val="clear" w:fill="auto"/>
        </w:rPr>
        <w:t>竞争性磋商文件提供格式的按格式填列，未提供格式的可自行拟定。</w:t>
      </w:r>
    </w:p>
    <w:p w14:paraId="4CAFD2F1">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CE7BB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204FD1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01322E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7BAABC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B8240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14BC6DC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40707B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4D21D7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5F130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F3A4F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03B12CA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96107A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735EA58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2BF38B28">
      <w:pPr>
        <w:pStyle w:val="13"/>
        <w:rPr>
          <w:highlight w:val="none"/>
        </w:rPr>
      </w:pPr>
    </w:p>
    <w:p w14:paraId="7255CEC7">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7A09BC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95A9B4E">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09AC7E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64FD8113">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91E20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95A24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44D34A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0A423894">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287BD2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A3F510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0A0A60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1A3A6B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0D21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650E3C6A">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44EB9DA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7F0422C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1711ED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7BA64E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3B8AD0B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A2E32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C7BED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2D9E6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E3039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78A0B2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56CF893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73B8E8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1C7E1B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43858F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21F2B1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35264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584E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457621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765D07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F1068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FD9E8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19857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48BE14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390E786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642FBB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1D3699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39B7CE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20EEFCC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F42320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14BF3D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CFA41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DBCD1A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2CBC9FE3">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D07B3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FA06B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3D8DE6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3F7924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45F9B1D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1408200">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9F4240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D3D2F6F">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DAF02">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CA40FF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8F0E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4807F">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B619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195CC">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5E4A1D4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CF46D">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08D705F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25B84EC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C93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6EE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12C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801B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8BE2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188A9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B02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2CAA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EB92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03D6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28A4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C9948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994F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217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04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1833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9E6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F27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C45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B67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CD25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0DD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0D1E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E4BB8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B067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66F1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D2F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0723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7514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7B9B61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5ADE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4B0E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F27D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97CD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3FA2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F7076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7A3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2BF9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69FB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3F1D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8CDD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E6FD3F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B72C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93AD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1800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5ADC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F814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664EF4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438C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B1BD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DCA1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048C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18D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2CA5E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901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3456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82F8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2FFB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7463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B143D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E4E5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8F2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9533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7974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998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15941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101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9FCEC">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B5DE6">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4DC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D12C">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D5834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B72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F393D">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ED177">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E50D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4C669">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6C8F01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64C0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4DE5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EE15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005B2E0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82265B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43D46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77274C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72E4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75C8DC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3999A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27FA5F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6C1C4E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513FEAB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004737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3B282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58D63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6285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FF628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1128A6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63E5E0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103EA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FF47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0C803C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1F9A77E">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3F5181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713DE982">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74F5D145">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4F3B3EE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60E875D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1795860">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2B6B7AB">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0CC5AB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3F6D8BE">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620B2F2E">
      <w:pPr>
        <w:pStyle w:val="5"/>
        <w:rPr>
          <w:highlight w:val="none"/>
        </w:rPr>
      </w:pP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4010"/>
        <w:gridCol w:w="1511"/>
      </w:tblGrid>
      <w:tr w14:paraId="3509F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247051D0">
            <w:pPr>
              <w:spacing w:line="36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b/>
                <w:color w:val="000000"/>
                <w:sz w:val="24"/>
                <w:szCs w:val="24"/>
                <w:highlight w:val="none"/>
              </w:rPr>
              <w:t>评分指标</w:t>
            </w:r>
          </w:p>
        </w:tc>
        <w:tc>
          <w:tcPr>
            <w:tcW w:w="1766" w:type="dxa"/>
            <w:noWrap w:val="0"/>
            <w:vAlign w:val="center"/>
          </w:tcPr>
          <w:p w14:paraId="7F750475">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color w:val="000000"/>
                <w:sz w:val="24"/>
                <w:szCs w:val="24"/>
                <w:highlight w:val="none"/>
              </w:rPr>
              <w:t>分值</w:t>
            </w:r>
          </w:p>
        </w:tc>
        <w:tc>
          <w:tcPr>
            <w:tcW w:w="4010" w:type="dxa"/>
            <w:tcBorders>
              <w:right w:val="single" w:color="auto" w:sz="4" w:space="0"/>
            </w:tcBorders>
            <w:noWrap w:val="0"/>
            <w:vAlign w:val="center"/>
          </w:tcPr>
          <w:p w14:paraId="01E3359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000000"/>
                <w:sz w:val="24"/>
                <w:szCs w:val="24"/>
                <w:highlight w:val="none"/>
              </w:rPr>
              <w:t>指标说明及评分标准</w:t>
            </w:r>
          </w:p>
        </w:tc>
        <w:tc>
          <w:tcPr>
            <w:tcW w:w="1511" w:type="dxa"/>
            <w:tcBorders>
              <w:left w:val="single" w:color="auto" w:sz="4" w:space="0"/>
            </w:tcBorders>
            <w:noWrap w:val="0"/>
            <w:vAlign w:val="center"/>
          </w:tcPr>
          <w:p w14:paraId="5C1ACF4C">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评分依据</w:t>
            </w:r>
          </w:p>
        </w:tc>
      </w:tr>
      <w:tr w14:paraId="2A2872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13482A98">
            <w:pPr>
              <w:widowControl w:val="0"/>
              <w:kinsoku/>
              <w:autoSpaceDE/>
              <w:autoSpaceDN/>
              <w:bidi w:val="0"/>
              <w:adjustRightInd/>
              <w:snapToGrid/>
              <w:spacing w:after="50" w:line="360" w:lineRule="auto"/>
              <w:ind w:right="-1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投标报价</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（30分）</w:t>
            </w:r>
          </w:p>
        </w:tc>
        <w:tc>
          <w:tcPr>
            <w:tcW w:w="1766" w:type="dxa"/>
            <w:noWrap w:val="0"/>
            <w:vAlign w:val="center"/>
          </w:tcPr>
          <w:p w14:paraId="0570BAB2">
            <w:pPr>
              <w:widowControl w:val="0"/>
              <w:kinsoku/>
              <w:autoSpaceDE/>
              <w:autoSpaceDN/>
              <w:bidi w:val="0"/>
              <w:adjustRightInd/>
              <w:snapToGrid/>
              <w:spacing w:after="50" w:line="360" w:lineRule="auto"/>
              <w:ind w:right="-1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30分</w:t>
            </w:r>
          </w:p>
        </w:tc>
        <w:tc>
          <w:tcPr>
            <w:tcW w:w="5521" w:type="dxa"/>
            <w:gridSpan w:val="2"/>
            <w:noWrap w:val="0"/>
            <w:vAlign w:val="center"/>
          </w:tcPr>
          <w:p w14:paraId="504E2B4F">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价格分应当采用低价优先法计算，即满足</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文件要求且投标价格最低的</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报价为</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基准价，其价格分为满分。其他投标人的价格分统一按照下列公式计算：</w:t>
            </w:r>
          </w:p>
          <w:p w14:paraId="78EF53A9">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　　</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报价得分=(</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基准价／</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报价)×30</w:t>
            </w:r>
          </w:p>
          <w:p w14:paraId="72A2BF65">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注：价格分计算保留小数点后二位。</w:t>
            </w:r>
          </w:p>
          <w:p w14:paraId="1B9265A9">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根据财政部、工信部关于印发《政府采购促进中小企业发展管理办法》的通知（财库〔2020〕46号 ）文件规定：</w:t>
            </w:r>
          </w:p>
          <w:p w14:paraId="78F1218B">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（1）对小微企业报价给予20%扣除，请按照《政府采购促进中小企业发展管理办法》要求提供中小企业声明函。</w:t>
            </w:r>
          </w:p>
          <w:p w14:paraId="442654E3">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7569AC0D">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E651BEB">
            <w:pPr>
              <w:widowControl w:val="0"/>
              <w:kinsoku/>
              <w:autoSpaceDE/>
              <w:autoSpaceDN/>
              <w:bidi w:val="0"/>
              <w:adjustRightInd/>
              <w:snapToGrid/>
              <w:spacing w:after="50" w:line="360" w:lineRule="auto"/>
              <w:ind w:right="-1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（4）没有提供有效证明材料的供应商将被视为不接受投标总价的扣除，用原投标总价参与评审。</w:t>
            </w:r>
          </w:p>
        </w:tc>
      </w:tr>
      <w:tr w14:paraId="4017C4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tcBorders>
              <w:left w:val="single" w:color="auto" w:sz="4" w:space="0"/>
            </w:tcBorders>
            <w:noWrap w:val="0"/>
            <w:vAlign w:val="center"/>
          </w:tcPr>
          <w:p w14:paraId="2EAD8C6A">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技术部分（</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35</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分）</w:t>
            </w:r>
          </w:p>
        </w:tc>
        <w:tc>
          <w:tcPr>
            <w:tcW w:w="1766" w:type="dxa"/>
            <w:tcBorders>
              <w:right w:val="single" w:color="auto" w:sz="4" w:space="0"/>
            </w:tcBorders>
            <w:noWrap w:val="0"/>
            <w:vAlign w:val="center"/>
          </w:tcPr>
          <w:p w14:paraId="0A8F1061">
            <w:pPr>
              <w:widowControl w:val="0"/>
              <w:kinsoku/>
              <w:autoSpaceDE w:val="0"/>
              <w:autoSpaceDN w:val="0"/>
              <w:bidi w:val="0"/>
              <w:adjustRightInd w:val="0"/>
              <w:snapToGrid/>
              <w:spacing w:after="50" w:line="360" w:lineRule="auto"/>
              <w:ind w:right="-21" w:rightChars="-10" w:firstLine="0" w:firstLine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3</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5</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分</w:t>
            </w:r>
          </w:p>
        </w:tc>
        <w:tc>
          <w:tcPr>
            <w:tcW w:w="5521" w:type="dxa"/>
            <w:gridSpan w:val="2"/>
            <w:tcBorders>
              <w:left w:val="single" w:color="auto" w:sz="4" w:space="0"/>
            </w:tcBorders>
            <w:noWrap w:val="0"/>
            <w:vAlign w:val="center"/>
          </w:tcPr>
          <w:p w14:paraId="017C1282">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技术参数完全满足采购方要求的得35分，参数不满足招标参数中加★号的技术参数，每出现一项不满足要求的扣3分</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不加★号的技术参数，每出现一项不满足要求的扣1分，本项分扣完为止</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w:t>
            </w:r>
          </w:p>
        </w:tc>
      </w:tr>
      <w:tr w14:paraId="41F09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8" w:hRule="atLeast"/>
          <w:jc w:val="center"/>
        </w:trPr>
        <w:tc>
          <w:tcPr>
            <w:tcW w:w="1503" w:type="dxa"/>
            <w:tcBorders>
              <w:left w:val="single" w:color="auto" w:sz="4" w:space="0"/>
            </w:tcBorders>
            <w:noWrap w:val="0"/>
            <w:vAlign w:val="center"/>
          </w:tcPr>
          <w:p w14:paraId="181F5D80">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商务</w:t>
            </w:r>
          </w:p>
          <w:p w14:paraId="3350ECA3">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部分(3</w:t>
            </w:r>
            <w:r>
              <w:rPr>
                <w:rFonts w:hint="eastAsia" w:ascii="宋体" w:hAnsi="宋体" w:cs="宋体"/>
                <w:snapToGrid/>
                <w:color w:val="000000" w:themeColor="text1"/>
                <w:kern w:val="2"/>
                <w:sz w:val="24"/>
                <w:szCs w:val="24"/>
                <w:highlight w:val="none"/>
                <w:lang w:val="en-US" w:eastAsia="zh-CN" w:bidi="ar-SA"/>
                <w14:textFill>
                  <w14:solidFill>
                    <w14:schemeClr w14:val="tx1"/>
                  </w14:solidFill>
                </w14:textFill>
              </w:rPr>
              <w:t>5</w:t>
            </w:r>
            <w:r>
              <w:rPr>
                <w:rFonts w:hint="eastAsia" w:ascii="宋体" w:hAnsi="宋体" w:eastAsia="宋体" w:cs="宋体"/>
                <w:snapToGrid/>
                <w:color w:val="000000" w:themeColor="text1"/>
                <w:kern w:val="2"/>
                <w:sz w:val="24"/>
                <w:szCs w:val="24"/>
                <w:highlight w:val="none"/>
                <w:lang w:val="en-US" w:bidi="ar-SA"/>
                <w14:textFill>
                  <w14:solidFill>
                    <w14:schemeClr w14:val="tx1"/>
                  </w14:solidFill>
                </w14:textFill>
              </w:rPr>
              <w:t>分)</w:t>
            </w:r>
          </w:p>
        </w:tc>
        <w:tc>
          <w:tcPr>
            <w:tcW w:w="1766" w:type="dxa"/>
            <w:tcBorders>
              <w:right w:val="single" w:color="auto" w:sz="4" w:space="0"/>
            </w:tcBorders>
            <w:noWrap w:val="0"/>
            <w:vAlign w:val="center"/>
          </w:tcPr>
          <w:p w14:paraId="48D471AD">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35分</w:t>
            </w:r>
          </w:p>
        </w:tc>
        <w:tc>
          <w:tcPr>
            <w:tcW w:w="5521" w:type="dxa"/>
            <w:gridSpan w:val="2"/>
            <w:tcBorders>
              <w:left w:val="single" w:color="auto" w:sz="4" w:space="0"/>
            </w:tcBorders>
            <w:noWrap w:val="0"/>
            <w:vAlign w:val="center"/>
          </w:tcPr>
          <w:p w14:paraId="459F4594">
            <w:pPr>
              <w:keepNext w:val="0"/>
              <w:keepLines w:val="0"/>
              <w:widowControl/>
              <w:numPr>
                <w:ilvl w:val="0"/>
                <w:numId w:val="1"/>
              </w:numPr>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投标人或所投实验室生产厂家提供环境管理体系认证、质量管理体系认证、职业健康安全管理体系认证、每提供一项得1分，最多得3分。（提供证明材料原件扫描件或影印件加盖投标人公章）（3分）</w:t>
            </w:r>
          </w:p>
          <w:p w14:paraId="4FF69C4C">
            <w:pPr>
              <w:keepNext w:val="0"/>
              <w:keepLines w:val="0"/>
              <w:widowControl/>
              <w:numPr>
                <w:ilvl w:val="0"/>
                <w:numId w:val="0"/>
              </w:numPr>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2.投标人所投“实验室控制管理系统”的软件制造商符合《信息技术服务 运行维护 第1部分：通用要求》(GB/T 28827.1-2012)以及《信息技术服务运行维护服务能力成熟度模型》(ITSS.1-2015)标准。投标时提供有效期内的ITSS(信息技术服务标准)认证证书，得5分；（提供证明材料原件扫描件或影印件加盖投标人公章）（5分）</w:t>
            </w:r>
          </w:p>
          <w:p w14:paraId="0E38276D">
            <w:pPr>
              <w:keepNext w:val="0"/>
              <w:keepLines w:val="0"/>
              <w:widowControl/>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投标人所投“实验室控制管理系统”的软件制造商符合《知识产权管理体系》GB/T29490-2023，证书覆盖范围包含计算机应用软件开发；教学设备及计算机周边设备的开发及组装(资质范围内)，提供有效期内知识产权合规管理体系认证证书，得5分（提供证明材料原件扫描件或影印件加盖投标人公章，提供不全不得分）（5分）</w:t>
            </w:r>
          </w:p>
          <w:p w14:paraId="7844EC1C">
            <w:pPr>
              <w:keepNext w:val="0"/>
              <w:keepLines w:val="0"/>
              <w:widowControl/>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4.投标人所投</w:t>
            </w:r>
            <w:r>
              <w:rPr>
                <w:rFonts w:hint="eastAsia" w:ascii="宋体" w:hAnsi="宋体" w:eastAsia="宋体" w:cs="宋体"/>
                <w:i w:val="0"/>
                <w:color w:val="000000"/>
                <w:sz w:val="24"/>
                <w:szCs w:val="24"/>
                <w:highlight w:val="none"/>
                <w:u w:val="none"/>
              </w:rPr>
              <w:t>“实验室控制管理系统”产品，具有计算机软件著作权登记证书的得</w:t>
            </w:r>
            <w:r>
              <w:rPr>
                <w:rFonts w:hint="eastAsia" w:ascii="宋体" w:hAnsi="宋体" w:eastAsia="宋体" w:cs="宋体"/>
                <w:i w:val="0"/>
                <w:color w:val="000000"/>
                <w:sz w:val="24"/>
                <w:szCs w:val="24"/>
                <w:highlight w:val="none"/>
                <w:u w:val="none"/>
                <w:lang w:val="en-US" w:eastAsia="zh-CN"/>
              </w:rPr>
              <w:t>5</w:t>
            </w:r>
            <w:r>
              <w:rPr>
                <w:rFonts w:hint="eastAsia" w:ascii="宋体" w:hAnsi="宋体" w:eastAsia="宋体" w:cs="宋体"/>
                <w:i w:val="0"/>
                <w:color w:val="000000"/>
                <w:sz w:val="24"/>
                <w:szCs w:val="24"/>
                <w:highlight w:val="none"/>
                <w:u w:val="none"/>
              </w:rPr>
              <w:t>分</w:t>
            </w:r>
            <w:r>
              <w:rPr>
                <w:rFonts w:hint="eastAsia" w:ascii="宋体" w:hAnsi="宋体" w:eastAsia="宋体" w:cs="宋体"/>
                <w:i w:val="0"/>
                <w:color w:val="000000"/>
                <w:sz w:val="24"/>
                <w:szCs w:val="24"/>
                <w:highlight w:val="none"/>
                <w:u w:val="none"/>
                <w:lang w:eastAsia="zh-CN"/>
              </w:rPr>
              <w:t>，</w:t>
            </w:r>
            <w:r>
              <w:rPr>
                <w:rFonts w:hint="eastAsia" w:ascii="宋体" w:hAnsi="宋体" w:eastAsia="宋体" w:cs="宋体"/>
                <w:i w:val="0"/>
                <w:color w:val="000000"/>
                <w:kern w:val="0"/>
                <w:sz w:val="24"/>
                <w:szCs w:val="24"/>
                <w:highlight w:val="none"/>
                <w:u w:val="none"/>
                <w:lang w:val="en-US" w:eastAsia="zh-CN" w:bidi="ar"/>
              </w:rPr>
              <w:t>（提供证明材料原件扫描件或影印件加盖投标人公章，提供不全不得分）（5分）</w:t>
            </w:r>
          </w:p>
          <w:p w14:paraId="02119D64">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5.</w:t>
            </w:r>
            <w:r>
              <w:rPr>
                <w:rFonts w:hint="eastAsia" w:ascii="宋体" w:hAnsi="宋体" w:eastAsia="宋体" w:cs="宋体"/>
                <w:color w:val="auto"/>
                <w:kern w:val="2"/>
                <w:sz w:val="24"/>
                <w:szCs w:val="24"/>
                <w:highlight w:val="none"/>
                <w:lang w:val="en-US" w:eastAsia="zh-CN" w:bidi="ar-SA"/>
              </w:rPr>
              <w:t>为保障产品的质量和交付服务标准，要求投标人或者所投</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kern w:val="2"/>
                <w:sz w:val="24"/>
                <w:szCs w:val="24"/>
                <w:highlight w:val="none"/>
                <w:lang w:val="en-US" w:eastAsia="zh-CN" w:bidi="ar-SA"/>
              </w:rPr>
              <w:t>制造商</w:t>
            </w:r>
            <w:r>
              <w:rPr>
                <w:rFonts w:hint="default" w:ascii="宋体" w:hAnsi="宋体" w:eastAsia="宋体" w:cs="宋体"/>
                <w:color w:val="auto"/>
                <w:kern w:val="2"/>
                <w:sz w:val="24"/>
                <w:szCs w:val="24"/>
                <w:highlight w:val="none"/>
                <w:lang w:val="en-US" w:eastAsia="zh-CN" w:bidi="ar-SA"/>
              </w:rPr>
              <w:t>有符合</w:t>
            </w:r>
            <w:r>
              <w:rPr>
                <w:rFonts w:hint="eastAsia" w:ascii="宋体" w:hAnsi="宋体" w:eastAsia="宋体" w:cs="宋体"/>
                <w:color w:val="auto"/>
                <w:kern w:val="2"/>
                <w:sz w:val="24"/>
                <w:szCs w:val="24"/>
                <w:highlight w:val="none"/>
                <w:lang w:val="en-US" w:eastAsia="zh-CN" w:bidi="ar-SA"/>
              </w:rPr>
              <w:t>相关</w:t>
            </w:r>
            <w:r>
              <w:rPr>
                <w:rFonts w:hint="default" w:ascii="宋体" w:hAnsi="宋体" w:eastAsia="宋体" w:cs="宋体"/>
                <w:color w:val="auto"/>
                <w:kern w:val="2"/>
                <w:sz w:val="24"/>
                <w:szCs w:val="24"/>
                <w:highlight w:val="none"/>
                <w:lang w:val="en-US" w:eastAsia="zh-CN" w:bidi="ar-SA"/>
              </w:rPr>
              <w:t>标准的企业管理</w:t>
            </w:r>
            <w:r>
              <w:rPr>
                <w:rFonts w:hint="eastAsia" w:ascii="宋体" w:hAnsi="宋体" w:eastAsia="宋体" w:cs="宋体"/>
                <w:color w:val="auto"/>
                <w:kern w:val="2"/>
                <w:sz w:val="24"/>
                <w:szCs w:val="24"/>
                <w:highlight w:val="none"/>
                <w:lang w:val="en-US" w:eastAsia="zh-CN" w:bidi="ar-SA"/>
              </w:rPr>
              <w:t>，具有</w:t>
            </w:r>
            <w:r>
              <w:rPr>
                <w:rFonts w:hint="default" w:ascii="宋体" w:hAnsi="宋体" w:eastAsia="宋体" w:cs="宋体"/>
                <w:color w:val="auto"/>
                <w:kern w:val="2"/>
                <w:sz w:val="24"/>
                <w:szCs w:val="24"/>
                <w:highlight w:val="none"/>
                <w:lang w:val="en-US" w:eastAsia="zh-CN" w:bidi="ar-SA"/>
              </w:rPr>
              <w:t>标准化良好行为企业</w:t>
            </w:r>
            <w:r>
              <w:rPr>
                <w:rFonts w:hint="eastAsia" w:ascii="宋体" w:hAnsi="宋体" w:eastAsia="宋体" w:cs="宋体"/>
                <w:color w:val="auto"/>
                <w:kern w:val="2"/>
                <w:sz w:val="24"/>
                <w:szCs w:val="24"/>
                <w:highlight w:val="none"/>
                <w:lang w:val="en-US" w:eastAsia="zh-CN" w:bidi="ar-SA"/>
              </w:rPr>
              <w:t>认证证书的得5分（提供证明材料原件扫描件或复印件加盖投标人公章，不提供不得分）（5分）</w:t>
            </w:r>
          </w:p>
          <w:p w14:paraId="366631C8">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6.投标人拟派本项目管理人员具有高级PMP项目管理技术资格证书的得5分，不提供不得分（5分）</w:t>
            </w:r>
          </w:p>
          <w:p w14:paraId="53AAD0E6">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7.</w:t>
            </w:r>
            <w:r>
              <w:rPr>
                <w:rFonts w:hint="eastAsia" w:ascii="宋体" w:hAnsi="宋体" w:eastAsia="宋体" w:cs="宋体"/>
                <w:color w:val="auto"/>
                <w:kern w:val="2"/>
                <w:sz w:val="24"/>
                <w:szCs w:val="24"/>
                <w:highlight w:val="none"/>
                <w:lang w:val="en-US" w:eastAsia="zh-CN" w:bidi="ar-SA"/>
              </w:rPr>
              <w:t>供应商须提供自 2021年 1月1日以来，承担过类似项目业绩，每提供一份有效业绩的得1分，最多得2分。注：每份有效业绩需同时提供与业绩相关的采购合同或中标通知书等相关证明材料（以响应文件中附相关证明扫描件或复印件为准）且不得遮挡涂黑, 否则不得分。（2分）</w:t>
            </w:r>
          </w:p>
          <w:p w14:paraId="6BD32195">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8.投标人提供的售后服务方案，包括售后服务流程、售后服务措施、应急处理方案、响应时间及故障排除时间等。内容实用可行并前后一致的得4分，缺项或不提供不得分。</w:t>
            </w:r>
          </w:p>
          <w:p w14:paraId="3EF698B9">
            <w:pPr>
              <w:widowControl w:val="0"/>
              <w:tabs>
                <w:tab w:val="left" w:pos="5130"/>
              </w:tabs>
              <w:kinsoku/>
              <w:autoSpaceDE/>
              <w:autoSpaceDN/>
              <w:bidi w:val="0"/>
              <w:adjustRightInd w:val="0"/>
              <w:snapToGrid w:val="0"/>
              <w:spacing w:after="50" w:line="360" w:lineRule="auto"/>
              <w:ind w:right="-10" w:rightChars="0" w:firstLine="0" w:firstLineChars="0"/>
              <w:jc w:val="left"/>
              <w:textAlignment w:val="auto"/>
              <w:rPr>
                <w:rFonts w:hint="default"/>
                <w:highlight w:val="none"/>
                <w:lang w:val="en-US"/>
              </w:rPr>
            </w:pPr>
            <w:r>
              <w:rPr>
                <w:rFonts w:hint="eastAsia" w:ascii="宋体" w:hAnsi="宋体" w:eastAsia="宋体" w:cs="宋体"/>
                <w:color w:val="auto"/>
                <w:kern w:val="2"/>
                <w:sz w:val="24"/>
                <w:szCs w:val="24"/>
                <w:highlight w:val="none"/>
                <w:lang w:val="en-US" w:eastAsia="zh-CN" w:bidi="ar-SA"/>
              </w:rPr>
              <w:t>9.质保时间 ：在质保1年期的基础上，每增加1年得0.5分（从第2年开始计分），最多得1分。</w:t>
            </w:r>
          </w:p>
        </w:tc>
      </w:tr>
    </w:tbl>
    <w:p w14:paraId="43262C70">
      <w:pPr>
        <w:pStyle w:val="13"/>
        <w:ind w:left="0" w:leftChars="0" w:firstLine="0" w:firstLineChars="0"/>
        <w:rPr>
          <w:rFonts w:ascii="宋体" w:hAnsi="宋体" w:eastAsia="宋体" w:cs="宋体"/>
          <w:color w:val="auto"/>
          <w:spacing w:val="0"/>
          <w:position w:val="0"/>
          <w:sz w:val="24"/>
          <w:highlight w:val="none"/>
          <w:shd w:val="clear" w:fill="auto"/>
        </w:rPr>
      </w:pPr>
    </w:p>
    <w:p w14:paraId="55C2FC5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D749B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754B54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EE18A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DA6F1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27368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3029BF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59CF55E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2DA26C7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5BEF1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57B8BC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151605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27FC83CB">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79D51D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208448A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199F9F08">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7CC11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A3E6F2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7BF7A56F">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7B26B5D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2BFF9E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54EE2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FBAEB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301A534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F9996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4D8F4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2DE8A5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7926F3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9776C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D8C480D">
      <w:pPr>
        <w:pStyle w:val="2"/>
        <w:rPr>
          <w:rFonts w:hint="eastAsia"/>
          <w:highlight w:val="none"/>
          <w:lang w:val="en-US" w:eastAsia="zh-CN"/>
        </w:rPr>
      </w:pPr>
    </w:p>
    <w:p w14:paraId="6D1B6E03">
      <w:pPr>
        <w:pStyle w:val="5"/>
        <w:rPr>
          <w:rFonts w:hint="eastAsia"/>
          <w:highlight w:val="none"/>
          <w:lang w:val="en-US" w:eastAsia="zh-CN"/>
        </w:rPr>
      </w:pPr>
    </w:p>
    <w:p w14:paraId="6B2FF4E8">
      <w:pPr>
        <w:rPr>
          <w:rFonts w:hint="eastAsia"/>
          <w:highlight w:val="none"/>
          <w:lang w:val="en-US" w:eastAsia="zh-CN"/>
        </w:rPr>
      </w:pPr>
    </w:p>
    <w:p w14:paraId="1D447A96">
      <w:pPr>
        <w:pStyle w:val="2"/>
        <w:rPr>
          <w:rFonts w:hint="eastAsia"/>
          <w:highlight w:val="none"/>
          <w:lang w:val="en-US" w:eastAsia="zh-CN"/>
        </w:rPr>
      </w:pPr>
    </w:p>
    <w:p w14:paraId="33064D01">
      <w:pPr>
        <w:pStyle w:val="5"/>
        <w:rPr>
          <w:rFonts w:hint="eastAsia"/>
          <w:highlight w:val="none"/>
          <w:lang w:val="en-US" w:eastAsia="zh-CN"/>
        </w:rPr>
      </w:pPr>
    </w:p>
    <w:p w14:paraId="6E11B22C">
      <w:pPr>
        <w:rPr>
          <w:rFonts w:hint="eastAsia"/>
          <w:highlight w:val="none"/>
          <w:lang w:val="en-US" w:eastAsia="zh-CN"/>
        </w:rPr>
      </w:pPr>
    </w:p>
    <w:p w14:paraId="35EF17A3">
      <w:pPr>
        <w:pStyle w:val="2"/>
        <w:rPr>
          <w:rFonts w:hint="eastAsia"/>
          <w:highlight w:val="none"/>
          <w:lang w:val="en-US" w:eastAsia="zh-CN"/>
        </w:rPr>
      </w:pPr>
    </w:p>
    <w:p w14:paraId="5E974FED">
      <w:pPr>
        <w:pStyle w:val="5"/>
        <w:rPr>
          <w:rFonts w:hint="eastAsia"/>
          <w:highlight w:val="none"/>
          <w:lang w:val="en-US" w:eastAsia="zh-CN"/>
        </w:rPr>
      </w:pPr>
    </w:p>
    <w:p w14:paraId="76AFACC1">
      <w:pPr>
        <w:rPr>
          <w:rFonts w:hint="eastAsia"/>
          <w:highlight w:val="none"/>
          <w:lang w:val="en-US" w:eastAsia="zh-CN"/>
        </w:rPr>
      </w:pPr>
    </w:p>
    <w:p w14:paraId="00F22EB9">
      <w:pPr>
        <w:pStyle w:val="2"/>
        <w:rPr>
          <w:rFonts w:hint="eastAsia"/>
          <w:highlight w:val="none"/>
          <w:lang w:val="en-US" w:eastAsia="zh-CN"/>
        </w:rPr>
      </w:pPr>
    </w:p>
    <w:p w14:paraId="276AB168">
      <w:pPr>
        <w:pStyle w:val="5"/>
        <w:rPr>
          <w:rFonts w:hint="eastAsia"/>
          <w:highlight w:val="none"/>
          <w:lang w:val="en-US" w:eastAsia="zh-CN"/>
        </w:rPr>
      </w:pPr>
    </w:p>
    <w:p w14:paraId="2F3F3010">
      <w:pPr>
        <w:rPr>
          <w:rFonts w:hint="eastAsia"/>
          <w:highlight w:val="none"/>
          <w:lang w:val="en-US" w:eastAsia="zh-CN"/>
        </w:rPr>
      </w:pPr>
    </w:p>
    <w:p w14:paraId="5131613E">
      <w:pPr>
        <w:pStyle w:val="2"/>
        <w:rPr>
          <w:rFonts w:hint="eastAsia"/>
          <w:highlight w:val="none"/>
          <w:lang w:val="en-US" w:eastAsia="zh-CN"/>
        </w:rPr>
      </w:pPr>
    </w:p>
    <w:p w14:paraId="16080F62">
      <w:pPr>
        <w:rPr>
          <w:rFonts w:hint="eastAsia"/>
          <w:highlight w:val="none"/>
          <w:lang w:val="en-US" w:eastAsia="zh-CN"/>
        </w:rPr>
      </w:pPr>
    </w:p>
    <w:p w14:paraId="4F0ED8FF">
      <w:pPr>
        <w:pStyle w:val="7"/>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4545D8D3">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9"/>
        <w:gridCol w:w="13"/>
        <w:gridCol w:w="3"/>
        <w:gridCol w:w="853"/>
        <w:gridCol w:w="3"/>
        <w:gridCol w:w="10"/>
        <w:gridCol w:w="5991"/>
        <w:gridCol w:w="12"/>
        <w:gridCol w:w="13"/>
        <w:gridCol w:w="571"/>
        <w:gridCol w:w="6"/>
        <w:gridCol w:w="7"/>
        <w:gridCol w:w="631"/>
      </w:tblGrid>
      <w:tr w14:paraId="5B34B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00" w:type="pct"/>
            <w:gridSpan w:val="13"/>
            <w:tcBorders>
              <w:top w:val="nil"/>
              <w:left w:val="nil"/>
              <w:bottom w:val="nil"/>
              <w:right w:val="nil"/>
            </w:tcBorders>
            <w:shd w:val="clear" w:color="auto" w:fill="auto"/>
            <w:noWrap/>
            <w:vAlign w:val="center"/>
          </w:tcPr>
          <w:p w14:paraId="77917FC9">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生化综合实验室1</w:t>
            </w:r>
          </w:p>
        </w:tc>
      </w:tr>
      <w:tr w14:paraId="60387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4A1AD54B">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52D9023C">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392F99FC">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BFBFBF"/>
            <w:vAlign w:val="center"/>
          </w:tcPr>
          <w:p w14:paraId="6673C180">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47BBDB32">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w:t>
            </w:r>
          </w:p>
        </w:tc>
      </w:tr>
      <w:tr w14:paraId="7DBBE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778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8AE28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智能吊装管理系统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E3FF61">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B4ECD9">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15787">
            <w:pPr>
              <w:jc w:val="center"/>
              <w:rPr>
                <w:rFonts w:hint="eastAsia" w:ascii="宋体" w:hAnsi="宋体" w:eastAsia="宋体" w:cs="宋体"/>
                <w:b/>
                <w:bCs/>
                <w:i w:val="0"/>
                <w:iCs w:val="0"/>
                <w:color w:val="auto"/>
                <w:sz w:val="20"/>
                <w:szCs w:val="20"/>
                <w:highlight w:val="none"/>
                <w:u w:val="none"/>
              </w:rPr>
            </w:pPr>
          </w:p>
        </w:tc>
      </w:tr>
      <w:tr w14:paraId="07713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5115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F478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智能系统控制终端</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DBE8F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1、整机高度集成了液晶触摸屏、触摸按钮、液晶旋钮、常用接口面板；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2、采用了ARM+MCU双架构，触摸按钮和液晶旋钮为独立的MCU单片机，互相独立运作，具有较高稳定性；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★3、符合GB 4943.1-2022 标准要求，对设备进行机械强度试验，500g，直径50mm钢球，跌落高度1.3m，外壳不变形；样品外壳在外物撞击造成变形时应不影响其正常工作。（投标时提供带有CMA或CNAS标志的检测报告复印件）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★4、触摸屏部分采用国产ARM架构CPU，CPU核心数4个， CPU主频为2.0Ghz，内置NPU具有1TOPS算力，内置GPU为ARMG52(支持 OpenGL、OpenCL)，内存为2G；（投标时提供带有CMA或CNAS标志的检测报告复印件）；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★5、触摸屏的液晶≥10.1"，分辨率≥1280*800，材质为IPS或更优；（投标时提供带有CMA或CNAS标志的检测报告复印件）；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6、触摸屏的触摸面板为G+G玻璃材质，采用了电容触摸屏，采用全贴合工艺；触摸面板为一体式无缝大板，触摸屏、触摸按钮、液晶旋钮三大功能模块之间没有缝隙；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7、液晶按钮部分采用智能旋钮设计，具有1组标准香蕉接口可输出稳压直流电、1组标准香蕉接口可输出稳压交流电，可根据需要切换交流或直流输出；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★8、旋钮外尺寸≥49mm，旋钮中心具有2个≥3位LED数码管显示屏，可以显示实时电压和电流，可以通过旋钮调节电压输出，并实时查看电流；（投标时提供带有CMA或CNAS标志的检测报告复印件）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9、直流输出：1组直流1.5~30V可调输出，最大电流2A；交流输出：1组交流1.5~30V可调输出，最大电流2A，输出波形为50Hz方波；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★10、电压精度：输出电压精度为±0.2V；（投标时提供带有CMA或CNAS标志的检测报告复印件）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11、具有≥6个触摸按钮，支持：同步锁定、低压电、高压电、升降、通风、通水等常用功能按钮；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12、可通过同步锁定按钮，将本机的电源状态下发到学生电源，并锁定学生电源使其不能自主调节电压；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13、可通过低压电和高压电按钮，开启学生电源的对应高压输出和低压输出；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14、可通过升降按钮，控制吊装系统的升降装置，实现系统升降控制；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16、具有≥1路HDMI直通输入，可直通教学交互平板或教学一体机的大屏，将笔记本电脑、示教终端等设备的画面进行同屏；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17、具有≥1路USB直通输入，可直通教学交互平板或教学一体机，可接入高拍仪、U盘等。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ADF8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950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4A98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706C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297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实验室控制管理系统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211E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1、电源操作控制系统：可实现远程分组控制学生高低压电源开启与关闭；可输出直流电源：1组直流1.5~30V可调，最大电流2A；可输出交流输电源1.5~30V可调，最大电流2A，设置及实时显示，带学生电压锁定功能；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2、照明系统：可实现远程控制照明系统开启与关闭。可单个或全组进行控制；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3、给排水控制系统：可实现远程控制给排水系统的开启与关闭；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4、摇臂控制系统：可实现控制电源摇臂升起或下降；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5、通风控制系统：可实现远程控制通风系统的开启与关闭及风量调节。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★6.投标时提供实验室控制管理软件相关计算机软件著作权登记证书扫描件，中国版权保护中心（https://register.ccopyright.com.cn/query.html）计算机软件著作权登记公告检索截图作为得分依据，否则不得分；</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C87C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418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3FBE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82FF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188D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智能吊装集成系统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2DE1F8">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3A64CC">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C823D">
            <w:pPr>
              <w:jc w:val="center"/>
              <w:rPr>
                <w:rFonts w:hint="eastAsia" w:ascii="宋体" w:hAnsi="宋体" w:eastAsia="宋体" w:cs="宋体"/>
                <w:b/>
                <w:bCs/>
                <w:i w:val="0"/>
                <w:iCs w:val="0"/>
                <w:color w:val="auto"/>
                <w:sz w:val="20"/>
                <w:szCs w:val="20"/>
                <w:highlight w:val="none"/>
                <w:u w:val="none"/>
              </w:rPr>
            </w:pPr>
          </w:p>
        </w:tc>
      </w:tr>
      <w:tr w14:paraId="6A1A1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8DFA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6DBC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吊装主体框架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46C0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标准模组规格：≥1200*630*195mm，，外壳采用整体ABS工程塑料一次性注塑成型，优雅的流线型设计，侧面配备彩条，更具有科技现代感，承重骨架采用2mm厚优质钢材激光切割焊接而成强度高、结构稳定,动力轴采用优质不锈钢棒材经CNC及数控车床加工成型，承重性能强，精度高。</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5C95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8A7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CA0D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AFC0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A37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智能摇臂升降系统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3A92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构特点：智能摇臂装置有控制系统统一远程控制，学生不能单独操作，系统自带障碍物保护功能，具有防夹，防卡功能，当摇臂在运动的过程中遇到障碍物时会自动停止，具有过流保护功能。摇臂系统主管道采用≥42*74mm方形铝合金型材，型材内部穿行进排水管道和电源线。主功能模块采用ABS材料经模具一次注塑成型，预留高低压电源接口、急停开关、网络接口、通风接口和给排水接口等，可满足当前各科实验需求及未来功能扩展。摇臂动力系统有：直流24v推杆电机、定位轴、轴承、限位开关和曲形推杆组成，摇臂升降顺畅不卡顿。</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A518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629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F905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E3BF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9DD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电源供应模块</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9B5D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1、多功能电源模块外壳体采用阻燃级ABS塑料原料模具注塑一次性加工成型，表面光滑，规格为≥320*265*120mm；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操作面板控制旋钮调节，配备2个3位LED数码管显示屏，可以随意设置电压，准确、快捷、复位键、，设有四个220v新国标的3+2多功能插座、两个DC 5V/2.1A的USB接口和新国标的3+2多功能插座和两组交直流输出接线插口；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路板采用贴片元件生产技术，芯片控制，交直流输出：直流稳压输出：0-30V，额定电流2A。最小调节单元0.1V。交流电压输出：0~30V，额定电流2A。最小调节单元0.1V。交直流电源具有过载保护智能检测功能。采用复位功能免除反复过载冲击负载。学生高压电源可接收主控电源发送的锁定信号，学生接收老师输送的设定电源电压，教师锁定时，学生自己无法操作，这样可避免学生的误操作。</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2227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C5B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A31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CD90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9DD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智能照明</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3E04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照明模块有底座外壳、扩散板和LED灯条组成；外置隐藏安装，可从吊装外部拆卸，方便后期维修更换。固定底座采用ABS塑料一体成型，扩散板采用PC材料，扩大发光面，使光线变的柔和，达到匀光而又透光，同时满足各种雾度值和透光率的需求；</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C4D8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4887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60EA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2538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25FC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学生端给排水接口</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C2DB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1、PVC材质，给排水接头采用具有耐酸碱，拔插轻松，不生锈；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2、即插即用，带自动锁紧插功能，即使在供水排水工作时，随时拔掉接口不会有任何滴漏现象。</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9B1A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C2DC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2A59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2889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ABD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可伸缩万向罩</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FC2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1、吸风外管为铝合金，摇臂面板一起升降，不用时可收入舱体内，不遮挡视线。完全展开后罩口可抵到桌面，方便学生实验操作。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2、风管分内外管：外管采用直径≥68mm铝合金圆管，第二节内管采用≥65mm的万向管圆管，表面经环氧树脂粉末静电喷涂高温固化处理，防酸防碱耐腐蚀。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3、吸风罩口和弯头部件采用ABS软塑料不易变形。</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5C51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33DC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B168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228E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DFD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盖帽</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496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两端盖帽采用全新ABS塑料经模具一次注塑成型，带有和舱体同色彩条，美观大方; 规格为 ≥144*630*195mm.。</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703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EF9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2A92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424B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C38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自动给排水系统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C9B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1、由给排水系统、污水收集排放系统构成；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2、给排水系统出（进）水口置于电源操作模块底部，由智能化控制系统集中控制；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3、接口均采用带防溢水功能快速水管接口，插拔式自动锁紧连接方式，即用插拔，插拔后自动止水；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4、与污水桶水位传感器采用8芯信号线连接，达到一定水位值时传感器感应启动自动排水，污水经过连接管排至顶部排水管总管后流出；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5、该模块支持实时手动排水和当达到一定条件时自动排水两种方式，当污水全部排净后系统自动关闭。</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86FB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7D09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218E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5338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439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智能吊装控制线</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5797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采用0.5mm²电线屏蔽电线进行系统布线。</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60EB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017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F071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55D5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CB3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吊装系统安装辅件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AFB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1、采用固定吊装方式，防止左右晃动，可进行调节；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2、主要辅件有：U型槽钢、龙骨架连接件、吊装挂件等。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46AC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AB9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9C87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E277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782B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吊装设备安装调试</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0CB2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1、吊装设备安装：根据设备重量和实验室天花板结构，合理规划吊装位置；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2、系统控制调试：通电测试、通风系统调试、照明系统调试、控制系统调试及安全测试。</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A29C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E65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6B92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7DA8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3EDC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学生基础部分</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1227D">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F124C5">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55A02">
            <w:pPr>
              <w:jc w:val="center"/>
              <w:rPr>
                <w:rFonts w:hint="eastAsia" w:ascii="宋体" w:hAnsi="宋体" w:eastAsia="宋体" w:cs="宋体"/>
                <w:b/>
                <w:bCs/>
                <w:i w:val="0"/>
                <w:iCs w:val="0"/>
                <w:color w:val="auto"/>
                <w:sz w:val="20"/>
                <w:szCs w:val="20"/>
                <w:highlight w:val="none"/>
                <w:u w:val="none"/>
              </w:rPr>
            </w:pPr>
          </w:p>
        </w:tc>
      </w:tr>
      <w:tr w14:paraId="46D04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3B12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B57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学生实验桌</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1207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1、规格：≥1200*600*780mm；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2、整体构造：采用≥20mm厚度的一体化陶瓷板台面，侧面边缘打磨平整，线条流畅、表面平整光滑，台面转角位置做倒角处理；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2.1台面：按照GB/T 17657-2022标准对台面板进行不少于75种化学试剂检测，其中硫酸(98%)、尿素、碘酒、孔雀绿(5%)、氢氧化钾(65%)、硝酸(65%)、硫化钠饱和液、乙醇(99%)、二恶烷、二氯甲烷、盐酸(37%)、氯化铁(10%)、煤油、凡士林、氯乙烯基镁、碳酸氢钠溶液、氯化镁(10%)、亚甲蓝指示剂、红药水、次氯酸钠(13%)、磷酸(85%)、四氯化碳、品红(1%)、蔗糖溶液(5%)、丁酮、王水、氯仿、紫药水、铬酸钾溶(1g/L）、正已烷、铬酸、芥末、苏丹红、乙酸丁酯、甲苯、甲酸(90%)、高锰酸钾(10%)、三氯乙烯、乙醇胺、二甲苯、乙酸(99%)、丙酮、四氢呋喃、石油醚、丙三醇、甲醛溶液(37%)、苯、硫酸钠饱和液、液体石蜡、双氧水(3%)、苯酚(90%)、氯甲苯、甲基橙、高氯酸、乙醚、硫酸铜(10%)、甲酚、乙二醇、乙基苯、乳酸、硝酸银(1%)、糠醛、氧化锌饱和液、冰醋酸(90%)、乙酰丙酮、氢氧化钠(40%)、二甲基甲酰胺、丁醇、柠檬酸、N,N-二甲基甲酰胺、氨水(28%)、醋酸乙酯、萘、松节油、乙腈检验结果达到5级，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2.2负离子发生量:陶瓷台面负离子发生量参考LY/T 3235-2020标准要求，24h负离子发生量≥939个/cm3；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2.3台面洛氏硬度：参照GB/T 3398.2-2008 标准进行检测，检测结果为≥127；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2.4陶瓷台面燃烧性能等级为 A1 级，炉内温升≤15℃，持续燃烧时间为0 s，质量损失率≤0.4%，总热值≤0.4MJ/kg；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2.5台面承载能力：台面承载100kg，检测结果为：陶瓷板未出现损坏；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3、桌面边缘镶嵌铝合金挡水条，配备由安全塑料注塑成型的堵头，防止液体溢出；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4、配备两个书包斗，规格≥430*290*180mm，采用PP材料，正面设有可悬挂凳子的圆形孔，周边加厚加强，镂空造型。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5、立柱剖面规格≥100*40mm，立柱壁厚≥1.2mm，下脚剖面规格≥76*36mm，下脚壁厚≥1.2mm；立柱和下脚材质采用精密挤压铝型材，表面做镁铝氧化处理，脚部两端镶嵌定制注塑堵头；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6、在两立柱之间具有一根金属加强横梁，规格≥60*30mm，壁厚≥mm；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7、桌面框架采用高品质高强度钢板，通过折弯和焊接工艺成型，规格尺寸≥1144*536mm，钢板厚度≥2mm,表面采用高压静电喷涂处理，具有耐酸碱和耐腐蚀性能；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8、各组件之间的连接采用螺丝，应便于组装和拆卸，要求使结构稳固；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9、底部配备可调节的脚垫，采用高强度ABS注塑成型，通过螺旋机制实现高度调节，要求桌面平衡及稳定，适应不同地面条件。底部配备可调节的脚垫，采用高强度 ABS 注塑成型，通过螺旋机制实现高度调节，要求桌面平衡及稳定，适应不同地面条件。</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C922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26A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8ACA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0862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DE0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700E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1、五脚圆形升降旋转凳，升降内螺杆与50立杆可以拆卸，五脚立地并镶胶皮且不易脱落或变形脚垫。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2、凳面为ABS工程塑料注塑压成，凳面：Φ≥300mm（±20mm）；凳面带有树皮纹路，内螺杆高度升降范围为450-500mm。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3、面包管五只凳脚采用一线厂家生产的国标优质钢管制造，立杆钢管的外径≥50mm，壁厚≥1.2mm，立管上部有方托盘≥160X160钢板≥2.0厚与凳面结合，长时间使用不会脱落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4、金属表面需经抛丸、喷涂处理，表面喷漆为白色。</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CB70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92F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r>
      <w:tr w14:paraId="64A1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36D6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939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1EE91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CDC7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0E3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4D73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7495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5CF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60B8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4D30D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FDA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0B66A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2125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A70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F2D8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5EAC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C2E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5FD53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1FF3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55517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教师基础部分</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4DE8E">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4DCD9C">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8A4E9">
            <w:pPr>
              <w:jc w:val="center"/>
              <w:rPr>
                <w:rFonts w:hint="eastAsia" w:ascii="宋体" w:hAnsi="宋体" w:eastAsia="宋体" w:cs="宋体"/>
                <w:b/>
                <w:bCs/>
                <w:i w:val="0"/>
                <w:iCs w:val="0"/>
                <w:color w:val="auto"/>
                <w:sz w:val="20"/>
                <w:szCs w:val="20"/>
                <w:highlight w:val="none"/>
                <w:u w:val="none"/>
              </w:rPr>
            </w:pPr>
          </w:p>
        </w:tc>
      </w:tr>
      <w:tr w14:paraId="5B60E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36A5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13A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A8C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1、规格：≥2400*700*850mm；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2、结构：演示台设有储物柜，中间为演示台,设置电源主控系统、多媒体设备（主机、显示器、中控、功放交换机）的位置预留；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3、桌身：整体采用≥0.8mm厚优质冷轧钢板，全部钢制件纳米陶瓷镀膜防锈处理；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4、滑道：抽屉全部采用优质三节承重式滚珠滑道；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5、铰链：采用优质铰链；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6、脚垫：采用柜体内置可调ABS脚垫，保证桌面平整；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7、台面：采用≥12.7mm厚双面膜实芯理化板制作，边沿镶边加厚至≥25mm厚，耐强酸、强碱、耐高温；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7.1台面按国家标准GB/T 17657-2022标准及其他相关标准进行检测，要求需满足或优于以下性能：静曲强度≥140Mpa；弹性模量≥10450Mpa；抗拉强度≥69Mpa；拉伸强度≥69Mpa；表面耐龟裂性能：5级：表面无裂纹；耐高温性能：表面无裂纹；表面耐耐干热性能：5级：无明显变化；表面耐湿热性能：5级：无明显变化；耐光色牢度＞4级；洛氏硬度：126；耐臭氧（72h）：外观无明显变化；尺寸稳定性：横向和纵向均需一致≤0.03%；漆膜附着力：六级：切割边缘完全平滑，网格内无脱落；漆膜硬度＞9H；表面耐划痕性能：4.5N作用下，试件表面无大于90%的连续划痕；耐沸水性能：质量增加百分率≤0.01%、厚度增加百分率≤0.06%，表面质量等级：5级：无变化，边缘质量等级：5级：无明显变化；抗冲击性能：冲击高度≥1m，压痕直径≤5.1mm；表面耐磨性能≥1120r，未出现磨损；弯曲强度≥140Mpa；弯曲弹性模量≥8330Mpa；表面耐冷热循环：表面无裂纹及鼓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7.2台面检测依据 GB/T 39600-2021标准，甲醛释放量≤0.005mg/m³，满足技术要求E0级；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7.3台面按照GB/T 17657-2022标准对面板正反两面进行耐污染物检验，其中硫酸（98%）、77%硫酸、硝酸（65%）、乙酸(99%)、氢氟酸（48%）、3%双氧水、无水乙醇、水杨酸、碘伏、亚甲基蓝(5%)、乙腈、无水甲醇、正己烷、三氯乙酸等不少于135种溶液或试剂检验结果达到5级并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7.4台面依据JC/T 2039-2010标准检测板材抗霉菌性能：黑曲霉、土曲霉、宛氏拟青霉、绳状青霉、出芽短梗霉、球毛壳霉、长枝木霉等7种的霉菌检测长霉等级0级；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7.5台面依据JC/T 2039-2010标准检测板材的抗菌性能：金黄色葡萄球菌、大肠埃希氏菌、白色念珠菌、铜绿假单胞菌、肺炎克雷伯氏菌、鼠伤寒沙门氏菌、甲型溶血性链球群、枯草芽孢杆菌、耐甲氧西林金黄色葡萄球菌、白色葡萄球菌、肠沙门氏菌肠亚种、粪肠球菌、宋氏志贺氏菌、变异库克菌、表皮葡萄球菌等不少于15种的菌种抗菌率≥99.99%。</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44CA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25F5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50531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3969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005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教师转椅</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2C46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1、规格：≥500*500*800mm；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2、面料材质：靠背及下座采用高密度网布格，具有高耐磨性和抗撕裂性，符合国家阻燃标准；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3、骨架材质：采用高强度钢管，表面电镀处理；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4、气动升降，支持高度调节；配备静音滑轮，材质为PU或软胶，移动时无噪音且不损伤地面。</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AE61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975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522D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EB2A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70D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7CF9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D39B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E366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3AE7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475B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94AF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FE9D0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87BE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5DE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40B79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6D4E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48E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8800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F42E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ABD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66CB3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FA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93150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万向吸风罩</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64DE94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【整体功能】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1、主要用于实验室教学过程中，对化学实验产生的有害气体、粉尘等进行局部排风收集，通过管道将污染物排至室外，保护实验人员呼吸系统健康，适用于理化生实验室各类挥发性实验操作；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2、采用可伸缩式活动关节设计，支持360°全方位旋转调节，便于精准定位；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3、安装方式：悬挂式安装，底座固定于天花板上；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4、关节：采用高密度PP聚丙烯材质；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5、关节密封圈：采用高密度橡胶材质；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6、关节连接杆：采用304不锈钢材质；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7、关节松紧旋钮：以高密度PP制成，内部嵌有不锈钢轴承，用于与连接杆锁合，调节及固定便捷；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8、气流调节阀：方手动调节外部阀门旋钮，控制进入之气流量；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9、集气罩：材质为PP，集气罩开口直径≥335mm，提供有效集气范围；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10、固定底座：采用模具一次注塑成型，非粘接结构，整体牢固可靠，无脱底风险。</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3D86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45C9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A67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B8D7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E0F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实训示教终端机</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01E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1、高度集成：整机由≥1块集成触摸屏、≥2个高清摄像机和≥1个底座组成，而非摄像机和平板电脑拼装而成；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2、占用空间：整体设计精简小巧，不影响教师正常的实验操作；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3、支持折叠收纳，不使用时可以放置在配套铝箱中；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4、单关节折叠杆：采用单关节设计的折叠杆，无需旋钮即可在活动范围内任意角度悬停，方便调节俯视角的高度；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俯视角：整机一体设计，无任何外漏线材，俯视角镜头≥800万像素，支持≥12倍光学变焦，支持激光TOF辅助微距自动聚焦（最短支持10cm）；具有物理按键，可以实现手动调节光学变焦和聚焦；具有画面锁定按键，按键冻结当前视频画面，再按一次解锁冻结画面；（投标文件中提供制造商具备CMA标志的检测报告扫描件，同时提供全国认证认可信息公共服务平台查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6、俯视角支持从上往下拍摄，并可通过两轴摆动调整拍摄角度，每个转轴均配有阻尼设计，确保角度调整完成后能够保持固定的拍摄角度和高度；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从正面拍摄特写操作，可以垂直滑动升降调整拍摄高度，调节范围≥9CM，且滑动升降具有阻尼设计，无需旋钮或卡扣即可在行程内保持任意固定高度；（投标文件中提供制造商具备CMA标志的检测报告扫描件，同时提供全国认证认可信息公共服务平台查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8、CPU：采用≥6核CPU；≥4GBRAM+256GBROM；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9、具有≥11.5英寸触摸屏，分辨率≥1920*1080，支持活动范围内任意角度翻折悬停，可活动角度≥100°；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同时支持DC供电、内置电池供电和POE供电三种模式，最高优先级采用DC充电，当DC供电丢失则自动使用POE供电，若无POE供电则自动切换内置电池供电，全过程无需重启，且完全不影响正常使用；（投标文件中提供制造商具备CMA标志的检测报告扫描件，同时提供全国认证认可信息公共服务平台查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11、具有但不限于HDMI、USB2.0、USB3.0、POE网口、DC电压充电口、Type-C调试口、Reset键、3.5mm音频监听口、TF卡插槽；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12、内置无线模块接口，支持扩展终端机通过WIFI连接网络进行示教；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13、设备应自带流媒体服务，支持外部系统仅需和操作系统一个IP通信即可分别获得俯视角和正视角的视频流；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14、配套铝箱：铝边木板设计，可用于放置终端套件、电源适配器、网线等设备。</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F2D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A9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FAC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FAF1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58F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互动示教系统软件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F50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【终端机嵌入式管理软件】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1、软件为嵌入式底层应用，内嵌在终端机中，用于实现底层硬件调度逻辑和基础软件接口；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UPS管理：对设备内置的大容量UPS进行管理，包括充放电管理、截止电压管理、放电电流管理、充电电流管理等，生成实时百分比电池剩余容量，并输出到Android操作系统HAL层，用户可在安卓系统中查看到UPS剩余容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高清低延迟视频流媒体服务器管理：通过内建流媒体服务器对接入设备的多台摄像机的网络流进行无损转发，形成高并发、低延迟、无损的≥1080P高清视频信号，并提供≥20路高清视频流媒体并发能力，为其他应用软件提供流媒体基础支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流处理编码：支持将多路摄像机视频进行编码和录制，支持视频H.264/H.265编码、音频ACC编码，支持RTSP、RTMP、HTTP等多种传输协议，最高支持≥1080P视频编码。可支持画面拼接显示，包括单画面、双画面等，并确保多画面之间保持相对同步。（投标文件中提供制造商相应的“视频流处理编码”相关软件著作权证书复印件并加盖投标人电子章，同时提供中国版权登记查询服务平台登记公告检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多网卡管理：管理多路外接摄像机、内置安卓系统之间的虚拟物理层网络连接，形成局域网，支持ARP发现，支持onvif局域网广播，同时与无线网络网卡形成隔离，摄像机与终端机之间的广播不会影响WLAN，减少WLAN的负载，提高WLAN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6、二次开发管理：主要功能支持MQTT/HTTP/Socket通信，可便于用户进行二次开发。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【实训工位软件】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1、多路相机接入：支持接入≥2路1080P高清摄像机，支持标准RTSP协议，支持同时接入1080P主流和480P辅流；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2、无线配置：支持双网卡管理，支持无线wifi和有线RJ45双模同时连接；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3、相机画面无线投屏：支持与教室教师端连接，通过wifi局域网或有线局域网均可实时将本地摄像机画面传输至教室教师端，并结合教师端软件实现大屏画面投送；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4、低延迟投屏：支持通过较低的延迟实现向教师端进行画面投送，使教师端和本地端不产生明显的不同步，且各画面之间也不产生明显的不同步现象；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5、低延时本地预览：支持在示教终端上进行本地摄像机预览，支持小窗口480P低延时预览；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6、全屏预览：用户可根据需要，随时将任一画面放大至全屏进行预览，在全屏预览时系统自动切换至≥1080P高清视频流，并实现同步的低延迟预览，播放延迟不大于0.5秒；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摄像机多端同步控制：支持远程控制摄像机设备，可根据摄像机的特性，进行放大缩小、对焦、云台控制，镜头翻转等功能控制，且支持与示教端软件实现双向同步控制；（投标文件中提供制造商相应的“摄像机多端同步控制”相关软件著作权证书复印件并加盖投标人电子章，同时提供中国版权登记查询服务平台登记公告检索截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8、高清多通道录制：支持对接入的多个摄像机同时进行视频录制，并可在本地点播录制视频，支持本地化录制，不受wifi网络信号影响；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9、视频上传：可将本地录制的视频上传至教师端或平台端，上传时可命名文件名，以避免教师端用户混淆多个视频；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10、视频下载：可将本地录制的视频下载至U盘；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11、支持教师端下发作业任务后，上传本地视频或图片到教师端；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12、支持设置第三方推流直播，可生成观看二维码，在示范教学时可显示直播二维码，手机扫码即可进入直播画面，且声画同步；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音视频采集可视化：对采集的教学音视频进行可视化的分类管理，可查看教学时所采集录制的教学音视频文件和批注截图，点击相关视频查看可进行再次批注保存并关联图片。（投标文件中提供制造商相应的“音视频采集可视化”相关软件著作权证书复印件并加盖投标人电子章，同时提供中国版权登记查询服务平台登记公告检索截图）</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8FB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220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82F0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D3EE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9DE9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全室供排水电线路</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F0D65">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AC6CF2">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4A6DA">
            <w:pPr>
              <w:jc w:val="center"/>
              <w:rPr>
                <w:rFonts w:hint="eastAsia" w:ascii="宋体" w:hAnsi="宋体" w:eastAsia="宋体" w:cs="宋体"/>
                <w:b/>
                <w:bCs/>
                <w:i w:val="0"/>
                <w:iCs w:val="0"/>
                <w:color w:val="auto"/>
                <w:sz w:val="20"/>
                <w:szCs w:val="20"/>
                <w:highlight w:val="none"/>
                <w:u w:val="none"/>
              </w:rPr>
            </w:pPr>
          </w:p>
        </w:tc>
      </w:tr>
      <w:tr w14:paraId="1EFF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3DBE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1C7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供电线路（吊装款）</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AF07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1、电线：国标优质铜芯线4mm²电线、2.5mm²电线。</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6127B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71F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75871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D600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9FF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给排水管路</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4121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1、布管规整，方便安装、检修；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2、给水管：主管选用Ф25PPR水管，支管Ф20PPR水管；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3、排水管：UPVC材质排水管为Ф50mm，排水管接头要求螺纹口、PVC胶水等；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4、安全控制：总开关阀门、电磁阀外、丝连接件等。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A045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A7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0DFA1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E16C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3D7F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通风系统部分</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322F3">
            <w:pPr>
              <w:jc w:val="left"/>
              <w:rPr>
                <w:rFonts w:hint="eastAsia" w:ascii="宋体" w:hAnsi="宋体" w:eastAsia="宋体" w:cs="宋体"/>
                <w:b/>
                <w:bCs/>
                <w:i w:val="0"/>
                <w:iCs w:val="0"/>
                <w:color w:val="auto"/>
                <w:sz w:val="20"/>
                <w:szCs w:val="20"/>
                <w:highlight w:val="none"/>
                <w:u w:val="none"/>
              </w:rPr>
            </w:pP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DCAE58">
            <w:pPr>
              <w:jc w:val="center"/>
              <w:rPr>
                <w:rFonts w:hint="eastAsia" w:ascii="宋体" w:hAnsi="宋体" w:eastAsia="宋体" w:cs="宋体"/>
                <w:b/>
                <w:bCs/>
                <w:i w:val="0"/>
                <w:iCs w:val="0"/>
                <w:color w:val="auto"/>
                <w:sz w:val="20"/>
                <w:szCs w:val="20"/>
                <w:highlight w:val="none"/>
                <w:u w:val="none"/>
              </w:rPr>
            </w:pP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EADAAA">
            <w:pPr>
              <w:jc w:val="center"/>
              <w:rPr>
                <w:rFonts w:hint="eastAsia" w:ascii="宋体" w:hAnsi="宋体" w:eastAsia="宋体" w:cs="宋体"/>
                <w:b/>
                <w:bCs/>
                <w:i w:val="0"/>
                <w:iCs w:val="0"/>
                <w:color w:val="auto"/>
                <w:sz w:val="20"/>
                <w:szCs w:val="20"/>
                <w:highlight w:val="none"/>
                <w:u w:val="none"/>
              </w:rPr>
            </w:pPr>
          </w:p>
        </w:tc>
      </w:tr>
      <w:tr w14:paraId="032E8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D493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AEF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室内通风系统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247B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1、主风管：采用具有耐酸碱性能PVC≥200mm、支分管Ф≥160mm，Ф≥110mm；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2、管卡采用碳钢制作，表面经镀铬处理，具有耐腐蚀、防火、防潮等功能。</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932A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29F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2C3DB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7C0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5B72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室外通风系统</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3AF5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1、采用PVC风管，或PP焊接管具有耐酸碱性能；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2、规格：主风管Ф≥300mm；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3、管卡采用碳钢制作，表面经镀铬处理，具有耐腐蚀、防火、防潮等功能。</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D843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EFB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43608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5E5B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5160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离心式风机</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0916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1、离心风机；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2、材料：PP板材料；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3、电机功率：三相5.5KW；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4、技术要求：风量:12700m3/h;全压:800Pa;功率：5.5kW;转速：1440r/min。</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4661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BB8B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5851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30DB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57C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风机配件</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5DF7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A、风机减震器：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1、功能：离心风机弹簧减震器，弹簧材料为60Si2Mn弹簧钢线，耐疲劳，强度高，承载力大，使用寿命长等特点。可直接将ZD型减振器置放于设备的机座下。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2、工作环境：在-40℃-110℃环境下正常工作，上下座分别设有螺栓与地基螺栓孔，可上下固定。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B、风机消音器：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1、材料：PP材质，内置隔音棉等隔音装置。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2、技术要求：消声频率30-60（Hz），耐温特性60（℃），防腐蚀、耐酸碱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C、风机进出口软连接：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1、进风口：采用PVC柔性材料制作，规格：Ф300-400mm，因风机震动引起的消除震音传递和消除微量错位对风机的影响。出风口：材料PP，规格方转圆地方风机接口，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D、风机出风口接头：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E、风机出风口防雨帽：伞型结构。</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C6A0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9C1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A68B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D1C9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94D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风机控制线</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5EAB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1、规格：3×2.5mm² 电线 + 2×1.5mm² 电线；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2、线芯材质：高纯度铜，无氧化铜芯；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3、绝缘护套：耐磨、耐老化、耐腐蚀、柔软。橡皮绝缘；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4、电压等级：中、低压电力电缆（35千伏及以下）。</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51C7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3AC9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5A4A1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DCB1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527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风机控制变频器</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D9F1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1、重载矢量控制变频器，功率5.5KVA，额定输入电压：三相380V，±15%；额定输入频率：50/60HZ。</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DB67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8EFD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25479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6111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5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E5D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化学室安装调试</w:t>
            </w:r>
          </w:p>
        </w:tc>
        <w:tc>
          <w:tcPr>
            <w:tcW w:w="35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89E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1、实验设备安装：合理规划设备摆放位置，确保操作方便；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2、给排水调试：对给排水系统的运行状态进行调试，包括水压、流量、渗漏测试及排水测试等；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3、供电系统调试：对供电系统的运行状态进行调试，包括电压与电流测试、漏电保护测试及负载运行测试等。</w:t>
            </w:r>
          </w:p>
        </w:tc>
        <w:tc>
          <w:tcPr>
            <w:tcW w:w="35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5748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5C63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3B2D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00" w:type="pct"/>
            <w:gridSpan w:val="13"/>
            <w:tcBorders>
              <w:top w:val="nil"/>
              <w:left w:val="nil"/>
              <w:bottom w:val="nil"/>
              <w:right w:val="nil"/>
            </w:tcBorders>
            <w:shd w:val="clear" w:color="auto" w:fill="auto"/>
            <w:noWrap/>
            <w:vAlign w:val="center"/>
          </w:tcPr>
          <w:p w14:paraId="3DD47D71">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生化综合实验室2</w:t>
            </w:r>
          </w:p>
        </w:tc>
      </w:tr>
      <w:tr w14:paraId="295DF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4BEDF608">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BFBFBF"/>
            <w:vAlign w:val="center"/>
          </w:tcPr>
          <w:p w14:paraId="067FF938">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3E25EE2E">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69D9EBF8">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2521CC0B">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w:t>
            </w:r>
          </w:p>
        </w:tc>
      </w:tr>
      <w:tr w14:paraId="0E5B1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AB2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8A0AA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智能吊装管理系统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6FA49">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39872">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445EA8">
            <w:pPr>
              <w:jc w:val="center"/>
              <w:rPr>
                <w:rFonts w:hint="eastAsia" w:ascii="宋体" w:hAnsi="宋体" w:eastAsia="宋体" w:cs="宋体"/>
                <w:b/>
                <w:bCs/>
                <w:i w:val="0"/>
                <w:iCs w:val="0"/>
                <w:color w:val="auto"/>
                <w:sz w:val="20"/>
                <w:szCs w:val="20"/>
                <w:highlight w:val="none"/>
                <w:u w:val="none"/>
              </w:rPr>
            </w:pPr>
          </w:p>
        </w:tc>
      </w:tr>
      <w:tr w14:paraId="632BA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5BE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E716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智能系统控制终端</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2DD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1、整机高度集成了液晶触摸屏、触摸按钮、液晶旋钮、常用接口面板；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2、采用了ARM+MCU双架构，触摸按钮和液晶旋钮为独立的MCU单片机，互相独立运作，具有较高稳定性；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3、符合GB 4943.1-2022 标准要求，对设备进行机械强度试验，500g，直径50mm钢球，跌落高度1.3m，外壳不变形；样品外壳在外物撞击造成变形时应不影响其正常工作；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4、触摸屏部分采用国产ARM架构CPU，CPU核心数4个， CPU主频为2.0Ghz，内置NPU具有1TOPS算力，内置GPU为ARMG52(支持 OpenGL、OpenCL)，内存为2G；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5、触摸屏的液晶≥10.1"，分辨率≥1280*800，材质为IPS或更优；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6、触摸屏的触摸面板为G+G玻璃材质，采用了电容触摸屏，采用全贴合工艺；触摸面板为一体式无缝大板，触摸屏、触摸按钮、液晶旋钮三大功能模块之间没有缝隙；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7、液晶按钮部分采用智能旋钮设计，具有1组标准香蕉接口可输出稳压直流电、1组标准香蕉接口可输出稳压交流电，可根据需要切换交流或直流输出；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8、旋钮外尺寸≥49mm，旋钮中心具有2个≥3位LED数码管显示屏，可以显示实时电压和电流，可以通过旋钮调节电压输出，并实时查看电流；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9、直流输出：1组直流1.5~30V可调输出，最大电流2A；交流输出：1组交流1.5~30V可调输出，最大电流2A，输出波形为50Hz方波；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10、电压精度：输出电压精度为±0.2V；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11、具有≥6个触摸按钮，支持：同步锁定、低压电、高压电、升降、通风、通水等常用功能按钮；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12、可通过同步锁定按钮，将本机的电源状态下发到学生电源，并锁定学生电源使其不能自主调节电压；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13、可通过低压电和高压电按钮，开启学生电源的对应高压输出和低压输出；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14、可通过升降按钮，控制吊装系统的升降装置，实现系统升降控制；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16、具有≥1路HDMI直通输入，可直通教学交互平板或教学一体机的大屏，将笔记本电脑、示教终端等设备的画面进行同屏；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17、具有≥1路USB直通输入，可直通教学交互平板或教学一体机，可接入高拍仪、U盘等。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8B9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52DF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4BC2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CF6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0D50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实验室控制管理系统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75896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1、电源操作控制系统：可实现远程分组控制学生高低压电源开启与关闭；可输出直流电源：1组直流1.5~30V可调，最大电流2A；可输出交流输电源1.5~30V可调，最大电流2A，设置及实时显示，带学生电压锁定功能；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2、照明系统：可实现远程控制照明系统开启与关闭。可单个或全组进行控制；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3、给排水控制系统：可实现远程控制给排水系统的开启与关闭；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4、摇臂控制系统：可实现控制电源摇臂升起或下降；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5、通风控制系统：可实现远程控制通风系统的开启与关闭及风量调节。</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A3B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4DD7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E7DA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A76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F5A1D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智能吊装集成系统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D3411C">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5F824">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DED41F">
            <w:pPr>
              <w:jc w:val="center"/>
              <w:rPr>
                <w:rFonts w:hint="eastAsia" w:ascii="宋体" w:hAnsi="宋体" w:eastAsia="宋体" w:cs="宋体"/>
                <w:b/>
                <w:bCs/>
                <w:i w:val="0"/>
                <w:iCs w:val="0"/>
                <w:color w:val="auto"/>
                <w:sz w:val="20"/>
                <w:szCs w:val="20"/>
                <w:highlight w:val="none"/>
                <w:u w:val="none"/>
              </w:rPr>
            </w:pPr>
          </w:p>
        </w:tc>
      </w:tr>
      <w:tr w14:paraId="2E2F1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BFA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6EDB1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吊装主体框架</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56C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标准模组规格：≥1200*630*195mm，，外壳采用整体ABS工程塑料一次性注塑成型，优雅的流线型设计，侧面配备彩条，更具有科技现代感，承重骨架采用2mm厚优质钢材激光切割焊接而成强度高、结构稳定,动力轴采用优质不锈钢棒材经CNC及数控车床加工成型，承重性能强，精度高。</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3F4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E85A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88A8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1AA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AC65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智能摇臂升降系统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7943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构特点：智能摇臂装置有控制系统统一远程控制，学生不能单独操作，系统自带障碍物保护功能，具有防夹，防卡功能，当摇臂在运动的过程中遇到障碍物时会自动停止，具有过流保护功能。摇臂系统主管道采用≥42*74mm方形铝合金型材，型材内部穿行进排水管道和电源线。主功能模块采用ABS材料经模具一次注塑成型，预留高低压电源接口、急停开关、网络接口、通风接口和给排水接口等，可满足当前各科实验需求及未来功能扩展。摇臂动力系统有：直流24v推杆电机、定位轴、轴承、限位开关和曲形推杆组成，摇臂升降顺畅不卡顿。</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8FCB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5FD1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01FC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A5E3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FCE1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电源供应模块</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E7C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1、多功能电源模块外壳体采用阻燃级ABS塑料原料模具注塑一次性加工成型，表面光滑，规格为≥320*265*120mm；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操作面板控制旋钮调节，配备2个3位LED数码管显示屏，可以随意设置电压，准确、快捷、复位键、，设有四个220v新国标的3+2多功能插座、两个DC 5V/2.1A的USB接口和新国标的3+2多功能插座和两组交直流输出接线插口；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路板采用贴片元件生产技术，芯片控制，交直流输出：直流稳压输出：0-30V，额定电流2A。最小调节单元0.1V。交流电压输出：0~30V，额定电流2A。最小调节单元0.1V。交直流电源具有过载保护智能检测功能。采用复位功能免除反复过载冲击负载。学生高压电源可接收主控电源发送的锁定信号，学生接收老师输送的设定电源电压，教师锁定时，学生自己无法操作，这样可避免学生的误操作。</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1E3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8112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2C34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F83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2ED8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智能照明</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5F1A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照明模块有底座外壳、扩散板和LED灯条组成；外置隐藏安装，可从吊装外部拆卸，方便后期维修更换。固定底座采用ABS塑料一体成型，扩散板采用PC材料，扩大发光面，使光线变的柔和，达到匀光而又透光，同时满足各种雾度值和透光率的需求；</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E12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45FE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E226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F0C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CE9C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学生端给排水接口</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74EF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1、PVC材质，给排水接头采用具有耐酸碱，拔插轻松，不生锈；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2、即插即用，带自动锁紧插功能，即使在供水排水工作时，随时拔掉接口不会有任何滴漏现象。</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EB1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0CE0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C09F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1D5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BABE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可伸缩万向罩</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86D4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1、吸风外管为铝合金，摇臂面板一起升降，不用时可收入舱体内，不遮挡视线。完全展开后罩口可抵到桌面，方便学生实验操作。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2、风管分内外管：外管采用直径≥68mm铝合金圆管，第二节内管采用≥65mm的万向管圆管，表面经环氧树脂粉末静电喷涂高温固化处理，防酸防碱耐腐蚀。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3、吸风罩口和弯头部件采用ABS软塑料不易变形。</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D09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3A4F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3C5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625D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5617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盖帽</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79A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两端盖帽采用全新ABS塑料经模具一次注塑成型，带有和舱体同色彩条，美观大方; 规格为 ≥144*630*195mm.。</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29A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E528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E1DC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628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F3AE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自动给排水系统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3FBD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1、由给排水系统、污水收集排放系统构成；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2、给排水系统出（进）水口置于电源操作模块底部，由智能化控制系统集中控制；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3、接口均采用带防溢水功能快速水管接口，插拔式自动锁紧连接方式，即用插拔，插拔后自动止水；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4、与污水桶水位传感器采用8芯信号线连接，达到一定水位值时传感器感应启动自动排水，污水经过连接管排至顶部排水管总管后流出；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5、该模块支持实时手动排水和当达到一定条件时自动排水两种方式，当污水全部排净后系统自动关闭。</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6EB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854A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6584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0AD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6281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智能吊装控制线</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04DE9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采用0.5mm²电线屏蔽电线进行系统布线。</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C17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E4A4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1B69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14D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9362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吊装系统安装辅件</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2869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1、采用固定吊装方式，防止左右晃动，可进行调节；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2、主要辅件有：U型槽钢、龙骨架连接件、吊装挂件等。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E1F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3796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E815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A1A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997F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吊装设备安装调试</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ACF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1、吊装设备安装：根据设备重量和实验室天花板结构，合理规划吊装位置；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2、系统控制调试：通电测试、通风系统调试、照明系统调试、控制系统调试及安全测试。</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9DF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81D7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C01F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5A3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D0594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学生基础部分</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A91FC">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F0F86">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05F0D1">
            <w:pPr>
              <w:jc w:val="center"/>
              <w:rPr>
                <w:rFonts w:hint="eastAsia" w:ascii="宋体" w:hAnsi="宋体" w:eastAsia="宋体" w:cs="宋体"/>
                <w:b/>
                <w:bCs/>
                <w:i w:val="0"/>
                <w:iCs w:val="0"/>
                <w:color w:val="auto"/>
                <w:sz w:val="20"/>
                <w:szCs w:val="20"/>
                <w:highlight w:val="none"/>
                <w:u w:val="none"/>
              </w:rPr>
            </w:pPr>
          </w:p>
        </w:tc>
      </w:tr>
      <w:tr w14:paraId="368A2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F36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5B58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学生实验桌</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D9C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1、规格：≥1200*600*780mm；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2、整体构造：采用≥20mm厚度的一体化陶瓷板台面，侧面边缘打磨平整，线条流畅、表面平整光滑，台面转角位置做倒角处理；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★2.1台面：按照GB/T 17657-2022标准对台面板进行不少于75种化学试剂检测，其中硫酸(98%)、尿素、碘酒、孔雀绿(5%)、氢氧化钾(65%)、硝酸(65%)、硫化钠饱和液、乙醇(99%)、二恶烷、二氯甲烷、盐酸(37%)、氯化铁(10%)、煤油、凡士林、氯乙烯基镁、碳酸氢钠溶液、氯化镁(10%)、亚甲蓝指示剂、红药水、次氯酸钠(13%)、磷酸(85%)、四氯化碳、品红(1%)、蔗糖溶液(5%)、丁酮、王水、氯仿、紫药水、铬酸钾溶(1g/L）、正已烷、铬酸、芥末、苏丹红、乙酸丁酯、甲苯、甲酸(90%)、高锰酸钾(10%)、三氯乙烯、乙醇胺、二甲苯、乙酸(99%)、丙酮、四氢呋喃、石油醚、丙三醇、甲醛溶液(37%)、苯、硫酸钠饱和液、液体石蜡、双氧水(3%)、苯酚(90%)、氯甲苯、甲基橙、高氯酸、乙醚、硫酸铜(10%)、甲酚、乙二醇、乙基苯、乳酸、硝酸银(1%)、糠醛、氧化锌饱和液、冰醋酸(90%)、乙酰丙酮、氢氧化钠(40%)、二甲基甲酰胺、丁醇、柠檬酸、N,N-二甲基甲酰胺、氨水(28%)、醋酸乙酯、萘、松节油、乙腈检验结果达到5级，无明显变化。（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★2.2负离子发生量:陶瓷台面负离子发生量参考LY/T 3235-2020标准要求，24h负离子发生量≥939个/cm3。（投标时提供带有CMA或CNAS标志的检测报告复印件作为得分依据，否则不得分）；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2.3台面洛氏硬度：参照GB/T 3398.2-2008 标准进行检测，检测结果为≥127；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2.4陶瓷台面燃烧性能等级为 A1 级，炉内温升≤15℃，持续燃烧时间为0 s，质量损失率≤0.4%，总热值≤0.4MJ/kg；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2.5台面承载能力：台面承载100kg，检测结果为：陶瓷板未出现损坏；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3、桌面边缘镶嵌铝合金挡水条，配备由安全塑料注塑成型的堵头，防止液体溢出；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4、配备两个书包斗，规格≥430*290*180mm，采用PP材料，正面设有可悬挂凳子的圆形孔，周边加厚加强，镂空造型。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5、立柱剖面规格≥100*40mm，立柱壁厚≥1.2mm，下脚剖面规格≥76*36mm，下脚壁厚≥1.2mm；立柱和下脚材质采用精密挤压铝型材，表面做镁铝氧化处理，脚部两端镶嵌定制注塑堵头；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6、在两立柱之间具有一根金属加强横梁，规格≥60*30mm，壁厚≥mm；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7、桌面框架采用高品质高强度钢板，通过折弯和焊接工艺成型，规格尺寸≥1144*536mm，钢板厚度≥2mm,表面采用高压静电喷涂处理，具有耐酸碱和耐腐蚀性能；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8、各组件之间的连接采用螺丝，应便于组装和拆卸，要求使结构稳固；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9、底部配备可调节的脚垫，采用高强度ABS注塑成型，通过螺旋机制实现高度调节，要求桌面平衡及稳定，适应不同地面条件。底部配备可调节的脚垫，采用高强度 ABS 注塑成型，通过螺旋机制实现高度调节，要求桌面平衡及稳定，适应不同地面条件。</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9DA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8CE8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1846C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AC1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233A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F96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1、五脚圆形升降旋转凳，升降内螺杆与50立杆可以拆卸，五脚立地并镶胶皮且不易脱落或变形脚垫。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2、凳面为ABS工程塑料注塑压成，凳面：Φ≥300mm（±20mm）；凳面带有树皮纹路，内螺杆高度升降范围为450-500mm。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3、面包管五只凳脚采用一线厂家生产的国标优质钢管制造，立杆钢管的外径≥50mm，壁厚≥1.2mm，立管上部有方托盘≥160X160钢板≥2.0厚与凳面结合，长时间使用不会脱落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4、金属表面需经抛丸、喷涂处理，表面喷漆为白色。</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1F9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4B5F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r>
      <w:tr w14:paraId="4DB3E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2BB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32CD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548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D1F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96C0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754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FB0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6D20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ECE9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A59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CC20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2758F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17D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F40C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A2B0E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721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47AE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10E1F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A55F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165F0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教师基础部分</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46EF7">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E4800">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39F0E2">
            <w:pPr>
              <w:jc w:val="center"/>
              <w:rPr>
                <w:rFonts w:hint="eastAsia" w:ascii="宋体" w:hAnsi="宋体" w:eastAsia="宋体" w:cs="宋体"/>
                <w:b/>
                <w:bCs/>
                <w:i w:val="0"/>
                <w:iCs w:val="0"/>
                <w:color w:val="auto"/>
                <w:sz w:val="20"/>
                <w:szCs w:val="20"/>
                <w:highlight w:val="none"/>
                <w:u w:val="none"/>
              </w:rPr>
            </w:pPr>
          </w:p>
        </w:tc>
      </w:tr>
      <w:tr w14:paraId="4BEA2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D7B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359F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FC7CB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1、规格：≥2400*700*850mm；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2、结构：演示台设有储物柜，中间为演示台,设置电源主控系统、多媒体设备（主机、显示器、中控、功放交换机）的位置预留；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3、桌身：整体采用≥0.8mm厚优质冷轧钢板，全部钢制件纳米陶瓷镀膜防锈处理；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4、滑道：抽屉全部采用优质三节承重式滚珠滑道；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5、铰链：采用优质铰链；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6、脚垫：采用柜体内置可调ABS脚垫，保证桌面平整；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7、台面：采用≥12.7mm厚双面膜实芯理化板制作，边沿镶边加厚至≥25mm厚，耐强酸、强碱、耐高温；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7.1台面按国家标准GB/T 17657-2022标准及其他相关标准进行检测，要求需满足或优于以下性能：静曲强度≥140Mpa；弹性模量≥10450Mpa；抗拉强度≥69Mpa；拉伸强度≥69Mpa；表面耐龟裂性能：5级：表面无裂纹；耐高温性能：表面无裂纹；表面耐耐干热性能：5级：无明显变化；表面耐湿热性能：5级：无明显变化；耐光色牢度＞4级；洛氏硬度：126；耐臭氧（72h）：外观无明显变化；尺寸稳定性：横向和纵向均需一致≤0.03%；漆膜附着力：六级：切割边缘完全平滑，网格内无脱落；漆膜硬度＞9H；表面耐划痕性能：4.5N作用下，试件表面无大于90%的连续划痕；耐沸水性能：质量增加百分率≤0.01%、厚度增加百分率≤0.06%，表面质量等级：5级：无变化，边缘质量等级：5级：无明显变化；抗冲击性能：冲击高度≥1m，压痕直径≤5.1mm；表面耐磨性能≥1120r，未出现磨损；弯曲强度≥140Mpa；弯曲弹性模量≥8330Mpa；表面耐冷热循环：表面无裂纹及鼓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7.2台面检测依据 GB/T 39600-2021标准，甲醛释放量≤0.005mg/m³，满足技术要求E0级；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7.3台面按照GB/T 17657-2022标准对面板正反两面进行耐污染物检验，其中硫酸（98%）、77%硫酸、硝酸（65%）、乙酸(99%)、氢氟酸（48%）、3%双氧水、无水乙醇、水杨酸、碘伏、亚甲基蓝(5%)、乙腈、无水甲醇、正己烷、三氯乙酸等不少于135种溶液或试剂检验结果达到5级并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★7.4台面依据JC/T 2039-2010标准检测板材抗霉菌性能：黑曲霉、土曲霉、宛氏拟青霉、绳状青霉、出芽短梗霉、球毛壳霉、长枝木霉等7种的霉菌检测长霉等级0级；（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★7.5台面依据JC/T 2039-2010标准检测板材的抗菌性能：金黄色葡萄球菌、大肠埃希氏菌、白色念珠菌、铜绿假单胞菌、肺炎克雷伯氏菌、鼠伤寒沙门氏菌、甲型溶血性链球群、枯草芽孢杆菌、耐甲氧西林金黄色葡萄球菌、白色葡萄球菌、肠沙门氏菌肠亚种、粪肠球菌、宋氏志贺氏菌、变异库克菌、表皮葡萄球菌等不少于15种的菌种抗菌率≥99.99%；（投标时提供带有CMA或CNAS标志的检测报告复印件作为得分依据，否则不得分）。</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C1A6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0DD2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2E292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B25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73BA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教师转椅</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2A8C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1、规格：≥500*500*800mm；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2、面料材质：靠背及下座采用高密度网布格，具有高耐磨性和抗撕裂性，符合国家阻燃标准；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3、骨架材质：采用高强度钢管，表面电镀处理；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4、气动升降，支持高度调节；配备静音滑轮，材质为PU或软胶，移动时无噪音且不损伤地面。</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5D9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72E6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E49F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6CAF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576A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水槽柜</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959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1、水槽台整体规格：≥长495*宽595*高830±5mm，分柜体和水槽两部分组成，各部件采用模具一次注塑成型；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柜体部分采用全新ABS塑料原料，经注塑模一次注塑成型；柜体有上下座、侧板和柜门部件组成，各部件采用卯榫结构连接，螺丝加固确保柜体结构稳固不扭曲变形；上下座和其他部件采用不同颜色套色拼装使整个水槽台有层次感；柜体前后均留有带锁的检修门，方便日后维修；柜体四角做圆角处理，无安全隐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槽部分：水槽采用全新耐腐蚀PP材料一次注塑成型前沿有挡水并带有防溢水孔，水槽两侧预留安装洗眼器和皂液器安装孔，方便各科室不同需求。槽体内径不小于420*220*160mm，以下水口为低点四周均有坡度防止积水；下水口为大口径直排孔配有不锈钢滤网和PP材质水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4、水槽部分安置在柜体上面，需在柜体内侧使用螺丝加固连接，防止在使用过程中脱离；所有加固螺丝均处在柜体内侧暗处，安装完成后外表无可见螺丝。</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217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36B4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51ED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E31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9CE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三联水嘴</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DF3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1、主体：上排水专用，加厚铜质；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2、涂层：高亮度环氧树脂涂层；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3、陶瓷阀芯90°旋转，使用寿命开关50万次，静态最大耐压20巴；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4、鹅颈管可360°旋转；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5、可拆卸铜质水嘴。</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CC9F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57FF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66690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3E36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7A86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4617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1、台面安装方式：平时放置于台面，紧急使用时可随意抽起；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2、洗眼喷头：具有过滤泡棉及防尘功能，上面防尘盖平常可防尘，使用时可随时被水冲开，并降低突然打开时短暂的高水压，避免冲伤眼睛；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3、控水阀采用黄铜制作，经高亮度环氧树脂涂层处理，阀门可自动关闭，密封可靠；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4、供水软管：采用不锈钢软管。</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BB2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01FD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r>
      <w:tr w14:paraId="70EE2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440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AFF69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万向吸风罩</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8ED96A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【整体功能】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1、主要用于实验室教学过程中，对化学实验产生的有害气体、粉尘等进行局部排风收集，通过管道将污染物排至室外，保护实验人员呼吸系统健康，适用于理化生实验室各类挥发性实验操作；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2、采用可伸缩式活动关节设计，支持360°全方位旋转调节，便于精准定位；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3、安装方式：悬挂式安装，底座固定于天花板上；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【主体结构】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4、关节：采用高密度PP聚丙烯材质；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5、关节密封圈：采用高密度橡胶材质；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6、关节连接杆：采用304不锈钢材质；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7、关节松紧旋钮：以高密度PP制成，内部嵌有不锈钢轴承，用于与连接杆锁合，调节及固定便捷；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8、气流调节阀：方手动调节外部阀门旋钮，控制进入之气流量；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9、集气罩：材质为PP，集气罩开口直径≥335mm，提供有效集气范围；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10、固定底座：采用模具一次注塑成型，非粘接结构，整体牢固可靠，无脱底风险。</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286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1067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6F0E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8EE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69C9F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全室供排水电线路</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E81FB">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D6E99">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C18DB2">
            <w:pPr>
              <w:jc w:val="center"/>
              <w:rPr>
                <w:rFonts w:hint="eastAsia" w:ascii="宋体" w:hAnsi="宋体" w:eastAsia="宋体" w:cs="宋体"/>
                <w:b/>
                <w:bCs/>
                <w:i w:val="0"/>
                <w:iCs w:val="0"/>
                <w:color w:val="auto"/>
                <w:sz w:val="20"/>
                <w:szCs w:val="20"/>
                <w:highlight w:val="none"/>
                <w:u w:val="none"/>
              </w:rPr>
            </w:pPr>
          </w:p>
        </w:tc>
      </w:tr>
      <w:tr w14:paraId="326C4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59B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031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供电线路（吊装款）</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D57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1、电线：国标优质铜芯线4mm²电线、2.5mm²电线。</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CBC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81B0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4DF6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653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682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给排水管路</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A71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1、布管规整，方便安装、检修；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2、给水管：主管选用Ф25PPR水管，支管Ф20PPR水管；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3、排水管：UPVC材质排水管为Ф50mm，排水管接头要求螺纹口、PVC胶水等；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4、安全控制：总开关阀门、电磁阀外、丝连接件等。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D9B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16C9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738AD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7E37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8674C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通风系统部分</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B578C2">
            <w:pPr>
              <w:jc w:val="left"/>
              <w:rPr>
                <w:rFonts w:hint="eastAsia" w:ascii="宋体" w:hAnsi="宋体" w:eastAsia="宋体" w:cs="宋体"/>
                <w:b/>
                <w:bCs/>
                <w:i w:val="0"/>
                <w:iCs w:val="0"/>
                <w:color w:val="auto"/>
                <w:sz w:val="20"/>
                <w:szCs w:val="20"/>
                <w:highlight w:val="none"/>
                <w:u w:val="none"/>
              </w:rPr>
            </w:pP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81ED19">
            <w:pPr>
              <w:jc w:val="center"/>
              <w:rPr>
                <w:rFonts w:hint="eastAsia" w:ascii="宋体" w:hAnsi="宋体" w:eastAsia="宋体" w:cs="宋体"/>
                <w:b/>
                <w:bCs/>
                <w:i w:val="0"/>
                <w:iCs w:val="0"/>
                <w:color w:val="auto"/>
                <w:sz w:val="20"/>
                <w:szCs w:val="20"/>
                <w:highlight w:val="none"/>
                <w:u w:val="none"/>
              </w:rPr>
            </w:pP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E05B7F">
            <w:pPr>
              <w:jc w:val="center"/>
              <w:rPr>
                <w:rFonts w:hint="eastAsia" w:ascii="宋体" w:hAnsi="宋体" w:eastAsia="宋体" w:cs="宋体"/>
                <w:b/>
                <w:bCs/>
                <w:i w:val="0"/>
                <w:iCs w:val="0"/>
                <w:color w:val="auto"/>
                <w:sz w:val="20"/>
                <w:szCs w:val="20"/>
                <w:highlight w:val="none"/>
                <w:u w:val="none"/>
              </w:rPr>
            </w:pPr>
          </w:p>
        </w:tc>
      </w:tr>
      <w:tr w14:paraId="7418D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07B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69A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室内通风系统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A1E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1、主风管：采用具有耐酸碱性能PVC≥200mm、支分管Ф≥160mm，Ф≥110mm；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2、管卡采用碳钢制作，表面经镀铬处理，具有耐腐蚀、防火、防潮等功能。</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05B6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77D2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16F22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687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F61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室外通风系统</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C5F7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1、采用PVC风管，或PP焊接管具有耐酸碱性能；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2、规格：主风管Ф≥300mm；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3、管卡采用碳钢制作，表面经镀铬处理，具有耐腐蚀、防火、防潮等功能。</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783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B25F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085E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F9B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B83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离心式风机</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402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1、离心风机；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2、材料：PP板材料；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3、电机功率：三相5.5KW；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4、技术要求：风量:12700m3/h;全压:800Pa;功率：5.5kW;转速：1440r/min。</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9A7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5920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3308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58A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8F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风机配件</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57C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A、风机减震器：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1、功能：离心风机弹簧减震器，弹簧材料为60Si2Mn弹簧钢线，耐疲劳，强度高，承载力大，使用寿命长等特点。可直接将ZD型减振器置放于设备的机座下。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2、工作环境：在-40℃-110℃环境下正常工作，上下座分别设有螺栓与地基螺栓孔，可上下固定。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B、风机消音器：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1、材料：PP材质，内置隔音棉等隔音装置。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2、技术要求：消声频率30-60（Hz），耐温特性60（℃），防腐蚀、耐酸碱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C、风机进出口软连接：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1、进风口：采用PVC柔性材料制作，规格：Ф300-400mm，因风机震动引起的消除震音传递和消除微量错位对风机的影响。出风口：材料PP，规格方转圆地方风机接口，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D、风机出风口接头：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1、出风口：材料PP，规格方转圆地方风机接口。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E、风机出风口防雨帽：伞型结构。</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8C7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DD31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285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DDC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05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风机控制线</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1FF1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1、规格：3×2.5mm² 电线 + 2×1.5mm² 电线；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2、线芯材质：高纯度铜，无氧化铜芯；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3、绝缘护套：耐磨、耐老化、耐腐蚀、柔软。橡皮绝缘；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4、电压等级：中、低压电力电缆（35千伏及以下）。</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458A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BC0F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42ABD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E9E6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49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风机控制变频器</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9390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1、重载矢量控制变频器，功率5.5KVA，额定输入电压：三相380V，±15%；额定输入频率：50/60HZ。</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8E6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6A1B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33FED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897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50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B9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化学室安装调试</w:t>
            </w:r>
          </w:p>
        </w:tc>
        <w:tc>
          <w:tcPr>
            <w:tcW w:w="3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C3E2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1、实验设备安装：合理规划设备摆放位置，确保操作方便；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2、给排水调试：对给排水系统的运行状态进行调试，包括水压、流量、渗漏测试及排水测试等；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3、供电系统调试：对供电系统的运行状态进行调试，包括电压与电流测试、漏电保护测试及负载运行测试等。</w:t>
            </w:r>
          </w:p>
        </w:tc>
        <w:tc>
          <w:tcPr>
            <w:tcW w:w="3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A2C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9405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008D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000" w:type="pct"/>
            <w:gridSpan w:val="13"/>
            <w:tcBorders>
              <w:top w:val="nil"/>
              <w:left w:val="nil"/>
              <w:bottom w:val="nil"/>
              <w:right w:val="nil"/>
            </w:tcBorders>
            <w:shd w:val="clear" w:color="auto" w:fill="auto"/>
            <w:noWrap/>
            <w:vAlign w:val="center"/>
          </w:tcPr>
          <w:p w14:paraId="10FDCDA5">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物理实验室（2间）</w:t>
            </w:r>
          </w:p>
        </w:tc>
      </w:tr>
      <w:tr w14:paraId="5E3E6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75281FEC">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61599687">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BFBFBF"/>
            <w:vAlign w:val="center"/>
          </w:tcPr>
          <w:p w14:paraId="49169BB8">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477FD9B3">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c>
          <w:tcPr>
            <w:tcW w:w="370"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75A0ED08">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w:t>
            </w:r>
          </w:p>
        </w:tc>
      </w:tr>
      <w:tr w14:paraId="5DD52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7AC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32879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（一）、学生基础部分</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40D307">
            <w:pPr>
              <w:rPr>
                <w:rFonts w:hint="eastAsia" w:ascii="宋体" w:hAnsi="宋体" w:eastAsia="宋体" w:cs="宋体"/>
                <w:b/>
                <w:bCs/>
                <w:i w:val="0"/>
                <w:iCs w:val="0"/>
                <w:color w:val="auto"/>
                <w:sz w:val="20"/>
                <w:szCs w:val="20"/>
                <w:highlight w:val="none"/>
                <w:u w:val="none"/>
              </w:rPr>
            </w:pP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378435">
            <w:pPr>
              <w:rPr>
                <w:rFonts w:hint="eastAsia" w:ascii="宋体" w:hAnsi="宋体" w:eastAsia="宋体" w:cs="宋体"/>
                <w:b/>
                <w:bCs/>
                <w:i w:val="0"/>
                <w:iCs w:val="0"/>
                <w:color w:val="auto"/>
                <w:sz w:val="20"/>
                <w:szCs w:val="20"/>
                <w:highlight w:val="none"/>
                <w:u w:val="none"/>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6433B">
            <w:pPr>
              <w:rPr>
                <w:rFonts w:hint="eastAsia" w:ascii="宋体" w:hAnsi="宋体" w:eastAsia="宋体" w:cs="宋体"/>
                <w:b/>
                <w:bCs/>
                <w:i w:val="0"/>
                <w:iCs w:val="0"/>
                <w:color w:val="auto"/>
                <w:sz w:val="20"/>
                <w:szCs w:val="20"/>
                <w:highlight w:val="none"/>
                <w:u w:val="none"/>
              </w:rPr>
            </w:pPr>
          </w:p>
        </w:tc>
      </w:tr>
      <w:tr w14:paraId="2FE22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588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84F4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学生实验桌</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CB63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1、规格：≥1200*600*780mm；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2、整体构造：采用≥20mm厚度的一体化陶瓷板台面，侧面边缘打磨平整，线条流畅、表面平整光滑，台面转角位置做倒角处理；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2.1台面：按照GB/T 17657-2022标准对台面板进行不少于75种化学试剂检测，其中硫酸(98%)、尿素、碘酒、孔雀绿(5%)、氢氧化钾(65%)、硝酸(65%)、硫化钠饱和液、乙醇(99%)、二恶烷、二氯甲烷、盐酸(37%)、氯化铁(10%)、煤油、凡士林、氯乙烯基镁、碳酸氢钠溶液、氯化镁(10%)、亚甲蓝指示剂、红药水、次氯酸钠(13%)、磷酸(85%)、四氯化碳、品红(1%)、蔗糖溶液(5%)、丁酮、王水、氯仿、紫药水、铬酸钾溶(1g/L）、正已烷、铬酸、芥末、苏丹红、乙酸丁酯、甲苯、甲酸(90%)、高锰酸钾(10%)、三氯乙烯、乙醇胺、二甲苯、乙酸(99%)、丙酮、四氢呋喃、石油醚、丙三醇、甲醛溶液(37%)、苯、硫酸钠饱和液、液体石蜡、双氧水(3%)、苯酚(90%)、氯甲苯、甲基橙、高氯酸、乙醚、硫酸铜(10%)、甲酚、乙二醇、乙基苯、乳酸、硝酸银(1%)、糠醛、氧化锌饱和液、冰醋酸(90%)、乙酰丙酮、氢氧化钠(40%)、二甲基甲酰胺、丁醇、柠檬酸、N,N-二甲基甲酰胺、氨水(28%)、醋酸乙酯、萘、松节油、乙腈检验结果达到5级，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2.2负离子发生量:陶瓷台面负离子发生量参考LY/T 3235-2020标准要求，24h负离子发生量≥939个/cm3；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2.3台面洛氏硬度：参照GB/T 3398.2-2008 标准进行检测，检测结果为≥127；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2.4陶瓷台面燃烧性能等级为 A1 级，炉内温升≤15℃，持续燃烧时间为0 s，质量损失率≤0.4%，总热值≤0.4MJ/kg；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2.5台面承载能力：台面承载100kg，检测结果为：陶瓷板未出现损坏；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3、桌面边缘镶嵌铝合金挡水条，配备由安全塑料注塑成型的堵头，防止液体溢出；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4、配备两个书包斗，规格≥430*290*180mm，采用PP材料，正面设有可悬挂凳子的圆形孔，周边加厚加强，镂空造型。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5、立柱剖面规格≥100*40mm，立柱壁厚≥1.2mm，下脚剖面规格≥76*36mm，下脚壁厚≥1.2mm；立柱和下脚材质采用精密挤压铝型材，表面做镁铝氧化处理，脚部两端镶嵌定制注塑堵头；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6、在两立柱之间具有一根金属加强横梁，规格≥60*30mm，壁厚≥mm；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7、桌面框架采用高品质高强度钢板，通过折弯和焊接工艺成型，规格尺寸≥1144*536mm，钢板厚度≥2mm,表面采用高压静电喷涂处理，具有耐酸碱和耐腐蚀性能；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8、各组件之间的连接采用螺丝，应便于组装和拆卸，要求使结构稳固；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9、底部配备可调节的脚垫，采用高强度ABS注塑成型，通过螺旋机制实现高度调节，要求桌面平衡及稳定，适应不同地面条件。底部配备可调节的脚垫，采用高强度 ABS 注塑成型，通过螺旋机制实现高度调节，要求桌面平衡及稳定，适应不同地面条件。</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26E9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ECA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9B71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BBB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2E6F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B2572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1、五脚圆形升降旋转凳，升降内螺杆与50立杆可以拆卸，五脚立地并镶胶皮且不易脱落或变形脚垫。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2、凳面为ABS工程塑料注塑压成，凳面：Φ≥300mm（±20mm）；凳面带有树皮纹路，内螺杆高度升降范围为450-500mm。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3、面包管五只凳脚采用一线厂家生产的国标优质钢管制造，立杆钢管的外径≥50mm，壁厚≥1.2mm，立管上部有方托盘≥160X160钢板≥2.0厚与凳面结合，长时间使用不会脱落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4、金属表面需经抛丸、喷涂处理，表面喷漆为白色。</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AA35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F3E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r>
      <w:tr w14:paraId="619A2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CFE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B653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学生高低压电源</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5885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【整体规格】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1、主要功能：用于在实验室教学过程中提供稳定的电源供应，支持教师远程控制、交直流输出调节等功能；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2、整体构成：包含电源盒、电源调节面板等部件；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3、整体规格：外尺寸≥290mm×180mm×160mm（长×宽×高）（±5mm）；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4、安装方式：通过螺丝固定在学生实验桌的桌面下方；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★5、产品在1～3频率（MHz）内，辐射连续骚扰的测量值均低于准峰值（dB≤70μV/m）和平均值（dB≤50μV/m）限值要求，产品判定为满足标准要求；温度（20.0 ～25.0 ）℃之间，相对湿度（40.0～50.0）%RH之间，大气压强（100.0～102.0）kPa之间，贴近实际使用场景，数据更具应用价值。（投标时需提供加盖制造商公章的由国家认可的第三方检测机构出具的带CMA及CNAS标识的近一年内的报告复印件，报告须包含该检测项完整测试数据和实验室原始测试场景照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★6、产品符合GB/T 18268.1相关要求，辐射骚扰、静电放电、浪涌、电压暂降，短时中断、工频磁场 5 项检测项目为合格（结论均为 "P"）；（投标时需提供加盖制造商公章的由国家认可的第三方检测机构出具的带CMA及CNAS标识的近一年内的报告复印件，报告须包含该检测项完整测试数据和实验室原始测试场景照片。）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【电源盒】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7、电源盒主体选用丙烯腈-丁二烯-苯乙烯塑料（ABS）材质，采用高精度模具注塑成型；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8、翻盖式设计：面向使用者方向设有翻盖舱门，翻盖舱门内装有电源调节面板，不使用时可将舱门合上保护电源，防止落尘；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【电源调节面板】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9、电源变压板和电源控制板采用分体式设计，分别为独立的PCB电路板，防止电器干扰；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10、电源调节面板材质采用亚克力贴片饰面，防止PCB电路板落尘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11、电源调节面板集成了低压交直流输出、高压交流220V输出功能；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12、调节面板具有≥1个数字电压显示器，尺寸≥20mm×10mm（长×宽）（±3mm），支持显示当前输出电压，支持显示小数点前≥2位数、小数点后≥1位数，电压分度值≤0.1V，直流电压输出误差≤0.2V；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11、调节面板具有≥1个数字调压旋钮，旋钮支持顺/逆时针旋转和按压操作方式，通过顺/逆时针旋转可调节电压，通过按压旋钮可切换交流（AC）和直流（DC）输出；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13、具有≥1组红（+）、黑（-）接线柱或香蕉座，具有交流（AC）和直流（DC）输出状态指示灯，能够实时指示当前交直流输出工作状态；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14、输出电压范围：可调电压范围≥0V-30V，满足不同实验对电压的需求；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15、限流保护：交直流调压输出均支持1.0A（±0.2A）限流电流保护功能；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16、额定功率：额定功率≥30W，可稳定驱动功率范围内的用电设备；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17、纹波与噪声：最大纹波峰峰值≤400mV（±5%），能保障输出电源的稳定性与纯净度，降低电源波动对精密设备的影响；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18、输入电压范围：AC 175-260V，能适应不同地区电网电压波动，保障设备在复杂电网环境下稳定运行，在输入电压范围内线路调整率≤±3%；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19、额定输入电流≥0.5A（AC 230V时）；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20、输入交流电压频率范围45-60Hz；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21、具有≥1个标准五孔插座，可输出AC 220V电压，用于连接需要AC 220V 电源的实验仪器；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支持RS485串口远程控制，支持Modbus协议，可通过教师电源等设备进行RS485远程控制，支持远程锁定、远程同步电压、远程开关220V输出等操作；支持单控和组控模式，可实现对单台或多台学生电源的集中管理；可使用电脑或支持单控功能的教师电源对教室内任意一台设备进行远程单独开关、单独调压、单独开关AC 220V输出等操作，便于精细化管控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★23、投标时提供学生电源嵌入式软件相关计算机软件著作权登记证书扫描件，中国版权保护中心（https://register.ccopyright.com.cn/query.html）计算机软件著作权登记公告检索截图；</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FC4B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21F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353BE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D59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3E88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EA721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1、规格：≥2400*700*850mm；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2、结构：演示台设有储物柜，中间为演示台,设置电源主控系统、多媒体设备（主机、显示器、中控、功放交换机）的位置预留；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3、桌身：整体采用≥0.8mm厚优质冷轧钢板，全部钢制件纳米陶瓷镀膜防锈处理；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4、滑道：抽屉全部采用优质三节承重式滚珠滑道；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5、铰链：采用优质铰链；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6、脚垫：采用柜体内置可调ABS脚垫，保证桌面平整；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7、台面：采用≥12.7mm厚双面膜实芯理化板制作，边沿镶边加厚至≥25mm厚，耐强酸、强碱、耐高温；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★7.1台面按国家标准GB/T 17657-2022标准及其他相关标准进行检测，要求需满足或优于以下性能：静曲强度≥140Mpa；弹性模量≥10450Mpa；抗拉强度≥69Mpa；拉伸强度≥69Mpa；表面耐龟裂性能：5级：表面无裂纹；耐高温性能：表面无裂纹；表面耐耐干热性能：5级：无明显变化；表面耐湿热性能：5级：无明显变化；耐光色牢度＞4级；洛氏硬度：126；耐臭氧（72h）：外观无明显变化；尺寸稳定性：横向和纵向均需一致≤0.03%；漆膜附着力：六级：切割边缘完全平滑，网格内无脱落；漆膜硬度＞9H；表面耐划痕性能：4.5N作用下，试件表面无大于90%的连续划痕；耐沸水性能：质量增加百分率≤0.01%、厚度增加百分率≤0.06%，表面质量等级：5级：无变化，边缘质量等级：5级：无明显变化；抗冲击性能：冲击高度≥1m，压痕直径≤5.1mm；表面耐磨性能≥1120r，未出现磨损；弯曲强度≥140Mpa；弯曲弹性模量≥8330Mpa；表面耐冷热循环：表面无裂纹及鼓泡；（投标时提供带有CMA或CNAS标志的检测报告复印件作为得分依据，否则不得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7.2台面检测依据 GB/T 39600-2021标准，甲醛释放量≤0.005mg/m³，满足技术要求E0级；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7.3台面按照GB/T 17657-2022标准对面板正反两面进行耐污染物检验，其中硫酸（98%）、77%硫酸、硝酸（65%）、乙酸(99%)、氢氟酸（48%）、3%双氧水、无水乙醇、水杨酸、碘伏、亚甲基蓝(5%)、乙腈、无水甲醇、正己烷、三氯乙酸等不少于135种溶液或试剂检验结果达到5级并无明显变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7.4台面依据JC/T 2039-2010标准检测板材抗霉菌性能：黑曲霉、土曲霉、宛氏拟青霉、绳状青霉、出芽短梗霉、球毛壳霉、长枝木霉等7种的霉菌检测长霉等级0级；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7.5台面依据JC/T 2039-2010标准检测板材的抗菌性能：金黄色葡萄球菌、大肠埃希氏菌、白色念珠菌、铜绿假单胞菌、肺炎克雷伯氏菌、鼠伤寒沙门氏菌、甲型溶血性链球群、枯草芽孢杆菌、耐甲氧西林金黄色葡萄球菌、白色葡萄球菌、肠沙门氏菌肠亚种、粪肠球菌、宋氏志贺氏菌、变异库克菌、表皮葡萄球菌等不少于15种的菌种抗菌率≥99.99%。</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030F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327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74C1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17C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66A9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教师转椅</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EDF18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1、规格：≥500*500*800mm；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2、面料材质：靠背及下座采用高密度网布格，具有高耐磨性和抗撕裂性，符合国家阻燃标准；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3、骨架材质：采用高强度钢管，表面电镀处理；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4、气动升降，支持高度调节；配备静音滑轮，材质为PU或软胶，移动时无噪音且不损伤地面。</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4E84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B16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1204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4F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9449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教师主控台总电源（带低压）</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99863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1、操作面板：采用钢化玻璃材质，规格：≥长 418±3mm× 宽 218±3mm× 高≥3mm，搭配抽屉式设计，兼具美观与实用特性，既保证面板的耐用性和视觉效果，又便于日常操作；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2、机身结构：运用钣金加强工艺打造，有效增强机身强度，确保在按压操作过程中稳固可靠，彻底消除塌陷风险，保障设备长期稳定使用；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3、电路保护与控制：配备电气保护器，可对整个教室的学生电源和老师电源进行统一管控；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4、学生端控制功能：支持学生端批量操作控制，配备≥3 个触摸式按钮，分别为 “锁定同步”、“高压电”、“低压电”，方便教师快速对学生端电源进行多种模式的操作与管理；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5、直流稳压输出：具备≥2 组独立的 9V40A 直流稳压输出，与教师电源输出相互独立，互不干扰，满足不同实验设备的用电需求，确保供电稳定；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6、教师电源输出控制：采用液晶智能旋钮控制教师电源输出，设有≥1 组标准香蕉接口用于输出稳压直流电，≥1组标准香蕉接口用于输出稳压交流电，可按需灵活切换交直流输出模式，满足多样化实验教学需求；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7、液晶智能旋钮参数：液晶智能旋钮外尺寸≥49mm，旋钮中心配置 2 个≥3 位 LED 数码管显示屏，可实时显示电压和电流数值；通过旋钮可调节电压输出，并同步查看电流情况，方便教师精准控制电源输出参数；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8、调压电源功率与电流：调压电源总功率≥90W，直流和交流输出在 0 至 18V 区间时，最大电流可达 6A；在 18V 至 30V 区间时，最大电流为 3A，适应不同电压和电流需求的实验设备运行；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9、直流输出：具备≥1 组直流 0~30V 可调输出，可根据实际需求灵活调节输出电压，满足多样化的实验供电要求；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10、交流输出：配置≥1 组交流 0~30V 可调输出，输出波形为 50Hz 方波，为特定实验场景提供标准的方波交流电，确保实验数据的准确性与稳定性；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11、电压精度：在无负载状态下，输出电压误差≤0.2V，确保电源输出电压的精准度。</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2E4F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DAF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26B8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3B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E6AA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电源材料（地面以上）</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D5E76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1、电线：国标优质铜芯线2.5mm²电线、波纹管、电工胶布等。</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464D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DC1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D34F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BEC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770A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物理室安装调试</w:t>
            </w:r>
          </w:p>
        </w:tc>
        <w:tc>
          <w:tcPr>
            <w:tcW w:w="35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3FB3A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1、实验设备安装：合理规划设备摆放位置，确保操作方便；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2、供电系统调试：对供电系统的运行状态进行调试，包括电压与电流测试、漏电保护测试及负载运行测试等。</w:t>
            </w:r>
          </w:p>
        </w:tc>
        <w:tc>
          <w:tcPr>
            <w:tcW w:w="3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F0A9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D8C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bl>
    <w:p w14:paraId="552D4ACA">
      <w:pPr>
        <w:spacing w:before="0" w:after="0" w:line="240" w:lineRule="auto"/>
        <w:ind w:right="0"/>
        <w:jc w:val="left"/>
        <w:rPr>
          <w:rFonts w:ascii="宋体" w:hAnsi="宋体" w:eastAsia="宋体" w:cs="宋体"/>
          <w:color w:val="auto"/>
          <w:spacing w:val="0"/>
          <w:position w:val="0"/>
          <w:sz w:val="24"/>
          <w:highlight w:val="none"/>
          <w:shd w:val="clear" w:fill="auto"/>
        </w:rPr>
      </w:pPr>
    </w:p>
    <w:p w14:paraId="1CE13DFA">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其他</w:t>
      </w:r>
      <w:r>
        <w:rPr>
          <w:rFonts w:ascii="宋体" w:hAnsi="宋体" w:eastAsia="宋体" w:cs="宋体"/>
          <w:color w:val="auto"/>
          <w:spacing w:val="0"/>
          <w:position w:val="0"/>
          <w:sz w:val="24"/>
          <w:highlight w:val="none"/>
          <w:shd w:val="clear" w:fill="auto"/>
        </w:rPr>
        <w:t>要求：</w:t>
      </w:r>
    </w:p>
    <w:p w14:paraId="77C4DD1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02E59CB5">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632EAB25">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301FFE41">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合同签订后30日历天内</w:t>
      </w:r>
      <w:r>
        <w:rPr>
          <w:rFonts w:ascii="宋体" w:hAnsi="宋体" w:eastAsia="宋体" w:cs="宋体"/>
          <w:color w:val="auto"/>
          <w:spacing w:val="0"/>
          <w:position w:val="0"/>
          <w:sz w:val="24"/>
          <w:highlight w:val="none"/>
          <w:shd w:val="clear" w:fill="auto"/>
        </w:rPr>
        <w:t>。</w:t>
      </w:r>
    </w:p>
    <w:p w14:paraId="1069D9E1">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782271E7">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2.6供应商对其提供的产品请出具《关于符合本国产品标准的声明函》或财政部会同有关部门规定的有关证明文件。</w:t>
      </w:r>
    </w:p>
    <w:p w14:paraId="0A4DC0E4">
      <w:pPr>
        <w:pStyle w:val="2"/>
        <w:ind w:left="0" w:leftChars="0" w:firstLine="0" w:firstLineChars="0"/>
        <w:rPr>
          <w:rFonts w:hint="eastAsia"/>
          <w:highlight w:val="none"/>
          <w:lang w:val="en-US" w:eastAsia="zh-CN"/>
        </w:rPr>
      </w:pPr>
    </w:p>
    <w:p w14:paraId="1EFE272F">
      <w:pPr>
        <w:pStyle w:val="2"/>
        <w:ind w:left="0" w:leftChars="0" w:firstLine="0" w:firstLineChars="0"/>
        <w:rPr>
          <w:rFonts w:hint="eastAsia" w:eastAsia="楷体"/>
          <w:highlight w:val="none"/>
          <w:lang w:val="en-US" w:eastAsia="zh-CN"/>
        </w:rPr>
      </w:pPr>
      <w:r>
        <w:rPr>
          <w:rFonts w:hint="eastAsia"/>
          <w:highlight w:val="none"/>
          <w:lang w:val="en-US" w:eastAsia="zh-CN"/>
        </w:rPr>
        <w:t xml:space="preserve"> </w:t>
      </w:r>
    </w:p>
    <w:p w14:paraId="675D5AEE">
      <w:pPr>
        <w:pStyle w:val="7"/>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26818F20">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51E11F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6ECF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5B468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1A0C18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F8F9D0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35F2A6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547BE5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274AB9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F7EF9F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C4DB09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AA9E8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B1D56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6AEED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D81D66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AF687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115FF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67AC1C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FF9EAF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9948A7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FDF39B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A52D29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78861A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2CBD91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BAC7C0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3E11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C8D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w:t>
      </w:r>
    </w:p>
    <w:p w14:paraId="34B2CE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6726010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36736D4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81B9EC5">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56FB438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6991E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40933736">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7F03EDA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38CA34">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6AC2BC2">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BFC7480">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6941FEE4">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E08799E">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3D9C95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2F849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BEDB05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4CD23A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84296D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204103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F0ED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A9A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18517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73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F8AC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637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2C2C7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DA64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0B81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36608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61EE0874">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6097DC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B4D4F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75DB18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319D4A2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99D25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E766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0005184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B853AF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3BC409D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3EFAE78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1F2E03">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D9B01B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430DD2C">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3FA959A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768F99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492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A2905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7D95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70D36F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2E0583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8CF632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813CB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12FC13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833806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611A8A6">
      <w:pPr>
        <w:pStyle w:val="13"/>
        <w:rPr>
          <w:highlight w:val="none"/>
        </w:rPr>
      </w:pPr>
    </w:p>
    <w:p w14:paraId="692B99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7C8399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37BF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2259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630215D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2863B23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9A14CA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A3E25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82EB2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68FF4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98C61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460BD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CC82B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18AB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DE75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992B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F5B6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F696B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F5BD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F8E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2561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88370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AA23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553165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1FEA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5E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2EB4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022E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2E13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9E73E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DD9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05C3F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6D0C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B5D0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13F1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10C841F2">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511F299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396F427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17E431B">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hint="eastAsia" w:ascii="宋体" w:hAnsi="宋体" w:eastAsia="宋体" w:cs="宋体"/>
          <w:color w:val="auto"/>
          <w:spacing w:val="0"/>
          <w:position w:val="0"/>
          <w:sz w:val="24"/>
          <w:highlight w:val="none"/>
          <w:u w:val="single"/>
          <w:shd w:val="clear" w:fill="auto"/>
          <w:lang w:val="en-US" w:eastAsia="zh-CN"/>
        </w:rPr>
        <w:t>项目名称</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的竞争性磋商邀请</w:t>
      </w:r>
      <w:r>
        <w:rPr>
          <w:rFonts w:ascii="宋体" w:hAnsi="宋体" w:eastAsia="宋体" w:cs="宋体"/>
          <w:color w:val="auto"/>
          <w:spacing w:val="0"/>
          <w:position w:val="0"/>
          <w:sz w:val="24"/>
          <w:highlight w:val="none"/>
          <w:u w:val="single"/>
          <w:shd w:val="clear" w:fill="auto"/>
        </w:rPr>
        <w:t>（项目编号：          ）</w:t>
      </w:r>
      <w:r>
        <w:rPr>
          <w:rFonts w:ascii="宋体" w:hAnsi="宋体" w:eastAsia="宋体" w:cs="宋体"/>
          <w:color w:val="auto"/>
          <w:spacing w:val="0"/>
          <w:position w:val="0"/>
          <w:sz w:val="24"/>
          <w:highlight w:val="none"/>
          <w:shd w:val="clear" w:fill="auto"/>
        </w:rPr>
        <w:t>，委托代理人</w:t>
      </w:r>
      <w:r>
        <w:rPr>
          <w:rFonts w:ascii="宋体" w:hAnsi="宋体" w:eastAsia="宋体" w:cs="宋体"/>
          <w:color w:val="auto"/>
          <w:spacing w:val="0"/>
          <w:position w:val="0"/>
          <w:sz w:val="24"/>
          <w:highlight w:val="none"/>
          <w:u w:val="single"/>
          <w:shd w:val="clear" w:fill="auto"/>
        </w:rPr>
        <w:t xml:space="preserve">      (全名、职务)</w:t>
      </w:r>
      <w:r>
        <w:rPr>
          <w:rFonts w:ascii="宋体" w:hAnsi="宋体" w:eastAsia="宋体" w:cs="宋体"/>
          <w:color w:val="auto"/>
          <w:spacing w:val="0"/>
          <w:position w:val="0"/>
          <w:sz w:val="24"/>
          <w:highlight w:val="none"/>
          <w:shd w:val="clear" w:fill="auto"/>
        </w:rPr>
        <w:t>代表</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供应商名称、地址)</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04CE28E">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B454A9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为天内</w:t>
      </w:r>
      <w:r>
        <w:rPr>
          <w:rFonts w:ascii="宋体" w:hAnsi="宋体" w:eastAsia="宋体" w:cs="宋体"/>
          <w:color w:val="auto"/>
          <w:spacing w:val="0"/>
          <w:position w:val="0"/>
          <w:sz w:val="24"/>
          <w:highlight w:val="none"/>
          <w:shd w:val="clear" w:fill="auto"/>
        </w:rPr>
        <w:t>。</w:t>
      </w:r>
    </w:p>
    <w:p w14:paraId="5B0F4FB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614E674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4F3AFA4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126856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0567D8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4603809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54BD79E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24DFCBC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554A80A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27906ED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6B60FEF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98D4E0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6CF87B9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1B43A4B6">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198A62B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15B3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00F1A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7DEFB2">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A8F6D2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EF2501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84EE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A005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E98F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96D6C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06364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08DE2270">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38"/>
        <w:gridCol w:w="6184"/>
      </w:tblGrid>
      <w:tr w14:paraId="49ADAF4F">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033A">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C3D84">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66F63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C7434">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3254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6FB7964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9872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w:t>
            </w:r>
          </w:p>
          <w:p w14:paraId="715280ED">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FDC89">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465B45F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76A1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7CCB1">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689A384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FE9424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671F183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78004CD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1704D4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1E8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A75F4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E9802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E6D4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771EA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D020F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E1E7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13AAC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149AA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E6A60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C802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5C6B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F5D69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75F0F1">
      <w:pPr>
        <w:pStyle w:val="13"/>
        <w:rPr>
          <w:highlight w:val="none"/>
        </w:rPr>
      </w:pPr>
    </w:p>
    <w:p w14:paraId="4D4944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ADDC7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5FCA9271">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7430431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59367FC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37706043">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BD58EDB">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EDB4E6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8BC22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41282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2B6A2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370A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22FBE56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2A5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AC432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CB080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15035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1842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E1843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C53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FF4E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38C5C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49B50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06C3FF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76468D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1210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CA61F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B739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749B1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8D8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586A71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49D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A47D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E65B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382A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FA9B8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DB2E33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A5BF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87F40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444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D4932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26FFE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FA2A09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46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8105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17F7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8A3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482F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BA8807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E23D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88BD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91A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B7F2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CFE5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899756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09F2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F25F5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62D87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FE43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9E73D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37568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E505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3F8C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3590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FAE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2F3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7C1A7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5AC745">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93C542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90D39D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021CD22">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3415C4DB">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6283F99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23ED4F3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883576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FE482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58F4C9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18485D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F9BCA0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1569B9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89BEE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6D5D6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38DB02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A35717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7519DF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4A1E3B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3422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BDE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07AD6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BEFF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12E55AF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8367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8B48A1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2C3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D596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444A9F4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F42F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AEE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2BA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FBD2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70A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68012C1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6D5B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FB69D">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65F2">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3D364C">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3A2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8067C0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8F4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9B31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F3E5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12EE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B22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628530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CDE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02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6D55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5A3D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F2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77E0B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2CA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ADA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45D8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FFBF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13B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B1A9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3CF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9D92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1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28C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4BC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DD4230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20B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29D2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B59C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689A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64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436A15C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CE1109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052CE92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63E402B">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7EBE0C3">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9486898">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371F93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383190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495EDD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319D7C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570717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CF17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A0D8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A369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3D081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6B48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918BB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D71C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17150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44B5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1540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86CB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10EE6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4DBDE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4999051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1142002">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620F4C1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82CAFBD">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26C7E8C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623BCE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336B3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460B9A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EEE5A5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DC3D8F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B7EECF">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1AC49155">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59EBB2">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2C97252">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296D7F9D">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E6E5E5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F3F004C">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2E0A2A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69F6EA0">
      <w:pPr>
        <w:pStyle w:val="17"/>
        <w:rPr>
          <w:rFonts w:ascii="宋体" w:hAnsi="宋体" w:eastAsia="宋体" w:cs="宋体"/>
          <w:b/>
          <w:color w:val="auto"/>
          <w:spacing w:val="0"/>
          <w:position w:val="0"/>
          <w:sz w:val="24"/>
          <w:highlight w:val="none"/>
          <w:shd w:val="clear" w:fill="auto"/>
        </w:rPr>
      </w:pPr>
    </w:p>
    <w:p w14:paraId="2E620538">
      <w:pPr>
        <w:pStyle w:val="8"/>
        <w:rPr>
          <w:rFonts w:ascii="宋体" w:hAnsi="宋体" w:eastAsia="宋体" w:cs="宋体"/>
          <w:b/>
          <w:color w:val="auto"/>
          <w:spacing w:val="0"/>
          <w:position w:val="0"/>
          <w:sz w:val="24"/>
          <w:highlight w:val="none"/>
          <w:shd w:val="clear" w:fill="auto"/>
        </w:rPr>
      </w:pPr>
    </w:p>
    <w:p w14:paraId="7E3455CE">
      <w:pPr>
        <w:rPr>
          <w:rFonts w:ascii="宋体" w:hAnsi="宋体" w:eastAsia="宋体" w:cs="宋体"/>
          <w:b/>
          <w:color w:val="auto"/>
          <w:spacing w:val="0"/>
          <w:position w:val="0"/>
          <w:sz w:val="24"/>
          <w:highlight w:val="none"/>
          <w:shd w:val="clear" w:fill="auto"/>
        </w:rPr>
      </w:pPr>
    </w:p>
    <w:p w14:paraId="5BEA64B2">
      <w:pPr>
        <w:pStyle w:val="17"/>
        <w:rPr>
          <w:rFonts w:ascii="宋体" w:hAnsi="宋体" w:eastAsia="宋体" w:cs="宋体"/>
          <w:b/>
          <w:color w:val="auto"/>
          <w:spacing w:val="0"/>
          <w:position w:val="0"/>
          <w:sz w:val="24"/>
          <w:highlight w:val="none"/>
          <w:shd w:val="clear" w:fill="auto"/>
        </w:rPr>
      </w:pPr>
    </w:p>
    <w:p w14:paraId="118EA706">
      <w:pPr>
        <w:pStyle w:val="8"/>
        <w:rPr>
          <w:rFonts w:ascii="宋体" w:hAnsi="宋体" w:eastAsia="宋体" w:cs="宋体"/>
          <w:b/>
          <w:color w:val="auto"/>
          <w:spacing w:val="0"/>
          <w:position w:val="0"/>
          <w:sz w:val="24"/>
          <w:highlight w:val="none"/>
          <w:shd w:val="clear" w:fill="auto"/>
        </w:rPr>
      </w:pPr>
    </w:p>
    <w:p w14:paraId="7F88558F">
      <w:pPr>
        <w:rPr>
          <w:rFonts w:ascii="宋体" w:hAnsi="宋体" w:eastAsia="宋体" w:cs="宋体"/>
          <w:b/>
          <w:color w:val="auto"/>
          <w:spacing w:val="0"/>
          <w:position w:val="0"/>
          <w:sz w:val="24"/>
          <w:highlight w:val="none"/>
          <w:shd w:val="clear" w:fill="auto"/>
        </w:rPr>
      </w:pPr>
    </w:p>
    <w:p w14:paraId="26DAAF15">
      <w:pPr>
        <w:pStyle w:val="17"/>
        <w:rPr>
          <w:rFonts w:ascii="宋体" w:hAnsi="宋体" w:eastAsia="宋体" w:cs="宋体"/>
          <w:b/>
          <w:color w:val="auto"/>
          <w:spacing w:val="0"/>
          <w:position w:val="0"/>
          <w:sz w:val="24"/>
          <w:highlight w:val="none"/>
          <w:shd w:val="clear" w:fill="auto"/>
        </w:rPr>
      </w:pPr>
    </w:p>
    <w:p w14:paraId="3AE1D50C">
      <w:pPr>
        <w:pStyle w:val="8"/>
        <w:rPr>
          <w:rFonts w:ascii="宋体" w:hAnsi="宋体" w:eastAsia="宋体" w:cs="宋体"/>
          <w:b/>
          <w:color w:val="auto"/>
          <w:spacing w:val="0"/>
          <w:position w:val="0"/>
          <w:sz w:val="24"/>
          <w:highlight w:val="none"/>
          <w:shd w:val="clear" w:fill="auto"/>
        </w:rPr>
      </w:pPr>
    </w:p>
    <w:p w14:paraId="2B4C437C">
      <w:pPr>
        <w:rPr>
          <w:rFonts w:ascii="宋体" w:hAnsi="宋体" w:eastAsia="宋体" w:cs="宋体"/>
          <w:b/>
          <w:color w:val="auto"/>
          <w:spacing w:val="0"/>
          <w:position w:val="0"/>
          <w:sz w:val="24"/>
          <w:highlight w:val="none"/>
          <w:shd w:val="clear" w:fill="auto"/>
        </w:rPr>
      </w:pPr>
    </w:p>
    <w:p w14:paraId="13B20A48">
      <w:pPr>
        <w:pStyle w:val="17"/>
        <w:rPr>
          <w:rFonts w:ascii="宋体" w:hAnsi="宋体" w:eastAsia="宋体" w:cs="宋体"/>
          <w:b/>
          <w:color w:val="auto"/>
          <w:spacing w:val="0"/>
          <w:position w:val="0"/>
          <w:sz w:val="24"/>
          <w:highlight w:val="none"/>
          <w:shd w:val="clear" w:fill="auto"/>
        </w:rPr>
      </w:pPr>
    </w:p>
    <w:p w14:paraId="5F3CB3F9">
      <w:pPr>
        <w:pStyle w:val="8"/>
        <w:rPr>
          <w:rFonts w:ascii="宋体" w:hAnsi="宋体" w:eastAsia="宋体" w:cs="宋体"/>
          <w:b/>
          <w:color w:val="auto"/>
          <w:spacing w:val="0"/>
          <w:position w:val="0"/>
          <w:sz w:val="24"/>
          <w:highlight w:val="none"/>
          <w:shd w:val="clear" w:fill="auto"/>
        </w:rPr>
      </w:pPr>
    </w:p>
    <w:p w14:paraId="07AC3B36">
      <w:pPr>
        <w:rPr>
          <w:rFonts w:ascii="宋体" w:hAnsi="宋体" w:eastAsia="宋体" w:cs="宋体"/>
          <w:b/>
          <w:color w:val="auto"/>
          <w:spacing w:val="0"/>
          <w:position w:val="0"/>
          <w:sz w:val="24"/>
          <w:highlight w:val="none"/>
          <w:shd w:val="clear" w:fill="auto"/>
        </w:rPr>
      </w:pPr>
    </w:p>
    <w:p w14:paraId="3C550D3D">
      <w:pPr>
        <w:pStyle w:val="17"/>
        <w:rPr>
          <w:rFonts w:ascii="宋体" w:hAnsi="宋体" w:eastAsia="宋体" w:cs="宋体"/>
          <w:b/>
          <w:color w:val="auto"/>
          <w:spacing w:val="0"/>
          <w:position w:val="0"/>
          <w:sz w:val="24"/>
          <w:highlight w:val="none"/>
          <w:shd w:val="clear" w:fill="auto"/>
        </w:rPr>
      </w:pPr>
    </w:p>
    <w:p w14:paraId="6E6B0CCE">
      <w:pPr>
        <w:pStyle w:val="8"/>
        <w:rPr>
          <w:rFonts w:ascii="宋体" w:hAnsi="宋体" w:eastAsia="宋体" w:cs="宋体"/>
          <w:b/>
          <w:color w:val="auto"/>
          <w:spacing w:val="0"/>
          <w:position w:val="0"/>
          <w:sz w:val="24"/>
          <w:highlight w:val="none"/>
          <w:shd w:val="clear" w:fill="auto"/>
        </w:rPr>
      </w:pPr>
    </w:p>
    <w:p w14:paraId="56552CD0">
      <w:pPr>
        <w:rPr>
          <w:rFonts w:ascii="宋体" w:hAnsi="宋体" w:eastAsia="宋体" w:cs="宋体"/>
          <w:b/>
          <w:color w:val="auto"/>
          <w:spacing w:val="0"/>
          <w:position w:val="0"/>
          <w:sz w:val="24"/>
          <w:highlight w:val="none"/>
          <w:shd w:val="clear" w:fill="auto"/>
        </w:rPr>
      </w:pPr>
    </w:p>
    <w:p w14:paraId="365A6DC8">
      <w:pPr>
        <w:pStyle w:val="17"/>
        <w:rPr>
          <w:rFonts w:ascii="宋体" w:hAnsi="宋体" w:eastAsia="宋体" w:cs="宋体"/>
          <w:b/>
          <w:color w:val="auto"/>
          <w:spacing w:val="0"/>
          <w:position w:val="0"/>
          <w:sz w:val="24"/>
          <w:highlight w:val="none"/>
          <w:shd w:val="clear" w:fill="auto"/>
        </w:rPr>
      </w:pPr>
    </w:p>
    <w:p w14:paraId="6B45B9BC">
      <w:pPr>
        <w:pStyle w:val="8"/>
        <w:rPr>
          <w:rFonts w:ascii="宋体" w:hAnsi="宋体" w:eastAsia="宋体" w:cs="宋体"/>
          <w:b/>
          <w:color w:val="auto"/>
          <w:spacing w:val="0"/>
          <w:position w:val="0"/>
          <w:sz w:val="24"/>
          <w:highlight w:val="none"/>
          <w:shd w:val="clear" w:fill="auto"/>
        </w:rPr>
      </w:pPr>
    </w:p>
    <w:p w14:paraId="57EDED05">
      <w:pPr>
        <w:rPr>
          <w:highlight w:val="none"/>
        </w:rPr>
      </w:pPr>
    </w:p>
    <w:p w14:paraId="75909DF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5C5C07E7">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0A35EC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AFC6C3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326DA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DB7C4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21DD5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CF974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C13D10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F32235">
      <w:pPr>
        <w:pStyle w:val="17"/>
        <w:rPr>
          <w:highlight w:val="none"/>
        </w:rPr>
      </w:pPr>
    </w:p>
    <w:p w14:paraId="6BF676E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1CA5F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8A55B5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BA4DC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4AFC33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CEF8B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323FA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6E90B74">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90408DF">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833699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A1B3B5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0D172C2">
      <w:pPr>
        <w:pStyle w:val="17"/>
        <w:rPr>
          <w:rFonts w:ascii="宋体" w:hAnsi="宋体" w:eastAsia="宋体" w:cs="宋体"/>
          <w:b/>
          <w:color w:val="auto"/>
          <w:spacing w:val="0"/>
          <w:position w:val="0"/>
          <w:sz w:val="24"/>
          <w:highlight w:val="none"/>
          <w:shd w:val="clear" w:fill="auto"/>
        </w:rPr>
      </w:pPr>
    </w:p>
    <w:p w14:paraId="435B4860">
      <w:pPr>
        <w:pStyle w:val="8"/>
        <w:rPr>
          <w:rFonts w:ascii="宋体" w:hAnsi="宋体" w:eastAsia="宋体" w:cs="宋体"/>
          <w:b/>
          <w:color w:val="auto"/>
          <w:spacing w:val="0"/>
          <w:position w:val="0"/>
          <w:sz w:val="24"/>
          <w:highlight w:val="none"/>
          <w:shd w:val="clear" w:fill="auto"/>
        </w:rPr>
      </w:pPr>
    </w:p>
    <w:p w14:paraId="065DA4E7">
      <w:pPr>
        <w:rPr>
          <w:rFonts w:ascii="宋体" w:hAnsi="宋体" w:eastAsia="宋体" w:cs="宋体"/>
          <w:b/>
          <w:color w:val="auto"/>
          <w:spacing w:val="0"/>
          <w:position w:val="0"/>
          <w:sz w:val="24"/>
          <w:highlight w:val="none"/>
          <w:shd w:val="clear" w:fill="auto"/>
        </w:rPr>
      </w:pPr>
    </w:p>
    <w:p w14:paraId="3BB471D8">
      <w:pPr>
        <w:pStyle w:val="17"/>
        <w:rPr>
          <w:rFonts w:ascii="宋体" w:hAnsi="宋体" w:eastAsia="宋体" w:cs="宋体"/>
          <w:b/>
          <w:color w:val="auto"/>
          <w:spacing w:val="0"/>
          <w:position w:val="0"/>
          <w:sz w:val="24"/>
          <w:highlight w:val="none"/>
          <w:shd w:val="clear" w:fill="auto"/>
        </w:rPr>
      </w:pPr>
    </w:p>
    <w:p w14:paraId="394B88EE">
      <w:pPr>
        <w:pStyle w:val="8"/>
        <w:rPr>
          <w:rFonts w:ascii="宋体" w:hAnsi="宋体" w:eastAsia="宋体" w:cs="宋体"/>
          <w:b/>
          <w:color w:val="auto"/>
          <w:spacing w:val="0"/>
          <w:position w:val="0"/>
          <w:sz w:val="24"/>
          <w:highlight w:val="none"/>
          <w:shd w:val="clear" w:fill="auto"/>
        </w:rPr>
      </w:pPr>
    </w:p>
    <w:p w14:paraId="7770AC54">
      <w:pPr>
        <w:rPr>
          <w:rFonts w:ascii="宋体" w:hAnsi="宋体" w:eastAsia="宋体" w:cs="宋体"/>
          <w:b/>
          <w:color w:val="auto"/>
          <w:spacing w:val="0"/>
          <w:position w:val="0"/>
          <w:sz w:val="24"/>
          <w:highlight w:val="none"/>
          <w:shd w:val="clear" w:fill="auto"/>
        </w:rPr>
      </w:pPr>
    </w:p>
    <w:p w14:paraId="54EB8322">
      <w:pPr>
        <w:pStyle w:val="17"/>
        <w:rPr>
          <w:rFonts w:ascii="宋体" w:hAnsi="宋体" w:eastAsia="宋体" w:cs="宋体"/>
          <w:b/>
          <w:color w:val="auto"/>
          <w:spacing w:val="0"/>
          <w:position w:val="0"/>
          <w:sz w:val="24"/>
          <w:highlight w:val="none"/>
          <w:shd w:val="clear" w:fill="auto"/>
        </w:rPr>
      </w:pPr>
    </w:p>
    <w:p w14:paraId="302600C0">
      <w:pPr>
        <w:pStyle w:val="8"/>
        <w:rPr>
          <w:rFonts w:ascii="宋体" w:hAnsi="宋体" w:eastAsia="宋体" w:cs="宋体"/>
          <w:b/>
          <w:color w:val="auto"/>
          <w:spacing w:val="0"/>
          <w:position w:val="0"/>
          <w:sz w:val="24"/>
          <w:highlight w:val="none"/>
          <w:shd w:val="clear" w:fill="auto"/>
        </w:rPr>
      </w:pPr>
    </w:p>
    <w:p w14:paraId="65D41D01">
      <w:pPr>
        <w:rPr>
          <w:rFonts w:ascii="宋体" w:hAnsi="宋体" w:eastAsia="宋体" w:cs="宋体"/>
          <w:b/>
          <w:color w:val="auto"/>
          <w:spacing w:val="0"/>
          <w:position w:val="0"/>
          <w:sz w:val="24"/>
          <w:highlight w:val="none"/>
          <w:shd w:val="clear" w:fill="auto"/>
        </w:rPr>
      </w:pPr>
    </w:p>
    <w:p w14:paraId="50EE6114">
      <w:pPr>
        <w:pStyle w:val="17"/>
        <w:rPr>
          <w:rFonts w:ascii="宋体" w:hAnsi="宋体" w:eastAsia="宋体" w:cs="宋体"/>
          <w:b/>
          <w:color w:val="auto"/>
          <w:spacing w:val="0"/>
          <w:position w:val="0"/>
          <w:sz w:val="24"/>
          <w:highlight w:val="none"/>
          <w:shd w:val="clear" w:fill="auto"/>
        </w:rPr>
      </w:pPr>
    </w:p>
    <w:p w14:paraId="2218730E">
      <w:pPr>
        <w:pStyle w:val="8"/>
        <w:rPr>
          <w:rFonts w:ascii="宋体" w:hAnsi="宋体" w:eastAsia="宋体" w:cs="宋体"/>
          <w:b/>
          <w:color w:val="auto"/>
          <w:spacing w:val="0"/>
          <w:position w:val="0"/>
          <w:sz w:val="24"/>
          <w:highlight w:val="none"/>
          <w:shd w:val="clear" w:fill="auto"/>
        </w:rPr>
      </w:pPr>
    </w:p>
    <w:p w14:paraId="4F00A0CC">
      <w:pPr>
        <w:rPr>
          <w:highlight w:val="none"/>
        </w:rPr>
      </w:pPr>
    </w:p>
    <w:p w14:paraId="162460B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7BD06A3">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43791ED2">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5822874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6DC9FF7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415F3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E0932C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228B10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B81F80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835AD8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AB0479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EC4DB1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4E99609">
      <w:pPr>
        <w:rPr>
          <w:rFonts w:hint="eastAsia"/>
          <w:highlight w:val="none"/>
        </w:rPr>
      </w:pPr>
    </w:p>
    <w:p w14:paraId="1689FF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94CDD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1B4F321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475F2B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23B0438">
      <w:pPr>
        <w:pStyle w:val="17"/>
        <w:rPr>
          <w:rFonts w:ascii="宋体" w:hAnsi="宋体" w:eastAsia="宋体" w:cs="宋体"/>
          <w:color w:val="auto"/>
          <w:spacing w:val="0"/>
          <w:position w:val="0"/>
          <w:sz w:val="24"/>
          <w:highlight w:val="none"/>
          <w:shd w:val="clear" w:fill="auto"/>
        </w:rPr>
      </w:pPr>
    </w:p>
    <w:p w14:paraId="73FEB1F0">
      <w:pPr>
        <w:pStyle w:val="8"/>
        <w:rPr>
          <w:rFonts w:ascii="宋体" w:hAnsi="宋体" w:eastAsia="宋体" w:cs="宋体"/>
          <w:color w:val="auto"/>
          <w:spacing w:val="0"/>
          <w:position w:val="0"/>
          <w:sz w:val="24"/>
          <w:highlight w:val="none"/>
          <w:shd w:val="clear" w:fill="auto"/>
        </w:rPr>
      </w:pPr>
    </w:p>
    <w:p w14:paraId="71055C99">
      <w:pPr>
        <w:rPr>
          <w:rFonts w:ascii="宋体" w:hAnsi="宋体" w:eastAsia="宋体" w:cs="宋体"/>
          <w:color w:val="auto"/>
          <w:spacing w:val="0"/>
          <w:position w:val="0"/>
          <w:sz w:val="24"/>
          <w:highlight w:val="none"/>
          <w:shd w:val="clear" w:fill="auto"/>
        </w:rPr>
      </w:pPr>
    </w:p>
    <w:p w14:paraId="00467128">
      <w:pPr>
        <w:pStyle w:val="17"/>
        <w:rPr>
          <w:rFonts w:ascii="宋体" w:hAnsi="宋体" w:eastAsia="宋体" w:cs="宋体"/>
          <w:color w:val="auto"/>
          <w:spacing w:val="0"/>
          <w:position w:val="0"/>
          <w:sz w:val="24"/>
          <w:highlight w:val="none"/>
          <w:shd w:val="clear" w:fill="auto"/>
        </w:rPr>
      </w:pPr>
    </w:p>
    <w:p w14:paraId="27B912B9">
      <w:pPr>
        <w:pStyle w:val="8"/>
        <w:rPr>
          <w:rFonts w:ascii="宋体" w:hAnsi="宋体" w:eastAsia="宋体" w:cs="宋体"/>
          <w:color w:val="auto"/>
          <w:spacing w:val="0"/>
          <w:position w:val="0"/>
          <w:sz w:val="24"/>
          <w:highlight w:val="none"/>
          <w:shd w:val="clear" w:fill="auto"/>
        </w:rPr>
      </w:pPr>
    </w:p>
    <w:p w14:paraId="654D8552">
      <w:pPr>
        <w:rPr>
          <w:rFonts w:ascii="宋体" w:hAnsi="宋体" w:eastAsia="宋体" w:cs="宋体"/>
          <w:color w:val="auto"/>
          <w:spacing w:val="0"/>
          <w:position w:val="0"/>
          <w:sz w:val="24"/>
          <w:highlight w:val="none"/>
          <w:shd w:val="clear" w:fill="auto"/>
        </w:rPr>
      </w:pPr>
    </w:p>
    <w:p w14:paraId="63A5BD5B">
      <w:pPr>
        <w:pStyle w:val="13"/>
        <w:rPr>
          <w:rFonts w:ascii="宋体" w:hAnsi="宋体" w:eastAsia="宋体" w:cs="宋体"/>
          <w:color w:val="auto"/>
          <w:spacing w:val="0"/>
          <w:position w:val="0"/>
          <w:sz w:val="24"/>
          <w:highlight w:val="none"/>
          <w:shd w:val="clear" w:fill="auto"/>
        </w:rPr>
      </w:pPr>
    </w:p>
    <w:p w14:paraId="69FFDD36">
      <w:pPr>
        <w:pStyle w:val="13"/>
        <w:rPr>
          <w:rFonts w:ascii="宋体" w:hAnsi="宋体" w:eastAsia="宋体" w:cs="宋体"/>
          <w:color w:val="auto"/>
          <w:spacing w:val="0"/>
          <w:position w:val="0"/>
          <w:sz w:val="24"/>
          <w:highlight w:val="none"/>
          <w:shd w:val="clear" w:fill="auto"/>
        </w:rPr>
      </w:pPr>
    </w:p>
    <w:p w14:paraId="5B387D7C">
      <w:pPr>
        <w:pStyle w:val="13"/>
        <w:rPr>
          <w:rFonts w:ascii="宋体" w:hAnsi="宋体" w:eastAsia="宋体" w:cs="宋体"/>
          <w:color w:val="auto"/>
          <w:spacing w:val="0"/>
          <w:position w:val="0"/>
          <w:sz w:val="24"/>
          <w:highlight w:val="none"/>
          <w:shd w:val="clear" w:fill="auto"/>
        </w:rPr>
      </w:pPr>
    </w:p>
    <w:p w14:paraId="510CC146">
      <w:pPr>
        <w:pStyle w:val="13"/>
        <w:rPr>
          <w:rFonts w:ascii="宋体" w:hAnsi="宋体" w:eastAsia="宋体" w:cs="宋体"/>
          <w:color w:val="auto"/>
          <w:spacing w:val="0"/>
          <w:position w:val="0"/>
          <w:sz w:val="24"/>
          <w:highlight w:val="none"/>
          <w:shd w:val="clear" w:fill="auto"/>
        </w:rPr>
      </w:pPr>
    </w:p>
    <w:p w14:paraId="485006DD">
      <w:pPr>
        <w:pStyle w:val="13"/>
        <w:rPr>
          <w:rFonts w:ascii="宋体" w:hAnsi="宋体" w:eastAsia="宋体" w:cs="宋体"/>
          <w:color w:val="auto"/>
          <w:spacing w:val="0"/>
          <w:position w:val="0"/>
          <w:sz w:val="24"/>
          <w:highlight w:val="none"/>
          <w:shd w:val="clear" w:fill="auto"/>
        </w:rPr>
      </w:pPr>
    </w:p>
    <w:p w14:paraId="58FC3770">
      <w:pPr>
        <w:pStyle w:val="13"/>
        <w:rPr>
          <w:rFonts w:ascii="宋体" w:hAnsi="宋体" w:eastAsia="宋体" w:cs="宋体"/>
          <w:color w:val="auto"/>
          <w:spacing w:val="0"/>
          <w:position w:val="0"/>
          <w:sz w:val="24"/>
          <w:highlight w:val="none"/>
          <w:shd w:val="clear" w:fill="auto"/>
        </w:rPr>
      </w:pPr>
    </w:p>
    <w:p w14:paraId="0B181509">
      <w:pPr>
        <w:pStyle w:val="13"/>
        <w:rPr>
          <w:rFonts w:ascii="宋体" w:hAnsi="宋体" w:eastAsia="宋体" w:cs="宋体"/>
          <w:color w:val="auto"/>
          <w:spacing w:val="0"/>
          <w:position w:val="0"/>
          <w:sz w:val="24"/>
          <w:highlight w:val="none"/>
          <w:shd w:val="clear" w:fill="auto"/>
        </w:rPr>
      </w:pPr>
    </w:p>
    <w:p w14:paraId="42FB2086">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394D791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50286B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EA9EA8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F669CF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58D4C6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CB1871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2D9BD2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15AF3B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246AF9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BD291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ABEE76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05359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F190C8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54A32D">
      <w:pPr>
        <w:pStyle w:val="17"/>
        <w:rPr>
          <w:rFonts w:ascii="宋体" w:hAnsi="宋体" w:eastAsia="宋体" w:cs="宋体"/>
          <w:color w:val="auto"/>
          <w:spacing w:val="0"/>
          <w:position w:val="0"/>
          <w:sz w:val="24"/>
          <w:highlight w:val="none"/>
          <w:shd w:val="clear" w:fill="auto"/>
        </w:rPr>
      </w:pPr>
    </w:p>
    <w:p w14:paraId="5CDE0996">
      <w:pPr>
        <w:pStyle w:val="8"/>
        <w:rPr>
          <w:rFonts w:ascii="宋体" w:hAnsi="宋体" w:eastAsia="宋体" w:cs="宋体"/>
          <w:color w:val="auto"/>
          <w:spacing w:val="0"/>
          <w:position w:val="0"/>
          <w:sz w:val="24"/>
          <w:highlight w:val="none"/>
          <w:shd w:val="clear" w:fill="auto"/>
        </w:rPr>
      </w:pPr>
    </w:p>
    <w:p w14:paraId="5B46FAF2">
      <w:pPr>
        <w:rPr>
          <w:rFonts w:ascii="宋体" w:hAnsi="宋体" w:eastAsia="宋体" w:cs="宋体"/>
          <w:color w:val="auto"/>
          <w:spacing w:val="0"/>
          <w:position w:val="0"/>
          <w:sz w:val="24"/>
          <w:highlight w:val="none"/>
          <w:shd w:val="clear" w:fill="auto"/>
        </w:rPr>
      </w:pPr>
    </w:p>
    <w:p w14:paraId="55E13659">
      <w:pPr>
        <w:pStyle w:val="17"/>
        <w:rPr>
          <w:rFonts w:ascii="宋体" w:hAnsi="宋体" w:eastAsia="宋体" w:cs="宋体"/>
          <w:color w:val="auto"/>
          <w:spacing w:val="0"/>
          <w:position w:val="0"/>
          <w:sz w:val="24"/>
          <w:highlight w:val="none"/>
          <w:shd w:val="clear" w:fill="auto"/>
        </w:rPr>
      </w:pPr>
    </w:p>
    <w:p w14:paraId="5D729F02">
      <w:pPr>
        <w:pStyle w:val="8"/>
        <w:rPr>
          <w:rFonts w:ascii="宋体" w:hAnsi="宋体" w:eastAsia="宋体" w:cs="宋体"/>
          <w:color w:val="auto"/>
          <w:spacing w:val="0"/>
          <w:position w:val="0"/>
          <w:sz w:val="24"/>
          <w:highlight w:val="none"/>
          <w:shd w:val="clear" w:fill="auto"/>
        </w:rPr>
      </w:pPr>
    </w:p>
    <w:p w14:paraId="67687DF6">
      <w:pPr>
        <w:rPr>
          <w:rFonts w:ascii="宋体" w:hAnsi="宋体" w:eastAsia="宋体" w:cs="宋体"/>
          <w:color w:val="auto"/>
          <w:spacing w:val="0"/>
          <w:position w:val="0"/>
          <w:sz w:val="24"/>
          <w:highlight w:val="none"/>
          <w:shd w:val="clear" w:fill="auto"/>
        </w:rPr>
      </w:pPr>
    </w:p>
    <w:p w14:paraId="7BC35A84">
      <w:pPr>
        <w:pStyle w:val="17"/>
        <w:rPr>
          <w:rFonts w:ascii="宋体" w:hAnsi="宋体" w:eastAsia="宋体" w:cs="宋体"/>
          <w:color w:val="auto"/>
          <w:spacing w:val="0"/>
          <w:position w:val="0"/>
          <w:sz w:val="24"/>
          <w:highlight w:val="none"/>
          <w:shd w:val="clear" w:fill="auto"/>
        </w:rPr>
      </w:pPr>
    </w:p>
    <w:p w14:paraId="737CF526">
      <w:pPr>
        <w:pStyle w:val="8"/>
        <w:rPr>
          <w:rFonts w:ascii="宋体" w:hAnsi="宋体" w:eastAsia="宋体" w:cs="宋体"/>
          <w:color w:val="auto"/>
          <w:spacing w:val="0"/>
          <w:position w:val="0"/>
          <w:sz w:val="24"/>
          <w:highlight w:val="none"/>
          <w:shd w:val="clear" w:fill="auto"/>
        </w:rPr>
      </w:pPr>
    </w:p>
    <w:p w14:paraId="62970B94">
      <w:pPr>
        <w:rPr>
          <w:rFonts w:ascii="宋体" w:hAnsi="宋体" w:eastAsia="宋体" w:cs="宋体"/>
          <w:color w:val="auto"/>
          <w:spacing w:val="0"/>
          <w:position w:val="0"/>
          <w:sz w:val="24"/>
          <w:highlight w:val="none"/>
          <w:shd w:val="clear" w:fill="auto"/>
        </w:rPr>
      </w:pPr>
    </w:p>
    <w:p w14:paraId="40629803">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59E86E0A">
      <w:pPr>
        <w:pStyle w:val="13"/>
        <w:rPr>
          <w:rFonts w:hint="eastAsia" w:ascii="宋体" w:hAnsi="宋体" w:eastAsia="宋体" w:cs="宋体"/>
          <w:color w:val="auto"/>
          <w:spacing w:val="0"/>
          <w:position w:val="0"/>
          <w:sz w:val="24"/>
          <w:highlight w:val="none"/>
          <w:shd w:val="clear" w:fill="auto"/>
          <w:lang w:eastAsia="zh-CN"/>
        </w:rPr>
      </w:pPr>
    </w:p>
    <w:p w14:paraId="4B109688">
      <w:pPr>
        <w:pStyle w:val="13"/>
        <w:rPr>
          <w:rFonts w:hint="eastAsia" w:ascii="宋体" w:hAnsi="宋体" w:eastAsia="宋体" w:cs="宋体"/>
          <w:color w:val="auto"/>
          <w:spacing w:val="0"/>
          <w:position w:val="0"/>
          <w:sz w:val="24"/>
          <w:highlight w:val="none"/>
          <w:shd w:val="clear" w:fill="auto"/>
          <w:lang w:eastAsia="zh-CN"/>
        </w:rPr>
      </w:pPr>
    </w:p>
    <w:p w14:paraId="06926CB7">
      <w:pPr>
        <w:pStyle w:val="13"/>
        <w:rPr>
          <w:rFonts w:hint="eastAsia" w:ascii="宋体" w:hAnsi="宋体" w:eastAsia="宋体" w:cs="宋体"/>
          <w:color w:val="auto"/>
          <w:spacing w:val="0"/>
          <w:position w:val="0"/>
          <w:sz w:val="24"/>
          <w:highlight w:val="none"/>
          <w:shd w:val="clear" w:fill="auto"/>
          <w:lang w:eastAsia="zh-CN"/>
        </w:rPr>
      </w:pPr>
    </w:p>
    <w:p w14:paraId="24A10DF8">
      <w:pPr>
        <w:pStyle w:val="17"/>
        <w:rPr>
          <w:rFonts w:ascii="宋体" w:hAnsi="宋体" w:eastAsia="宋体" w:cs="宋体"/>
          <w:color w:val="auto"/>
          <w:spacing w:val="0"/>
          <w:position w:val="0"/>
          <w:sz w:val="24"/>
          <w:highlight w:val="none"/>
          <w:shd w:val="clear" w:fill="auto"/>
        </w:rPr>
      </w:pPr>
    </w:p>
    <w:p w14:paraId="54479C21">
      <w:pPr>
        <w:pStyle w:val="8"/>
        <w:rPr>
          <w:rFonts w:ascii="宋体" w:hAnsi="宋体" w:eastAsia="宋体" w:cs="宋体"/>
          <w:color w:val="auto"/>
          <w:spacing w:val="0"/>
          <w:position w:val="0"/>
          <w:sz w:val="24"/>
          <w:highlight w:val="none"/>
          <w:shd w:val="clear" w:fill="auto"/>
        </w:rPr>
      </w:pPr>
    </w:p>
    <w:p w14:paraId="6467855F">
      <w:pPr>
        <w:rPr>
          <w:rFonts w:ascii="宋体" w:hAnsi="宋体" w:eastAsia="宋体" w:cs="宋体"/>
          <w:color w:val="auto"/>
          <w:spacing w:val="0"/>
          <w:position w:val="0"/>
          <w:sz w:val="24"/>
          <w:highlight w:val="none"/>
          <w:shd w:val="clear" w:fill="auto"/>
        </w:rPr>
      </w:pPr>
    </w:p>
    <w:p w14:paraId="68FA7FA9">
      <w:pPr>
        <w:pStyle w:val="17"/>
        <w:rPr>
          <w:highlight w:val="none"/>
        </w:rPr>
      </w:pPr>
    </w:p>
    <w:p w14:paraId="63DB0CB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F32675">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6AA3558F">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DCC272D">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E9CB1E3">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54F7A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BD8763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7E3C52E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6499373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7D3599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B53FA2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165E26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402006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58D959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3955F69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6EE42D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D82A5B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5053B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B94280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79562A0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5AFC3EF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E188D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4F0CC7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F0F3FB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A60589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1F37B200">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5BB4760">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098B3ACC">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D788968">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866B8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5798A7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724307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86B674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BE007D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6B5ED79">
      <w:pPr>
        <w:pStyle w:val="17"/>
        <w:rPr>
          <w:rFonts w:hint="eastAsia" w:ascii="宋体" w:hAnsi="宋体" w:eastAsia="宋体" w:cs="宋体"/>
          <w:b/>
          <w:color w:val="auto"/>
          <w:spacing w:val="0"/>
          <w:position w:val="0"/>
          <w:sz w:val="21"/>
          <w:szCs w:val="21"/>
          <w:highlight w:val="none"/>
          <w:shd w:val="clear" w:fill="auto"/>
        </w:rPr>
      </w:pPr>
    </w:p>
    <w:p w14:paraId="2ECE8064">
      <w:pPr>
        <w:pStyle w:val="8"/>
        <w:rPr>
          <w:rFonts w:hint="eastAsia" w:ascii="宋体" w:hAnsi="宋体" w:eastAsia="宋体" w:cs="宋体"/>
          <w:b/>
          <w:color w:val="auto"/>
          <w:spacing w:val="0"/>
          <w:position w:val="0"/>
          <w:sz w:val="21"/>
          <w:szCs w:val="21"/>
          <w:highlight w:val="none"/>
          <w:shd w:val="clear" w:fill="auto"/>
        </w:rPr>
      </w:pPr>
    </w:p>
    <w:p w14:paraId="09343D38">
      <w:pPr>
        <w:rPr>
          <w:rFonts w:hint="eastAsia" w:ascii="宋体" w:hAnsi="宋体" w:eastAsia="宋体" w:cs="宋体"/>
          <w:b/>
          <w:color w:val="auto"/>
          <w:spacing w:val="0"/>
          <w:position w:val="0"/>
          <w:sz w:val="21"/>
          <w:szCs w:val="21"/>
          <w:highlight w:val="none"/>
          <w:shd w:val="clear" w:fill="auto"/>
        </w:rPr>
      </w:pPr>
    </w:p>
    <w:p w14:paraId="32F5244B">
      <w:pPr>
        <w:pStyle w:val="17"/>
        <w:rPr>
          <w:rFonts w:hint="eastAsia" w:ascii="宋体" w:hAnsi="宋体" w:eastAsia="宋体" w:cs="宋体"/>
          <w:b/>
          <w:color w:val="auto"/>
          <w:spacing w:val="0"/>
          <w:position w:val="0"/>
          <w:sz w:val="21"/>
          <w:szCs w:val="21"/>
          <w:highlight w:val="none"/>
          <w:shd w:val="clear" w:fill="auto"/>
        </w:rPr>
      </w:pPr>
    </w:p>
    <w:p w14:paraId="7AA64312">
      <w:pPr>
        <w:pStyle w:val="8"/>
        <w:rPr>
          <w:rFonts w:hint="eastAsia" w:ascii="宋体" w:hAnsi="宋体" w:eastAsia="宋体" w:cs="宋体"/>
          <w:b/>
          <w:color w:val="auto"/>
          <w:spacing w:val="0"/>
          <w:position w:val="0"/>
          <w:sz w:val="21"/>
          <w:szCs w:val="21"/>
          <w:highlight w:val="none"/>
          <w:shd w:val="clear" w:fill="auto"/>
        </w:rPr>
      </w:pPr>
    </w:p>
    <w:p w14:paraId="5A22099F">
      <w:pPr>
        <w:rPr>
          <w:rFonts w:hint="eastAsia" w:ascii="宋体" w:hAnsi="宋体" w:eastAsia="宋体" w:cs="宋体"/>
          <w:b/>
          <w:color w:val="auto"/>
          <w:spacing w:val="0"/>
          <w:position w:val="0"/>
          <w:sz w:val="21"/>
          <w:szCs w:val="21"/>
          <w:highlight w:val="none"/>
          <w:shd w:val="clear" w:fill="auto"/>
        </w:rPr>
      </w:pPr>
    </w:p>
    <w:p w14:paraId="70FDC6B5">
      <w:pPr>
        <w:pStyle w:val="17"/>
        <w:rPr>
          <w:rFonts w:hint="eastAsia" w:ascii="宋体" w:hAnsi="宋体" w:eastAsia="宋体" w:cs="宋体"/>
          <w:b/>
          <w:color w:val="auto"/>
          <w:spacing w:val="0"/>
          <w:position w:val="0"/>
          <w:sz w:val="21"/>
          <w:szCs w:val="21"/>
          <w:highlight w:val="none"/>
          <w:shd w:val="clear" w:fill="auto"/>
        </w:rPr>
      </w:pPr>
    </w:p>
    <w:p w14:paraId="72D512CA">
      <w:pPr>
        <w:pStyle w:val="8"/>
        <w:rPr>
          <w:rFonts w:hint="eastAsia" w:ascii="宋体" w:hAnsi="宋体" w:eastAsia="宋体" w:cs="宋体"/>
          <w:sz w:val="21"/>
          <w:szCs w:val="21"/>
          <w:highlight w:val="none"/>
        </w:rPr>
      </w:pPr>
    </w:p>
    <w:p w14:paraId="0A86A54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0BB73E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A017D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EDE9E86">
      <w:pPr>
        <w:pStyle w:val="2"/>
        <w:rPr>
          <w:rFonts w:hint="eastAsia" w:ascii="宋体" w:hAnsi="宋体" w:eastAsia="宋体" w:cs="宋体"/>
          <w:b/>
          <w:color w:val="auto"/>
          <w:spacing w:val="0"/>
          <w:position w:val="0"/>
          <w:sz w:val="21"/>
          <w:szCs w:val="21"/>
          <w:highlight w:val="none"/>
          <w:shd w:val="clear" w:fill="auto"/>
        </w:rPr>
      </w:pPr>
    </w:p>
    <w:p w14:paraId="0745969E">
      <w:pPr>
        <w:pStyle w:val="5"/>
        <w:rPr>
          <w:rFonts w:hint="eastAsia" w:ascii="宋体" w:hAnsi="宋体" w:eastAsia="宋体" w:cs="宋体"/>
          <w:b/>
          <w:color w:val="auto"/>
          <w:spacing w:val="0"/>
          <w:position w:val="0"/>
          <w:sz w:val="21"/>
          <w:szCs w:val="21"/>
          <w:highlight w:val="none"/>
          <w:shd w:val="clear" w:fill="auto"/>
        </w:rPr>
      </w:pPr>
    </w:p>
    <w:p w14:paraId="6A9E2047">
      <w:pPr>
        <w:rPr>
          <w:rFonts w:hint="eastAsia" w:ascii="宋体" w:hAnsi="宋体" w:eastAsia="宋体" w:cs="宋体"/>
          <w:b/>
          <w:color w:val="auto"/>
          <w:spacing w:val="0"/>
          <w:position w:val="0"/>
          <w:sz w:val="21"/>
          <w:szCs w:val="21"/>
          <w:highlight w:val="none"/>
          <w:shd w:val="clear" w:fill="auto"/>
        </w:rPr>
      </w:pPr>
    </w:p>
    <w:p w14:paraId="426C39C2">
      <w:pPr>
        <w:pStyle w:val="2"/>
        <w:rPr>
          <w:rFonts w:hint="eastAsia" w:ascii="宋体" w:hAnsi="宋体" w:eastAsia="宋体" w:cs="宋体"/>
          <w:b/>
          <w:color w:val="auto"/>
          <w:spacing w:val="0"/>
          <w:position w:val="0"/>
          <w:sz w:val="21"/>
          <w:szCs w:val="21"/>
          <w:highlight w:val="none"/>
          <w:shd w:val="clear" w:fill="auto"/>
        </w:rPr>
      </w:pPr>
    </w:p>
    <w:p w14:paraId="619ACE0B">
      <w:pPr>
        <w:pStyle w:val="5"/>
        <w:rPr>
          <w:rFonts w:hint="eastAsia" w:ascii="宋体" w:hAnsi="宋体" w:eastAsia="宋体" w:cs="宋体"/>
          <w:b/>
          <w:color w:val="auto"/>
          <w:spacing w:val="0"/>
          <w:position w:val="0"/>
          <w:sz w:val="21"/>
          <w:szCs w:val="21"/>
          <w:highlight w:val="none"/>
          <w:shd w:val="clear" w:fill="auto"/>
        </w:rPr>
      </w:pPr>
    </w:p>
    <w:p w14:paraId="6FC6A5D8">
      <w:pPr>
        <w:rPr>
          <w:rFonts w:hint="eastAsia" w:ascii="宋体" w:hAnsi="宋体" w:eastAsia="宋体" w:cs="宋体"/>
          <w:b/>
          <w:color w:val="auto"/>
          <w:spacing w:val="0"/>
          <w:position w:val="0"/>
          <w:sz w:val="21"/>
          <w:szCs w:val="21"/>
          <w:highlight w:val="none"/>
          <w:shd w:val="clear" w:fill="auto"/>
        </w:rPr>
      </w:pPr>
    </w:p>
    <w:p w14:paraId="3B221A06">
      <w:pPr>
        <w:pStyle w:val="2"/>
        <w:rPr>
          <w:rFonts w:hint="eastAsia" w:ascii="宋体" w:hAnsi="宋体" w:eastAsia="宋体" w:cs="宋体"/>
          <w:b/>
          <w:color w:val="auto"/>
          <w:spacing w:val="0"/>
          <w:position w:val="0"/>
          <w:sz w:val="21"/>
          <w:szCs w:val="21"/>
          <w:highlight w:val="none"/>
          <w:shd w:val="clear" w:fill="auto"/>
        </w:rPr>
      </w:pPr>
    </w:p>
    <w:p w14:paraId="45E1DEB4">
      <w:pPr>
        <w:pStyle w:val="5"/>
        <w:rPr>
          <w:rFonts w:hint="eastAsia" w:ascii="宋体" w:hAnsi="宋体" w:eastAsia="宋体" w:cs="宋体"/>
          <w:b/>
          <w:color w:val="auto"/>
          <w:spacing w:val="0"/>
          <w:position w:val="0"/>
          <w:sz w:val="21"/>
          <w:szCs w:val="21"/>
          <w:highlight w:val="none"/>
          <w:shd w:val="clear" w:fill="auto"/>
        </w:rPr>
      </w:pPr>
    </w:p>
    <w:p w14:paraId="5216A4FE">
      <w:pPr>
        <w:rPr>
          <w:rFonts w:hint="eastAsia" w:ascii="宋体" w:hAnsi="宋体" w:eastAsia="宋体" w:cs="宋体"/>
          <w:b/>
          <w:color w:val="auto"/>
          <w:spacing w:val="0"/>
          <w:position w:val="0"/>
          <w:sz w:val="21"/>
          <w:szCs w:val="21"/>
          <w:highlight w:val="none"/>
          <w:shd w:val="clear" w:fill="auto"/>
        </w:rPr>
      </w:pPr>
    </w:p>
    <w:p w14:paraId="29DFA55C">
      <w:pPr>
        <w:pStyle w:val="2"/>
        <w:rPr>
          <w:rFonts w:hint="eastAsia"/>
          <w:highlight w:val="none"/>
        </w:rPr>
      </w:pPr>
    </w:p>
    <w:p w14:paraId="53A5CB9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301E610">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4364F46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B880E3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466777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68559D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5FB44B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78A1362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BB88C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C74F89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1F33CD">
      <w:pPr>
        <w:pStyle w:val="17"/>
        <w:rPr>
          <w:rFonts w:hint="eastAsia" w:ascii="宋体" w:hAnsi="宋体" w:eastAsia="宋体" w:cs="宋体"/>
          <w:b/>
          <w:color w:val="auto"/>
          <w:spacing w:val="0"/>
          <w:position w:val="0"/>
          <w:sz w:val="21"/>
          <w:szCs w:val="21"/>
          <w:highlight w:val="none"/>
          <w:shd w:val="clear" w:fill="auto"/>
        </w:rPr>
      </w:pPr>
    </w:p>
    <w:p w14:paraId="2E247B63">
      <w:pPr>
        <w:pStyle w:val="8"/>
        <w:rPr>
          <w:rFonts w:ascii="宋体" w:hAnsi="宋体" w:eastAsia="宋体" w:cs="宋体"/>
          <w:b/>
          <w:color w:val="auto"/>
          <w:spacing w:val="0"/>
          <w:position w:val="0"/>
          <w:sz w:val="28"/>
          <w:highlight w:val="none"/>
          <w:shd w:val="clear" w:fill="auto"/>
        </w:rPr>
      </w:pPr>
    </w:p>
    <w:p w14:paraId="38F483D6">
      <w:pPr>
        <w:rPr>
          <w:rFonts w:ascii="宋体" w:hAnsi="宋体" w:eastAsia="宋体" w:cs="宋体"/>
          <w:b/>
          <w:color w:val="auto"/>
          <w:spacing w:val="0"/>
          <w:position w:val="0"/>
          <w:sz w:val="28"/>
          <w:highlight w:val="none"/>
          <w:shd w:val="clear" w:fill="auto"/>
        </w:rPr>
      </w:pPr>
    </w:p>
    <w:p w14:paraId="6217CF92">
      <w:pPr>
        <w:pStyle w:val="17"/>
        <w:rPr>
          <w:rFonts w:ascii="宋体" w:hAnsi="宋体" w:eastAsia="宋体" w:cs="宋体"/>
          <w:b/>
          <w:color w:val="auto"/>
          <w:spacing w:val="0"/>
          <w:position w:val="0"/>
          <w:sz w:val="28"/>
          <w:highlight w:val="none"/>
          <w:shd w:val="clear" w:fill="auto"/>
        </w:rPr>
      </w:pPr>
    </w:p>
    <w:p w14:paraId="623401DE">
      <w:pPr>
        <w:pStyle w:val="8"/>
        <w:rPr>
          <w:rFonts w:ascii="宋体" w:hAnsi="宋体" w:eastAsia="宋体" w:cs="宋体"/>
          <w:b/>
          <w:color w:val="auto"/>
          <w:spacing w:val="0"/>
          <w:position w:val="0"/>
          <w:sz w:val="28"/>
          <w:highlight w:val="none"/>
          <w:shd w:val="clear" w:fill="auto"/>
        </w:rPr>
      </w:pPr>
    </w:p>
    <w:p w14:paraId="4C409E3B">
      <w:pPr>
        <w:rPr>
          <w:rFonts w:ascii="宋体" w:hAnsi="宋体" w:eastAsia="宋体" w:cs="宋体"/>
          <w:b/>
          <w:color w:val="auto"/>
          <w:spacing w:val="0"/>
          <w:position w:val="0"/>
          <w:sz w:val="28"/>
          <w:highlight w:val="none"/>
          <w:shd w:val="clear" w:fill="auto"/>
        </w:rPr>
      </w:pPr>
    </w:p>
    <w:p w14:paraId="388857ED">
      <w:pPr>
        <w:pStyle w:val="17"/>
        <w:rPr>
          <w:rFonts w:ascii="宋体" w:hAnsi="宋体" w:eastAsia="宋体" w:cs="宋体"/>
          <w:b/>
          <w:color w:val="auto"/>
          <w:spacing w:val="0"/>
          <w:position w:val="0"/>
          <w:sz w:val="28"/>
          <w:highlight w:val="none"/>
          <w:shd w:val="clear" w:fill="auto"/>
        </w:rPr>
      </w:pPr>
    </w:p>
    <w:p w14:paraId="2A61F3D2">
      <w:pPr>
        <w:pStyle w:val="8"/>
        <w:rPr>
          <w:rFonts w:ascii="宋体" w:hAnsi="宋体" w:eastAsia="宋体" w:cs="宋体"/>
          <w:b/>
          <w:color w:val="auto"/>
          <w:spacing w:val="0"/>
          <w:position w:val="0"/>
          <w:sz w:val="28"/>
          <w:highlight w:val="none"/>
          <w:shd w:val="clear" w:fill="auto"/>
        </w:rPr>
      </w:pPr>
    </w:p>
    <w:p w14:paraId="180175B4">
      <w:pPr>
        <w:rPr>
          <w:rFonts w:ascii="宋体" w:hAnsi="宋体" w:eastAsia="宋体" w:cs="宋体"/>
          <w:b/>
          <w:color w:val="auto"/>
          <w:spacing w:val="0"/>
          <w:position w:val="0"/>
          <w:sz w:val="28"/>
          <w:highlight w:val="none"/>
          <w:shd w:val="clear" w:fill="auto"/>
        </w:rPr>
      </w:pPr>
    </w:p>
    <w:p w14:paraId="76DC9D61">
      <w:pPr>
        <w:pStyle w:val="17"/>
        <w:rPr>
          <w:rFonts w:ascii="宋体" w:hAnsi="宋体" w:eastAsia="宋体" w:cs="宋体"/>
          <w:b/>
          <w:color w:val="auto"/>
          <w:spacing w:val="0"/>
          <w:position w:val="0"/>
          <w:sz w:val="28"/>
          <w:highlight w:val="none"/>
          <w:shd w:val="clear" w:fill="auto"/>
        </w:rPr>
      </w:pPr>
    </w:p>
    <w:p w14:paraId="268EDF9C">
      <w:pPr>
        <w:pStyle w:val="8"/>
        <w:rPr>
          <w:rFonts w:ascii="宋体" w:hAnsi="宋体" w:eastAsia="宋体" w:cs="宋体"/>
          <w:b/>
          <w:color w:val="auto"/>
          <w:spacing w:val="0"/>
          <w:position w:val="0"/>
          <w:sz w:val="28"/>
          <w:highlight w:val="none"/>
          <w:shd w:val="clear" w:fill="auto"/>
        </w:rPr>
      </w:pPr>
    </w:p>
    <w:p w14:paraId="27B195B0">
      <w:pPr>
        <w:rPr>
          <w:rFonts w:ascii="宋体" w:hAnsi="宋体" w:eastAsia="宋体" w:cs="宋体"/>
          <w:b/>
          <w:color w:val="auto"/>
          <w:spacing w:val="0"/>
          <w:position w:val="0"/>
          <w:sz w:val="28"/>
          <w:highlight w:val="none"/>
          <w:shd w:val="clear" w:fill="auto"/>
        </w:rPr>
      </w:pPr>
    </w:p>
    <w:p w14:paraId="45CC4F8C">
      <w:pPr>
        <w:pStyle w:val="17"/>
        <w:rPr>
          <w:rFonts w:ascii="宋体" w:hAnsi="宋体" w:eastAsia="宋体" w:cs="宋体"/>
          <w:b/>
          <w:color w:val="auto"/>
          <w:spacing w:val="0"/>
          <w:position w:val="0"/>
          <w:sz w:val="28"/>
          <w:highlight w:val="none"/>
          <w:shd w:val="clear" w:fill="auto"/>
        </w:rPr>
      </w:pPr>
    </w:p>
    <w:p w14:paraId="3505B3A9">
      <w:pPr>
        <w:pStyle w:val="8"/>
        <w:rPr>
          <w:rFonts w:ascii="宋体" w:hAnsi="宋体" w:eastAsia="宋体" w:cs="宋体"/>
          <w:b/>
          <w:color w:val="auto"/>
          <w:spacing w:val="0"/>
          <w:position w:val="0"/>
          <w:sz w:val="28"/>
          <w:highlight w:val="none"/>
          <w:shd w:val="clear" w:fill="auto"/>
        </w:rPr>
      </w:pPr>
    </w:p>
    <w:p w14:paraId="4300969E">
      <w:pPr>
        <w:rPr>
          <w:rFonts w:ascii="宋体" w:hAnsi="宋体" w:eastAsia="宋体" w:cs="宋体"/>
          <w:b/>
          <w:color w:val="auto"/>
          <w:spacing w:val="0"/>
          <w:position w:val="0"/>
          <w:sz w:val="28"/>
          <w:highlight w:val="none"/>
          <w:shd w:val="clear" w:fill="auto"/>
        </w:rPr>
      </w:pPr>
    </w:p>
    <w:p w14:paraId="6C6D98DE">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1DA11094">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6EA8187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430C12F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8DF0B0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208509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98CA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AD33A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828990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D658A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1EC14F9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72A46AA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787D3A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59F60E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143ACF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106E165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30AD0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C272933">
      <w:pPr>
        <w:pStyle w:val="2"/>
        <w:rPr>
          <w:rFonts w:ascii="黑体" w:hAnsi="黑体" w:eastAsia="黑体" w:cs="黑体"/>
          <w:color w:val="auto"/>
          <w:spacing w:val="0"/>
          <w:position w:val="0"/>
          <w:sz w:val="30"/>
          <w:highlight w:val="none"/>
          <w:shd w:val="clear" w:fill="auto"/>
        </w:rPr>
      </w:pPr>
    </w:p>
    <w:p w14:paraId="290D22A4">
      <w:pPr>
        <w:pStyle w:val="5"/>
        <w:rPr>
          <w:rFonts w:ascii="黑体" w:hAnsi="黑体" w:eastAsia="黑体" w:cs="黑体"/>
          <w:color w:val="auto"/>
          <w:spacing w:val="0"/>
          <w:position w:val="0"/>
          <w:sz w:val="30"/>
          <w:highlight w:val="none"/>
          <w:shd w:val="clear" w:fill="auto"/>
        </w:rPr>
      </w:pPr>
    </w:p>
    <w:p w14:paraId="072EDA25">
      <w:pPr>
        <w:rPr>
          <w:rFonts w:ascii="黑体" w:hAnsi="黑体" w:eastAsia="黑体" w:cs="黑体"/>
          <w:color w:val="auto"/>
          <w:spacing w:val="0"/>
          <w:position w:val="0"/>
          <w:sz w:val="30"/>
          <w:highlight w:val="none"/>
          <w:shd w:val="clear" w:fill="auto"/>
        </w:rPr>
      </w:pPr>
    </w:p>
    <w:p w14:paraId="057D67C8">
      <w:pPr>
        <w:pStyle w:val="2"/>
        <w:rPr>
          <w:highlight w:val="none"/>
        </w:rPr>
      </w:pPr>
    </w:p>
    <w:p w14:paraId="3C9DCE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4B2F53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6FC81200">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ADCB8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37447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675296A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D538E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6F436A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3851E9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62D782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9561B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69540F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1CD78F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11697AD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566C4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609FBC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E4498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F5C008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7C59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6B3FAC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7E10D8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60A7B4D4">
      <w:pPr>
        <w:widowControl w:val="0"/>
        <w:numPr>
          <w:ilvl w:val="0"/>
          <w:numId w:val="2"/>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1175E911">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449F3F9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15E8D2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4473BA4B">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342B31A">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A4C85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43172820">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F49941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9211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3AB8F9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8188A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A6D62E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91897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CBE56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C22364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757E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E10B66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904998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DF781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64DC60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A59741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758CF44">
      <w:pPr>
        <w:pStyle w:val="2"/>
        <w:rPr>
          <w:highlight w:val="none"/>
        </w:rPr>
      </w:pPr>
    </w:p>
    <w:p w14:paraId="33FAD448">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2BD977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722E36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BEDB2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5297B9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2DD0DEB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520747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08701D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132EFE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ED1E17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3E4C9DC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A5EFE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4D7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0C53C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F9BB2F">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8D19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35656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CE3CD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55DE746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85D64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3C28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4A9C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8E98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95F7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820BF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474BA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68B383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1E5BA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79FE5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FFB3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FD447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20F6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67FB4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0D951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8E7BC9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21B8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5F533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D0AEF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E453B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25938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98AB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3AC33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790FF8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246A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96FC31D">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5B6801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ADA87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E76E5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2C434D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3C570E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B2B1DF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65C016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61C6C9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1635326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26F0B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69505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153E49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0EA088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6152521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1C83001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5AEB7DE">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53963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488B151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8EA17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09225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071AEFA1">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F738137">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3B0CB54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1BD1B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A6DAA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2C3D2C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1C8097C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8A52F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786F2E5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0E75C5A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645C6F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3FA1D7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70E91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82EC64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022564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711FFD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DF522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A346C34">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5CE3BB0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C8DDC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1FEE8D8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762590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34161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6FE63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6DC122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1C511A3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F4FBDB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759E6C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0564E8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607A52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3E96C7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268B789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8D29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826E74B">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0D25F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27300EE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71F61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D1E6AE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4D6D58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6D0849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394B2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67E875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99863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7F43822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6534D6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2B38D4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6272A0C7">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77A1587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2D5C8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4261DD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567C4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4990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33315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5A8F871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B721E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828DF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B54E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5262EF3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15EB2D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DCB936A">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766A026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2089FDB">
      <w:pPr>
        <w:rPr>
          <w:highlight w:val="none"/>
        </w:rPr>
      </w:pPr>
    </w:p>
    <w:p w14:paraId="7122297E">
      <w:pPr>
        <w:rPr>
          <w:highlight w:val="none"/>
        </w:rPr>
      </w:pPr>
    </w:p>
    <w:p w14:paraId="2B244E24">
      <w:pPr>
        <w:rPr>
          <w:highlight w:val="none"/>
        </w:rPr>
      </w:pPr>
    </w:p>
    <w:p w14:paraId="58566AF4">
      <w:pPr>
        <w:rPr>
          <w:highlight w:val="none"/>
        </w:rPr>
      </w:pPr>
    </w:p>
    <w:p w14:paraId="2E55B955">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F02A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3EAB53">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53EAB53">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38D58A"/>
    <w:multiLevelType w:val="singleLevel"/>
    <w:tmpl w:val="5E38D58A"/>
    <w:lvl w:ilvl="0" w:tentative="0">
      <w:start w:val="1"/>
      <w:numFmt w:val="decimal"/>
      <w:lvlText w:val="%1."/>
      <w:lvlJc w:val="left"/>
      <w:pPr>
        <w:tabs>
          <w:tab w:val="left" w:pos="312"/>
        </w:tabs>
      </w:pPr>
    </w:lvl>
  </w:abstractNum>
  <w:abstractNum w:abstractNumId="1">
    <w:nsid w:val="629F7852"/>
    <w:multiLevelType w:val="singleLevel"/>
    <w:tmpl w:val="629F7852"/>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230E85"/>
    <w:rsid w:val="19230E85"/>
    <w:rsid w:val="2312281E"/>
    <w:rsid w:val="2EC02441"/>
    <w:rsid w:val="36DF0B5A"/>
    <w:rsid w:val="5DCB0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spacing w:line="500" w:lineRule="exact"/>
      <w:ind w:firstLine="320" w:firstLineChars="100"/>
    </w:pPr>
    <w:rPr>
      <w:rFonts w:ascii="Times New Roman" w:hAnsi="Times New Roman" w:eastAsia="楷体"/>
    </w:rPr>
  </w:style>
  <w:style w:type="paragraph" w:styleId="3">
    <w:name w:val="Body Text"/>
    <w:basedOn w:val="1"/>
    <w:next w:val="4"/>
    <w:qFormat/>
    <w:uiPriority w:val="0"/>
    <w:pPr>
      <w:spacing w:after="120"/>
    </w:pPr>
    <w:rPr>
      <w:rFonts w:ascii="Calibri" w:hAnsi="Calibri"/>
      <w:kern w:val="0"/>
      <w:sz w:val="24"/>
      <w:szCs w:val="20"/>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paragraph" w:styleId="6">
    <w:name w:val="Body Text Indent"/>
    <w:basedOn w:val="1"/>
    <w:next w:val="1"/>
    <w:qFormat/>
    <w:uiPriority w:val="0"/>
    <w:pPr>
      <w:ind w:firstLine="570"/>
    </w:pPr>
    <w:rPr>
      <w:rFonts w:ascii="宋体" w:hAnsi="宋体"/>
      <w:sz w:val="28"/>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Text1I"/>
    <w:basedOn w:val="14"/>
    <w:qFormat/>
    <w:uiPriority w:val="99"/>
    <w:pPr>
      <w:ind w:firstLine="420" w:firstLineChars="100"/>
    </w:pPr>
  </w:style>
  <w:style w:type="paragraph" w:customStyle="1" w:styleId="14">
    <w:name w:val="BodyText"/>
    <w:basedOn w:val="1"/>
    <w:next w:val="15"/>
    <w:qFormat/>
    <w:uiPriority w:val="99"/>
    <w:pPr>
      <w:spacing w:after="120"/>
    </w:pPr>
  </w:style>
  <w:style w:type="paragraph" w:customStyle="1" w:styleId="1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6">
    <w:name w:val="正文缩进1"/>
    <w:basedOn w:val="1"/>
    <w:qFormat/>
    <w:uiPriority w:val="0"/>
    <w:pPr>
      <w:widowControl/>
      <w:ind w:firstLine="420"/>
      <w:jc w:val="left"/>
    </w:pPr>
    <w:rPr>
      <w:rFonts w:ascii="Times New Roman" w:hAnsi="Times New Roman" w:eastAsia="宋体" w:cs="Times New Roman"/>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7739</Words>
  <Characters>8471</Characters>
  <Lines>0</Lines>
  <Paragraphs>0</Paragraphs>
  <TotalTime>2</TotalTime>
  <ScaleCrop>false</ScaleCrop>
  <LinksUpToDate>false</LinksUpToDate>
  <CharactersWithSpaces>8690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2026-03-12T08:59:00Z</dcterms:created>
  <dc:creator>syimanda</dc:creator>
  <cp:lastModifiedBy>user</cp:lastModifiedBy>
  <dcterms:modified xsi:type="dcterms:W3CDTF">2026-03-17T03:02:54Z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EA96E071B4AE40DB8DC649169DC6B058_13</vt:lpwstr>
  </property>
  <property fmtid="{D5CDD505-2E9C-101B-9397-08002B2CF9AE}" pid="4" name="KSOTemplateDocerSaveRecord">
    <vt:lpwstr>eyJoZGlkIjoiNTQ3MGY4OWEwYWQ5MGRhOTEyZDdjODBiNTM4ZTJjNzciLCJ1c2VySWQiOiIxMDg5MjYwMDExIn0=</vt:lpwstr>
  </property>
</Properties>
</file>