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00" w:lineRule="exact"/>
        <w:rPr>
          <w:rFonts w:ascii="宋体" w:hAnsi="宋体" w:cs="宋体"/>
          <w:b/>
          <w:bCs/>
          <w:kern w:val="0"/>
          <w:sz w:val="24"/>
        </w:rPr>
      </w:pPr>
    </w:p>
    <w:p>
      <w:pPr>
        <w:widowControl/>
        <w:spacing w:line="500" w:lineRule="exact"/>
        <w:jc w:val="center"/>
        <w:rPr>
          <w:rFonts w:ascii="宋体" w:hAnsi="宋体" w:cs="宋体"/>
          <w:b/>
          <w:bCs/>
          <w:kern w:val="0"/>
          <w:sz w:val="44"/>
        </w:rPr>
      </w:pPr>
    </w:p>
    <w:p>
      <w:pPr>
        <w:widowControl/>
        <w:spacing w:line="360" w:lineRule="auto"/>
        <w:jc w:val="center"/>
        <w:rPr>
          <w:rFonts w:ascii="宋体" w:hAnsi="宋体" w:cs="宋体"/>
          <w:b/>
          <w:bCs/>
          <w:kern w:val="0"/>
          <w:sz w:val="44"/>
          <w:szCs w:val="44"/>
        </w:rPr>
      </w:pPr>
      <w:r>
        <w:rPr>
          <w:rFonts w:hint="eastAsia" w:ascii="宋体" w:hAnsi="宋体" w:cs="宋体"/>
          <w:b/>
          <w:bCs/>
          <w:kern w:val="0"/>
          <w:sz w:val="44"/>
          <w:szCs w:val="44"/>
        </w:rPr>
        <w:t xml:space="preserve">1995工业文化创意园完善提升工程（货物采购） </w:t>
      </w:r>
    </w:p>
    <w:p>
      <w:pPr>
        <w:widowControl/>
        <w:spacing w:line="500" w:lineRule="exact"/>
        <w:jc w:val="center"/>
        <w:rPr>
          <w:rFonts w:ascii="宋体" w:hAnsi="宋体" w:cs="宋体"/>
          <w:b/>
          <w:bCs/>
          <w:kern w:val="0"/>
          <w:sz w:val="44"/>
        </w:rPr>
      </w:pPr>
    </w:p>
    <w:p>
      <w:pPr>
        <w:pStyle w:val="18"/>
      </w:pPr>
    </w:p>
    <w:p>
      <w:pPr>
        <w:pStyle w:val="40"/>
      </w:pPr>
    </w:p>
    <w:p>
      <w:pPr>
        <w:pStyle w:val="18"/>
      </w:pPr>
    </w:p>
    <w:p>
      <w:pPr>
        <w:widowControl/>
        <w:spacing w:line="600" w:lineRule="exact"/>
        <w:jc w:val="center"/>
        <w:rPr>
          <w:rFonts w:ascii="宋体" w:hAnsi="宋体" w:cs="宋体"/>
          <w:b/>
          <w:kern w:val="0"/>
          <w:sz w:val="52"/>
          <w:szCs w:val="52"/>
        </w:rPr>
      </w:pPr>
      <w:r>
        <w:rPr>
          <w:rFonts w:hint="eastAsia" w:ascii="宋体" w:hAnsi="宋体" w:cs="宋体"/>
          <w:b/>
          <w:bCs/>
          <w:kern w:val="0"/>
          <w:sz w:val="52"/>
          <w:szCs w:val="52"/>
        </w:rPr>
        <w:t>招 标 文 件</w:t>
      </w:r>
    </w:p>
    <w:p>
      <w:pPr>
        <w:widowControl/>
        <w:spacing w:before="156" w:after="156" w:line="500" w:lineRule="exact"/>
        <w:jc w:val="center"/>
        <w:rPr>
          <w:rFonts w:ascii="宋体" w:hAnsi="宋体" w:cs="宋体"/>
          <w:b/>
          <w:kern w:val="0"/>
          <w:sz w:val="32"/>
        </w:rPr>
      </w:pPr>
    </w:p>
    <w:p>
      <w:pPr>
        <w:pStyle w:val="18"/>
      </w:pPr>
    </w:p>
    <w:p>
      <w:pPr>
        <w:widowControl/>
        <w:spacing w:before="156" w:after="156" w:line="500" w:lineRule="exact"/>
        <w:jc w:val="center"/>
        <w:rPr>
          <w:rFonts w:ascii="宋体" w:hAnsi="宋体" w:cs="宋体"/>
          <w:b/>
          <w:kern w:val="0"/>
          <w:sz w:val="32"/>
        </w:rPr>
      </w:pPr>
      <w:r>
        <w:rPr>
          <w:rFonts w:hint="eastAsia" w:ascii="宋体" w:hAnsi="宋体" w:cs="宋体"/>
          <w:b/>
          <w:kern w:val="0"/>
          <w:sz w:val="32"/>
        </w:rPr>
        <w:t xml:space="preserve"> </w:t>
      </w:r>
    </w:p>
    <w:p>
      <w:pPr>
        <w:widowControl/>
        <w:spacing w:before="156" w:after="156" w:line="500" w:lineRule="exact"/>
        <w:contextualSpacing/>
        <w:jc w:val="left"/>
        <w:rPr>
          <w:rFonts w:ascii="宋体" w:hAnsi="宋体" w:cs="宋体"/>
          <w:b/>
          <w:bCs/>
          <w:kern w:val="0"/>
          <w:sz w:val="32"/>
        </w:rPr>
      </w:pPr>
    </w:p>
    <w:p>
      <w:pPr>
        <w:widowControl/>
        <w:spacing w:before="156" w:after="156" w:line="500" w:lineRule="exact"/>
        <w:contextualSpacing/>
        <w:jc w:val="left"/>
        <w:rPr>
          <w:rFonts w:ascii="宋体" w:hAnsi="宋体" w:cs="宋体"/>
          <w:b/>
          <w:bCs/>
          <w:color w:val="000000" w:themeColor="text1"/>
          <w:kern w:val="0"/>
          <w:sz w:val="32"/>
        </w:rPr>
      </w:pPr>
      <w:bookmarkStart w:id="9" w:name="_GoBack"/>
      <w:bookmarkEnd w:id="9"/>
    </w:p>
    <w:p>
      <w:pPr>
        <w:widowControl/>
        <w:spacing w:before="156" w:after="156" w:line="700" w:lineRule="exact"/>
        <w:ind w:left="1960" w:leftChars="253" w:hanging="1429" w:hangingChars="445"/>
        <w:contextualSpacing/>
        <w:jc w:val="left"/>
        <w:rPr>
          <w:rFonts w:ascii="宋体" w:hAnsi="宋体" w:cs="宋体"/>
          <w:b/>
          <w:color w:val="000000" w:themeColor="text1"/>
          <w:spacing w:val="20"/>
          <w:kern w:val="0"/>
          <w:sz w:val="28"/>
          <w:szCs w:val="28"/>
        </w:rPr>
      </w:pPr>
      <w:r>
        <w:rPr>
          <w:rFonts w:hint="eastAsia" w:ascii="宋体" w:hAnsi="宋体" w:cs="宋体"/>
          <w:b/>
          <w:color w:val="000000" w:themeColor="text1"/>
          <w:spacing w:val="20"/>
          <w:kern w:val="0"/>
          <w:sz w:val="28"/>
          <w:szCs w:val="28"/>
        </w:rPr>
        <w:t xml:space="preserve">省政府采购网推送采购项目编号：遂财招标-2024-30 </w:t>
      </w:r>
    </w:p>
    <w:p>
      <w:pPr>
        <w:widowControl/>
        <w:spacing w:before="156" w:after="156" w:line="700" w:lineRule="exact"/>
        <w:ind w:left="1960" w:leftChars="253" w:hanging="1429" w:hangingChars="445"/>
        <w:contextualSpacing/>
        <w:jc w:val="left"/>
        <w:rPr>
          <w:rFonts w:ascii="宋体" w:hAnsi="宋体" w:cs="宋体"/>
          <w:b/>
          <w:color w:val="000000" w:themeColor="text1"/>
          <w:spacing w:val="20"/>
          <w:kern w:val="0"/>
          <w:sz w:val="28"/>
          <w:szCs w:val="28"/>
        </w:rPr>
      </w:pPr>
      <w:r>
        <w:rPr>
          <w:rFonts w:hint="eastAsia" w:ascii="宋体" w:hAnsi="宋体" w:cs="宋体"/>
          <w:b/>
          <w:color w:val="000000" w:themeColor="text1"/>
          <w:spacing w:val="20"/>
          <w:kern w:val="0"/>
          <w:sz w:val="28"/>
          <w:szCs w:val="28"/>
        </w:rPr>
        <w:t>交易中心进场项目编号：遂政采招【2024】50号</w:t>
      </w:r>
    </w:p>
    <w:p>
      <w:pPr>
        <w:widowControl/>
        <w:spacing w:before="156" w:after="156" w:line="700" w:lineRule="exact"/>
        <w:ind w:left="1960" w:leftChars="253" w:hanging="1429" w:hangingChars="445"/>
        <w:contextualSpacing/>
        <w:jc w:val="left"/>
        <w:rPr>
          <w:rFonts w:ascii="宋体" w:hAnsi="宋体" w:cs="宋体"/>
          <w:b/>
          <w:spacing w:val="20"/>
          <w:kern w:val="0"/>
          <w:sz w:val="28"/>
          <w:szCs w:val="28"/>
          <w:u w:val="single"/>
        </w:rPr>
      </w:pPr>
      <w:r>
        <w:rPr>
          <w:rFonts w:hint="eastAsia" w:ascii="宋体" w:hAnsi="宋体" w:cs="宋体"/>
          <w:b/>
          <w:color w:val="000000" w:themeColor="text1"/>
          <w:spacing w:val="20"/>
          <w:kern w:val="0"/>
          <w:sz w:val="28"/>
          <w:szCs w:val="28"/>
        </w:rPr>
        <w:t>项目名称：1995工业文化创意园完善提升工程（货物采购）</w:t>
      </w:r>
    </w:p>
    <w:p>
      <w:pPr>
        <w:widowControl/>
        <w:spacing w:before="156" w:after="156" w:line="700" w:lineRule="exact"/>
        <w:ind w:firstLine="472" w:firstLineChars="147"/>
        <w:contextualSpacing/>
        <w:jc w:val="left"/>
        <w:rPr>
          <w:rFonts w:ascii="宋体" w:hAnsi="宋体" w:cs="宋体"/>
          <w:b/>
          <w:spacing w:val="20"/>
          <w:kern w:val="0"/>
          <w:sz w:val="28"/>
          <w:szCs w:val="28"/>
          <w:u w:val="single"/>
        </w:rPr>
      </w:pPr>
      <w:r>
        <w:rPr>
          <w:rFonts w:hint="eastAsia" w:ascii="宋体" w:hAnsi="宋体" w:cs="宋体"/>
          <w:b/>
          <w:spacing w:val="20"/>
          <w:kern w:val="0"/>
          <w:sz w:val="28"/>
          <w:szCs w:val="28"/>
        </w:rPr>
        <w:t xml:space="preserve">采 购 人：遂平县文化广电和旅游局 </w:t>
      </w:r>
    </w:p>
    <w:p>
      <w:pPr>
        <w:widowControl/>
        <w:spacing w:before="156" w:after="156" w:line="700" w:lineRule="exact"/>
        <w:ind w:firstLine="472" w:firstLineChars="147"/>
        <w:contextualSpacing/>
        <w:jc w:val="left"/>
        <w:rPr>
          <w:rFonts w:ascii="宋体" w:hAnsi="宋体" w:cs="宋体"/>
          <w:b/>
          <w:kern w:val="0"/>
          <w:sz w:val="32"/>
          <w:u w:val="single"/>
        </w:rPr>
      </w:pPr>
      <w:r>
        <w:rPr>
          <w:rFonts w:hint="eastAsia" w:ascii="宋体" w:hAnsi="宋体" w:cs="宋体"/>
          <w:b/>
          <w:spacing w:val="20"/>
          <w:kern w:val="0"/>
          <w:sz w:val="28"/>
          <w:szCs w:val="28"/>
        </w:rPr>
        <w:t>采购代理机构：</w:t>
      </w:r>
      <w:r>
        <w:rPr>
          <w:rFonts w:hint="eastAsia" w:ascii="宋体" w:hAnsi="宋体" w:cs="宋体"/>
          <w:b/>
          <w:kern w:val="0"/>
          <w:sz w:val="30"/>
          <w:szCs w:val="30"/>
        </w:rPr>
        <w:t xml:space="preserve">河南高福工程管理有限公司 </w:t>
      </w:r>
      <w:r>
        <w:rPr>
          <w:rFonts w:hint="eastAsia" w:ascii="宋体" w:hAnsi="宋体" w:cs="宋体"/>
          <w:b/>
          <w:spacing w:val="20"/>
          <w:kern w:val="0"/>
          <w:sz w:val="32"/>
        </w:rPr>
        <w:t xml:space="preserve"> </w:t>
      </w:r>
    </w:p>
    <w:p>
      <w:pPr>
        <w:widowControl/>
        <w:spacing w:line="500" w:lineRule="exact"/>
        <w:ind w:firstLine="3855" w:firstLineChars="1200"/>
        <w:jc w:val="left"/>
        <w:outlineLvl w:val="0"/>
        <w:rPr>
          <w:rFonts w:ascii="宋体" w:hAnsi="宋体" w:cs="宋体"/>
          <w:b/>
          <w:kern w:val="0"/>
          <w:sz w:val="32"/>
        </w:rPr>
      </w:pPr>
      <w:r>
        <w:rPr>
          <w:rFonts w:hint="eastAsia" w:ascii="宋体" w:hAnsi="宋体" w:cs="宋体"/>
          <w:b/>
          <w:kern w:val="0"/>
          <w:sz w:val="32"/>
        </w:rPr>
        <w:t xml:space="preserve"> </w:t>
      </w:r>
    </w:p>
    <w:p>
      <w:pPr>
        <w:widowControl/>
        <w:spacing w:before="156" w:after="156" w:line="500" w:lineRule="exact"/>
        <w:jc w:val="center"/>
        <w:rPr>
          <w:rFonts w:ascii="宋体" w:hAnsi="宋体" w:cs="宋体"/>
          <w:b/>
          <w:kern w:val="0"/>
          <w:sz w:val="28"/>
          <w:szCs w:val="28"/>
        </w:rPr>
      </w:pPr>
      <w:r>
        <w:rPr>
          <w:rFonts w:hint="eastAsia" w:ascii="宋体" w:hAnsi="宋体" w:cs="宋体"/>
          <w:b/>
          <w:kern w:val="0"/>
          <w:sz w:val="28"/>
          <w:szCs w:val="28"/>
        </w:rPr>
        <w:t xml:space="preserve"> 二○二</w:t>
      </w:r>
      <w:r>
        <w:rPr>
          <w:rFonts w:hint="eastAsia" w:ascii="宋体" w:hAnsi="宋体" w:cs="宋体"/>
          <w:b/>
          <w:bCs/>
          <w:kern w:val="0"/>
          <w:sz w:val="28"/>
          <w:szCs w:val="28"/>
        </w:rPr>
        <w:t>四</w:t>
      </w:r>
      <w:r>
        <w:rPr>
          <w:rFonts w:hint="eastAsia" w:ascii="宋体" w:hAnsi="宋体" w:cs="宋体"/>
          <w:b/>
          <w:kern w:val="0"/>
          <w:sz w:val="28"/>
          <w:szCs w:val="28"/>
        </w:rPr>
        <w:t>年六月</w:t>
      </w:r>
    </w:p>
    <w:p>
      <w:pPr>
        <w:pStyle w:val="2"/>
        <w:sectPr>
          <w:headerReference r:id="rId3" w:type="default"/>
          <w:footerReference r:id="rId4" w:type="default"/>
          <w:footerReference r:id="rId5" w:type="even"/>
          <w:pgSz w:w="11906" w:h="16838"/>
          <w:pgMar w:top="1440" w:right="1418" w:bottom="1440" w:left="1418" w:header="851" w:footer="992" w:gutter="0"/>
          <w:cols w:space="720" w:num="1"/>
          <w:titlePg/>
          <w:docGrid w:type="lines" w:linePitch="312" w:charSpace="0"/>
        </w:sectPr>
      </w:pPr>
    </w:p>
    <w:p>
      <w:pPr>
        <w:pStyle w:val="2"/>
      </w:pPr>
      <w:r>
        <w:rPr>
          <w:rFonts w:hint="eastAsia"/>
        </w:rPr>
        <w:t>目    录</w:t>
      </w:r>
    </w:p>
    <w:p>
      <w:pPr>
        <w:widowControl/>
        <w:wordWrap w:val="0"/>
        <w:spacing w:before="156" w:beforeLines="50" w:line="480" w:lineRule="exact"/>
        <w:ind w:firstLine="1440" w:firstLineChars="600"/>
        <w:jc w:val="left"/>
        <w:rPr>
          <w:rFonts w:ascii="宋体" w:hAnsi="宋体" w:cs="宋体"/>
          <w:color w:val="000000" w:themeColor="text1"/>
          <w:kern w:val="0"/>
          <w:sz w:val="24"/>
        </w:rPr>
      </w:pPr>
    </w:p>
    <w:p>
      <w:pPr>
        <w:widowControl/>
        <w:wordWrap w:val="0"/>
        <w:spacing w:before="156" w:beforeLines="50" w:line="480" w:lineRule="exact"/>
        <w:ind w:firstLine="1440" w:firstLineChars="600"/>
        <w:jc w:val="left"/>
        <w:rPr>
          <w:rFonts w:ascii="宋体" w:hAnsi="宋体" w:cs="宋体"/>
          <w:color w:val="000000" w:themeColor="text1"/>
          <w:kern w:val="0"/>
          <w:sz w:val="24"/>
        </w:rPr>
      </w:pPr>
      <w:r>
        <w:rPr>
          <w:rFonts w:hint="eastAsia" w:ascii="宋体" w:hAnsi="宋体" w:cs="宋体"/>
          <w:color w:val="000000" w:themeColor="text1"/>
          <w:kern w:val="0"/>
          <w:sz w:val="24"/>
        </w:rPr>
        <w:t>第一章    招标公告</w:t>
      </w:r>
    </w:p>
    <w:p>
      <w:pPr>
        <w:widowControl/>
        <w:wordWrap w:val="0"/>
        <w:spacing w:before="156" w:beforeLines="50" w:line="480" w:lineRule="exact"/>
        <w:ind w:firstLine="1440" w:firstLineChars="600"/>
        <w:jc w:val="left"/>
        <w:rPr>
          <w:rFonts w:ascii="宋体" w:hAnsi="宋体" w:cs="宋体"/>
          <w:color w:val="000000" w:themeColor="text1"/>
          <w:kern w:val="0"/>
          <w:sz w:val="24"/>
        </w:rPr>
      </w:pPr>
      <w:r>
        <w:rPr>
          <w:rFonts w:hint="eastAsia" w:ascii="宋体" w:hAnsi="宋体" w:cs="宋体"/>
          <w:color w:val="000000" w:themeColor="text1"/>
          <w:kern w:val="0"/>
          <w:sz w:val="24"/>
        </w:rPr>
        <w:t>第二章    采购需求</w:t>
      </w:r>
    </w:p>
    <w:p>
      <w:pPr>
        <w:widowControl/>
        <w:wordWrap w:val="0"/>
        <w:spacing w:before="156" w:beforeLines="50" w:line="480" w:lineRule="exact"/>
        <w:ind w:firstLine="1440" w:firstLineChars="600"/>
        <w:jc w:val="left"/>
        <w:rPr>
          <w:rFonts w:ascii="宋体" w:hAnsi="宋体" w:cs="宋体"/>
          <w:color w:val="000000" w:themeColor="text1"/>
          <w:kern w:val="0"/>
          <w:sz w:val="24"/>
        </w:rPr>
      </w:pPr>
      <w:r>
        <w:rPr>
          <w:rFonts w:hint="eastAsia" w:ascii="宋体" w:hAnsi="宋体" w:cs="宋体"/>
          <w:color w:val="000000" w:themeColor="text1"/>
          <w:kern w:val="0"/>
          <w:sz w:val="24"/>
        </w:rPr>
        <w:t>第三章    供应商须知</w:t>
      </w:r>
    </w:p>
    <w:p>
      <w:pPr>
        <w:widowControl/>
        <w:wordWrap w:val="0"/>
        <w:spacing w:before="156" w:beforeLines="50" w:line="480" w:lineRule="exact"/>
        <w:ind w:left="1079" w:leftChars="514" w:firstLine="1200" w:firstLineChars="500"/>
        <w:jc w:val="left"/>
        <w:rPr>
          <w:rFonts w:ascii="宋体" w:hAnsi="宋体" w:cs="宋体"/>
          <w:color w:val="000000" w:themeColor="text1"/>
          <w:kern w:val="0"/>
          <w:sz w:val="24"/>
        </w:rPr>
      </w:pPr>
      <w:r>
        <w:rPr>
          <w:rFonts w:hint="eastAsia" w:ascii="宋体" w:hAnsi="宋体" w:cs="宋体"/>
          <w:color w:val="000000" w:themeColor="text1"/>
          <w:kern w:val="0"/>
          <w:sz w:val="24"/>
        </w:rPr>
        <w:t>供应商须知前附表</w:t>
      </w:r>
    </w:p>
    <w:p>
      <w:pPr>
        <w:widowControl/>
        <w:wordWrap w:val="0"/>
        <w:spacing w:before="156" w:beforeLines="50" w:line="480" w:lineRule="exact"/>
        <w:ind w:left="1619" w:leftChars="771"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一.说明</w:t>
      </w:r>
    </w:p>
    <w:p>
      <w:pPr>
        <w:widowControl/>
        <w:wordWrap w:val="0"/>
        <w:spacing w:before="156" w:beforeLines="50" w:line="480" w:lineRule="exact"/>
        <w:ind w:left="1619" w:leftChars="771"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二.招标文件</w:t>
      </w:r>
    </w:p>
    <w:p>
      <w:pPr>
        <w:widowControl/>
        <w:wordWrap w:val="0"/>
        <w:spacing w:before="156" w:beforeLines="50" w:line="480" w:lineRule="exact"/>
        <w:ind w:left="1619" w:leftChars="771"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三.投标文件的编制</w:t>
      </w:r>
    </w:p>
    <w:p>
      <w:pPr>
        <w:widowControl/>
        <w:wordWrap w:val="0"/>
        <w:spacing w:before="156" w:beforeLines="50" w:line="480" w:lineRule="exact"/>
        <w:ind w:left="1619" w:leftChars="771"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四.投标文件的的上传、递交</w:t>
      </w:r>
    </w:p>
    <w:p>
      <w:pPr>
        <w:widowControl/>
        <w:wordWrap w:val="0"/>
        <w:spacing w:before="156" w:beforeLines="50" w:line="480" w:lineRule="exact"/>
        <w:ind w:left="1619" w:leftChars="771"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五.开标</w:t>
      </w:r>
    </w:p>
    <w:p>
      <w:pPr>
        <w:widowControl/>
        <w:wordWrap w:val="0"/>
        <w:spacing w:before="156" w:beforeLines="50" w:line="480" w:lineRule="exact"/>
        <w:ind w:left="1619" w:leftChars="771"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六.评标</w:t>
      </w:r>
    </w:p>
    <w:p>
      <w:pPr>
        <w:widowControl/>
        <w:wordWrap w:val="0"/>
        <w:spacing w:before="156" w:beforeLines="50" w:line="480" w:lineRule="exact"/>
        <w:ind w:left="1619" w:leftChars="771"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七.定标</w:t>
      </w:r>
    </w:p>
    <w:p>
      <w:pPr>
        <w:widowControl/>
        <w:wordWrap w:val="0"/>
        <w:spacing w:before="156" w:beforeLines="50" w:line="480" w:lineRule="exact"/>
        <w:ind w:left="1619" w:leftChars="771"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八.合同授予</w:t>
      </w:r>
    </w:p>
    <w:p>
      <w:pPr>
        <w:widowControl/>
        <w:wordWrap w:val="0"/>
        <w:spacing w:before="156" w:beforeLines="50" w:line="480" w:lineRule="exact"/>
        <w:ind w:firstLine="1440" w:firstLineChars="600"/>
        <w:jc w:val="left"/>
        <w:rPr>
          <w:rFonts w:ascii="宋体" w:hAnsi="宋体" w:cs="宋体"/>
          <w:color w:val="000000" w:themeColor="text1"/>
          <w:kern w:val="0"/>
          <w:sz w:val="24"/>
        </w:rPr>
      </w:pPr>
      <w:r>
        <w:rPr>
          <w:rFonts w:hint="eastAsia" w:ascii="宋体" w:hAnsi="宋体" w:cs="宋体"/>
          <w:color w:val="000000" w:themeColor="text1"/>
          <w:kern w:val="0"/>
          <w:sz w:val="24"/>
        </w:rPr>
        <w:t>第四章    评标办法</w:t>
      </w:r>
    </w:p>
    <w:p>
      <w:pPr>
        <w:widowControl/>
        <w:wordWrap w:val="0"/>
        <w:spacing w:before="156" w:beforeLines="50" w:line="480" w:lineRule="exact"/>
        <w:ind w:firstLine="1440" w:firstLineChars="600"/>
        <w:jc w:val="left"/>
        <w:rPr>
          <w:rFonts w:ascii="宋体" w:hAnsi="宋体" w:cs="宋体"/>
          <w:color w:val="000000" w:themeColor="text1"/>
          <w:kern w:val="0"/>
          <w:sz w:val="24"/>
        </w:rPr>
      </w:pPr>
      <w:r>
        <w:rPr>
          <w:rFonts w:hint="eastAsia" w:ascii="宋体" w:hAnsi="宋体" w:cs="宋体"/>
          <w:color w:val="000000" w:themeColor="text1"/>
          <w:kern w:val="0"/>
          <w:sz w:val="24"/>
        </w:rPr>
        <w:t>第五章    政府采购合同主要条款</w:t>
      </w:r>
    </w:p>
    <w:p>
      <w:pPr>
        <w:widowControl/>
        <w:wordWrap w:val="0"/>
        <w:spacing w:before="156" w:beforeLines="50" w:line="480" w:lineRule="exact"/>
        <w:ind w:firstLine="1440" w:firstLineChars="600"/>
        <w:jc w:val="left"/>
        <w:rPr>
          <w:rFonts w:ascii="宋体" w:hAnsi="宋体" w:cs="宋体"/>
          <w:color w:val="000000" w:themeColor="text1"/>
          <w:kern w:val="0"/>
          <w:sz w:val="24"/>
        </w:rPr>
      </w:pPr>
      <w:r>
        <w:rPr>
          <w:rFonts w:hint="eastAsia" w:ascii="宋体" w:hAnsi="宋体" w:cs="宋体"/>
          <w:color w:val="000000" w:themeColor="text1"/>
          <w:kern w:val="0"/>
          <w:sz w:val="24"/>
        </w:rPr>
        <w:t>第六章    投标文件格式</w:t>
      </w:r>
    </w:p>
    <w:p>
      <w:pPr>
        <w:widowControl/>
        <w:wordWrap w:val="0"/>
        <w:spacing w:before="156" w:beforeLines="50" w:line="480" w:lineRule="exact"/>
        <w:ind w:left="134" w:leftChars="64" w:firstLine="2040" w:firstLineChars="8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before="156" w:beforeLines="50" w:line="480" w:lineRule="exact"/>
        <w:ind w:left="134" w:leftChars="64" w:firstLine="2550" w:firstLineChars="850"/>
        <w:jc w:val="left"/>
        <w:rPr>
          <w:rFonts w:ascii="宋体" w:hAnsi="宋体" w:cs="宋体"/>
          <w:color w:val="000000" w:themeColor="text1"/>
          <w:kern w:val="0"/>
          <w:sz w:val="30"/>
        </w:rPr>
      </w:pPr>
      <w:r>
        <w:rPr>
          <w:rFonts w:hint="eastAsia" w:ascii="宋体" w:hAnsi="宋体" w:cs="宋体"/>
          <w:color w:val="000000" w:themeColor="text1"/>
          <w:kern w:val="0"/>
          <w:sz w:val="30"/>
        </w:rPr>
        <w:t xml:space="preserve"> </w:t>
      </w:r>
    </w:p>
    <w:p>
      <w:pPr>
        <w:widowControl/>
        <w:wordWrap w:val="0"/>
        <w:spacing w:before="156" w:beforeLines="50" w:line="480" w:lineRule="exact"/>
        <w:ind w:left="134" w:leftChars="64" w:firstLine="2550" w:firstLineChars="850"/>
        <w:jc w:val="left"/>
        <w:rPr>
          <w:rFonts w:ascii="宋体" w:hAnsi="宋体" w:cs="宋体"/>
          <w:color w:val="000000" w:themeColor="text1"/>
          <w:kern w:val="0"/>
          <w:sz w:val="30"/>
        </w:rPr>
      </w:pPr>
      <w:r>
        <w:rPr>
          <w:rFonts w:hint="eastAsia" w:ascii="宋体" w:hAnsi="宋体" w:cs="宋体"/>
          <w:color w:val="000000" w:themeColor="text1"/>
          <w:kern w:val="0"/>
          <w:sz w:val="30"/>
        </w:rPr>
        <w:t xml:space="preserve"> </w:t>
      </w:r>
    </w:p>
    <w:p>
      <w:pPr>
        <w:pStyle w:val="68"/>
        <w:rPr>
          <w:rFonts w:hAnsi="宋体" w:cs="宋体"/>
          <w:color w:val="000000" w:themeColor="text1"/>
          <w:kern w:val="0"/>
          <w:sz w:val="30"/>
        </w:rPr>
      </w:pPr>
    </w:p>
    <w:p>
      <w:pPr>
        <w:pStyle w:val="68"/>
        <w:rPr>
          <w:rFonts w:hAnsi="宋体" w:cs="宋体"/>
          <w:color w:val="000000" w:themeColor="text1"/>
          <w:kern w:val="0"/>
          <w:sz w:val="30"/>
        </w:rPr>
      </w:pPr>
    </w:p>
    <w:p>
      <w:pPr>
        <w:pStyle w:val="2"/>
        <w:numPr>
          <w:ilvl w:val="0"/>
          <w:numId w:val="1"/>
        </w:numPr>
        <w:rPr>
          <w:rFonts w:hint="eastAsia"/>
        </w:rPr>
      </w:pPr>
      <w:r>
        <w:rPr>
          <w:rFonts w:hint="eastAsia"/>
        </w:rPr>
        <w:t xml:space="preserve">  </w:t>
      </w:r>
    </w:p>
    <w:p>
      <w:pPr>
        <w:pStyle w:val="2"/>
        <w:rPr>
          <w:sz w:val="32"/>
        </w:rPr>
      </w:pPr>
      <w:r>
        <w:rPr>
          <w:rFonts w:hint="eastAsia"/>
          <w:sz w:val="32"/>
        </w:rPr>
        <w:t>1995工业文化创意园完善提升工程（货物采购）</w:t>
      </w:r>
    </w:p>
    <w:p>
      <w:pPr>
        <w:pStyle w:val="2"/>
        <w:rPr>
          <w:sz w:val="32"/>
        </w:rPr>
      </w:pPr>
      <w:r>
        <w:rPr>
          <w:rFonts w:hint="eastAsia"/>
          <w:sz w:val="32"/>
        </w:rPr>
        <w:t>招标公告</w:t>
      </w:r>
    </w:p>
    <w:p>
      <w:pPr>
        <w:spacing w:line="480" w:lineRule="exact"/>
        <w:ind w:left="482"/>
        <w:rPr>
          <w:rFonts w:ascii="宋体" w:hAnsi="宋体" w:cs="宋体"/>
          <w:color w:val="000000" w:themeColor="text1"/>
          <w:sz w:val="24"/>
        </w:rPr>
      </w:pPr>
      <w:bookmarkStart w:id="0" w:name="OLE_LINK3"/>
      <w:r>
        <w:rPr>
          <w:rFonts w:hint="eastAsia" w:ascii="宋体" w:hAnsi="宋体" w:cs="宋体"/>
          <w:color w:val="000000" w:themeColor="text1"/>
          <w:sz w:val="24"/>
        </w:rPr>
        <w:t>项目概况</w:t>
      </w:r>
    </w:p>
    <w:p>
      <w:pPr>
        <w:spacing w:line="480" w:lineRule="exact"/>
        <w:ind w:left="482"/>
        <w:jc w:val="left"/>
        <w:rPr>
          <w:rFonts w:ascii="宋体" w:hAnsi="宋体" w:cs="宋体"/>
          <w:color w:val="000000" w:themeColor="text1"/>
          <w:sz w:val="24"/>
        </w:rPr>
      </w:pPr>
      <w:r>
        <w:rPr>
          <w:rFonts w:hint="eastAsia" w:ascii="宋体" w:hAnsi="宋体" w:cs="宋体"/>
          <w:color w:val="000000" w:themeColor="text1"/>
          <w:sz w:val="24"/>
        </w:rPr>
        <w:t xml:space="preserve">    1995工业文化创意园完善提升工程（货物采购）的潜在供应商应在驻马店市公共资源交易中心电子交易平台（https://ggzy.zhumadian.gov.cn）获取招标文件，并于2024年7月</w:t>
      </w:r>
      <w:r>
        <w:rPr>
          <w:rFonts w:hint="eastAsia" w:ascii="宋体" w:hAnsi="宋体" w:cs="宋体"/>
          <w:color w:val="000000" w:themeColor="text1"/>
          <w:sz w:val="24"/>
          <w:lang w:val="en-US" w:eastAsia="zh-CN"/>
        </w:rPr>
        <w:t>16</w:t>
      </w:r>
      <w:r>
        <w:rPr>
          <w:rFonts w:hint="eastAsia" w:ascii="宋体" w:hAnsi="宋体" w:cs="宋体"/>
          <w:color w:val="000000" w:themeColor="text1"/>
          <w:sz w:val="24"/>
        </w:rPr>
        <w:t>日09：00时（北京时间）前递交投标文件。</w:t>
      </w:r>
    </w:p>
    <w:p>
      <w:pPr>
        <w:spacing w:line="480" w:lineRule="exact"/>
        <w:ind w:left="482"/>
        <w:rPr>
          <w:rFonts w:ascii="宋体" w:hAnsi="宋体" w:cs="宋体"/>
          <w:b/>
          <w:color w:val="000000" w:themeColor="text1"/>
          <w:sz w:val="24"/>
        </w:rPr>
      </w:pPr>
      <w:r>
        <w:rPr>
          <w:rFonts w:hint="eastAsia" w:ascii="宋体" w:hAnsi="宋体" w:cs="宋体"/>
          <w:b/>
          <w:color w:val="000000" w:themeColor="text1"/>
          <w:sz w:val="24"/>
        </w:rPr>
        <w:t>一、项目基本情况：</w:t>
      </w:r>
    </w:p>
    <w:p>
      <w:pPr>
        <w:spacing w:line="480" w:lineRule="exact"/>
        <w:ind w:left="482"/>
        <w:rPr>
          <w:rFonts w:ascii="宋体" w:hAnsi="宋体" w:cs="宋体"/>
          <w:bCs/>
          <w:color w:val="000000" w:themeColor="text1"/>
          <w:sz w:val="24"/>
        </w:rPr>
      </w:pPr>
      <w:r>
        <w:rPr>
          <w:rFonts w:hint="eastAsia" w:ascii="宋体" w:hAnsi="宋体" w:cs="宋体"/>
          <w:color w:val="000000" w:themeColor="text1"/>
          <w:sz w:val="24"/>
        </w:rPr>
        <w:t>1.项目编号</w:t>
      </w:r>
      <w:r>
        <w:rPr>
          <w:rFonts w:hint="eastAsia" w:ascii="宋体" w:hAnsi="宋体" w:cs="宋体"/>
          <w:bCs/>
          <w:color w:val="000000" w:themeColor="text1"/>
          <w:sz w:val="24"/>
        </w:rPr>
        <w:t xml:space="preserve">：遂财招标-2024-30 </w:t>
      </w:r>
    </w:p>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2.项目名称：1995工业文化创意园完善提升工程（货物采购）</w:t>
      </w:r>
    </w:p>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3.采购方式：公开招标</w:t>
      </w:r>
    </w:p>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 xml:space="preserve">4.预算金额：3410000.00元 </w:t>
      </w:r>
    </w:p>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 xml:space="preserve">最高限价： 3410000.00元  </w:t>
      </w:r>
    </w:p>
    <w:tbl>
      <w:tblPr>
        <w:tblStyle w:val="46"/>
        <w:tblW w:w="11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215"/>
        <w:gridCol w:w="2326"/>
        <w:gridCol w:w="1555"/>
        <w:gridCol w:w="1908"/>
        <w:gridCol w:w="1481"/>
        <w:gridCol w:w="2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序号</w:t>
            </w:r>
          </w:p>
        </w:tc>
        <w:tc>
          <w:tcPr>
            <w:tcW w:w="121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包号</w:t>
            </w:r>
          </w:p>
        </w:tc>
        <w:tc>
          <w:tcPr>
            <w:tcW w:w="232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包名称</w:t>
            </w:r>
          </w:p>
        </w:tc>
        <w:tc>
          <w:tcPr>
            <w:tcW w:w="155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包预算（元）</w:t>
            </w:r>
          </w:p>
        </w:tc>
        <w:tc>
          <w:tcPr>
            <w:tcW w:w="1908"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包最高限价（元）</w:t>
            </w:r>
          </w:p>
        </w:tc>
        <w:tc>
          <w:tcPr>
            <w:tcW w:w="148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 xml:space="preserve">是否专门面向中小企业  </w:t>
            </w:r>
          </w:p>
        </w:tc>
        <w:tc>
          <w:tcPr>
            <w:tcW w:w="209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1</w:t>
            </w:r>
          </w:p>
        </w:tc>
        <w:tc>
          <w:tcPr>
            <w:tcW w:w="121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遂政采招【2024】  50号A</w:t>
            </w:r>
          </w:p>
        </w:tc>
        <w:tc>
          <w:tcPr>
            <w:tcW w:w="232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1995工业文化创意园完善提升工程（货物采购）A包</w:t>
            </w:r>
          </w:p>
        </w:tc>
        <w:tc>
          <w:tcPr>
            <w:tcW w:w="155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3410000.00</w:t>
            </w:r>
          </w:p>
        </w:tc>
        <w:tc>
          <w:tcPr>
            <w:tcW w:w="1908"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3410000.00</w:t>
            </w:r>
          </w:p>
        </w:tc>
        <w:tc>
          <w:tcPr>
            <w:tcW w:w="1481"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是</w:t>
            </w:r>
          </w:p>
        </w:tc>
        <w:tc>
          <w:tcPr>
            <w:tcW w:w="209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hAnsi="宋体" w:cs="宋体"/>
                <w:color w:val="000000" w:themeColor="text1"/>
                <w:sz w:val="24"/>
              </w:rPr>
            </w:pPr>
            <w:r>
              <w:rPr>
                <w:rFonts w:hint="eastAsia" w:ascii="宋体" w:hAnsi="宋体" w:cs="宋体"/>
                <w:color w:val="000000" w:themeColor="text1"/>
                <w:sz w:val="24"/>
              </w:rPr>
              <w:t>3410000，其中小微企业采购金额：3410000</w:t>
            </w:r>
          </w:p>
        </w:tc>
      </w:tr>
    </w:tbl>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5.采购需求（包括但不限于标的的名称、数量、简要技术需求或服务要求等）：1995工业文化创意园完善提升工程（货物采购），详见招标文件。</w:t>
      </w:r>
    </w:p>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6.合同履行期限：合同签订之日起60日历天</w:t>
      </w:r>
    </w:p>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7.本项目是否接受联合体投标：否</w:t>
      </w:r>
    </w:p>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8.本项目是否接受进口产品：否</w:t>
      </w:r>
    </w:p>
    <w:p>
      <w:pPr>
        <w:spacing w:line="480" w:lineRule="exact"/>
        <w:ind w:left="482"/>
        <w:rPr>
          <w:rFonts w:ascii="宋体" w:hAnsi="宋体" w:cs="宋体"/>
          <w:color w:val="000000" w:themeColor="text1"/>
          <w:sz w:val="24"/>
        </w:rPr>
      </w:pPr>
      <w:r>
        <w:rPr>
          <w:rFonts w:hint="eastAsia" w:ascii="宋体" w:hAnsi="宋体" w:cs="宋体"/>
          <w:color w:val="000000" w:themeColor="text1"/>
          <w:sz w:val="24"/>
        </w:rPr>
        <w:t>9、是否专门面向中小企业：是</w:t>
      </w:r>
    </w:p>
    <w:p>
      <w:pPr>
        <w:spacing w:line="480" w:lineRule="exact"/>
        <w:rPr>
          <w:rFonts w:ascii="宋体" w:hAnsi="宋体" w:cs="宋体"/>
          <w:b/>
          <w:color w:val="000000" w:themeColor="text1"/>
          <w:sz w:val="24"/>
        </w:rPr>
      </w:pPr>
      <w:r>
        <w:rPr>
          <w:rFonts w:hint="eastAsia" w:ascii="宋体" w:hAnsi="宋体" w:cs="宋体"/>
          <w:b/>
          <w:color w:val="000000" w:themeColor="text1"/>
          <w:sz w:val="24"/>
        </w:rPr>
        <w:t>二、申请人的资格要求：</w:t>
      </w:r>
    </w:p>
    <w:p>
      <w:pPr>
        <w:adjustRightInd w:val="0"/>
        <w:snapToGrid w:val="0"/>
        <w:spacing w:line="480" w:lineRule="exact"/>
        <w:ind w:left="482"/>
        <w:rPr>
          <w:rFonts w:ascii="宋体" w:hAnsi="宋体" w:cs="宋体"/>
          <w:color w:val="000000" w:themeColor="text1"/>
          <w:sz w:val="24"/>
        </w:rPr>
      </w:pPr>
      <w:r>
        <w:rPr>
          <w:rFonts w:hint="eastAsia" w:ascii="宋体" w:hAnsi="宋体" w:cs="宋体"/>
          <w:color w:val="000000" w:themeColor="text1"/>
          <w:sz w:val="24"/>
        </w:rPr>
        <w:t>1.满足《中华人民共和国政府采购法》第二十二条规定；</w:t>
      </w:r>
    </w:p>
    <w:p>
      <w:pPr>
        <w:adjustRightInd w:val="0"/>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2.落实政府采购政策需满足的资格要求：落实《政府采购促进中小企业发展管理办法》财库【2020】46号文件规定。属于专门面向中小企业采购的项目,供应商应为中小微企业、监狱企业、残疾人福利性单位；；</w:t>
      </w:r>
    </w:p>
    <w:p>
      <w:pPr>
        <w:numPr>
          <w:ilvl w:val="0"/>
          <w:numId w:val="2"/>
        </w:numPr>
        <w:adjustRightInd w:val="0"/>
        <w:snapToGrid w:val="0"/>
        <w:spacing w:line="360" w:lineRule="auto"/>
        <w:ind w:left="482"/>
        <w:rPr>
          <w:rFonts w:ascii="宋体" w:hAnsi="宋体" w:cs="宋体"/>
          <w:color w:val="000000" w:themeColor="text1"/>
          <w:sz w:val="24"/>
        </w:rPr>
      </w:pPr>
      <w:r>
        <w:rPr>
          <w:rFonts w:hint="eastAsia" w:ascii="宋体" w:hAnsi="宋体" w:cs="宋体"/>
          <w:color w:val="000000" w:themeColor="text1"/>
          <w:sz w:val="24"/>
        </w:rPr>
        <w:t>本项目的特定资格要求</w:t>
      </w:r>
    </w:p>
    <w:p>
      <w:pPr>
        <w:pStyle w:val="63"/>
        <w:spacing w:line="360" w:lineRule="auto"/>
        <w:ind w:firstLine="480" w:firstLineChars="200"/>
        <w:rPr>
          <w:rFonts w:ascii="宋体" w:hAnsi="宋体" w:cs="宋体"/>
          <w:color w:val="000000" w:themeColor="text1"/>
          <w:sz w:val="24"/>
          <w:szCs w:val="24"/>
        </w:rPr>
      </w:pPr>
      <w:r>
        <w:rPr>
          <w:rFonts w:hint="eastAsia" w:ascii="宋体" w:hAnsi="宋体" w:cs="宋体"/>
          <w:color w:val="000000" w:themeColor="text1"/>
          <w:sz w:val="24"/>
          <w:szCs w:val="24"/>
        </w:rPr>
        <w:t>3.1符合《中华人民共和国政府采购法》第二十二条规定（根据驻财购【2022】15号文件规定实行承诺制）。</w:t>
      </w:r>
    </w:p>
    <w:p>
      <w:pPr>
        <w:pStyle w:val="44"/>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3.2根据《关于在政府采购活动中查询及使用信用记录有关问题的通知》（财库【2016】125 号）的规定，对列入失信被执行人、重大税收违法案件当事人名单、政府采购严重违法失信行为记录名单的供应商，拒绝参与本项目招标活动。【查询渠道：“信用中国”网站（www.creditchina.gov.cn）、中国政府采购网（www.ccgp.gov.cn）】(查询日期在公告发出之后)。</w:t>
      </w:r>
    </w:p>
    <w:p>
      <w:pPr>
        <w:pStyle w:val="44"/>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3.3.本项目不接受联合体投标，不允许转包和分包。</w:t>
      </w:r>
    </w:p>
    <w:p>
      <w:pPr>
        <w:spacing w:line="440" w:lineRule="exact"/>
        <w:rPr>
          <w:rFonts w:ascii="宋体" w:hAnsi="宋体" w:cs="宋体"/>
          <w:b/>
          <w:color w:val="000000" w:themeColor="text1"/>
          <w:sz w:val="24"/>
        </w:rPr>
      </w:pPr>
      <w:r>
        <w:rPr>
          <w:rFonts w:hint="eastAsia" w:ascii="宋体" w:hAnsi="宋体" w:cs="宋体"/>
          <w:b/>
          <w:color w:val="000000" w:themeColor="text1"/>
          <w:sz w:val="24"/>
        </w:rPr>
        <w:t>三、获取招标文件：</w:t>
      </w:r>
    </w:p>
    <w:p>
      <w:pPr>
        <w:spacing w:line="440" w:lineRule="exact"/>
        <w:ind w:firstLine="360" w:firstLineChars="150"/>
        <w:rPr>
          <w:rFonts w:ascii="宋体" w:hAnsi="宋体" w:cs="宋体"/>
          <w:b/>
          <w:color w:val="000000" w:themeColor="text1"/>
          <w:sz w:val="24"/>
        </w:rPr>
      </w:pPr>
      <w:r>
        <w:rPr>
          <w:rFonts w:hint="eastAsia" w:ascii="宋体" w:hAnsi="宋体" w:cs="宋体"/>
          <w:color w:val="000000" w:themeColor="text1"/>
          <w:sz w:val="24"/>
        </w:rPr>
        <w:t>1、时间：2024年6月</w:t>
      </w:r>
      <w:r>
        <w:rPr>
          <w:rFonts w:hint="eastAsia" w:ascii="宋体" w:hAnsi="宋体" w:cs="宋体"/>
          <w:color w:val="000000" w:themeColor="text1"/>
          <w:sz w:val="24"/>
          <w:lang w:val="en-US" w:eastAsia="zh-CN"/>
        </w:rPr>
        <w:t>24</w:t>
      </w:r>
      <w:r>
        <w:rPr>
          <w:rFonts w:hint="eastAsia" w:ascii="宋体" w:hAnsi="宋体" w:cs="宋体"/>
          <w:color w:val="000000" w:themeColor="text1"/>
          <w:sz w:val="24"/>
        </w:rPr>
        <w:t>日至2024年6月</w:t>
      </w:r>
      <w:r>
        <w:rPr>
          <w:rFonts w:hint="eastAsia" w:ascii="宋体" w:hAnsi="宋体" w:cs="宋体"/>
          <w:color w:val="000000" w:themeColor="text1"/>
          <w:sz w:val="24"/>
          <w:lang w:val="en-US" w:eastAsia="zh-CN"/>
        </w:rPr>
        <w:t>28</w:t>
      </w:r>
      <w:r>
        <w:rPr>
          <w:rFonts w:hint="eastAsia" w:ascii="宋体" w:hAnsi="宋体" w:cs="宋体"/>
          <w:color w:val="000000" w:themeColor="text1"/>
          <w:sz w:val="24"/>
        </w:rPr>
        <w:t>日。每天上午08:00时至12:00时，下午12:00时至18:00时（北京时间，法定节假日除外。）</w:t>
      </w:r>
    </w:p>
    <w:p>
      <w:pPr>
        <w:spacing w:line="440" w:lineRule="exact"/>
        <w:ind w:left="482"/>
        <w:rPr>
          <w:rFonts w:ascii="宋体" w:hAnsi="宋体" w:cs="宋体"/>
          <w:color w:val="000000" w:themeColor="text1"/>
          <w:sz w:val="24"/>
          <w:u w:val="single"/>
        </w:rPr>
      </w:pPr>
      <w:r>
        <w:rPr>
          <w:rFonts w:hint="eastAsia" w:ascii="宋体" w:hAnsi="宋体" w:cs="宋体"/>
          <w:color w:val="000000" w:themeColor="text1"/>
          <w:sz w:val="24"/>
        </w:rPr>
        <w:t>2.地点：驻马店市公共资源交易中心电子交易平台</w:t>
      </w:r>
    </w:p>
    <w:p>
      <w:pPr>
        <w:spacing w:line="440" w:lineRule="exact"/>
        <w:ind w:left="482"/>
        <w:rPr>
          <w:rFonts w:ascii="宋体" w:hAnsi="宋体" w:cs="宋体"/>
          <w:color w:val="000000" w:themeColor="text1"/>
          <w:sz w:val="24"/>
          <w:u w:val="single"/>
        </w:rPr>
      </w:pPr>
      <w:r>
        <w:rPr>
          <w:rFonts w:hint="eastAsia" w:ascii="宋体" w:hAnsi="宋体" w:cs="宋体"/>
          <w:color w:val="000000" w:themeColor="text1"/>
          <w:sz w:val="24"/>
        </w:rPr>
        <w:t>3.方式：网上下载</w:t>
      </w:r>
    </w:p>
    <w:p>
      <w:pPr>
        <w:spacing w:line="440" w:lineRule="exact"/>
        <w:ind w:left="482"/>
        <w:rPr>
          <w:rFonts w:ascii="宋体" w:hAnsi="宋体" w:cs="宋体"/>
          <w:color w:val="000000" w:themeColor="text1"/>
          <w:sz w:val="24"/>
        </w:rPr>
      </w:pPr>
      <w:r>
        <w:rPr>
          <w:rFonts w:hint="eastAsia" w:ascii="宋体" w:hAnsi="宋体" w:cs="宋体"/>
          <w:color w:val="000000" w:themeColor="text1"/>
          <w:sz w:val="24"/>
        </w:rPr>
        <w:t>4.售价：0元</w:t>
      </w:r>
    </w:p>
    <w:p>
      <w:pPr>
        <w:spacing w:line="440" w:lineRule="exact"/>
        <w:ind w:left="142"/>
        <w:rPr>
          <w:rFonts w:ascii="宋体" w:hAnsi="宋体" w:cs="宋体"/>
          <w:b/>
          <w:color w:val="000000" w:themeColor="text1"/>
          <w:sz w:val="24"/>
        </w:rPr>
      </w:pPr>
      <w:r>
        <w:rPr>
          <w:rFonts w:hint="eastAsia" w:ascii="宋体" w:hAnsi="宋体" w:cs="宋体"/>
          <w:b/>
          <w:color w:val="000000" w:themeColor="text1"/>
          <w:sz w:val="24"/>
        </w:rPr>
        <w:t>四、投标截止时间及地点：</w:t>
      </w:r>
    </w:p>
    <w:p>
      <w:pPr>
        <w:spacing w:line="440" w:lineRule="exact"/>
        <w:ind w:left="482"/>
        <w:rPr>
          <w:rFonts w:ascii="宋体" w:hAnsi="宋体" w:cs="宋体"/>
          <w:bCs/>
          <w:color w:val="000000" w:themeColor="text1"/>
          <w:sz w:val="24"/>
        </w:rPr>
      </w:pPr>
      <w:r>
        <w:rPr>
          <w:rFonts w:hint="eastAsia" w:ascii="宋体" w:hAnsi="宋体" w:cs="宋体"/>
          <w:bCs/>
          <w:color w:val="000000" w:themeColor="text1"/>
          <w:sz w:val="24"/>
        </w:rPr>
        <w:t>1.时间：</w:t>
      </w:r>
      <w:r>
        <w:rPr>
          <w:rFonts w:hint="eastAsia" w:ascii="宋体" w:hAnsi="宋体" w:cs="宋体"/>
          <w:color w:val="000000" w:themeColor="text1"/>
          <w:sz w:val="24"/>
        </w:rPr>
        <w:t>2024年7月</w:t>
      </w:r>
      <w:r>
        <w:rPr>
          <w:rFonts w:hint="eastAsia" w:ascii="宋体" w:hAnsi="宋体" w:cs="宋体"/>
          <w:color w:val="000000" w:themeColor="text1"/>
          <w:sz w:val="24"/>
          <w:lang w:val="en-US" w:eastAsia="zh-CN"/>
        </w:rPr>
        <w:t>16</w:t>
      </w:r>
      <w:r>
        <w:rPr>
          <w:rFonts w:hint="eastAsia" w:ascii="宋体" w:hAnsi="宋体" w:cs="宋体"/>
          <w:color w:val="000000" w:themeColor="text1"/>
          <w:sz w:val="24"/>
        </w:rPr>
        <w:t>日09：00</w:t>
      </w:r>
      <w:r>
        <w:rPr>
          <w:rFonts w:hint="eastAsia" w:ascii="宋体" w:hAnsi="宋体" w:cs="宋体"/>
          <w:bCs/>
          <w:color w:val="000000" w:themeColor="text1"/>
          <w:sz w:val="24"/>
        </w:rPr>
        <w:t>时（北京时间）</w:t>
      </w:r>
    </w:p>
    <w:p>
      <w:pPr>
        <w:spacing w:line="440" w:lineRule="exact"/>
        <w:ind w:left="482"/>
        <w:rPr>
          <w:rFonts w:ascii="宋体" w:hAnsi="宋体" w:cs="宋体"/>
          <w:color w:val="000000" w:themeColor="text1"/>
          <w:sz w:val="24"/>
        </w:rPr>
      </w:pPr>
      <w:r>
        <w:rPr>
          <w:rFonts w:hint="eastAsia" w:ascii="宋体" w:hAnsi="宋体" w:cs="宋体"/>
          <w:color w:val="000000" w:themeColor="text1"/>
          <w:sz w:val="24"/>
        </w:rPr>
        <w:t>2.地点：遂平县公共资源交易中心不见面开标室</w:t>
      </w:r>
    </w:p>
    <w:p>
      <w:pPr>
        <w:spacing w:line="440" w:lineRule="exact"/>
        <w:ind w:left="142"/>
        <w:rPr>
          <w:rFonts w:ascii="宋体" w:hAnsi="宋体" w:cs="宋体"/>
          <w:b/>
          <w:color w:val="000000" w:themeColor="text1"/>
          <w:sz w:val="24"/>
        </w:rPr>
      </w:pPr>
      <w:r>
        <w:rPr>
          <w:rFonts w:hint="eastAsia" w:ascii="宋体" w:hAnsi="宋体" w:cs="宋体"/>
          <w:b/>
          <w:color w:val="000000" w:themeColor="text1"/>
          <w:sz w:val="24"/>
        </w:rPr>
        <w:t>五、开标时间及地点：</w:t>
      </w:r>
    </w:p>
    <w:p>
      <w:pPr>
        <w:spacing w:line="440" w:lineRule="exact"/>
        <w:ind w:left="482"/>
        <w:rPr>
          <w:rFonts w:ascii="宋体" w:hAnsi="宋体" w:cs="宋体"/>
          <w:color w:val="000000" w:themeColor="text1"/>
          <w:sz w:val="24"/>
        </w:rPr>
      </w:pPr>
      <w:r>
        <w:rPr>
          <w:rFonts w:hint="eastAsia" w:ascii="宋体" w:hAnsi="宋体" w:cs="宋体"/>
          <w:color w:val="000000" w:themeColor="text1"/>
          <w:sz w:val="24"/>
        </w:rPr>
        <w:t>1.时间：2024年7月</w:t>
      </w:r>
      <w:r>
        <w:rPr>
          <w:rFonts w:hint="eastAsia" w:ascii="宋体" w:hAnsi="宋体" w:cs="宋体"/>
          <w:color w:val="000000" w:themeColor="text1"/>
          <w:sz w:val="24"/>
          <w:lang w:val="en-US" w:eastAsia="zh-CN"/>
        </w:rPr>
        <w:t>16</w:t>
      </w:r>
      <w:r>
        <w:rPr>
          <w:rFonts w:hint="eastAsia" w:ascii="宋体" w:hAnsi="宋体" w:cs="宋体"/>
          <w:color w:val="000000" w:themeColor="text1"/>
          <w:sz w:val="24"/>
        </w:rPr>
        <w:t>日09：00</w:t>
      </w:r>
      <w:r>
        <w:rPr>
          <w:rFonts w:hint="eastAsia" w:ascii="宋体" w:hAnsi="宋体" w:cs="宋体"/>
          <w:bCs/>
          <w:color w:val="000000" w:themeColor="text1"/>
          <w:sz w:val="24"/>
        </w:rPr>
        <w:t>时</w:t>
      </w:r>
      <w:r>
        <w:rPr>
          <w:rFonts w:hint="eastAsia" w:ascii="宋体" w:hAnsi="宋体" w:cs="宋体"/>
          <w:color w:val="000000" w:themeColor="text1"/>
          <w:sz w:val="24"/>
        </w:rPr>
        <w:t>(北京时间)</w:t>
      </w:r>
    </w:p>
    <w:p>
      <w:pPr>
        <w:spacing w:line="440" w:lineRule="exact"/>
        <w:ind w:left="482"/>
        <w:rPr>
          <w:rFonts w:ascii="宋体" w:hAnsi="宋体" w:cs="宋体"/>
          <w:color w:val="000000" w:themeColor="text1"/>
          <w:sz w:val="24"/>
        </w:rPr>
      </w:pPr>
      <w:r>
        <w:rPr>
          <w:rFonts w:hint="eastAsia" w:ascii="宋体" w:hAnsi="宋体" w:cs="宋体"/>
          <w:color w:val="000000" w:themeColor="text1"/>
          <w:sz w:val="24"/>
        </w:rPr>
        <w:t>2.地点:遂平县公共资源交易中心不见面开标室</w:t>
      </w:r>
    </w:p>
    <w:p>
      <w:pPr>
        <w:spacing w:line="440" w:lineRule="exact"/>
        <w:ind w:left="142"/>
        <w:rPr>
          <w:rFonts w:ascii="宋体" w:hAnsi="宋体" w:cs="宋体"/>
          <w:b/>
          <w:sz w:val="24"/>
        </w:rPr>
      </w:pPr>
      <w:r>
        <w:rPr>
          <w:rFonts w:hint="eastAsia" w:ascii="宋体" w:hAnsi="宋体" w:cs="宋体"/>
          <w:b/>
          <w:sz w:val="24"/>
        </w:rPr>
        <w:t>六、发布公告的媒介及招标公告期限：</w:t>
      </w:r>
    </w:p>
    <w:p>
      <w:pPr>
        <w:spacing w:line="440" w:lineRule="exact"/>
        <w:ind w:firstLine="480" w:firstLineChars="200"/>
        <w:rPr>
          <w:rFonts w:ascii="宋体" w:hAnsi="宋体" w:cs="宋体"/>
          <w:kern w:val="0"/>
          <w:sz w:val="24"/>
        </w:rPr>
      </w:pPr>
      <w:r>
        <w:rPr>
          <w:rFonts w:hint="eastAsia" w:ascii="宋体" w:hAnsi="宋体" w:cs="宋体"/>
          <w:sz w:val="24"/>
        </w:rPr>
        <w:t>本次招标公告在《河南省政府采购网》、《驻马店市公共资源交易中心网》上发布。招标公告期限为</w:t>
      </w:r>
      <w:r>
        <w:rPr>
          <w:rFonts w:hint="eastAsia" w:ascii="宋体" w:hAnsi="宋体" w:cs="宋体"/>
          <w:kern w:val="0"/>
          <w:sz w:val="24"/>
        </w:rPr>
        <w:t>五个工作日。</w:t>
      </w:r>
    </w:p>
    <w:p>
      <w:pPr>
        <w:spacing w:line="440" w:lineRule="exact"/>
        <w:ind w:left="142"/>
        <w:rPr>
          <w:rFonts w:ascii="宋体" w:hAnsi="宋体" w:cs="宋体"/>
          <w:b/>
          <w:sz w:val="24"/>
        </w:rPr>
      </w:pPr>
      <w:r>
        <w:rPr>
          <w:rFonts w:hint="eastAsia" w:ascii="宋体" w:hAnsi="宋体" w:cs="宋体"/>
          <w:b/>
          <w:sz w:val="24"/>
        </w:rPr>
        <w:t>七、其他补充事宜：</w:t>
      </w:r>
    </w:p>
    <w:p>
      <w:pPr>
        <w:spacing w:line="440" w:lineRule="exact"/>
        <w:ind w:firstLine="480" w:firstLineChars="200"/>
        <w:rPr>
          <w:rFonts w:ascii="宋体" w:hAnsi="宋体" w:cs="宋体"/>
          <w:sz w:val="24"/>
        </w:rPr>
      </w:pPr>
      <w:r>
        <w:rPr>
          <w:rFonts w:hint="eastAsia" w:ascii="宋体" w:hAnsi="宋体" w:cs="宋体"/>
          <w:sz w:val="24"/>
        </w:rPr>
        <w:t>1.本项目使用远程不见面交易的模式。供应商应于投标截止时间前将加密电子投标文件(.zmdtf格式)在驻马店市公共资源交易中心电子交易平台加密上传，逾期上传其投标将被拒绝。</w:t>
      </w:r>
    </w:p>
    <w:p>
      <w:pPr>
        <w:spacing w:line="440" w:lineRule="exact"/>
        <w:ind w:left="482"/>
        <w:rPr>
          <w:rFonts w:ascii="宋体" w:hAnsi="宋体" w:cs="宋体"/>
          <w:sz w:val="24"/>
        </w:rPr>
      </w:pPr>
      <w:r>
        <w:rPr>
          <w:rFonts w:hint="eastAsia" w:ascii="宋体" w:hAnsi="宋体" w:cs="宋体"/>
          <w:sz w:val="24"/>
        </w:rPr>
        <w:t>2.供应商注册:</w:t>
      </w:r>
    </w:p>
    <w:p>
      <w:pPr>
        <w:spacing w:line="440" w:lineRule="exact"/>
        <w:ind w:firstLine="720" w:firstLineChars="300"/>
        <w:jc w:val="left"/>
        <w:rPr>
          <w:rFonts w:ascii="宋体" w:hAnsi="宋体" w:cs="宋体"/>
          <w:sz w:val="24"/>
        </w:rPr>
      </w:pPr>
      <w:r>
        <w:rPr>
          <w:rFonts w:hint="eastAsia" w:ascii="宋体" w:hAnsi="宋体" w:cs="宋体"/>
          <w:sz w:val="24"/>
        </w:rPr>
        <w:t>供应商首先通过“驻马店市公共资源交易中心（https://ggzy.zhumadian.gov.cn）”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pPr>
        <w:spacing w:line="440" w:lineRule="exact"/>
        <w:ind w:left="482"/>
        <w:rPr>
          <w:rFonts w:ascii="宋体" w:hAnsi="宋体" w:cs="宋体"/>
          <w:sz w:val="24"/>
        </w:rPr>
      </w:pPr>
      <w:r>
        <w:rPr>
          <w:rFonts w:hint="eastAsia" w:ascii="宋体" w:hAnsi="宋体" w:cs="宋体"/>
          <w:sz w:val="24"/>
        </w:rPr>
        <w:t xml:space="preserve">3.招标文件下载: </w:t>
      </w:r>
    </w:p>
    <w:p>
      <w:pPr>
        <w:spacing w:line="440" w:lineRule="exact"/>
        <w:ind w:firstLine="480" w:firstLineChars="200"/>
        <w:jc w:val="left"/>
        <w:rPr>
          <w:rFonts w:ascii="宋体" w:hAnsi="宋体" w:cs="宋体"/>
          <w:sz w:val="24"/>
        </w:rPr>
      </w:pPr>
      <w:r>
        <w:rPr>
          <w:rFonts w:hint="eastAsia" w:ascii="宋体" w:hAnsi="宋体" w:cs="宋体"/>
          <w:sz w:val="24"/>
        </w:rPr>
        <w:t>凡有意参加投标者，登录“驻马店市公共资源交易中心（https://ggzy.zhumadian.gov.cn/）”网站，凭领取的企业身份认证锁（CA密钥）登录系统进行网上免费下载招标文件。供应商未按规定在网上下载招标文件的，其投标将被拒绝。</w:t>
      </w:r>
    </w:p>
    <w:p>
      <w:pPr>
        <w:numPr>
          <w:ilvl w:val="0"/>
          <w:numId w:val="3"/>
        </w:numPr>
        <w:spacing w:line="440" w:lineRule="exact"/>
        <w:rPr>
          <w:rFonts w:ascii="宋体" w:hAnsi="宋体" w:cs="宋体"/>
          <w:b/>
          <w:sz w:val="24"/>
        </w:rPr>
      </w:pPr>
      <w:r>
        <w:rPr>
          <w:rFonts w:hint="eastAsia" w:ascii="宋体" w:hAnsi="宋体" w:cs="宋体"/>
          <w:b/>
          <w:sz w:val="24"/>
        </w:rPr>
        <w:t>凡对本次招标提出询问，请按以下方式联系。</w:t>
      </w:r>
      <w:bookmarkStart w:id="1" w:name="_Toc35393806"/>
      <w:bookmarkStart w:id="2" w:name="_Toc35393637"/>
      <w:bookmarkStart w:id="3" w:name="_Toc28359019"/>
      <w:bookmarkStart w:id="4" w:name="_Toc28359096"/>
    </w:p>
    <w:p>
      <w:pPr>
        <w:spacing w:line="440" w:lineRule="exact"/>
        <w:ind w:firstLine="480" w:firstLineChars="200"/>
        <w:rPr>
          <w:rFonts w:ascii="宋体" w:hAnsi="宋体" w:cs="宋体"/>
          <w:bCs/>
          <w:sz w:val="24"/>
        </w:rPr>
      </w:pPr>
      <w:r>
        <w:rPr>
          <w:rFonts w:hint="eastAsia" w:ascii="宋体" w:hAnsi="宋体" w:cs="宋体"/>
          <w:bCs/>
          <w:sz w:val="24"/>
        </w:rPr>
        <w:t>1.采购人信息</w:t>
      </w:r>
      <w:bookmarkEnd w:id="1"/>
      <w:bookmarkEnd w:id="2"/>
      <w:bookmarkEnd w:id="3"/>
      <w:bookmarkEnd w:id="4"/>
    </w:p>
    <w:p>
      <w:pPr>
        <w:spacing w:line="440" w:lineRule="exact"/>
        <w:ind w:firstLine="480" w:firstLineChars="200"/>
        <w:rPr>
          <w:rFonts w:ascii="宋体" w:hAnsi="宋体" w:cs="宋体"/>
          <w:bCs/>
          <w:sz w:val="24"/>
        </w:rPr>
      </w:pPr>
      <w:r>
        <w:rPr>
          <w:rFonts w:hint="eastAsia" w:ascii="宋体" w:hAnsi="宋体" w:cs="宋体"/>
          <w:bCs/>
          <w:sz w:val="24"/>
        </w:rPr>
        <w:t xml:space="preserve">名    称：遂平县文化广电和旅游局 </w:t>
      </w:r>
    </w:p>
    <w:p>
      <w:pPr>
        <w:spacing w:line="440" w:lineRule="exact"/>
        <w:ind w:firstLine="480" w:firstLineChars="200"/>
        <w:rPr>
          <w:rFonts w:ascii="宋体" w:hAnsi="宋体" w:cs="宋体"/>
          <w:bCs/>
          <w:sz w:val="24"/>
        </w:rPr>
      </w:pPr>
      <w:r>
        <w:rPr>
          <w:rFonts w:hint="eastAsia" w:ascii="宋体" w:hAnsi="宋体" w:cs="宋体"/>
          <w:bCs/>
          <w:sz w:val="24"/>
        </w:rPr>
        <w:t>地    址：遂平县勤政路　　　　　　　　　　　</w:t>
      </w:r>
    </w:p>
    <w:p>
      <w:pPr>
        <w:spacing w:line="440" w:lineRule="exact"/>
        <w:ind w:firstLine="480" w:firstLineChars="200"/>
        <w:rPr>
          <w:rFonts w:ascii="宋体" w:hAnsi="宋体" w:cs="宋体"/>
          <w:bCs/>
          <w:sz w:val="24"/>
        </w:rPr>
      </w:pPr>
      <w:r>
        <w:rPr>
          <w:rFonts w:hint="eastAsia" w:ascii="宋体" w:hAnsi="宋体" w:cs="宋体"/>
          <w:bCs/>
          <w:sz w:val="24"/>
        </w:rPr>
        <w:t>联 系 人：闫阁</w:t>
      </w:r>
    </w:p>
    <w:p>
      <w:pPr>
        <w:spacing w:line="440" w:lineRule="exact"/>
        <w:ind w:firstLine="480" w:firstLineChars="200"/>
        <w:rPr>
          <w:rFonts w:ascii="宋体" w:hAnsi="宋体" w:cs="宋体"/>
          <w:bCs/>
          <w:sz w:val="24"/>
        </w:rPr>
      </w:pPr>
      <w:r>
        <w:rPr>
          <w:rFonts w:hint="eastAsia" w:ascii="宋体" w:hAnsi="宋体" w:cs="宋体"/>
          <w:bCs/>
          <w:sz w:val="24"/>
        </w:rPr>
        <w:t>联系方式：15136575656</w:t>
      </w:r>
      <w:r>
        <w:rPr>
          <w:rFonts w:hint="eastAsia" w:ascii="宋体" w:hAnsi="宋体" w:cs="宋体"/>
          <w:bCs/>
          <w:color w:val="000000" w:themeColor="text1"/>
          <w:sz w:val="24"/>
        </w:rPr>
        <w:t>　　 　　</w:t>
      </w:r>
      <w:r>
        <w:rPr>
          <w:rFonts w:hint="eastAsia" w:ascii="宋体" w:hAnsi="宋体" w:cs="宋体"/>
          <w:bCs/>
          <w:sz w:val="24"/>
        </w:rPr>
        <w:t xml:space="preserve">　 </w:t>
      </w:r>
    </w:p>
    <w:p>
      <w:pPr>
        <w:spacing w:line="440" w:lineRule="exact"/>
        <w:ind w:firstLine="480" w:firstLineChars="200"/>
        <w:rPr>
          <w:rFonts w:ascii="宋体" w:hAnsi="宋体" w:cs="宋体"/>
          <w:bCs/>
          <w:sz w:val="24"/>
        </w:rPr>
      </w:pPr>
      <w:bookmarkStart w:id="5" w:name="_Toc28359097"/>
      <w:bookmarkStart w:id="6" w:name="_Toc35393638"/>
      <w:bookmarkStart w:id="7" w:name="_Toc28359020"/>
      <w:bookmarkStart w:id="8" w:name="_Toc35393807"/>
      <w:r>
        <w:rPr>
          <w:rFonts w:hint="eastAsia" w:ascii="宋体" w:hAnsi="宋体" w:cs="宋体"/>
          <w:bCs/>
          <w:sz w:val="24"/>
        </w:rPr>
        <w:t>2.采购代理机构信息</w:t>
      </w:r>
      <w:bookmarkEnd w:id="5"/>
      <w:bookmarkEnd w:id="6"/>
      <w:bookmarkEnd w:id="7"/>
      <w:bookmarkEnd w:id="8"/>
    </w:p>
    <w:p>
      <w:pPr>
        <w:spacing w:line="440" w:lineRule="exact"/>
        <w:ind w:firstLine="480" w:firstLineChars="200"/>
        <w:rPr>
          <w:rFonts w:ascii="宋体" w:hAnsi="宋体" w:cs="宋体"/>
          <w:bCs/>
          <w:sz w:val="24"/>
        </w:rPr>
      </w:pPr>
      <w:r>
        <w:rPr>
          <w:rFonts w:hint="eastAsia" w:ascii="宋体" w:hAnsi="宋体" w:cs="宋体"/>
          <w:bCs/>
          <w:sz w:val="24"/>
        </w:rPr>
        <w:t xml:space="preserve">名称：河南高福工程管理有限公司 </w:t>
      </w:r>
    </w:p>
    <w:p>
      <w:pPr>
        <w:spacing w:line="440" w:lineRule="exact"/>
        <w:ind w:firstLine="480" w:firstLineChars="200"/>
        <w:rPr>
          <w:rFonts w:ascii="宋体" w:hAnsi="宋体" w:cs="宋体"/>
          <w:bCs/>
          <w:sz w:val="24"/>
        </w:rPr>
      </w:pPr>
      <w:r>
        <w:rPr>
          <w:rFonts w:hint="eastAsia" w:ascii="宋体" w:hAnsi="宋体" w:cs="宋体"/>
          <w:bCs/>
          <w:sz w:val="24"/>
        </w:rPr>
        <w:t xml:space="preserve">地址：河南省驻马店市驿城大道与置地大道置地国际广场壹号楼6楼 </w:t>
      </w:r>
    </w:p>
    <w:p>
      <w:pPr>
        <w:spacing w:line="440" w:lineRule="exact"/>
        <w:ind w:firstLine="480" w:firstLineChars="200"/>
        <w:rPr>
          <w:rFonts w:ascii="宋体" w:hAnsi="宋体" w:cs="宋体"/>
          <w:bCs/>
          <w:sz w:val="24"/>
        </w:rPr>
      </w:pPr>
      <w:r>
        <w:rPr>
          <w:rFonts w:hint="eastAsia" w:ascii="宋体" w:hAnsi="宋体" w:cs="宋体"/>
          <w:bCs/>
          <w:sz w:val="24"/>
        </w:rPr>
        <w:t xml:space="preserve">联系人：刘先生 </w:t>
      </w:r>
    </w:p>
    <w:p>
      <w:pPr>
        <w:spacing w:line="440" w:lineRule="exact"/>
        <w:ind w:firstLine="480" w:firstLineChars="200"/>
        <w:rPr>
          <w:rFonts w:ascii="宋体" w:hAnsi="宋体" w:cs="宋体"/>
          <w:bCs/>
          <w:sz w:val="24"/>
        </w:rPr>
      </w:pPr>
      <w:r>
        <w:rPr>
          <w:rFonts w:hint="eastAsia" w:ascii="宋体" w:hAnsi="宋体" w:cs="宋体"/>
          <w:bCs/>
          <w:sz w:val="24"/>
        </w:rPr>
        <w:t xml:space="preserve">联系方式：18338538098 </w:t>
      </w:r>
    </w:p>
    <w:p>
      <w:pPr>
        <w:spacing w:line="440" w:lineRule="exact"/>
        <w:ind w:firstLine="480" w:firstLineChars="200"/>
        <w:rPr>
          <w:rFonts w:ascii="宋体" w:hAnsi="宋体" w:cs="宋体"/>
          <w:bCs/>
          <w:sz w:val="24"/>
        </w:rPr>
      </w:pPr>
      <w:r>
        <w:rPr>
          <w:rFonts w:hint="eastAsia" w:ascii="宋体" w:hAnsi="宋体" w:cs="宋体"/>
          <w:bCs/>
          <w:sz w:val="24"/>
        </w:rPr>
        <w:t>3.项目联系方式</w:t>
      </w:r>
    </w:p>
    <w:p>
      <w:pPr>
        <w:spacing w:line="440" w:lineRule="exact"/>
        <w:ind w:firstLine="480" w:firstLineChars="200"/>
        <w:rPr>
          <w:rFonts w:ascii="宋体" w:hAnsi="宋体" w:cs="宋体"/>
          <w:bCs/>
          <w:sz w:val="24"/>
        </w:rPr>
      </w:pPr>
      <w:r>
        <w:rPr>
          <w:rFonts w:hint="eastAsia" w:ascii="宋体" w:hAnsi="宋体" w:cs="宋体"/>
          <w:bCs/>
          <w:sz w:val="24"/>
        </w:rPr>
        <w:t xml:space="preserve">项目联系人：刘先生 </w:t>
      </w:r>
    </w:p>
    <w:p>
      <w:pPr>
        <w:spacing w:line="440" w:lineRule="exact"/>
        <w:ind w:firstLine="480" w:firstLineChars="200"/>
        <w:rPr>
          <w:rFonts w:ascii="宋体" w:hAnsi="宋体" w:cs="宋体"/>
          <w:bCs/>
          <w:sz w:val="24"/>
        </w:rPr>
      </w:pPr>
      <w:r>
        <w:rPr>
          <w:rFonts w:hint="eastAsia" w:ascii="宋体" w:hAnsi="宋体" w:cs="宋体"/>
          <w:bCs/>
          <w:sz w:val="24"/>
        </w:rPr>
        <w:t xml:space="preserve">电话：：18338538098 </w:t>
      </w:r>
    </w:p>
    <w:p>
      <w:pPr>
        <w:pStyle w:val="68"/>
        <w:rPr>
          <w:color w:val="000000" w:themeColor="text1"/>
        </w:rPr>
      </w:pPr>
    </w:p>
    <w:p>
      <w:pPr>
        <w:pStyle w:val="68"/>
        <w:rPr>
          <w:color w:val="000000" w:themeColor="text1"/>
        </w:rPr>
      </w:pPr>
    </w:p>
    <w:p>
      <w:pPr>
        <w:pStyle w:val="68"/>
        <w:rPr>
          <w:color w:val="000000" w:themeColor="text1"/>
        </w:rPr>
      </w:pPr>
    </w:p>
    <w:p>
      <w:pPr>
        <w:pStyle w:val="68"/>
        <w:rPr>
          <w:color w:val="000000" w:themeColor="text1"/>
        </w:rPr>
      </w:pPr>
    </w:p>
    <w:p>
      <w:pPr>
        <w:pStyle w:val="68"/>
        <w:rPr>
          <w:color w:val="000000" w:themeColor="text1"/>
        </w:rPr>
      </w:pPr>
    </w:p>
    <w:p>
      <w:pPr>
        <w:pStyle w:val="68"/>
        <w:rPr>
          <w:color w:val="000000" w:themeColor="text1"/>
        </w:rPr>
      </w:pPr>
    </w:p>
    <w:p>
      <w:pPr>
        <w:pStyle w:val="68"/>
        <w:rPr>
          <w:color w:val="000000" w:themeColor="text1"/>
        </w:rPr>
      </w:pPr>
    </w:p>
    <w:p>
      <w:pPr>
        <w:pStyle w:val="68"/>
        <w:rPr>
          <w:color w:val="000000" w:themeColor="text1"/>
        </w:rPr>
      </w:pPr>
    </w:p>
    <w:p>
      <w:pPr>
        <w:pStyle w:val="68"/>
        <w:rPr>
          <w:color w:val="000000" w:themeColor="text1"/>
        </w:rPr>
      </w:pPr>
    </w:p>
    <w:p>
      <w:pPr>
        <w:pStyle w:val="68"/>
        <w:rPr>
          <w:color w:val="000000" w:themeColor="text1"/>
        </w:rPr>
      </w:pPr>
    </w:p>
    <w:bookmarkEnd w:id="0"/>
    <w:p>
      <w:pPr>
        <w:pStyle w:val="2"/>
        <w:rPr>
          <w:kern w:val="0"/>
          <w:sz w:val="28"/>
          <w:szCs w:val="28"/>
        </w:rPr>
      </w:pPr>
      <w:r>
        <w:rPr>
          <w:rFonts w:hint="eastAsia"/>
        </w:rPr>
        <w:t>第二章  采购需求</w:t>
      </w:r>
    </w:p>
    <w:p>
      <w:pPr>
        <w:widowControl/>
        <w:numPr>
          <w:ilvl w:val="0"/>
          <w:numId w:val="4"/>
        </w:numPr>
        <w:wordWrap w:val="0"/>
        <w:snapToGrid w:val="0"/>
        <w:jc w:val="left"/>
        <w:outlineLvl w:val="0"/>
        <w:rPr>
          <w:rFonts w:ascii="宋体" w:hAnsi="宋体" w:cs="宋体"/>
          <w:b/>
          <w:color w:val="000000" w:themeColor="text1"/>
          <w:kern w:val="0"/>
          <w:sz w:val="24"/>
        </w:rPr>
      </w:pPr>
      <w:r>
        <w:rPr>
          <w:rFonts w:hint="eastAsia" w:ascii="宋体" w:hAnsi="宋体" w:cs="宋体"/>
          <w:b/>
          <w:color w:val="000000" w:themeColor="text1"/>
          <w:kern w:val="0"/>
          <w:sz w:val="24"/>
        </w:rPr>
        <w:t>采购需求</w:t>
      </w:r>
    </w:p>
    <w:tbl>
      <w:tblPr>
        <w:tblStyle w:val="46"/>
        <w:tblW w:w="9735" w:type="dxa"/>
        <w:jc w:val="center"/>
        <w:tblLayout w:type="fixed"/>
        <w:tblCellMar>
          <w:top w:w="0" w:type="dxa"/>
          <w:left w:w="108" w:type="dxa"/>
          <w:bottom w:w="0" w:type="dxa"/>
          <w:right w:w="108" w:type="dxa"/>
        </w:tblCellMar>
      </w:tblPr>
      <w:tblGrid>
        <w:gridCol w:w="708"/>
        <w:gridCol w:w="2384"/>
        <w:gridCol w:w="5332"/>
        <w:gridCol w:w="545"/>
        <w:gridCol w:w="766"/>
      </w:tblGrid>
      <w:tr>
        <w:tblPrEx>
          <w:tblCellMar>
            <w:top w:w="0" w:type="dxa"/>
            <w:left w:w="108" w:type="dxa"/>
            <w:bottom w:w="0" w:type="dxa"/>
            <w:right w:w="108" w:type="dxa"/>
          </w:tblCellMar>
        </w:tblPrEx>
        <w:trPr>
          <w:trHeight w:val="522"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物品名称</w:t>
            </w:r>
          </w:p>
        </w:tc>
        <w:tc>
          <w:tcPr>
            <w:tcW w:w="5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尺寸规格及工艺要求</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数量</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单位</w:t>
            </w:r>
          </w:p>
        </w:tc>
      </w:tr>
      <w:tr>
        <w:tblPrEx>
          <w:tblCellMar>
            <w:top w:w="0" w:type="dxa"/>
            <w:left w:w="108" w:type="dxa"/>
            <w:bottom w:w="0" w:type="dxa"/>
            <w:right w:w="108" w:type="dxa"/>
          </w:tblCellMar>
        </w:tblPrEx>
        <w:trPr>
          <w:trHeight w:val="569"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弹簧装置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专业定制弧形艺术品，尺寸规格：14260mm长*4155mm宽*3155mm高；材质：30mm圆钢管涂防锈漆、10mm厚热轧钢板涂防锈漆、2.5mm冲孔铝板，冲孔直径10mm，间距20mm外涂深灰色金属氟碳漆</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转角处钢网装置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专业定制弧形艺术品，尺寸规格：弧长25120mm；材质：133圆钢管涂防锈漆，2.5mm冲孔铝板，冲孔直径10mm，间距20mm外涂防锈漆；金属字外涂白色氟碳漆</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茶吧装置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专业定制异型艺术品，尺寸规格8250mm长*800mm高；材质：3mm厚铝板外涂金属氟碳漆</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挡土墙装置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专业定制异型艺术品，含基础及预埋件详见15j012-1-H5，材质：12mm钢板</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79"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影壁墙艺术装置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专业定制弧形艺术品，材质：300mm*150mm*8mm*12mmH型钢架，12mm耐候钢板涂刷防锈漆，折型3mm厚铝板及3mm厚冲孔铝板</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46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1955金属齿轮装置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15mm钢板切割成型，组装焊接，精工打磨，整体做仿锈色；1.2mm冷轧板冲孔切割，组装焊接，精工打磨，整体做仿锈色；</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1517"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成品定制公交站亭装置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定制弧形艺术品，弧形等待区:150mm黑色机刨石，防腐木坐凳，5mm钢板切割，弯折焊接，精工打磨，表面喷涂汽车漆，圆弧外直径2600mm；10mm弧形钢化玻璃；站牌：2mm厚冷轧板激光切割，弯折焊接，精工打磨，内焊接骨架，整体喷涂汽车漆；5mm钢化玻璃液压可开启更换画面；底部焊接10mm钢板法兰盘，地脚螺栓安装固定，混凝土基础</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卫生间格栅</w:t>
            </w:r>
          </w:p>
        </w:tc>
        <w:tc>
          <w:tcPr>
            <w:tcW w:w="53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专业定制艺术品</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天桥1955雕塑装置</w:t>
            </w:r>
          </w:p>
        </w:tc>
        <w:tc>
          <w:tcPr>
            <w:tcW w:w="5332" w:type="dxa"/>
            <w:tcBorders>
              <w:top w:val="nil"/>
              <w:left w:val="nil"/>
              <w:bottom w:val="nil"/>
              <w:right w:val="nil"/>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专业定制艺术品</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桥上位置成品定制半弧形雕塑艺术装置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成品定制弧形雕塑艺术装置</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由具有专业自制的公司二次设计</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楼梯位置成品定制半弧形雕塑艺术装置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成品定制弧形雕塑艺术装置</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由具有专业自制的公司二次设计</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桥上位置成品定制全弧形雕塑艺术装置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成品钢结构全弧形防护架</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由具有专业自制的公司二次设计</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r>
        <w:tblPrEx>
          <w:tblCellMar>
            <w:top w:w="0" w:type="dxa"/>
            <w:left w:w="108" w:type="dxa"/>
            <w:bottom w:w="0" w:type="dxa"/>
            <w:right w:w="108" w:type="dxa"/>
          </w:tblCellMar>
        </w:tblPrEx>
        <w:trPr>
          <w:trHeight w:val="90" w:hRule="atLeast"/>
          <w:jc w:val="center"/>
        </w:trPr>
        <w:tc>
          <w:tcPr>
            <w:tcW w:w="7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23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楼梯位置成品定制全弧形雕塑艺术装置</w:t>
            </w:r>
          </w:p>
        </w:tc>
        <w:tc>
          <w:tcPr>
            <w:tcW w:w="533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成品钢结构全弧形防护架</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由具有专业自制的公司二次设计</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r>
    </w:tbl>
    <w:p>
      <w:pPr>
        <w:widowControl/>
        <w:wordWrap w:val="0"/>
        <w:snapToGrid w:val="0"/>
        <w:spacing w:before="156" w:after="156"/>
        <w:jc w:val="left"/>
        <w:outlineLvl w:val="0"/>
        <w:rPr>
          <w:rFonts w:ascii="宋体" w:hAnsi="宋体" w:cs="宋体"/>
          <w:b/>
          <w:color w:val="000000" w:themeColor="text1"/>
          <w:kern w:val="0"/>
          <w:sz w:val="24"/>
        </w:rPr>
      </w:pPr>
      <w:r>
        <w:rPr>
          <w:rFonts w:hint="eastAsia" w:ascii="宋体" w:hAnsi="宋体" w:cs="宋体"/>
          <w:b/>
          <w:color w:val="000000" w:themeColor="text1"/>
          <w:kern w:val="0"/>
          <w:sz w:val="24"/>
        </w:rPr>
        <w:t>二、商务要求</w:t>
      </w:r>
    </w:p>
    <w:tbl>
      <w:tblPr>
        <w:tblStyle w:val="46"/>
        <w:tblW w:w="95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11"/>
        <w:gridCol w:w="794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2" w:hRule="atLeast"/>
          <w:jc w:val="center"/>
        </w:trPr>
        <w:tc>
          <w:tcPr>
            <w:tcW w:w="161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仿宋_GB2312" w:cs="宋体"/>
                <w:kern w:val="0"/>
                <w:sz w:val="24"/>
              </w:rPr>
            </w:pPr>
            <w:r>
              <w:rPr>
                <w:rFonts w:hint="eastAsia" w:cs="宋体"/>
                <w:kern w:val="0"/>
                <w:sz w:val="24"/>
              </w:rPr>
              <w:t>售后技术服务要求</w:t>
            </w:r>
          </w:p>
        </w:tc>
        <w:tc>
          <w:tcPr>
            <w:tcW w:w="79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rPr>
                <w:rFonts w:ascii="宋体" w:hAnsi="宋体" w:cs="宋体"/>
                <w:kern w:val="0"/>
                <w:sz w:val="24"/>
              </w:rPr>
            </w:pPr>
            <w:r>
              <w:rPr>
                <w:rFonts w:hint="eastAsia" w:ascii="宋体" w:hAnsi="宋体" w:cs="宋体"/>
                <w:kern w:val="0"/>
                <w:sz w:val="24"/>
              </w:rPr>
              <w:t>含安装、调试、维修、保养、人员培训等。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161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cs="宋体"/>
                <w:color w:val="000000" w:themeColor="text1"/>
                <w:kern w:val="0"/>
                <w:sz w:val="24"/>
              </w:rPr>
            </w:pPr>
            <w:r>
              <w:rPr>
                <w:rFonts w:hint="eastAsia" w:ascii="宋体" w:hAnsi="宋体" w:cs="宋体"/>
                <w:color w:val="000000" w:themeColor="text1"/>
                <w:kern w:val="0"/>
                <w:sz w:val="24"/>
              </w:rPr>
              <w:t>合同签订时间、交货时间及地点</w:t>
            </w:r>
          </w:p>
        </w:tc>
        <w:tc>
          <w:tcPr>
            <w:tcW w:w="7948" w:type="dxa"/>
            <w:tcBorders>
              <w:top w:val="single" w:color="auto" w:sz="4" w:space="0"/>
              <w:left w:val="single" w:color="auto" w:sz="4" w:space="0"/>
              <w:bottom w:val="single" w:color="auto" w:sz="4" w:space="0"/>
              <w:right w:val="single" w:color="auto" w:sz="4" w:space="0"/>
            </w:tcBorders>
          </w:tcPr>
          <w:p>
            <w:pPr>
              <w:widowControl/>
              <w:snapToGrid w:val="0"/>
              <w:spacing w:line="360" w:lineRule="exact"/>
              <w:rPr>
                <w:rFonts w:ascii="宋体" w:hAnsi="宋体" w:cs="宋体"/>
                <w:color w:val="000000" w:themeColor="text1"/>
                <w:kern w:val="0"/>
                <w:sz w:val="24"/>
              </w:rPr>
            </w:pPr>
            <w:r>
              <w:rPr>
                <w:rFonts w:hint="eastAsia" w:ascii="宋体" w:hAnsi="宋体" w:cs="宋体"/>
                <w:color w:val="000000" w:themeColor="text1"/>
                <w:kern w:val="0"/>
                <w:sz w:val="24"/>
              </w:rPr>
              <w:t>合同签订时间：中标通知书发出2个工作日内</w:t>
            </w:r>
          </w:p>
          <w:p>
            <w:pPr>
              <w:widowControl/>
              <w:snapToGrid w:val="0"/>
              <w:spacing w:line="360" w:lineRule="exact"/>
              <w:jc w:val="left"/>
              <w:rPr>
                <w:rFonts w:ascii="宋体" w:hAnsi="宋体" w:cs="宋体"/>
                <w:color w:val="000000" w:themeColor="text1"/>
                <w:kern w:val="0"/>
                <w:sz w:val="24"/>
                <w:u w:val="single"/>
              </w:rPr>
            </w:pPr>
            <w:r>
              <w:rPr>
                <w:rFonts w:hint="eastAsia" w:ascii="宋体" w:hAnsi="宋体" w:cs="宋体"/>
                <w:color w:val="000000" w:themeColor="text1"/>
                <w:kern w:val="0"/>
                <w:sz w:val="24"/>
              </w:rPr>
              <w:t>交货时间：合同签订之日起60日历天</w:t>
            </w:r>
          </w:p>
          <w:p>
            <w:pPr>
              <w:widowControl/>
              <w:snapToGrid w:val="0"/>
              <w:spacing w:line="360" w:lineRule="exact"/>
              <w:jc w:val="left"/>
              <w:rPr>
                <w:rFonts w:ascii="宋体" w:hAnsi="宋体" w:cs="宋体"/>
                <w:color w:val="000000" w:themeColor="text1"/>
                <w:kern w:val="0"/>
                <w:sz w:val="24"/>
              </w:rPr>
            </w:pPr>
            <w:r>
              <w:rPr>
                <w:rFonts w:hint="eastAsia" w:ascii="宋体" w:hAnsi="宋体" w:cs="宋体"/>
                <w:color w:val="000000" w:themeColor="text1"/>
                <w:kern w:val="0"/>
                <w:sz w:val="24"/>
              </w:rPr>
              <w:t>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161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center"/>
              <w:rPr>
                <w:rFonts w:ascii="宋体" w:hAnsi="宋体" w:eastAsia="仿宋_GB2312" w:cs="宋体"/>
                <w:kern w:val="0"/>
                <w:sz w:val="24"/>
              </w:rPr>
            </w:pPr>
            <w:r>
              <w:rPr>
                <w:rFonts w:hint="eastAsia" w:hAnsi="宋体" w:cs="宋体"/>
                <w:kern w:val="0"/>
                <w:sz w:val="24"/>
              </w:rPr>
              <w:t>付款方式</w:t>
            </w:r>
          </w:p>
        </w:tc>
        <w:tc>
          <w:tcPr>
            <w:tcW w:w="79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rPr>
                <w:rFonts w:ascii="宋体" w:hAnsi="宋体" w:eastAsia="仿宋_GB2312" w:cs="宋体"/>
                <w:kern w:val="0"/>
                <w:sz w:val="24"/>
              </w:rPr>
            </w:pPr>
            <w:r>
              <w:rPr>
                <w:rFonts w:hint="eastAsia" w:ascii="宋体" w:hAnsi="宋体" w:cs="宋体"/>
                <w:color w:val="000000" w:themeColor="text1"/>
                <w:kern w:val="0"/>
                <w:sz w:val="24"/>
              </w:rPr>
              <w:t>供货完毕，验收合格后支付货款。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9" w:hRule="atLeast"/>
          <w:jc w:val="center"/>
        </w:trPr>
        <w:tc>
          <w:tcPr>
            <w:tcW w:w="161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left"/>
              <w:rPr>
                <w:rFonts w:ascii="宋体" w:hAnsi="宋体" w:cs="宋体"/>
                <w:color w:val="000000" w:themeColor="text1"/>
                <w:kern w:val="0"/>
                <w:sz w:val="24"/>
              </w:rPr>
            </w:pPr>
            <w:r>
              <w:rPr>
                <w:rFonts w:hint="eastAsia" w:ascii="宋体" w:hAnsi="宋体" w:cs="宋体"/>
                <w:color w:val="000000" w:themeColor="text1"/>
                <w:kern w:val="0"/>
                <w:sz w:val="24"/>
              </w:rPr>
              <w:t xml:space="preserve">备品备件及耗材等要求 </w:t>
            </w:r>
          </w:p>
        </w:tc>
        <w:tc>
          <w:tcPr>
            <w:tcW w:w="79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exact"/>
              <w:jc w:val="left"/>
              <w:rPr>
                <w:rFonts w:ascii="宋体" w:hAnsi="宋体" w:cs="宋体"/>
                <w:color w:val="000000" w:themeColor="text1"/>
                <w:kern w:val="0"/>
                <w:sz w:val="24"/>
              </w:rPr>
            </w:pPr>
            <w:r>
              <w:rPr>
                <w:rFonts w:hint="eastAsia" w:ascii="宋体" w:hAnsi="宋体" w:cs="宋体"/>
                <w:color w:val="000000" w:themeColor="text1"/>
                <w:kern w:val="0"/>
                <w:sz w:val="24"/>
              </w:rPr>
              <w:t>已纳入评标报价的项目除外。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5" w:hRule="atLeast"/>
          <w:jc w:val="center"/>
        </w:trPr>
        <w:tc>
          <w:tcPr>
            <w:tcW w:w="161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tLeast"/>
              <w:jc w:val="center"/>
              <w:rPr>
                <w:rFonts w:ascii="宋体" w:hAnsi="宋体" w:cs="宋体"/>
                <w:color w:val="000000" w:themeColor="text1"/>
                <w:kern w:val="0"/>
                <w:sz w:val="24"/>
              </w:rPr>
            </w:pPr>
            <w:r>
              <w:rPr>
                <w:rFonts w:hint="eastAsia" w:ascii="宋体" w:hAnsi="宋体" w:cs="宋体"/>
                <w:color w:val="000000" w:themeColor="text1"/>
                <w:kern w:val="0"/>
                <w:sz w:val="24"/>
              </w:rPr>
              <w:t>售后服务保障或维修响应时间要求</w:t>
            </w:r>
          </w:p>
        </w:tc>
        <w:tc>
          <w:tcPr>
            <w:tcW w:w="7948"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tLeast"/>
              <w:rPr>
                <w:rFonts w:ascii="宋体" w:hAnsi="宋体" w:cs="宋体"/>
                <w:color w:val="000000" w:themeColor="text1"/>
                <w:sz w:val="24"/>
              </w:rPr>
            </w:pPr>
            <w:r>
              <w:rPr>
                <w:rFonts w:hint="eastAsia" w:ascii="宋体" w:hAnsi="宋体" w:cs="宋体"/>
                <w:color w:val="000000" w:themeColor="text1"/>
                <w:kern w:val="0"/>
                <w:sz w:val="24"/>
              </w:rPr>
              <w:t>1、接到采购人通知后，半小时内作出响应，1小时内赶到现场查明情况，并将现场实际情况反馈采购人，按照采购人要求即时排除故障。</w:t>
            </w:r>
          </w:p>
        </w:tc>
      </w:tr>
    </w:tbl>
    <w:p>
      <w:pPr>
        <w:pStyle w:val="2"/>
      </w:pPr>
    </w:p>
    <w:p>
      <w:pPr>
        <w:spacing w:line="420" w:lineRule="exact"/>
        <w:rPr>
          <w:rFonts w:ascii="宋体" w:hAnsi="宋体"/>
          <w:b/>
          <w:bCs/>
          <w:sz w:val="24"/>
        </w:rPr>
      </w:pPr>
      <w:r>
        <w:rPr>
          <w:rFonts w:hint="eastAsia" w:ascii="宋体" w:hAnsi="宋体"/>
          <w:b/>
          <w:bCs/>
          <w:sz w:val="24"/>
        </w:rPr>
        <w:t>三、采购人对项目的特殊要求及说明</w:t>
      </w:r>
    </w:p>
    <w:tbl>
      <w:tblPr>
        <w:tblStyle w:val="46"/>
        <w:tblW w:w="972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2"/>
        <w:gridCol w:w="80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7" w:hRule="atLeast"/>
          <w:jc w:val="center"/>
        </w:trPr>
        <w:tc>
          <w:tcPr>
            <w:tcW w:w="1632"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采购人的特殊要求及说明理由</w:t>
            </w:r>
          </w:p>
        </w:tc>
        <w:tc>
          <w:tcPr>
            <w:tcW w:w="8089" w:type="dxa"/>
            <w:tcBorders>
              <w:top w:val="single" w:color="auto" w:sz="4" w:space="0"/>
              <w:left w:val="single" w:color="auto" w:sz="4" w:space="0"/>
              <w:bottom w:val="single" w:color="auto" w:sz="4" w:space="0"/>
              <w:right w:val="single" w:color="auto" w:sz="4" w:space="0"/>
            </w:tcBorders>
          </w:tcPr>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 xml:space="preserve">1、投标人特殊资格等要求：无 </w:t>
            </w:r>
          </w:p>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 xml:space="preserve">2、是否接受联合体投标：否 </w:t>
            </w:r>
          </w:p>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 xml:space="preserve">3、是否授权评标委员会直接确定中标人和中标候选人：是 </w:t>
            </w:r>
          </w:p>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 xml:space="preserve">4、是否专门面向中小企业采购：是 </w:t>
            </w:r>
          </w:p>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 xml:space="preserve">5、本项目是否要求以联合体形式参加或者合同分包：否 </w:t>
            </w:r>
          </w:p>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 xml:space="preserve">6、依据《政府采购促进中小企业发展管理办法》(财库〔2020〕46号) </w:t>
            </w:r>
          </w:p>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 xml:space="preserve">的规定享受扶持政策获得政府采购合同的，小微企业不得将合同分包给 </w:t>
            </w:r>
          </w:p>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 xml:space="preserve">大中型企业，中型企业不得将合同分包给大型企业。 </w:t>
            </w:r>
          </w:p>
          <w:p>
            <w:pPr>
              <w:widowControl/>
              <w:snapToGrid w:val="0"/>
              <w:spacing w:line="360" w:lineRule="atLeast"/>
              <w:rPr>
                <w:rFonts w:ascii="宋体" w:hAnsi="宋体" w:cs="宋体"/>
                <w:color w:val="000000" w:themeColor="text1"/>
                <w:kern w:val="0"/>
                <w:sz w:val="24"/>
              </w:rPr>
            </w:pPr>
            <w:r>
              <w:rPr>
                <w:rFonts w:hint="eastAsia" w:ascii="宋体" w:hAnsi="宋体" w:cs="宋体"/>
                <w:color w:val="000000" w:themeColor="text1"/>
                <w:kern w:val="0"/>
                <w:sz w:val="24"/>
              </w:rPr>
              <w:t>7、采购标的对应的中小企业划分标准所属行业为：</w:t>
            </w:r>
            <w:r>
              <w:rPr>
                <w:rFonts w:hint="eastAsia" w:ascii="宋体" w:hAnsi="宋体" w:cs="宋体"/>
                <w:color w:val="000000" w:themeColor="text1"/>
                <w:kern w:val="0"/>
                <w:sz w:val="24"/>
                <w:u w:val="single"/>
              </w:rPr>
              <w:t>工业</w:t>
            </w:r>
          </w:p>
        </w:tc>
      </w:tr>
    </w:tbl>
    <w:p>
      <w:pPr>
        <w:pStyle w:val="63"/>
      </w:pPr>
    </w:p>
    <w:p>
      <w:pPr>
        <w:pStyle w:val="63"/>
      </w:pPr>
    </w:p>
    <w:p>
      <w:pPr>
        <w:pStyle w:val="63"/>
        <w:jc w:val="center"/>
      </w:pPr>
      <w:r>
        <w:rPr>
          <w:sz w:val="24"/>
        </w:rPr>
        <w:drawing>
          <wp:inline distT="0" distB="0" distL="114300" distR="114300">
            <wp:extent cx="6710680" cy="7491095"/>
            <wp:effectExtent l="0" t="0" r="13970" b="146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6710680" cy="7491095"/>
                    </a:xfrm>
                    <a:prstGeom prst="rect">
                      <a:avLst/>
                    </a:prstGeom>
                    <a:noFill/>
                    <a:ln>
                      <a:noFill/>
                    </a:ln>
                  </pic:spPr>
                </pic:pic>
              </a:graphicData>
            </a:graphic>
          </wp:inline>
        </w:drawing>
      </w:r>
      <w:r>
        <w:rPr>
          <w:sz w:val="24"/>
        </w:rPr>
        <w:drawing>
          <wp:inline distT="0" distB="0" distL="114300" distR="114300">
            <wp:extent cx="6069330" cy="7166610"/>
            <wp:effectExtent l="0" t="0" r="7620" b="152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a:srcRect r="711" b="8376"/>
                    <a:stretch>
                      <a:fillRect/>
                    </a:stretch>
                  </pic:blipFill>
                  <pic:spPr>
                    <a:xfrm>
                      <a:off x="0" y="0"/>
                      <a:ext cx="6069330" cy="7166610"/>
                    </a:xfrm>
                    <a:prstGeom prst="rect">
                      <a:avLst/>
                    </a:prstGeom>
                    <a:noFill/>
                    <a:ln>
                      <a:noFill/>
                    </a:ln>
                  </pic:spPr>
                </pic:pic>
              </a:graphicData>
            </a:graphic>
          </wp:inline>
        </w:drawing>
      </w:r>
      <w:r>
        <w:rPr>
          <w:rFonts w:hint="eastAsia" w:ascii="新宋体" w:hAnsi="新宋体" w:eastAsia="新宋体" w:cs="新宋体"/>
          <w:b/>
          <w:bCs/>
          <w:kern w:val="0"/>
          <w:sz w:val="32"/>
          <w:szCs w:val="32"/>
        </w:rPr>
        <w:br w:type="page"/>
      </w:r>
    </w:p>
    <w:p>
      <w:pPr>
        <w:pStyle w:val="2"/>
      </w:pPr>
      <w:r>
        <w:rPr>
          <w:rFonts w:hint="eastAsia"/>
        </w:rPr>
        <w:t>第三章  供应商须知</w:t>
      </w:r>
    </w:p>
    <w:p>
      <w:pPr>
        <w:widowControl/>
        <w:wordWrap w:val="0"/>
        <w:snapToGrid w:val="0"/>
        <w:spacing w:line="460" w:lineRule="exact"/>
        <w:jc w:val="center"/>
        <w:outlineLvl w:val="1"/>
        <w:rPr>
          <w:rFonts w:ascii="宋体" w:hAnsi="宋体" w:cs="宋体"/>
          <w:b/>
          <w:color w:val="000000" w:themeColor="text1"/>
          <w:kern w:val="0"/>
          <w:sz w:val="24"/>
        </w:rPr>
      </w:pPr>
      <w:r>
        <w:rPr>
          <w:rFonts w:hint="eastAsia" w:ascii="宋体" w:hAnsi="宋体" w:cs="宋体"/>
          <w:b/>
          <w:color w:val="000000" w:themeColor="text1"/>
          <w:kern w:val="0"/>
          <w:sz w:val="24"/>
        </w:rPr>
        <w:t>供应商须知前附表</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8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序号</w:t>
            </w:r>
          </w:p>
        </w:tc>
        <w:tc>
          <w:tcPr>
            <w:tcW w:w="830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内容、要求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w:t>
            </w:r>
          </w:p>
        </w:tc>
        <w:tc>
          <w:tcPr>
            <w:tcW w:w="8305" w:type="dxa"/>
            <w:vAlign w:val="center"/>
          </w:tcPr>
          <w:p>
            <w:pPr>
              <w:spacing w:line="360" w:lineRule="auto"/>
              <w:rPr>
                <w:rFonts w:ascii="宋体" w:hAnsi="宋体" w:cs="宋体"/>
                <w:color w:val="000000" w:themeColor="text1"/>
                <w:sz w:val="24"/>
              </w:rPr>
            </w:pPr>
            <w:r>
              <w:rPr>
                <w:rFonts w:hint="eastAsia" w:ascii="宋体" w:hAnsi="宋体" w:cs="宋体"/>
                <w:color w:val="000000" w:themeColor="text1"/>
                <w:kern w:val="0"/>
                <w:sz w:val="24"/>
              </w:rPr>
              <w:t>1.1 项目名称：详见公告</w:t>
            </w: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 </w:t>
            </w:r>
          </w:p>
          <w:p>
            <w:pPr>
              <w:widowControl/>
              <w:wordWrap w:val="0"/>
              <w:spacing w:before="156" w:after="156" w:line="276" w:lineRule="auto"/>
              <w:jc w:val="left"/>
              <w:rPr>
                <w:rFonts w:ascii="宋体" w:hAnsi="宋体" w:cs="宋体"/>
                <w:bCs/>
                <w:color w:val="000000" w:themeColor="text1"/>
                <w:sz w:val="24"/>
              </w:rPr>
            </w:pPr>
            <w:r>
              <w:rPr>
                <w:rFonts w:hint="eastAsia" w:ascii="宋体" w:hAnsi="宋体" w:cs="宋体"/>
                <w:color w:val="000000" w:themeColor="text1"/>
                <w:kern w:val="0"/>
                <w:sz w:val="24"/>
              </w:rPr>
              <w:t>1.2 采购人名称：详见公告</w:t>
            </w:r>
            <w:r>
              <w:rPr>
                <w:rFonts w:hint="eastAsia" w:ascii="宋体" w:hAnsi="宋体" w:cs="宋体"/>
                <w:bCs/>
                <w:color w:val="000000" w:themeColor="text1"/>
                <w:sz w:val="24"/>
              </w:rPr>
              <w:t xml:space="preserve"> </w:t>
            </w:r>
          </w:p>
          <w:p>
            <w:pPr>
              <w:widowControl/>
              <w:wordWrap w:val="0"/>
              <w:spacing w:before="156" w:after="156" w:line="276" w:lineRule="auto"/>
              <w:jc w:val="left"/>
              <w:rPr>
                <w:rFonts w:ascii="宋体" w:hAnsi="宋体" w:cs="宋体"/>
                <w:color w:val="000000" w:themeColor="text1"/>
                <w:sz w:val="24"/>
              </w:rPr>
            </w:pPr>
            <w:r>
              <w:rPr>
                <w:rFonts w:hint="eastAsia" w:ascii="宋体" w:hAnsi="宋体" w:cs="宋体"/>
                <w:color w:val="000000" w:themeColor="text1"/>
                <w:kern w:val="0"/>
                <w:sz w:val="24"/>
              </w:rPr>
              <w:t>1.3 项目编号：详见公告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w:t>
            </w:r>
          </w:p>
        </w:tc>
        <w:tc>
          <w:tcPr>
            <w:tcW w:w="8305" w:type="dxa"/>
            <w:vAlign w:val="center"/>
          </w:tcPr>
          <w:p>
            <w:pPr>
              <w:widowControl/>
              <w:snapToGrid w:val="0"/>
              <w:spacing w:line="360" w:lineRule="auto"/>
              <w:contextualSpacing/>
              <w:jc w:val="left"/>
              <w:rPr>
                <w:rFonts w:ascii="宋体" w:hAnsi="宋体" w:cs="宋体"/>
                <w:color w:val="000000" w:themeColor="text1"/>
                <w:kern w:val="0"/>
                <w:sz w:val="24"/>
              </w:rPr>
            </w:pPr>
            <w:r>
              <w:rPr>
                <w:rFonts w:hint="eastAsia" w:ascii="宋体" w:hAnsi="宋体" w:cs="宋体"/>
                <w:b/>
                <w:color w:val="000000" w:themeColor="text1"/>
                <w:kern w:val="0"/>
                <w:sz w:val="24"/>
              </w:rPr>
              <w:t>合格供应商：</w:t>
            </w:r>
            <w:r>
              <w:rPr>
                <w:rFonts w:hint="eastAsia" w:ascii="宋体" w:hAnsi="宋体" w:cs="宋体"/>
                <w:color w:val="000000" w:themeColor="text1"/>
                <w:kern w:val="0"/>
                <w:sz w:val="24"/>
              </w:rPr>
              <w:t>具备招标公告第二项规定的条件。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3</w:t>
            </w:r>
          </w:p>
        </w:tc>
        <w:tc>
          <w:tcPr>
            <w:tcW w:w="8305" w:type="dxa"/>
            <w:vAlign w:val="center"/>
          </w:tcPr>
          <w:p>
            <w:pPr>
              <w:spacing w:line="360" w:lineRule="auto"/>
              <w:rPr>
                <w:rFonts w:ascii="宋体" w:hAnsi="宋体" w:cs="宋体"/>
                <w:color w:val="000000" w:themeColor="text1"/>
                <w:kern w:val="0"/>
                <w:sz w:val="24"/>
              </w:rPr>
            </w:pPr>
            <w:r>
              <w:rPr>
                <w:rFonts w:hint="eastAsia" w:ascii="宋体" w:hAnsi="宋体" w:cs="宋体"/>
                <w:color w:val="000000" w:themeColor="text1"/>
                <w:kern w:val="0"/>
                <w:sz w:val="24"/>
              </w:rPr>
              <w:t>投标报价及费用：</w:t>
            </w:r>
          </w:p>
          <w:p>
            <w:pPr>
              <w:spacing w:line="360" w:lineRule="auto"/>
              <w:rPr>
                <w:rFonts w:ascii="宋体" w:hAnsi="宋体" w:cs="宋体"/>
                <w:color w:val="000000" w:themeColor="text1"/>
                <w:kern w:val="0"/>
                <w:sz w:val="24"/>
              </w:rPr>
            </w:pPr>
            <w:r>
              <w:rPr>
                <w:rFonts w:hint="eastAsia" w:ascii="宋体" w:hAnsi="宋体" w:cs="宋体"/>
                <w:color w:val="000000" w:themeColor="text1"/>
                <w:kern w:val="0"/>
                <w:sz w:val="24"/>
              </w:rPr>
              <w:t>3.1 本项目投标以人民币报价。</w:t>
            </w:r>
          </w:p>
          <w:p>
            <w:pPr>
              <w:spacing w:line="360" w:lineRule="auto"/>
              <w:rPr>
                <w:rFonts w:ascii="宋体" w:hAnsi="宋体" w:cs="宋体"/>
                <w:color w:val="000000" w:themeColor="text1"/>
                <w:kern w:val="0"/>
                <w:sz w:val="24"/>
              </w:rPr>
            </w:pPr>
            <w:r>
              <w:rPr>
                <w:rFonts w:hint="eastAsia" w:ascii="宋体" w:hAnsi="宋体" w:cs="宋体"/>
                <w:color w:val="000000" w:themeColor="text1"/>
                <w:kern w:val="0"/>
                <w:sz w:val="24"/>
              </w:rPr>
              <w:t>3.2 供应商的报价均超过采购预算，采购人不能支付的，按废标处理。</w:t>
            </w:r>
          </w:p>
          <w:p>
            <w:pPr>
              <w:spacing w:line="360" w:lineRule="auto"/>
            </w:pPr>
            <w:r>
              <w:rPr>
                <w:rFonts w:hint="eastAsia" w:ascii="宋体" w:hAnsi="宋体" w:cs="宋体"/>
                <w:color w:val="000000" w:themeColor="text1"/>
                <w:kern w:val="0"/>
                <w:sz w:val="24"/>
              </w:rPr>
              <w:t>3.3招标代理收费标准：招标代理费用参照（豫招协【2023】002号）文件规定的收费标准，由中标单位支付。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4</w:t>
            </w:r>
          </w:p>
        </w:tc>
        <w:tc>
          <w:tcPr>
            <w:tcW w:w="8305" w:type="dxa"/>
            <w:vAlign w:val="center"/>
          </w:tcPr>
          <w:p>
            <w:pPr>
              <w:widowControl/>
              <w:spacing w:line="360" w:lineRule="auto"/>
              <w:contextualSpacing/>
              <w:jc w:val="left"/>
              <w:rPr>
                <w:rFonts w:ascii="宋体" w:hAnsi="宋体" w:cs="宋体"/>
                <w:color w:val="000000" w:themeColor="text1"/>
                <w:kern w:val="0"/>
                <w:sz w:val="24"/>
              </w:rPr>
            </w:pPr>
            <w:r>
              <w:rPr>
                <w:rFonts w:hint="eastAsia" w:ascii="宋体" w:hAnsi="宋体" w:cs="宋体"/>
                <w:b/>
                <w:color w:val="000000" w:themeColor="text1"/>
                <w:kern w:val="0"/>
                <w:sz w:val="24"/>
              </w:rPr>
              <w:t>现场踏勘或标前答疑：</w:t>
            </w:r>
            <w:r>
              <w:rPr>
                <w:rFonts w:hint="eastAsia" w:ascii="宋体" w:hAnsi="宋体" w:cs="宋体"/>
                <w:color w:val="000000" w:themeColor="text1"/>
                <w:kern w:val="0"/>
                <w:sz w:val="24"/>
              </w:rPr>
              <w:t>本项目不组织现场踏勘或标前答疑会。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5</w:t>
            </w:r>
          </w:p>
        </w:tc>
        <w:tc>
          <w:tcPr>
            <w:tcW w:w="8305" w:type="dxa"/>
            <w:vAlign w:val="center"/>
          </w:tcPr>
          <w:p>
            <w:pPr>
              <w:widowControl/>
              <w:spacing w:line="360" w:lineRule="auto"/>
              <w:contextualSpacing/>
              <w:jc w:val="left"/>
              <w:rPr>
                <w:rFonts w:ascii="宋体" w:hAnsi="宋体" w:cs="宋体"/>
                <w:color w:val="000000" w:themeColor="text1"/>
                <w:kern w:val="0"/>
                <w:sz w:val="24"/>
              </w:rPr>
            </w:pPr>
            <w:r>
              <w:rPr>
                <w:rFonts w:hint="eastAsia" w:ascii="宋体" w:hAnsi="宋体" w:cs="宋体"/>
                <w:b/>
                <w:color w:val="000000" w:themeColor="text1"/>
                <w:kern w:val="0"/>
                <w:sz w:val="24"/>
              </w:rPr>
              <w:t>样品要求：无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6</w:t>
            </w:r>
          </w:p>
        </w:tc>
        <w:tc>
          <w:tcPr>
            <w:tcW w:w="8305" w:type="dxa"/>
            <w:vAlign w:val="center"/>
          </w:tcPr>
          <w:p>
            <w:pPr>
              <w:spacing w:line="440" w:lineRule="exact"/>
              <w:rPr>
                <w:rFonts w:ascii="宋体" w:hAnsi="宋体" w:cs="宋体"/>
                <w:b/>
                <w:color w:val="000000" w:themeColor="text1"/>
                <w:kern w:val="0"/>
                <w:sz w:val="24"/>
              </w:rPr>
            </w:pPr>
            <w:r>
              <w:rPr>
                <w:rFonts w:hint="eastAsia" w:ascii="宋体" w:hAnsi="宋体" w:cs="宋体"/>
                <w:b/>
                <w:color w:val="000000" w:themeColor="text1"/>
                <w:kern w:val="0"/>
                <w:sz w:val="24"/>
              </w:rPr>
              <w:t>投标文件组成：</w:t>
            </w:r>
          </w:p>
          <w:p>
            <w:pPr>
              <w:spacing w:line="440" w:lineRule="exact"/>
              <w:rPr>
                <w:rFonts w:ascii="宋体" w:hAnsi="宋体" w:cs="宋体"/>
                <w:sz w:val="24"/>
              </w:rPr>
            </w:pPr>
            <w:r>
              <w:rPr>
                <w:rFonts w:hint="eastAsia" w:ascii="宋体" w:hAnsi="宋体" w:cs="宋体"/>
                <w:sz w:val="24"/>
              </w:rPr>
              <w:t>1.加密版电子投标文件。</w:t>
            </w:r>
          </w:p>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sz w:val="24"/>
              </w:rPr>
              <w:t>2. 纸质投标文件：确定中标后两日内，中标人提供与上传电子投标文件一致的纸质投标响应文件一式贰份（不区分正副本）。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7</w:t>
            </w:r>
          </w:p>
        </w:tc>
        <w:tc>
          <w:tcPr>
            <w:tcW w:w="8305" w:type="dxa"/>
            <w:vAlign w:val="center"/>
          </w:tcPr>
          <w:p>
            <w:pPr>
              <w:widowControl/>
              <w:snapToGrid w:val="0"/>
              <w:spacing w:line="360" w:lineRule="auto"/>
              <w:contextualSpacing/>
              <w:jc w:val="left"/>
              <w:rPr>
                <w:rFonts w:ascii="宋体" w:hAnsi="宋体" w:cs="宋体"/>
                <w:color w:val="000000" w:themeColor="text1"/>
                <w:kern w:val="0"/>
                <w:sz w:val="24"/>
              </w:rPr>
            </w:pPr>
            <w:r>
              <w:rPr>
                <w:rFonts w:hint="eastAsia" w:ascii="宋体" w:hAnsi="宋体" w:cs="宋体"/>
                <w:b/>
                <w:color w:val="000000" w:themeColor="text1"/>
                <w:kern w:val="0"/>
                <w:sz w:val="24"/>
              </w:rPr>
              <w:t>投标截止时间及地点：</w:t>
            </w:r>
            <w:r>
              <w:rPr>
                <w:rFonts w:hint="eastAsia" w:ascii="宋体" w:hAnsi="宋体" w:cs="宋体"/>
                <w:color w:val="000000" w:themeColor="text1"/>
                <w:kern w:val="0"/>
                <w:sz w:val="24"/>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8</w:t>
            </w:r>
          </w:p>
        </w:tc>
        <w:tc>
          <w:tcPr>
            <w:tcW w:w="8305" w:type="dxa"/>
            <w:vAlign w:val="center"/>
          </w:tcPr>
          <w:p>
            <w:pPr>
              <w:widowControl/>
              <w:snapToGrid w:val="0"/>
              <w:spacing w:line="360" w:lineRule="auto"/>
              <w:contextualSpacing/>
              <w:jc w:val="left"/>
              <w:rPr>
                <w:rFonts w:ascii="宋体" w:hAnsi="宋体" w:cs="宋体"/>
                <w:color w:val="000000" w:themeColor="text1"/>
                <w:kern w:val="0"/>
                <w:sz w:val="24"/>
              </w:rPr>
            </w:pPr>
            <w:r>
              <w:rPr>
                <w:rFonts w:hint="eastAsia" w:ascii="宋体" w:hAnsi="宋体" w:cs="宋体"/>
                <w:b/>
                <w:color w:val="000000" w:themeColor="text1"/>
                <w:kern w:val="0"/>
                <w:sz w:val="24"/>
              </w:rPr>
              <w:t>开标时间及地点：</w:t>
            </w:r>
            <w:r>
              <w:rPr>
                <w:rFonts w:hint="eastAsia" w:ascii="宋体" w:hAnsi="宋体" w:cs="宋体"/>
                <w:color w:val="000000" w:themeColor="text1"/>
                <w:kern w:val="0"/>
                <w:sz w:val="24"/>
              </w:rPr>
              <w:t>详见招标公告。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9</w:t>
            </w:r>
          </w:p>
        </w:tc>
        <w:tc>
          <w:tcPr>
            <w:tcW w:w="8305" w:type="dxa"/>
            <w:vAlign w:val="center"/>
          </w:tcPr>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b/>
                <w:color w:val="000000" w:themeColor="text1"/>
                <w:kern w:val="0"/>
                <w:sz w:val="24"/>
              </w:rPr>
              <w:t>评标办法:</w:t>
            </w:r>
            <w:r>
              <w:rPr>
                <w:rFonts w:hint="eastAsia" w:cs="宋体"/>
                <w:kern w:val="0"/>
                <w:sz w:val="24"/>
              </w:rPr>
              <w:t>本项目</w:t>
            </w:r>
            <w:r>
              <w:rPr>
                <w:rFonts w:hint="eastAsia" w:hAnsi="宋体" w:cs="宋体"/>
                <w:kern w:val="0"/>
                <w:sz w:val="24"/>
              </w:rPr>
              <w:t>采用综合评分法</w:t>
            </w:r>
            <w:r>
              <w:rPr>
                <w:rFonts w:hint="eastAsia" w:ascii="宋体" w:hAnsi="宋体" w:cs="宋体"/>
                <w:color w:val="000000" w:themeColor="text1"/>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10</w:t>
            </w:r>
          </w:p>
        </w:tc>
        <w:tc>
          <w:tcPr>
            <w:tcW w:w="8305" w:type="dxa"/>
            <w:vAlign w:val="center"/>
          </w:tcPr>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b/>
                <w:color w:val="000000" w:themeColor="text1"/>
                <w:kern w:val="0"/>
                <w:sz w:val="24"/>
              </w:rPr>
              <w:t>中标公告及中标通知书：</w:t>
            </w:r>
            <w:r>
              <w:rPr>
                <w:rFonts w:hint="eastAsia" w:ascii="宋体" w:hAnsi="宋体" w:cs="宋体"/>
                <w:color w:val="000000" w:themeColor="text1"/>
                <w:kern w:val="0"/>
                <w:sz w:val="24"/>
              </w:rPr>
              <w:t>由采购人授权评标委员会直接确定中标人和</w:t>
            </w:r>
            <w:r>
              <w:rPr>
                <w:rFonts w:hint="eastAsia" w:ascii="宋体" w:hAnsi="宋体" w:cs="宋体"/>
                <w:color w:val="000000" w:themeColor="text1"/>
                <w:kern w:val="0"/>
                <w:sz w:val="24"/>
                <w:szCs w:val="18"/>
              </w:rPr>
              <w:t>中标候选</w:t>
            </w:r>
            <w:r>
              <w:rPr>
                <w:rFonts w:hint="eastAsia" w:ascii="宋体" w:hAnsi="宋体" w:cs="宋体"/>
                <w:color w:val="000000" w:themeColor="text1"/>
                <w:kern w:val="0"/>
                <w:sz w:val="24"/>
              </w:rPr>
              <w:t>人。评审结束后，采购代理机构及时在河南省政府采购网、驻马店市公共资源交易中心网</w:t>
            </w:r>
            <w:r>
              <w:fldChar w:fldCharType="begin"/>
            </w:r>
            <w:r>
              <w:instrText xml:space="preserve"> HYPERLINK "http://www.sxztb.gov.cn/" </w:instrText>
            </w:r>
            <w:r>
              <w:fldChar w:fldCharType="separate"/>
            </w:r>
            <w:r>
              <w:fldChar w:fldCharType="end"/>
            </w:r>
            <w:r>
              <w:rPr>
                <w:rFonts w:hint="eastAsia" w:ascii="宋体" w:hAnsi="宋体" w:cs="宋体"/>
                <w:color w:val="000000" w:themeColor="text1"/>
                <w:kern w:val="0"/>
                <w:sz w:val="24"/>
              </w:rPr>
              <w:t>上发布中标公告，同时向中标人发出中标通知书。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11</w:t>
            </w:r>
          </w:p>
        </w:tc>
        <w:tc>
          <w:tcPr>
            <w:tcW w:w="8305" w:type="dxa"/>
            <w:vAlign w:val="center"/>
          </w:tcPr>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b/>
                <w:color w:val="000000" w:themeColor="text1"/>
                <w:kern w:val="0"/>
                <w:sz w:val="24"/>
              </w:rPr>
              <w:t>投标保证金交纳与退还：</w:t>
            </w:r>
            <w:r>
              <w:rPr>
                <w:rFonts w:hint="eastAsia" w:ascii="宋体" w:hAnsi="宋体" w:cs="宋体"/>
                <w:color w:val="000000" w:themeColor="text1"/>
                <w:kern w:val="0"/>
                <w:sz w:val="24"/>
              </w:rPr>
              <w:t>本项目不收取投标保证金。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12</w:t>
            </w:r>
          </w:p>
        </w:tc>
        <w:tc>
          <w:tcPr>
            <w:tcW w:w="8305" w:type="dxa"/>
            <w:vAlign w:val="center"/>
          </w:tcPr>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b/>
                <w:color w:val="000000" w:themeColor="text1"/>
                <w:kern w:val="0"/>
                <w:sz w:val="24"/>
              </w:rPr>
              <w:t>签订合同：</w:t>
            </w:r>
            <w:r>
              <w:rPr>
                <w:rFonts w:hint="eastAsia" w:ascii="宋体" w:hAnsi="宋体" w:cs="宋体"/>
                <w:color w:val="000000" w:themeColor="text1"/>
                <w:kern w:val="0"/>
                <w:sz w:val="24"/>
              </w:rPr>
              <w:t>详见第二章采购需求第二项商务要求。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13</w:t>
            </w:r>
          </w:p>
        </w:tc>
        <w:tc>
          <w:tcPr>
            <w:tcW w:w="8305" w:type="dxa"/>
            <w:vAlign w:val="center"/>
          </w:tcPr>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b/>
                <w:color w:val="000000" w:themeColor="text1"/>
                <w:kern w:val="0"/>
                <w:sz w:val="24"/>
              </w:rPr>
              <w:t>履约保证金的收取及退还:</w:t>
            </w:r>
            <w:r>
              <w:rPr>
                <w:rFonts w:hint="eastAsia" w:ascii="宋体" w:hAnsi="宋体" w:cs="宋体"/>
                <w:color w:val="000000" w:themeColor="text1"/>
                <w:kern w:val="0"/>
                <w:sz w:val="24"/>
              </w:rPr>
              <w:t xml:space="preserve"> 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14</w:t>
            </w:r>
          </w:p>
        </w:tc>
        <w:tc>
          <w:tcPr>
            <w:tcW w:w="8305" w:type="dxa"/>
            <w:vAlign w:val="center"/>
          </w:tcPr>
          <w:p>
            <w:pPr>
              <w:widowControl/>
              <w:snapToGrid w:val="0"/>
              <w:spacing w:line="360" w:lineRule="auto"/>
              <w:contextualSpacing/>
              <w:jc w:val="left"/>
              <w:textAlignment w:val="bottom"/>
              <w:rPr>
                <w:rFonts w:ascii="宋体" w:hAnsi="宋体" w:cs="宋体"/>
                <w:b/>
                <w:color w:val="000000" w:themeColor="text1"/>
                <w:kern w:val="0"/>
                <w:sz w:val="24"/>
              </w:rPr>
            </w:pPr>
            <w:r>
              <w:rPr>
                <w:rFonts w:hint="eastAsia" w:ascii="宋体" w:hAnsi="宋体" w:cs="宋体"/>
                <w:b/>
                <w:color w:val="000000" w:themeColor="text1"/>
                <w:kern w:val="0"/>
                <w:sz w:val="24"/>
              </w:rPr>
              <w:t>采购资金来源：</w:t>
            </w:r>
            <w:r>
              <w:rPr>
                <w:rFonts w:hint="eastAsia" w:ascii="宋体" w:hAnsi="宋体" w:cs="宋体"/>
                <w:bCs/>
                <w:color w:val="000000" w:themeColor="text1"/>
                <w:kern w:val="0"/>
                <w:sz w:val="24"/>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15</w:t>
            </w:r>
          </w:p>
        </w:tc>
        <w:tc>
          <w:tcPr>
            <w:tcW w:w="8305" w:type="dxa"/>
            <w:vAlign w:val="center"/>
          </w:tcPr>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b/>
                <w:color w:val="000000" w:themeColor="text1"/>
                <w:kern w:val="0"/>
                <w:sz w:val="24"/>
              </w:rPr>
              <w:t>付款方式：</w:t>
            </w:r>
            <w:r>
              <w:rPr>
                <w:rFonts w:hint="eastAsia" w:ascii="宋体" w:hAnsi="宋体" w:cs="宋体"/>
                <w:color w:val="000000" w:themeColor="text1"/>
                <w:kern w:val="0"/>
                <w:sz w:val="24"/>
              </w:rPr>
              <w:t>详见第二章采购需求第二项商务要求。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16</w:t>
            </w:r>
          </w:p>
        </w:tc>
        <w:tc>
          <w:tcPr>
            <w:tcW w:w="8305" w:type="dxa"/>
            <w:vAlign w:val="center"/>
          </w:tcPr>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color w:val="000000" w:themeColor="text1"/>
                <w:kern w:val="0"/>
                <w:sz w:val="24"/>
              </w:rPr>
              <w:t>中标人可以以政府采购合同为担保向金融机构进行贷款融资。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17</w:t>
            </w:r>
          </w:p>
        </w:tc>
        <w:tc>
          <w:tcPr>
            <w:tcW w:w="8305" w:type="dxa"/>
            <w:vAlign w:val="center"/>
          </w:tcPr>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b/>
                <w:color w:val="000000" w:themeColor="text1"/>
                <w:kern w:val="0"/>
                <w:sz w:val="24"/>
              </w:rPr>
              <w:t>投标文件有效期：</w:t>
            </w:r>
            <w:r>
              <w:rPr>
                <w:rFonts w:hint="eastAsia" w:ascii="宋体" w:hAnsi="宋体" w:cs="宋体"/>
                <w:color w:val="000000" w:themeColor="text1"/>
                <w:kern w:val="0"/>
                <w:sz w:val="24"/>
              </w:rPr>
              <w:t>投标截止期结束后90日。中标人的投标文件是合同的组成部分,有效期至合同完全履行止。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18</w:t>
            </w:r>
          </w:p>
        </w:tc>
        <w:tc>
          <w:tcPr>
            <w:tcW w:w="8305" w:type="dxa"/>
            <w:vAlign w:val="center"/>
          </w:tcPr>
          <w:p>
            <w:pPr>
              <w:widowControl/>
              <w:spacing w:line="360" w:lineRule="auto"/>
              <w:contextualSpacing/>
              <w:jc w:val="left"/>
              <w:rPr>
                <w:rFonts w:ascii="宋体" w:hAnsi="宋体" w:cs="宋体"/>
                <w:color w:val="000000" w:themeColor="text1"/>
                <w:sz w:val="24"/>
              </w:rPr>
            </w:pPr>
            <w:r>
              <w:rPr>
                <w:rFonts w:hint="eastAsia" w:ascii="宋体" w:hAnsi="宋体" w:cs="宋体"/>
                <w:color w:val="000000" w:themeColor="text1"/>
                <w:sz w:val="24"/>
              </w:rPr>
              <w:t>开标结束后，采购人将通过信用中国网站（www.creditchina.gov.cn）、中国政府采购网网站（www.ccgp.gov.cn）查询供应商是否被</w:t>
            </w:r>
            <w:r>
              <w:rPr>
                <w:rFonts w:hint="eastAsia" w:ascii="宋体" w:hAnsi="宋体" w:cs="宋体"/>
                <w:bCs/>
                <w:iCs/>
                <w:color w:val="000000" w:themeColor="text1"/>
                <w:sz w:val="24"/>
              </w:rPr>
              <w:t>列入失信被执行人、重大税收违法案件当事人名单和政府采购严重违法失信行为记录名单</w:t>
            </w:r>
            <w:r>
              <w:rPr>
                <w:rFonts w:hint="eastAsia" w:ascii="宋体" w:hAnsi="宋体" w:cs="宋体"/>
                <w:color w:val="000000" w:themeColor="text1"/>
                <w:sz w:val="24"/>
              </w:rPr>
              <w:t>，并将查询结果存档。采购人查询之后，网站信息发生的任何变化不再作为评审依据；供应商自行提供的与网站信息不一致的其他证明材料不作为评审依据。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19</w:t>
            </w:r>
          </w:p>
        </w:tc>
        <w:tc>
          <w:tcPr>
            <w:tcW w:w="8305" w:type="dxa"/>
            <w:vAlign w:val="center"/>
          </w:tcPr>
          <w:p>
            <w:pPr>
              <w:spacing w:line="360" w:lineRule="auto"/>
              <w:contextualSpacing/>
              <w:rPr>
                <w:rFonts w:ascii="宋体" w:hAnsi="宋体" w:cs="宋体"/>
                <w:b/>
                <w:color w:val="000000" w:themeColor="text1"/>
                <w:sz w:val="24"/>
              </w:rPr>
            </w:pPr>
            <w:r>
              <w:rPr>
                <w:rFonts w:hint="eastAsia" w:ascii="宋体" w:hAnsi="宋体" w:cs="宋体"/>
                <w:b/>
                <w:bCs/>
                <w:color w:val="000000" w:themeColor="text1"/>
                <w:kern w:val="0"/>
                <w:sz w:val="24"/>
              </w:rPr>
              <w:t>质疑和投诉：</w:t>
            </w:r>
            <w:r>
              <w:rPr>
                <w:rFonts w:hint="eastAsia" w:ascii="宋体" w:hAnsi="宋体" w:cs="宋体"/>
                <w:bCs/>
                <w:color w:val="000000" w:themeColor="text1"/>
                <w:kern w:val="0"/>
                <w:sz w:val="24"/>
              </w:rPr>
              <w:t>详见第三章供应商须知第10条</w:t>
            </w:r>
            <w:r>
              <w:rPr>
                <w:rFonts w:hint="eastAsia" w:ascii="宋体" w:hAnsi="宋体" w:cs="宋体"/>
                <w:color w:val="000000" w:themeColor="text1"/>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20</w:t>
            </w:r>
          </w:p>
        </w:tc>
        <w:tc>
          <w:tcPr>
            <w:tcW w:w="8305" w:type="dxa"/>
            <w:vAlign w:val="center"/>
          </w:tcPr>
          <w:p>
            <w:pPr>
              <w:spacing w:line="360" w:lineRule="auto"/>
              <w:contextualSpacing/>
              <w:rPr>
                <w:rFonts w:ascii="宋体" w:hAnsi="宋体" w:cs="宋体"/>
                <w:b/>
                <w:bCs/>
                <w:color w:val="000000" w:themeColor="text1"/>
                <w:kern w:val="0"/>
                <w:sz w:val="24"/>
              </w:rPr>
            </w:pPr>
            <w:r>
              <w:rPr>
                <w:rFonts w:hint="eastAsia" w:ascii="宋体" w:hAnsi="宋体" w:cs="宋体"/>
                <w:b/>
                <w:bCs/>
                <w:color w:val="000000" w:themeColor="text1"/>
                <w:kern w:val="0"/>
                <w:sz w:val="24"/>
              </w:rPr>
              <w:t>本项目使用远程不见面交易的模式。供应商应于投标截止时间前将加密电子投标文件(.zmdtf格式)在驻马店市公共资源交易中心电子交易平台加密上传，逾期上传投标将被拒绝。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21</w:t>
            </w:r>
          </w:p>
        </w:tc>
        <w:tc>
          <w:tcPr>
            <w:tcW w:w="8305" w:type="dxa"/>
            <w:vAlign w:val="center"/>
          </w:tcPr>
          <w:p>
            <w:pPr>
              <w:spacing w:line="360" w:lineRule="auto"/>
              <w:contextualSpacing/>
              <w:rPr>
                <w:rFonts w:ascii="宋体" w:hAnsi="宋体" w:cs="宋体"/>
                <w:b/>
                <w:bCs/>
                <w:color w:val="000000" w:themeColor="text1"/>
                <w:kern w:val="0"/>
                <w:sz w:val="24"/>
              </w:rPr>
            </w:pPr>
            <w:r>
              <w:rPr>
                <w:rFonts w:hint="eastAsia" w:ascii="宋体" w:hAnsi="宋体" w:cs="宋体"/>
                <w:b/>
                <w:bCs/>
                <w:color w:val="000000" w:themeColor="text1"/>
                <w:kern w:val="0"/>
                <w:sz w:val="24"/>
              </w:rPr>
              <w:t>供应商注册:</w:t>
            </w:r>
          </w:p>
          <w:p>
            <w:pPr>
              <w:spacing w:line="360" w:lineRule="auto"/>
              <w:contextualSpacing/>
              <w:jc w:val="left"/>
              <w:rPr>
                <w:rFonts w:ascii="宋体" w:hAnsi="宋体" w:cs="宋体"/>
                <w:b/>
                <w:bCs/>
                <w:color w:val="000000" w:themeColor="text1"/>
                <w:kern w:val="0"/>
                <w:sz w:val="24"/>
              </w:rPr>
            </w:pPr>
            <w:r>
              <w:rPr>
                <w:rFonts w:hint="eastAsia" w:ascii="宋体" w:hAnsi="宋体" w:cs="宋体"/>
                <w:color w:val="000000" w:themeColor="text1"/>
              </w:rPr>
              <w:t xml:space="preserve"> </w:t>
            </w:r>
            <w:r>
              <w:rPr>
                <w:rFonts w:hint="eastAsia" w:ascii="宋体" w:hAnsi="宋体" w:cs="宋体"/>
                <w:bCs/>
                <w:color w:val="000000" w:themeColor="text1"/>
                <w:kern w:val="0"/>
                <w:sz w:val="24"/>
              </w:rPr>
              <w:t>供应商首先通过“驻马店市公共资源交易中心（https://ggzy.zhumadian.gov.cn）”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w:t>
            </w:r>
            <w:r>
              <w:rPr>
                <w:rFonts w:hint="eastAsia" w:ascii="宋体" w:hAnsi="宋体" w:cs="宋体"/>
                <w:color w:val="000000" w:themeColor="text1"/>
                <w:sz w:val="24"/>
              </w:rPr>
              <w:t>完成注册。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22</w:t>
            </w:r>
          </w:p>
        </w:tc>
        <w:tc>
          <w:tcPr>
            <w:tcW w:w="8305" w:type="dxa"/>
            <w:vAlign w:val="center"/>
          </w:tcPr>
          <w:p>
            <w:pPr>
              <w:spacing w:line="360" w:lineRule="auto"/>
              <w:contextualSpacing/>
              <w:rPr>
                <w:rFonts w:ascii="宋体" w:hAnsi="宋体" w:cs="宋体"/>
                <w:color w:val="000000" w:themeColor="text1"/>
              </w:rPr>
            </w:pPr>
            <w:r>
              <w:rPr>
                <w:rFonts w:hint="eastAsia" w:ascii="宋体" w:hAnsi="宋体" w:cs="宋体"/>
                <w:b/>
                <w:bCs/>
                <w:color w:val="000000" w:themeColor="text1"/>
                <w:kern w:val="0"/>
                <w:sz w:val="24"/>
              </w:rPr>
              <w:t>招标文件下载:</w:t>
            </w:r>
            <w:r>
              <w:rPr>
                <w:rFonts w:hint="eastAsia" w:ascii="宋体" w:hAnsi="宋体" w:cs="宋体"/>
                <w:color w:val="000000" w:themeColor="text1"/>
              </w:rPr>
              <w:t xml:space="preserve"> </w:t>
            </w:r>
          </w:p>
          <w:p>
            <w:pPr>
              <w:spacing w:line="360" w:lineRule="auto"/>
              <w:contextualSpacing/>
              <w:jc w:val="left"/>
              <w:rPr>
                <w:rFonts w:ascii="宋体" w:hAnsi="宋体" w:cs="宋体"/>
                <w:bCs/>
                <w:color w:val="000000" w:themeColor="text1"/>
                <w:kern w:val="0"/>
                <w:sz w:val="24"/>
              </w:rPr>
            </w:pPr>
            <w:r>
              <w:rPr>
                <w:rFonts w:hint="eastAsia" w:ascii="宋体" w:hAnsi="宋体" w:cs="宋体"/>
                <w:bCs/>
                <w:color w:val="000000" w:themeColor="text1"/>
                <w:kern w:val="0"/>
                <w:sz w:val="24"/>
              </w:rPr>
              <w:t>凡有意参加投标者，登录“驻马店市公共资源交易中心（https://ggzy.zhumadian.gov.cn/）”网站，凭领取的企业身份认证锁（CA密钥）登录系统进行网上免费下载招标文件。供应商未按规定在网上下载招标文件的，其投标将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23</w:t>
            </w:r>
          </w:p>
        </w:tc>
        <w:tc>
          <w:tcPr>
            <w:tcW w:w="8305" w:type="dxa"/>
            <w:vAlign w:val="center"/>
          </w:tcPr>
          <w:p>
            <w:pPr>
              <w:spacing w:line="360" w:lineRule="auto"/>
              <w:contextualSpacing/>
              <w:rPr>
                <w:rFonts w:ascii="宋体" w:hAnsi="宋体" w:cs="宋体"/>
                <w:color w:val="000000" w:themeColor="text1"/>
              </w:rPr>
            </w:pPr>
            <w:r>
              <w:rPr>
                <w:rFonts w:hint="eastAsia" w:ascii="宋体" w:hAnsi="宋体" w:cs="宋体"/>
                <w:b/>
                <w:bCs/>
                <w:color w:val="000000" w:themeColor="text1"/>
                <w:kern w:val="0"/>
                <w:sz w:val="24"/>
              </w:rPr>
              <w:t>投标文件制作:</w:t>
            </w:r>
            <w:r>
              <w:rPr>
                <w:rFonts w:hint="eastAsia" w:ascii="宋体" w:hAnsi="宋体" w:cs="宋体"/>
                <w:color w:val="000000" w:themeColor="text1"/>
              </w:rPr>
              <w:t xml:space="preserve"> </w:t>
            </w:r>
          </w:p>
          <w:p>
            <w:pPr>
              <w:spacing w:line="360" w:lineRule="auto"/>
              <w:contextualSpacing/>
              <w:jc w:val="left"/>
              <w:rPr>
                <w:rFonts w:ascii="宋体" w:hAnsi="宋体" w:cs="宋体"/>
                <w:bCs/>
                <w:color w:val="000000" w:themeColor="text1"/>
                <w:kern w:val="0"/>
                <w:sz w:val="24"/>
              </w:rPr>
            </w:pPr>
            <w:r>
              <w:rPr>
                <w:rFonts w:hint="eastAsia" w:ascii="宋体" w:hAnsi="宋体" w:cs="宋体"/>
                <w:bCs/>
                <w:color w:val="000000" w:themeColor="text1"/>
                <w:kern w:val="0"/>
                <w:sz w:val="24"/>
              </w:rPr>
              <w:t>1、供应商通过“驻马店市公共资源交易中心（https://ggzy.zhumadian.gov.cn）”网站下载中心（政府采购类）：下载“新点投标文件制作软件（驻马店）”。</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2、供应商凭 CA 密钥登陆交易系统下载招标文件(.zmdzf 格 式)。</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3、供应商须在投标文件递交截止时间前制作并提交：</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加密的电子投标文件（.zmdtf 格式）,应在投标文件截止时间前通过“驻马店市公共资源交易中心（https://ggzy.zhumadian.gov.cn）”电子交易平台内上传；</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4、加密的电子投标文件为“驻马店市公共资源交易中心（https://ggzy.zhumadian.gov.cn）”网站提供的“新点投标文件制作软件（驻马店）”制作生成的加密版投标文件。</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5、供应商在编制电子投标文件时，生成后的电子投标文件须按招标文件的格式要求完成电子签字或盖章。“开标一览表”报价将作为电子开标的唱标依据。其他要求签字盖章的招标文件格式内容，供应商须将盖章签字后的扫描图片替换到相应格式中。</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6、招标文件格式所要求包含的全部资料应全部制作在投标文件内，严格按照本项目招标文件所有格式如实填写（不涉及的内容除外），不应存在漏项或缺项，否则将存在投标文件被拒绝的风险。</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7、投标文件以外的任何资料采购人和代理机构将拒收。</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8、供应商编辑电子投标文件时，根据招标文件要求用法人 CA 密钥和企业CA 密钥进行签章制作；最后一步生成电子投标文件（.zmdtf 格式和.nzmdtf 格式）时，只能用本单位的企业 CA 密钥。</w:t>
            </w:r>
          </w:p>
          <w:p>
            <w:pPr>
              <w:spacing w:line="360" w:lineRule="auto"/>
              <w:contextualSpacing/>
              <w:jc w:val="left"/>
              <w:rPr>
                <w:rFonts w:ascii="宋体" w:hAnsi="宋体" w:cs="宋体"/>
                <w:b/>
                <w:bCs/>
                <w:color w:val="000000" w:themeColor="text1"/>
                <w:kern w:val="0"/>
                <w:sz w:val="24"/>
              </w:rPr>
            </w:pPr>
            <w:r>
              <w:rPr>
                <w:rFonts w:hint="eastAsia" w:ascii="宋体" w:hAnsi="宋体" w:cs="宋体"/>
                <w:bCs/>
                <w:color w:val="000000" w:themeColor="text1"/>
                <w:kern w:val="0"/>
                <w:sz w:val="24"/>
              </w:rPr>
              <w:t>9、电子投标文件制作流程，可参考驻马店市公共资源交易中心官方网站的，下载中心板块的视频（http://ggzy.zhumadian.gov.cn/TPFront/InfoDetail/?InfoID=6e085538-6be5-4d25-80b2-12f5fc669ba1&amp;CategoryNum=026005）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24</w:t>
            </w:r>
          </w:p>
        </w:tc>
        <w:tc>
          <w:tcPr>
            <w:tcW w:w="8305" w:type="dxa"/>
            <w:vAlign w:val="center"/>
          </w:tcPr>
          <w:p>
            <w:pPr>
              <w:spacing w:line="360" w:lineRule="auto"/>
              <w:contextualSpacing/>
              <w:rPr>
                <w:rFonts w:ascii="宋体" w:hAnsi="宋体" w:cs="宋体"/>
                <w:b/>
                <w:bCs/>
                <w:color w:val="000000" w:themeColor="text1"/>
                <w:kern w:val="0"/>
                <w:sz w:val="24"/>
              </w:rPr>
            </w:pPr>
            <w:r>
              <w:rPr>
                <w:rFonts w:hint="eastAsia" w:ascii="宋体" w:hAnsi="宋体" w:cs="宋体"/>
                <w:b/>
                <w:bCs/>
                <w:color w:val="000000" w:themeColor="text1"/>
                <w:kern w:val="0"/>
                <w:sz w:val="24"/>
              </w:rPr>
              <w:t>投标文件上传:</w:t>
            </w:r>
            <w:r>
              <w:rPr>
                <w:rFonts w:hint="eastAsia" w:ascii="宋体" w:hAnsi="宋体" w:cs="宋体"/>
                <w:bCs/>
                <w:color w:val="000000" w:themeColor="text1"/>
                <w:kern w:val="0"/>
                <w:sz w:val="24"/>
              </w:rPr>
              <w:t>详见第三章供应商须知第22条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25</w:t>
            </w:r>
          </w:p>
        </w:tc>
        <w:tc>
          <w:tcPr>
            <w:tcW w:w="8305" w:type="dxa"/>
            <w:vAlign w:val="center"/>
          </w:tcPr>
          <w:p>
            <w:pPr>
              <w:spacing w:line="360" w:lineRule="auto"/>
              <w:contextualSpacing/>
              <w:rPr>
                <w:rFonts w:ascii="宋体" w:hAnsi="宋体" w:cs="宋体"/>
                <w:b/>
                <w:color w:val="000000" w:themeColor="text1"/>
              </w:rPr>
            </w:pPr>
            <w:r>
              <w:rPr>
                <w:rFonts w:hint="eastAsia" w:ascii="宋体" w:hAnsi="宋体" w:cs="宋体"/>
                <w:b/>
                <w:bCs/>
                <w:color w:val="000000" w:themeColor="text1"/>
                <w:kern w:val="0"/>
                <w:sz w:val="24"/>
              </w:rPr>
              <w:t>招标文件的澄清与变更:</w:t>
            </w:r>
            <w:r>
              <w:rPr>
                <w:rFonts w:hint="eastAsia" w:ascii="宋体" w:hAnsi="宋体" w:cs="宋体"/>
                <w:b/>
                <w:color w:val="000000" w:themeColor="text1"/>
              </w:rPr>
              <w:t xml:space="preserve"> </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1、采购人、代理机构对已发出的招标文件进行的澄清、更正或更改，澄清、更正或更改的内容将作为招标文件的组成部分。代理机构将通过网站“变更公告”和“答疑文件”告知供应商。各供应商须下载招标文件和最新的答疑文件，以此编制投标文件。</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2、因驻马店市公共资源交易中心平台在开标前具有保密性，供应商在投标文件递交截止时间前须自行查看项目进展、变更通知、澄清及回复，因供应商未及时查看而造成的后果自负。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26</w:t>
            </w:r>
          </w:p>
        </w:tc>
        <w:tc>
          <w:tcPr>
            <w:tcW w:w="8305" w:type="dxa"/>
            <w:vAlign w:val="center"/>
          </w:tcPr>
          <w:p>
            <w:pPr>
              <w:spacing w:line="360" w:lineRule="auto"/>
              <w:contextualSpacing/>
              <w:rPr>
                <w:rFonts w:ascii="宋体" w:hAnsi="宋体" w:cs="宋体"/>
                <w:b/>
                <w:bCs/>
                <w:color w:val="000000" w:themeColor="text1"/>
                <w:kern w:val="0"/>
                <w:sz w:val="24"/>
              </w:rPr>
            </w:pPr>
            <w:r>
              <w:rPr>
                <w:rFonts w:hint="eastAsia" w:ascii="宋体" w:hAnsi="宋体" w:cs="宋体"/>
                <w:b/>
                <w:bCs/>
                <w:color w:val="000000" w:themeColor="text1"/>
                <w:kern w:val="0"/>
                <w:sz w:val="24"/>
              </w:rPr>
              <w:t>开标：</w:t>
            </w:r>
          </w:p>
          <w:p>
            <w:pPr>
              <w:spacing w:line="360" w:lineRule="auto"/>
              <w:contextualSpacing/>
              <w:jc w:val="left"/>
              <w:rPr>
                <w:rFonts w:ascii="宋体" w:hAnsi="宋体" w:cs="宋体"/>
                <w:bCs/>
                <w:color w:val="000000" w:themeColor="text1"/>
                <w:kern w:val="0"/>
                <w:sz w:val="24"/>
              </w:rPr>
            </w:pPr>
            <w:r>
              <w:rPr>
                <w:rFonts w:hint="eastAsia" w:ascii="宋体" w:hAnsi="宋体" w:cs="宋体"/>
                <w:bCs/>
                <w:color w:val="000000" w:themeColor="text1"/>
                <w:kern w:val="0"/>
                <w:sz w:val="24"/>
              </w:rPr>
              <w:t>1、开标当日，供应商无需到达开标现场，仅需在任意地点使用企业CA 密钥登入驻马店市公共资源交易中心不见面开标大厅（http://ggzy.zhumadian.gov.cn:9190/BidOpening/bidopeninghallaction/hall/login）及相应的配套硬件设备（摄像头、话筒、麦克风等）参加开标会议。</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2、开标时，供应商必须使用能正确解密投标文件的CA 密钥在规定的时间内完成远程解密，因供应商原因未能解密、解密失败或解密超时，视为供应商撤销其投标文件，系统内投标文件将被退回；因招标人原因或网上招投标平台发生故障，导致供应商无法按时完成投标文件解密或开、评标工作无法进行的，可根据实际情况报请批准后相应延迟解密时间或调整开、评标时间（友情提示：若供应商已领取副锁（含多把副锁）请注意正副锁的使用差别）。</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3、远程开标前，供应商务必在驻马店市公共资源交易电子交易平台（http://ggzy.zhumadian.gov.cn:8820/TPBidder）投标文件上传模块中使用“模拟解密”功能，验证本机远程自助解密环境。</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4、</w:t>
            </w:r>
            <w:r>
              <w:rPr>
                <w:rFonts w:hint="eastAsia" w:ascii="宋体" w:hAnsi="宋体" w:cs="宋体"/>
                <w:b/>
                <w:bCs/>
                <w:color w:val="000000" w:themeColor="text1"/>
                <w:kern w:val="0"/>
                <w:sz w:val="24"/>
              </w:rPr>
              <w:t>特别提醒：</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 xml:space="preserve">    因驻马店市公共资源不见面交易系统具备视频直播、语音通话等，对网络带宽及硬件要求相对较高的功能，故供应商在参与使用不见面交易系统开标的项目时，需确认是否满足如下要求：</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（1）网络要求：网络带宽4M以上。</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（2）硬件要求：电脑要求内存4G及以上，且需配套网络摄像头、麦克风、音箱等，并确保其均能正常运转。操作系统要求Windows7及以上，IE浏览器IE11及以上。</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（3）人员要求：对于参与驻马店不见面交易系统开标的供应商，要求能熟练掌握电脑基础操作。不见面开标操作手册下载地址：</w:t>
            </w:r>
          </w:p>
          <w:p>
            <w:pPr>
              <w:spacing w:line="360" w:lineRule="auto"/>
              <w:contextualSpacing/>
              <w:rPr>
                <w:rFonts w:ascii="宋体" w:hAnsi="宋体" w:cs="宋体"/>
                <w:bCs/>
                <w:color w:val="000000" w:themeColor="text1"/>
                <w:kern w:val="0"/>
                <w:sz w:val="24"/>
              </w:rPr>
            </w:pPr>
            <w:r>
              <w:rPr>
                <w:rFonts w:hint="eastAsia" w:ascii="宋体" w:hAnsi="宋体" w:cs="宋体"/>
                <w:bCs/>
                <w:color w:val="000000" w:themeColor="text1"/>
                <w:kern w:val="0"/>
                <w:sz w:val="24"/>
              </w:rPr>
              <w:t>（http://ggzy.zhumadian.gov.cn/TPFront/InfoDetail/?InfoID=6e085538-6be5-4d25-80b2-12f5fc669ba1&amp;CategoryNum=026005）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27</w:t>
            </w:r>
          </w:p>
        </w:tc>
        <w:tc>
          <w:tcPr>
            <w:tcW w:w="8305" w:type="dxa"/>
            <w:vAlign w:val="center"/>
          </w:tcPr>
          <w:p>
            <w:pPr>
              <w:spacing w:line="360" w:lineRule="auto"/>
              <w:contextualSpacing/>
              <w:rPr>
                <w:rFonts w:ascii="宋体" w:hAnsi="宋体" w:cs="宋体"/>
                <w:b/>
                <w:bCs/>
                <w:color w:val="000000" w:themeColor="text1"/>
                <w:kern w:val="0"/>
                <w:sz w:val="24"/>
              </w:rPr>
            </w:pPr>
            <w:r>
              <w:rPr>
                <w:rFonts w:hint="eastAsia" w:ascii="宋体" w:hAnsi="宋体" w:cs="宋体"/>
                <w:b/>
                <w:bCs/>
                <w:color w:val="000000" w:themeColor="text1"/>
                <w:kern w:val="0"/>
                <w:sz w:val="24"/>
              </w:rPr>
              <w:t>评标：</w:t>
            </w:r>
            <w:r>
              <w:rPr>
                <w:rFonts w:hint="eastAsia" w:ascii="宋体" w:hAnsi="宋体" w:cs="宋体"/>
                <w:bCs/>
                <w:color w:val="000000" w:themeColor="text1"/>
                <w:kern w:val="0"/>
                <w:sz w:val="24"/>
              </w:rPr>
              <w:t>详见第三章供应商须知第25、26、27、28、29、30条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75" w:type="dxa"/>
            <w:vAlign w:val="center"/>
          </w:tcPr>
          <w:p>
            <w:pPr>
              <w:widowControl/>
              <w:snapToGrid w:val="0"/>
              <w:spacing w:line="360" w:lineRule="auto"/>
              <w:contextualSpacing/>
              <w:jc w:val="center"/>
              <w:rPr>
                <w:rFonts w:ascii="宋体" w:hAnsi="宋体" w:cs="宋体"/>
                <w:color w:val="000000" w:themeColor="text1"/>
                <w:kern w:val="0"/>
                <w:sz w:val="24"/>
              </w:rPr>
            </w:pPr>
            <w:r>
              <w:rPr>
                <w:rFonts w:hint="eastAsia" w:ascii="宋体" w:hAnsi="宋体" w:cs="宋体"/>
                <w:color w:val="000000" w:themeColor="text1"/>
                <w:kern w:val="0"/>
                <w:sz w:val="24"/>
              </w:rPr>
              <w:t>28</w:t>
            </w:r>
          </w:p>
        </w:tc>
        <w:tc>
          <w:tcPr>
            <w:tcW w:w="8305" w:type="dxa"/>
            <w:vAlign w:val="center"/>
          </w:tcPr>
          <w:p>
            <w:pPr>
              <w:widowControl/>
              <w:spacing w:line="360" w:lineRule="auto"/>
              <w:contextualSpacing/>
              <w:jc w:val="left"/>
              <w:textAlignment w:val="bottom"/>
              <w:rPr>
                <w:rFonts w:ascii="宋体" w:hAnsi="宋体" w:cs="宋体"/>
                <w:color w:val="000000" w:themeColor="text1"/>
                <w:kern w:val="0"/>
                <w:sz w:val="24"/>
              </w:rPr>
            </w:pPr>
            <w:r>
              <w:rPr>
                <w:rFonts w:hint="eastAsia" w:ascii="宋体" w:hAnsi="宋体" w:cs="宋体"/>
                <w:color w:val="000000" w:themeColor="text1"/>
                <w:kern w:val="0"/>
                <w:sz w:val="24"/>
              </w:rPr>
              <w:t>解释：构成本招标文件的各个组成文件应互为解释，互为说明；如有不明确或不一致，构成合同文件组成内容的，以合同文件约定内容为准；除招标文件中有特殊规定外，仅适用于招标投标阶段的规定，按招标公告、供应商须知、评标办法、投标文件格式的先后顺序解释；同一组成文件中就同一事项的规定或约定不一致的，以编排顺序在后者为准；当招标文件与招标文件的澄清、修改或补充通知就同一内容的表述不一致时，以最后发出的书面文件为准。合同文件约定或后者明显错误的除外。</w:t>
            </w:r>
          </w:p>
          <w:p>
            <w:pPr>
              <w:widowControl/>
              <w:snapToGrid w:val="0"/>
              <w:spacing w:line="360" w:lineRule="auto"/>
              <w:contextualSpacing/>
              <w:jc w:val="left"/>
              <w:textAlignment w:val="bottom"/>
              <w:rPr>
                <w:rFonts w:ascii="宋体" w:hAnsi="宋体" w:cs="宋体"/>
                <w:color w:val="000000" w:themeColor="text1"/>
                <w:kern w:val="0"/>
                <w:sz w:val="24"/>
              </w:rPr>
            </w:pPr>
            <w:r>
              <w:rPr>
                <w:rFonts w:hint="eastAsia" w:ascii="宋体" w:hAnsi="宋体" w:cs="宋体"/>
                <w:color w:val="000000" w:themeColor="text1"/>
                <w:kern w:val="0"/>
                <w:sz w:val="24"/>
              </w:rPr>
              <w:t>按本款前述规定仍不能形成结论的，由采购人（或采购代理机构）负责解释。</w:t>
            </w:r>
          </w:p>
        </w:tc>
      </w:tr>
    </w:tbl>
    <w:p>
      <w:pPr>
        <w:widowControl/>
        <w:wordWrap w:val="0"/>
        <w:snapToGrid w:val="0"/>
        <w:spacing w:line="460" w:lineRule="exact"/>
        <w:ind w:firstLine="3357" w:firstLineChars="1045"/>
        <w:jc w:val="left"/>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 xml:space="preserve"> 一  说    明</w:t>
      </w:r>
    </w:p>
    <w:p>
      <w:pPr>
        <w:rPr>
          <w:color w:val="000000" w:themeColor="text1"/>
        </w:rPr>
      </w:pPr>
      <w:r>
        <w:rPr>
          <w:rFonts w:hint="eastAsia"/>
          <w:color w:val="000000" w:themeColor="text1"/>
        </w:rPr>
        <w:t xml:space="preserve"> </w:t>
      </w:r>
    </w:p>
    <w:p>
      <w:pPr>
        <w:widowControl/>
        <w:snapToGrid w:val="0"/>
        <w:spacing w:line="360" w:lineRule="auto"/>
        <w:ind w:left="143" w:leftChars="68" w:firstLine="354" w:firstLineChars="147"/>
        <w:jc w:val="left"/>
        <w:rPr>
          <w:rFonts w:ascii="宋体" w:hAnsi="宋体" w:cs="宋体"/>
          <w:b/>
          <w:color w:val="000000" w:themeColor="text1"/>
          <w:kern w:val="0"/>
          <w:sz w:val="24"/>
        </w:rPr>
      </w:pPr>
      <w:r>
        <w:rPr>
          <w:rFonts w:hint="eastAsia" w:ascii="宋体" w:hAnsi="宋体" w:cs="宋体"/>
          <w:b/>
          <w:color w:val="000000" w:themeColor="text1"/>
          <w:kern w:val="0"/>
          <w:sz w:val="24"/>
        </w:rPr>
        <w:t>1.适用范围</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本招标文件仅适用于招标公告中所叙述项目的货物及工程等采购。</w:t>
      </w:r>
    </w:p>
    <w:p>
      <w:pPr>
        <w:widowControl/>
        <w:snapToGrid w:val="0"/>
        <w:spacing w:line="360" w:lineRule="auto"/>
        <w:ind w:left="143" w:leftChars="68" w:firstLine="354" w:firstLineChars="147"/>
        <w:jc w:val="left"/>
        <w:rPr>
          <w:rFonts w:ascii="宋体" w:hAnsi="宋体" w:cs="宋体"/>
          <w:b/>
          <w:color w:val="000000" w:themeColor="text1"/>
          <w:kern w:val="0"/>
          <w:sz w:val="24"/>
        </w:rPr>
      </w:pPr>
      <w:r>
        <w:rPr>
          <w:rFonts w:hint="eastAsia" w:ascii="宋体" w:hAnsi="宋体" w:cs="宋体"/>
          <w:b/>
          <w:color w:val="000000" w:themeColor="text1"/>
          <w:kern w:val="0"/>
          <w:sz w:val="24"/>
        </w:rPr>
        <w:t>2.定义</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2.1 “采购人”系指本次采购项目的业主方。</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2.2 “采购代理机构”系指本次招标采购项目活动组织方。</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2.3 “供应商”系指下载了本招标文件，且已经提交本次投标文件的制造商或经销商。</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 “供应商代表”系指代表供应商参加本次招标活动的供应商的法定代表人或其委托代理人。</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2.5 “货物”系指供应商按招标文件规定向采购人提供的一切设备、机械、仪器仪表、备品备件、工具、手册及其它有关技术资料和材料。</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 “相关服务”系指招标文件规定供应商须承担的与本次采购货物相关的安装、调试、技术协助、校准、培训以及其他类似的义务。</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2.7 “投标文件有效期” 系指本次采购项目投标截止之日起至合同签订之日止的期限。中标人的投标文件有效期至合同完全履行止。</w:t>
      </w:r>
    </w:p>
    <w:p>
      <w:pPr>
        <w:widowControl/>
        <w:snapToGrid w:val="0"/>
        <w:spacing w:line="360" w:lineRule="auto"/>
        <w:ind w:left="143" w:leftChars="68" w:firstLine="354" w:firstLineChars="147"/>
        <w:jc w:val="left"/>
        <w:rPr>
          <w:rFonts w:ascii="宋体" w:hAnsi="宋体" w:cs="宋体"/>
          <w:b/>
          <w:color w:val="000000" w:themeColor="text1"/>
          <w:kern w:val="0"/>
          <w:sz w:val="24"/>
        </w:rPr>
      </w:pPr>
      <w:r>
        <w:rPr>
          <w:rFonts w:hint="eastAsia" w:ascii="宋体" w:hAnsi="宋体" w:cs="宋体"/>
          <w:b/>
          <w:color w:val="000000" w:themeColor="text1"/>
          <w:kern w:val="0"/>
          <w:sz w:val="24"/>
        </w:rPr>
        <w:t>3.采购预算（最高投标限价）</w:t>
      </w:r>
    </w:p>
    <w:p>
      <w:pPr>
        <w:widowControl/>
        <w:snapToGrid w:val="0"/>
        <w:spacing w:line="360" w:lineRule="auto"/>
        <w:ind w:left="3536" w:leftChars="340" w:hanging="2822" w:hangingChars="1176"/>
        <w:jc w:val="left"/>
        <w:rPr>
          <w:rFonts w:ascii="宋体" w:hAnsi="宋体" w:cs="宋体"/>
          <w:color w:val="000000" w:themeColor="text1"/>
          <w:kern w:val="0"/>
          <w:sz w:val="24"/>
        </w:rPr>
      </w:pPr>
      <w:r>
        <w:rPr>
          <w:rFonts w:hint="eastAsia" w:ascii="宋体" w:hAnsi="宋体" w:cs="宋体"/>
          <w:color w:val="000000" w:themeColor="text1"/>
          <w:kern w:val="0"/>
          <w:sz w:val="24"/>
        </w:rPr>
        <w:t>本次采购预算为：详见公告。</w:t>
      </w:r>
    </w:p>
    <w:p>
      <w:pPr>
        <w:widowControl/>
        <w:snapToGrid w:val="0"/>
        <w:spacing w:line="360" w:lineRule="auto"/>
        <w:ind w:left="143" w:leftChars="68" w:firstLine="354" w:firstLineChars="147"/>
        <w:jc w:val="left"/>
        <w:rPr>
          <w:rFonts w:ascii="宋体" w:hAnsi="宋体" w:cs="宋体"/>
          <w:b/>
          <w:color w:val="000000" w:themeColor="text1"/>
          <w:kern w:val="0"/>
          <w:sz w:val="24"/>
        </w:rPr>
      </w:pPr>
      <w:r>
        <w:rPr>
          <w:rFonts w:hint="eastAsia" w:ascii="宋体" w:hAnsi="宋体" w:cs="宋体"/>
          <w:b/>
          <w:color w:val="000000" w:themeColor="text1"/>
          <w:kern w:val="0"/>
          <w:sz w:val="24"/>
        </w:rPr>
        <w:t>4.供应商应提交的证明文件</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4.1 供应商工商营业执照、税务登记证或统一社会信用代码证“新营业执照”（有效的副本原件的扫描件）；</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4.2法定代表人本人投标的，提供身份证原件的扫描件；法定代表人委托代理人投标的，提供法人授权委托书原件和委托代理人的身份证原件的扫描件；</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 xml:space="preserve">4.3 符合《中华人民共和国政府采购法》第二十二条规定的承诺函(供应商在响应时，按照规定提供信用承诺函，承诺函详格式见附件）；  </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4.4根据《关于在政府采购活动中查询及使用信用记录有关问题的通知》（财库【2016】125 号）的规定，对列入失信被执行人、重大税收违法案件当事人名单、政府采购严重违法失信行为记录名单的供应商，拒绝参与本项目招标活动。【查询渠道：“信用中国”网站（www.creditchina.gov.cn）、中国政府采购网（www.ccgp.gov.cn）】。(提供以上网站的查询截图，网页截图加盖企业公章，查询日期在公告发出之后)。</w:t>
      </w:r>
    </w:p>
    <w:p>
      <w:pPr>
        <w:widowControl/>
        <w:spacing w:line="360" w:lineRule="auto"/>
        <w:ind w:firstLine="480" w:firstLineChars="200"/>
        <w:jc w:val="left"/>
        <w:rPr>
          <w:rFonts w:ascii="宋体" w:hAnsi="宋体" w:cs="宋体"/>
          <w:kern w:val="0"/>
          <w:sz w:val="24"/>
        </w:rPr>
      </w:pPr>
      <w:r>
        <w:rPr>
          <w:rFonts w:hint="eastAsia" w:ascii="宋体" w:hAnsi="宋体" w:cs="宋体"/>
          <w:kern w:val="0"/>
          <w:sz w:val="24"/>
        </w:rPr>
        <w:t>4.5其他证明文件（采购人根据项目需要提出且为本次采购所必要的）。</w:t>
      </w:r>
    </w:p>
    <w:p>
      <w:pPr>
        <w:spacing w:line="360" w:lineRule="auto"/>
        <w:ind w:firstLine="482" w:firstLineChars="200"/>
        <w:rPr>
          <w:rFonts w:ascii="宋体" w:hAnsi="宋体" w:cs="宋体"/>
          <w:b/>
          <w:bCs/>
          <w:color w:val="000000"/>
          <w:sz w:val="24"/>
        </w:rPr>
      </w:pPr>
      <w:r>
        <w:rPr>
          <w:rFonts w:hint="eastAsia" w:ascii="宋体" w:hAnsi="宋体" w:cs="宋体"/>
          <w:b/>
          <w:bCs/>
          <w:color w:val="000000"/>
          <w:sz w:val="24"/>
        </w:rPr>
        <w:t>注：以上为必须提供的材料。本项目采用不见面开评标，投标人在投标截止时间前应及时完善主体诚信库中企业信息及扫描件（4.1、4.2、4.3、4.4、4.5项所需材料），提交并自行核验通过。同时在“资格审查及评审材料”菜单下按分包挑选该包投标所用资格审查材料（4.1、4.2、4.3、4.4、4.5项所需材料），以供评标过程中采购人查阅。投标人应确保主体诚信库信息与电子投标文件信息一致，上传的资料要真实并清晰可辨。评标时以电子投标文件及“资格审查及评审材料”菜单中选取的企业信息为准。</w:t>
      </w:r>
    </w:p>
    <w:p>
      <w:pPr>
        <w:widowControl/>
        <w:spacing w:line="360" w:lineRule="auto"/>
        <w:ind w:firstLine="482" w:firstLineChars="200"/>
        <w:jc w:val="left"/>
        <w:rPr>
          <w:rFonts w:ascii="宋体" w:hAnsi="宋体" w:cs="宋体"/>
          <w:b/>
          <w:color w:val="000000" w:themeColor="text1"/>
          <w:kern w:val="0"/>
          <w:sz w:val="30"/>
          <w:szCs w:val="30"/>
        </w:rPr>
      </w:pPr>
      <w:r>
        <w:rPr>
          <w:rFonts w:hint="eastAsia" w:ascii="宋体" w:hAnsi="宋体" w:cs="宋体"/>
          <w:b/>
          <w:color w:val="000000" w:themeColor="text1"/>
          <w:kern w:val="0"/>
          <w:sz w:val="24"/>
        </w:rPr>
        <w:t>5.投标费用</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不论投标结果如何，供应商均应自行承担所有与投标有关的全部费用。</w:t>
      </w:r>
    </w:p>
    <w:p>
      <w:pPr>
        <w:widowControl/>
        <w:snapToGrid w:val="0"/>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6.联合体投标</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本项目不接受联合体投标。</w:t>
      </w:r>
    </w:p>
    <w:p>
      <w:pPr>
        <w:widowControl/>
        <w:snapToGrid w:val="0"/>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7.关联企业投标</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7.1 本招标文件所称关联企业,是指存在关联关系的企业。“关联关系”的界定适用《中华人民共和国公司法》第二百一十七条、《中华人民共和国政府采购法实施条例》第十八条之规定。</w:t>
      </w:r>
    </w:p>
    <w:p>
      <w:pPr>
        <w:pStyle w:val="106"/>
        <w:shd w:val="clear" w:color="auto" w:fill="FFFFFF"/>
        <w:spacing w:line="360" w:lineRule="auto"/>
        <w:ind w:firstLine="480" w:firstLineChars="200"/>
        <w:rPr>
          <w:color w:val="000000" w:themeColor="text1"/>
        </w:rPr>
      </w:pPr>
      <w:r>
        <w:rPr>
          <w:rFonts w:hint="eastAsia"/>
          <w:color w:val="000000" w:themeColor="text1"/>
        </w:rPr>
        <w:t>7.2 关联企业中, 同一个法定代表人的两个及两个以上法人，母公司、全资子公司及其控股公司，都不得同时投标。</w:t>
      </w:r>
      <w:r>
        <w:rPr>
          <w:rFonts w:hint="eastAsia"/>
          <w:color w:val="000000" w:themeColor="text1"/>
          <w:shd w:val="clear" w:color="auto" w:fill="FFFFFF"/>
        </w:rPr>
        <w:t>单位负责人为同一人或者存在直接控股、管理关系的不同供应商，不得参加同一合同项下的投标。</w:t>
      </w:r>
      <w:r>
        <w:rPr>
          <w:rFonts w:hint="eastAsia"/>
          <w:color w:val="000000" w:themeColor="text1"/>
        </w:rPr>
        <w:t>一经发现，将导致投标同时被拒绝。</w:t>
      </w:r>
    </w:p>
    <w:p>
      <w:pPr>
        <w:pStyle w:val="106"/>
        <w:shd w:val="clear" w:color="auto" w:fill="FFFFFF"/>
        <w:spacing w:line="360" w:lineRule="auto"/>
        <w:rPr>
          <w:color w:val="000000" w:themeColor="text1"/>
        </w:rPr>
      </w:pPr>
      <w:r>
        <w:rPr>
          <w:rFonts w:hint="eastAsia"/>
          <w:color w:val="000000" w:themeColor="text1"/>
          <w:shd w:val="clear" w:color="auto" w:fill="FFFFFF"/>
        </w:rPr>
        <w:t xml:space="preserve">    </w:t>
      </w:r>
      <w:r>
        <w:rPr>
          <w:rFonts w:hint="eastAsia"/>
          <w:color w:val="000000" w:themeColor="text1"/>
        </w:rPr>
        <w:t>7.3</w:t>
      </w:r>
      <w:r>
        <w:rPr>
          <w:rFonts w:hint="eastAsia"/>
          <w:color w:val="000000" w:themeColor="text1"/>
          <w:shd w:val="clear" w:color="auto" w:fill="FFFFFF"/>
        </w:rPr>
        <w:t xml:space="preserve"> 为采购项目提供整体设计、规范编制或者项目管理、监理、检测等服务的供应商，不得再参加该采购项目的投标活动。</w:t>
      </w:r>
    </w:p>
    <w:p>
      <w:pPr>
        <w:widowControl/>
        <w:snapToGrid w:val="0"/>
        <w:spacing w:line="360" w:lineRule="auto"/>
        <w:ind w:firstLine="472" w:firstLineChars="196"/>
        <w:jc w:val="left"/>
        <w:rPr>
          <w:rFonts w:ascii="宋体" w:hAnsi="宋体" w:cs="宋体"/>
          <w:b/>
          <w:color w:val="000000" w:themeColor="text1"/>
          <w:kern w:val="0"/>
          <w:sz w:val="24"/>
        </w:rPr>
      </w:pPr>
      <w:r>
        <w:rPr>
          <w:rFonts w:hint="eastAsia" w:ascii="宋体" w:hAnsi="宋体" w:cs="宋体"/>
          <w:b/>
          <w:color w:val="000000" w:themeColor="text1"/>
          <w:kern w:val="0"/>
          <w:sz w:val="24"/>
        </w:rPr>
        <w:t>8.转包与分包</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8.1 本项目不允许采取转包方式履行合同。</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8.2本项目不允许采取分包方式履行合同。</w:t>
      </w:r>
    </w:p>
    <w:p>
      <w:pPr>
        <w:widowControl/>
        <w:snapToGrid w:val="0"/>
        <w:spacing w:line="360" w:lineRule="auto"/>
        <w:ind w:firstLine="472" w:firstLineChars="196"/>
        <w:jc w:val="left"/>
        <w:rPr>
          <w:rFonts w:ascii="宋体" w:hAnsi="宋体" w:cs="宋体"/>
          <w:b/>
          <w:color w:val="000000" w:themeColor="text1"/>
          <w:kern w:val="0"/>
          <w:sz w:val="24"/>
        </w:rPr>
      </w:pPr>
      <w:r>
        <w:rPr>
          <w:rFonts w:hint="eastAsia" w:ascii="宋体" w:hAnsi="宋体" w:cs="宋体"/>
          <w:b/>
          <w:color w:val="000000" w:themeColor="text1"/>
          <w:kern w:val="0"/>
          <w:sz w:val="24"/>
        </w:rPr>
        <w:t>9.特别说明：</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9.1供应商投标所使用的资格、信誉、荣誉、业绩与企业认证必须为本供应商所拥有。   </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9.2 </w:t>
      </w:r>
      <w:r>
        <w:rPr>
          <w:rFonts w:hint="eastAsia"/>
          <w:color w:val="000000"/>
          <w:sz w:val="24"/>
          <w:shd w:val="clear" w:color="auto" w:fill="FFFFFF"/>
        </w:rPr>
        <w:t>投标人代表只能接受一个投标人的委托参加投标。</w:t>
      </w:r>
    </w:p>
    <w:p>
      <w:pPr>
        <w:pStyle w:val="106"/>
        <w:shd w:val="clear" w:color="auto" w:fill="FFFFFF"/>
        <w:spacing w:line="360" w:lineRule="auto"/>
        <w:ind w:firstLine="480" w:firstLineChars="200"/>
        <w:rPr>
          <w:color w:val="000000" w:themeColor="text1"/>
        </w:rPr>
      </w:pPr>
      <w:r>
        <w:rPr>
          <w:rFonts w:hint="eastAsia"/>
          <w:color w:val="000000" w:themeColor="text1"/>
        </w:rPr>
        <w:t>9.3 《政府采购法》第二十二条第五款“参加政府采购活动前三年内，在经营活动中没有重大违法记录”，“重大违法记录”是指</w:t>
      </w:r>
      <w:r>
        <w:rPr>
          <w:rFonts w:hint="eastAsia"/>
          <w:color w:val="000000" w:themeColor="text1"/>
          <w:shd w:val="clear" w:color="auto" w:fill="FFFFFF"/>
        </w:rPr>
        <w:t>供应商因违法经营受到刑事处罚或者责令停产停业、吊销许可证或者执照、较大数额罚款等行政处罚。</w:t>
      </w:r>
    </w:p>
    <w:p>
      <w:pPr>
        <w:pStyle w:val="106"/>
        <w:shd w:val="clear" w:color="auto" w:fill="FFFFFF"/>
        <w:spacing w:line="360" w:lineRule="auto"/>
        <w:ind w:firstLine="480" w:firstLineChars="200"/>
        <w:rPr>
          <w:color w:val="000000" w:themeColor="text1"/>
        </w:rPr>
      </w:pPr>
      <w:r>
        <w:rPr>
          <w:rFonts w:hint="eastAsia"/>
          <w:color w:val="000000" w:themeColor="text1"/>
        </w:rPr>
        <w:t>9.4供应商在投标活动中提供虚假材料或从事其他违法活动的,其投标无效，由相关部门查处。</w:t>
      </w:r>
    </w:p>
    <w:p>
      <w:pPr>
        <w:widowControl/>
        <w:snapToGrid w:val="0"/>
        <w:spacing w:line="360" w:lineRule="auto"/>
        <w:ind w:firstLine="472" w:firstLineChars="196"/>
        <w:jc w:val="left"/>
        <w:rPr>
          <w:rFonts w:ascii="宋体" w:hAnsi="宋体" w:cs="宋体"/>
          <w:b/>
          <w:color w:val="000000" w:themeColor="text1"/>
          <w:kern w:val="0"/>
          <w:sz w:val="24"/>
        </w:rPr>
      </w:pPr>
      <w:r>
        <w:rPr>
          <w:rFonts w:hint="eastAsia" w:ascii="宋体" w:hAnsi="宋体" w:cs="宋体"/>
          <w:b/>
          <w:color w:val="000000" w:themeColor="text1"/>
          <w:kern w:val="0"/>
          <w:sz w:val="24"/>
        </w:rPr>
        <w:t>10.质疑和投诉</w:t>
      </w:r>
    </w:p>
    <w:p>
      <w:pPr>
        <w:widowControl/>
        <w:wordWrap w:val="0"/>
        <w:snapToGrid w:val="0"/>
        <w:spacing w:line="460" w:lineRule="exact"/>
        <w:ind w:firstLine="480" w:firstLineChars="200"/>
        <w:jc w:val="left"/>
        <w:rPr>
          <w:rFonts w:ascii="宋体" w:hAnsi="宋体" w:cs="宋体"/>
          <w:b/>
          <w:color w:val="000000" w:themeColor="text1"/>
          <w:kern w:val="0"/>
          <w:sz w:val="24"/>
        </w:rPr>
      </w:pPr>
      <w:r>
        <w:rPr>
          <w:rFonts w:hint="eastAsia" w:ascii="宋体" w:hAnsi="宋体" w:cs="宋体"/>
          <w:bCs/>
          <w:color w:val="000000" w:themeColor="text1"/>
          <w:kern w:val="0"/>
          <w:sz w:val="24"/>
        </w:rPr>
        <w:t>10.1供应商认为招标文件使自己的合法权益受到损害的，</w:t>
      </w:r>
      <w:r>
        <w:rPr>
          <w:rFonts w:hint="eastAsia" w:ascii="宋体" w:hAnsi="宋体" w:cs="宋体"/>
          <w:color w:val="000000" w:themeColor="text1"/>
          <w:kern w:val="0"/>
          <w:sz w:val="24"/>
        </w:rPr>
        <w:t>应当在招标公告期限届满之日(或收到招标文件之日)起7个工作日之内向</w:t>
      </w:r>
      <w:r>
        <w:rPr>
          <w:rFonts w:hint="eastAsia" w:ascii="宋体" w:hAnsi="宋体" w:cs="宋体"/>
          <w:bCs/>
          <w:color w:val="000000" w:themeColor="text1"/>
          <w:kern w:val="0"/>
          <w:sz w:val="24"/>
        </w:rPr>
        <w:t>采购人或</w:t>
      </w:r>
      <w:r>
        <w:rPr>
          <w:rFonts w:hint="eastAsia" w:ascii="宋体" w:hAnsi="宋体" w:cs="宋体"/>
          <w:color w:val="000000" w:themeColor="text1"/>
          <w:kern w:val="0"/>
          <w:sz w:val="24"/>
        </w:rPr>
        <w:t>采购代理机构</w:t>
      </w:r>
      <w:r>
        <w:rPr>
          <w:rFonts w:hint="eastAsia" w:ascii="宋体" w:hAnsi="宋体" w:cs="宋体"/>
          <w:bCs/>
          <w:color w:val="000000" w:themeColor="text1"/>
          <w:kern w:val="0"/>
          <w:sz w:val="24"/>
        </w:rPr>
        <w:t>提出质疑</w:t>
      </w:r>
      <w:r>
        <w:rPr>
          <w:rFonts w:hint="eastAsia" w:ascii="宋体" w:hAnsi="宋体" w:cs="宋体"/>
          <w:color w:val="000000" w:themeColor="text1"/>
          <w:kern w:val="0"/>
          <w:sz w:val="24"/>
        </w:rPr>
        <w:t>，逾期不再受理</w:t>
      </w:r>
      <w:r>
        <w:rPr>
          <w:rFonts w:hint="eastAsia" w:ascii="宋体" w:hAnsi="宋体" w:cs="宋体"/>
          <w:bCs/>
          <w:color w:val="000000" w:themeColor="text1"/>
          <w:kern w:val="0"/>
          <w:sz w:val="24"/>
        </w:rPr>
        <w:t>；供应商认为招标过程和中标结果使自己的合法权益受到损害的，应当在知道或者应知其权益受到损害之日起7个工作日内提出质疑。</w:t>
      </w:r>
      <w:r>
        <w:rPr>
          <w:rFonts w:hint="eastAsia" w:ascii="宋体" w:hAnsi="宋体" w:cs="宋体"/>
          <w:color w:val="000000" w:themeColor="text1"/>
          <w:kern w:val="0"/>
          <w:sz w:val="24"/>
        </w:rPr>
        <w:t>逾期不再受理,</w:t>
      </w:r>
      <w:r>
        <w:rPr>
          <w:rFonts w:hint="eastAsia" w:ascii="宋体" w:hAnsi="宋体" w:cs="宋体"/>
          <w:bCs/>
          <w:color w:val="000000" w:themeColor="text1"/>
          <w:kern w:val="0"/>
          <w:sz w:val="24"/>
        </w:rPr>
        <w:t>供应商在法定质疑期内应一次性提出针对同一采购环节的质疑。</w:t>
      </w:r>
    </w:p>
    <w:p>
      <w:pPr>
        <w:spacing w:line="360" w:lineRule="auto"/>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供应商对</w:t>
      </w:r>
      <w:r>
        <w:rPr>
          <w:rFonts w:hint="eastAsia" w:ascii="宋体" w:hAnsi="宋体" w:cs="宋体"/>
          <w:bCs/>
          <w:color w:val="000000" w:themeColor="text1"/>
          <w:kern w:val="0"/>
          <w:sz w:val="24"/>
        </w:rPr>
        <w:t>采购人或采购代理机构</w:t>
      </w:r>
      <w:r>
        <w:rPr>
          <w:rFonts w:hint="eastAsia" w:ascii="宋体" w:hAnsi="宋体" w:cs="宋体"/>
          <w:color w:val="000000" w:themeColor="text1"/>
          <w:kern w:val="0"/>
          <w:sz w:val="24"/>
        </w:rPr>
        <w:t>的质疑答复不满意或</w:t>
      </w:r>
      <w:r>
        <w:rPr>
          <w:rFonts w:hint="eastAsia" w:ascii="宋体" w:hAnsi="宋体" w:cs="宋体"/>
          <w:bCs/>
          <w:color w:val="000000" w:themeColor="text1"/>
          <w:kern w:val="0"/>
          <w:sz w:val="24"/>
        </w:rPr>
        <w:t>采购人或采购代理机构</w:t>
      </w:r>
      <w:r>
        <w:rPr>
          <w:rFonts w:hint="eastAsia" w:ascii="宋体" w:hAnsi="宋体" w:cs="宋体"/>
          <w:color w:val="000000" w:themeColor="text1"/>
          <w:kern w:val="0"/>
          <w:sz w:val="24"/>
        </w:rPr>
        <w:t>未在规定时间内作出答复的，可以在答复期满后15个工作日内向同级财政部门投诉。</w:t>
      </w:r>
    </w:p>
    <w:p>
      <w:pPr>
        <w:spacing w:line="360" w:lineRule="auto"/>
        <w:ind w:firstLine="480" w:firstLineChars="200"/>
        <w:rPr>
          <w:rFonts w:ascii="宋体" w:hAnsi="宋体" w:cs="宋体"/>
          <w:b/>
          <w:color w:val="000000" w:themeColor="text1"/>
          <w:kern w:val="0"/>
          <w:sz w:val="24"/>
        </w:rPr>
      </w:pPr>
      <w:r>
        <w:rPr>
          <w:rFonts w:hint="eastAsia" w:ascii="宋体" w:hAnsi="宋体" w:cs="宋体"/>
          <w:bCs/>
          <w:color w:val="000000" w:themeColor="text1"/>
          <w:kern w:val="0"/>
          <w:sz w:val="24"/>
        </w:rPr>
        <w:t>10.2质疑、投诉应当采用书面形式，质疑书、投诉书均应明确阐述招标文件、招标过程和中标结果中使自己合法权益受到损害的实质性内容，提供相关事实依据和证据及其来源或线索，便于有关单位调查、答复和处理。</w:t>
      </w:r>
    </w:p>
    <w:p>
      <w:pPr>
        <w:widowControl/>
        <w:snapToGrid w:val="0"/>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11.供应商的风险</w:t>
      </w:r>
    </w:p>
    <w:p>
      <w:pPr>
        <w:widowControl/>
        <w:snapToGrid w:val="0"/>
        <w:spacing w:line="360" w:lineRule="auto"/>
        <w:ind w:firstLine="480" w:firstLineChars="200"/>
        <w:jc w:val="left"/>
        <w:rPr>
          <w:rFonts w:ascii="宋体" w:hAnsi="宋体" w:cs="宋体"/>
          <w:b/>
          <w:color w:val="000000" w:themeColor="text1"/>
          <w:kern w:val="0"/>
          <w:sz w:val="32"/>
          <w:szCs w:val="32"/>
        </w:rPr>
      </w:pPr>
      <w:r>
        <w:rPr>
          <w:rFonts w:hint="eastAsia" w:ascii="宋体" w:hAnsi="宋体" w:cs="宋体"/>
          <w:color w:val="000000" w:themeColor="text1"/>
          <w:kern w:val="0"/>
          <w:sz w:val="24"/>
        </w:rPr>
        <w:t>供应商没有按照招标文件要求提供全部资料，或者供应商没有对招标文件在各方面都作出实质性响应是供应商的风险，并可能导致其投标被拒绝。</w:t>
      </w:r>
    </w:p>
    <w:p>
      <w:pPr>
        <w:widowControl/>
        <w:spacing w:line="360" w:lineRule="auto"/>
        <w:ind w:firstLine="200"/>
        <w:jc w:val="center"/>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二  招标文件</w:t>
      </w:r>
    </w:p>
    <w:p>
      <w:pPr>
        <w:widowControl/>
        <w:snapToGrid w:val="0"/>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12.招标文件的构成。本招标文件由以下部分组成：</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12.1 招标公告</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12.2 采购需求</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12.3 供应商须知</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12.4 评标办法及标准</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12.5 合同主要条款</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12.6 投标文件格式</w:t>
      </w:r>
    </w:p>
    <w:p>
      <w:pPr>
        <w:tabs>
          <w:tab w:val="left" w:pos="900"/>
        </w:tabs>
        <w:snapToGrid w:val="0"/>
        <w:spacing w:line="360" w:lineRule="auto"/>
        <w:ind w:left="420" w:leftChars="200"/>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13.招标文件的澄清与修改 </w:t>
      </w:r>
    </w:p>
    <w:p>
      <w:pPr>
        <w:widowControl/>
        <w:snapToGrid w:val="0"/>
        <w:spacing w:line="360" w:lineRule="auto"/>
        <w:ind w:firstLine="470" w:firstLineChars="196"/>
        <w:jc w:val="left"/>
        <w:rPr>
          <w:rFonts w:ascii="宋体" w:hAnsi="宋体" w:cs="宋体"/>
          <w:color w:val="000000" w:themeColor="text1"/>
          <w:kern w:val="0"/>
          <w:sz w:val="24"/>
        </w:rPr>
      </w:pPr>
      <w:r>
        <w:rPr>
          <w:rFonts w:hint="eastAsia" w:ascii="宋体" w:hAnsi="宋体" w:cs="宋体"/>
          <w:color w:val="000000" w:themeColor="text1"/>
          <w:kern w:val="0"/>
          <w:sz w:val="24"/>
        </w:rPr>
        <w:t>13.1 采购代理机构对已发出的招标文件进行必要澄清、修改或补充的，应当在招标文件要求提交投标文件截止时间15</w:t>
      </w:r>
      <w:r>
        <w:rPr>
          <w:rFonts w:hint="eastAsia" w:ascii="宋体" w:hAnsi="宋体" w:cs="宋体"/>
          <w:bCs/>
          <w:color w:val="000000" w:themeColor="text1"/>
          <w:kern w:val="0"/>
          <w:sz w:val="24"/>
        </w:rPr>
        <w:t>日（如至原定截止时间不足15日，则需延长开标时间，招标文件发售时间、</w:t>
      </w:r>
      <w:r>
        <w:rPr>
          <w:rFonts w:hint="eastAsia" w:ascii="宋体" w:hAnsi="宋体" w:cs="宋体"/>
          <w:color w:val="000000" w:themeColor="text1"/>
          <w:kern w:val="0"/>
          <w:sz w:val="24"/>
        </w:rPr>
        <w:t>递交样品截止时间等可以相应延长</w:t>
      </w:r>
      <w:r>
        <w:rPr>
          <w:rFonts w:hint="eastAsia" w:ascii="宋体" w:hAnsi="宋体" w:cs="宋体"/>
          <w:bCs/>
          <w:color w:val="000000" w:themeColor="text1"/>
          <w:kern w:val="0"/>
          <w:sz w:val="24"/>
        </w:rPr>
        <w:t>）</w:t>
      </w:r>
      <w:r>
        <w:rPr>
          <w:rFonts w:hint="eastAsia" w:ascii="宋体" w:hAnsi="宋体" w:cs="宋体"/>
          <w:color w:val="000000" w:themeColor="text1"/>
          <w:kern w:val="0"/>
          <w:sz w:val="24"/>
        </w:rPr>
        <w:t>前，在河南省政府采购网、驻马店市公共资源交易网</w:t>
      </w:r>
      <w:r>
        <w:fldChar w:fldCharType="begin"/>
      </w:r>
      <w:r>
        <w:instrText xml:space="preserve"> HYPERLINK "http://www.sxztb.gov.cn/" </w:instrText>
      </w:r>
      <w:r>
        <w:fldChar w:fldCharType="separate"/>
      </w:r>
      <w:r>
        <w:fldChar w:fldCharType="end"/>
      </w:r>
      <w:r>
        <w:rPr>
          <w:rFonts w:hint="eastAsia" w:ascii="宋体" w:hAnsi="宋体" w:cs="宋体"/>
          <w:color w:val="000000" w:themeColor="text1"/>
          <w:kern w:val="0"/>
          <w:sz w:val="24"/>
        </w:rPr>
        <w:t>等相关媒体上发布更正公告或变更公告。招标文件公示期间对招标文件进行的澄清、修改或补充不受上述限制。</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13.2 招标文件澄清、修改或补充的内容为招标文件的组成部分。</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13.3 招标文件的澄清、修改或补充都应通过本代理机构以法定形式发布。采购人未通过本代理机构对招标文件进行的澄清、修改或补充无效，评标时不予认可。</w:t>
      </w:r>
    </w:p>
    <w:p>
      <w:pPr>
        <w:widowControl/>
        <w:snapToGrid w:val="0"/>
        <w:spacing w:line="360" w:lineRule="auto"/>
        <w:ind w:firstLine="480" w:firstLineChars="200"/>
        <w:jc w:val="left"/>
        <w:rPr>
          <w:rFonts w:ascii="宋体" w:hAnsi="宋体" w:cs="宋体"/>
          <w:color w:val="000000" w:themeColor="text1"/>
        </w:rPr>
      </w:pPr>
      <w:r>
        <w:rPr>
          <w:rFonts w:hint="eastAsia" w:ascii="宋体" w:hAnsi="宋体" w:cs="宋体"/>
          <w:color w:val="000000" w:themeColor="text1"/>
          <w:kern w:val="0"/>
          <w:sz w:val="24"/>
        </w:rPr>
        <w:t>13.4 采购代理机构可以视采购具体情况延长投标截止时间和开标时间，但至少应当在招标文件要求提交投标文件的截止时间3</w:t>
      </w:r>
      <w:r>
        <w:rPr>
          <w:rFonts w:hint="eastAsia" w:ascii="宋体" w:hAnsi="宋体" w:cs="宋体"/>
          <w:bCs/>
          <w:color w:val="000000" w:themeColor="text1"/>
          <w:kern w:val="0"/>
          <w:sz w:val="24"/>
        </w:rPr>
        <w:t>日</w:t>
      </w:r>
      <w:r>
        <w:rPr>
          <w:rFonts w:hint="eastAsia" w:ascii="宋体" w:hAnsi="宋体" w:cs="宋体"/>
          <w:color w:val="000000" w:themeColor="text1"/>
          <w:kern w:val="0"/>
          <w:sz w:val="24"/>
        </w:rPr>
        <w:t>前，将变更时间在河南省政府采购网、驻马店市公共资源交易网</w:t>
      </w:r>
      <w:r>
        <w:fldChar w:fldCharType="begin"/>
      </w:r>
      <w:r>
        <w:instrText xml:space="preserve"> HYPERLINK "http://www.sxztb.gov.cn/" </w:instrText>
      </w:r>
      <w:r>
        <w:fldChar w:fldCharType="separate"/>
      </w:r>
      <w:r>
        <w:fldChar w:fldCharType="end"/>
      </w:r>
      <w:r>
        <w:rPr>
          <w:rFonts w:hint="eastAsia" w:ascii="宋体" w:hAnsi="宋体" w:cs="宋体"/>
          <w:color w:val="000000" w:themeColor="text1"/>
          <w:kern w:val="0"/>
          <w:sz w:val="24"/>
        </w:rPr>
        <w:t>等相关媒体上发布更正公告或变更公告。</w:t>
      </w:r>
    </w:p>
    <w:p>
      <w:pPr>
        <w:widowControl/>
        <w:spacing w:line="360" w:lineRule="auto"/>
        <w:ind w:firstLine="200"/>
        <w:jc w:val="center"/>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 xml:space="preserve"> 三   投标文件的编制</w:t>
      </w:r>
    </w:p>
    <w:p>
      <w:pPr>
        <w:widowControl/>
        <w:spacing w:line="360" w:lineRule="auto"/>
        <w:ind w:firstLine="472" w:firstLineChars="196"/>
        <w:rPr>
          <w:rFonts w:ascii="宋体" w:hAnsi="宋体" w:cs="宋体"/>
          <w:b/>
          <w:color w:val="000000" w:themeColor="text1"/>
          <w:kern w:val="0"/>
          <w:sz w:val="32"/>
          <w:szCs w:val="32"/>
        </w:rPr>
      </w:pPr>
      <w:r>
        <w:rPr>
          <w:rFonts w:hint="eastAsia" w:ascii="宋体" w:hAnsi="宋体" w:cs="宋体"/>
          <w:b/>
          <w:color w:val="000000" w:themeColor="text1"/>
          <w:kern w:val="0"/>
          <w:sz w:val="24"/>
        </w:rPr>
        <w:t>14.要求</w:t>
      </w:r>
    </w:p>
    <w:p>
      <w:pPr>
        <w:widowControl/>
        <w:snapToGrid w:val="0"/>
        <w:spacing w:line="360" w:lineRule="auto"/>
        <w:ind w:firstLine="480" w:firstLineChars="200"/>
        <w:jc w:val="left"/>
        <w:rPr>
          <w:rFonts w:ascii="宋体" w:hAnsi="宋体" w:cs="宋体"/>
          <w:color w:val="000000" w:themeColor="text1"/>
          <w:kern w:val="0"/>
          <w:sz w:val="52"/>
          <w:szCs w:val="52"/>
        </w:rPr>
      </w:pPr>
      <w:r>
        <w:rPr>
          <w:rFonts w:hint="eastAsia" w:ascii="宋体" w:hAnsi="宋体" w:cs="宋体"/>
          <w:color w:val="000000" w:themeColor="text1"/>
          <w:kern w:val="0"/>
          <w:sz w:val="24"/>
        </w:rPr>
        <w:t>14.1 供应商应仔细阅读招标文件的所有内容，按照招标文件提供的格式编写投标文件，不得缺少或留空任何招标文件要求填写的表格或提交的资料。招标文件提供格式的按格式填列，未提供格式的可自行拟定。投标文件应对招标文件的要求作出实质性响应（包括供应商资格要求、</w:t>
      </w:r>
      <w:r>
        <w:rPr>
          <w:rFonts w:hint="eastAsia" w:ascii="宋体" w:hAnsi="宋体" w:cs="宋体"/>
          <w:color w:val="000000" w:themeColor="text1"/>
          <w:sz w:val="24"/>
        </w:rPr>
        <w:t>技术参数和技术标准</w:t>
      </w:r>
      <w:r>
        <w:rPr>
          <w:rFonts w:hint="eastAsia" w:ascii="宋体" w:hAnsi="宋体" w:cs="宋体"/>
          <w:color w:val="000000" w:themeColor="text1"/>
          <w:kern w:val="0"/>
          <w:sz w:val="24"/>
        </w:rPr>
        <w:t>、商务要求和投标文件格式中对投标的要求）</w:t>
      </w:r>
      <w:r>
        <w:rPr>
          <w:rFonts w:hint="eastAsia" w:ascii="宋体" w:hAnsi="宋体" w:cs="宋体"/>
          <w:kern w:val="0"/>
          <w:sz w:val="24"/>
        </w:rPr>
        <w:t>，投标人对所提供的全部资料的合法性、真实性负责</w:t>
      </w:r>
      <w:r>
        <w:rPr>
          <w:rFonts w:hint="eastAsia" w:ascii="宋体" w:hAnsi="宋体" w:cs="宋体"/>
          <w:color w:val="000000" w:themeColor="text1"/>
          <w:kern w:val="0"/>
          <w:sz w:val="24"/>
        </w:rPr>
        <w:t>。</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14.2 供应商应完整签署投标文件格式附件中《投标书》和《抵制商业贿赂承诺》，不得增减或修改内容。否则视为对招标文件未作出实质性响应。</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15.投标文件的语言和计量单位</w:t>
      </w:r>
    </w:p>
    <w:p>
      <w:pPr>
        <w:widowControl/>
        <w:spacing w:line="360" w:lineRule="auto"/>
        <w:ind w:firstLine="480" w:firstLineChars="200"/>
        <w:jc w:val="left"/>
        <w:rPr>
          <w:rFonts w:ascii="宋体" w:hAnsi="宋体" w:cs="宋体"/>
          <w:b/>
          <w:color w:val="000000" w:themeColor="text1"/>
          <w:kern w:val="0"/>
          <w:sz w:val="24"/>
        </w:rPr>
      </w:pPr>
      <w:r>
        <w:rPr>
          <w:rFonts w:hint="eastAsia" w:ascii="宋体" w:hAnsi="宋体" w:cs="宋体"/>
          <w:color w:val="000000" w:themeColor="text1"/>
          <w:kern w:val="0"/>
          <w:sz w:val="24"/>
        </w:rPr>
        <w:t>15.1投标文件以及供应商与采购人就有关投标事宜的所有来往函电均应使用简体中文书写。</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15.2 关于投标计量单位，招标文件已有明确规定的，使用招标文件规定的计量单位；招标文件没有规定的，应采用中华人民共和国法定计量单位。否则视为对招标文件未作出实质性响应。</w:t>
      </w:r>
    </w:p>
    <w:p>
      <w:pPr>
        <w:widowControl/>
        <w:tabs>
          <w:tab w:val="left" w:pos="567"/>
        </w:tabs>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15.3 </w:t>
      </w:r>
      <w:r>
        <w:rPr>
          <w:rFonts w:hint="eastAsia" w:ascii="宋体" w:hAnsi="宋体" w:cs="宋体"/>
          <w:color w:val="000000" w:themeColor="text1"/>
          <w:spacing w:val="10"/>
          <w:kern w:val="0"/>
          <w:sz w:val="24"/>
        </w:rPr>
        <w:t>原版为外文的证书类文件，以及由外国人做出的本人签名、外国公司的名称或外国印章等可以是外文，但应当提供中文翻译文件并加盖供应商公章。必要时评标委员会可以要求供应商提供附有公证书的中文翻译文件或者与原版文件签章相一致的中文翻译文件。</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16.投标文件的组成</w:t>
      </w:r>
      <w:r>
        <w:rPr>
          <w:rFonts w:hint="eastAsia" w:ascii="宋体" w:hAnsi="宋体" w:cs="宋体"/>
          <w:color w:val="000000" w:themeColor="text1"/>
          <w:kern w:val="0"/>
          <w:sz w:val="24"/>
        </w:rPr>
        <w:t>。</w:t>
      </w:r>
      <w:r>
        <w:rPr>
          <w:rFonts w:hint="eastAsia" w:ascii="宋体" w:hAnsi="宋体" w:cs="宋体"/>
          <w:b/>
          <w:color w:val="000000" w:themeColor="text1"/>
          <w:kern w:val="0"/>
          <w:sz w:val="24"/>
        </w:rPr>
        <w:t>投标文件应包括下列部分：</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16.1 投标书</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16.2 开标一览表</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16.3 投标报价明细表</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16.4 供货范围清单</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16.5 技术响应表</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16.6 商务响应表</w:t>
      </w:r>
    </w:p>
    <w:p>
      <w:pPr>
        <w:widowControl/>
        <w:spacing w:line="360" w:lineRule="auto"/>
        <w:ind w:left="482"/>
        <w:jc w:val="left"/>
        <w:rPr>
          <w:rFonts w:ascii="宋体" w:hAnsi="宋体" w:cs="宋体"/>
          <w:color w:val="000000" w:themeColor="text1"/>
          <w:kern w:val="0"/>
          <w:sz w:val="24"/>
        </w:rPr>
      </w:pPr>
      <w:r>
        <w:rPr>
          <w:rFonts w:hint="eastAsia" w:ascii="宋体" w:hAnsi="宋体" w:cs="宋体"/>
          <w:color w:val="000000" w:themeColor="text1"/>
          <w:kern w:val="0"/>
          <w:sz w:val="24"/>
          <w:szCs w:val="20"/>
        </w:rPr>
        <w:t xml:space="preserve">16.7 </w:t>
      </w:r>
      <w:r>
        <w:rPr>
          <w:rFonts w:hint="eastAsia" w:ascii="宋体" w:hAnsi="宋体" w:cs="宋体"/>
          <w:color w:val="000000" w:themeColor="text1"/>
          <w:kern w:val="0"/>
          <w:sz w:val="24"/>
        </w:rPr>
        <w:t>法定代表人身份证明</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16.8 法定代表人授权书</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16.9 证明文件</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16.10 抵制商业贿赂承诺</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17.投标有效期</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17.1 投标文件从招标公告所规定的投标截止期之后开始生效，在</w:t>
      </w:r>
      <w:r>
        <w:rPr>
          <w:rFonts w:hint="eastAsia" w:ascii="宋体" w:hAnsi="宋体" w:cs="宋体"/>
          <w:bCs/>
          <w:color w:val="000000" w:themeColor="text1"/>
          <w:kern w:val="0"/>
          <w:sz w:val="24"/>
        </w:rPr>
        <w:t>供应商须知前附表</w:t>
      </w:r>
      <w:r>
        <w:rPr>
          <w:rFonts w:hint="eastAsia" w:ascii="宋体" w:hAnsi="宋体" w:cs="宋体"/>
          <w:color w:val="000000" w:themeColor="text1"/>
          <w:kern w:val="0"/>
          <w:sz w:val="24"/>
        </w:rPr>
        <w:t>第17项所规定的期限内保持有效。有效期不足将导致其投标文件被拒绝。中标人的投标文件有效期至合同完全履行止。</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17.2特殊情况下采购代理机构可于投标有效期满之前书面要求供应商同意延长有效期，供应商应在采购代理机构规定的期限内以书面形式予以答复。供应商答复不明确或者逾期未答复的，均视为拒绝上述要求。对于接受该要求的供应商，既不要求也不允许其修改投标文件。</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18.投标报价</w:t>
      </w:r>
    </w:p>
    <w:p>
      <w:pPr>
        <w:widowControl/>
        <w:shd w:val="clear" w:color="auto" w:fill="FFFFFF"/>
        <w:spacing w:line="360" w:lineRule="auto"/>
        <w:ind w:firstLine="480"/>
        <w:jc w:val="left"/>
        <w:rPr>
          <w:rFonts w:ascii="宋体" w:hAnsi="宋体" w:cs="宋体"/>
          <w:color w:val="000000" w:themeColor="text1"/>
          <w:kern w:val="0"/>
          <w:sz w:val="24"/>
          <w:shd w:val="clear" w:color="auto" w:fill="FFFFFF"/>
        </w:rPr>
      </w:pPr>
      <w:r>
        <w:rPr>
          <w:rFonts w:hint="eastAsia" w:ascii="宋体" w:hAnsi="宋体" w:cs="宋体"/>
          <w:color w:val="000000" w:themeColor="text1"/>
          <w:kern w:val="0"/>
          <w:sz w:val="24"/>
        </w:rPr>
        <w:t>18.1 所有投标报价均以人民币元为计算单位。投标单位的报价为交货地点交货价格，包括货物、随配附件、工具、厂家赠品、运抵指定交货地点费用、保险费、安装调试费、服务费、售后服务、税金及其他所有费用的总和。</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18.2 供应商要按开标一览表、投标报价明细表的内容填写。</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18.3 开标一览表中标明的价格在政府采购合同执行过程中是固定不变的，供应商不得以任何理由予以变更。以可调整的价格提交的投标将被作为无效投标处理。</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18.4 采购代理机构不接受可选择的投标报价。</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18.5 对于供应商在开标一览表和投标文件中列出的赠送条款，在评审时不得作为价格评分因素或者调整评标价格的依据。</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18.7 对于有配件、耗材、选件和特殊工具的产品，还应填报投标产品配件、耗材、选件表和备件及特殊工具清单，注明品牌、型号、产地、功能、单价、批量折扣等内容，该表格式由供应商自行设计。为便于评标，供应商应按照上述要求分类报价，采购人有权按照供应商的配件、耗材、选件表和备件及特殊工具清单报价签订采购政府采购合同的权利。</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19.投标保证金</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本项目不收取投标保证金。</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20.投标文件的式样和签署</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20.1供应商应按本招标文件规定的格式和顺序编制投标文件。除了投标文件封面以外，每个页面应在明显位置编制页码，按流水顺序填写，字迹必须清晰可认，投标文件的目录应编序。投标文件内容不完整、编排混乱导致投标文件被误读、漏读或者查找不到相关内容的，由供应商负责。</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20.2投标文件（.zmdtf格式）是根据“驻马店市公共资源交易中心网”下载的电子招标文件，制作生成的加密版投标文件。</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20.3 供应商应提交证明其拟供货物符合招标文件要求的技术响应文件，该文件可以是文字资料、图纸和数据，并须提供货物主要技术性能的详细描述。  </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20.4供应商在编制电子投标文件时，根据招标文件的要求用法人CA密钥和企业CA密钥进行签章制作。生成电子投标文件时，只能用本单位的企业CA密钥。生成后的电子投标文件须按招标文件的格式要求完成电子签字或盖章。“开标一览表”报价将作为电子开标的唱标依据。</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20.5不接受电报、电传和传真的投标文件。</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20.6 全套投标文件应无涂改和行间插字，除非这些改动是为改正供应商造成的必须修改的错误而进行的。有改动时，修改处应由供应商代表签署证明或加盖公章，但非供应商出具的材料，供应商改动无效。未按本须知规定的格式填写投标文件或投标文件字迹模糊不清，导致评标委员无法认定是否实质性响应招标文件的,其投标将被作为无效投标。</w:t>
      </w:r>
    </w:p>
    <w:p>
      <w:pPr>
        <w:widowControl/>
        <w:spacing w:line="360" w:lineRule="auto"/>
        <w:ind w:firstLine="480" w:firstLineChars="200"/>
        <w:jc w:val="left"/>
        <w:rPr>
          <w:rFonts w:ascii="宋体" w:hAnsi="宋体" w:cs="宋体"/>
          <w:color w:val="000000" w:themeColor="text1"/>
          <w:kern w:val="0"/>
          <w:sz w:val="30"/>
          <w:szCs w:val="30"/>
        </w:rPr>
      </w:pPr>
      <w:r>
        <w:rPr>
          <w:rFonts w:hint="eastAsia" w:ascii="宋体" w:hAnsi="宋体" w:cs="宋体"/>
          <w:color w:val="000000" w:themeColor="text1"/>
          <w:kern w:val="0"/>
          <w:sz w:val="24"/>
        </w:rPr>
        <w:t>20.7 电子投标文件制作流程。可参考驻马店市公共资源交易中心官方网站的下载中心板块的视频（http://ggzy.zhumadian.gov.cn/TPFront/InfoDetail/?InfoID=6e085538-6be5-4d25-80b2-12f5fc669ba1&amp;CategoryNum=026005）</w:t>
      </w:r>
    </w:p>
    <w:p>
      <w:pPr>
        <w:widowControl/>
        <w:wordWrap w:val="0"/>
        <w:spacing w:line="460" w:lineRule="exact"/>
        <w:ind w:firstLine="2554" w:firstLineChars="795"/>
        <w:jc w:val="left"/>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四  投标文件的上传、递交</w:t>
      </w:r>
    </w:p>
    <w:p>
      <w:pPr>
        <w:widowControl/>
        <w:wordWrap w:val="0"/>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21.投标文件的加密、密封、标记</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21.1供应商应在投标截止时间前上传加密的电子投标文件（.zmdtf格式）。</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21.2未加密的电子投标文件(.nzmdtf格式)投标文件扫描件应密封在投标截止时间前同时上传。</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21.3供应商因驻马店市公共资源交易中心电子交易平台交易系统出现问题无法上传电子投标文件时，请与江苏国泰新点软件有限公司联系，联系电话：0396-2613088</w:t>
      </w:r>
    </w:p>
    <w:p>
      <w:pPr>
        <w:widowControl/>
        <w:wordWrap w:val="0"/>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22.投标文件的上传、递交</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22.1供应商应在招标公告中规定的投标截止时间前将制作好的电子投标文件加密上传至驻马店市公共资源交易中心电子交易平台。</w:t>
      </w:r>
      <w:r>
        <w:rPr>
          <w:rFonts w:hint="eastAsia" w:ascii="宋体" w:hAnsi="宋体" w:cs="宋体"/>
          <w:color w:val="000000" w:themeColor="text1"/>
          <w:sz w:val="24"/>
        </w:rPr>
        <w:t>逾期上传、递交或未密封的其投标将被拒绝。</w:t>
      </w:r>
    </w:p>
    <w:p>
      <w:pPr>
        <w:widowControl/>
        <w:wordWrap w:val="0"/>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23.投标文件的修改和撤回</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23.1 供应商在投标截止时间前，可以对所提交的投标文件进行补充、修改或者撤回，并书面通知采购代理机构。补充、修改的内容和撤回通知应当按本须知要求签署、盖章、密封，并作为投标文件的组成部分。</w:t>
      </w:r>
    </w:p>
    <w:p>
      <w:pPr>
        <w:widowControl/>
        <w:wordWrap w:val="0"/>
        <w:spacing w:line="360" w:lineRule="auto"/>
        <w:ind w:firstLine="480" w:firstLineChars="200"/>
        <w:jc w:val="left"/>
        <w:rPr>
          <w:rFonts w:ascii="宋体" w:hAnsi="宋体" w:cs="宋体"/>
          <w:b/>
          <w:color w:val="000000" w:themeColor="text1"/>
          <w:kern w:val="0"/>
          <w:sz w:val="32"/>
          <w:szCs w:val="32"/>
        </w:rPr>
      </w:pPr>
      <w:r>
        <w:rPr>
          <w:rFonts w:hint="eastAsia" w:ascii="宋体" w:hAnsi="宋体" w:cs="宋体"/>
          <w:color w:val="000000" w:themeColor="text1"/>
          <w:kern w:val="0"/>
          <w:sz w:val="24"/>
        </w:rPr>
        <w:t>23.2 供应商在投标截止时间后不得修改、撤回投标文件。供应商在投标截止时间后修改投标文件的，其投标将被拒绝。</w:t>
      </w:r>
    </w:p>
    <w:p>
      <w:pPr>
        <w:widowControl/>
        <w:spacing w:line="460" w:lineRule="exact"/>
        <w:jc w:val="center"/>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五   开标</w:t>
      </w:r>
    </w:p>
    <w:p>
      <w:pPr>
        <w:widowControl/>
        <w:wordWrap w:val="0"/>
        <w:spacing w:line="360" w:lineRule="auto"/>
        <w:ind w:firstLine="472" w:firstLineChars="196"/>
        <w:jc w:val="left"/>
        <w:rPr>
          <w:rFonts w:ascii="宋体" w:hAnsi="宋体" w:cs="宋体"/>
          <w:b/>
          <w:color w:val="000000" w:themeColor="text1"/>
          <w:kern w:val="0"/>
          <w:sz w:val="24"/>
        </w:rPr>
      </w:pPr>
      <w:r>
        <w:rPr>
          <w:rFonts w:hint="eastAsia" w:ascii="宋体" w:hAnsi="宋体" w:cs="宋体"/>
          <w:b/>
          <w:color w:val="000000" w:themeColor="text1"/>
          <w:kern w:val="0"/>
          <w:sz w:val="24"/>
        </w:rPr>
        <w:t>24.开标、唱标</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24.1 在招标公告中规定的时间、地点开标。</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24.2 开标由采购代理机构主持，采购人、供应商和有关方面代表参加。</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24.3开标时，首先，各供应商应在规定时间内对本单位的加密投标文件进行解密，然后代理机构工作人员对所有投标文件进行解密。如供应商自身原因解密失败，其投标将被拒绝。</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24.4 解密完成后，系统将自动唱标，公布各供应商 开标一览表的内容。</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24.5 采购代理机构对唱标内容做开标记录，由采购人、采购代理机构共同签字确认。</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24.6供应商在投标时有下列情形之一的，采购代理机构将拒绝接受其投标文件：</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24.6.1 在招标文件规定的投标截止时间之后投标的。</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24.6.2 投标文件未按招标文件规定加密的。</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24.6.3 未进行网上下载领取招标文件参加投标的。</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24.6.4 未提交投标保证金的（若收取）。</w:t>
      </w:r>
    </w:p>
    <w:p>
      <w:pPr>
        <w:widowControl/>
        <w:wordWrap w:val="0"/>
        <w:spacing w:line="360" w:lineRule="auto"/>
        <w:ind w:firstLine="480" w:firstLineChars="200"/>
        <w:jc w:val="left"/>
        <w:rPr>
          <w:rFonts w:ascii="宋体" w:hAnsi="宋体" w:cs="宋体"/>
          <w:b/>
          <w:color w:val="000000" w:themeColor="text1"/>
          <w:kern w:val="0"/>
          <w:sz w:val="32"/>
          <w:szCs w:val="32"/>
        </w:rPr>
      </w:pPr>
      <w:r>
        <w:rPr>
          <w:rFonts w:hint="eastAsia" w:ascii="宋体" w:hAnsi="宋体" w:cs="宋体"/>
          <w:color w:val="000000" w:themeColor="text1"/>
          <w:kern w:val="0"/>
          <w:sz w:val="24"/>
        </w:rPr>
        <w:t>24.6.5 一个供应商不只递交一套投标文件的。</w:t>
      </w:r>
    </w:p>
    <w:p>
      <w:pPr>
        <w:widowControl/>
        <w:wordWrap w:val="0"/>
        <w:spacing w:line="460" w:lineRule="exact"/>
        <w:ind w:firstLine="3036" w:firstLineChars="945"/>
        <w:jc w:val="left"/>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六   评标</w:t>
      </w:r>
    </w:p>
    <w:p>
      <w:pPr>
        <w:widowControl/>
        <w:wordWrap w:val="0"/>
        <w:spacing w:line="460" w:lineRule="exact"/>
        <w:ind w:firstLine="3036" w:firstLineChars="945"/>
        <w:jc w:val="left"/>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 xml:space="preserve"> </w:t>
      </w:r>
    </w:p>
    <w:p>
      <w:pPr>
        <w:widowControl/>
        <w:tabs>
          <w:tab w:val="left" w:pos="3330"/>
        </w:tabs>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25.组建评标委员会</w:t>
      </w:r>
    </w:p>
    <w:p>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25.1采购代理机构根据采购项目的特点依法组建评标委员会。评标委员会由采购人代表和评审专家组成，成员人数</w:t>
      </w:r>
      <w:r>
        <w:rPr>
          <w:rFonts w:hint="eastAsia" w:ascii="宋体" w:hAnsi="宋体" w:cs="宋体"/>
          <w:color w:val="000000" w:themeColor="text1"/>
          <w:sz w:val="24"/>
          <w:u w:val="single"/>
        </w:rPr>
        <w:t xml:space="preserve"> 5</w:t>
      </w:r>
      <w:r>
        <w:rPr>
          <w:rFonts w:hint="eastAsia" w:ascii="宋体" w:hAnsi="宋体" w:cs="宋体"/>
          <w:color w:val="000000" w:themeColor="text1"/>
          <w:sz w:val="24"/>
        </w:rPr>
        <w:t>人。采购人可委派一名代表进入评标委员会，但不得担任组长。评审专家对本单位的采购项目只能作为采购人代表参与评标。在开标后由评标委员会对投标文件进行审查、澄清、评估和比较，并做合理的建议。</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25.2评标委员会成员要依法独立评审，并对评审意见承担个人责任。评审委员会成员对需要共同认定的事项存在争议的，按照少数服从多数的原则做出结论。持不同意见的评审委员会成员应当在评审报告上签署不同意见并说明理由，否则视为同意。</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26.投标文件的初审</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26.1对所有供应商的评估，都采用相同的程序和标准。评标过程将严格按照招标文件的要求和条件进行。</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26.2 评标委员会将对投标文件进行检查，以确定投标文件是否完整、有无计算上的错误、文件是否已正确签署等。</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26.3 投标文件报价出现前后不一致的，除招标文件另有规定外，修正错误的原则如下：</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26.3.1 投标文件开标一览表（报价表）的内容与投标文件中相应内容不一致的，以开标一览表（报价表）为准。</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26.3.2 大写金额与小写金额不一致的，以大写金额为准。</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26.3.3单价金额小数点或者百分比有明显错位的，以开标一览表的总价为准，并修改单价；</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26.3.4总价金额与按单价汇总金额不一致的，以单价金额计算结果为准。</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26.3.5对不同文字文本投标文件的解释发生异议的，以中文文本为准。</w:t>
      </w:r>
    </w:p>
    <w:p>
      <w:pPr>
        <w:widowControl/>
        <w:spacing w:line="360" w:lineRule="auto"/>
        <w:ind w:firstLine="480" w:firstLineChars="200"/>
        <w:jc w:val="left"/>
        <w:rPr>
          <w:rFonts w:ascii="宋体" w:hAnsi="宋体" w:cs="宋体"/>
          <w:color w:val="000000" w:themeColor="text1"/>
        </w:rPr>
      </w:pPr>
      <w:r>
        <w:rPr>
          <w:rFonts w:hint="eastAsia" w:ascii="宋体" w:hAnsi="宋体" w:cs="宋体"/>
          <w:color w:val="000000" w:themeColor="text1"/>
          <w:kern w:val="0"/>
          <w:sz w:val="24"/>
        </w:rPr>
        <w:t>同时出现两种以上不一致的，按照前款规定的顺序修正。修正后的报价按照财政部87号令第五十一条第二款的规定经供应商确认后产生约束力，供应商不确认的，其投标无效。</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26.4 资格性检查和符合性检查。</w:t>
      </w:r>
    </w:p>
    <w:p>
      <w:pPr>
        <w:widowControl/>
        <w:spacing w:line="360" w:lineRule="auto"/>
        <w:ind w:firstLine="480" w:firstLineChars="200"/>
        <w:jc w:val="left"/>
        <w:rPr>
          <w:rFonts w:ascii="宋体" w:hAnsi="宋体" w:cs="宋体"/>
          <w:b/>
          <w:color w:val="000000" w:themeColor="text1"/>
          <w:kern w:val="0"/>
          <w:sz w:val="24"/>
        </w:rPr>
      </w:pPr>
      <w:r>
        <w:rPr>
          <w:rFonts w:hint="eastAsia" w:ascii="宋体" w:hAnsi="宋体" w:cs="宋体"/>
          <w:color w:val="000000" w:themeColor="text1"/>
          <w:kern w:val="0"/>
          <w:sz w:val="24"/>
        </w:rPr>
        <w:t>26.4.1资格性检查。依据法规政策和招标文件的规定，在对投标文件详细评估之前，采购人将依据供应商提交的投标文件按招标公告第二项和招标文件第三章4.供应商应提交的证明文件所述的资格标准对供应商进行资格审查（4.7除外）,以确定其是否具备投标资格。如果供应商不具备投标资格、不满足招标文件所规定的资格标准或提供资格证明文件不全,其投标将被作为无效投标。在审查过程中，采购人或采购代理机构有权要求供应商按招标文件的规定提供相关资格证明材料的原件以供审查。供应商应在规定的时限内提供。供应商拒不提供的，或者不能在规定时限内提供的，视为其不具备该资格条件。</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26.4.2 资格审查后合格的供应商不足3家的，不得评标。</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26.4.3符合性检查。依据招标文件的规定，评标委员会将从投标文件的有效性、完整性和对招标文件的响应程度进行审查，以确定是否符合对招标文件的实质性要求作出响应（采购人可根据具体项目的情况对实质性要求作特别的具体规定）。实质性偏离是指：（1）实质性影响合同的范围、质量和履行。（2）实质性违背招标文件，限制了采购人的权利。（3）不公正地影响了其它作出实质性响应的供应商的竞争地位。对没有实质性响应的投标文件将不进行评估，其投标被作为无效投标。凡有下列情况之一者，投标文件也将被视为未实质性响应招标文件要求：</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(1)投标文件未按规定签字、盖章的。</w:t>
      </w:r>
    </w:p>
    <w:p>
      <w:pPr>
        <w:widowControl/>
        <w:spacing w:line="360" w:lineRule="auto"/>
        <w:ind w:left="479" w:leftChars="228"/>
        <w:jc w:val="left"/>
        <w:rPr>
          <w:rFonts w:ascii="宋体" w:hAnsi="宋体" w:cs="宋体"/>
          <w:color w:val="000000" w:themeColor="text1"/>
          <w:kern w:val="0"/>
          <w:sz w:val="24"/>
        </w:rPr>
      </w:pPr>
      <w:r>
        <w:rPr>
          <w:rFonts w:hint="eastAsia" w:ascii="宋体" w:hAnsi="宋体" w:cs="宋体"/>
          <w:color w:val="000000" w:themeColor="text1"/>
          <w:kern w:val="0"/>
          <w:sz w:val="24"/>
        </w:rPr>
        <w:t>(2)投标有效期、交货时间等不满足招标文件要求</w:t>
      </w:r>
    </w:p>
    <w:p>
      <w:pPr>
        <w:widowControl/>
        <w:spacing w:line="360" w:lineRule="auto"/>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（3）任何1项技术指标低于采购需求的。</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(4)未按招标文件规定报价的。</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(5)未按招标文件提供的格式填列、项目不齐全或内容虚假的。</w:t>
      </w:r>
    </w:p>
    <w:p>
      <w:pPr>
        <w:widowControl/>
        <w:snapToGrid w:val="0"/>
        <w:spacing w:line="360" w:lineRule="auto"/>
        <w:ind w:firstLine="480" w:firstLineChars="200"/>
        <w:jc w:val="left"/>
        <w:rPr>
          <w:rFonts w:ascii="宋体" w:hAnsi="宋体" w:cs="宋体"/>
          <w:snapToGrid w:val="0"/>
          <w:color w:val="000000" w:themeColor="text1"/>
          <w:kern w:val="0"/>
          <w:sz w:val="24"/>
        </w:rPr>
      </w:pPr>
      <w:r>
        <w:rPr>
          <w:rFonts w:hint="eastAsia" w:ascii="宋体" w:hAnsi="宋体" w:cs="宋体"/>
          <w:color w:val="000000" w:themeColor="text1"/>
          <w:kern w:val="0"/>
          <w:sz w:val="24"/>
        </w:rPr>
        <w:t>(6)投标文件的实质性内容未使用中文表述，或意思表述不明确，或前后矛盾，或使用计量单位不符合招标文件要求的（经评标委员会认定允许其当场更正的笔误除外）。</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（7）</w:t>
      </w:r>
      <w:r>
        <w:rPr>
          <w:rFonts w:hint="eastAsia" w:ascii="宋体" w:hAnsi="宋体" w:cs="宋体"/>
          <w:snapToGrid w:val="0"/>
          <w:color w:val="000000" w:themeColor="text1"/>
          <w:kern w:val="0"/>
          <w:sz w:val="24"/>
        </w:rPr>
        <w:t>投标文件的关键内容字迹模糊、无法辨认,或</w:t>
      </w:r>
      <w:r>
        <w:rPr>
          <w:rFonts w:hint="eastAsia" w:ascii="宋体" w:hAnsi="宋体" w:cs="宋体"/>
          <w:color w:val="000000" w:themeColor="text1"/>
          <w:kern w:val="0"/>
          <w:sz w:val="24"/>
        </w:rPr>
        <w:t>投标文件中经修正的内容字迹模糊</w:t>
      </w:r>
      <w:r>
        <w:rPr>
          <w:rFonts w:hint="eastAsia" w:ascii="宋体" w:hAnsi="宋体" w:cs="宋体"/>
          <w:snapToGrid w:val="0"/>
          <w:color w:val="000000" w:themeColor="text1"/>
          <w:kern w:val="0"/>
          <w:sz w:val="24"/>
        </w:rPr>
        <w:t>无法</w:t>
      </w:r>
      <w:r>
        <w:rPr>
          <w:rFonts w:hint="eastAsia" w:ascii="宋体" w:hAnsi="宋体" w:cs="宋体"/>
          <w:color w:val="000000" w:themeColor="text1"/>
          <w:kern w:val="0"/>
          <w:sz w:val="24"/>
        </w:rPr>
        <w:t>辩认，或修改处未按规定签名盖章的。</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（8）不符合招标文件中规定的其它实质性条款。</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评标委员会决定投标的响应性只根据投标文件本身的内容，而不寻求其他的外部证据。</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26.4.4对资格性检查和符合性检查不合格的供应商，将通过驻马店市公共资源交易不见面开评标系统网上实时告知其理由。</w:t>
      </w:r>
    </w:p>
    <w:p>
      <w:pPr>
        <w:widowControl/>
        <w:adjustRightInd w:val="0"/>
        <w:spacing w:line="360" w:lineRule="auto"/>
        <w:ind w:firstLine="480" w:firstLineChars="200"/>
        <w:jc w:val="left"/>
        <w:textAlignment w:val="baseline"/>
        <w:rPr>
          <w:rFonts w:ascii="宋体" w:hAnsi="宋体" w:cs="宋体"/>
          <w:color w:val="000000" w:themeColor="text1"/>
          <w:kern w:val="0"/>
          <w:sz w:val="24"/>
        </w:rPr>
      </w:pPr>
      <w:r>
        <w:rPr>
          <w:rFonts w:hint="eastAsia" w:ascii="宋体" w:hAnsi="宋体" w:cs="宋体"/>
          <w:color w:val="000000" w:themeColor="text1"/>
          <w:kern w:val="0"/>
          <w:sz w:val="24"/>
        </w:rPr>
        <w:t>26.5 在评审过程中，评标委员会发现供应商有下列情形之一的，视为供应商相互串通投标，</w:t>
      </w:r>
      <w:r>
        <w:rPr>
          <w:rFonts w:hint="eastAsia" w:ascii="宋体" w:hAnsi="宋体" w:cs="宋体"/>
          <w:color w:val="000000" w:themeColor="text1"/>
          <w:sz w:val="24"/>
        </w:rPr>
        <w:t>其投标无效</w:t>
      </w:r>
      <w:r>
        <w:rPr>
          <w:rFonts w:hint="eastAsia" w:ascii="宋体" w:hAnsi="宋体" w:cs="宋体"/>
          <w:color w:val="000000" w:themeColor="text1"/>
          <w:kern w:val="0"/>
          <w:sz w:val="24"/>
        </w:rPr>
        <w:t>：</w:t>
      </w:r>
    </w:p>
    <w:p>
      <w:pPr>
        <w:widowControl/>
        <w:adjustRightInd w:val="0"/>
        <w:spacing w:line="360" w:lineRule="auto"/>
        <w:ind w:firstLine="477" w:firstLineChars="199"/>
        <w:jc w:val="left"/>
        <w:textAlignment w:val="baseline"/>
        <w:rPr>
          <w:rFonts w:ascii="宋体" w:hAnsi="宋体" w:cs="宋体"/>
          <w:color w:val="000000" w:themeColor="text1"/>
          <w:kern w:val="0"/>
          <w:sz w:val="24"/>
        </w:rPr>
      </w:pPr>
      <w:r>
        <w:rPr>
          <w:rFonts w:hint="eastAsia" w:ascii="宋体" w:hAnsi="宋体" w:cs="宋体"/>
          <w:color w:val="000000" w:themeColor="text1"/>
          <w:kern w:val="0"/>
          <w:sz w:val="24"/>
        </w:rPr>
        <w:t>26.5.1不同供应商的投标文件异常一致或者投标报价呈规律性差异的;</w:t>
      </w:r>
    </w:p>
    <w:p>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26.5.2不同供应商的投标文件由同一单位或者个人编制；</w:t>
      </w:r>
    </w:p>
    <w:p>
      <w:pPr>
        <w:spacing w:line="360" w:lineRule="auto"/>
        <w:rPr>
          <w:rFonts w:ascii="宋体" w:hAnsi="宋体" w:cs="宋体"/>
          <w:color w:val="000000" w:themeColor="text1"/>
          <w:sz w:val="24"/>
        </w:rPr>
      </w:pPr>
      <w:r>
        <w:rPr>
          <w:rFonts w:hint="eastAsia" w:ascii="宋体" w:hAnsi="宋体" w:cs="宋体"/>
          <w:color w:val="000000" w:themeColor="text1"/>
          <w:sz w:val="24"/>
        </w:rPr>
        <w:t>　　26.5.3不同供应商委托同一单位或者个人办理投标事宜；</w:t>
      </w:r>
    </w:p>
    <w:p>
      <w:pPr>
        <w:spacing w:line="360" w:lineRule="auto"/>
        <w:rPr>
          <w:rFonts w:ascii="宋体" w:hAnsi="宋体" w:cs="宋体"/>
          <w:color w:val="000000" w:themeColor="text1"/>
          <w:sz w:val="24"/>
        </w:rPr>
      </w:pPr>
      <w:r>
        <w:rPr>
          <w:rFonts w:hint="eastAsia" w:ascii="宋体" w:hAnsi="宋体" w:cs="宋体"/>
          <w:color w:val="000000" w:themeColor="text1"/>
          <w:sz w:val="24"/>
        </w:rPr>
        <w:t>　　26.5.4不同供应商的投标文件载明的项目管理成员或者联系人员为同一人；</w:t>
      </w:r>
    </w:p>
    <w:p>
      <w:pPr>
        <w:spacing w:line="360" w:lineRule="auto"/>
        <w:rPr>
          <w:rFonts w:ascii="宋体" w:hAnsi="宋体" w:cs="宋体"/>
          <w:color w:val="000000" w:themeColor="text1"/>
          <w:sz w:val="24"/>
        </w:rPr>
      </w:pPr>
      <w:r>
        <w:rPr>
          <w:rFonts w:hint="eastAsia" w:ascii="宋体" w:hAnsi="宋体" w:cs="宋体"/>
          <w:color w:val="000000" w:themeColor="text1"/>
          <w:sz w:val="24"/>
        </w:rPr>
        <w:t>　　26.5.5不同供应商的投标文件相互混装；</w:t>
      </w:r>
    </w:p>
    <w:p>
      <w:pPr>
        <w:widowControl/>
        <w:adjustRightInd w:val="0"/>
        <w:spacing w:line="360" w:lineRule="auto"/>
        <w:ind w:firstLine="477" w:firstLineChars="199"/>
        <w:jc w:val="left"/>
        <w:textAlignment w:val="baseline"/>
        <w:rPr>
          <w:rFonts w:ascii="宋体" w:hAnsi="宋体" w:cs="宋体"/>
          <w:color w:val="000000" w:themeColor="text1"/>
          <w:kern w:val="0"/>
          <w:sz w:val="24"/>
        </w:rPr>
      </w:pPr>
      <w:r>
        <w:rPr>
          <w:rFonts w:hint="eastAsia" w:ascii="宋体" w:hAnsi="宋体" w:cs="宋体"/>
          <w:color w:val="000000" w:themeColor="text1"/>
          <w:kern w:val="0"/>
          <w:sz w:val="24"/>
        </w:rPr>
        <w:t xml:space="preserve">26.5.6 有证据证明供应商串通投标的其他情形的。 </w:t>
      </w:r>
    </w:p>
    <w:p>
      <w:pPr>
        <w:widowControl/>
        <w:adjustRightInd w:val="0"/>
        <w:spacing w:line="360" w:lineRule="auto"/>
        <w:ind w:firstLine="477" w:firstLineChars="199"/>
        <w:jc w:val="left"/>
        <w:textAlignment w:val="baseline"/>
        <w:rPr>
          <w:rFonts w:ascii="宋体" w:hAnsi="宋体" w:cs="宋体"/>
          <w:color w:val="000000" w:themeColor="text1"/>
          <w:kern w:val="0"/>
          <w:sz w:val="24"/>
        </w:rPr>
      </w:pPr>
      <w:r>
        <w:rPr>
          <w:rFonts w:hint="eastAsia" w:ascii="宋体" w:hAnsi="宋体" w:cs="宋体"/>
          <w:color w:val="000000" w:themeColor="text1"/>
          <w:kern w:val="0"/>
          <w:sz w:val="24"/>
        </w:rPr>
        <w:t>26.5.7 评标委员会认定的其他串通投标情形。</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27.投标文件的澄清</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对投标文件中含义不明确、同类问题表述不一致或者有明显文字和计算错误的内容，评标委员会可以书面形式通过驻马店市公共资源交易不见面开评标系统远程要求供应商作出必要的澄清。供应商的澄清应当在评标委员会规定的时间内通过驻马店市公共资源交易不见面开评标系统远程以书面形式作出，由其供应商代表签字。但澄清事项不得超出投标文件的范围，不得实质性改变投标文件的内容，不得通过澄清等方式对供应商实行差别对待。评标委员会不得接受供应商主动提出的澄清和解释。</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28.比较与评价</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28.1 评标委员会将按本招标文件规定的评标方法与标准，对资格性检查和符合性检查合格的投标文件进行商务和技术评估，综合比较与评价。</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28.2 对漏（缺）报项的处理：招标文件中要求列入报价的费用（含配置、功能），漏（缺）报的视同已含在投标总价中。但在评标时取有效供应商该项最高报价加入评标价进行评标。对多报项及赠送项的价格评标时不予核减，全部进入评标价评议。</w:t>
      </w:r>
    </w:p>
    <w:p>
      <w:pPr>
        <w:pStyle w:val="41"/>
        <w:spacing w:before="0" w:beforeAutospacing="0" w:after="0" w:afterAutospacing="0" w:line="360" w:lineRule="auto"/>
        <w:ind w:firstLine="480" w:firstLineChars="200"/>
        <w:jc w:val="both"/>
        <w:rPr>
          <w:color w:val="000000" w:themeColor="text1"/>
        </w:rPr>
      </w:pPr>
      <w:r>
        <w:rPr>
          <w:rFonts w:hint="eastAsia"/>
          <w:color w:val="000000" w:themeColor="text1"/>
        </w:rPr>
        <w:t>28.3评标委员会认为供应商的报价明显低于其他通过符合性审查供应商的报价，有可能影响产品质量或者不能诚信履约的，应当要求其通过驻马店市公共资源交易不见面开评标系统在合理的时间内提供书面说明，必要时提交相关证明材料；供应商不能证明其报价合理性的，评标委员会应当将其作为无效投标处理。</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29.评标过程及保密原则</w:t>
      </w:r>
    </w:p>
    <w:p>
      <w:pPr>
        <w:widowControl/>
        <w:spacing w:line="360" w:lineRule="auto"/>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29.1 凡与本次招标有关人员对属于审查、澄清、评价和比较投标的有关资料以及定标意向等，均不得向供应商或其他人员透露。否则,将按有关规定追究相关人员的责任。</w:t>
      </w:r>
    </w:p>
    <w:p>
      <w:pPr>
        <w:widowControl/>
        <w:spacing w:line="360" w:lineRule="auto"/>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29.2 在评标期间，供应商试图影响或干预评审的任何行为，将导致其投标被作为无效投标，并承担相应的法律责任。</w:t>
      </w:r>
    </w:p>
    <w:p>
      <w:pPr>
        <w:widowControl/>
        <w:spacing w:line="360" w:lineRule="auto"/>
        <w:ind w:firstLine="361" w:firstLineChars="150"/>
        <w:jc w:val="left"/>
        <w:rPr>
          <w:rFonts w:ascii="宋体" w:hAnsi="宋体" w:cs="宋体"/>
          <w:b/>
          <w:color w:val="000000" w:themeColor="text1"/>
          <w:kern w:val="0"/>
          <w:sz w:val="24"/>
        </w:rPr>
      </w:pPr>
      <w:r>
        <w:rPr>
          <w:rFonts w:hint="eastAsia" w:ascii="宋体" w:hAnsi="宋体" w:cs="宋体"/>
          <w:b/>
          <w:color w:val="000000" w:themeColor="text1"/>
          <w:kern w:val="0"/>
          <w:sz w:val="24"/>
        </w:rPr>
        <w:t>30.评标异议登记</w:t>
      </w:r>
    </w:p>
    <w:p>
      <w:pPr>
        <w:widowControl/>
        <w:spacing w:line="360" w:lineRule="auto"/>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采购代理机构工作人员对评审专家等相关人员在评审过程中发现、提出的异议进行逐项登记。</w:t>
      </w:r>
    </w:p>
    <w:p>
      <w:pPr>
        <w:widowControl/>
        <w:spacing w:line="360" w:lineRule="auto"/>
        <w:ind w:firstLine="3694" w:firstLineChars="1150"/>
        <w:jc w:val="left"/>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七   定标</w:t>
      </w:r>
    </w:p>
    <w:p>
      <w:pPr>
        <w:widowControl/>
        <w:snapToGrid w:val="0"/>
        <w:spacing w:line="360" w:lineRule="auto"/>
        <w:ind w:firstLine="482" w:firstLineChars="200"/>
        <w:jc w:val="left"/>
        <w:rPr>
          <w:rFonts w:ascii="新宋体" w:hAnsi="新宋体" w:eastAsia="新宋体" w:cs="新宋体"/>
          <w:b/>
          <w:kern w:val="0"/>
          <w:sz w:val="24"/>
        </w:rPr>
      </w:pPr>
      <w:r>
        <w:rPr>
          <w:rFonts w:hint="eastAsia" w:ascii="新宋体" w:hAnsi="新宋体" w:eastAsia="新宋体" w:cs="新宋体"/>
          <w:b/>
          <w:kern w:val="0"/>
          <w:sz w:val="24"/>
        </w:rPr>
        <w:t>31.定标原则</w:t>
      </w:r>
    </w:p>
    <w:p>
      <w:pPr>
        <w:widowControl/>
        <w:spacing w:line="360" w:lineRule="auto"/>
        <w:ind w:firstLine="480"/>
        <w:jc w:val="left"/>
        <w:rPr>
          <w:rFonts w:ascii="新宋体" w:hAnsi="新宋体" w:eastAsia="新宋体" w:cs="新宋体"/>
          <w:kern w:val="0"/>
          <w:sz w:val="24"/>
        </w:rPr>
      </w:pPr>
      <w:r>
        <w:rPr>
          <w:rFonts w:hint="eastAsia" w:ascii="新宋体" w:hAnsi="新宋体" w:eastAsia="新宋体" w:cs="新宋体"/>
          <w:kern w:val="0"/>
          <w:sz w:val="24"/>
        </w:rPr>
        <w:t>31.1 最低投标价不作为成交的保证。</w:t>
      </w:r>
    </w:p>
    <w:p>
      <w:pPr>
        <w:widowControl/>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31.2 确定实质上响应招标文件且满足下列条件的为成交候选供应商（或成交供应商）：</w:t>
      </w:r>
    </w:p>
    <w:p>
      <w:pPr>
        <w:spacing w:line="360" w:lineRule="auto"/>
        <w:ind w:firstLine="480" w:firstLineChars="200"/>
        <w:rPr>
          <w:rFonts w:ascii="新宋体" w:hAnsi="新宋体" w:eastAsia="新宋体" w:cs="新宋体"/>
          <w:sz w:val="24"/>
        </w:rPr>
      </w:pPr>
      <w:r>
        <w:rPr>
          <w:rFonts w:hint="eastAsia" w:ascii="新宋体" w:hAnsi="新宋体" w:eastAsia="新宋体" w:cs="新宋体"/>
          <w:sz w:val="24"/>
        </w:rPr>
        <w:t>31.2.1 最低评标价法，是指投标文件满足招标文件全部实质性要求，且投标报价最低的供应商为成交候选供应商的评标方法。</w:t>
      </w:r>
    </w:p>
    <w:p>
      <w:pPr>
        <w:spacing w:line="360" w:lineRule="auto"/>
        <w:ind w:firstLine="480" w:firstLineChars="200"/>
        <w:rPr>
          <w:rFonts w:ascii="新宋体" w:hAnsi="新宋体" w:eastAsia="新宋体" w:cs="新宋体"/>
          <w:sz w:val="24"/>
        </w:rPr>
      </w:pPr>
      <w:r>
        <w:rPr>
          <w:rFonts w:hint="eastAsia" w:ascii="新宋体" w:hAnsi="新宋体" w:eastAsia="新宋体" w:cs="新宋体"/>
          <w:sz w:val="24"/>
        </w:rPr>
        <w:t>采用最低评标价法的，评标结果按投标报价由低到高顺序排列。投标报价相同的并列。投标文件满足招标文件全部实质性要求且投标报价最低的供应商为排名第一的成交候选供应商。</w:t>
      </w:r>
      <w:r>
        <w:rPr>
          <w:rFonts w:hint="eastAsia" w:ascii="新宋体" w:hAnsi="新宋体" w:eastAsia="新宋体" w:cs="新宋体"/>
          <w:kern w:val="0"/>
          <w:sz w:val="24"/>
        </w:rPr>
        <w:t>最低报价相同的，按</w:t>
      </w:r>
      <w:r>
        <w:rPr>
          <w:rFonts w:hint="eastAsia" w:ascii="新宋体" w:hAnsi="新宋体" w:eastAsia="新宋体" w:cs="新宋体"/>
        </w:rPr>
        <w:t>技术指标</w:t>
      </w:r>
      <w:r>
        <w:rPr>
          <w:rFonts w:hint="eastAsia" w:ascii="新宋体" w:hAnsi="新宋体" w:eastAsia="新宋体" w:cs="新宋体"/>
          <w:kern w:val="0"/>
          <w:sz w:val="24"/>
        </w:rPr>
        <w:t>优劣顺序排列。以上全部相同的，通过随机抽取产生。</w:t>
      </w:r>
    </w:p>
    <w:p>
      <w:pPr>
        <w:pStyle w:val="41"/>
        <w:spacing w:before="0" w:beforeAutospacing="0" w:after="0" w:afterAutospacing="0" w:line="360" w:lineRule="auto"/>
        <w:ind w:firstLine="480"/>
        <w:jc w:val="both"/>
        <w:rPr>
          <w:rFonts w:ascii="新宋体" w:hAnsi="新宋体" w:eastAsia="新宋体" w:cs="新宋体"/>
        </w:rPr>
      </w:pPr>
      <w:r>
        <w:rPr>
          <w:rFonts w:hint="eastAsia" w:ascii="新宋体" w:hAnsi="新宋体" w:eastAsia="新宋体" w:cs="新宋体"/>
        </w:rPr>
        <w:t>对有效投标的投标服务符合价格折扣条件的，评标委员会根据政府采购相关规定，按照“价格调整要素及价格折扣幅度列表”进行报价调整，调整后的评标总价作为供应商的评标价，按评标价由低到高排列。评标价相同的，按投标报价由低到高排列。评标价与投标报价均相同的，按技术指标优劣排列。以上全部相同的，通过随机抽取产生。</w:t>
      </w:r>
    </w:p>
    <w:p>
      <w:pPr>
        <w:spacing w:line="360" w:lineRule="auto"/>
        <w:ind w:firstLine="480" w:firstLineChars="200"/>
        <w:rPr>
          <w:rFonts w:ascii="新宋体" w:hAnsi="新宋体" w:eastAsia="新宋体" w:cs="新宋体"/>
          <w:sz w:val="24"/>
        </w:rPr>
      </w:pPr>
      <w:r>
        <w:rPr>
          <w:rFonts w:hint="eastAsia" w:ascii="新宋体" w:hAnsi="新宋体" w:eastAsia="新宋体" w:cs="新宋体"/>
          <w:sz w:val="24"/>
        </w:rPr>
        <w:t>31.2.2 　综合评分法，是指投标文件满足招标文件全部实质性要求，且按照评审因素的量化指标评审得分最高的供应商为成交候选供应商的评标方法。</w:t>
      </w:r>
    </w:p>
    <w:p>
      <w:pPr>
        <w:spacing w:line="360" w:lineRule="auto"/>
        <w:ind w:firstLine="480" w:firstLineChars="200"/>
        <w:rPr>
          <w:rFonts w:ascii="新宋体" w:hAnsi="新宋体" w:eastAsia="新宋体" w:cs="新宋体"/>
          <w:sz w:val="24"/>
        </w:rPr>
      </w:pPr>
      <w:r>
        <w:rPr>
          <w:rFonts w:hint="eastAsia" w:ascii="新宋体" w:hAnsi="新宋体" w:eastAsia="新宋体" w:cs="新宋体"/>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成交候选供应商。</w:t>
      </w:r>
    </w:p>
    <w:p>
      <w:pPr>
        <w:spacing w:line="360" w:lineRule="auto"/>
        <w:ind w:firstLine="480" w:firstLineChars="200"/>
        <w:rPr>
          <w:rFonts w:ascii="新宋体" w:hAnsi="新宋体" w:eastAsia="新宋体" w:cs="新宋体"/>
        </w:rPr>
      </w:pPr>
      <w:r>
        <w:rPr>
          <w:rFonts w:hint="eastAsia" w:ascii="新宋体" w:hAnsi="新宋体" w:eastAsia="新宋体" w:cs="新宋体"/>
          <w:sz w:val="24"/>
        </w:rPr>
        <w:t>采用综合评分法，按评标总得分由高到低顺序排列。得分相同的，按投标报价由低到高顺序排列。得分与投标报价均相同的，按技术指标优劣排列。得分、投标报价与技术指标优劣均相同的，通过随机抽取产生。</w:t>
      </w:r>
    </w:p>
    <w:p>
      <w:pPr>
        <w:widowControl/>
        <w:snapToGrid w:val="0"/>
        <w:spacing w:line="360" w:lineRule="auto"/>
        <w:ind w:firstLine="482" w:firstLineChars="200"/>
        <w:jc w:val="left"/>
        <w:rPr>
          <w:rFonts w:ascii="新宋体" w:hAnsi="新宋体" w:eastAsia="新宋体" w:cs="新宋体"/>
          <w:b/>
          <w:kern w:val="0"/>
          <w:sz w:val="24"/>
        </w:rPr>
      </w:pPr>
      <w:r>
        <w:rPr>
          <w:rFonts w:hint="eastAsia" w:ascii="新宋体" w:hAnsi="新宋体" w:eastAsia="新宋体" w:cs="新宋体"/>
          <w:b/>
          <w:kern w:val="0"/>
          <w:sz w:val="24"/>
        </w:rPr>
        <w:t>32.确定成交供应商和成交候选供应商</w:t>
      </w:r>
    </w:p>
    <w:p>
      <w:pPr>
        <w:widowControl/>
        <w:snapToGrid w:val="0"/>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本项目由采购人授权评标委员会直接确定成交供应商和成交候选供应商。</w:t>
      </w:r>
    </w:p>
    <w:p>
      <w:pPr>
        <w:widowControl/>
        <w:snapToGrid w:val="0"/>
        <w:spacing w:line="360" w:lineRule="auto"/>
        <w:ind w:firstLine="482" w:firstLineChars="200"/>
        <w:jc w:val="left"/>
        <w:rPr>
          <w:rFonts w:ascii="新宋体" w:hAnsi="新宋体" w:eastAsia="新宋体" w:cs="新宋体"/>
          <w:b/>
          <w:kern w:val="0"/>
          <w:sz w:val="24"/>
        </w:rPr>
      </w:pPr>
      <w:r>
        <w:rPr>
          <w:rFonts w:hint="eastAsia" w:ascii="新宋体" w:hAnsi="新宋体" w:eastAsia="新宋体" w:cs="新宋体"/>
          <w:b/>
          <w:kern w:val="0"/>
          <w:sz w:val="24"/>
        </w:rPr>
        <w:t>33.成交通知书及成交公告</w:t>
      </w:r>
    </w:p>
    <w:p>
      <w:pPr>
        <w:widowControl/>
        <w:snapToGrid w:val="0"/>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33.1 评审结束后，采购代理机构及时在河南省政府采购网、驻马店市公共资源交易网</w:t>
      </w:r>
      <w:r>
        <w:fldChar w:fldCharType="begin"/>
      </w:r>
      <w:r>
        <w:instrText xml:space="preserve"> HYPERLINK "http://www.sxztb.gov.cn/" </w:instrText>
      </w:r>
      <w:r>
        <w:fldChar w:fldCharType="separate"/>
      </w:r>
      <w:r>
        <w:fldChar w:fldCharType="end"/>
      </w:r>
      <w:r>
        <w:rPr>
          <w:rFonts w:hint="eastAsia" w:ascii="新宋体" w:hAnsi="新宋体" w:eastAsia="新宋体" w:cs="新宋体"/>
          <w:kern w:val="0"/>
          <w:sz w:val="24"/>
        </w:rPr>
        <w:t>等相关媒体上发布成交公告，同时向成交供应商发出成交通知书。</w:t>
      </w:r>
    </w:p>
    <w:p>
      <w:pPr>
        <w:widowControl/>
        <w:adjustRightInd w:val="0"/>
        <w:spacing w:line="360" w:lineRule="auto"/>
        <w:ind w:firstLine="477" w:firstLineChars="199"/>
        <w:jc w:val="left"/>
        <w:textAlignment w:val="baseline"/>
        <w:rPr>
          <w:rFonts w:ascii="新宋体" w:hAnsi="新宋体" w:eastAsia="新宋体" w:cs="新宋体"/>
          <w:kern w:val="0"/>
          <w:sz w:val="24"/>
        </w:rPr>
      </w:pPr>
      <w:r>
        <w:rPr>
          <w:rFonts w:hint="eastAsia" w:ascii="新宋体" w:hAnsi="新宋体" w:eastAsia="新宋体" w:cs="新宋体"/>
          <w:kern w:val="0"/>
          <w:sz w:val="24"/>
        </w:rPr>
        <w:t>33.2 成交供应商在规定的时间内不领取成交通知书的，视为成交后自动放弃成交资格；成交供应商在有效报价中报价最低,非不可抗力放弃成交资格的。发生上述情况的承担由此引起的一切后果。</w:t>
      </w:r>
    </w:p>
    <w:p>
      <w:pPr>
        <w:widowControl/>
        <w:snapToGrid w:val="0"/>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33.3 成交通知书对采购人和成交供应商具有同等法律效力。成交通知书发出后，采购人改变成交结果，或者成交供应商放弃成交，应按相关法律、规章、规范性文件的要求承担相应的法律责任。</w:t>
      </w:r>
    </w:p>
    <w:p>
      <w:pPr>
        <w:widowControl/>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33.4 成交通知书将作为签订合同的依据。合同签订后，成交通知书成为合同的一部分。</w:t>
      </w:r>
    </w:p>
    <w:p>
      <w:pPr>
        <w:widowControl/>
        <w:spacing w:line="360" w:lineRule="auto"/>
        <w:ind w:firstLine="479" w:firstLineChars="199"/>
        <w:jc w:val="left"/>
        <w:rPr>
          <w:rFonts w:ascii="新宋体" w:hAnsi="新宋体" w:eastAsia="新宋体" w:cs="新宋体"/>
          <w:b/>
          <w:kern w:val="0"/>
          <w:sz w:val="24"/>
        </w:rPr>
      </w:pPr>
      <w:r>
        <w:rPr>
          <w:rFonts w:hint="eastAsia" w:ascii="新宋体" w:hAnsi="新宋体" w:eastAsia="新宋体" w:cs="新宋体"/>
          <w:b/>
          <w:kern w:val="0"/>
          <w:sz w:val="24"/>
        </w:rPr>
        <w:t>34.采购代理机构宣布废标的权利</w:t>
      </w:r>
    </w:p>
    <w:p>
      <w:pPr>
        <w:widowControl/>
        <w:tabs>
          <w:tab w:val="left" w:pos="420"/>
        </w:tabs>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34.1 出现下列情况之一时，采购代理机构有权宣布废标，并将理由通知所有供应商：</w:t>
      </w:r>
    </w:p>
    <w:p>
      <w:pPr>
        <w:widowControl/>
        <w:tabs>
          <w:tab w:val="left" w:pos="420"/>
        </w:tabs>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34.1.1出现影响采购公正的违法、违规行为的。</w:t>
      </w:r>
    </w:p>
    <w:p>
      <w:pPr>
        <w:widowControl/>
        <w:tabs>
          <w:tab w:val="left" w:pos="420"/>
        </w:tabs>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34.1.2 供应商的报价均超过了招标控制价，采购人不能支付的。</w:t>
      </w:r>
    </w:p>
    <w:p>
      <w:pPr>
        <w:widowControl/>
        <w:tabs>
          <w:tab w:val="left" w:pos="420"/>
        </w:tabs>
        <w:spacing w:line="360" w:lineRule="auto"/>
        <w:ind w:firstLine="480" w:firstLineChars="200"/>
        <w:jc w:val="left"/>
        <w:rPr>
          <w:rFonts w:ascii="新宋体" w:hAnsi="新宋体" w:eastAsia="新宋体" w:cs="新宋体"/>
          <w:kern w:val="0"/>
          <w:sz w:val="24"/>
        </w:rPr>
      </w:pPr>
      <w:r>
        <w:rPr>
          <w:rFonts w:hint="eastAsia" w:ascii="新宋体" w:hAnsi="新宋体" w:eastAsia="新宋体" w:cs="新宋体"/>
          <w:kern w:val="0"/>
          <w:sz w:val="24"/>
        </w:rPr>
        <w:t>34.1.3 因重大变故，采购任务取消的。</w:t>
      </w:r>
    </w:p>
    <w:p>
      <w:pPr>
        <w:spacing w:line="360" w:lineRule="auto"/>
        <w:ind w:firstLine="480" w:firstLineChars="200"/>
        <w:rPr>
          <w:rFonts w:ascii="新宋体" w:hAnsi="新宋体" w:eastAsia="新宋体" w:cs="新宋体"/>
          <w:sz w:val="24"/>
        </w:rPr>
      </w:pPr>
      <w:r>
        <w:rPr>
          <w:rFonts w:hint="eastAsia" w:ascii="新宋体" w:hAnsi="新宋体" w:eastAsia="新宋体" w:cs="新宋体"/>
          <w:sz w:val="24"/>
        </w:rPr>
        <w:t>34.2 投标截止后供应商不足3家或通过资格性检查或符合性检查的供应商不足3家的，除采购任务取消情形外，按照以下方式处理：</w:t>
      </w:r>
    </w:p>
    <w:p>
      <w:pPr>
        <w:numPr>
          <w:ilvl w:val="0"/>
          <w:numId w:val="5"/>
        </w:numPr>
        <w:spacing w:line="360" w:lineRule="auto"/>
        <w:ind w:firstLine="480" w:firstLineChars="200"/>
        <w:rPr>
          <w:rFonts w:ascii="新宋体" w:hAnsi="新宋体" w:eastAsia="新宋体" w:cs="新宋体"/>
          <w:sz w:val="24"/>
        </w:rPr>
      </w:pPr>
      <w:r>
        <w:rPr>
          <w:rFonts w:hint="eastAsia" w:ascii="新宋体" w:hAnsi="新宋体" w:eastAsia="新宋体" w:cs="新宋体"/>
          <w:sz w:val="24"/>
        </w:rPr>
        <w:t>招标文件存在不合理条款或者招标程序不符合规定的，采购人、采购代理机构改正后依法重新招标；　</w:t>
      </w:r>
    </w:p>
    <w:p>
      <w:pPr>
        <w:spacing w:line="360" w:lineRule="auto"/>
        <w:ind w:firstLine="480" w:firstLineChars="200"/>
        <w:rPr>
          <w:rFonts w:ascii="新宋体" w:hAnsi="新宋体" w:eastAsia="新宋体" w:cs="新宋体"/>
          <w:b/>
          <w:kern w:val="0"/>
          <w:sz w:val="52"/>
          <w:szCs w:val="52"/>
        </w:rPr>
      </w:pPr>
      <w:r>
        <w:rPr>
          <w:rFonts w:hint="eastAsia" w:ascii="新宋体" w:hAnsi="新宋体" w:eastAsia="新宋体" w:cs="新宋体"/>
          <w:sz w:val="24"/>
        </w:rPr>
        <w:t>（2）招标文件没有不合理条款、招标程序符合规定，需要采用其他采购方式采购的，采购人应当依法报财政部门批准。</w:t>
      </w:r>
      <w:r>
        <w:rPr>
          <w:rFonts w:hint="eastAsia" w:ascii="新宋体" w:hAnsi="新宋体" w:eastAsia="新宋体" w:cs="新宋体"/>
          <w:b/>
          <w:kern w:val="0"/>
          <w:sz w:val="24"/>
        </w:rPr>
        <w:t xml:space="preserve"> </w:t>
      </w:r>
    </w:p>
    <w:p>
      <w:pPr>
        <w:widowControl/>
        <w:spacing w:line="360" w:lineRule="auto"/>
        <w:ind w:firstLine="2715" w:firstLineChars="845"/>
        <w:jc w:val="left"/>
        <w:rPr>
          <w:rFonts w:ascii="宋体" w:hAnsi="宋体" w:cs="宋体"/>
          <w:color w:val="000000" w:themeColor="text1"/>
          <w:sz w:val="24"/>
        </w:rPr>
      </w:pPr>
      <w:r>
        <w:rPr>
          <w:rFonts w:hint="eastAsia" w:ascii="宋体" w:hAnsi="宋体" w:cs="宋体"/>
          <w:b/>
          <w:color w:val="000000" w:themeColor="text1"/>
          <w:kern w:val="0"/>
          <w:sz w:val="32"/>
          <w:szCs w:val="32"/>
        </w:rPr>
        <w:t>八   合同授予</w:t>
      </w:r>
    </w:p>
    <w:p>
      <w:pPr>
        <w:widowControl/>
        <w:spacing w:line="360" w:lineRule="auto"/>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35.合同签订</w:t>
      </w:r>
    </w:p>
    <w:p>
      <w:pPr>
        <w:widowControl/>
        <w:spacing w:line="360" w:lineRule="auto"/>
        <w:ind w:firstLine="480" w:firstLineChars="200"/>
        <w:jc w:val="left"/>
        <w:rPr>
          <w:rFonts w:ascii="宋体" w:hAnsi="宋体" w:cs="宋体"/>
          <w:color w:val="000000" w:themeColor="text1"/>
          <w:kern w:val="0"/>
          <w:sz w:val="24"/>
          <w:u w:val="single"/>
        </w:rPr>
      </w:pPr>
      <w:r>
        <w:rPr>
          <w:rFonts w:hint="eastAsia" w:ascii="宋体" w:hAnsi="宋体" w:cs="宋体"/>
          <w:color w:val="000000" w:themeColor="text1"/>
          <w:kern w:val="0"/>
          <w:sz w:val="24"/>
        </w:rPr>
        <w:t>35.1 采购人、中标供应商自中标通知书发出之日起，在招标文件第二章《采购需求》商务要求规定的时间内，根据招标文件确定的事项和中标人投标文件签订合同。双方所签订的合同不得对招标文件和中标人投标文件作实质性修改。</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35.2 招标文件、招标文件的修改文件、中标人的投标文件、补充或修改的文件及澄清或承诺文件等，均为双方签订合同的组成部分，并与合同一并作为本招标文件所列采购项目的互补性法律文件，与合同具有同等法律效力。</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35.3 中标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35.4 采购人按照法律法规及各级财政部门相关规定，在规定时间内将合同副本报同级财政部门备案。</w:t>
      </w:r>
    </w:p>
    <w:p>
      <w:pPr>
        <w:pStyle w:val="40"/>
        <w:rPr>
          <w:color w:val="000000" w:themeColor="text1"/>
        </w:rPr>
      </w:pPr>
    </w:p>
    <w:p>
      <w:pPr>
        <w:pStyle w:val="18"/>
        <w:rPr>
          <w:color w:val="000000" w:themeColor="text1"/>
        </w:rPr>
      </w:pPr>
    </w:p>
    <w:p>
      <w:pPr>
        <w:pStyle w:val="40"/>
        <w:rPr>
          <w:color w:val="000000" w:themeColor="text1"/>
        </w:rPr>
      </w:pPr>
    </w:p>
    <w:p>
      <w:pPr>
        <w:pStyle w:val="18"/>
        <w:rPr>
          <w:color w:val="000000" w:themeColor="text1"/>
        </w:rPr>
      </w:pPr>
    </w:p>
    <w:p>
      <w:pPr>
        <w:pStyle w:val="40"/>
        <w:rPr>
          <w:color w:val="000000" w:themeColor="text1"/>
        </w:rPr>
      </w:pPr>
    </w:p>
    <w:p>
      <w:pPr>
        <w:pStyle w:val="18"/>
      </w:pPr>
    </w:p>
    <w:p>
      <w:pPr>
        <w:pStyle w:val="2"/>
      </w:pPr>
      <w:r>
        <w:rPr>
          <w:rFonts w:hint="eastAsia"/>
        </w:rPr>
        <w:t xml:space="preserve">第四章  评标办法及评分标准  </w:t>
      </w:r>
    </w:p>
    <w:p>
      <w:pPr>
        <w:widowControl/>
        <w:spacing w:before="156" w:after="156" w:line="360" w:lineRule="auto"/>
        <w:jc w:val="center"/>
        <w:rPr>
          <w:rFonts w:ascii="新宋体" w:hAnsi="新宋体" w:eastAsia="新宋体" w:cs="新宋体"/>
          <w:b/>
          <w:kern w:val="0"/>
          <w:sz w:val="24"/>
        </w:rPr>
      </w:pPr>
      <w:r>
        <w:rPr>
          <w:rFonts w:hint="eastAsia" w:ascii="新宋体" w:hAnsi="新宋体" w:eastAsia="新宋体" w:cs="新宋体"/>
          <w:b/>
          <w:kern w:val="0"/>
          <w:sz w:val="24"/>
        </w:rPr>
        <w:t>综合评分法</w:t>
      </w:r>
    </w:p>
    <w:p>
      <w:pPr>
        <w:widowControl/>
        <w:spacing w:line="360" w:lineRule="auto"/>
        <w:ind w:firstLine="480" w:firstLineChars="200"/>
        <w:jc w:val="left"/>
        <w:rPr>
          <w:rFonts w:ascii="新宋体" w:hAnsi="新宋体" w:eastAsia="新宋体" w:cs="新宋体"/>
          <w:color w:val="000000"/>
          <w:kern w:val="0"/>
          <w:sz w:val="24"/>
        </w:rPr>
      </w:pPr>
      <w:r>
        <w:rPr>
          <w:rFonts w:hint="eastAsia" w:ascii="新宋体" w:hAnsi="新宋体" w:eastAsia="新宋体" w:cs="新宋体"/>
          <w:color w:val="000000"/>
          <w:kern w:val="0"/>
          <w:sz w:val="24"/>
        </w:rPr>
        <w:t>为公正、公平、科学地选择成交供应商，根据《中华人民共和国政府采购法》、《政府采购货物和服务招标投标管理办法》等有关法律法规的规定，并结合本项目的实际，制定本办法。</w:t>
      </w:r>
    </w:p>
    <w:p>
      <w:pPr>
        <w:widowControl/>
        <w:spacing w:line="360" w:lineRule="auto"/>
        <w:ind w:firstLine="480" w:firstLineChars="200"/>
        <w:jc w:val="left"/>
        <w:rPr>
          <w:rFonts w:ascii="新宋体" w:hAnsi="新宋体" w:eastAsia="新宋体" w:cs="新宋体"/>
          <w:b/>
          <w:kern w:val="0"/>
          <w:sz w:val="24"/>
          <w:szCs w:val="21"/>
        </w:rPr>
      </w:pPr>
      <w:r>
        <w:rPr>
          <w:rFonts w:hint="eastAsia" w:ascii="新宋体" w:hAnsi="新宋体" w:eastAsia="新宋体" w:cs="新宋体"/>
          <w:color w:val="000000"/>
          <w:kern w:val="0"/>
          <w:sz w:val="24"/>
          <w:szCs w:val="21"/>
        </w:rPr>
        <w:t>一、</w:t>
      </w:r>
      <w:r>
        <w:rPr>
          <w:rFonts w:hint="eastAsia" w:ascii="新宋体" w:hAnsi="新宋体" w:eastAsia="新宋体" w:cs="新宋体"/>
          <w:b/>
          <w:color w:val="000000"/>
          <w:kern w:val="0"/>
          <w:sz w:val="24"/>
          <w:szCs w:val="21"/>
        </w:rPr>
        <w:t>总则</w:t>
      </w:r>
    </w:p>
    <w:p>
      <w:pPr>
        <w:spacing w:line="360" w:lineRule="auto"/>
        <w:ind w:firstLine="480" w:firstLineChars="200"/>
        <w:rPr>
          <w:rFonts w:ascii="新宋体" w:hAnsi="新宋体" w:eastAsia="新宋体" w:cs="新宋体"/>
          <w:color w:val="000000"/>
          <w:sz w:val="24"/>
          <w:szCs w:val="21"/>
        </w:rPr>
      </w:pPr>
      <w:r>
        <w:rPr>
          <w:rFonts w:hint="eastAsia" w:ascii="新宋体" w:hAnsi="新宋体" w:eastAsia="新宋体" w:cs="新宋体"/>
          <w:sz w:val="24"/>
          <w:szCs w:val="21"/>
        </w:rPr>
        <w:t>本次评标采用综合评分法，总分为100分。其中价格分3</w:t>
      </w:r>
      <w:r>
        <w:rPr>
          <w:rFonts w:hint="eastAsia" w:ascii="新宋体" w:hAnsi="新宋体" w:eastAsia="新宋体" w:cs="新宋体"/>
          <w:sz w:val="24"/>
          <w:szCs w:val="21"/>
          <w:u w:val="single"/>
        </w:rPr>
        <w:t>0</w:t>
      </w:r>
      <w:r>
        <w:rPr>
          <w:rFonts w:hint="eastAsia" w:ascii="新宋体" w:hAnsi="新宋体" w:eastAsia="新宋体" w:cs="新宋体"/>
          <w:sz w:val="24"/>
          <w:szCs w:val="21"/>
        </w:rPr>
        <w:t>分，商务分</w:t>
      </w:r>
      <w:r>
        <w:rPr>
          <w:rFonts w:hint="eastAsia" w:ascii="新宋体" w:hAnsi="新宋体" w:eastAsia="新宋体" w:cs="新宋体"/>
          <w:sz w:val="24"/>
          <w:szCs w:val="21"/>
          <w:u w:val="single"/>
        </w:rPr>
        <w:t>14</w:t>
      </w:r>
      <w:r>
        <w:rPr>
          <w:rFonts w:hint="eastAsia" w:ascii="新宋体" w:hAnsi="新宋体" w:eastAsia="新宋体" w:cs="新宋体"/>
          <w:sz w:val="24"/>
          <w:szCs w:val="21"/>
        </w:rPr>
        <w:t xml:space="preserve"> 分，技术分</w:t>
      </w:r>
      <w:r>
        <w:rPr>
          <w:rFonts w:hint="eastAsia" w:ascii="新宋体" w:hAnsi="新宋体" w:eastAsia="新宋体" w:cs="新宋体"/>
          <w:sz w:val="24"/>
          <w:szCs w:val="21"/>
          <w:u w:val="single"/>
        </w:rPr>
        <w:t>56</w:t>
      </w:r>
      <w:r>
        <w:rPr>
          <w:rFonts w:hint="eastAsia" w:ascii="新宋体" w:hAnsi="新宋体" w:eastAsia="新宋体" w:cs="新宋体"/>
          <w:sz w:val="24"/>
          <w:szCs w:val="21"/>
        </w:rPr>
        <w:t>分。按供应商须知第31项的规定排列成交资格。排名第一</w:t>
      </w:r>
      <w:r>
        <w:rPr>
          <w:rFonts w:hint="eastAsia" w:ascii="新宋体" w:hAnsi="新宋体" w:eastAsia="新宋体" w:cs="新宋体"/>
          <w:color w:val="000000"/>
          <w:sz w:val="24"/>
          <w:szCs w:val="21"/>
        </w:rPr>
        <w:t>的供应商为成交供应商（如果需要确定成交候选供应商，排名第二的供应商为成交候选供应商，其他供应商中标候选资格依此类推）。评分过程中采用四舍五入法，保留小数2位。</w:t>
      </w:r>
    </w:p>
    <w:p>
      <w:pPr>
        <w:widowControl/>
        <w:spacing w:line="360" w:lineRule="auto"/>
        <w:ind w:firstLine="482" w:firstLineChars="200"/>
        <w:jc w:val="left"/>
        <w:rPr>
          <w:rFonts w:ascii="新宋体" w:hAnsi="新宋体" w:eastAsia="新宋体" w:cs="新宋体"/>
          <w:b/>
          <w:color w:val="000000"/>
          <w:kern w:val="0"/>
          <w:sz w:val="24"/>
          <w:szCs w:val="21"/>
        </w:rPr>
      </w:pPr>
      <w:r>
        <w:rPr>
          <w:rFonts w:hint="eastAsia" w:ascii="新宋体" w:hAnsi="新宋体" w:eastAsia="新宋体" w:cs="新宋体"/>
          <w:b/>
          <w:color w:val="000000"/>
          <w:kern w:val="0"/>
          <w:sz w:val="24"/>
          <w:szCs w:val="21"/>
        </w:rPr>
        <w:t>二、评标内容及标准</w:t>
      </w:r>
    </w:p>
    <w:p>
      <w:pPr>
        <w:widowControl/>
        <w:spacing w:line="360" w:lineRule="auto"/>
        <w:ind w:firstLine="482" w:firstLineChars="200"/>
        <w:jc w:val="left"/>
        <w:rPr>
          <w:rFonts w:ascii="新宋体" w:hAnsi="新宋体" w:eastAsia="新宋体" w:cs="新宋体"/>
          <w:b/>
          <w:color w:val="000000"/>
          <w:kern w:val="0"/>
          <w:sz w:val="24"/>
          <w:szCs w:val="21"/>
        </w:rPr>
      </w:pPr>
      <w:r>
        <w:rPr>
          <w:rFonts w:hint="eastAsia" w:ascii="新宋体" w:hAnsi="新宋体" w:eastAsia="新宋体" w:cs="新宋体"/>
          <w:b/>
          <w:color w:val="000000"/>
          <w:kern w:val="0"/>
          <w:sz w:val="24"/>
          <w:szCs w:val="21"/>
        </w:rPr>
        <w:t>1.价格分（30分）</w:t>
      </w:r>
    </w:p>
    <w:p>
      <w:pPr>
        <w:widowControl/>
        <w:spacing w:line="360" w:lineRule="auto"/>
        <w:ind w:firstLine="480" w:firstLineChars="200"/>
        <w:jc w:val="left"/>
        <w:rPr>
          <w:rFonts w:ascii="新宋体" w:hAnsi="新宋体" w:eastAsia="新宋体" w:cs="新宋体"/>
          <w:color w:val="000000"/>
          <w:kern w:val="0"/>
          <w:sz w:val="24"/>
          <w:szCs w:val="20"/>
        </w:rPr>
      </w:pPr>
      <w:r>
        <w:rPr>
          <w:rFonts w:hint="eastAsia" w:ascii="新宋体" w:hAnsi="新宋体" w:eastAsia="新宋体" w:cs="新宋体"/>
          <w:color w:val="000000"/>
          <w:kern w:val="0"/>
          <w:sz w:val="24"/>
          <w:szCs w:val="20"/>
        </w:rPr>
        <w:t>评标委员会根据政府采购相关规定，对有效投标的投标服务符合价格折扣条件的，按照“价格调整要素及价格折扣幅度列表”进行报价调整，以调整后的价格作为供应商的评标价。</w:t>
      </w:r>
    </w:p>
    <w:p>
      <w:pPr>
        <w:spacing w:line="360" w:lineRule="auto"/>
        <w:ind w:firstLine="480" w:firstLineChars="200"/>
        <w:rPr>
          <w:rFonts w:ascii="新宋体" w:hAnsi="新宋体" w:eastAsia="新宋体" w:cs="新宋体"/>
          <w:color w:val="000000"/>
          <w:sz w:val="24"/>
          <w:szCs w:val="21"/>
        </w:rPr>
      </w:pPr>
      <w:r>
        <w:rPr>
          <w:rFonts w:hint="eastAsia" w:ascii="新宋体" w:hAnsi="新宋体" w:eastAsia="新宋体" w:cs="新宋体"/>
          <w:color w:val="000000"/>
          <w:sz w:val="24"/>
          <w:szCs w:val="21"/>
        </w:rPr>
        <w:t>价格分应当采用低价优先法计算，即满足招标文件要求且投标价格最低的投标报价为评标基准价，其价格分为满分。其他供应商的价格分统一按照下列公式计算：</w:t>
      </w:r>
    </w:p>
    <w:p>
      <w:pPr>
        <w:spacing w:line="360" w:lineRule="auto"/>
        <w:rPr>
          <w:rFonts w:ascii="新宋体" w:hAnsi="新宋体" w:eastAsia="新宋体" w:cs="新宋体"/>
          <w:color w:val="000000"/>
          <w:kern w:val="0"/>
          <w:sz w:val="24"/>
          <w:szCs w:val="21"/>
        </w:rPr>
      </w:pPr>
      <w:r>
        <w:rPr>
          <w:rFonts w:hint="eastAsia" w:ascii="新宋体" w:hAnsi="新宋体" w:eastAsia="新宋体" w:cs="新宋体"/>
          <w:color w:val="000000"/>
          <w:sz w:val="24"/>
          <w:szCs w:val="21"/>
        </w:rPr>
        <w:t>　　投标报价得分=(评标基准价／投标报价)×价格权值</w:t>
      </w:r>
    </w:p>
    <w:p>
      <w:pPr>
        <w:widowControl/>
        <w:spacing w:line="360" w:lineRule="auto"/>
        <w:ind w:firstLine="482" w:firstLineChars="200"/>
        <w:jc w:val="left"/>
        <w:rPr>
          <w:rFonts w:ascii="新宋体" w:hAnsi="新宋体" w:eastAsia="新宋体" w:cs="新宋体"/>
          <w:b/>
          <w:color w:val="FF0000"/>
          <w:kern w:val="0"/>
          <w:sz w:val="24"/>
          <w:szCs w:val="21"/>
        </w:rPr>
      </w:pPr>
      <w:r>
        <w:rPr>
          <w:rFonts w:hint="eastAsia" w:ascii="新宋体" w:hAnsi="新宋体" w:eastAsia="新宋体" w:cs="新宋体"/>
          <w:b/>
          <w:color w:val="000000"/>
          <w:kern w:val="0"/>
          <w:sz w:val="24"/>
          <w:szCs w:val="21"/>
        </w:rPr>
        <w:t>价格调整要素及价格折扣幅度列表</w:t>
      </w:r>
      <w:r>
        <w:rPr>
          <w:rFonts w:hint="eastAsia" w:ascii="新宋体" w:hAnsi="新宋体" w:eastAsia="新宋体" w:cs="新宋体"/>
          <w:b/>
          <w:color w:val="000000" w:themeColor="text1"/>
          <w:kern w:val="0"/>
          <w:sz w:val="24"/>
          <w:szCs w:val="21"/>
        </w:rPr>
        <w:t>：（本项目专门面向中小微企业采购）</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68"/>
        <w:gridCol w:w="4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168"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评标价格要素</w:t>
            </w:r>
          </w:p>
        </w:tc>
        <w:tc>
          <w:tcPr>
            <w:tcW w:w="4860"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价格折扣幅度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3168" w:type="dxa"/>
            <w:tcBorders>
              <w:top w:val="single" w:color="auto" w:sz="4" w:space="0"/>
              <w:left w:val="single" w:color="auto" w:sz="4" w:space="0"/>
              <w:bottom w:val="single" w:color="auto" w:sz="4" w:space="0"/>
              <w:right w:val="single" w:color="auto" w:sz="4" w:space="0"/>
            </w:tcBorders>
          </w:tcPr>
          <w:p>
            <w:pPr>
              <w:widowControl/>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24"/>
              </w:rPr>
              <w:t>节能产品</w:t>
            </w:r>
          </w:p>
        </w:tc>
        <w:tc>
          <w:tcPr>
            <w:tcW w:w="4860"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3168" w:type="dxa"/>
            <w:tcBorders>
              <w:top w:val="single" w:color="auto" w:sz="4" w:space="0"/>
              <w:left w:val="single" w:color="auto" w:sz="4" w:space="0"/>
              <w:bottom w:val="single" w:color="auto" w:sz="4" w:space="0"/>
              <w:right w:val="single" w:color="auto" w:sz="4" w:space="0"/>
            </w:tcBorders>
          </w:tcPr>
          <w:p>
            <w:pPr>
              <w:widowControl/>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24"/>
              </w:rPr>
              <w:t>环境标志产品</w:t>
            </w:r>
          </w:p>
        </w:tc>
        <w:tc>
          <w:tcPr>
            <w:tcW w:w="4860"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168" w:type="dxa"/>
            <w:tcBorders>
              <w:top w:val="single" w:color="auto" w:sz="4" w:space="0"/>
              <w:left w:val="single" w:color="auto" w:sz="4" w:space="0"/>
              <w:bottom w:val="single" w:color="auto" w:sz="4" w:space="0"/>
              <w:right w:val="single" w:color="auto" w:sz="4" w:space="0"/>
            </w:tcBorders>
          </w:tcPr>
          <w:p>
            <w:pPr>
              <w:widowControl/>
              <w:spacing w:line="460" w:lineRule="exact"/>
              <w:jc w:val="left"/>
              <w:rPr>
                <w:color w:val="000000" w:themeColor="text1"/>
                <w:kern w:val="0"/>
                <w:sz w:val="24"/>
              </w:rPr>
            </w:pPr>
            <w:r>
              <w:rPr>
                <w:rFonts w:hint="eastAsia" w:eastAsia="‹ΟGB2312"/>
                <w:color w:val="000000" w:themeColor="text1"/>
                <w:kern w:val="0"/>
                <w:sz w:val="24"/>
              </w:rPr>
              <w:t>小微企业投标，且</w:t>
            </w:r>
            <w:r>
              <w:rPr>
                <w:rFonts w:hint="eastAsia" w:ascii="宋体" w:hAnsi="宋体" w:cs="宋体"/>
                <w:color w:val="000000" w:themeColor="text1"/>
                <w:kern w:val="0"/>
                <w:sz w:val="24"/>
              </w:rPr>
              <w:t>投标产品出自</w:t>
            </w:r>
            <w:r>
              <w:rPr>
                <w:rFonts w:hint="eastAsia" w:ascii="嫤疓B2312" w:hAnsi="宋体" w:eastAsia="嫤疓B2312"/>
                <w:color w:val="000000" w:themeColor="text1"/>
                <w:kern w:val="0"/>
                <w:sz w:val="24"/>
              </w:rPr>
              <w:t>小型或微型企业。</w:t>
            </w:r>
            <w:r>
              <w:rPr>
                <w:rFonts w:hint="eastAsia" w:ascii="宋体" w:hAnsi="宋体" w:cs="宋体"/>
                <w:color w:val="000000" w:themeColor="text1"/>
                <w:kern w:val="0"/>
                <w:sz w:val="24"/>
              </w:rPr>
              <w:t>监狱企业视同小型、微型企业。</w:t>
            </w:r>
          </w:p>
        </w:tc>
        <w:tc>
          <w:tcPr>
            <w:tcW w:w="4860" w:type="dxa"/>
            <w:tcBorders>
              <w:top w:val="single" w:color="auto" w:sz="4" w:space="0"/>
              <w:left w:val="single" w:color="auto" w:sz="4" w:space="0"/>
              <w:bottom w:val="single" w:color="auto" w:sz="4" w:space="0"/>
              <w:right w:val="single" w:color="auto" w:sz="4" w:space="0"/>
            </w:tcBorders>
          </w:tcPr>
          <w:p>
            <w:pPr>
              <w:widowControl/>
              <w:shd w:val="clear" w:color="auto" w:fill="FFFFFF"/>
              <w:spacing w:line="460" w:lineRule="atLeast"/>
              <w:ind w:firstLine="480"/>
              <w:rPr>
                <w:rFonts w:ascii="宋体" w:hAnsi="宋体" w:cs="宋体"/>
                <w:kern w:val="0"/>
                <w:sz w:val="24"/>
              </w:rPr>
            </w:pPr>
            <w:r>
              <w:rPr>
                <w:rFonts w:hint="eastAsia" w:ascii="宋体" w:hAnsi="宋体" w:cs="宋体"/>
                <w:kern w:val="0"/>
                <w:sz w:val="24"/>
              </w:rPr>
              <w:t>20%；</w:t>
            </w:r>
          </w:p>
          <w:p>
            <w:pPr>
              <w:widowControl/>
              <w:spacing w:line="460" w:lineRule="exact"/>
              <w:ind w:firstLine="120" w:firstLineChars="50"/>
              <w:jc w:val="left"/>
              <w:rPr>
                <w:color w:val="000000" w:themeColor="text1"/>
                <w:kern w:val="0"/>
                <w:sz w:val="24"/>
              </w:rPr>
            </w:pPr>
            <w:r>
              <w:rPr>
                <w:rFonts w:hint="eastAsia" w:ascii="宋体" w:hAnsi="宋体" w:cs="宋体"/>
                <w:kern w:val="0"/>
                <w:sz w:val="24"/>
              </w:rPr>
              <w:t>备注：专门面向中小企业采购的项目或者采购包，不再执行价格评审优惠的扶持政策。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168" w:type="dxa"/>
            <w:tcBorders>
              <w:top w:val="single" w:color="auto" w:sz="4" w:space="0"/>
              <w:left w:val="single" w:color="auto" w:sz="4" w:space="0"/>
              <w:bottom w:val="single" w:color="auto" w:sz="4" w:space="0"/>
              <w:right w:val="single" w:color="auto" w:sz="4" w:space="0"/>
            </w:tcBorders>
          </w:tcPr>
          <w:p>
            <w:pPr>
              <w:widowControl/>
              <w:spacing w:line="460" w:lineRule="exact"/>
              <w:jc w:val="left"/>
              <w:rPr>
                <w:rFonts w:eastAsia="‹ΟGB2312"/>
                <w:color w:val="000000" w:themeColor="text1"/>
                <w:kern w:val="0"/>
                <w:sz w:val="24"/>
              </w:rPr>
            </w:pPr>
            <w:r>
              <w:rPr>
                <w:rFonts w:eastAsia="‹ΟGB2312"/>
                <w:color w:val="000000" w:themeColor="text1"/>
                <w:kern w:val="0"/>
                <w:sz w:val="24"/>
              </w:rPr>
              <w:t>…</w:t>
            </w:r>
          </w:p>
        </w:tc>
        <w:tc>
          <w:tcPr>
            <w:tcW w:w="4860" w:type="dxa"/>
            <w:tcBorders>
              <w:top w:val="single" w:color="auto" w:sz="4" w:space="0"/>
              <w:left w:val="single" w:color="auto" w:sz="4" w:space="0"/>
              <w:bottom w:val="single" w:color="auto" w:sz="4" w:space="0"/>
              <w:right w:val="single" w:color="auto" w:sz="4" w:space="0"/>
            </w:tcBorders>
          </w:tcPr>
          <w:p>
            <w:pPr>
              <w:widowControl/>
              <w:spacing w:line="460" w:lineRule="exact"/>
              <w:ind w:firstLine="120" w:firstLineChars="50"/>
              <w:jc w:val="left"/>
              <w:rPr>
                <w:rFonts w:ascii="嫤疓B2312" w:hAnsi="宋体" w:eastAsia="嫤疓B2312"/>
                <w:color w:val="000000" w:themeColor="text1"/>
                <w:kern w:val="0"/>
                <w:sz w:val="24"/>
              </w:rPr>
            </w:pPr>
            <w:r>
              <w:rPr>
                <w:rFonts w:hint="eastAsia" w:ascii="宋体" w:hAnsi="宋体" w:cs="宋体"/>
                <w:color w:val="000000" w:themeColor="text1"/>
                <w:kern w:val="0"/>
                <w:sz w:val="24"/>
              </w:rPr>
              <w:t>供应商或所投产品按规定享受其他国家政策支持、扶持的，由供应商提供相关法律法规政策依据，每项按0.5%折扣。</w:t>
            </w:r>
          </w:p>
        </w:tc>
      </w:tr>
    </w:tbl>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注:(1)投标产品属节能或环境标志产品品目清单范围的，以国家确定的认证机构出具的、处于有效期之内的节能产品、环境标志产品认证证书为准。属于强制采购的产品，不再给予价格优惠。</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 xml:space="preserve"> (2)同一包内有多个投标产品，部分产品符合政策功能要求的（注：</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专门面向中小企业采购的采购项目，不再进行价格折扣），只对符合政策功能要求的产品依据《投标报价明细表》按上述价格折扣幅度进行折扣，并按折扣后的价格即单项评标价计入总价进行评标。</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单项评标价=投标人单项报价×（1-∑价格折扣幅度）</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评标价=∑单项评标价+∑不进行价格调整产品单项报价</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价格分采用低价优先法计算，即满足招标文件要求，评标价最低的为评标基准价，其他投标人的价格分按照下列公式计算：</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（3）根据《政府采购促进中小企业发展管理办法》（财库[2020]46号）的</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规定，参加政府采购活动的中小企业应当提供《中小企业声明函》。</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（4）根据《财政部 司法部关于政府采购支持监狱企业发展有关问题的通知》</w:t>
      </w:r>
    </w:p>
    <w:p>
      <w:pPr>
        <w:widowControl/>
        <w:shd w:val="clear" w:color="auto" w:fill="FFFFFF"/>
        <w:spacing w:line="460" w:lineRule="atLeast"/>
        <w:ind w:firstLine="482"/>
        <w:rPr>
          <w:rFonts w:ascii="宋体" w:hAnsi="宋体" w:cs="宋体"/>
          <w:kern w:val="0"/>
          <w:sz w:val="24"/>
        </w:rPr>
      </w:pPr>
      <w:r>
        <w:rPr>
          <w:rFonts w:hint="eastAsia" w:ascii="宋体" w:hAnsi="宋体" w:cs="宋体"/>
          <w:kern w:val="0"/>
          <w:sz w:val="24"/>
        </w:rPr>
        <w:t>(财库〔2014〕68号)的规定，监狱企业参加政府采购活动时，应当提供由省级以上监狱管理局、戒毒管理局（含新疆生产建设兵团）出具的属于监狱企业的证明文件。</w:t>
      </w:r>
    </w:p>
    <w:p>
      <w:pPr>
        <w:widowControl/>
        <w:shd w:val="clear" w:color="auto" w:fill="FFFFFF"/>
        <w:spacing w:line="460" w:lineRule="atLeast"/>
        <w:ind w:firstLine="482"/>
        <w:rPr>
          <w:rFonts w:ascii="新宋体" w:hAnsi="新宋体" w:eastAsia="新宋体" w:cs="新宋体"/>
          <w:color w:val="000000"/>
          <w:kern w:val="0"/>
          <w:sz w:val="24"/>
          <w:szCs w:val="20"/>
        </w:rPr>
      </w:pPr>
      <w:r>
        <w:rPr>
          <w:rFonts w:hint="eastAsia" w:ascii="宋体" w:hAnsi="宋体" w:cs="宋体"/>
          <w:kern w:val="0"/>
          <w:sz w:val="24"/>
        </w:rPr>
        <w:t>（5）根据《财政部 民政部中国残疾人联合会关于促进残疾人就业政府采购政策的通知》（财库〔2017〕141号）的规定，享受政府采购支持政策的残疾人福利性单位应当提供《残疾人福利性单位声明函》。</w:t>
      </w:r>
    </w:p>
    <w:p>
      <w:pPr>
        <w:widowControl/>
        <w:spacing w:line="360" w:lineRule="auto"/>
        <w:jc w:val="left"/>
        <w:rPr>
          <w:rFonts w:ascii="新宋体" w:hAnsi="新宋体" w:eastAsia="新宋体" w:cs="新宋体"/>
          <w:color w:val="000000"/>
          <w:kern w:val="0"/>
          <w:sz w:val="24"/>
          <w:szCs w:val="21"/>
        </w:rPr>
      </w:pPr>
      <w:r>
        <w:rPr>
          <w:rFonts w:hint="eastAsia" w:ascii="宋体" w:hAnsi="宋体" w:cs="宋体"/>
          <w:b/>
          <w:bCs/>
          <w:color w:val="000000"/>
          <w:sz w:val="24"/>
        </w:rPr>
        <w:t>注：价格扣除，仅作为价格评审的依据，并不影响合同执行价格，合同执行价格为成交供应商的最后报价。</w:t>
      </w:r>
    </w:p>
    <w:p>
      <w:pPr>
        <w:widowControl/>
        <w:spacing w:line="360" w:lineRule="auto"/>
        <w:ind w:firstLine="482" w:firstLineChars="200"/>
        <w:jc w:val="left"/>
        <w:rPr>
          <w:rFonts w:ascii="新宋体" w:hAnsi="新宋体" w:eastAsia="新宋体" w:cs="新宋体"/>
          <w:b/>
          <w:color w:val="000000"/>
          <w:kern w:val="0"/>
          <w:sz w:val="24"/>
          <w:szCs w:val="21"/>
        </w:rPr>
      </w:pPr>
      <w:r>
        <w:rPr>
          <w:rFonts w:hint="eastAsia" w:ascii="新宋体" w:hAnsi="新宋体" w:eastAsia="新宋体" w:cs="新宋体"/>
          <w:b/>
          <w:color w:val="000000"/>
          <w:kern w:val="0"/>
          <w:sz w:val="24"/>
          <w:szCs w:val="21"/>
        </w:rPr>
        <w:t>2.商务分（14分）</w:t>
      </w:r>
    </w:p>
    <w:p>
      <w:pPr>
        <w:widowControl/>
        <w:spacing w:line="360" w:lineRule="auto"/>
        <w:ind w:firstLine="482" w:firstLineChars="200"/>
        <w:jc w:val="left"/>
        <w:rPr>
          <w:rFonts w:ascii="新宋体" w:hAnsi="新宋体" w:eastAsia="新宋体" w:cs="新宋体"/>
          <w:color w:val="000000"/>
        </w:rPr>
      </w:pPr>
      <w:r>
        <w:rPr>
          <w:rFonts w:hint="eastAsia" w:ascii="新宋体" w:hAnsi="新宋体" w:eastAsia="新宋体" w:cs="新宋体"/>
          <w:b/>
          <w:color w:val="000000"/>
          <w:kern w:val="0"/>
          <w:sz w:val="24"/>
          <w:szCs w:val="21"/>
        </w:rPr>
        <w:t>3.技术分：技术部分（56分）</w:t>
      </w:r>
    </w:p>
    <w:p>
      <w:pPr>
        <w:widowControl/>
        <w:spacing w:line="360" w:lineRule="auto"/>
        <w:ind w:firstLine="482" w:firstLineChars="200"/>
        <w:jc w:val="left"/>
        <w:rPr>
          <w:rFonts w:ascii="新宋体" w:hAnsi="新宋体" w:eastAsia="新宋体" w:cs="新宋体"/>
          <w:b/>
          <w:color w:val="000000"/>
          <w:kern w:val="0"/>
          <w:sz w:val="24"/>
          <w:szCs w:val="21"/>
        </w:rPr>
      </w:pPr>
      <w:r>
        <w:rPr>
          <w:rFonts w:hint="eastAsia" w:ascii="新宋体" w:hAnsi="新宋体" w:eastAsia="新宋体" w:cs="新宋体"/>
          <w:b/>
          <w:color w:val="000000"/>
          <w:kern w:val="0"/>
          <w:sz w:val="24"/>
          <w:szCs w:val="21"/>
        </w:rPr>
        <w:t>4.评分细则及标准</w:t>
      </w:r>
    </w:p>
    <w:tbl>
      <w:tblPr>
        <w:tblStyle w:val="46"/>
        <w:tblW w:w="9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1678"/>
        <w:gridCol w:w="70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vAlign w:val="center"/>
          </w:tcPr>
          <w:p>
            <w:pPr>
              <w:jc w:val="center"/>
              <w:rPr>
                <w:rFonts w:ascii="宋体" w:hAnsi="宋体" w:cs="宋体"/>
                <w:color w:val="000000"/>
                <w:sz w:val="24"/>
              </w:rPr>
            </w:pPr>
            <w:r>
              <w:rPr>
                <w:rFonts w:hint="eastAsia" w:ascii="宋体" w:hAnsi="宋体" w:cs="宋体"/>
                <w:color w:val="000000"/>
                <w:sz w:val="24"/>
              </w:rPr>
              <w:t>评标项目</w:t>
            </w:r>
          </w:p>
        </w:tc>
        <w:tc>
          <w:tcPr>
            <w:tcW w:w="1678" w:type="dxa"/>
            <w:vAlign w:val="center"/>
          </w:tcPr>
          <w:p>
            <w:pPr>
              <w:jc w:val="center"/>
              <w:rPr>
                <w:rFonts w:ascii="宋体" w:hAnsi="宋体" w:cs="宋体"/>
                <w:color w:val="000000"/>
                <w:sz w:val="24"/>
              </w:rPr>
            </w:pPr>
            <w:r>
              <w:rPr>
                <w:rFonts w:hint="eastAsia" w:ascii="宋体" w:hAnsi="宋体" w:cs="宋体"/>
                <w:color w:val="000000"/>
                <w:sz w:val="24"/>
              </w:rPr>
              <w:t>评标分值</w:t>
            </w:r>
          </w:p>
        </w:tc>
        <w:tc>
          <w:tcPr>
            <w:tcW w:w="7018" w:type="dxa"/>
            <w:vAlign w:val="center"/>
          </w:tcPr>
          <w:p>
            <w:pPr>
              <w:jc w:val="center"/>
              <w:rPr>
                <w:rFonts w:ascii="宋体" w:hAnsi="宋体" w:cs="宋体"/>
                <w:color w:val="000000"/>
                <w:sz w:val="24"/>
              </w:rPr>
            </w:pPr>
            <w:r>
              <w:rPr>
                <w:rFonts w:hint="eastAsia" w:ascii="宋体" w:hAnsi="宋体" w:cs="宋体"/>
                <w:color w:val="000000"/>
                <w:sz w:val="24"/>
              </w:rPr>
              <w:t>评标方法描述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vAlign w:val="center"/>
          </w:tcPr>
          <w:p>
            <w:pPr>
              <w:spacing w:line="560" w:lineRule="exact"/>
              <w:jc w:val="center"/>
              <w:rPr>
                <w:rFonts w:ascii="宋体" w:hAnsi="宋体" w:cs="宋体"/>
                <w:color w:val="000000"/>
                <w:sz w:val="24"/>
              </w:rPr>
            </w:pPr>
            <w:r>
              <w:rPr>
                <w:rFonts w:hint="eastAsia" w:ascii="宋体" w:hAnsi="宋体" w:cs="宋体"/>
                <w:color w:val="000000"/>
                <w:sz w:val="24"/>
              </w:rPr>
              <w:t>报价得分</w:t>
            </w:r>
          </w:p>
        </w:tc>
        <w:tc>
          <w:tcPr>
            <w:tcW w:w="1678" w:type="dxa"/>
            <w:vAlign w:val="center"/>
          </w:tcPr>
          <w:p>
            <w:pPr>
              <w:spacing w:line="560" w:lineRule="exact"/>
              <w:jc w:val="center"/>
              <w:rPr>
                <w:rFonts w:ascii="宋体" w:hAnsi="宋体" w:cs="宋体"/>
                <w:color w:val="000000"/>
                <w:sz w:val="24"/>
              </w:rPr>
            </w:pPr>
            <w:r>
              <w:rPr>
                <w:rFonts w:hint="eastAsia" w:ascii="宋体" w:hAnsi="宋体" w:cs="宋体"/>
                <w:color w:val="000000"/>
                <w:sz w:val="24"/>
              </w:rPr>
              <w:t>30分</w:t>
            </w:r>
          </w:p>
        </w:tc>
        <w:tc>
          <w:tcPr>
            <w:tcW w:w="7018" w:type="dxa"/>
            <w:vAlign w:val="center"/>
          </w:tcPr>
          <w:p>
            <w:pPr>
              <w:spacing w:line="560" w:lineRule="exact"/>
              <w:jc w:val="left"/>
              <w:rPr>
                <w:rFonts w:ascii="宋体" w:hAnsi="宋体" w:cs="宋体"/>
                <w:color w:val="000000"/>
                <w:sz w:val="24"/>
              </w:rPr>
            </w:pPr>
            <w:r>
              <w:rPr>
                <w:rFonts w:hint="eastAsia" w:ascii="宋体" w:hAnsi="宋体" w:cs="宋体"/>
                <w:color w:val="000000"/>
                <w:sz w:val="24"/>
              </w:rPr>
              <w:t>有效投标价格最低的为评标基准价，其价格分为满分。</w:t>
            </w:r>
          </w:p>
          <w:p>
            <w:pPr>
              <w:spacing w:line="560" w:lineRule="exact"/>
              <w:jc w:val="left"/>
              <w:rPr>
                <w:rFonts w:ascii="宋体" w:hAnsi="宋体" w:cs="宋体"/>
                <w:color w:val="000000"/>
                <w:sz w:val="24"/>
              </w:rPr>
            </w:pPr>
            <w:r>
              <w:rPr>
                <w:rFonts w:hint="eastAsia" w:ascii="宋体" w:hAnsi="宋体" w:cs="宋体"/>
                <w:color w:val="000000"/>
                <w:sz w:val="24"/>
              </w:rPr>
              <w:t>其他供应商的价格分统一按照下列公式计算：</w:t>
            </w:r>
          </w:p>
          <w:p>
            <w:pPr>
              <w:spacing w:line="560" w:lineRule="exact"/>
              <w:jc w:val="left"/>
              <w:rPr>
                <w:rFonts w:ascii="宋体" w:hAnsi="宋体" w:cs="宋体"/>
                <w:color w:val="000000"/>
                <w:sz w:val="24"/>
              </w:rPr>
            </w:pPr>
            <w:r>
              <w:rPr>
                <w:rFonts w:hint="eastAsia" w:ascii="宋体" w:hAnsi="宋体" w:cs="宋体"/>
                <w:color w:val="000000"/>
                <w:sz w:val="24"/>
              </w:rPr>
              <w:t>投标报价得分=(评标基准价／投标报价)×30。</w:t>
            </w:r>
          </w:p>
          <w:p>
            <w:pPr>
              <w:spacing w:line="560" w:lineRule="exact"/>
              <w:jc w:val="left"/>
              <w:rPr>
                <w:rFonts w:ascii="宋体" w:hAnsi="宋体" w:cs="宋体"/>
                <w:color w:val="000000"/>
                <w:sz w:val="24"/>
              </w:rPr>
            </w:pPr>
            <w:r>
              <w:rPr>
                <w:rFonts w:hint="eastAsia" w:ascii="宋体" w:hAnsi="宋体" w:cs="宋体"/>
                <w:color w:val="000000"/>
                <w:sz w:val="24"/>
              </w:rPr>
              <w:t>注：分值计算保留小数点后两位，小数点后第三位“四舍五入”。</w:t>
            </w:r>
          </w:p>
          <w:p>
            <w:pPr>
              <w:spacing w:line="560" w:lineRule="exact"/>
              <w:jc w:val="left"/>
              <w:rPr>
                <w:rFonts w:ascii="宋体" w:hAnsi="宋体" w:cs="宋体"/>
                <w:color w:val="000000"/>
                <w:sz w:val="24"/>
              </w:rPr>
            </w:pPr>
            <w:r>
              <w:rPr>
                <w:rFonts w:hint="eastAsia" w:ascii="宋体" w:hAnsi="宋体" w:cs="宋体"/>
                <w:color w:val="000000"/>
                <w:sz w:val="24"/>
              </w:rPr>
              <w:t>1.有效供应商的有效投标报价为通过符合评审、不高于预算价的供应商报价。</w:t>
            </w:r>
          </w:p>
          <w:p>
            <w:pPr>
              <w:spacing w:line="560" w:lineRule="exact"/>
              <w:jc w:val="left"/>
              <w:rPr>
                <w:rFonts w:ascii="宋体" w:hAnsi="宋体" w:cs="宋体"/>
                <w:color w:val="000000"/>
                <w:sz w:val="24"/>
              </w:rPr>
            </w:pPr>
            <w:r>
              <w:rPr>
                <w:rFonts w:hint="eastAsia" w:ascii="宋体" w:hAnsi="宋体" w:cs="宋体"/>
                <w:color w:val="000000"/>
                <w:sz w:val="24"/>
              </w:rPr>
              <w:t>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0" w:hRule="atLeast"/>
          <w:jc w:val="center"/>
        </w:trPr>
        <w:tc>
          <w:tcPr>
            <w:tcW w:w="1050" w:type="dxa"/>
            <w:vAlign w:val="center"/>
          </w:tcPr>
          <w:p>
            <w:pPr>
              <w:spacing w:line="560" w:lineRule="exact"/>
              <w:jc w:val="center"/>
              <w:rPr>
                <w:rFonts w:ascii="宋体" w:hAnsi="宋体" w:cs="宋体"/>
                <w:color w:val="000000"/>
                <w:sz w:val="24"/>
              </w:rPr>
            </w:pPr>
            <w:r>
              <w:rPr>
                <w:rFonts w:hint="eastAsia" w:ascii="宋体" w:hAnsi="宋体" w:cs="宋体"/>
                <w:color w:val="000000"/>
                <w:sz w:val="24"/>
              </w:rPr>
              <w:t>商务部分</w:t>
            </w:r>
          </w:p>
        </w:tc>
        <w:tc>
          <w:tcPr>
            <w:tcW w:w="1678" w:type="dxa"/>
            <w:vAlign w:val="center"/>
          </w:tcPr>
          <w:p>
            <w:pPr>
              <w:spacing w:line="560" w:lineRule="exact"/>
              <w:jc w:val="center"/>
              <w:rPr>
                <w:rFonts w:ascii="宋体" w:hAnsi="宋体" w:cs="宋体"/>
                <w:color w:val="000000"/>
                <w:sz w:val="24"/>
              </w:rPr>
            </w:pPr>
            <w:r>
              <w:rPr>
                <w:rFonts w:hint="eastAsia" w:ascii="宋体" w:hAnsi="宋体" w:cs="宋体"/>
                <w:color w:val="000000"/>
                <w:sz w:val="24"/>
              </w:rPr>
              <w:t>14分</w:t>
            </w:r>
          </w:p>
        </w:tc>
        <w:tc>
          <w:tcPr>
            <w:tcW w:w="7018" w:type="dxa"/>
          </w:tcPr>
          <w:p>
            <w:pPr>
              <w:spacing w:line="560" w:lineRule="exact"/>
              <w:jc w:val="left"/>
              <w:rPr>
                <w:rFonts w:ascii="宋体" w:hAnsi="宋体" w:cs="宋体"/>
                <w:color w:val="000000"/>
                <w:sz w:val="24"/>
              </w:rPr>
            </w:pPr>
            <w:r>
              <w:rPr>
                <w:rFonts w:hint="eastAsia" w:ascii="宋体" w:hAnsi="宋体" w:cs="宋体"/>
                <w:color w:val="000000"/>
                <w:sz w:val="24"/>
              </w:rPr>
              <w:t>服务承诺：1、供应商改善经营服务态度，针对招标项目的特点和要求，结合自身条件，为采购人排忧解难的承诺；</w:t>
            </w:r>
          </w:p>
          <w:p>
            <w:pPr>
              <w:spacing w:line="560" w:lineRule="exact"/>
              <w:jc w:val="left"/>
              <w:rPr>
                <w:rFonts w:ascii="宋体" w:hAnsi="宋体" w:cs="宋体"/>
                <w:color w:val="000000"/>
                <w:sz w:val="24"/>
              </w:rPr>
            </w:pPr>
            <w:r>
              <w:rPr>
                <w:rFonts w:hint="eastAsia" w:ascii="宋体" w:hAnsi="宋体" w:cs="宋体"/>
                <w:color w:val="000000"/>
                <w:sz w:val="24"/>
              </w:rPr>
              <w:t>2、有利于提高作业质量、保质保量完成项目全部内容的承诺；</w:t>
            </w:r>
          </w:p>
          <w:p>
            <w:pPr>
              <w:spacing w:line="560" w:lineRule="exact"/>
              <w:jc w:val="left"/>
              <w:rPr>
                <w:rFonts w:ascii="宋体" w:hAnsi="宋体" w:cs="宋体"/>
                <w:color w:val="000000"/>
                <w:sz w:val="24"/>
              </w:rPr>
            </w:pPr>
            <w:r>
              <w:rPr>
                <w:rFonts w:hint="eastAsia" w:ascii="宋体" w:hAnsi="宋体" w:cs="宋体"/>
                <w:color w:val="000000"/>
                <w:sz w:val="24"/>
              </w:rPr>
              <w:t>3、保证作业进度和人员培训方案的承诺；</w:t>
            </w:r>
          </w:p>
          <w:p>
            <w:pPr>
              <w:spacing w:line="560" w:lineRule="exact"/>
              <w:jc w:val="left"/>
              <w:rPr>
                <w:rFonts w:ascii="宋体" w:hAnsi="宋体" w:cs="宋体"/>
                <w:color w:val="000000"/>
                <w:sz w:val="24"/>
              </w:rPr>
            </w:pPr>
            <w:r>
              <w:rPr>
                <w:rFonts w:hint="eastAsia" w:ascii="宋体" w:hAnsi="宋体" w:cs="宋体"/>
                <w:color w:val="000000"/>
                <w:sz w:val="24"/>
              </w:rPr>
              <w:t>4、有后续服务及其他实质性承诺；</w:t>
            </w:r>
          </w:p>
          <w:p>
            <w:pPr>
              <w:spacing w:line="560" w:lineRule="exact"/>
              <w:jc w:val="left"/>
              <w:rPr>
                <w:rFonts w:ascii="宋体" w:hAnsi="宋体" w:cs="宋体"/>
                <w:color w:val="000000"/>
                <w:sz w:val="24"/>
              </w:rPr>
            </w:pPr>
            <w:r>
              <w:rPr>
                <w:rFonts w:hint="eastAsia" w:ascii="宋体" w:hAnsi="宋体" w:cs="宋体"/>
                <w:color w:val="000000"/>
                <w:sz w:val="24"/>
              </w:rPr>
              <w:t>5、其他优惠承诺：供应商根据本次项目具体要求（除招标文件要求外）自拟服务承诺及优惠条件</w:t>
            </w:r>
          </w:p>
          <w:p>
            <w:pPr>
              <w:spacing w:line="560" w:lineRule="exact"/>
              <w:jc w:val="left"/>
              <w:rPr>
                <w:rFonts w:ascii="宋体" w:hAnsi="宋体" w:cs="宋体"/>
                <w:color w:val="000000"/>
                <w:sz w:val="24"/>
              </w:rPr>
            </w:pPr>
            <w:r>
              <w:rPr>
                <w:rFonts w:hint="eastAsia" w:ascii="宋体" w:hAnsi="宋体" w:cs="宋体"/>
                <w:color w:val="000000"/>
                <w:sz w:val="24"/>
              </w:rPr>
              <w:t>提供以上承诺函每项得2分，不提供不得分。</w:t>
            </w:r>
          </w:p>
          <w:p>
            <w:pPr>
              <w:spacing w:line="560" w:lineRule="exact"/>
              <w:jc w:val="left"/>
              <w:rPr>
                <w:rFonts w:ascii="宋体" w:hAnsi="宋体" w:cs="宋体"/>
                <w:color w:val="000000"/>
                <w:sz w:val="24"/>
              </w:rPr>
            </w:pPr>
            <w:r>
              <w:rPr>
                <w:rFonts w:hint="eastAsia" w:ascii="宋体" w:hAnsi="宋体" w:cs="宋体"/>
                <w:color w:val="000000"/>
                <w:sz w:val="24"/>
              </w:rPr>
              <w:t>管理制度：投标人内部管理制度内容完善，各项规章制度健全，综合管理制度齐全，作业人员安排合理。</w:t>
            </w:r>
          </w:p>
          <w:p>
            <w:pPr>
              <w:spacing w:line="560" w:lineRule="exact"/>
              <w:jc w:val="left"/>
              <w:rPr>
                <w:rFonts w:ascii="宋体" w:hAnsi="宋体" w:cs="宋体"/>
                <w:color w:val="000000"/>
                <w:sz w:val="24"/>
              </w:rPr>
            </w:pPr>
            <w:r>
              <w:rPr>
                <w:rFonts w:hint="eastAsia" w:ascii="宋体" w:hAnsi="宋体" w:cs="宋体"/>
                <w:color w:val="000000"/>
                <w:sz w:val="24"/>
              </w:rPr>
              <w:t>1、内容详实，方案科学、合理、考虑周全措施到位，针对性强，满足招标人要求的，得4分；</w:t>
            </w:r>
          </w:p>
          <w:p>
            <w:pPr>
              <w:spacing w:line="560" w:lineRule="exact"/>
              <w:jc w:val="left"/>
              <w:rPr>
                <w:rFonts w:ascii="宋体" w:hAnsi="宋体" w:cs="宋体"/>
                <w:color w:val="000000"/>
                <w:sz w:val="24"/>
              </w:rPr>
            </w:pPr>
            <w:r>
              <w:rPr>
                <w:rFonts w:hint="eastAsia" w:ascii="宋体" w:hAnsi="宋体" w:cs="宋体"/>
                <w:color w:val="000000"/>
                <w:sz w:val="24"/>
              </w:rPr>
              <w:t>2、内容完整，方案基本科学、合理、基本考虑周全措施到位，针对性较强，可以满足招标要求的，但有个别细节需要进一步完善或者提高的，得2分；</w:t>
            </w:r>
          </w:p>
          <w:p>
            <w:pPr>
              <w:spacing w:line="560" w:lineRule="exact"/>
              <w:jc w:val="left"/>
              <w:rPr>
                <w:rFonts w:ascii="宋体" w:hAnsi="宋体" w:cs="宋体"/>
                <w:color w:val="000000"/>
                <w:sz w:val="24"/>
              </w:rPr>
            </w:pPr>
            <w:r>
              <w:rPr>
                <w:rFonts w:hint="eastAsia" w:ascii="宋体" w:hAnsi="宋体" w:cs="宋体"/>
                <w:color w:val="000000"/>
                <w:sz w:val="24"/>
              </w:rPr>
              <w:t>3、内容完整，方案在科学、合理方面一般，基本考虑不周，措施不够到位，针对性不强，虽然能够满足基本满足招标文件要求，但有很多方面需要进一步完善甚至重新考虑的，得1分。</w:t>
            </w:r>
          </w:p>
          <w:p>
            <w:pPr>
              <w:pStyle w:val="18"/>
              <w:rPr>
                <w:color w:val="000000"/>
              </w:rPr>
            </w:pPr>
            <w:r>
              <w:rPr>
                <w:rFonts w:hint="eastAsia" w:ascii="宋体" w:hAnsi="宋体" w:cs="宋体"/>
                <w:color w:val="000000"/>
                <w:sz w:val="24"/>
              </w:rPr>
              <w:t>5、缺项不得分。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1050" w:type="dxa"/>
            <w:vAlign w:val="center"/>
          </w:tcPr>
          <w:p>
            <w:pPr>
              <w:spacing w:line="560" w:lineRule="exact"/>
              <w:jc w:val="center"/>
              <w:rPr>
                <w:rFonts w:ascii="宋体" w:hAnsi="宋体" w:cs="宋体"/>
                <w:color w:val="000000"/>
                <w:sz w:val="24"/>
              </w:rPr>
            </w:pPr>
            <w:r>
              <w:rPr>
                <w:rFonts w:hint="eastAsia" w:ascii="宋体" w:hAnsi="宋体" w:cs="宋体"/>
                <w:color w:val="000000"/>
                <w:sz w:val="24"/>
              </w:rPr>
              <w:t>技术部分</w:t>
            </w:r>
          </w:p>
        </w:tc>
        <w:tc>
          <w:tcPr>
            <w:tcW w:w="1678" w:type="dxa"/>
            <w:vAlign w:val="center"/>
          </w:tcPr>
          <w:p>
            <w:pPr>
              <w:spacing w:line="560" w:lineRule="exact"/>
              <w:jc w:val="center"/>
              <w:rPr>
                <w:rFonts w:ascii="宋体" w:hAnsi="宋体" w:cs="宋体"/>
                <w:color w:val="000000"/>
                <w:sz w:val="24"/>
              </w:rPr>
            </w:pPr>
            <w:r>
              <w:rPr>
                <w:rFonts w:hint="eastAsia" w:ascii="宋体" w:hAnsi="宋体" w:cs="宋体"/>
                <w:color w:val="000000"/>
                <w:sz w:val="24"/>
              </w:rPr>
              <w:t>56分</w:t>
            </w:r>
          </w:p>
        </w:tc>
        <w:tc>
          <w:tcPr>
            <w:tcW w:w="7018" w:type="dxa"/>
            <w:vAlign w:val="center"/>
          </w:tcPr>
          <w:p>
            <w:pPr>
              <w:spacing w:line="560" w:lineRule="exact"/>
              <w:jc w:val="left"/>
              <w:rPr>
                <w:rFonts w:ascii="宋体" w:hAnsi="宋体" w:cs="宋体"/>
                <w:color w:val="000000"/>
                <w:sz w:val="24"/>
              </w:rPr>
            </w:pPr>
            <w:r>
              <w:rPr>
                <w:rFonts w:hint="eastAsia" w:ascii="宋体" w:hAnsi="宋体" w:cs="宋体"/>
                <w:color w:val="000000"/>
                <w:sz w:val="24"/>
              </w:rPr>
              <w:t>1、项目基础调研与分析方案</w:t>
            </w:r>
          </w:p>
          <w:p>
            <w:pPr>
              <w:spacing w:line="560" w:lineRule="exact"/>
              <w:jc w:val="left"/>
              <w:rPr>
                <w:rFonts w:ascii="宋体" w:hAnsi="宋体" w:cs="宋体"/>
                <w:color w:val="000000"/>
                <w:sz w:val="24"/>
              </w:rPr>
            </w:pPr>
            <w:r>
              <w:rPr>
                <w:rFonts w:hint="eastAsia" w:ascii="宋体" w:hAnsi="宋体" w:cs="宋体"/>
                <w:color w:val="000000"/>
                <w:sz w:val="24"/>
              </w:rPr>
              <w:t>2、供货组织方案</w:t>
            </w:r>
          </w:p>
          <w:p>
            <w:pPr>
              <w:spacing w:line="560" w:lineRule="exact"/>
              <w:jc w:val="left"/>
              <w:rPr>
                <w:rFonts w:ascii="宋体" w:hAnsi="宋体" w:cs="宋体"/>
                <w:color w:val="000000"/>
                <w:sz w:val="24"/>
              </w:rPr>
            </w:pPr>
            <w:r>
              <w:rPr>
                <w:rFonts w:hint="eastAsia" w:ascii="宋体" w:hAnsi="宋体" w:cs="宋体"/>
                <w:color w:val="000000"/>
                <w:sz w:val="24"/>
              </w:rPr>
              <w:t>3、运行中的技术管理</w:t>
            </w:r>
          </w:p>
          <w:p>
            <w:pPr>
              <w:spacing w:line="560" w:lineRule="exact"/>
              <w:jc w:val="left"/>
              <w:rPr>
                <w:rFonts w:ascii="宋体" w:hAnsi="宋体" w:cs="宋体"/>
                <w:color w:val="000000"/>
                <w:sz w:val="24"/>
              </w:rPr>
            </w:pPr>
            <w:r>
              <w:rPr>
                <w:rFonts w:hint="eastAsia" w:ascii="宋体" w:hAnsi="宋体" w:cs="宋体"/>
                <w:color w:val="000000"/>
                <w:sz w:val="24"/>
              </w:rPr>
              <w:t xml:space="preserve">4、运输措施 </w:t>
            </w:r>
          </w:p>
          <w:p>
            <w:pPr>
              <w:spacing w:line="560" w:lineRule="exact"/>
              <w:jc w:val="left"/>
              <w:rPr>
                <w:rFonts w:ascii="宋体" w:hAnsi="宋体" w:cs="宋体"/>
                <w:color w:val="000000"/>
                <w:sz w:val="24"/>
              </w:rPr>
            </w:pPr>
            <w:r>
              <w:rPr>
                <w:rFonts w:hint="eastAsia" w:ascii="宋体" w:hAnsi="宋体" w:cs="宋体"/>
                <w:color w:val="000000"/>
                <w:sz w:val="24"/>
              </w:rPr>
              <w:t>5、人员配备和管理方案及技术培训</w:t>
            </w:r>
          </w:p>
          <w:p>
            <w:pPr>
              <w:spacing w:line="560" w:lineRule="exact"/>
              <w:jc w:val="left"/>
              <w:rPr>
                <w:rFonts w:ascii="宋体" w:hAnsi="宋体" w:cs="宋体"/>
                <w:color w:val="000000"/>
                <w:sz w:val="24"/>
              </w:rPr>
            </w:pPr>
            <w:r>
              <w:rPr>
                <w:rFonts w:hint="eastAsia" w:ascii="宋体" w:hAnsi="宋体" w:cs="宋体"/>
                <w:color w:val="000000"/>
                <w:sz w:val="24"/>
              </w:rPr>
              <w:t>6、质量保证措施</w:t>
            </w:r>
          </w:p>
          <w:p>
            <w:pPr>
              <w:spacing w:line="560" w:lineRule="exact"/>
              <w:jc w:val="left"/>
              <w:rPr>
                <w:rFonts w:ascii="宋体" w:hAnsi="宋体" w:cs="宋体"/>
                <w:color w:val="000000"/>
                <w:sz w:val="24"/>
              </w:rPr>
            </w:pPr>
            <w:r>
              <w:rPr>
                <w:rFonts w:hint="eastAsia" w:ascii="宋体" w:hAnsi="宋体" w:cs="宋体"/>
                <w:color w:val="000000"/>
                <w:sz w:val="24"/>
              </w:rPr>
              <w:t>7、处理不达标、出现环保事件的应急处理方案</w:t>
            </w:r>
          </w:p>
          <w:p>
            <w:pPr>
              <w:spacing w:line="560" w:lineRule="exact"/>
              <w:jc w:val="left"/>
              <w:rPr>
                <w:rFonts w:ascii="宋体" w:hAnsi="宋体" w:cs="宋体"/>
                <w:color w:val="000000"/>
                <w:sz w:val="24"/>
              </w:rPr>
            </w:pPr>
            <w:r>
              <w:rPr>
                <w:rFonts w:hint="eastAsia" w:ascii="宋体" w:hAnsi="宋体" w:cs="宋体"/>
                <w:color w:val="000000"/>
                <w:sz w:val="24"/>
              </w:rPr>
              <w:t>8、合理化建议</w:t>
            </w:r>
          </w:p>
          <w:p>
            <w:pPr>
              <w:spacing w:line="560" w:lineRule="exact"/>
              <w:jc w:val="left"/>
              <w:rPr>
                <w:rFonts w:ascii="宋体" w:hAnsi="宋体" w:cs="宋体"/>
                <w:color w:val="000000"/>
                <w:sz w:val="24"/>
              </w:rPr>
            </w:pPr>
            <w:r>
              <w:rPr>
                <w:rFonts w:hint="eastAsia" w:ascii="宋体" w:hAnsi="宋体" w:cs="宋体"/>
                <w:color w:val="000000"/>
                <w:sz w:val="24"/>
              </w:rPr>
              <w:t>注：以上每条方案</w:t>
            </w:r>
          </w:p>
          <w:p>
            <w:pPr>
              <w:spacing w:line="560" w:lineRule="exact"/>
              <w:jc w:val="left"/>
              <w:rPr>
                <w:rFonts w:ascii="宋体" w:hAnsi="宋体" w:cs="宋体"/>
                <w:color w:val="000000"/>
                <w:sz w:val="24"/>
              </w:rPr>
            </w:pPr>
            <w:r>
              <w:rPr>
                <w:rFonts w:hint="eastAsia" w:ascii="宋体" w:hAnsi="宋体" w:cs="宋体"/>
                <w:color w:val="000000"/>
                <w:sz w:val="24"/>
              </w:rPr>
              <w:t>1、内容详实，方案科学、合理、考虑周全措施到位，针对性强，优于招标人要求的，得7分；</w:t>
            </w:r>
          </w:p>
          <w:p>
            <w:pPr>
              <w:spacing w:line="560" w:lineRule="exact"/>
              <w:jc w:val="left"/>
              <w:rPr>
                <w:rFonts w:ascii="宋体" w:hAnsi="宋体" w:cs="宋体"/>
                <w:color w:val="000000"/>
                <w:sz w:val="24"/>
              </w:rPr>
            </w:pPr>
            <w:r>
              <w:rPr>
                <w:rFonts w:hint="eastAsia" w:ascii="宋体" w:hAnsi="宋体" w:cs="宋体"/>
                <w:color w:val="000000"/>
                <w:sz w:val="24"/>
              </w:rPr>
              <w:t>2、内容详实，方案科学、合理、考虑周全措施到位，针对性强，满足招标人要求的，得5分；</w:t>
            </w:r>
          </w:p>
          <w:p>
            <w:pPr>
              <w:spacing w:line="560" w:lineRule="exact"/>
              <w:jc w:val="left"/>
              <w:rPr>
                <w:rFonts w:ascii="宋体" w:hAnsi="宋体" w:cs="宋体"/>
                <w:color w:val="000000"/>
                <w:sz w:val="24"/>
              </w:rPr>
            </w:pPr>
            <w:r>
              <w:rPr>
                <w:rFonts w:hint="eastAsia" w:ascii="宋体" w:hAnsi="宋体" w:cs="宋体"/>
                <w:color w:val="000000"/>
                <w:sz w:val="24"/>
              </w:rPr>
              <w:t>3、内容完整，方案基本科学、合理、基本考虑周全措施到位，针对性较强，可以满足招标要求的，但有个别细节需要进一步完善或者提高的，得3分；</w:t>
            </w:r>
          </w:p>
          <w:p>
            <w:pPr>
              <w:spacing w:line="560" w:lineRule="exact"/>
              <w:jc w:val="left"/>
              <w:rPr>
                <w:rFonts w:ascii="宋体" w:hAnsi="宋体" w:cs="宋体"/>
                <w:color w:val="000000"/>
                <w:sz w:val="24"/>
              </w:rPr>
            </w:pPr>
            <w:r>
              <w:rPr>
                <w:rFonts w:hint="eastAsia" w:ascii="宋体" w:hAnsi="宋体" w:cs="宋体"/>
                <w:color w:val="000000"/>
                <w:sz w:val="24"/>
              </w:rPr>
              <w:t>4、内容完整，方案在科学、合理方面一般，基本考虑不周，措施不够到位，针对性不强，虽然能够满足基本满足招标文件要求，但有很多方面需要进一步完善甚至重新考虑的，得1分。</w:t>
            </w:r>
          </w:p>
          <w:p>
            <w:pPr>
              <w:spacing w:line="560" w:lineRule="exact"/>
              <w:jc w:val="left"/>
              <w:rPr>
                <w:rFonts w:ascii="宋体" w:hAnsi="宋体" w:cs="宋体"/>
                <w:color w:val="000000"/>
                <w:sz w:val="24"/>
              </w:rPr>
            </w:pPr>
            <w:r>
              <w:rPr>
                <w:rFonts w:hint="eastAsia" w:ascii="宋体" w:hAnsi="宋体" w:cs="宋体"/>
                <w:color w:val="000000"/>
                <w:sz w:val="24"/>
              </w:rPr>
              <w:t>5、缺项不得分。</w:t>
            </w:r>
          </w:p>
        </w:tc>
      </w:tr>
    </w:tbl>
    <w:p>
      <w:pPr>
        <w:pStyle w:val="44"/>
        <w:ind w:firstLine="0" w:firstLineChars="0"/>
      </w:pPr>
    </w:p>
    <w:p>
      <w:pPr>
        <w:widowControl/>
        <w:spacing w:line="360" w:lineRule="auto"/>
        <w:ind w:firstLine="482" w:firstLineChars="200"/>
        <w:jc w:val="left"/>
        <w:rPr>
          <w:rFonts w:ascii="新宋体" w:hAnsi="新宋体" w:eastAsia="新宋体" w:cs="新宋体"/>
          <w:b/>
          <w:kern w:val="0"/>
          <w:sz w:val="24"/>
          <w:szCs w:val="21"/>
        </w:rPr>
      </w:pPr>
      <w:r>
        <w:rPr>
          <w:rFonts w:hint="eastAsia" w:ascii="新宋体" w:hAnsi="新宋体" w:eastAsia="新宋体" w:cs="新宋体"/>
          <w:b/>
          <w:kern w:val="0"/>
          <w:sz w:val="24"/>
          <w:szCs w:val="21"/>
        </w:rPr>
        <w:t>5.得分的计算</w:t>
      </w:r>
    </w:p>
    <w:p>
      <w:pPr>
        <w:widowControl/>
        <w:spacing w:line="480" w:lineRule="auto"/>
        <w:ind w:firstLine="480" w:firstLineChars="200"/>
        <w:jc w:val="left"/>
        <w:rPr>
          <w:rFonts w:ascii="新宋体" w:hAnsi="新宋体" w:eastAsia="新宋体" w:cs="新宋体"/>
          <w:bCs/>
          <w:kern w:val="0"/>
          <w:sz w:val="24"/>
          <w:szCs w:val="21"/>
        </w:rPr>
      </w:pPr>
      <w:r>
        <w:rPr>
          <w:rFonts w:hint="eastAsia" w:ascii="新宋体" w:hAnsi="新宋体" w:eastAsia="新宋体" w:cs="新宋体"/>
          <w:bCs/>
          <w:kern w:val="0"/>
          <w:sz w:val="24"/>
          <w:szCs w:val="21"/>
        </w:rPr>
        <w:t>评标委员会成员评分=价格分+商务分+技术分</w:t>
      </w:r>
    </w:p>
    <w:p>
      <w:pPr>
        <w:widowControl/>
        <w:spacing w:line="480" w:lineRule="auto"/>
        <w:ind w:firstLine="480" w:firstLineChars="200"/>
        <w:jc w:val="left"/>
        <w:rPr>
          <w:rFonts w:ascii="新宋体" w:hAnsi="新宋体" w:eastAsia="新宋体" w:cs="新宋体"/>
          <w:bCs/>
          <w:kern w:val="0"/>
          <w:sz w:val="24"/>
          <w:szCs w:val="21"/>
        </w:rPr>
      </w:pPr>
      <w:r>
        <w:rPr>
          <w:rFonts w:hint="eastAsia" w:ascii="新宋体" w:hAnsi="新宋体" w:eastAsia="新宋体" w:cs="新宋体"/>
          <w:bCs/>
          <w:kern w:val="0"/>
          <w:sz w:val="24"/>
          <w:szCs w:val="21"/>
        </w:rPr>
        <w:t>评标总得分=评标委员会所有成员合计总分/评标委员会组成人员数</w:t>
      </w:r>
    </w:p>
    <w:p>
      <w:pPr>
        <w:widowControl/>
        <w:wordWrap w:val="0"/>
        <w:spacing w:line="480" w:lineRule="auto"/>
        <w:jc w:val="left"/>
        <w:rPr>
          <w:rFonts w:ascii="新宋体" w:hAnsi="新宋体" w:eastAsia="新宋体" w:cs="新宋体"/>
          <w:bCs/>
          <w:kern w:val="0"/>
          <w:sz w:val="24"/>
          <w:szCs w:val="21"/>
        </w:rPr>
      </w:pPr>
      <w:r>
        <w:rPr>
          <w:rFonts w:hint="eastAsia" w:ascii="新宋体" w:hAnsi="新宋体" w:eastAsia="新宋体" w:cs="新宋体"/>
          <w:bCs/>
          <w:kern w:val="0"/>
          <w:sz w:val="24"/>
          <w:szCs w:val="21"/>
        </w:rPr>
        <w:t>特别说明：</w:t>
      </w:r>
    </w:p>
    <w:p>
      <w:pPr>
        <w:spacing w:before="299" w:line="480" w:lineRule="auto"/>
        <w:ind w:right="69" w:firstLine="414"/>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注:1）在投标文件内须提供以上评分项要求提供的各类证书或证</w:t>
      </w:r>
      <w:r>
        <w:rPr>
          <w:rFonts w:hint="eastAsia" w:asciiTheme="majorEastAsia" w:hAnsiTheme="majorEastAsia" w:eastAsiaTheme="majorEastAsia" w:cstheme="majorEastAsia"/>
          <w:spacing w:val="-1"/>
          <w:sz w:val="24"/>
        </w:rPr>
        <w:t>明等材料，并上传至驻</w:t>
      </w:r>
      <w:r>
        <w:rPr>
          <w:rFonts w:hint="eastAsia" w:asciiTheme="majorEastAsia" w:hAnsiTheme="majorEastAsia" w:eastAsiaTheme="majorEastAsia" w:cstheme="majorEastAsia"/>
          <w:sz w:val="24"/>
        </w:rPr>
        <w:t xml:space="preserve"> 马店市公共资源中心电子交易平台主体诚信库，同时在“资格审查及评审材料”菜单下按分</w:t>
      </w:r>
      <w:r>
        <w:rPr>
          <w:rFonts w:hint="eastAsia" w:asciiTheme="majorEastAsia" w:hAnsiTheme="majorEastAsia" w:eastAsiaTheme="majorEastAsia" w:cstheme="majorEastAsia"/>
          <w:spacing w:val="5"/>
          <w:sz w:val="24"/>
        </w:rPr>
        <w:t xml:space="preserve"> </w:t>
      </w:r>
      <w:r>
        <w:rPr>
          <w:rFonts w:hint="eastAsia" w:asciiTheme="majorEastAsia" w:hAnsiTheme="majorEastAsia" w:eastAsiaTheme="majorEastAsia" w:cstheme="majorEastAsia"/>
          <w:sz w:val="24"/>
        </w:rPr>
        <w:t>包挑选该包投标所用评审材料，以供评标过程中评标委员会查阅。评标时以电子投标文件及</w:t>
      </w:r>
      <w:r>
        <w:rPr>
          <w:rFonts w:hint="eastAsia" w:asciiTheme="majorEastAsia" w:hAnsiTheme="majorEastAsia" w:eastAsiaTheme="majorEastAsia" w:cstheme="majorEastAsia"/>
          <w:spacing w:val="5"/>
          <w:sz w:val="24"/>
        </w:rPr>
        <w:t xml:space="preserve"> </w:t>
      </w:r>
      <w:r>
        <w:rPr>
          <w:rFonts w:hint="eastAsia" w:asciiTheme="majorEastAsia" w:hAnsiTheme="majorEastAsia" w:eastAsiaTheme="majorEastAsia" w:cstheme="majorEastAsia"/>
          <w:spacing w:val="-1"/>
          <w:sz w:val="24"/>
        </w:rPr>
        <w:t>“资格审查及评审材料”菜单中选取的企业信息为准。</w:t>
      </w:r>
    </w:p>
    <w:p>
      <w:pPr>
        <w:pStyle w:val="63"/>
        <w:spacing w:line="480" w:lineRule="auto"/>
        <w:rPr>
          <w:rFonts w:asciiTheme="majorEastAsia" w:hAnsiTheme="majorEastAsia" w:eastAsiaTheme="majorEastAsia" w:cstheme="majorEastAsia"/>
          <w:bCs/>
          <w:kern w:val="0"/>
          <w:sz w:val="24"/>
          <w:szCs w:val="24"/>
        </w:rPr>
      </w:pPr>
      <w:r>
        <w:rPr>
          <w:rFonts w:hint="eastAsia" w:asciiTheme="majorEastAsia" w:hAnsiTheme="majorEastAsia" w:eastAsiaTheme="majorEastAsia" w:cstheme="majorEastAsia"/>
          <w:sz w:val="24"/>
          <w:szCs w:val="24"/>
        </w:rPr>
        <w:t>2）相关证件投标人提供的如有虚假，一经发现，取消其投</w:t>
      </w:r>
      <w:r>
        <w:rPr>
          <w:rFonts w:hint="eastAsia" w:asciiTheme="majorEastAsia" w:hAnsiTheme="majorEastAsia" w:eastAsiaTheme="majorEastAsia" w:cstheme="majorEastAsia"/>
          <w:spacing w:val="-1"/>
          <w:sz w:val="24"/>
          <w:szCs w:val="24"/>
        </w:rPr>
        <w:t>标资格，并上报财政部门，将</w:t>
      </w:r>
      <w:r>
        <w:rPr>
          <w:rFonts w:hint="eastAsia" w:asciiTheme="majorEastAsia" w:hAnsiTheme="majorEastAsia" w:eastAsiaTheme="majorEastAsia" w:cstheme="majorEastAsia"/>
          <w:sz w:val="24"/>
          <w:szCs w:val="24"/>
        </w:rPr>
        <w:t>被列入政府采购严重违法失信行为记录名单。中标后发现的</w:t>
      </w:r>
      <w:r>
        <w:rPr>
          <w:rFonts w:hint="eastAsia" w:asciiTheme="majorEastAsia" w:hAnsiTheme="majorEastAsia" w:eastAsiaTheme="majorEastAsia" w:cstheme="majorEastAsia"/>
          <w:spacing w:val="-1"/>
          <w:sz w:val="24"/>
          <w:szCs w:val="24"/>
        </w:rPr>
        <w:t>，其中标资格一并取消。</w:t>
      </w:r>
    </w:p>
    <w:p>
      <w:pPr>
        <w:pStyle w:val="63"/>
        <w:spacing w:line="480" w:lineRule="auto"/>
        <w:rPr>
          <w:rFonts w:asciiTheme="majorEastAsia" w:hAnsiTheme="majorEastAsia" w:eastAsiaTheme="majorEastAsia" w:cstheme="majorEastAsia"/>
          <w:bCs/>
          <w:kern w:val="0"/>
          <w:sz w:val="24"/>
          <w:szCs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63"/>
        <w:rPr>
          <w:rFonts w:ascii="新宋体" w:hAnsi="新宋体" w:eastAsia="新宋体" w:cs="新宋体"/>
          <w:bCs/>
          <w:kern w:val="0"/>
          <w:sz w:val="24"/>
        </w:rPr>
      </w:pPr>
    </w:p>
    <w:p>
      <w:pPr>
        <w:pStyle w:val="2"/>
      </w:pPr>
      <w:r>
        <w:rPr>
          <w:rFonts w:hint="eastAsia"/>
        </w:rPr>
        <w:t>第五章 政府采购合同（主要条款）</w:t>
      </w:r>
    </w:p>
    <w:p>
      <w:pPr>
        <w:widowControl/>
        <w:wordWrap w:val="0"/>
        <w:snapToGrid w:val="0"/>
        <w:spacing w:line="460" w:lineRule="exact"/>
        <w:ind w:firstLine="482" w:firstLineChars="200"/>
        <w:jc w:val="center"/>
        <w:rPr>
          <w:rFonts w:ascii="宋体" w:hAnsi="宋体" w:cs="宋体"/>
          <w:b/>
          <w:bCs/>
          <w:color w:val="000000" w:themeColor="text1"/>
          <w:kern w:val="0"/>
          <w:sz w:val="24"/>
        </w:rPr>
      </w:pPr>
      <w:r>
        <w:rPr>
          <w:rFonts w:hint="eastAsia" w:ascii="宋体" w:hAnsi="宋体" w:cs="宋体"/>
          <w:b/>
          <w:bCs/>
          <w:color w:val="000000" w:themeColor="text1"/>
          <w:kern w:val="0"/>
          <w:sz w:val="24"/>
        </w:rPr>
        <w:t>（</w:t>
      </w:r>
      <w:r>
        <w:rPr>
          <w:rFonts w:hint="eastAsia" w:ascii="宋体" w:hAnsi="宋体" w:cs="宋体"/>
          <w:color w:val="000000" w:themeColor="text1"/>
          <w:kern w:val="0"/>
          <w:sz w:val="24"/>
        </w:rPr>
        <w:t>采购人可根据采购项目的实际情况增减条款和内容</w:t>
      </w:r>
      <w:r>
        <w:rPr>
          <w:rFonts w:hint="eastAsia" w:ascii="宋体" w:hAnsi="宋体" w:cs="宋体"/>
          <w:b/>
          <w:bCs/>
          <w:color w:val="000000" w:themeColor="text1"/>
          <w:kern w:val="0"/>
          <w:sz w:val="24"/>
        </w:rPr>
        <w:t>）</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项目名称：</w:t>
      </w: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 </w:t>
      </w: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 </w:t>
      </w:r>
      <w:r>
        <w:rPr>
          <w:rFonts w:hint="eastAsia" w:ascii="宋体" w:hAnsi="宋体" w:cs="宋体"/>
          <w:color w:val="000000" w:themeColor="text1"/>
          <w:kern w:val="0"/>
          <w:sz w:val="24"/>
        </w:rPr>
        <w:t xml:space="preserve">    </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项目编号：</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甲方：（采购人）</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乙方：（中标供应商）</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甲、乙双方根据《中华人民共和国政府采购法》、《中华人民共和国民法典》等法律法规的规定，按照</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项目编号）的中标结果签订本合同。</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1.货物内容</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1.1 货物名称：</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 型号规格：</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1.3 技术参数：</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1.4 数量（单位）：</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2.合同金额</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本合同金额为人民币（大写）：_____</w:t>
      </w:r>
      <w:r>
        <w:rPr>
          <w:rFonts w:hint="eastAsia" w:ascii="宋体" w:hAnsi="宋体" w:cs="宋体"/>
          <w:color w:val="000000" w:themeColor="text1"/>
          <w:kern w:val="0"/>
          <w:sz w:val="24"/>
          <w:u w:val="single"/>
        </w:rPr>
        <w:t>___       _</w:t>
      </w:r>
      <w:r>
        <w:rPr>
          <w:rFonts w:hint="eastAsia" w:ascii="宋体" w:hAnsi="宋体" w:cs="宋体"/>
          <w:color w:val="000000" w:themeColor="text1"/>
          <w:kern w:val="0"/>
          <w:sz w:val="24"/>
        </w:rPr>
        <w:t>_______元（￥________元）。</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3.技术资料</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3.1乙方按招标文件规定的时间向甲方提供使用货物的有关技术资料。</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3.2 没有甲方事先书面同意，乙方不得将由甲方提供的有关合同或任何合同条文、规格、计划、图纸、样品或资料提供给与履行本合同无关的任何其他人。</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4.知识产权</w:t>
      </w:r>
    </w:p>
    <w:p>
      <w:pPr>
        <w:widowControl/>
        <w:wordWrap w:val="0"/>
        <w:snapToGrid w:val="0"/>
        <w:spacing w:line="460" w:lineRule="exact"/>
        <w:ind w:firstLine="480" w:firstLineChars="200"/>
        <w:jc w:val="left"/>
        <w:rPr>
          <w:rFonts w:ascii="宋体" w:hAnsi="宋体" w:cs="宋体"/>
          <w:bCs/>
          <w:color w:val="000000" w:themeColor="text1"/>
          <w:kern w:val="0"/>
          <w:sz w:val="24"/>
        </w:rPr>
      </w:pPr>
      <w:r>
        <w:rPr>
          <w:rFonts w:hint="eastAsia" w:ascii="宋体" w:hAnsi="宋体" w:cs="宋体"/>
          <w:color w:val="000000" w:themeColor="text1"/>
          <w:kern w:val="0"/>
          <w:sz w:val="24"/>
        </w:rPr>
        <w:t>乙方保证所提供的货物或其任何一部分均不会侵犯任何第三方的知识产权</w:t>
      </w:r>
      <w:r>
        <w:rPr>
          <w:rFonts w:hint="eastAsia" w:ascii="宋体" w:hAnsi="宋体" w:cs="宋体"/>
          <w:bCs/>
          <w:color w:val="000000" w:themeColor="text1"/>
          <w:kern w:val="0"/>
          <w:sz w:val="24"/>
        </w:rPr>
        <w:t>。</w:t>
      </w:r>
    </w:p>
    <w:p>
      <w:pPr>
        <w:widowControl/>
        <w:wordWrap w:val="0"/>
        <w:snapToGrid w:val="0"/>
        <w:spacing w:line="460" w:lineRule="exact"/>
        <w:ind w:firstLine="482" w:firstLineChars="200"/>
        <w:jc w:val="left"/>
        <w:rPr>
          <w:rFonts w:ascii="宋体" w:hAnsi="宋体" w:cs="宋体"/>
          <w:color w:val="000000" w:themeColor="text1"/>
          <w:kern w:val="0"/>
          <w:sz w:val="24"/>
          <w:u w:val="single"/>
        </w:rPr>
      </w:pPr>
      <w:r>
        <w:rPr>
          <w:rFonts w:hint="eastAsia" w:ascii="宋体" w:hAnsi="宋体" w:cs="宋体"/>
          <w:b/>
          <w:color w:val="000000" w:themeColor="text1"/>
          <w:kern w:val="0"/>
          <w:sz w:val="24"/>
        </w:rPr>
        <w:t>5.产权担保</w:t>
      </w:r>
    </w:p>
    <w:p>
      <w:pPr>
        <w:widowControl/>
        <w:wordWrap w:val="0"/>
        <w:snapToGrid w:val="0"/>
        <w:spacing w:line="460" w:lineRule="exact"/>
        <w:ind w:firstLine="480" w:firstLineChars="200"/>
        <w:jc w:val="left"/>
        <w:rPr>
          <w:rFonts w:ascii="宋体" w:hAnsi="宋体" w:cs="宋体"/>
          <w:color w:val="000000" w:themeColor="text1"/>
          <w:kern w:val="0"/>
          <w:sz w:val="24"/>
          <w:u w:val="single"/>
        </w:rPr>
      </w:pPr>
      <w:r>
        <w:rPr>
          <w:rFonts w:hint="eastAsia" w:ascii="宋体" w:hAnsi="宋体" w:cs="宋体"/>
          <w:color w:val="000000" w:themeColor="text1"/>
          <w:kern w:val="0"/>
          <w:sz w:val="24"/>
        </w:rPr>
        <w:t>乙方保证所交付的货物的所有权完全属于乙方且无任何抵押、查封等产权瑕疵。</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6.质量保证金</w:t>
      </w:r>
    </w:p>
    <w:p>
      <w:pPr>
        <w:widowControl/>
        <w:wordWrap w:val="0"/>
        <w:snapToGrid w:val="0"/>
        <w:spacing w:line="460" w:lineRule="exact"/>
        <w:ind w:firstLine="480" w:firstLineChars="200"/>
        <w:jc w:val="left"/>
        <w:rPr>
          <w:rFonts w:ascii="宋体" w:hAnsi="宋体" w:cs="宋体"/>
          <w:color w:val="000000" w:themeColor="text1"/>
          <w:kern w:val="0"/>
          <w:sz w:val="52"/>
          <w:szCs w:val="52"/>
        </w:rPr>
      </w:pPr>
      <w:r>
        <w:rPr>
          <w:rFonts w:hint="eastAsia" w:ascii="宋体" w:hAnsi="宋体" w:cs="宋体"/>
          <w:color w:val="000000" w:themeColor="text1"/>
          <w:kern w:val="0"/>
          <w:sz w:val="24"/>
        </w:rPr>
        <w:t>6.1扣除合同总价的</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%作为质量保证金（质保金一般为中标合同总价的5%左右；投标报价明显低于有效投标平均价[一般为85%以下]的，可以适当提高质保金，但最高不得超过合同总价的15%）。</w:t>
      </w:r>
    </w:p>
    <w:p>
      <w:pPr>
        <w:widowControl/>
        <w:wordWrap w:val="0"/>
        <w:snapToGrid w:val="0"/>
        <w:spacing w:line="460" w:lineRule="exact"/>
        <w:ind w:firstLine="480" w:firstLineChars="200"/>
        <w:jc w:val="left"/>
        <w:rPr>
          <w:rFonts w:ascii="宋体" w:hAnsi="宋体" w:cs="宋体"/>
          <w:b/>
          <w:color w:val="000000" w:themeColor="text1"/>
          <w:kern w:val="0"/>
          <w:sz w:val="24"/>
        </w:rPr>
      </w:pPr>
      <w:r>
        <w:rPr>
          <w:rFonts w:hint="eastAsia" w:ascii="宋体" w:hAnsi="宋体" w:cs="宋体"/>
          <w:color w:val="000000" w:themeColor="text1"/>
          <w:kern w:val="0"/>
          <w:sz w:val="24"/>
        </w:rPr>
        <w:t>6.2在质保期内中标供应商提供的货物质量和服务符合合同约定，经验收合格，质保期满后10个工作日内该款无息退还。</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7.转包或分包</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7.1本合同范围的货物，由乙方直接供应，不得转让他人供应。</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7.2 除非得到甲方的书面同意，乙方不得部分分包给他人供应。</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7.3如有转让和未经甲方同意的分包行为，甲方有权给予终止合同。</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8.交货期、交货方式及交货地点</w:t>
      </w:r>
    </w:p>
    <w:p>
      <w:pPr>
        <w:widowControl/>
        <w:wordWrap w:val="0"/>
        <w:snapToGrid w:val="0"/>
        <w:spacing w:line="460" w:lineRule="exact"/>
        <w:ind w:firstLine="480" w:firstLineChars="200"/>
        <w:jc w:val="left"/>
        <w:rPr>
          <w:rFonts w:ascii="宋体" w:hAnsi="宋体" w:cs="宋体"/>
          <w:bCs/>
          <w:color w:val="000000" w:themeColor="text1"/>
          <w:kern w:val="0"/>
          <w:sz w:val="24"/>
        </w:rPr>
      </w:pPr>
      <w:r>
        <w:rPr>
          <w:rFonts w:hint="eastAsia" w:ascii="宋体" w:hAnsi="宋体" w:cs="宋体"/>
          <w:bCs/>
          <w:color w:val="000000" w:themeColor="text1"/>
          <w:kern w:val="0"/>
          <w:sz w:val="24"/>
        </w:rPr>
        <w:t>8.1 交货期：</w:t>
      </w:r>
    </w:p>
    <w:p>
      <w:pPr>
        <w:widowControl/>
        <w:wordWrap w:val="0"/>
        <w:snapToGrid w:val="0"/>
        <w:spacing w:line="460" w:lineRule="exact"/>
        <w:ind w:firstLine="480" w:firstLineChars="200"/>
        <w:jc w:val="left"/>
        <w:rPr>
          <w:rFonts w:ascii="宋体" w:hAnsi="宋体" w:cs="宋体"/>
          <w:bCs/>
          <w:color w:val="000000" w:themeColor="text1"/>
          <w:kern w:val="0"/>
          <w:sz w:val="24"/>
        </w:rPr>
      </w:pPr>
      <w:r>
        <w:rPr>
          <w:rFonts w:hint="eastAsia" w:ascii="宋体" w:hAnsi="宋体" w:cs="宋体"/>
          <w:bCs/>
          <w:color w:val="000000" w:themeColor="text1"/>
          <w:kern w:val="0"/>
          <w:sz w:val="24"/>
        </w:rPr>
        <w:t>8.2 交货方式：</w:t>
      </w:r>
    </w:p>
    <w:p>
      <w:pPr>
        <w:widowControl/>
        <w:wordWrap w:val="0"/>
        <w:snapToGrid w:val="0"/>
        <w:spacing w:line="460" w:lineRule="exact"/>
        <w:ind w:firstLine="480" w:firstLineChars="200"/>
        <w:jc w:val="left"/>
        <w:rPr>
          <w:rFonts w:ascii="宋体" w:hAnsi="宋体" w:cs="宋体"/>
          <w:b/>
          <w:color w:val="000000" w:themeColor="text1"/>
          <w:kern w:val="0"/>
          <w:sz w:val="24"/>
        </w:rPr>
      </w:pPr>
      <w:r>
        <w:rPr>
          <w:rFonts w:hint="eastAsia" w:ascii="宋体" w:hAnsi="宋体" w:cs="宋体"/>
          <w:bCs/>
          <w:color w:val="000000" w:themeColor="text1"/>
          <w:kern w:val="0"/>
          <w:sz w:val="24"/>
        </w:rPr>
        <w:t>8.3 交货地点：</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9.货款支付</w:t>
      </w:r>
    </w:p>
    <w:p>
      <w:pPr>
        <w:widowControl/>
        <w:wordWrap w:val="0"/>
        <w:snapToGrid w:val="0"/>
        <w:spacing w:line="460" w:lineRule="exact"/>
        <w:ind w:firstLine="480" w:firstLineChars="200"/>
        <w:jc w:val="left"/>
        <w:rPr>
          <w:rFonts w:ascii="宋体" w:hAnsi="宋体" w:cs="宋体"/>
          <w:bCs/>
          <w:color w:val="000000" w:themeColor="text1"/>
          <w:kern w:val="0"/>
          <w:sz w:val="24"/>
        </w:rPr>
      </w:pPr>
      <w:r>
        <w:rPr>
          <w:rFonts w:hint="eastAsia" w:ascii="宋体" w:hAnsi="宋体" w:cs="宋体"/>
          <w:bCs/>
          <w:color w:val="000000" w:themeColor="text1"/>
          <w:kern w:val="0"/>
          <w:sz w:val="24"/>
        </w:rPr>
        <w:t>付款方式：</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10.税费</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本合同执行中相关的一切税费均由乙方负担。</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11.货物包装、发运及运输</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11.1 乙方在货物发运前对其进行满足运输距离、防潮、防震、防锈和防破损装卸等要求包装，以保证货物安全运达甲方指定地点。</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11.2 使用说明书、质量检验证明书、随配附件和工具以及清单一并附于货物内。</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11.3 乙方在货物发运手续办理完毕后24小时内或货到甲方48小时前通知甲方，以准备接货。</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11.4 货物在交付甲方前发生的风险均由乙方负责。</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11.5 货物在规定的交付期限内由乙方送达甲方指定的地点视为交付，乙方同时需通知甲方货物已送达。</w:t>
      </w:r>
    </w:p>
    <w:p>
      <w:pPr>
        <w:widowControl/>
        <w:wordWrap w:val="0"/>
        <w:snapToGrid w:val="0"/>
        <w:spacing w:line="460" w:lineRule="exact"/>
        <w:ind w:firstLine="482" w:firstLineChars="200"/>
        <w:jc w:val="left"/>
        <w:rPr>
          <w:rFonts w:ascii="宋体" w:hAnsi="宋体" w:cs="宋体"/>
          <w:color w:val="000000" w:themeColor="text1"/>
          <w:kern w:val="0"/>
          <w:sz w:val="24"/>
        </w:rPr>
      </w:pPr>
      <w:r>
        <w:rPr>
          <w:rFonts w:hint="eastAsia" w:ascii="宋体" w:hAnsi="宋体" w:cs="宋体"/>
          <w:b/>
          <w:color w:val="000000" w:themeColor="text1"/>
          <w:kern w:val="0"/>
          <w:sz w:val="24"/>
        </w:rPr>
        <w:t>12.质量保证及售后服务</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12.1 乙方提供的货物是全新、未使用过的，并完全符合强制性的国家技术质量规范和招标文件规定的质量、规格、性能和技术规范等的要求。</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12.2 乙方提供的货物经正确安装、正常运转和保养，在其使用寿命期内须具有符合质量要求和产品说明书的性能。在货物质量保证期之内，乙方须对由于设计、工艺或材料的缺陷而发生的任何不足或故障负责。</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12.3根据甲方按检验标准自己检验结果或委托有资质的相关质检机构的检验结果，发现货物的数量、质量、规格与合同或样品及样品小样不符；或者在质量保证期内，证实货物存在缺陷，包括潜在的缺陷或使用不符合要求的材料等，甲方应尽快以书面形式通知乙方。乙方在收到通知后</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日内应免费维修或更换有缺陷的货物或部件。如果乙方在收到通知后</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日内没有弥补缺陷，甲方可采取必要的补救措施，但由此引发的风险和费用将由乙方承担。</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12.4合同项下货物的质量保证期为自货物通过最终验收起</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个月，在质保期内，因人为因素出现故障外，乙方对货物出现的质量及安全问题负责处理解决并承担一切费用。</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12.5合同项下货物免费保修期为质量保证期满后</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个月，因人为因素出现的故障不在免费保修范围内。对超过保修期的货物终生维修，维修时只收部件成本费。</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12.6在使用过程中发生故障，乙方在接到甲方通知后在</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小时内到达甲方现场，</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小时内解除故障。</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13.调试和验收</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13.1乙方交货前对产品作出全面检查和对验收文件进行整理，并列出清单，作为甲方收货验收和使用的技术条件依据，检验的结果应随货物交甲方。</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13.2货物运抵现场后，甲方依据招标文件上的技术规格要求和国家有关质量标准在3个工作日内组织初步验收，并制作验收备忘录，签署验收意见。初步验收不合格的不予签收。</w:t>
      </w:r>
    </w:p>
    <w:p>
      <w:pPr>
        <w:widowControl/>
        <w:wordWrap w:val="0"/>
        <w:snapToGrid w:val="0"/>
        <w:spacing w:line="460" w:lineRule="exact"/>
        <w:ind w:firstLine="480" w:firstLineChars="200"/>
        <w:jc w:val="left"/>
        <w:rPr>
          <w:rFonts w:ascii="宋体" w:hAnsi="宋体" w:cs="宋体"/>
          <w:color w:val="000000" w:themeColor="text1"/>
          <w:kern w:val="0"/>
          <w:sz w:val="24"/>
          <w:u w:val="single"/>
        </w:rPr>
      </w:pPr>
      <w:r>
        <w:rPr>
          <w:rFonts w:hint="eastAsia" w:ascii="宋体" w:hAnsi="宋体" w:cs="宋体"/>
          <w:color w:val="000000" w:themeColor="text1"/>
          <w:kern w:val="0"/>
          <w:sz w:val="24"/>
        </w:rPr>
        <w:t>13.3 甲方对乙方提供的货物在使用前进行调试时，乙方负责安装并培训甲方的使用操作人员，并协助甲方一起调试，直到符合技术要求，甲方才做最终验收并签署验收意见。</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13.4 对大型或技术复杂的货物，甲方应邀请国家认可的专业检测机构参与初步验收及最终验收，并由其出具质量检测报告。</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13.5 验收时乙方必须在现场，验收完毕后作出验收结果报告。验收费用由乙方负责。</w:t>
      </w:r>
    </w:p>
    <w:p>
      <w:pPr>
        <w:widowControl/>
        <w:wordWrap w:val="0"/>
        <w:spacing w:line="460" w:lineRule="exact"/>
        <w:ind w:firstLine="479" w:firstLineChars="199"/>
        <w:jc w:val="left"/>
        <w:rPr>
          <w:rFonts w:ascii="宋体" w:hAnsi="宋体" w:cs="宋体"/>
          <w:b/>
          <w:color w:val="000000" w:themeColor="text1"/>
          <w:kern w:val="0"/>
          <w:sz w:val="24"/>
        </w:rPr>
      </w:pPr>
      <w:r>
        <w:rPr>
          <w:rFonts w:hint="eastAsia" w:ascii="宋体" w:hAnsi="宋体" w:cs="宋体"/>
          <w:b/>
          <w:color w:val="000000" w:themeColor="text1"/>
          <w:kern w:val="0"/>
          <w:sz w:val="24"/>
        </w:rPr>
        <w:t>14.索赔</w:t>
      </w:r>
    </w:p>
    <w:p>
      <w:pPr>
        <w:widowControl/>
        <w:wordWrap w:val="0"/>
        <w:spacing w:line="460" w:lineRule="exact"/>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14.1 如果货物的质量、规格、数量、重量等与合同或样品及样品小样不符，或在质量保证期内证实货物存有缺陷，包括潜在的缺陷或使用不符合要求的材料等，甲方有权根据有资质的权威质检机构的检验结果向乙方提出索赔(但责任应由保险公司或运输部门承担的除外)。</w:t>
      </w:r>
    </w:p>
    <w:p>
      <w:pPr>
        <w:widowControl/>
        <w:wordWrap w:val="0"/>
        <w:spacing w:line="460" w:lineRule="exact"/>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14.2 在根据合同第12条和第13条规定的检验期和质量保证期内，如果乙方对甲方提出的索赔负有责任，乙方应按照甲方同意的下列一种或多种方式解决索赔事宜：</w:t>
      </w:r>
    </w:p>
    <w:p>
      <w:pPr>
        <w:widowControl/>
        <w:wordWrap w:val="0"/>
        <w:spacing w:line="460" w:lineRule="exact"/>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14.2.1 在法定的退货期内，甲方将货物款退还给乙方，乙方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widowControl/>
        <w:wordWrap w:val="0"/>
        <w:spacing w:line="460" w:lineRule="exact"/>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14.2.2 根据货物低劣程度、损坏程度以及甲方所遭受损失的数额，经双方商定降低货物的价格，或由有权的部门评估，以降低后的价格或评估价格为准。</w:t>
      </w:r>
    </w:p>
    <w:p>
      <w:pPr>
        <w:widowControl/>
        <w:wordWrap w:val="0"/>
        <w:spacing w:line="460" w:lineRule="exact"/>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14.2.3 用符合规格、质量和性能要求的新零件、部件或货物来更换有缺陷的部分或/和修补缺陷部分，乙方承担一切费用和风险并负担甲方所发生的一切直接费用。同时，乙方方应按合同第12条规定，相应延长修补或更换件的质量保证期。</w:t>
      </w:r>
    </w:p>
    <w:p>
      <w:pPr>
        <w:widowControl/>
        <w:wordWrap w:val="0"/>
        <w:spacing w:line="460" w:lineRule="exact"/>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14.2.4 如果在甲方发出索赔通知后</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日内，乙方未作答复，上述索赔应视为已被乙方接受。如乙方未能在甲方提出索赔通知后</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日内或买方同意的更长时间内，按照本合同第14.2条规定的任何一种方法解决索赔事宜，甲方将从合同款中扣回索赔金额。如果这些金额不足以补偿索赔金额，甲方有权向乙方提出不足部分的补偿。</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15.违约责任</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15.1 甲方无正当理由拒收货物的，甲方向乙方偿付拒收货款总值的百分之五违约金。</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15.2 甲方无故逾期验收和办理货款支付手续的,甲方按逾期付款总额每日万分之五向乙方支付违约金。</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15.3 乙方逾期交付货物的，乙方按逾期交货总额每日万分之五向甲方支付违约金。逾期超过约定日期10个工作日不能交货的，甲方有权选择同意延长交货期或解除本合同。甲方同意延长交货期的，延期交货的时间由双方别行确定。乙方仍按上述规定向甲方支付延期交货违约金。违约金由甲方从待付货款中扣除。乙方因逾期交货或因其他违约行为导致甲方解除合同的，乙方向甲方支付合同总值5%的违约金，如造成甲方损失超过违约金的，超出部分由乙方继续承担赔偿责任。</w:t>
      </w:r>
    </w:p>
    <w:p>
      <w:pPr>
        <w:widowControl/>
        <w:wordWrap w:val="0"/>
        <w:snapToGrid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16.不可抗力事件处理</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16.2 本合同中的不可抗力指不能预见、不能避免并不能克服的客观情况。包括但不限于：自然灾害如地震、台风、洪水、火灾；政府行为、法律规定或其适用的变化或者其他任何无法预见、避免或者控制的事件。</w:t>
      </w:r>
    </w:p>
    <w:p>
      <w:pPr>
        <w:widowControl/>
        <w:wordWrap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17.合同纠纷处理</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因本合同或与本合同有关的一切事项发生争议，由双方友好协商解决。协商不成的，任何一方均可选择以下方式解决：</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17.1 向甲方所在地仲裁委员会申请仲裁。</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17.2 向合同签订地人民法院提起诉讼。</w:t>
      </w:r>
    </w:p>
    <w:p>
      <w:pPr>
        <w:widowControl/>
        <w:wordWrap w:val="0"/>
        <w:spacing w:line="360" w:lineRule="auto"/>
        <w:ind w:firstLine="479" w:firstLineChars="199"/>
        <w:jc w:val="left"/>
        <w:rPr>
          <w:rFonts w:ascii="宋体" w:hAnsi="宋体" w:cs="宋体"/>
          <w:b/>
          <w:color w:val="000000" w:themeColor="text1"/>
          <w:kern w:val="0"/>
          <w:sz w:val="24"/>
        </w:rPr>
      </w:pPr>
      <w:r>
        <w:rPr>
          <w:rFonts w:hint="eastAsia" w:ascii="宋体" w:hAnsi="宋体" w:cs="宋体"/>
          <w:b/>
          <w:color w:val="000000" w:themeColor="text1"/>
          <w:kern w:val="0"/>
          <w:sz w:val="24"/>
        </w:rPr>
        <w:t>18.违约解除合同</w:t>
      </w:r>
    </w:p>
    <w:p>
      <w:pPr>
        <w:widowControl/>
        <w:wordWrap w:val="0"/>
        <w:spacing w:line="360" w:lineRule="auto"/>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18.1在乙方违约的情况下，甲方可向乙方发出书面通知，部分或全部终止合同，同时保留向对方追诉的权利。</w:t>
      </w:r>
    </w:p>
    <w:p>
      <w:pPr>
        <w:widowControl/>
        <w:wordWrap w:val="0"/>
        <w:spacing w:line="360" w:lineRule="auto"/>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18.1.1 乙方未能在合同规定的限期或甲方同意延长的限期内提供全部或部分货物，按合同第15.3的规定可以解除合同的。</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18.1.2 乙方有转让和未经甲方同意的分包行为，按合同第7.3的规定可以解除合同的。</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18.1.3 乙方未能履行合同规定的其它主要义务的。</w:t>
      </w:r>
    </w:p>
    <w:p>
      <w:pPr>
        <w:widowControl/>
        <w:wordWrap w:val="0"/>
        <w:spacing w:line="360" w:lineRule="auto"/>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18.1.4 在本合同履行过程中有腐败和欺诈行为的。</w:t>
      </w:r>
    </w:p>
    <w:p>
      <w:pPr>
        <w:widowControl/>
        <w:wordWrap w:val="0"/>
        <w:spacing w:line="360" w:lineRule="auto"/>
        <w:ind w:firstLine="360" w:firstLineChars="1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18.2 在甲方根据上述第18.1条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pPr>
        <w:widowControl/>
        <w:wordWrap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19.其他约定</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19.1 本采购项目的招标文件、中标供应商的投标文件以及相关的澄清确认函（如果有的话）均为本合同不可分割的一部分，与本合同具有同等法律效力。</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19.2 本合同未尽事宜，双方另行补充。</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19.3本合同正本一式</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份，具有同等法律效力，甲、乙双方各执一份。自采购合同签订之日起7个工作日内，甲方按照有关规定将合同副本报同级财政部门备案。</w:t>
      </w:r>
    </w:p>
    <w:p>
      <w:pPr>
        <w:widowControl/>
        <w:wordWrap w:val="0"/>
        <w:spacing w:line="460" w:lineRule="exact"/>
        <w:ind w:firstLine="480" w:firstLineChars="200"/>
        <w:jc w:val="left"/>
        <w:rPr>
          <w:rFonts w:ascii="宋体" w:hAnsi="宋体" w:cs="宋体"/>
          <w:b/>
          <w:color w:val="000000" w:themeColor="text1"/>
          <w:kern w:val="0"/>
          <w:sz w:val="24"/>
        </w:rPr>
      </w:pPr>
      <w:r>
        <w:rPr>
          <w:rFonts w:hint="eastAsia" w:ascii="宋体" w:hAnsi="宋体" w:cs="宋体"/>
          <w:color w:val="000000" w:themeColor="text1"/>
          <w:kern w:val="0"/>
          <w:sz w:val="24"/>
        </w:rPr>
        <w:t>19.4 签定地点：</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甲    方：                            乙    方：</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单位地址：                            单位地址：</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法定代表人：                          法定代表人：</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委托代理人：                          委托代理人：</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开户行:</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账号:</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电    话：                            电    话：</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napToGrid w:val="0"/>
        <w:spacing w:line="460" w:lineRule="exact"/>
        <w:ind w:firstLine="480" w:firstLineChars="200"/>
        <w:jc w:val="left"/>
        <w:rPr>
          <w:rFonts w:ascii="宋体" w:hAnsi="宋体" w:cs="宋体"/>
          <w:color w:val="000000" w:themeColor="text1"/>
          <w:kern w:val="0"/>
          <w:sz w:val="52"/>
          <w:szCs w:val="52"/>
        </w:rPr>
      </w:pPr>
      <w:r>
        <w:rPr>
          <w:rFonts w:hint="eastAsia" w:ascii="宋体" w:hAnsi="宋体" w:cs="宋体"/>
          <w:color w:val="000000" w:themeColor="text1"/>
          <w:kern w:val="0"/>
          <w:sz w:val="24"/>
        </w:rPr>
        <w:t xml:space="preserve"> </w:t>
      </w:r>
    </w:p>
    <w:p>
      <w:pPr>
        <w:widowControl/>
        <w:wordWrap w:val="0"/>
        <w:snapToGrid w:val="0"/>
        <w:spacing w:line="460" w:lineRule="exact"/>
        <w:ind w:firstLine="480" w:firstLineChars="200"/>
        <w:jc w:val="left"/>
        <w:rPr>
          <w:rFonts w:ascii="宋体" w:hAnsi="宋体" w:cs="宋体"/>
          <w:color w:val="000000" w:themeColor="text1"/>
          <w:kern w:val="0"/>
          <w:sz w:val="24"/>
        </w:rPr>
      </w:pPr>
    </w:p>
    <w:p>
      <w:pPr>
        <w:widowControl/>
        <w:wordWrap w:val="0"/>
        <w:snapToGrid w:val="0"/>
        <w:spacing w:line="460" w:lineRule="exact"/>
        <w:ind w:firstLine="4320" w:firstLineChars="1800"/>
        <w:jc w:val="left"/>
        <w:rPr>
          <w:rFonts w:ascii="宋体" w:hAnsi="宋体" w:cs="宋体"/>
          <w:color w:val="000000" w:themeColor="text1"/>
          <w:kern w:val="0"/>
          <w:sz w:val="24"/>
        </w:rPr>
      </w:pPr>
      <w:r>
        <w:rPr>
          <w:rFonts w:hint="eastAsia" w:ascii="宋体" w:hAnsi="宋体" w:cs="宋体"/>
          <w:color w:val="000000" w:themeColor="text1"/>
          <w:kern w:val="0"/>
          <w:sz w:val="24"/>
        </w:rPr>
        <w:t>签订日期：</w:t>
      </w:r>
      <w:r>
        <w:rPr>
          <w:rFonts w:hint="eastAsia" w:ascii="宋体" w:hAnsi="宋体" w:cs="宋体"/>
          <w:bCs/>
          <w:color w:val="000000" w:themeColor="text1"/>
          <w:kern w:val="0"/>
          <w:sz w:val="24"/>
        </w:rPr>
        <w:t xml:space="preserve"> </w:t>
      </w:r>
      <w:r>
        <w:rPr>
          <w:rFonts w:hint="eastAsia" w:ascii="宋体" w:hAnsi="宋体" w:cs="宋体"/>
          <w:color w:val="000000" w:themeColor="text1"/>
          <w:kern w:val="0"/>
          <w:sz w:val="24"/>
        </w:rPr>
        <w:t>年  月  日</w:t>
      </w: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2"/>
      </w:pPr>
      <w:r>
        <w:rPr>
          <w:rFonts w:hint="eastAsia"/>
        </w:rPr>
        <w:t>第六章  附件--投标文件格式</w:t>
      </w:r>
    </w:p>
    <w:p>
      <w:pPr>
        <w:widowControl/>
        <w:wordWrap w:val="0"/>
        <w:snapToGrid w:val="0"/>
        <w:spacing w:line="460" w:lineRule="exact"/>
        <w:ind w:firstLine="2072" w:firstLineChars="645"/>
        <w:jc w:val="left"/>
        <w:rPr>
          <w:rFonts w:ascii="宋体" w:hAnsi="宋体" w:cs="宋体"/>
          <w:b/>
          <w:bCs/>
          <w:color w:val="000000" w:themeColor="text1"/>
          <w:kern w:val="0"/>
          <w:sz w:val="32"/>
          <w:szCs w:val="32"/>
        </w:rPr>
      </w:pPr>
    </w:p>
    <w:tbl>
      <w:tblPr>
        <w:tblStyle w:val="46"/>
        <w:tblpPr w:leftFromText="180" w:rightFromText="180" w:topFromText="100" w:bottomFromText="100" w:vertAnchor="text" w:horzAnchor="margin" w:tblpY="12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trPr>
        <w:tc>
          <w:tcPr>
            <w:tcW w:w="9620" w:type="dxa"/>
            <w:tcBorders>
              <w:top w:val="single" w:color="auto" w:sz="4" w:space="0"/>
              <w:left w:val="single" w:color="auto" w:sz="4" w:space="0"/>
              <w:bottom w:val="single" w:color="auto" w:sz="4" w:space="0"/>
              <w:right w:val="single" w:color="auto" w:sz="4" w:space="0"/>
            </w:tcBorders>
          </w:tcPr>
          <w:p>
            <w:pPr>
              <w:widowControl/>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注释： </w:t>
            </w:r>
          </w:p>
          <w:p>
            <w:pPr>
              <w:widowControl/>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《投标文件格式》是供应商的部分投标文件格式和签订合同时所需文件的格式。供应商应按照这些格式文件制作投标文件。</w:t>
            </w:r>
          </w:p>
          <w:p>
            <w:pPr>
              <w:widowControl/>
              <w:spacing w:line="195" w:lineRule="atLeas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tc>
      </w:tr>
    </w:tbl>
    <w:p>
      <w:pPr>
        <w:widowControl/>
        <w:wordWrap w:val="0"/>
        <w:spacing w:line="460" w:lineRule="exact"/>
        <w:jc w:val="left"/>
        <w:rPr>
          <w:rFonts w:ascii="宋体" w:hAnsi="宋体" w:cs="宋体"/>
          <w:color w:val="000000" w:themeColor="text1"/>
          <w:kern w:val="0"/>
          <w:sz w:val="52"/>
          <w:szCs w:val="52"/>
        </w:rPr>
      </w:pPr>
    </w:p>
    <w:p>
      <w:pPr>
        <w:widowControl/>
        <w:wordWrap w:val="0"/>
        <w:snapToGrid w:val="0"/>
        <w:spacing w:line="460" w:lineRule="exact"/>
        <w:ind w:firstLine="643" w:firstLineChars="200"/>
        <w:jc w:val="center"/>
        <w:rPr>
          <w:rFonts w:ascii="宋体" w:hAnsi="宋体" w:cs="宋体"/>
          <w:b/>
          <w:bCs/>
          <w:color w:val="000000" w:themeColor="text1"/>
          <w:kern w:val="0"/>
          <w:sz w:val="32"/>
          <w:szCs w:val="32"/>
        </w:rPr>
      </w:pPr>
      <w:r>
        <w:rPr>
          <w:rFonts w:hint="eastAsia" w:ascii="宋体" w:hAnsi="宋体" w:cs="宋体"/>
          <w:b/>
          <w:bCs/>
          <w:color w:val="000000" w:themeColor="text1"/>
          <w:kern w:val="0"/>
          <w:sz w:val="32"/>
          <w:szCs w:val="32"/>
        </w:rPr>
        <w:t>目    录</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60" w:lineRule="exact"/>
        <w:ind w:firstLine="480" w:firstLineChars="200"/>
        <w:jc w:val="left"/>
        <w:rPr>
          <w:rFonts w:ascii="宋体" w:hAnsi="宋体" w:cs="宋体"/>
          <w:bCs/>
          <w:color w:val="000000" w:themeColor="text1"/>
          <w:kern w:val="0"/>
          <w:sz w:val="24"/>
        </w:rPr>
      </w:pPr>
      <w:r>
        <w:rPr>
          <w:rFonts w:hint="eastAsia" w:ascii="宋体" w:hAnsi="宋体" w:cs="宋体"/>
          <w:color w:val="000000" w:themeColor="text1"/>
          <w:kern w:val="0"/>
          <w:sz w:val="24"/>
        </w:rPr>
        <w:t xml:space="preserve">附件1 </w:t>
      </w:r>
      <w:r>
        <w:rPr>
          <w:rFonts w:hint="eastAsia" w:ascii="宋体" w:hAnsi="宋体" w:cs="宋体"/>
          <w:bCs/>
          <w:color w:val="000000" w:themeColor="text1"/>
          <w:kern w:val="0"/>
          <w:sz w:val="24"/>
        </w:rPr>
        <w:t>投标文件封面</w:t>
      </w:r>
      <w:r>
        <w:rPr>
          <w:rFonts w:hint="eastAsia" w:ascii="宋体" w:hAnsi="宋体" w:cs="宋体"/>
          <w:color w:val="000000" w:themeColor="text1"/>
          <w:kern w:val="0"/>
          <w:sz w:val="24"/>
        </w:rPr>
        <w:t>（格式）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附件2 投标书（格式）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附件3 开标一览表（格式）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附件4 投标报价明细表（格式）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附件5 供货范围清单</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附件6 技术响应表（格式）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附件7 商务响应表（格式）</w:t>
      </w:r>
    </w:p>
    <w:p>
      <w:pPr>
        <w:widowControl/>
        <w:wordWrap w:val="0"/>
        <w:spacing w:line="460" w:lineRule="exact"/>
        <w:ind w:left="482"/>
        <w:jc w:val="left"/>
        <w:rPr>
          <w:rFonts w:ascii="宋体" w:hAnsi="宋体" w:cs="宋体"/>
          <w:color w:val="000000" w:themeColor="text1"/>
          <w:kern w:val="0"/>
          <w:sz w:val="24"/>
        </w:rPr>
      </w:pPr>
      <w:r>
        <w:rPr>
          <w:rFonts w:hint="eastAsia" w:ascii="宋体" w:hAnsi="宋体" w:cs="宋体"/>
          <w:color w:val="000000" w:themeColor="text1"/>
          <w:kern w:val="0"/>
          <w:sz w:val="24"/>
          <w:szCs w:val="20"/>
        </w:rPr>
        <w:t xml:space="preserve">附件8 </w:t>
      </w:r>
      <w:r>
        <w:rPr>
          <w:rFonts w:hint="eastAsia" w:ascii="宋体" w:hAnsi="宋体" w:cs="宋体"/>
          <w:color w:val="000000" w:themeColor="text1"/>
          <w:kern w:val="0"/>
          <w:sz w:val="24"/>
        </w:rPr>
        <w:t>法定代表人身份证明（格式）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附件9 法定代表人授权书（格式）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附件10 证明文件</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附件11 抵制商业贿赂承诺（格式）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附件12 驻马店市政府采购合同融资金融机构联系方式</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附件13 驻马店市政府采购供应商信用承诺函</w:t>
      </w:r>
    </w:p>
    <w:p>
      <w:pPr>
        <w:widowControl/>
        <w:wordWrap w:val="0"/>
        <w:spacing w:line="460" w:lineRule="exact"/>
        <w:ind w:firstLine="480" w:firstLineChars="200"/>
        <w:jc w:val="left"/>
        <w:rPr>
          <w:rFonts w:ascii="宋体" w:hAnsi="宋体" w:cs="宋体"/>
          <w:color w:val="000000" w:themeColor="text1"/>
          <w:kern w:val="0"/>
          <w:sz w:val="24"/>
        </w:rPr>
      </w:pPr>
    </w:p>
    <w:p>
      <w:pPr>
        <w:pStyle w:val="68"/>
        <w:ind w:left="0" w:firstLine="0"/>
        <w:rPr>
          <w:rFonts w:hAnsi="宋体" w:cs="宋体"/>
          <w:color w:val="000000" w:themeColor="text1"/>
        </w:rPr>
      </w:pPr>
    </w:p>
    <w:p>
      <w:pPr>
        <w:pStyle w:val="68"/>
        <w:rPr>
          <w:rFonts w:hAnsi="宋体" w:cs="宋体"/>
          <w:color w:val="000000" w:themeColor="text1"/>
        </w:rPr>
      </w:pPr>
    </w:p>
    <w:p>
      <w:pPr>
        <w:widowControl/>
        <w:jc w:val="left"/>
        <w:rPr>
          <w:rFonts w:ascii="宋体" w:hAnsi="宋体" w:cs="宋体"/>
          <w:b/>
          <w:bCs/>
          <w:color w:val="000000" w:themeColor="text1"/>
          <w:kern w:val="0"/>
          <w:sz w:val="24"/>
        </w:rPr>
      </w:pPr>
      <w:r>
        <w:rPr>
          <w:rFonts w:hint="eastAsia" w:ascii="宋体" w:hAnsi="宋体" w:cs="宋体"/>
          <w:b/>
          <w:bCs/>
          <w:color w:val="000000" w:themeColor="text1"/>
          <w:kern w:val="0"/>
          <w:sz w:val="24"/>
        </w:rPr>
        <w:br w:type="page"/>
      </w:r>
    </w:p>
    <w:p>
      <w:pPr>
        <w:widowControl/>
        <w:wordWrap w:val="0"/>
        <w:snapToGrid w:val="0"/>
        <w:spacing w:line="460" w:lineRule="exact"/>
        <w:jc w:val="left"/>
        <w:outlineLvl w:val="1"/>
        <w:rPr>
          <w:rFonts w:ascii="宋体" w:hAnsi="宋体" w:cs="宋体"/>
          <w:b/>
          <w:color w:val="000000" w:themeColor="text1"/>
          <w:kern w:val="0"/>
          <w:sz w:val="24"/>
        </w:rPr>
      </w:pPr>
      <w:r>
        <w:rPr>
          <w:rFonts w:hint="eastAsia" w:ascii="宋体" w:hAnsi="宋体" w:cs="宋体"/>
          <w:b/>
          <w:bCs/>
          <w:color w:val="000000" w:themeColor="text1"/>
          <w:kern w:val="0"/>
          <w:sz w:val="24"/>
        </w:rPr>
        <w:t xml:space="preserve">附件1                    </w:t>
      </w:r>
      <w:r>
        <w:rPr>
          <w:rFonts w:hint="eastAsia" w:ascii="宋体" w:hAnsi="宋体" w:cs="宋体"/>
          <w:b/>
          <w:color w:val="000000" w:themeColor="text1"/>
          <w:kern w:val="0"/>
          <w:sz w:val="24"/>
        </w:rPr>
        <w:t xml:space="preserve">  投标文件封面（格式）</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政府采购项目</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投  标  文  件</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center"/>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1190" w:firstLineChars="494"/>
        <w:jc w:val="left"/>
        <w:rPr>
          <w:rFonts w:ascii="宋体" w:hAnsi="宋体" w:cs="宋体"/>
          <w:b/>
          <w:color w:val="000000" w:themeColor="text1"/>
          <w:kern w:val="0"/>
          <w:sz w:val="24"/>
        </w:rPr>
      </w:pPr>
      <w:r>
        <w:rPr>
          <w:rFonts w:hint="eastAsia" w:ascii="宋体" w:hAnsi="宋体" w:cs="宋体"/>
          <w:b/>
          <w:color w:val="000000" w:themeColor="text1"/>
          <w:kern w:val="0"/>
          <w:sz w:val="24"/>
        </w:rPr>
        <w:t>标   包  号：</w:t>
      </w:r>
      <w:r>
        <w:rPr>
          <w:rFonts w:hint="eastAsia" w:ascii="宋体" w:hAnsi="宋体" w:cs="宋体"/>
          <w:b/>
          <w:color w:val="000000" w:themeColor="text1"/>
          <w:kern w:val="0"/>
          <w:sz w:val="24"/>
          <w:u w:val="single"/>
        </w:rPr>
        <w:t xml:space="preserve">                </w:t>
      </w:r>
      <w:r>
        <w:rPr>
          <w:rFonts w:hint="eastAsia" w:ascii="宋体" w:hAnsi="宋体" w:cs="宋体"/>
          <w:b/>
          <w:color w:val="000000" w:themeColor="text1"/>
          <w:kern w:val="0"/>
          <w:sz w:val="24"/>
        </w:rPr>
        <w:t xml:space="preserve"> </w:t>
      </w:r>
    </w:p>
    <w:p>
      <w:pPr>
        <w:widowControl/>
        <w:wordWrap w:val="0"/>
        <w:spacing w:line="460" w:lineRule="exact"/>
        <w:ind w:firstLine="1190" w:firstLineChars="494"/>
        <w:jc w:val="left"/>
        <w:rPr>
          <w:rFonts w:ascii="宋体" w:hAnsi="宋体" w:cs="宋体"/>
          <w:b/>
          <w:color w:val="000000" w:themeColor="text1"/>
          <w:kern w:val="0"/>
          <w:sz w:val="24"/>
        </w:rPr>
      </w:pPr>
      <w:r>
        <w:rPr>
          <w:rFonts w:hint="eastAsia" w:ascii="宋体" w:hAnsi="宋体" w:cs="宋体"/>
          <w:b/>
          <w:color w:val="000000" w:themeColor="text1"/>
          <w:kern w:val="0"/>
          <w:sz w:val="24"/>
        </w:rPr>
        <w:t>项 目 名 称：</w:t>
      </w:r>
      <w:r>
        <w:rPr>
          <w:rFonts w:hint="eastAsia" w:ascii="宋体" w:hAnsi="宋体" w:cs="宋体"/>
          <w:b/>
          <w:color w:val="000000" w:themeColor="text1"/>
          <w:kern w:val="0"/>
          <w:sz w:val="24"/>
          <w:u w:val="single"/>
        </w:rPr>
        <w:t xml:space="preserve">               </w:t>
      </w:r>
    </w:p>
    <w:p>
      <w:pPr>
        <w:widowControl/>
        <w:wordWrap w:val="0"/>
        <w:spacing w:line="460" w:lineRule="exact"/>
        <w:ind w:firstLine="1190" w:firstLineChars="494"/>
        <w:jc w:val="left"/>
        <w:rPr>
          <w:rFonts w:ascii="宋体" w:hAnsi="宋体" w:cs="宋体"/>
          <w:b/>
          <w:color w:val="000000" w:themeColor="text1"/>
          <w:kern w:val="0"/>
          <w:sz w:val="24"/>
          <w:u w:val="single"/>
        </w:rPr>
      </w:pPr>
      <w:r>
        <w:rPr>
          <w:rFonts w:hint="eastAsia" w:ascii="宋体" w:hAnsi="宋体" w:cs="宋体"/>
          <w:b/>
          <w:color w:val="000000" w:themeColor="text1"/>
          <w:kern w:val="0"/>
          <w:sz w:val="24"/>
        </w:rPr>
        <w:t>项 目 编 号：</w:t>
      </w:r>
      <w:r>
        <w:rPr>
          <w:rFonts w:hint="eastAsia" w:ascii="宋体" w:hAnsi="宋体" w:cs="宋体"/>
          <w:b/>
          <w:color w:val="000000" w:themeColor="text1"/>
          <w:kern w:val="0"/>
          <w:sz w:val="24"/>
          <w:u w:val="single"/>
        </w:rPr>
        <w:t xml:space="preserve">               </w:t>
      </w:r>
    </w:p>
    <w:p>
      <w:pPr>
        <w:widowControl/>
        <w:wordWrap w:val="0"/>
        <w:spacing w:line="460" w:lineRule="exact"/>
        <w:ind w:firstLine="482" w:firstLineChars="200"/>
        <w:jc w:val="left"/>
        <w:rPr>
          <w:rFonts w:ascii="宋体" w:hAnsi="宋体" w:cs="宋体"/>
          <w:b/>
          <w:color w:val="000000" w:themeColor="text1"/>
          <w:kern w:val="0"/>
          <w:sz w:val="24"/>
        </w:rPr>
      </w:pPr>
    </w:p>
    <w:p>
      <w:pPr>
        <w:widowControl/>
        <w:wordWrap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left"/>
        <w:rPr>
          <w:rFonts w:ascii="宋体" w:hAnsi="宋体" w:cs="宋体"/>
          <w:color w:val="000000" w:themeColor="text1"/>
          <w:kern w:val="0"/>
          <w:sz w:val="24"/>
        </w:rPr>
      </w:pPr>
      <w:r>
        <w:rPr>
          <w:rFonts w:hint="eastAsia" w:ascii="宋体" w:hAnsi="宋体" w:cs="宋体"/>
          <w:b/>
          <w:color w:val="000000" w:themeColor="text1"/>
          <w:kern w:val="0"/>
          <w:sz w:val="24"/>
        </w:rPr>
        <w:t xml:space="preserve">       供应商名称 ：</w:t>
      </w:r>
      <w:r>
        <w:rPr>
          <w:rFonts w:hint="eastAsia" w:ascii="宋体" w:hAnsi="宋体" w:cs="宋体"/>
          <w:b/>
          <w:color w:val="000000" w:themeColor="text1"/>
          <w:kern w:val="0"/>
          <w:sz w:val="24"/>
          <w:u w:val="single"/>
        </w:rPr>
        <w:t xml:space="preserve">               </w:t>
      </w:r>
      <w:r>
        <w:rPr>
          <w:rFonts w:hint="eastAsia" w:ascii="宋体" w:hAnsi="宋体" w:cs="宋体"/>
          <w:color w:val="000000" w:themeColor="text1"/>
          <w:kern w:val="0"/>
          <w:sz w:val="24"/>
        </w:rPr>
        <w:t>（全称并加盖公章）</w:t>
      </w:r>
    </w:p>
    <w:p>
      <w:pPr>
        <w:widowControl/>
        <w:wordWrap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       日      期 ：</w:t>
      </w:r>
      <w:r>
        <w:rPr>
          <w:rFonts w:hint="eastAsia" w:ascii="宋体" w:hAnsi="宋体" w:cs="宋体"/>
          <w:b/>
          <w:color w:val="000000" w:themeColor="text1"/>
          <w:kern w:val="0"/>
          <w:sz w:val="24"/>
          <w:u w:val="single"/>
        </w:rPr>
        <w:t xml:space="preserve">               </w:t>
      </w:r>
    </w:p>
    <w:p>
      <w:pPr>
        <w:widowControl/>
        <w:wordWrap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pStyle w:val="68"/>
        <w:rPr>
          <w:rFonts w:hAnsi="宋体" w:cs="宋体"/>
          <w:color w:val="000000" w:themeColor="text1"/>
        </w:rPr>
      </w:pPr>
    </w:p>
    <w:p>
      <w:pPr>
        <w:pStyle w:val="68"/>
        <w:rPr>
          <w:rFonts w:hAnsi="宋体" w:cs="宋体"/>
          <w:color w:val="000000" w:themeColor="text1"/>
        </w:rPr>
      </w:pPr>
    </w:p>
    <w:p>
      <w:pPr>
        <w:pStyle w:val="68"/>
        <w:rPr>
          <w:rFonts w:hAnsi="宋体" w:cs="宋体"/>
          <w:color w:val="000000" w:themeColor="text1"/>
        </w:rPr>
      </w:pPr>
    </w:p>
    <w:p>
      <w:pPr>
        <w:pStyle w:val="68"/>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widowControl/>
        <w:jc w:val="left"/>
        <w:rPr>
          <w:rFonts w:ascii="宋体" w:hAnsi="宋体" w:cs="宋体"/>
          <w:b/>
          <w:color w:val="000000" w:themeColor="text1"/>
          <w:kern w:val="0"/>
          <w:sz w:val="24"/>
        </w:rPr>
      </w:pPr>
      <w:r>
        <w:rPr>
          <w:rFonts w:hint="eastAsia" w:ascii="宋体" w:hAnsi="宋体" w:cs="宋体"/>
          <w:b/>
          <w:color w:val="000000" w:themeColor="text1"/>
          <w:kern w:val="0"/>
          <w:sz w:val="24"/>
        </w:rPr>
        <w:br w:type="page"/>
      </w:r>
    </w:p>
    <w:p>
      <w:pPr>
        <w:widowControl/>
        <w:wordWrap w:val="0"/>
        <w:spacing w:line="460" w:lineRule="exact"/>
        <w:jc w:val="left"/>
        <w:rPr>
          <w:rFonts w:ascii="宋体" w:hAnsi="宋体" w:cs="宋体"/>
          <w:b/>
          <w:color w:val="000000" w:themeColor="text1"/>
          <w:kern w:val="0"/>
          <w:sz w:val="24"/>
        </w:rPr>
      </w:pPr>
      <w:r>
        <w:rPr>
          <w:rFonts w:hint="eastAsia" w:ascii="宋体" w:hAnsi="宋体" w:cs="宋体"/>
          <w:b/>
          <w:color w:val="000000" w:themeColor="text1"/>
          <w:kern w:val="0"/>
          <w:sz w:val="24"/>
        </w:rPr>
        <w:t>附件2</w:t>
      </w:r>
    </w:p>
    <w:p>
      <w:pPr>
        <w:widowControl/>
        <w:wordWrap w:val="0"/>
        <w:spacing w:line="460" w:lineRule="exact"/>
        <w:ind w:firstLine="708" w:firstLineChars="294"/>
        <w:jc w:val="left"/>
        <w:rPr>
          <w:rFonts w:ascii="宋体" w:hAnsi="宋体" w:cs="宋体"/>
          <w:color w:val="000000" w:themeColor="text1"/>
          <w:kern w:val="0"/>
          <w:sz w:val="24"/>
        </w:rPr>
      </w:pPr>
      <w:r>
        <w:rPr>
          <w:rFonts w:hint="eastAsia" w:ascii="宋体" w:hAnsi="宋体" w:cs="宋体"/>
          <w:b/>
          <w:color w:val="000000" w:themeColor="text1"/>
          <w:kern w:val="0"/>
          <w:sz w:val="24"/>
        </w:rPr>
        <w:t xml:space="preserve">                     投  标  书</w:t>
      </w:r>
      <w:r>
        <w:rPr>
          <w:rFonts w:hint="eastAsia" w:ascii="宋体" w:hAnsi="宋体" w:cs="宋体"/>
          <w:color w:val="000000" w:themeColor="text1"/>
          <w:kern w:val="0"/>
          <w:sz w:val="24"/>
        </w:rPr>
        <w:t>（格式）</w:t>
      </w:r>
    </w:p>
    <w:p>
      <w:pPr>
        <w:widowControl/>
        <w:wordWrap w:val="0"/>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napToGrid w:val="0"/>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24"/>
        </w:rPr>
        <w:t>致：______（代理机构名称）：</w:t>
      </w:r>
    </w:p>
    <w:p>
      <w:pPr>
        <w:widowControl/>
        <w:wordWrap w:val="0"/>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24"/>
        </w:rPr>
        <w:t>______</w:t>
      </w:r>
      <w:r>
        <w:rPr>
          <w:rFonts w:hint="eastAsia" w:ascii="宋体" w:hAnsi="宋体" w:cs="宋体"/>
          <w:color w:val="000000" w:themeColor="text1"/>
          <w:kern w:val="0"/>
          <w:sz w:val="24"/>
          <w:u w:val="single"/>
        </w:rPr>
        <w:t xml:space="preserve">_           </w:t>
      </w:r>
      <w:r>
        <w:rPr>
          <w:rFonts w:hint="eastAsia" w:ascii="宋体" w:hAnsi="宋体" w:cs="宋体"/>
          <w:color w:val="000000" w:themeColor="text1"/>
          <w:kern w:val="0"/>
          <w:sz w:val="24"/>
        </w:rPr>
        <w:t xml:space="preserve">（供应商名称）现委托 </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（姓名）为我方代理人，参加贵方组织的</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项目，标包号： （项目编号：</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）的投标。现正式提交下述文件1份：</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1、开标一览表。</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2、投标报价明细表。</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3、供货范围清单。</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4、技术响应表。</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5、商务响应表。</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6、证明文件。</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7、抵制商业贿赂承诺。</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为便于贵方公正、择优地确定中标供应商及其投标产品和服务我方就本次投标有关事项郑重声明并宣布同意如下：</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我方承诺已经具备招标文件中规定的参加政府采购活动的供应商应当具备的条件。我方愿意向贵方提供任何与本招标项目投标有关的数据、情况和技术资料，并根据需要提供一切承诺的证明材料，并保证其真实、合法、有效。</w:t>
      </w:r>
    </w:p>
    <w:p>
      <w:pPr>
        <w:widowControl/>
        <w:snapToGrid w:val="0"/>
        <w:spacing w:line="360" w:lineRule="auto"/>
        <w:ind w:firstLine="480" w:firstLineChars="200"/>
        <w:jc w:val="left"/>
        <w:rPr>
          <w:rFonts w:ascii="宋体" w:hAnsi="宋体" w:cs="宋体"/>
          <w:color w:val="000000" w:themeColor="text1"/>
          <w:kern w:val="0"/>
          <w:sz w:val="52"/>
          <w:szCs w:val="52"/>
        </w:rPr>
      </w:pPr>
      <w:r>
        <w:rPr>
          <w:rFonts w:hint="eastAsia" w:ascii="宋体" w:hAnsi="宋体" w:cs="宋体"/>
          <w:color w:val="000000" w:themeColor="text1"/>
          <w:kern w:val="0"/>
          <w:sz w:val="24"/>
        </w:rPr>
        <w:t>2、我方承诺在投标活动中提供的各种材料真实有效。</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3、我方同意在投标文件有效期内遵守本投标文件中的承诺且在此期限期满之前均具有约束力。如果我方中标，投标文件有效期与合同履行期相同。</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4、我方已详细审查全部招标文件，包括修改文件（如有的话）和有关附件，将自行承担因对全部招标文件理解不正确或误解而产生的相应后果。</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5、我方保证尊重评标委员会的评标结果，完全理解本招标项目最低投标价不作为中标的保证。</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6、我方理解并遵守招标文件的全部规定，接受招标文件中政府采购合同的全部条款且无任何异议。</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7、如果我方代表</w:t>
      </w:r>
      <w:r>
        <w:rPr>
          <w:rFonts w:hint="eastAsia" w:ascii="宋体" w:hAnsi="宋体" w:cs="宋体"/>
          <w:bCs/>
          <w:color w:val="000000" w:themeColor="text1"/>
          <w:kern w:val="0"/>
          <w:sz w:val="24"/>
        </w:rPr>
        <w:t>未按时参加开标的，视同放弃开标监督权利，认可开标结果。</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8、如果我方存在供应商须知第9.3项所述情况，同意被认定为在经营活动中有重大违法记录。</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9、如果发生供应商须知第26.4.1、26.4.3项所述情况，同意我方投标被作为无效投标处理。</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10、如果发生供应商须知第26.5项所述情况，同意评标委员会认定我方的行为属于串通投标的行为，并自愿接受监管部门的处罚。</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11、如果现场变更采购方式，我方同意在不改变采购需求、资质条件等情况下，按变更后的采购方式的规定程序进行采购。</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12、如果被确定为中标人，我方同意按招标文件的规定领取中标通知书。否则，视为我方中标后自动放弃中标资格，承担由此引起的一切后果。</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13、如果被确定为中标人，我方同意在领取中标通知书之日起</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日内，按照招标文件的规定与采购人签订采购合同。否则，视为我方中标后无正当理由不与采购人签订合同并承担相应法律责任。</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14、我方最近3年内的被公开披露或查处的违法违规行为有：</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w:t>
      </w:r>
    </w:p>
    <w:p>
      <w:pPr>
        <w:widowControl/>
        <w:tabs>
          <w:tab w:val="left" w:pos="939"/>
        </w:tabs>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15、以上事项如有虚假或隐瞒，我方愿意承担一切后果和责任。</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16、与本投标有关的一切正式往来通讯请寄（地址电话必须为最新并可以联系到）：</w:t>
      </w:r>
    </w:p>
    <w:p>
      <w:pPr>
        <w:widowControl/>
        <w:spacing w:line="360" w:lineRule="auto"/>
        <w:ind w:firstLine="480" w:firstLineChars="20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   地址： </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邮编： </w:t>
      </w:r>
      <w:r>
        <w:rPr>
          <w:rFonts w:hint="eastAsia" w:ascii="宋体" w:hAnsi="宋体" w:cs="宋体"/>
          <w:color w:val="000000" w:themeColor="text1"/>
          <w:kern w:val="0"/>
          <w:sz w:val="24"/>
          <w:u w:val="single"/>
        </w:rPr>
        <w:t xml:space="preserve">                 </w:t>
      </w:r>
    </w:p>
    <w:p>
      <w:pPr>
        <w:widowControl/>
        <w:spacing w:line="360" w:lineRule="auto"/>
        <w:ind w:firstLine="480" w:firstLineChars="20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   电话： </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传真： </w:t>
      </w:r>
      <w:r>
        <w:rPr>
          <w:rFonts w:hint="eastAsia" w:ascii="宋体" w:hAnsi="宋体" w:cs="宋体"/>
          <w:color w:val="000000" w:themeColor="text1"/>
          <w:kern w:val="0"/>
          <w:sz w:val="24"/>
          <w:u w:val="single"/>
        </w:rPr>
        <w:t xml:space="preserve">                 </w:t>
      </w:r>
    </w:p>
    <w:p>
      <w:pPr>
        <w:widowControl/>
        <w:spacing w:line="360" w:lineRule="auto"/>
        <w:ind w:firstLine="840" w:firstLineChars="35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供应商代表签字： </w:t>
      </w:r>
      <w:r>
        <w:rPr>
          <w:rFonts w:hint="eastAsia" w:ascii="宋体" w:hAnsi="宋体" w:cs="宋体"/>
          <w:color w:val="000000" w:themeColor="text1"/>
          <w:kern w:val="0"/>
          <w:sz w:val="24"/>
          <w:u w:val="single"/>
        </w:rPr>
        <w:t xml:space="preserve">                </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供应商：</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（全称并加盖公章）</w:t>
      </w:r>
    </w:p>
    <w:p>
      <w:pPr>
        <w:widowControl/>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napToGrid w:val="0"/>
        <w:spacing w:line="460" w:lineRule="exact"/>
        <w:ind w:firstLine="4920" w:firstLineChars="20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年    月   日               </w:t>
      </w:r>
    </w:p>
    <w:p>
      <w:pPr>
        <w:widowControl/>
        <w:wordWrap w:val="0"/>
        <w:snapToGrid w:val="0"/>
        <w:spacing w:line="460" w:lineRule="exact"/>
        <w:ind w:firstLine="4920" w:firstLineChars="2050"/>
        <w:jc w:val="left"/>
        <w:rPr>
          <w:rFonts w:ascii="宋体" w:hAnsi="宋体" w:cs="宋体"/>
          <w:color w:val="000000" w:themeColor="text1"/>
          <w:kern w:val="0"/>
          <w:sz w:val="24"/>
        </w:rPr>
      </w:pPr>
    </w:p>
    <w:p>
      <w:pPr>
        <w:widowControl/>
        <w:wordWrap w:val="0"/>
        <w:snapToGrid w:val="0"/>
        <w:spacing w:line="460" w:lineRule="exact"/>
        <w:ind w:firstLine="4920" w:firstLineChars="2050"/>
        <w:jc w:val="left"/>
        <w:rPr>
          <w:rFonts w:ascii="宋体" w:hAnsi="宋体" w:cs="宋体"/>
          <w:color w:val="000000" w:themeColor="text1"/>
          <w:kern w:val="0"/>
          <w:sz w:val="24"/>
        </w:rPr>
      </w:pPr>
    </w:p>
    <w:p>
      <w:pPr>
        <w:widowControl/>
        <w:wordWrap w:val="0"/>
        <w:snapToGrid w:val="0"/>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pStyle w:val="68"/>
        <w:ind w:left="0" w:firstLine="0"/>
        <w:rPr>
          <w:rFonts w:hAnsi="宋体" w:cs="宋体"/>
          <w:color w:val="000000" w:themeColor="text1"/>
        </w:rPr>
      </w:pPr>
    </w:p>
    <w:p>
      <w:pPr>
        <w:widowControl/>
        <w:jc w:val="left"/>
        <w:rPr>
          <w:rFonts w:ascii="宋体" w:hAnsi="宋体" w:cs="宋体"/>
          <w:b/>
          <w:color w:val="000000" w:themeColor="text1"/>
          <w:kern w:val="0"/>
          <w:sz w:val="24"/>
        </w:rPr>
      </w:pPr>
      <w:r>
        <w:rPr>
          <w:rFonts w:hint="eastAsia" w:ascii="宋体" w:hAnsi="宋体" w:cs="宋体"/>
          <w:b/>
          <w:color w:val="000000" w:themeColor="text1"/>
          <w:kern w:val="0"/>
          <w:sz w:val="24"/>
        </w:rPr>
        <w:br w:type="page"/>
      </w:r>
    </w:p>
    <w:p>
      <w:pPr>
        <w:widowControl/>
        <w:wordWrap w:val="0"/>
        <w:snapToGrid w:val="0"/>
        <w:spacing w:before="50" w:after="50" w:line="480" w:lineRule="auto"/>
        <w:jc w:val="left"/>
        <w:rPr>
          <w:rFonts w:ascii="宋体" w:hAnsi="宋体" w:cs="宋体"/>
          <w:color w:val="000000" w:themeColor="text1"/>
          <w:kern w:val="0"/>
          <w:sz w:val="24"/>
        </w:rPr>
      </w:pPr>
      <w:r>
        <w:rPr>
          <w:rFonts w:hint="eastAsia" w:ascii="宋体" w:hAnsi="宋体" w:cs="宋体"/>
          <w:b/>
          <w:color w:val="000000" w:themeColor="text1"/>
          <w:kern w:val="0"/>
          <w:sz w:val="24"/>
        </w:rPr>
        <w:t>附件3                    开标一览表</w:t>
      </w:r>
      <w:r>
        <w:rPr>
          <w:rFonts w:hint="eastAsia" w:ascii="宋体" w:hAnsi="宋体" w:cs="宋体"/>
          <w:color w:val="000000" w:themeColor="text1"/>
          <w:kern w:val="0"/>
          <w:sz w:val="24"/>
        </w:rPr>
        <w:t>（格式）</w:t>
      </w:r>
    </w:p>
    <w:p>
      <w:pPr>
        <w:widowControl/>
        <w:wordWrap w:val="0"/>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24"/>
        </w:rPr>
        <w:t>项目编号：</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标包号：               </w:t>
      </w:r>
    </w:p>
    <w:p>
      <w:pPr>
        <w:widowControl/>
        <w:wordWrap w:val="0"/>
        <w:snapToGrid w:val="0"/>
        <w:spacing w:before="50" w:after="50" w:line="360" w:lineRule="auto"/>
        <w:jc w:val="left"/>
        <w:rPr>
          <w:rFonts w:ascii="宋体" w:hAnsi="宋体" w:cs="宋体"/>
          <w:color w:val="000000" w:themeColor="text1"/>
          <w:kern w:val="0"/>
          <w:sz w:val="24"/>
        </w:rPr>
      </w:pPr>
    </w:p>
    <w:p>
      <w:pPr>
        <w:widowControl/>
        <w:wordWrap w:val="0"/>
        <w:snapToGrid w:val="0"/>
        <w:spacing w:before="50" w:after="50" w:line="360" w:lineRule="auto"/>
        <w:ind w:firstLine="6960" w:firstLineChars="2900"/>
        <w:jc w:val="left"/>
        <w:rPr>
          <w:rFonts w:ascii="宋体" w:hAnsi="宋体" w:cs="宋体"/>
          <w:color w:val="000000" w:themeColor="text1"/>
          <w:kern w:val="0"/>
          <w:sz w:val="24"/>
          <w:szCs w:val="20"/>
        </w:rPr>
      </w:pPr>
      <w:r>
        <w:rPr>
          <w:rFonts w:hint="eastAsia" w:ascii="宋体" w:hAnsi="宋体" w:cs="宋体"/>
          <w:color w:val="000000" w:themeColor="text1"/>
          <w:kern w:val="0"/>
          <w:sz w:val="24"/>
        </w:rPr>
        <w:t>货币单位：元</w:t>
      </w:r>
    </w:p>
    <w:tbl>
      <w:tblPr>
        <w:tblStyle w:val="4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2"/>
        <w:gridCol w:w="693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2122"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jc w:val="center"/>
              <w:rPr>
                <w:rFonts w:ascii="宋体" w:hAnsi="宋体" w:cs="宋体"/>
                <w:color w:val="000000" w:themeColor="text1"/>
                <w:kern w:val="0"/>
                <w:sz w:val="24"/>
              </w:rPr>
            </w:pPr>
            <w:r>
              <w:rPr>
                <w:rFonts w:hint="eastAsia" w:ascii="宋体" w:hAnsi="宋体" w:cs="宋体"/>
                <w:color w:val="000000" w:themeColor="text1"/>
                <w:kern w:val="0"/>
                <w:sz w:val="24"/>
              </w:rPr>
              <w:t>项目名称</w:t>
            </w:r>
          </w:p>
        </w:tc>
        <w:tc>
          <w:tcPr>
            <w:tcW w:w="6935"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rPr>
                <w:rFonts w:ascii="宋体" w:hAnsi="宋体" w:cs="宋体"/>
                <w:color w:val="000000" w:themeColor="text1"/>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2122"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jc w:val="center"/>
              <w:rPr>
                <w:rFonts w:ascii="宋体" w:hAnsi="宋体" w:cs="宋体"/>
                <w:color w:val="000000" w:themeColor="text1"/>
                <w:kern w:val="0"/>
                <w:sz w:val="24"/>
              </w:rPr>
            </w:pPr>
            <w:r>
              <w:rPr>
                <w:rFonts w:hint="eastAsia" w:ascii="宋体" w:hAnsi="宋体" w:cs="宋体"/>
                <w:color w:val="000000" w:themeColor="text1"/>
                <w:kern w:val="0"/>
                <w:sz w:val="24"/>
              </w:rPr>
              <w:t>供应商</w:t>
            </w:r>
          </w:p>
        </w:tc>
        <w:tc>
          <w:tcPr>
            <w:tcW w:w="6935"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rPr>
                <w:rFonts w:ascii="宋体" w:hAnsi="宋体" w:cs="宋体"/>
                <w:color w:val="000000" w:themeColor="text1"/>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2122"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jc w:val="center"/>
              <w:rPr>
                <w:rFonts w:ascii="宋体" w:hAnsi="宋体" w:cs="宋体"/>
                <w:color w:val="000000" w:themeColor="text1"/>
                <w:kern w:val="0"/>
                <w:sz w:val="24"/>
              </w:rPr>
            </w:pPr>
            <w:r>
              <w:rPr>
                <w:rFonts w:hint="eastAsia" w:ascii="宋体" w:hAnsi="宋体" w:cs="宋体"/>
                <w:color w:val="000000" w:themeColor="text1"/>
                <w:kern w:val="0"/>
                <w:sz w:val="24"/>
              </w:rPr>
              <w:t>投标报价</w:t>
            </w:r>
          </w:p>
        </w:tc>
        <w:tc>
          <w:tcPr>
            <w:tcW w:w="6935"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rPr>
                <w:rFonts w:ascii="宋体" w:hAnsi="宋体" w:cs="宋体"/>
                <w:color w:val="000000" w:themeColor="text1"/>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2122"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jc w:val="center"/>
              <w:rPr>
                <w:rFonts w:ascii="宋体" w:hAnsi="宋体" w:cs="宋体"/>
                <w:color w:val="000000" w:themeColor="text1"/>
                <w:kern w:val="0"/>
                <w:sz w:val="24"/>
              </w:rPr>
            </w:pPr>
            <w:r>
              <w:rPr>
                <w:rFonts w:hint="eastAsia" w:ascii="宋体" w:hAnsi="宋体" w:cs="宋体"/>
                <w:color w:val="000000" w:themeColor="text1"/>
                <w:kern w:val="0"/>
                <w:sz w:val="24"/>
              </w:rPr>
              <w:t>交货时间</w:t>
            </w:r>
          </w:p>
        </w:tc>
        <w:tc>
          <w:tcPr>
            <w:tcW w:w="6935"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rPr>
                <w:rFonts w:ascii="宋体" w:hAnsi="宋体" w:cs="宋体"/>
                <w:color w:val="000000" w:themeColor="text1"/>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2122"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jc w:val="center"/>
              <w:rPr>
                <w:rFonts w:ascii="宋体" w:hAnsi="宋体" w:cs="宋体"/>
                <w:color w:val="000000" w:themeColor="text1"/>
                <w:kern w:val="0"/>
                <w:sz w:val="24"/>
              </w:rPr>
            </w:pPr>
            <w:r>
              <w:rPr>
                <w:rFonts w:hint="eastAsia" w:ascii="宋体" w:hAnsi="宋体" w:cs="宋体"/>
                <w:color w:val="000000" w:themeColor="text1"/>
                <w:kern w:val="0"/>
                <w:sz w:val="24"/>
              </w:rPr>
              <w:t>投标有效期</w:t>
            </w:r>
          </w:p>
        </w:tc>
        <w:tc>
          <w:tcPr>
            <w:tcW w:w="6935"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rPr>
                <w:rFonts w:ascii="宋体" w:hAnsi="宋体" w:cs="宋体"/>
                <w:color w:val="000000" w:themeColor="text1"/>
                <w:kern w:val="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2122"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ind w:firstLine="720" w:firstLineChars="300"/>
              <w:rPr>
                <w:rFonts w:ascii="宋体" w:hAnsi="宋体" w:cs="宋体"/>
                <w:color w:val="000000" w:themeColor="text1"/>
                <w:kern w:val="0"/>
                <w:sz w:val="24"/>
              </w:rPr>
            </w:pPr>
            <w:r>
              <w:rPr>
                <w:rFonts w:hint="eastAsia" w:ascii="宋体" w:hAnsi="宋体" w:cs="宋体"/>
                <w:color w:val="000000" w:themeColor="text1"/>
                <w:kern w:val="0"/>
                <w:sz w:val="24"/>
              </w:rPr>
              <w:t>备注</w:t>
            </w:r>
          </w:p>
        </w:tc>
        <w:tc>
          <w:tcPr>
            <w:tcW w:w="6935" w:type="dxa"/>
            <w:tcBorders>
              <w:top w:val="single" w:color="auto" w:sz="4" w:space="0"/>
              <w:left w:val="single" w:color="auto" w:sz="4" w:space="0"/>
              <w:bottom w:val="single" w:color="auto" w:sz="4" w:space="0"/>
              <w:right w:val="single" w:color="auto" w:sz="4" w:space="0"/>
            </w:tcBorders>
            <w:vAlign w:val="center"/>
          </w:tcPr>
          <w:p>
            <w:pPr>
              <w:widowControl/>
              <w:snapToGrid w:val="0"/>
              <w:spacing w:before="50" w:after="50" w:line="360" w:lineRule="auto"/>
              <w:rPr>
                <w:rFonts w:ascii="宋体" w:hAnsi="宋体" w:cs="宋体"/>
                <w:color w:val="000000" w:themeColor="text1"/>
                <w:kern w:val="0"/>
                <w:sz w:val="24"/>
              </w:rPr>
            </w:pPr>
          </w:p>
        </w:tc>
      </w:tr>
    </w:tbl>
    <w:p>
      <w:pPr>
        <w:widowControl/>
        <w:wordWrap w:val="0"/>
        <w:snapToGrid w:val="0"/>
        <w:spacing w:before="50" w:after="50"/>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p>
      <w:pPr>
        <w:widowControl/>
        <w:wordWrap w:val="0"/>
        <w:snapToGrid w:val="0"/>
        <w:spacing w:before="50" w:after="50" w:line="460" w:lineRule="exact"/>
        <w:ind w:firstLine="480" w:firstLineChars="200"/>
        <w:jc w:val="left"/>
        <w:rPr>
          <w:rFonts w:ascii="宋体" w:hAnsi="宋体" w:cs="宋体"/>
          <w:color w:val="000000" w:themeColor="text1"/>
          <w:kern w:val="0"/>
          <w:sz w:val="24"/>
          <w:szCs w:val="20"/>
        </w:rPr>
      </w:pPr>
      <w:r>
        <w:rPr>
          <w:rFonts w:hint="eastAsia" w:ascii="宋体" w:hAnsi="宋体" w:cs="宋体"/>
          <w:color w:val="000000" w:themeColor="text1"/>
          <w:kern w:val="0"/>
          <w:sz w:val="24"/>
        </w:rPr>
        <w:t>注: 1、报价一经涂改，应在涂改处加盖单位公章或供应商代表签字或盖章，否则其投标作无效标处理。</w:t>
      </w:r>
    </w:p>
    <w:p>
      <w:pPr>
        <w:widowControl/>
        <w:wordWrap w:val="0"/>
        <w:snapToGrid w:val="0"/>
        <w:spacing w:before="50" w:after="50" w:line="460" w:lineRule="exact"/>
        <w:ind w:firstLine="480" w:firstLineChars="200"/>
        <w:jc w:val="left"/>
        <w:rPr>
          <w:rFonts w:ascii="宋体" w:hAnsi="宋体" w:cs="宋体"/>
          <w:color w:val="000000" w:themeColor="text1"/>
          <w:kern w:val="0"/>
          <w:sz w:val="24"/>
          <w:szCs w:val="20"/>
        </w:rPr>
      </w:pPr>
      <w:r>
        <w:rPr>
          <w:rFonts w:hint="eastAsia" w:ascii="宋体" w:hAnsi="宋体" w:cs="宋体"/>
          <w:color w:val="000000" w:themeColor="text1"/>
          <w:kern w:val="0"/>
          <w:sz w:val="24"/>
        </w:rPr>
        <w:t>2、凡需用专用耗材的专用设备类采购项目，应按招标文件规定的耗材量或按耗材的常规试用量提供报价。</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3、所有投标报价均以人民币元为计算单位。投标单位的报价为交货地点交货价格，包括货物、随配附件、工具、厂家赠品、运抵指定交货地点费用、保险费、安装调试费、服务费、售后服务、税金及其他所有费用的总和。</w:t>
      </w:r>
    </w:p>
    <w:p>
      <w:pPr>
        <w:widowControl/>
        <w:snapToGrid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4、以上报价应与“投标报价明细表”中的报价相一致。</w:t>
      </w:r>
    </w:p>
    <w:p>
      <w:pPr>
        <w:widowControl/>
        <w:snapToGrid w:val="0"/>
        <w:spacing w:line="360" w:lineRule="auto"/>
        <w:ind w:firstLine="480" w:firstLineChars="200"/>
        <w:contextualSpacing/>
        <w:jc w:val="left"/>
        <w:rPr>
          <w:rFonts w:ascii="宋体" w:hAnsi="宋体" w:cs="宋体"/>
          <w:color w:val="000000" w:themeColor="text1"/>
          <w:kern w:val="0"/>
          <w:sz w:val="24"/>
        </w:rPr>
      </w:pPr>
      <w:r>
        <w:rPr>
          <w:rFonts w:hint="eastAsia" w:ascii="宋体" w:hAnsi="宋体" w:cs="宋体"/>
          <w:color w:val="000000" w:themeColor="text1"/>
          <w:kern w:val="0"/>
          <w:sz w:val="24"/>
        </w:rPr>
        <w:t>5、若认为所投产品符合价格折扣条件的，在相应的产品的“备注”栏内注明符合何种折扣条件,以方便评委评审。</w:t>
      </w:r>
    </w:p>
    <w:p>
      <w:pPr>
        <w:widowControl/>
        <w:wordWrap w:val="0"/>
        <w:snapToGrid w:val="0"/>
        <w:spacing w:before="50" w:after="50"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6、供应商按格式填列，不得自行更改。否则引起的不利后果由供应商承担。</w:t>
      </w:r>
    </w:p>
    <w:p>
      <w:pPr>
        <w:widowControl/>
        <w:wordWrap w:val="0"/>
        <w:spacing w:line="460" w:lineRule="exact"/>
        <w:ind w:firstLine="1800" w:firstLineChars="750"/>
        <w:jc w:val="left"/>
        <w:rPr>
          <w:rFonts w:ascii="宋体" w:hAnsi="宋体" w:cs="宋体"/>
          <w:color w:val="000000" w:themeColor="text1"/>
          <w:kern w:val="0"/>
          <w:sz w:val="24"/>
        </w:rPr>
      </w:pPr>
    </w:p>
    <w:p>
      <w:pPr>
        <w:widowControl/>
        <w:wordWrap w:val="0"/>
        <w:spacing w:line="460" w:lineRule="exact"/>
        <w:ind w:firstLine="1800" w:firstLineChars="75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供应商代表签字： </w:t>
      </w:r>
      <w:r>
        <w:rPr>
          <w:rFonts w:hint="eastAsia" w:ascii="宋体" w:hAnsi="宋体" w:cs="宋体"/>
          <w:color w:val="000000" w:themeColor="text1"/>
          <w:kern w:val="0"/>
          <w:sz w:val="24"/>
          <w:u w:val="single"/>
        </w:rPr>
        <w:t xml:space="preserve">                </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供应商：</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（全称并加盖公章）                                               </w:t>
      </w:r>
    </w:p>
    <w:p>
      <w:pPr>
        <w:widowControl/>
        <w:wordWrap w:val="0"/>
        <w:spacing w:line="460" w:lineRule="exact"/>
        <w:ind w:firstLine="4080" w:firstLineChars="1700"/>
        <w:jc w:val="left"/>
        <w:rPr>
          <w:rFonts w:ascii="宋体" w:hAnsi="宋体" w:cs="宋体"/>
          <w:color w:val="000000" w:themeColor="text1"/>
        </w:rPr>
      </w:pPr>
      <w:r>
        <w:rPr>
          <w:rFonts w:hint="eastAsia" w:ascii="宋体" w:hAnsi="宋体" w:cs="宋体"/>
          <w:color w:val="000000" w:themeColor="text1"/>
          <w:kern w:val="0"/>
          <w:sz w:val="24"/>
        </w:rPr>
        <w:t xml:space="preserve"> 年    月    日</w:t>
      </w:r>
    </w:p>
    <w:p>
      <w:pPr>
        <w:widowControl/>
        <w:wordWrap w:val="0"/>
        <w:snapToGrid w:val="0"/>
        <w:spacing w:before="50" w:after="50" w:line="480" w:lineRule="auto"/>
        <w:ind w:left="-2" w:leftChars="-72" w:right="-817" w:rightChars="-389" w:hanging="149" w:hangingChars="62"/>
        <w:jc w:val="left"/>
        <w:rPr>
          <w:rFonts w:ascii="宋体" w:hAnsi="宋体" w:cs="宋体"/>
          <w:color w:val="000000" w:themeColor="text1"/>
          <w:kern w:val="0"/>
          <w:sz w:val="24"/>
        </w:rPr>
      </w:pPr>
      <w:r>
        <w:rPr>
          <w:rFonts w:hint="eastAsia" w:ascii="宋体" w:hAnsi="宋体" w:cs="宋体"/>
          <w:b/>
          <w:color w:val="000000" w:themeColor="text1"/>
          <w:kern w:val="0"/>
          <w:sz w:val="24"/>
        </w:rPr>
        <w:t>附件4                  投标报价明细表</w:t>
      </w:r>
      <w:r>
        <w:rPr>
          <w:rFonts w:hint="eastAsia" w:ascii="宋体" w:hAnsi="宋体" w:cs="宋体"/>
          <w:color w:val="000000" w:themeColor="text1"/>
          <w:kern w:val="0"/>
          <w:sz w:val="24"/>
        </w:rPr>
        <w:t>（格式）</w:t>
      </w:r>
    </w:p>
    <w:p>
      <w:pPr>
        <w:widowControl/>
        <w:wordWrap w:val="0"/>
        <w:snapToGrid w:val="0"/>
        <w:spacing w:before="50" w:after="50"/>
        <w:ind w:left="-3" w:leftChars="-72" w:right="-817" w:rightChars="-389" w:hanging="148" w:hangingChars="62"/>
        <w:jc w:val="left"/>
        <w:rPr>
          <w:rFonts w:ascii="宋体" w:hAnsi="宋体" w:cs="宋体"/>
          <w:color w:val="000000" w:themeColor="text1"/>
          <w:kern w:val="0"/>
          <w:sz w:val="24"/>
        </w:rPr>
      </w:pPr>
      <w:r>
        <w:rPr>
          <w:rFonts w:hint="eastAsia" w:ascii="宋体" w:hAnsi="宋体" w:cs="宋体"/>
          <w:color w:val="000000" w:themeColor="text1"/>
          <w:kern w:val="0"/>
          <w:sz w:val="24"/>
        </w:rPr>
        <w:t>项目编号：</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标包号：     </w:t>
      </w:r>
    </w:p>
    <w:p>
      <w:pPr>
        <w:widowControl/>
        <w:wordWrap w:val="0"/>
        <w:snapToGrid w:val="0"/>
        <w:spacing w:before="50" w:after="50"/>
        <w:ind w:left="88" w:leftChars="42" w:right="-817" w:rightChars="-389" w:firstLine="5601" w:firstLineChars="2334"/>
        <w:jc w:val="left"/>
        <w:rPr>
          <w:rFonts w:ascii="宋体" w:hAnsi="宋体" w:cs="宋体"/>
          <w:color w:val="000000" w:themeColor="text1"/>
          <w:kern w:val="0"/>
          <w:sz w:val="24"/>
        </w:rPr>
      </w:pPr>
      <w:r>
        <w:rPr>
          <w:rFonts w:hint="eastAsia" w:ascii="宋体" w:hAnsi="宋体" w:cs="宋体"/>
          <w:color w:val="000000" w:themeColor="text1"/>
          <w:kern w:val="0"/>
          <w:sz w:val="24"/>
        </w:rPr>
        <w:t>金额单位：人民币（元）</w:t>
      </w:r>
    </w:p>
    <w:tbl>
      <w:tblPr>
        <w:tblStyle w:val="46"/>
        <w:tblW w:w="0" w:type="auto"/>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40"/>
        <w:gridCol w:w="1260"/>
        <w:gridCol w:w="900"/>
        <w:gridCol w:w="1260"/>
        <w:gridCol w:w="1260"/>
        <w:gridCol w:w="1440"/>
        <w:gridCol w:w="900"/>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540" w:type="dxa"/>
            <w:tcBorders>
              <w:top w:val="single" w:color="auto" w:sz="4" w:space="0"/>
              <w:left w:val="single" w:color="auto" w:sz="4" w:space="0"/>
              <w:bottom w:val="nil"/>
              <w:right w:val="single" w:color="auto" w:sz="4" w:space="0"/>
            </w:tcBorders>
            <w:vAlign w:val="center"/>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kern w:val="0"/>
                <w:sz w:val="24"/>
              </w:rPr>
              <w:t>序号</w:t>
            </w:r>
          </w:p>
        </w:tc>
        <w:tc>
          <w:tcPr>
            <w:tcW w:w="1260" w:type="dxa"/>
            <w:tcBorders>
              <w:top w:val="single" w:color="auto" w:sz="4" w:space="0"/>
              <w:left w:val="single" w:color="auto" w:sz="4" w:space="0"/>
              <w:bottom w:val="nil"/>
              <w:right w:val="single" w:color="auto" w:sz="4" w:space="0"/>
            </w:tcBorders>
            <w:vAlign w:val="center"/>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kern w:val="0"/>
                <w:sz w:val="24"/>
              </w:rPr>
              <w:t>货物名称</w:t>
            </w:r>
          </w:p>
        </w:tc>
        <w:tc>
          <w:tcPr>
            <w:tcW w:w="900" w:type="dxa"/>
            <w:tcBorders>
              <w:top w:val="single" w:color="auto" w:sz="4" w:space="0"/>
              <w:left w:val="single" w:color="auto" w:sz="4" w:space="0"/>
              <w:bottom w:val="nil"/>
              <w:right w:val="single" w:color="auto" w:sz="4" w:space="0"/>
            </w:tcBorders>
            <w:vAlign w:val="center"/>
          </w:tcPr>
          <w:p>
            <w:pPr>
              <w:widowControl/>
              <w:snapToGrid w:val="0"/>
              <w:spacing w:before="50" w:after="50"/>
              <w:jc w:val="left"/>
              <w:rPr>
                <w:rFonts w:ascii="宋体" w:hAnsi="宋体" w:cs="宋体"/>
                <w:color w:val="000000" w:themeColor="text1"/>
                <w:kern w:val="0"/>
                <w:sz w:val="24"/>
              </w:rPr>
            </w:pPr>
            <w:r>
              <w:rPr>
                <w:rFonts w:hint="eastAsia" w:ascii="宋体" w:hAnsi="宋体" w:cs="宋体"/>
                <w:color w:val="000000" w:themeColor="text1"/>
                <w:kern w:val="0"/>
                <w:sz w:val="24"/>
              </w:rPr>
              <w:t>品牌</w:t>
            </w:r>
          </w:p>
        </w:tc>
        <w:tc>
          <w:tcPr>
            <w:tcW w:w="1260" w:type="dxa"/>
            <w:tcBorders>
              <w:top w:val="single" w:color="auto" w:sz="4" w:space="0"/>
              <w:left w:val="single" w:color="auto" w:sz="4" w:space="0"/>
              <w:bottom w:val="nil"/>
              <w:right w:val="single" w:color="auto" w:sz="4" w:space="0"/>
            </w:tcBorders>
            <w:vAlign w:val="center"/>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kern w:val="0"/>
                <w:sz w:val="24"/>
              </w:rPr>
              <w:t>规格型号</w:t>
            </w:r>
          </w:p>
        </w:tc>
        <w:tc>
          <w:tcPr>
            <w:tcW w:w="1260" w:type="dxa"/>
            <w:tcBorders>
              <w:top w:val="single" w:color="auto" w:sz="4" w:space="0"/>
              <w:left w:val="single" w:color="auto" w:sz="4" w:space="0"/>
              <w:bottom w:val="nil"/>
              <w:right w:val="single" w:color="auto" w:sz="4" w:space="0"/>
            </w:tcBorders>
            <w:vAlign w:val="center"/>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原产地</w:t>
            </w:r>
          </w:p>
        </w:tc>
        <w:tc>
          <w:tcPr>
            <w:tcW w:w="1440" w:type="dxa"/>
            <w:tcBorders>
              <w:top w:val="single" w:color="auto" w:sz="4" w:space="0"/>
              <w:left w:val="single" w:color="auto" w:sz="4" w:space="0"/>
              <w:bottom w:val="nil"/>
              <w:right w:val="single" w:color="auto" w:sz="4" w:space="0"/>
            </w:tcBorders>
            <w:vAlign w:val="center"/>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kern w:val="0"/>
                <w:sz w:val="24"/>
              </w:rPr>
              <w:t>单位及数量</w:t>
            </w:r>
          </w:p>
        </w:tc>
        <w:tc>
          <w:tcPr>
            <w:tcW w:w="900" w:type="dxa"/>
            <w:tcBorders>
              <w:top w:val="single" w:color="auto" w:sz="4" w:space="0"/>
              <w:left w:val="single" w:color="auto" w:sz="4" w:space="0"/>
              <w:bottom w:val="nil"/>
              <w:right w:val="single" w:color="auto" w:sz="4" w:space="0"/>
            </w:tcBorders>
            <w:vAlign w:val="center"/>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kern w:val="0"/>
                <w:sz w:val="24"/>
              </w:rPr>
              <w:t>单价</w:t>
            </w:r>
          </w:p>
        </w:tc>
        <w:tc>
          <w:tcPr>
            <w:tcW w:w="1440" w:type="dxa"/>
            <w:tcBorders>
              <w:top w:val="single" w:color="auto" w:sz="4" w:space="0"/>
              <w:left w:val="single" w:color="auto" w:sz="4" w:space="0"/>
              <w:bottom w:val="nil"/>
              <w:right w:val="single" w:color="auto" w:sz="4" w:space="0"/>
            </w:tcBorders>
            <w:vAlign w:val="center"/>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kern w:val="0"/>
                <w:sz w:val="24"/>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trPr>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26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4680" w:type="dxa"/>
            <w:gridSpan w:val="4"/>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left"/>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运输费、安装调试费、其他</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90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center"/>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560" w:type="dxa"/>
            <w:gridSpan w:val="7"/>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left"/>
              <w:rPr>
                <w:rFonts w:ascii="宋体" w:hAnsi="宋体" w:cs="宋体"/>
                <w:color w:val="000000" w:themeColor="text1"/>
                <w:spacing w:val="20"/>
                <w:kern w:val="0"/>
                <w:sz w:val="24"/>
              </w:rPr>
            </w:pPr>
            <w:r>
              <w:rPr>
                <w:rFonts w:hint="eastAsia" w:ascii="宋体" w:hAnsi="宋体" w:cs="宋体"/>
                <w:color w:val="000000" w:themeColor="text1"/>
                <w:spacing w:val="20"/>
                <w:kern w:val="0"/>
                <w:sz w:val="24"/>
              </w:rPr>
              <w:t>投标总价(</w:t>
            </w:r>
            <w:r>
              <w:rPr>
                <w:rFonts w:hint="eastAsia" w:ascii="宋体" w:hAnsi="宋体" w:cs="宋体"/>
                <w:color w:val="000000" w:themeColor="text1"/>
                <w:kern w:val="0"/>
                <w:sz w:val="24"/>
                <w:szCs w:val="21"/>
              </w:rPr>
              <w:t>大写)：</w:t>
            </w:r>
          </w:p>
        </w:tc>
        <w:tc>
          <w:tcPr>
            <w:tcW w:w="1440" w:type="dxa"/>
            <w:tcBorders>
              <w:top w:val="single" w:color="auto" w:sz="4" w:space="0"/>
              <w:left w:val="single" w:color="auto" w:sz="4" w:space="0"/>
              <w:bottom w:val="single" w:color="auto" w:sz="4" w:space="0"/>
              <w:right w:val="single" w:color="auto" w:sz="4" w:space="0"/>
            </w:tcBorders>
          </w:tcPr>
          <w:p>
            <w:pPr>
              <w:widowControl/>
              <w:tabs>
                <w:tab w:val="left" w:pos="1418"/>
              </w:tabs>
              <w:snapToGrid w:val="0"/>
              <w:spacing w:before="50" w:after="50" w:line="360" w:lineRule="exact"/>
              <w:jc w:val="left"/>
              <w:rPr>
                <w:rFonts w:ascii="宋体" w:hAnsi="宋体" w:cs="宋体"/>
                <w:color w:val="000000" w:themeColor="text1"/>
                <w:spacing w:val="20"/>
                <w:kern w:val="0"/>
                <w:sz w:val="24"/>
              </w:rPr>
            </w:pPr>
            <w:r>
              <w:rPr>
                <w:rFonts w:hint="eastAsia" w:ascii="宋体" w:hAnsi="宋体" w:cs="宋体"/>
                <w:color w:val="000000" w:themeColor="text1"/>
                <w:kern w:val="0"/>
                <w:sz w:val="24"/>
                <w:szCs w:val="21"/>
              </w:rPr>
              <w:t>￥</w:t>
            </w:r>
            <w:r>
              <w:rPr>
                <w:rFonts w:hint="eastAsia" w:ascii="宋体" w:hAnsi="宋体" w:cs="宋体"/>
                <w:color w:val="000000" w:themeColor="text1"/>
                <w:kern w:val="0"/>
                <w:sz w:val="24"/>
                <w:szCs w:val="21"/>
                <w:u w:val="single"/>
              </w:rPr>
              <w:t xml:space="preserve">            </w:t>
            </w:r>
          </w:p>
        </w:tc>
      </w:tr>
    </w:tbl>
    <w:p>
      <w:pPr>
        <w:widowControl/>
        <w:tabs>
          <w:tab w:val="left" w:pos="1418"/>
        </w:tabs>
        <w:wordWrap w:val="0"/>
        <w:snapToGrid w:val="0"/>
        <w:spacing w:before="50" w:after="50" w:line="480" w:lineRule="auto"/>
        <w:ind w:left="1418" w:hanging="567"/>
        <w:jc w:val="center"/>
        <w:rPr>
          <w:rFonts w:ascii="宋体" w:hAnsi="宋体" w:cs="宋体"/>
          <w:color w:val="000000" w:themeColor="text1"/>
          <w:spacing w:val="20"/>
          <w:kern w:val="0"/>
          <w:sz w:val="24"/>
          <w:u w:val="single"/>
        </w:rPr>
      </w:pPr>
      <w:r>
        <w:rPr>
          <w:rFonts w:hint="eastAsia" w:ascii="宋体" w:hAnsi="宋体" w:cs="宋体"/>
          <w:color w:val="000000" w:themeColor="text1"/>
          <w:spacing w:val="20"/>
          <w:kern w:val="0"/>
          <w:sz w:val="24"/>
        </w:rPr>
        <w:t xml:space="preserve"> </w:t>
      </w:r>
    </w:p>
    <w:p>
      <w:pPr>
        <w:widowControl/>
        <w:wordWrap w:val="0"/>
        <w:spacing w:line="460" w:lineRule="exact"/>
        <w:ind w:firstLine="2520" w:firstLineChars="105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供应商代表签字： </w:t>
      </w:r>
      <w:r>
        <w:rPr>
          <w:rFonts w:hint="eastAsia" w:ascii="宋体" w:hAnsi="宋体" w:cs="宋体"/>
          <w:color w:val="000000" w:themeColor="text1"/>
          <w:kern w:val="0"/>
          <w:sz w:val="24"/>
          <w:u w:val="single"/>
        </w:rPr>
        <w:t xml:space="preserve">                </w:t>
      </w:r>
    </w:p>
    <w:p>
      <w:pPr>
        <w:widowControl/>
        <w:tabs>
          <w:tab w:val="left" w:pos="3390"/>
          <w:tab w:val="center" w:pos="4201"/>
        </w:tabs>
        <w:wordWrap w:val="0"/>
        <w:spacing w:line="460" w:lineRule="exact"/>
        <w:ind w:firstLine="2520" w:firstLineChars="1050"/>
        <w:jc w:val="left"/>
        <w:rPr>
          <w:rFonts w:ascii="宋体" w:hAnsi="宋体" w:cs="宋体"/>
          <w:b/>
          <w:color w:val="000000" w:themeColor="text1"/>
          <w:kern w:val="0"/>
          <w:sz w:val="24"/>
        </w:rPr>
      </w:pPr>
      <w:r>
        <w:rPr>
          <w:rFonts w:hint="eastAsia" w:ascii="宋体" w:hAnsi="宋体" w:cs="宋体"/>
          <w:color w:val="000000" w:themeColor="text1"/>
          <w:kern w:val="0"/>
          <w:sz w:val="24"/>
          <w:szCs w:val="20"/>
        </w:rPr>
        <w:t>供应商：</w:t>
      </w:r>
      <w:r>
        <w:rPr>
          <w:rFonts w:hint="eastAsia" w:ascii="宋体" w:hAnsi="宋体" w:cs="宋体"/>
          <w:color w:val="000000" w:themeColor="text1"/>
          <w:kern w:val="0"/>
          <w:sz w:val="24"/>
          <w:szCs w:val="20"/>
          <w:u w:val="single"/>
        </w:rPr>
        <w:t xml:space="preserve">                       </w:t>
      </w:r>
      <w:r>
        <w:rPr>
          <w:rFonts w:hint="eastAsia" w:ascii="宋体" w:hAnsi="宋体" w:cs="宋体"/>
          <w:color w:val="000000" w:themeColor="text1"/>
          <w:kern w:val="0"/>
          <w:sz w:val="24"/>
          <w:szCs w:val="20"/>
        </w:rPr>
        <w:t>（全称并加盖公章）</w:t>
      </w:r>
    </w:p>
    <w:p>
      <w:pPr>
        <w:widowControl/>
        <w:tabs>
          <w:tab w:val="left" w:pos="3390"/>
          <w:tab w:val="center" w:pos="4201"/>
        </w:tabs>
        <w:wordWrap w:val="0"/>
        <w:spacing w:line="460" w:lineRule="exact"/>
        <w:ind w:firstLine="482" w:firstLineChars="200"/>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460" w:lineRule="exact"/>
        <w:ind w:firstLine="4920" w:firstLineChars="2050"/>
        <w:jc w:val="left"/>
        <w:rPr>
          <w:rFonts w:ascii="宋体" w:hAnsi="宋体" w:cs="宋体"/>
          <w:color w:val="000000" w:themeColor="text1"/>
          <w:kern w:val="0"/>
          <w:sz w:val="24"/>
        </w:rPr>
      </w:pPr>
      <w:r>
        <w:rPr>
          <w:rFonts w:hint="eastAsia" w:ascii="宋体" w:hAnsi="宋体" w:cs="宋体"/>
          <w:color w:val="000000" w:themeColor="text1"/>
          <w:kern w:val="0"/>
          <w:sz w:val="24"/>
        </w:rPr>
        <w:t>年      月    日</w:t>
      </w: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color w:val="000000" w:themeColor="text1"/>
        </w:rPr>
      </w:pPr>
    </w:p>
    <w:p>
      <w:pPr>
        <w:widowControl/>
        <w:tabs>
          <w:tab w:val="left" w:pos="3390"/>
          <w:tab w:val="center" w:pos="4201"/>
        </w:tabs>
        <w:wordWrap w:val="0"/>
        <w:spacing w:line="460" w:lineRule="exact"/>
        <w:jc w:val="left"/>
        <w:rPr>
          <w:rFonts w:ascii="宋体" w:hAnsi="宋体" w:cs="宋体"/>
          <w:b/>
          <w:color w:val="000000" w:themeColor="text1"/>
          <w:kern w:val="0"/>
          <w:sz w:val="24"/>
        </w:rPr>
      </w:pPr>
      <w:r>
        <w:rPr>
          <w:rFonts w:hint="eastAsia" w:ascii="宋体" w:hAnsi="宋体" w:cs="宋体"/>
          <w:b/>
          <w:color w:val="000000" w:themeColor="text1"/>
          <w:kern w:val="0"/>
          <w:sz w:val="24"/>
        </w:rPr>
        <w:t>附件 5</w:t>
      </w:r>
      <w:r>
        <w:rPr>
          <w:rFonts w:hint="eastAsia" w:ascii="宋体" w:hAnsi="宋体" w:cs="宋体"/>
          <w:b/>
          <w:color w:val="000000" w:themeColor="text1"/>
          <w:kern w:val="0"/>
          <w:sz w:val="24"/>
        </w:rPr>
        <w:tab/>
      </w:r>
      <w:r>
        <w:rPr>
          <w:rFonts w:hint="eastAsia" w:ascii="宋体" w:hAnsi="宋体" w:cs="宋体"/>
          <w:b/>
          <w:color w:val="000000" w:themeColor="text1"/>
          <w:kern w:val="0"/>
          <w:sz w:val="24"/>
        </w:rPr>
        <w:t xml:space="preserve">               </w:t>
      </w:r>
    </w:p>
    <w:p>
      <w:pPr>
        <w:widowControl/>
        <w:tabs>
          <w:tab w:val="left" w:pos="3390"/>
          <w:tab w:val="center" w:pos="4201"/>
        </w:tabs>
        <w:spacing w:line="460" w:lineRule="exact"/>
        <w:ind w:firstLine="482" w:firstLineChars="200"/>
        <w:jc w:val="center"/>
        <w:rPr>
          <w:rFonts w:ascii="宋体" w:hAnsi="宋体" w:cs="宋体"/>
          <w:color w:val="000000" w:themeColor="text1"/>
          <w:kern w:val="0"/>
          <w:sz w:val="24"/>
        </w:rPr>
      </w:pPr>
      <w:r>
        <w:rPr>
          <w:rFonts w:hint="eastAsia" w:ascii="宋体" w:hAnsi="宋体" w:cs="宋体"/>
          <w:b/>
          <w:color w:val="000000" w:themeColor="text1"/>
          <w:kern w:val="0"/>
          <w:sz w:val="24"/>
        </w:rPr>
        <w:t>供货范围</w:t>
      </w:r>
      <w:r>
        <w:rPr>
          <w:rFonts w:hint="eastAsia" w:ascii="宋体" w:hAnsi="宋体" w:cs="宋体"/>
          <w:b/>
          <w:bCs/>
          <w:color w:val="000000" w:themeColor="text1"/>
          <w:kern w:val="0"/>
          <w:sz w:val="24"/>
        </w:rPr>
        <w:t>清单</w:t>
      </w:r>
      <w:r>
        <w:rPr>
          <w:rFonts w:hint="eastAsia" w:ascii="宋体" w:hAnsi="宋体" w:cs="宋体"/>
          <w:color w:val="000000" w:themeColor="text1"/>
          <w:kern w:val="0"/>
          <w:sz w:val="24"/>
        </w:rPr>
        <w:t>（格式自拟）</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60" w:lineRule="exact"/>
        <w:ind w:firstLine="960" w:firstLineChars="400"/>
        <w:jc w:val="left"/>
        <w:rPr>
          <w:rFonts w:ascii="宋体" w:hAnsi="宋体" w:cs="宋体"/>
          <w:color w:val="000000" w:themeColor="text1"/>
          <w:kern w:val="0"/>
          <w:sz w:val="24"/>
        </w:rPr>
      </w:pPr>
      <w:r>
        <w:rPr>
          <w:rFonts w:hint="eastAsia" w:ascii="宋体" w:hAnsi="宋体" w:cs="宋体"/>
          <w:color w:val="000000" w:themeColor="text1"/>
          <w:kern w:val="0"/>
          <w:sz w:val="24"/>
        </w:rPr>
        <w:t>说明：</w:t>
      </w:r>
    </w:p>
    <w:p>
      <w:pPr>
        <w:widowControl/>
        <w:wordWrap w:val="0"/>
        <w:spacing w:line="460" w:lineRule="exact"/>
        <w:ind w:firstLine="960" w:firstLineChars="400"/>
        <w:jc w:val="left"/>
        <w:rPr>
          <w:rFonts w:ascii="宋体" w:hAnsi="宋体" w:cs="宋体"/>
          <w:color w:val="000000" w:themeColor="text1"/>
          <w:kern w:val="0"/>
          <w:sz w:val="24"/>
        </w:rPr>
      </w:pPr>
      <w:r>
        <w:rPr>
          <w:rFonts w:hint="eastAsia" w:ascii="宋体" w:hAnsi="宋体" w:cs="宋体"/>
          <w:color w:val="000000" w:themeColor="text1"/>
          <w:kern w:val="0"/>
          <w:sz w:val="24"/>
        </w:rPr>
        <w:t>本清单应列明组成货物的主要件和关键件的名称、数量、原产地及单价。</w:t>
      </w:r>
    </w:p>
    <w:p>
      <w:pPr>
        <w:widowControl/>
        <w:wordWrap w:val="0"/>
        <w:spacing w:line="460" w:lineRule="exact"/>
        <w:ind w:firstLine="960" w:firstLineChars="400"/>
        <w:jc w:val="left"/>
        <w:rPr>
          <w:rFonts w:ascii="宋体" w:hAnsi="宋体" w:cs="宋体"/>
          <w:color w:val="000000" w:themeColor="text1"/>
          <w:kern w:val="0"/>
          <w:sz w:val="24"/>
        </w:rPr>
      </w:pPr>
      <w:r>
        <w:rPr>
          <w:rFonts w:hint="eastAsia" w:ascii="宋体" w:hAnsi="宋体" w:cs="宋体"/>
          <w:color w:val="000000" w:themeColor="text1"/>
          <w:kern w:val="0"/>
          <w:sz w:val="24"/>
        </w:rPr>
        <w:t>本清单应列明专用工具的名称、数量、原产地及单价（如果有的话）。</w:t>
      </w:r>
    </w:p>
    <w:p>
      <w:pPr>
        <w:pStyle w:val="18"/>
        <w:rPr>
          <w:rFonts w:ascii="宋体" w:hAnsi="宋体" w:cs="宋体"/>
          <w:color w:val="000000" w:themeColor="text1"/>
          <w:kern w:val="0"/>
          <w:sz w:val="24"/>
        </w:rPr>
      </w:pPr>
    </w:p>
    <w:p>
      <w:pPr>
        <w:pStyle w:val="40"/>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color w:val="000000" w:themeColor="text1"/>
        </w:rPr>
      </w:pPr>
    </w:p>
    <w:p>
      <w:pPr>
        <w:widowControl/>
        <w:wordWrap w:val="0"/>
        <w:spacing w:line="460" w:lineRule="exact"/>
        <w:jc w:val="left"/>
        <w:rPr>
          <w:rFonts w:ascii="宋体" w:hAnsi="宋体" w:cs="宋体"/>
          <w:b/>
          <w:color w:val="000000" w:themeColor="text1"/>
          <w:kern w:val="0"/>
          <w:sz w:val="24"/>
        </w:rPr>
      </w:pPr>
    </w:p>
    <w:p>
      <w:pPr>
        <w:widowControl/>
        <w:wordWrap w:val="0"/>
        <w:spacing w:line="460" w:lineRule="exact"/>
        <w:jc w:val="left"/>
        <w:rPr>
          <w:rFonts w:ascii="宋体" w:hAnsi="宋体" w:cs="宋体"/>
          <w:color w:val="000000" w:themeColor="text1"/>
          <w:kern w:val="0"/>
          <w:sz w:val="24"/>
        </w:rPr>
      </w:pPr>
      <w:r>
        <w:rPr>
          <w:rFonts w:hint="eastAsia" w:ascii="宋体" w:hAnsi="宋体" w:cs="宋体"/>
          <w:b/>
          <w:color w:val="000000" w:themeColor="text1"/>
          <w:kern w:val="0"/>
          <w:sz w:val="24"/>
        </w:rPr>
        <w:t xml:space="preserve">附件6     </w:t>
      </w:r>
      <w:r>
        <w:rPr>
          <w:rFonts w:hint="eastAsia" w:ascii="宋体" w:hAnsi="宋体" w:cs="宋体"/>
          <w:color w:val="000000" w:themeColor="text1"/>
          <w:kern w:val="0"/>
          <w:sz w:val="24"/>
        </w:rPr>
        <w:t xml:space="preserve">                </w:t>
      </w:r>
      <w:r>
        <w:rPr>
          <w:rFonts w:hint="eastAsia" w:ascii="宋体" w:hAnsi="宋体" w:cs="宋体"/>
          <w:b/>
          <w:color w:val="000000" w:themeColor="text1"/>
          <w:kern w:val="0"/>
          <w:sz w:val="24"/>
        </w:rPr>
        <w:t>技术响应表</w:t>
      </w:r>
      <w:r>
        <w:rPr>
          <w:rFonts w:hint="eastAsia" w:ascii="宋体" w:hAnsi="宋体" w:cs="宋体"/>
          <w:color w:val="000000" w:themeColor="text1"/>
          <w:kern w:val="0"/>
          <w:sz w:val="24"/>
        </w:rPr>
        <w:t>（格式）</w:t>
      </w:r>
    </w:p>
    <w:p>
      <w:pPr>
        <w:widowControl/>
        <w:wordWrap w:val="0"/>
        <w:snapToGrid w:val="0"/>
        <w:spacing w:before="50" w:after="156" w:afterLines="50"/>
        <w:jc w:val="left"/>
        <w:rPr>
          <w:rFonts w:ascii="宋体" w:hAnsi="宋体" w:cs="宋体"/>
          <w:color w:val="000000" w:themeColor="text1"/>
          <w:kern w:val="0"/>
          <w:sz w:val="24"/>
        </w:rPr>
      </w:pPr>
      <w:r>
        <w:rPr>
          <w:rFonts w:hint="eastAsia" w:ascii="宋体" w:hAnsi="宋体" w:cs="宋体"/>
          <w:color w:val="000000" w:themeColor="text1"/>
          <w:kern w:val="0"/>
          <w:sz w:val="24"/>
        </w:rPr>
        <w:t>项目编号：</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标包号：     </w:t>
      </w:r>
    </w:p>
    <w:tbl>
      <w:tblPr>
        <w:tblStyle w:val="46"/>
        <w:tblW w:w="0" w:type="auto"/>
        <w:tblInd w:w="0" w:type="dxa"/>
        <w:shd w:val="clear" w:color="auto" w:fill="FFFFFF"/>
        <w:tblLayout w:type="fixed"/>
        <w:tblCellMar>
          <w:top w:w="0" w:type="dxa"/>
          <w:left w:w="0" w:type="dxa"/>
          <w:bottom w:w="0" w:type="dxa"/>
          <w:right w:w="0" w:type="dxa"/>
        </w:tblCellMar>
      </w:tblPr>
      <w:tblGrid>
        <w:gridCol w:w="442"/>
        <w:gridCol w:w="679"/>
        <w:gridCol w:w="2953"/>
        <w:gridCol w:w="4016"/>
        <w:gridCol w:w="868"/>
      </w:tblGrid>
      <w:tr>
        <w:tblPrEx>
          <w:tblCellMar>
            <w:top w:w="0" w:type="dxa"/>
            <w:left w:w="0" w:type="dxa"/>
            <w:bottom w:w="0" w:type="dxa"/>
            <w:right w:w="0" w:type="dxa"/>
          </w:tblCellMar>
        </w:tblPrEx>
        <w:trPr>
          <w:trHeight w:val="1229" w:hRule="atLeast"/>
        </w:trPr>
        <w:tc>
          <w:tcPr>
            <w:tcW w:w="442" w:type="dxa"/>
            <w:tcBorders>
              <w:top w:val="single" w:color="auto" w:sz="8" w:space="0"/>
              <w:left w:val="single" w:color="auto" w:sz="8" w:space="0"/>
              <w:bottom w:val="single" w:color="auto" w:sz="8" w:space="0"/>
              <w:right w:val="single" w:color="auto" w:sz="8" w:space="0"/>
            </w:tcBorders>
            <w:shd w:val="clear" w:color="auto" w:fill="FFFFFF"/>
          </w:tcPr>
          <w:p>
            <w:pPr>
              <w:widowControl/>
              <w:spacing w:before="156" w:after="156" w:line="270" w:lineRule="atLeast"/>
              <w:rPr>
                <w:rFonts w:ascii="宋体" w:hAnsi="宋体" w:cs="宋体"/>
                <w:color w:val="000000" w:themeColor="text1"/>
                <w:kern w:val="0"/>
                <w:sz w:val="28"/>
                <w:szCs w:val="28"/>
              </w:rPr>
            </w:pPr>
            <w:r>
              <w:rPr>
                <w:rFonts w:hint="eastAsia" w:ascii="宋体" w:hAnsi="宋体" w:cs="宋体"/>
                <w:color w:val="000000" w:themeColor="text1"/>
                <w:kern w:val="0"/>
                <w:sz w:val="24"/>
              </w:rPr>
              <w:t>序号</w:t>
            </w:r>
          </w:p>
        </w:tc>
        <w:tc>
          <w:tcPr>
            <w:tcW w:w="679" w:type="dxa"/>
            <w:tcBorders>
              <w:top w:val="single" w:color="auto" w:sz="8" w:space="0"/>
              <w:left w:val="nil"/>
              <w:bottom w:val="single" w:color="auto" w:sz="8" w:space="0"/>
              <w:right w:val="single" w:color="auto" w:sz="8" w:space="0"/>
            </w:tcBorders>
            <w:shd w:val="clear" w:color="auto" w:fill="FFFFFF"/>
          </w:tcPr>
          <w:p>
            <w:pPr>
              <w:widowControl/>
              <w:spacing w:before="156" w:after="156" w:line="270" w:lineRule="atLeast"/>
              <w:rPr>
                <w:rFonts w:ascii="宋体" w:hAnsi="宋体" w:cs="宋体"/>
                <w:color w:val="000000" w:themeColor="text1"/>
                <w:kern w:val="0"/>
                <w:sz w:val="28"/>
                <w:szCs w:val="28"/>
              </w:rPr>
            </w:pPr>
            <w:r>
              <w:rPr>
                <w:rFonts w:hint="eastAsia" w:ascii="宋体" w:hAnsi="宋体" w:cs="宋体"/>
                <w:color w:val="000000" w:themeColor="text1"/>
                <w:kern w:val="0"/>
                <w:sz w:val="24"/>
              </w:rPr>
              <w:t>货物名称</w:t>
            </w:r>
          </w:p>
        </w:tc>
        <w:tc>
          <w:tcPr>
            <w:tcW w:w="2953" w:type="dxa"/>
            <w:tcBorders>
              <w:top w:val="single" w:color="auto" w:sz="8" w:space="0"/>
              <w:left w:val="nil"/>
              <w:bottom w:val="single" w:color="auto" w:sz="8" w:space="0"/>
              <w:right w:val="single" w:color="auto" w:sz="8" w:space="0"/>
            </w:tcBorders>
            <w:shd w:val="clear" w:color="auto" w:fill="FFFFFF"/>
          </w:tcPr>
          <w:p>
            <w:pPr>
              <w:widowControl/>
              <w:spacing w:before="156" w:after="156" w:line="270" w:lineRule="atLeast"/>
              <w:rPr>
                <w:rFonts w:ascii="宋体" w:hAnsi="宋体" w:cs="宋体"/>
                <w:color w:val="000000" w:themeColor="text1"/>
                <w:kern w:val="0"/>
                <w:sz w:val="28"/>
                <w:szCs w:val="28"/>
              </w:rPr>
            </w:pPr>
            <w:r>
              <w:rPr>
                <w:rFonts w:hint="eastAsia" w:ascii="宋体" w:hAnsi="宋体" w:cs="宋体"/>
                <w:color w:val="000000" w:themeColor="text1"/>
                <w:kern w:val="0"/>
                <w:sz w:val="24"/>
              </w:rPr>
              <w:t>招标文件要求</w:t>
            </w:r>
          </w:p>
        </w:tc>
        <w:tc>
          <w:tcPr>
            <w:tcW w:w="4016"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56" w:after="156" w:line="270" w:lineRule="atLeast"/>
              <w:rPr>
                <w:rFonts w:ascii="宋体" w:hAnsi="宋体" w:cs="宋体"/>
                <w:color w:val="000000" w:themeColor="text1"/>
                <w:kern w:val="0"/>
                <w:sz w:val="28"/>
                <w:szCs w:val="28"/>
              </w:rPr>
            </w:pPr>
            <w:r>
              <w:rPr>
                <w:rFonts w:hint="eastAsia" w:ascii="宋体" w:hAnsi="宋体" w:cs="宋体"/>
                <w:color w:val="000000" w:themeColor="text1"/>
                <w:kern w:val="0"/>
                <w:sz w:val="24"/>
              </w:rPr>
              <w:t>投标文件响应</w:t>
            </w:r>
          </w:p>
        </w:tc>
        <w:tc>
          <w:tcPr>
            <w:tcW w:w="868"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56" w:after="156" w:line="270" w:lineRule="atLeast"/>
              <w:rPr>
                <w:rFonts w:ascii="宋体" w:hAnsi="宋体" w:cs="宋体"/>
                <w:color w:val="000000" w:themeColor="text1"/>
                <w:kern w:val="0"/>
                <w:sz w:val="24"/>
              </w:rPr>
            </w:pPr>
            <w:r>
              <w:rPr>
                <w:rFonts w:hint="eastAsia" w:ascii="宋体" w:hAnsi="宋体" w:cs="宋体"/>
                <w:color w:val="000000" w:themeColor="text1"/>
                <w:kern w:val="0"/>
                <w:sz w:val="24"/>
              </w:rPr>
              <w:t>偏离情况</w:t>
            </w:r>
          </w:p>
        </w:tc>
      </w:tr>
      <w:tr>
        <w:tblPrEx>
          <w:tblCellMar>
            <w:top w:w="0" w:type="dxa"/>
            <w:left w:w="0" w:type="dxa"/>
            <w:bottom w:w="0" w:type="dxa"/>
            <w:right w:w="0" w:type="dxa"/>
          </w:tblCellMar>
        </w:tblPrEx>
        <w:trPr>
          <w:trHeight w:val="1229" w:hRule="atLeast"/>
        </w:trPr>
        <w:tc>
          <w:tcPr>
            <w:tcW w:w="442" w:type="dxa"/>
            <w:tcBorders>
              <w:top w:val="nil"/>
              <w:left w:val="single" w:color="auto" w:sz="8" w:space="0"/>
              <w:bottom w:val="single" w:color="auto" w:sz="8" w:space="0"/>
              <w:right w:val="single" w:color="auto" w:sz="8" w:space="0"/>
            </w:tcBorders>
            <w:shd w:val="clear" w:color="auto" w:fill="FFFFFF"/>
            <w:vAlign w:val="center"/>
          </w:tcPr>
          <w:p>
            <w:pPr>
              <w:widowControl/>
              <w:jc w:val="left"/>
              <w:rPr>
                <w:rFonts w:ascii="宋体" w:hAnsi="宋体" w:cs="宋体"/>
                <w:color w:val="000000" w:themeColor="text1"/>
                <w:kern w:val="0"/>
                <w:sz w:val="28"/>
                <w:szCs w:val="28"/>
              </w:rPr>
            </w:pPr>
          </w:p>
        </w:tc>
        <w:tc>
          <w:tcPr>
            <w:tcW w:w="679" w:type="dxa"/>
            <w:tcBorders>
              <w:top w:val="nil"/>
              <w:left w:val="nil"/>
              <w:bottom w:val="single" w:color="auto" w:sz="8" w:space="0"/>
              <w:right w:val="single" w:color="auto" w:sz="8" w:space="0"/>
            </w:tcBorders>
            <w:shd w:val="clear" w:color="auto" w:fill="FFFFFF"/>
            <w:vAlign w:val="center"/>
          </w:tcPr>
          <w:p>
            <w:pPr>
              <w:widowControl/>
              <w:jc w:val="left"/>
              <w:rPr>
                <w:rFonts w:ascii="宋体" w:hAnsi="宋体" w:cs="宋体"/>
                <w:color w:val="000000" w:themeColor="text1"/>
                <w:kern w:val="0"/>
                <w:sz w:val="18"/>
                <w:szCs w:val="18"/>
              </w:rPr>
            </w:pPr>
          </w:p>
        </w:tc>
        <w:tc>
          <w:tcPr>
            <w:tcW w:w="2953" w:type="dxa"/>
            <w:tcBorders>
              <w:left w:val="nil"/>
              <w:bottom w:val="single" w:color="auto" w:sz="8" w:space="0"/>
              <w:right w:val="single" w:color="auto" w:sz="8" w:space="0"/>
            </w:tcBorders>
            <w:shd w:val="clear" w:color="auto" w:fill="FFFFFF"/>
            <w:vAlign w:val="center"/>
          </w:tcPr>
          <w:p>
            <w:pPr>
              <w:widowControl/>
              <w:spacing w:before="156" w:after="156" w:line="270" w:lineRule="atLeast"/>
              <w:rPr>
                <w:rFonts w:ascii="宋体" w:hAnsi="宋体" w:cs="宋体"/>
                <w:color w:val="000000" w:themeColor="text1"/>
                <w:kern w:val="0"/>
                <w:sz w:val="28"/>
                <w:szCs w:val="28"/>
              </w:rPr>
            </w:pPr>
          </w:p>
        </w:tc>
        <w:tc>
          <w:tcPr>
            <w:tcW w:w="4016" w:type="dxa"/>
            <w:tcBorders>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before="156" w:after="156" w:line="270" w:lineRule="atLeast"/>
              <w:rPr>
                <w:rFonts w:ascii="宋体" w:hAnsi="宋体" w:cs="宋体"/>
                <w:color w:val="000000" w:themeColor="text1"/>
                <w:kern w:val="0"/>
                <w:sz w:val="18"/>
                <w:szCs w:val="18"/>
              </w:rPr>
            </w:pPr>
          </w:p>
        </w:tc>
        <w:tc>
          <w:tcPr>
            <w:tcW w:w="8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56" w:after="156" w:line="270" w:lineRule="atLeast"/>
              <w:rPr>
                <w:rFonts w:ascii="宋体" w:hAnsi="宋体" w:cs="宋体"/>
                <w:color w:val="000000" w:themeColor="text1"/>
                <w:kern w:val="0"/>
                <w:sz w:val="24"/>
              </w:rPr>
            </w:pPr>
          </w:p>
        </w:tc>
      </w:tr>
      <w:tr>
        <w:tblPrEx>
          <w:shd w:val="clear" w:color="auto" w:fill="FFFFFF"/>
          <w:tblCellMar>
            <w:top w:w="0" w:type="dxa"/>
            <w:left w:w="0" w:type="dxa"/>
            <w:bottom w:w="0" w:type="dxa"/>
            <w:right w:w="0" w:type="dxa"/>
          </w:tblCellMar>
        </w:tblPrEx>
        <w:trPr>
          <w:trHeight w:val="1229" w:hRule="atLeast"/>
        </w:trPr>
        <w:tc>
          <w:tcPr>
            <w:tcW w:w="442" w:type="dxa"/>
            <w:tcBorders>
              <w:top w:val="nil"/>
              <w:left w:val="single" w:color="auto" w:sz="8" w:space="0"/>
              <w:bottom w:val="single" w:color="auto" w:sz="8" w:space="0"/>
              <w:right w:val="single" w:color="auto" w:sz="8" w:space="0"/>
            </w:tcBorders>
            <w:shd w:val="clear" w:color="auto" w:fill="FFFFFF"/>
            <w:vAlign w:val="center"/>
          </w:tcPr>
          <w:p>
            <w:pPr>
              <w:widowControl/>
              <w:jc w:val="left"/>
              <w:rPr>
                <w:rFonts w:ascii="宋体" w:hAnsi="宋体" w:cs="宋体"/>
                <w:color w:val="000000" w:themeColor="text1"/>
                <w:kern w:val="0"/>
                <w:sz w:val="28"/>
                <w:szCs w:val="28"/>
              </w:rPr>
            </w:pPr>
          </w:p>
        </w:tc>
        <w:tc>
          <w:tcPr>
            <w:tcW w:w="679" w:type="dxa"/>
            <w:tcBorders>
              <w:top w:val="nil"/>
              <w:left w:val="nil"/>
              <w:bottom w:val="single" w:color="auto" w:sz="8" w:space="0"/>
              <w:right w:val="single" w:color="auto" w:sz="8" w:space="0"/>
            </w:tcBorders>
            <w:shd w:val="clear" w:color="auto" w:fill="FFFFFF"/>
            <w:vAlign w:val="center"/>
          </w:tcPr>
          <w:p>
            <w:pPr>
              <w:widowControl/>
              <w:jc w:val="left"/>
              <w:rPr>
                <w:rFonts w:ascii="宋体" w:hAnsi="宋体" w:cs="宋体"/>
                <w:color w:val="000000" w:themeColor="text1"/>
                <w:kern w:val="0"/>
                <w:sz w:val="18"/>
                <w:szCs w:val="18"/>
              </w:rPr>
            </w:pPr>
          </w:p>
        </w:tc>
        <w:tc>
          <w:tcPr>
            <w:tcW w:w="2953" w:type="dxa"/>
            <w:tcBorders>
              <w:left w:val="nil"/>
              <w:bottom w:val="single" w:color="auto" w:sz="8" w:space="0"/>
              <w:right w:val="single" w:color="auto" w:sz="8" w:space="0"/>
            </w:tcBorders>
            <w:shd w:val="clear" w:color="auto" w:fill="FFFFFF"/>
            <w:vAlign w:val="center"/>
          </w:tcPr>
          <w:p>
            <w:pPr>
              <w:widowControl/>
              <w:spacing w:before="156" w:after="156" w:line="270" w:lineRule="atLeast"/>
              <w:rPr>
                <w:rFonts w:ascii="宋体" w:hAnsi="宋体" w:cs="宋体"/>
                <w:color w:val="000000" w:themeColor="text1"/>
                <w:kern w:val="0"/>
                <w:sz w:val="28"/>
                <w:szCs w:val="28"/>
              </w:rPr>
            </w:pPr>
          </w:p>
        </w:tc>
        <w:tc>
          <w:tcPr>
            <w:tcW w:w="4016" w:type="dxa"/>
            <w:tcBorders>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before="156" w:after="156" w:line="270" w:lineRule="atLeast"/>
              <w:rPr>
                <w:rFonts w:ascii="宋体" w:hAnsi="宋体" w:cs="宋体"/>
                <w:color w:val="000000" w:themeColor="text1"/>
                <w:kern w:val="0"/>
                <w:sz w:val="18"/>
                <w:szCs w:val="18"/>
              </w:rPr>
            </w:pPr>
          </w:p>
        </w:tc>
        <w:tc>
          <w:tcPr>
            <w:tcW w:w="8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56" w:after="156" w:line="270" w:lineRule="atLeast"/>
              <w:rPr>
                <w:rFonts w:ascii="宋体" w:hAnsi="宋体" w:cs="宋体"/>
                <w:color w:val="000000" w:themeColor="text1"/>
                <w:kern w:val="0"/>
                <w:sz w:val="24"/>
              </w:rPr>
            </w:pPr>
          </w:p>
        </w:tc>
      </w:tr>
      <w:tr>
        <w:tblPrEx>
          <w:shd w:val="clear" w:color="auto" w:fill="FFFFFF"/>
          <w:tblCellMar>
            <w:top w:w="0" w:type="dxa"/>
            <w:left w:w="0" w:type="dxa"/>
            <w:bottom w:w="0" w:type="dxa"/>
            <w:right w:w="0" w:type="dxa"/>
          </w:tblCellMar>
        </w:tblPrEx>
        <w:trPr>
          <w:trHeight w:val="1229" w:hRule="atLeast"/>
        </w:trPr>
        <w:tc>
          <w:tcPr>
            <w:tcW w:w="442" w:type="dxa"/>
            <w:tcBorders>
              <w:top w:val="nil"/>
              <w:left w:val="single" w:color="auto" w:sz="8" w:space="0"/>
              <w:bottom w:val="single" w:color="auto" w:sz="8" w:space="0"/>
              <w:right w:val="single" w:color="auto" w:sz="8" w:space="0"/>
            </w:tcBorders>
            <w:shd w:val="clear" w:color="auto" w:fill="FFFFFF"/>
            <w:vAlign w:val="center"/>
          </w:tcPr>
          <w:p>
            <w:pPr>
              <w:widowControl/>
              <w:jc w:val="left"/>
              <w:rPr>
                <w:rFonts w:ascii="宋体" w:hAnsi="宋体" w:cs="宋体"/>
                <w:color w:val="000000" w:themeColor="text1"/>
                <w:kern w:val="0"/>
                <w:sz w:val="28"/>
                <w:szCs w:val="28"/>
              </w:rPr>
            </w:pPr>
          </w:p>
        </w:tc>
        <w:tc>
          <w:tcPr>
            <w:tcW w:w="679" w:type="dxa"/>
            <w:tcBorders>
              <w:top w:val="nil"/>
              <w:left w:val="nil"/>
              <w:bottom w:val="single" w:color="auto" w:sz="8" w:space="0"/>
              <w:right w:val="single" w:color="auto" w:sz="8" w:space="0"/>
            </w:tcBorders>
            <w:shd w:val="clear" w:color="auto" w:fill="FFFFFF"/>
            <w:vAlign w:val="center"/>
          </w:tcPr>
          <w:p>
            <w:pPr>
              <w:widowControl/>
              <w:jc w:val="left"/>
              <w:rPr>
                <w:rFonts w:ascii="宋体" w:hAnsi="宋体" w:cs="宋体"/>
                <w:color w:val="000000" w:themeColor="text1"/>
                <w:kern w:val="0"/>
                <w:sz w:val="18"/>
                <w:szCs w:val="18"/>
              </w:rPr>
            </w:pPr>
          </w:p>
        </w:tc>
        <w:tc>
          <w:tcPr>
            <w:tcW w:w="2953" w:type="dxa"/>
            <w:tcBorders>
              <w:left w:val="nil"/>
              <w:bottom w:val="single" w:color="auto" w:sz="8" w:space="0"/>
              <w:right w:val="single" w:color="auto" w:sz="8" w:space="0"/>
            </w:tcBorders>
            <w:shd w:val="clear" w:color="auto" w:fill="FFFFFF"/>
            <w:vAlign w:val="center"/>
          </w:tcPr>
          <w:p>
            <w:pPr>
              <w:widowControl/>
              <w:spacing w:before="156" w:after="156" w:line="270" w:lineRule="atLeast"/>
              <w:rPr>
                <w:rFonts w:ascii="宋体" w:hAnsi="宋体" w:cs="宋体"/>
                <w:color w:val="000000" w:themeColor="text1"/>
                <w:kern w:val="0"/>
                <w:sz w:val="28"/>
                <w:szCs w:val="28"/>
              </w:rPr>
            </w:pPr>
          </w:p>
        </w:tc>
        <w:tc>
          <w:tcPr>
            <w:tcW w:w="4016" w:type="dxa"/>
            <w:tcBorders>
              <w:left w:val="nil"/>
              <w:bottom w:val="single" w:color="auto" w:sz="8" w:space="0"/>
              <w:right w:val="single" w:color="auto" w:sz="8" w:space="0"/>
            </w:tcBorders>
            <w:shd w:val="clear" w:color="auto" w:fill="FFFFFF"/>
            <w:tcMar>
              <w:top w:w="0" w:type="dxa"/>
              <w:left w:w="108" w:type="dxa"/>
              <w:bottom w:w="0" w:type="dxa"/>
              <w:right w:w="108" w:type="dxa"/>
            </w:tcMar>
            <w:vAlign w:val="center"/>
          </w:tcPr>
          <w:p>
            <w:pPr>
              <w:widowControl/>
              <w:spacing w:before="156" w:after="156" w:line="270" w:lineRule="atLeast"/>
              <w:rPr>
                <w:rFonts w:ascii="宋体" w:hAnsi="宋体" w:cs="宋体"/>
                <w:color w:val="000000" w:themeColor="text1"/>
                <w:kern w:val="0"/>
                <w:sz w:val="18"/>
                <w:szCs w:val="18"/>
              </w:rPr>
            </w:pPr>
          </w:p>
        </w:tc>
        <w:tc>
          <w:tcPr>
            <w:tcW w:w="8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56" w:after="156" w:line="270" w:lineRule="atLeast"/>
              <w:rPr>
                <w:rFonts w:ascii="宋体" w:hAnsi="宋体" w:cs="宋体"/>
                <w:color w:val="000000" w:themeColor="text1"/>
                <w:kern w:val="0"/>
                <w:sz w:val="24"/>
              </w:rPr>
            </w:pPr>
          </w:p>
        </w:tc>
      </w:tr>
      <w:tr>
        <w:tblPrEx>
          <w:shd w:val="clear" w:color="auto" w:fill="FFFFFF"/>
          <w:tblCellMar>
            <w:top w:w="0" w:type="dxa"/>
            <w:left w:w="0" w:type="dxa"/>
            <w:bottom w:w="0" w:type="dxa"/>
            <w:right w:w="0" w:type="dxa"/>
          </w:tblCellMar>
        </w:tblPrEx>
        <w:trPr>
          <w:trHeight w:val="487" w:hRule="atLeast"/>
        </w:trPr>
        <w:tc>
          <w:tcPr>
            <w:tcW w:w="1121" w:type="dxa"/>
            <w:gridSpan w:val="2"/>
            <w:tcBorders>
              <w:top w:val="nil"/>
              <w:left w:val="single" w:color="auto" w:sz="8" w:space="0"/>
              <w:bottom w:val="single" w:color="auto" w:sz="8" w:space="0"/>
              <w:right w:val="single" w:color="auto" w:sz="8" w:space="0"/>
            </w:tcBorders>
            <w:shd w:val="clear" w:color="auto" w:fill="FFFFFF"/>
          </w:tcPr>
          <w:p>
            <w:pPr>
              <w:widowControl/>
              <w:rPr>
                <w:rFonts w:ascii="宋体" w:hAnsi="宋体" w:cs="宋体"/>
                <w:color w:val="000000" w:themeColor="text1"/>
                <w:kern w:val="0"/>
                <w:sz w:val="24"/>
              </w:rPr>
            </w:pPr>
            <w:r>
              <w:rPr>
                <w:rFonts w:hint="eastAsia" w:ascii="宋体" w:hAnsi="宋体" w:cs="宋体"/>
                <w:color w:val="000000" w:themeColor="text1"/>
                <w:kern w:val="0"/>
                <w:sz w:val="24"/>
              </w:rPr>
              <w:t>质量标准</w:t>
            </w:r>
          </w:p>
        </w:tc>
        <w:tc>
          <w:tcPr>
            <w:tcW w:w="295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rPr>
                <w:rFonts w:ascii="宋体" w:hAnsi="宋体" w:cs="宋体"/>
                <w:color w:val="000000" w:themeColor="text1"/>
                <w:kern w:val="0"/>
                <w:sz w:val="24"/>
              </w:rPr>
            </w:pPr>
          </w:p>
        </w:tc>
        <w:tc>
          <w:tcPr>
            <w:tcW w:w="401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jc w:val="left"/>
              <w:rPr>
                <w:rFonts w:ascii="宋体" w:hAnsi="宋体" w:cs="宋体"/>
                <w:color w:val="000000" w:themeColor="text1"/>
                <w:kern w:val="0"/>
                <w:sz w:val="18"/>
                <w:szCs w:val="18"/>
              </w:rPr>
            </w:pPr>
          </w:p>
        </w:tc>
        <w:tc>
          <w:tcPr>
            <w:tcW w:w="868"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jc w:val="left"/>
              <w:rPr>
                <w:rFonts w:ascii="宋体" w:hAnsi="宋体" w:cs="宋体"/>
                <w:color w:val="000000" w:themeColor="text1"/>
                <w:kern w:val="0"/>
                <w:sz w:val="18"/>
                <w:szCs w:val="18"/>
              </w:rPr>
            </w:pPr>
          </w:p>
        </w:tc>
      </w:tr>
    </w:tbl>
    <w:p>
      <w:pPr>
        <w:widowControl/>
        <w:wordWrap w:val="0"/>
        <w:snapToGrid w:val="0"/>
        <w:spacing w:before="50" w:after="156" w:afterLines="50"/>
        <w:jc w:val="left"/>
        <w:rPr>
          <w:rFonts w:ascii="宋体" w:hAnsi="宋体" w:cs="宋体"/>
          <w:b/>
          <w:color w:val="000000" w:themeColor="text1"/>
          <w:kern w:val="0"/>
          <w:sz w:val="24"/>
        </w:rPr>
      </w:pPr>
      <w:r>
        <w:rPr>
          <w:rFonts w:hint="eastAsia" w:ascii="宋体" w:hAnsi="宋体" w:cs="宋体"/>
          <w:color w:val="000000" w:themeColor="text1"/>
          <w:kern w:val="0"/>
          <w:sz w:val="24"/>
        </w:rPr>
        <w:t xml:space="preserve">          </w:t>
      </w:r>
    </w:p>
    <w:p>
      <w:pPr>
        <w:widowControl/>
        <w:wordWrap w:val="0"/>
        <w:spacing w:before="50" w:after="50" w:line="480" w:lineRule="auto"/>
        <w:jc w:val="left"/>
        <w:rPr>
          <w:rFonts w:ascii="宋体" w:hAnsi="宋体" w:cs="宋体"/>
          <w:bCs/>
          <w:color w:val="000000" w:themeColor="text1"/>
          <w:kern w:val="0"/>
          <w:sz w:val="24"/>
        </w:rPr>
      </w:pPr>
      <w:r>
        <w:rPr>
          <w:rFonts w:hint="eastAsia" w:ascii="宋体" w:hAnsi="宋体" w:cs="宋体"/>
          <w:bCs/>
          <w:color w:val="000000" w:themeColor="text1"/>
          <w:kern w:val="0"/>
          <w:sz w:val="24"/>
        </w:rPr>
        <w:t>注：供应商必须如实完整填写表格， “偏离情况”是指“正偏离”、“负偏离”或“无偏离”。</w:t>
      </w:r>
    </w:p>
    <w:p>
      <w:pPr>
        <w:widowControl/>
        <w:wordWrap w:val="0"/>
        <w:spacing w:line="460" w:lineRule="exact"/>
        <w:ind w:firstLine="2760" w:firstLineChars="115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供应商代表签字： </w:t>
      </w:r>
      <w:r>
        <w:rPr>
          <w:rFonts w:hint="eastAsia" w:ascii="宋体" w:hAnsi="宋体" w:cs="宋体"/>
          <w:color w:val="000000" w:themeColor="text1"/>
          <w:kern w:val="0"/>
          <w:sz w:val="24"/>
          <w:u w:val="single"/>
        </w:rPr>
        <w:t xml:space="preserve">                </w:t>
      </w:r>
    </w:p>
    <w:p>
      <w:pPr>
        <w:widowControl/>
        <w:wordWrap w:val="0"/>
        <w:snapToGrid w:val="0"/>
        <w:spacing w:line="460" w:lineRule="exact"/>
        <w:ind w:firstLine="2760" w:firstLineChars="1150"/>
        <w:jc w:val="left"/>
        <w:rPr>
          <w:rFonts w:ascii="宋体" w:hAnsi="宋体" w:cs="宋体"/>
          <w:color w:val="000000" w:themeColor="text1"/>
          <w:kern w:val="0"/>
          <w:sz w:val="52"/>
          <w:szCs w:val="52"/>
        </w:rPr>
      </w:pPr>
      <w:r>
        <w:rPr>
          <w:rFonts w:hint="eastAsia" w:ascii="宋体" w:hAnsi="宋体" w:cs="宋体"/>
          <w:color w:val="000000" w:themeColor="text1"/>
          <w:kern w:val="0"/>
          <w:sz w:val="24"/>
        </w:rPr>
        <w:t>供应商：</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（全称并加盖公章）</w:t>
      </w:r>
    </w:p>
    <w:p>
      <w:pPr>
        <w:widowControl/>
        <w:wordWrap w:val="0"/>
        <w:snapToGrid w:val="0"/>
        <w:spacing w:line="460" w:lineRule="exact"/>
        <w:ind w:firstLine="480" w:firstLineChars="200"/>
        <w:jc w:val="left"/>
        <w:rPr>
          <w:rFonts w:ascii="宋体" w:hAnsi="宋体" w:cs="宋体"/>
          <w:color w:val="000000" w:themeColor="text1"/>
          <w:kern w:val="0"/>
          <w:sz w:val="52"/>
          <w:szCs w:val="52"/>
          <w:u w:val="single"/>
        </w:rPr>
      </w:pPr>
      <w:r>
        <w:rPr>
          <w:rFonts w:hint="eastAsia" w:ascii="宋体" w:hAnsi="宋体" w:cs="宋体"/>
          <w:color w:val="000000" w:themeColor="text1"/>
          <w:kern w:val="0"/>
          <w:sz w:val="24"/>
        </w:rPr>
        <w:t xml:space="preserve"> </w:t>
      </w:r>
    </w:p>
    <w:p>
      <w:pPr>
        <w:widowControl/>
        <w:wordWrap w:val="0"/>
        <w:spacing w:line="460" w:lineRule="exact"/>
        <w:ind w:firstLine="4800" w:firstLineChars="20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r>
        <w:rPr>
          <w:rFonts w:hint="eastAsia" w:ascii="宋体" w:hAnsi="宋体" w:cs="宋体"/>
          <w:bCs/>
          <w:color w:val="000000" w:themeColor="text1"/>
          <w:kern w:val="0"/>
          <w:sz w:val="24"/>
        </w:rPr>
        <w:t xml:space="preserve"> </w:t>
      </w:r>
      <w:r>
        <w:rPr>
          <w:rFonts w:hint="eastAsia" w:ascii="宋体" w:hAnsi="宋体" w:cs="宋体"/>
          <w:color w:val="000000" w:themeColor="text1"/>
          <w:kern w:val="0"/>
          <w:sz w:val="24"/>
        </w:rPr>
        <w:t>年    月    日</w:t>
      </w:r>
    </w:p>
    <w:p>
      <w:pPr>
        <w:widowControl/>
        <w:wordWrap w:val="0"/>
        <w:snapToGrid w:val="0"/>
        <w:spacing w:line="460" w:lineRule="exact"/>
        <w:jc w:val="left"/>
        <w:rPr>
          <w:rFonts w:ascii="宋体" w:hAnsi="宋体" w:cs="宋体"/>
          <w:b/>
          <w:color w:val="000000" w:themeColor="text1"/>
          <w:kern w:val="0"/>
          <w:sz w:val="24"/>
        </w:rPr>
      </w:pPr>
    </w:p>
    <w:p>
      <w:pPr>
        <w:widowControl/>
        <w:wordWrap w:val="0"/>
        <w:snapToGrid w:val="0"/>
        <w:spacing w:line="460" w:lineRule="exact"/>
        <w:jc w:val="left"/>
        <w:rPr>
          <w:rFonts w:ascii="宋体" w:hAnsi="宋体" w:cs="宋体"/>
          <w:b/>
          <w:color w:val="000000" w:themeColor="text1"/>
          <w:kern w:val="0"/>
          <w:sz w:val="24"/>
        </w:rPr>
      </w:pPr>
    </w:p>
    <w:p>
      <w:pPr>
        <w:widowControl/>
        <w:wordWrap w:val="0"/>
        <w:snapToGrid w:val="0"/>
        <w:spacing w:line="460" w:lineRule="exact"/>
        <w:jc w:val="left"/>
        <w:rPr>
          <w:rFonts w:ascii="宋体" w:hAnsi="宋体" w:cs="宋体"/>
          <w:b/>
          <w:color w:val="000000" w:themeColor="text1"/>
          <w:kern w:val="0"/>
          <w:sz w:val="24"/>
        </w:rPr>
      </w:pPr>
    </w:p>
    <w:p>
      <w:pPr>
        <w:widowControl/>
        <w:wordWrap w:val="0"/>
        <w:snapToGrid w:val="0"/>
        <w:spacing w:line="460" w:lineRule="exact"/>
        <w:jc w:val="left"/>
        <w:rPr>
          <w:rFonts w:ascii="宋体" w:hAnsi="宋体" w:cs="宋体"/>
          <w:b/>
          <w:color w:val="000000" w:themeColor="text1"/>
          <w:kern w:val="0"/>
          <w:sz w:val="24"/>
        </w:rPr>
      </w:pPr>
    </w:p>
    <w:p>
      <w:pPr>
        <w:pStyle w:val="18"/>
        <w:rPr>
          <w:rFonts w:ascii="宋体" w:hAnsi="宋体" w:cs="宋体"/>
          <w:b/>
          <w:color w:val="000000" w:themeColor="text1"/>
          <w:kern w:val="0"/>
          <w:sz w:val="24"/>
        </w:rPr>
      </w:pPr>
    </w:p>
    <w:p>
      <w:pPr>
        <w:pStyle w:val="40"/>
        <w:rPr>
          <w:color w:val="000000" w:themeColor="text1"/>
        </w:rPr>
      </w:pPr>
    </w:p>
    <w:p>
      <w:pPr>
        <w:widowControl/>
        <w:wordWrap w:val="0"/>
        <w:snapToGrid w:val="0"/>
        <w:spacing w:line="460" w:lineRule="exact"/>
        <w:jc w:val="left"/>
        <w:rPr>
          <w:rFonts w:ascii="宋体" w:hAnsi="宋体" w:cs="宋体"/>
          <w:b/>
          <w:color w:val="000000" w:themeColor="text1"/>
          <w:kern w:val="0"/>
          <w:sz w:val="24"/>
        </w:rPr>
      </w:pPr>
    </w:p>
    <w:p>
      <w:pPr>
        <w:widowControl/>
        <w:wordWrap w:val="0"/>
        <w:snapToGrid w:val="0"/>
        <w:spacing w:line="460" w:lineRule="exact"/>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附件7 </w:t>
      </w:r>
      <w:r>
        <w:rPr>
          <w:rFonts w:hint="eastAsia" w:ascii="宋体" w:hAnsi="宋体" w:cs="宋体"/>
          <w:b/>
          <w:color w:val="000000" w:themeColor="text1"/>
          <w:kern w:val="0"/>
          <w:sz w:val="32"/>
          <w:szCs w:val="32"/>
        </w:rPr>
        <w:t xml:space="preserve">             </w:t>
      </w:r>
      <w:r>
        <w:rPr>
          <w:rFonts w:hint="eastAsia" w:ascii="宋体" w:hAnsi="宋体" w:cs="宋体"/>
          <w:b/>
          <w:color w:val="000000" w:themeColor="text1"/>
          <w:kern w:val="0"/>
          <w:sz w:val="24"/>
        </w:rPr>
        <w:t xml:space="preserve"> 商务响应表（格式）</w:t>
      </w:r>
    </w:p>
    <w:p>
      <w:pPr>
        <w:widowControl/>
        <w:wordWrap w:val="0"/>
        <w:snapToGrid w:val="0"/>
        <w:spacing w:before="50" w:after="156" w:afterLines="50"/>
        <w:jc w:val="left"/>
        <w:rPr>
          <w:rFonts w:ascii="宋体" w:hAnsi="宋体" w:cs="宋体"/>
          <w:color w:val="000000" w:themeColor="text1"/>
          <w:kern w:val="0"/>
          <w:sz w:val="24"/>
        </w:rPr>
      </w:pPr>
      <w:r>
        <w:rPr>
          <w:rFonts w:hint="eastAsia" w:ascii="宋体" w:hAnsi="宋体" w:cs="宋体"/>
          <w:color w:val="000000" w:themeColor="text1"/>
          <w:kern w:val="0"/>
          <w:sz w:val="24"/>
        </w:rPr>
        <w:t>项目编号：</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标包号：</w:t>
      </w:r>
    </w:p>
    <w:tbl>
      <w:tblPr>
        <w:tblStyle w:val="46"/>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47"/>
        <w:gridCol w:w="2698"/>
        <w:gridCol w:w="1259"/>
        <w:gridCol w:w="301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7"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rPr>
              <w:t>项目</w:t>
            </w:r>
          </w:p>
        </w:tc>
        <w:tc>
          <w:tcPr>
            <w:tcW w:w="269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rPr>
              <w:t>招标文件要求</w:t>
            </w:r>
          </w:p>
        </w:tc>
        <w:tc>
          <w:tcPr>
            <w:tcW w:w="1259"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rPr>
              <w:t>响应情况</w:t>
            </w:r>
          </w:p>
        </w:tc>
        <w:tc>
          <w:tcPr>
            <w:tcW w:w="301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rPr>
              <w:t>供应商的承诺或说明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2" w:hRule="atLeast"/>
        </w:trPr>
        <w:tc>
          <w:tcPr>
            <w:tcW w:w="1547" w:type="dxa"/>
            <w:tcBorders>
              <w:top w:val="single" w:color="auto" w:sz="4" w:space="0"/>
              <w:left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2698" w:type="dxa"/>
            <w:tcBorders>
              <w:top w:val="single" w:color="auto" w:sz="4" w:space="0"/>
              <w:left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1259" w:type="dxa"/>
            <w:tcBorders>
              <w:top w:val="single" w:color="auto" w:sz="4" w:space="0"/>
              <w:left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p>
            <w:pPr>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c>
          <w:tcPr>
            <w:tcW w:w="3018" w:type="dxa"/>
            <w:tcBorders>
              <w:top w:val="single" w:color="auto" w:sz="4" w:space="0"/>
              <w:left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p>
            <w:pPr>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2" w:hRule="atLeast"/>
        </w:trPr>
        <w:tc>
          <w:tcPr>
            <w:tcW w:w="1547" w:type="dxa"/>
            <w:tcBorders>
              <w:top w:val="single" w:color="auto" w:sz="4" w:space="0"/>
              <w:left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rPr>
            </w:pPr>
          </w:p>
        </w:tc>
        <w:tc>
          <w:tcPr>
            <w:tcW w:w="2698" w:type="dxa"/>
            <w:tcBorders>
              <w:top w:val="single" w:color="auto" w:sz="4" w:space="0"/>
              <w:left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1259" w:type="dxa"/>
            <w:tcBorders>
              <w:top w:val="single" w:color="auto" w:sz="4" w:space="0"/>
              <w:left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3018" w:type="dxa"/>
            <w:tcBorders>
              <w:top w:val="single" w:color="auto" w:sz="4" w:space="0"/>
              <w:left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547"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269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c>
          <w:tcPr>
            <w:tcW w:w="1259"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ind w:left="86"/>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c>
          <w:tcPr>
            <w:tcW w:w="301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ind w:left="86"/>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547"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269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c>
          <w:tcPr>
            <w:tcW w:w="1259"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c>
          <w:tcPr>
            <w:tcW w:w="301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547"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rPr>
            </w:pPr>
          </w:p>
        </w:tc>
        <w:tc>
          <w:tcPr>
            <w:tcW w:w="269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1259"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301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47"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p>
        </w:tc>
        <w:tc>
          <w:tcPr>
            <w:tcW w:w="269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c>
          <w:tcPr>
            <w:tcW w:w="1259"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c>
          <w:tcPr>
            <w:tcW w:w="3018" w:type="dxa"/>
            <w:tcBorders>
              <w:top w:val="single" w:color="auto" w:sz="4" w:space="0"/>
              <w:left w:val="single" w:color="auto" w:sz="4" w:space="0"/>
              <w:bottom w:val="single" w:color="auto" w:sz="4" w:space="0"/>
              <w:right w:val="single" w:color="auto" w:sz="4" w:space="0"/>
            </w:tcBorders>
          </w:tcPr>
          <w:p>
            <w:pPr>
              <w:widowControl/>
              <w:snapToGrid w:val="0"/>
              <w:spacing w:before="156" w:beforeLines="50" w:line="3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tc>
      </w:tr>
    </w:tbl>
    <w:p>
      <w:pPr>
        <w:widowControl/>
        <w:wordWrap w:val="0"/>
        <w:snapToGrid w:val="0"/>
        <w:spacing w:before="50" w:after="156" w:afterLines="5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60" w:lineRule="exact"/>
        <w:ind w:firstLine="2400" w:firstLineChars="100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供应商代表签字： </w:t>
      </w:r>
      <w:r>
        <w:rPr>
          <w:rFonts w:hint="eastAsia" w:ascii="宋体" w:hAnsi="宋体" w:cs="宋体"/>
          <w:color w:val="000000" w:themeColor="text1"/>
          <w:kern w:val="0"/>
          <w:sz w:val="24"/>
          <w:u w:val="single"/>
        </w:rPr>
        <w:t xml:space="preserve">                </w:t>
      </w:r>
    </w:p>
    <w:p>
      <w:pPr>
        <w:widowControl/>
        <w:wordWrap w:val="0"/>
        <w:spacing w:line="460" w:lineRule="exact"/>
        <w:ind w:firstLine="2280" w:firstLineChars="95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 供应商：</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（全称并加盖公章）</w:t>
      </w:r>
    </w:p>
    <w:p>
      <w:pPr>
        <w:widowControl/>
        <w:wordWrap w:val="0"/>
        <w:snapToGrid w:val="0"/>
        <w:spacing w:before="156" w:after="156"/>
        <w:ind w:firstLine="420"/>
        <w:jc w:val="left"/>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 xml:space="preserve">                             </w:t>
      </w:r>
      <w:r>
        <w:rPr>
          <w:rFonts w:hint="eastAsia" w:ascii="宋体" w:hAnsi="宋体" w:cs="宋体"/>
          <w:color w:val="000000" w:themeColor="text1"/>
          <w:kern w:val="0"/>
          <w:sz w:val="24"/>
        </w:rPr>
        <w:t>年    月    日</w:t>
      </w:r>
    </w:p>
    <w:p>
      <w:pPr>
        <w:widowControl/>
        <w:wordWrap w:val="0"/>
        <w:snapToGrid w:val="0"/>
        <w:spacing w:line="460" w:lineRule="exact"/>
        <w:jc w:val="left"/>
        <w:rPr>
          <w:rFonts w:ascii="宋体" w:hAnsi="宋体" w:cs="宋体"/>
          <w:b/>
          <w:color w:val="000000" w:themeColor="text1"/>
          <w:kern w:val="0"/>
          <w:sz w:val="32"/>
          <w:szCs w:val="32"/>
        </w:rPr>
      </w:pPr>
      <w:r>
        <w:rPr>
          <w:rFonts w:hint="eastAsia" w:ascii="宋体" w:hAnsi="宋体" w:cs="宋体"/>
          <w:b/>
          <w:color w:val="000000" w:themeColor="text1"/>
          <w:kern w:val="0"/>
          <w:sz w:val="32"/>
          <w:szCs w:val="32"/>
        </w:rPr>
        <w:t xml:space="preserve">  </w:t>
      </w:r>
    </w:p>
    <w:p>
      <w:pPr>
        <w:pStyle w:val="68"/>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r>
        <w:rPr>
          <w:rFonts w:hint="eastAsia" w:hAnsi="宋体" w:cs="宋体"/>
          <w:color w:val="000000" w:themeColor="text1"/>
        </w:rPr>
        <w:t xml:space="preserve"> </w:t>
      </w: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widowControl/>
        <w:jc w:val="left"/>
        <w:rPr>
          <w:rFonts w:ascii="宋体" w:hAnsi="宋体" w:cs="宋体"/>
          <w:b/>
          <w:color w:val="000000" w:themeColor="text1"/>
          <w:kern w:val="0"/>
          <w:sz w:val="24"/>
        </w:rPr>
      </w:pPr>
      <w:r>
        <w:rPr>
          <w:rFonts w:hint="eastAsia" w:ascii="宋体" w:hAnsi="宋体" w:cs="宋体"/>
          <w:b/>
          <w:color w:val="000000" w:themeColor="text1"/>
          <w:kern w:val="0"/>
          <w:sz w:val="24"/>
        </w:rPr>
        <w:br w:type="page"/>
      </w:r>
    </w:p>
    <w:p>
      <w:pPr>
        <w:widowControl/>
        <w:wordWrap w:val="0"/>
        <w:spacing w:line="460" w:lineRule="exact"/>
        <w:jc w:val="left"/>
        <w:rPr>
          <w:rFonts w:ascii="宋体" w:hAnsi="宋体" w:cs="宋体"/>
          <w:color w:val="000000" w:themeColor="text1"/>
          <w:kern w:val="0"/>
          <w:sz w:val="24"/>
        </w:rPr>
      </w:pPr>
      <w:r>
        <w:rPr>
          <w:rFonts w:hint="eastAsia" w:ascii="宋体" w:hAnsi="宋体" w:cs="宋体"/>
          <w:b/>
          <w:color w:val="000000" w:themeColor="text1"/>
          <w:kern w:val="0"/>
          <w:sz w:val="24"/>
        </w:rPr>
        <w:t>附件8                   法定代表人身份证明</w:t>
      </w:r>
      <w:r>
        <w:rPr>
          <w:rFonts w:hint="eastAsia" w:ascii="宋体" w:hAnsi="宋体" w:cs="宋体"/>
          <w:color w:val="000000" w:themeColor="text1"/>
          <w:kern w:val="0"/>
          <w:sz w:val="24"/>
        </w:rPr>
        <w:t>（格式）</w:t>
      </w:r>
    </w:p>
    <w:p>
      <w:pPr>
        <w:widowControl/>
        <w:wordWrap w:val="0"/>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供应商名称：</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w:t>
      </w:r>
    </w:p>
    <w:p>
      <w:pPr>
        <w:widowControl/>
        <w:wordWrap w:val="0"/>
        <w:spacing w:line="460" w:lineRule="exact"/>
        <w:ind w:firstLine="480" w:firstLineChars="200"/>
        <w:jc w:val="left"/>
        <w:rPr>
          <w:rFonts w:ascii="宋体" w:hAnsi="宋体" w:cs="宋体"/>
          <w:color w:val="000000" w:themeColor="text1"/>
          <w:kern w:val="0"/>
          <w:sz w:val="24"/>
          <w:u w:val="single"/>
        </w:rPr>
      </w:pPr>
      <w:r>
        <w:rPr>
          <w:rFonts w:hint="eastAsia" w:ascii="宋体" w:hAnsi="宋体" w:cs="宋体"/>
          <w:color w:val="000000" w:themeColor="text1"/>
          <w:kern w:val="0"/>
          <w:sz w:val="24"/>
        </w:rPr>
        <w:t>地址：</w:t>
      </w:r>
      <w:r>
        <w:rPr>
          <w:rFonts w:hint="eastAsia" w:ascii="宋体" w:hAnsi="宋体" w:cs="宋体"/>
          <w:color w:val="000000" w:themeColor="text1"/>
          <w:kern w:val="0"/>
          <w:sz w:val="24"/>
          <w:u w:val="single"/>
        </w:rPr>
        <w:t xml:space="preserve">                               </w:t>
      </w:r>
    </w:p>
    <w:p>
      <w:pPr>
        <w:widowControl/>
        <w:wordWrap w:val="0"/>
        <w:spacing w:line="460" w:lineRule="exact"/>
        <w:ind w:firstLine="480" w:firstLineChars="200"/>
        <w:jc w:val="left"/>
        <w:rPr>
          <w:rFonts w:ascii="宋体" w:hAnsi="宋体" w:cs="宋体"/>
          <w:color w:val="000000" w:themeColor="text1"/>
          <w:kern w:val="0"/>
          <w:sz w:val="24"/>
          <w:szCs w:val="20"/>
        </w:rPr>
      </w:pPr>
      <w:r>
        <w:rPr>
          <w:rFonts w:hint="eastAsia" w:ascii="宋体" w:hAnsi="宋体" w:cs="宋体"/>
          <w:color w:val="000000" w:themeColor="text1"/>
          <w:kern w:val="0"/>
          <w:sz w:val="24"/>
        </w:rPr>
        <w:t>成立时间：</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szCs w:val="20"/>
        </w:rPr>
        <w:t>年</w:t>
      </w:r>
      <w:r>
        <w:rPr>
          <w:rFonts w:hint="eastAsia" w:ascii="宋体" w:hAnsi="宋体" w:cs="宋体"/>
          <w:color w:val="000000" w:themeColor="text1"/>
          <w:kern w:val="0"/>
          <w:sz w:val="24"/>
          <w:szCs w:val="20"/>
          <w:u w:val="single"/>
        </w:rPr>
        <w:t xml:space="preserve">    </w:t>
      </w:r>
      <w:r>
        <w:rPr>
          <w:rFonts w:hint="eastAsia" w:ascii="宋体" w:hAnsi="宋体" w:cs="宋体"/>
          <w:color w:val="000000" w:themeColor="text1"/>
          <w:kern w:val="0"/>
          <w:sz w:val="24"/>
          <w:szCs w:val="20"/>
        </w:rPr>
        <w:t>月</w:t>
      </w:r>
      <w:r>
        <w:rPr>
          <w:rFonts w:hint="eastAsia" w:ascii="宋体" w:hAnsi="宋体" w:cs="宋体"/>
          <w:color w:val="000000" w:themeColor="text1"/>
          <w:kern w:val="0"/>
          <w:sz w:val="24"/>
          <w:szCs w:val="20"/>
          <w:u w:val="single"/>
        </w:rPr>
        <w:t xml:space="preserve">    </w:t>
      </w:r>
      <w:r>
        <w:rPr>
          <w:rFonts w:hint="eastAsia" w:ascii="宋体" w:hAnsi="宋体" w:cs="宋体"/>
          <w:color w:val="000000" w:themeColor="text1"/>
          <w:kern w:val="0"/>
          <w:sz w:val="24"/>
          <w:szCs w:val="20"/>
        </w:rPr>
        <w:t>日</w:t>
      </w:r>
    </w:p>
    <w:p>
      <w:pPr>
        <w:widowControl/>
        <w:wordWrap w:val="0"/>
        <w:spacing w:line="460" w:lineRule="exact"/>
        <w:ind w:firstLine="480" w:firstLineChars="200"/>
        <w:jc w:val="left"/>
        <w:rPr>
          <w:rFonts w:ascii="宋体" w:hAnsi="宋体" w:cs="宋体"/>
          <w:color w:val="000000" w:themeColor="text1"/>
          <w:kern w:val="0"/>
          <w:sz w:val="24"/>
          <w:u w:val="single"/>
        </w:rPr>
      </w:pPr>
      <w:r>
        <w:rPr>
          <w:rFonts w:hint="eastAsia" w:ascii="宋体" w:hAnsi="宋体" w:cs="宋体"/>
          <w:color w:val="000000" w:themeColor="text1"/>
          <w:kern w:val="0"/>
          <w:sz w:val="24"/>
          <w:szCs w:val="20"/>
        </w:rPr>
        <w:t>经营期限：</w:t>
      </w:r>
      <w:r>
        <w:rPr>
          <w:rFonts w:hint="eastAsia" w:ascii="宋体" w:hAnsi="宋体" w:cs="宋体"/>
          <w:color w:val="000000" w:themeColor="text1"/>
          <w:kern w:val="0"/>
          <w:sz w:val="24"/>
          <w:u w:val="single"/>
        </w:rPr>
        <w:t xml:space="preserve">                  </w:t>
      </w:r>
    </w:p>
    <w:p>
      <w:pPr>
        <w:widowControl/>
        <w:wordWrap w:val="0"/>
        <w:spacing w:line="460" w:lineRule="exact"/>
        <w:ind w:firstLine="480" w:firstLineChars="200"/>
        <w:jc w:val="left"/>
        <w:rPr>
          <w:rFonts w:ascii="宋体" w:hAnsi="宋体" w:cs="宋体"/>
          <w:color w:val="000000" w:themeColor="text1"/>
          <w:kern w:val="0"/>
          <w:sz w:val="24"/>
          <w:szCs w:val="20"/>
        </w:rPr>
      </w:pPr>
      <w:r>
        <w:rPr>
          <w:rFonts w:hint="eastAsia" w:ascii="宋体" w:hAnsi="宋体" w:cs="宋体"/>
          <w:color w:val="000000" w:themeColor="text1"/>
          <w:kern w:val="0"/>
          <w:sz w:val="24"/>
        </w:rPr>
        <w:t>姓名：</w:t>
      </w:r>
      <w:r>
        <w:rPr>
          <w:rFonts w:hint="eastAsia" w:ascii="宋体" w:hAnsi="宋体" w:cs="宋体"/>
          <w:color w:val="000000" w:themeColor="text1"/>
          <w:kern w:val="0"/>
          <w:sz w:val="24"/>
          <w:szCs w:val="20"/>
        </w:rPr>
        <w:t>____</w:t>
      </w:r>
      <w:r>
        <w:rPr>
          <w:rFonts w:hint="eastAsia" w:ascii="宋体" w:hAnsi="宋体" w:cs="宋体"/>
          <w:color w:val="000000" w:themeColor="text1"/>
          <w:kern w:val="0"/>
          <w:sz w:val="24"/>
          <w:szCs w:val="20"/>
          <w:u w:val="single"/>
        </w:rPr>
        <w:t xml:space="preserve">    </w:t>
      </w:r>
      <w:r>
        <w:rPr>
          <w:rFonts w:hint="eastAsia" w:ascii="宋体" w:hAnsi="宋体" w:cs="宋体"/>
          <w:color w:val="000000" w:themeColor="text1"/>
          <w:kern w:val="0"/>
          <w:sz w:val="24"/>
          <w:szCs w:val="20"/>
        </w:rPr>
        <w:t>，性别：____</w:t>
      </w:r>
      <w:r>
        <w:rPr>
          <w:rFonts w:hint="eastAsia" w:ascii="宋体" w:hAnsi="宋体" w:cs="宋体"/>
          <w:color w:val="000000" w:themeColor="text1"/>
          <w:kern w:val="0"/>
          <w:sz w:val="24"/>
          <w:szCs w:val="20"/>
          <w:u w:val="single"/>
        </w:rPr>
        <w:t xml:space="preserve">   </w:t>
      </w:r>
      <w:r>
        <w:rPr>
          <w:rFonts w:hint="eastAsia" w:ascii="宋体" w:hAnsi="宋体" w:cs="宋体"/>
          <w:color w:val="000000" w:themeColor="text1"/>
          <w:kern w:val="0"/>
          <w:sz w:val="24"/>
          <w:szCs w:val="20"/>
        </w:rPr>
        <w:t>，年龄：____</w:t>
      </w:r>
      <w:r>
        <w:rPr>
          <w:rFonts w:hint="eastAsia" w:ascii="宋体" w:hAnsi="宋体" w:cs="宋体"/>
          <w:color w:val="000000" w:themeColor="text1"/>
          <w:kern w:val="0"/>
          <w:sz w:val="24"/>
          <w:szCs w:val="20"/>
          <w:u w:val="single"/>
        </w:rPr>
        <w:t xml:space="preserve">   </w:t>
      </w:r>
      <w:r>
        <w:rPr>
          <w:rFonts w:hint="eastAsia" w:ascii="宋体" w:hAnsi="宋体" w:cs="宋体"/>
          <w:color w:val="000000" w:themeColor="text1"/>
          <w:kern w:val="0"/>
          <w:sz w:val="24"/>
          <w:szCs w:val="20"/>
        </w:rPr>
        <w:t>，职务：____</w:t>
      </w:r>
      <w:r>
        <w:rPr>
          <w:rFonts w:hint="eastAsia" w:ascii="宋体" w:hAnsi="宋体" w:cs="宋体"/>
          <w:color w:val="000000" w:themeColor="text1"/>
          <w:kern w:val="0"/>
          <w:sz w:val="24"/>
          <w:szCs w:val="20"/>
          <w:u w:val="single"/>
        </w:rPr>
        <w:t xml:space="preserve">   </w:t>
      </w:r>
      <w:r>
        <w:rPr>
          <w:rFonts w:hint="eastAsia" w:ascii="宋体" w:hAnsi="宋体" w:cs="宋体"/>
          <w:color w:val="000000" w:themeColor="text1"/>
          <w:kern w:val="0"/>
          <w:sz w:val="24"/>
          <w:szCs w:val="20"/>
        </w:rPr>
        <w:t>系</w:t>
      </w:r>
      <w:r>
        <w:rPr>
          <w:rFonts w:hint="eastAsia" w:ascii="宋体" w:hAnsi="宋体" w:cs="宋体"/>
          <w:color w:val="000000" w:themeColor="text1"/>
          <w:kern w:val="0"/>
          <w:sz w:val="24"/>
          <w:szCs w:val="20"/>
          <w:u w:val="single"/>
        </w:rPr>
        <w:t xml:space="preserve">            </w:t>
      </w:r>
      <w:r>
        <w:rPr>
          <w:rFonts w:hint="eastAsia" w:ascii="宋体" w:hAnsi="宋体" w:cs="宋体"/>
          <w:color w:val="000000" w:themeColor="text1"/>
          <w:kern w:val="0"/>
          <w:sz w:val="24"/>
          <w:szCs w:val="20"/>
        </w:rPr>
        <w:t xml:space="preserve"> （供应商名称）的法定代表人。</w:t>
      </w:r>
    </w:p>
    <w:p>
      <w:pPr>
        <w:widowControl/>
        <w:wordWrap w:val="0"/>
        <w:spacing w:line="460" w:lineRule="exact"/>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 xml:space="preserve"> </w:t>
      </w:r>
    </w:p>
    <w:p>
      <w:pPr>
        <w:widowControl/>
        <w:wordWrap w:val="0"/>
        <w:spacing w:line="460" w:lineRule="exact"/>
        <w:ind w:firstLine="480" w:firstLineChars="200"/>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rPr>
        <w:t>特此证明。</w:t>
      </w:r>
    </w:p>
    <w:p>
      <w:pPr>
        <w:widowControl/>
        <w:wordWrap w:val="0"/>
        <w:spacing w:line="460" w:lineRule="exact"/>
        <w:jc w:val="left"/>
        <w:rPr>
          <w:rFonts w:ascii="宋体" w:hAnsi="宋体" w:cs="宋体"/>
          <w:color w:val="000000" w:themeColor="text1"/>
          <w:kern w:val="0"/>
          <w:sz w:val="24"/>
          <w:szCs w:val="20"/>
        </w:rPr>
      </w:pPr>
      <w:r>
        <w:rPr>
          <w:rFonts w:hint="eastAsia" w:ascii="宋体" w:hAnsi="宋体" w:cs="宋体"/>
          <w:b/>
          <w:color w:val="000000" w:themeColor="text1"/>
          <w:kern w:val="0"/>
          <w:sz w:val="36"/>
          <w:szCs w:val="36"/>
        </w:rPr>
        <w:t xml:space="preserve"> </w:t>
      </w:r>
    </w:p>
    <w:tbl>
      <w:tblPr>
        <w:tblStyle w:val="46"/>
        <w:tblpPr w:leftFromText="180" w:rightFromText="180" w:topFromText="100" w:bottomFromText="10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Borders>
              <w:top w:val="single" w:color="auto" w:sz="4" w:space="0"/>
              <w:left w:val="single" w:color="auto" w:sz="4" w:space="0"/>
              <w:bottom w:val="single" w:color="auto" w:sz="4" w:space="0"/>
              <w:right w:val="single" w:color="auto" w:sz="4" w:space="0"/>
            </w:tcBorders>
          </w:tcPr>
          <w:p>
            <w:pPr>
              <w:widowControl/>
              <w:spacing w:line="480" w:lineRule="exact"/>
              <w:jc w:val="left"/>
              <w:rPr>
                <w:rFonts w:ascii="宋体" w:hAnsi="宋体" w:cs="宋体"/>
                <w:bCs/>
                <w:color w:val="000000" w:themeColor="text1"/>
                <w:kern w:val="0"/>
                <w:sz w:val="24"/>
              </w:rPr>
            </w:pPr>
            <w:r>
              <w:rPr>
                <w:rFonts w:hint="eastAsia" w:ascii="宋体" w:hAnsi="宋体" w:cs="宋体"/>
                <w:bCs/>
                <w:color w:val="000000" w:themeColor="text1"/>
                <w:kern w:val="0"/>
                <w:sz w:val="24"/>
              </w:rPr>
              <w:t>此处请粘贴法定代表人身份证复印件</w:t>
            </w:r>
          </w:p>
          <w:p>
            <w:pPr>
              <w:widowControl/>
              <w:spacing w:line="480" w:lineRule="exact"/>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spacing w:line="480" w:lineRule="exact"/>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tc>
      </w:tr>
    </w:tbl>
    <w:p>
      <w:pPr>
        <w:widowControl/>
        <w:wordWrap w:val="0"/>
        <w:spacing w:before="312" w:beforeLines="100" w:after="312" w:afterLines="100" w:line="480" w:lineRule="exact"/>
        <w:jc w:val="center"/>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before="312" w:beforeLines="100" w:after="312" w:afterLines="100" w:line="480" w:lineRule="exact"/>
        <w:jc w:val="center"/>
        <w:rPr>
          <w:rFonts w:ascii="宋体" w:hAnsi="宋体" w:cs="宋体"/>
          <w:b/>
          <w:color w:val="000000" w:themeColor="text1"/>
          <w:kern w:val="0"/>
          <w:sz w:val="36"/>
          <w:szCs w:val="36"/>
        </w:rPr>
      </w:pPr>
      <w:r>
        <w:rPr>
          <w:rFonts w:hint="eastAsia" w:ascii="宋体" w:hAnsi="宋体" w:cs="宋体"/>
          <w:b/>
          <w:color w:val="000000" w:themeColor="text1"/>
          <w:kern w:val="0"/>
          <w:sz w:val="36"/>
          <w:szCs w:val="36"/>
        </w:rPr>
        <w:t xml:space="preserve"> </w:t>
      </w:r>
    </w:p>
    <w:p>
      <w:pPr>
        <w:widowControl/>
        <w:wordWrap w:val="0"/>
        <w:spacing w:before="312" w:beforeLines="100" w:after="312" w:afterLines="100" w:line="480" w:lineRule="exact"/>
        <w:jc w:val="center"/>
        <w:rPr>
          <w:rFonts w:ascii="宋体" w:hAnsi="宋体" w:cs="宋体"/>
          <w:b/>
          <w:color w:val="000000" w:themeColor="text1"/>
          <w:kern w:val="0"/>
          <w:sz w:val="36"/>
          <w:szCs w:val="36"/>
        </w:rPr>
      </w:pPr>
      <w:r>
        <w:rPr>
          <w:rFonts w:hint="eastAsia" w:ascii="宋体" w:hAnsi="宋体" w:cs="宋体"/>
          <w:b/>
          <w:color w:val="000000" w:themeColor="text1"/>
          <w:kern w:val="0"/>
          <w:sz w:val="36"/>
          <w:szCs w:val="36"/>
        </w:rPr>
        <w:t xml:space="preserve"> </w:t>
      </w:r>
    </w:p>
    <w:p>
      <w:pPr>
        <w:widowControl/>
        <w:wordWrap w:val="0"/>
        <w:spacing w:line="480" w:lineRule="exact"/>
        <w:jc w:val="righ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80" w:lineRule="exact"/>
        <w:jc w:val="righ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napToGrid w:val="0"/>
        <w:spacing w:line="460" w:lineRule="exact"/>
        <w:ind w:firstLine="2760" w:firstLineChars="1150"/>
        <w:jc w:val="left"/>
        <w:rPr>
          <w:rFonts w:ascii="宋体" w:hAnsi="宋体" w:cs="宋体"/>
          <w:color w:val="000000" w:themeColor="text1"/>
          <w:kern w:val="0"/>
          <w:sz w:val="24"/>
        </w:rPr>
      </w:pPr>
      <w:r>
        <w:rPr>
          <w:rFonts w:hint="eastAsia" w:ascii="宋体" w:hAnsi="宋体" w:cs="宋体"/>
          <w:color w:val="000000" w:themeColor="text1"/>
          <w:kern w:val="0"/>
          <w:sz w:val="24"/>
        </w:rPr>
        <w:t>供应商：</w:t>
      </w:r>
      <w:r>
        <w:rPr>
          <w:rFonts w:hint="eastAsia" w:ascii="宋体" w:hAnsi="宋体" w:cs="宋体"/>
          <w:color w:val="000000" w:themeColor="text1"/>
          <w:kern w:val="0"/>
          <w:sz w:val="24"/>
          <w:u w:val="single"/>
        </w:rPr>
        <w:t xml:space="preserve">______     __      </w:t>
      </w:r>
      <w:r>
        <w:rPr>
          <w:rFonts w:hint="eastAsia" w:ascii="宋体" w:hAnsi="宋体" w:cs="宋体"/>
          <w:color w:val="000000" w:themeColor="text1"/>
          <w:kern w:val="0"/>
          <w:sz w:val="24"/>
        </w:rPr>
        <w:t>（全称并加盖公章）</w:t>
      </w:r>
    </w:p>
    <w:p>
      <w:pPr>
        <w:widowControl/>
        <w:wordWrap w:val="0"/>
        <w:spacing w:line="460" w:lineRule="exact"/>
        <w:jc w:val="left"/>
        <w:rPr>
          <w:rFonts w:ascii="宋体" w:hAnsi="宋体" w:cs="宋体"/>
          <w:color w:val="000000" w:themeColor="text1"/>
          <w:kern w:val="0"/>
          <w:sz w:val="24"/>
        </w:rPr>
      </w:pPr>
      <w:r>
        <w:rPr>
          <w:rFonts w:hint="eastAsia" w:ascii="宋体" w:hAnsi="宋体" w:cs="宋体"/>
          <w:color w:val="000000" w:themeColor="text1"/>
          <w:kern w:val="0"/>
          <w:sz w:val="36"/>
          <w:szCs w:val="36"/>
        </w:rPr>
        <w:t xml:space="preserve">                      </w:t>
      </w:r>
      <w:r>
        <w:rPr>
          <w:rFonts w:hint="eastAsia" w:ascii="宋体" w:hAnsi="宋体" w:cs="宋体"/>
          <w:bCs/>
          <w:color w:val="000000" w:themeColor="text1"/>
          <w:kern w:val="0"/>
          <w:sz w:val="24"/>
        </w:rPr>
        <w:t xml:space="preserve"> </w:t>
      </w:r>
      <w:r>
        <w:rPr>
          <w:rFonts w:hint="eastAsia" w:ascii="宋体" w:hAnsi="宋体" w:cs="宋体"/>
          <w:color w:val="000000" w:themeColor="text1"/>
          <w:kern w:val="0"/>
          <w:sz w:val="24"/>
        </w:rPr>
        <w:t>年    月    日</w:t>
      </w: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pStyle w:val="68"/>
        <w:ind w:left="0" w:firstLine="0"/>
        <w:rPr>
          <w:rFonts w:hAnsi="宋体" w:cs="宋体"/>
          <w:color w:val="000000" w:themeColor="text1"/>
        </w:rPr>
      </w:pPr>
    </w:p>
    <w:p>
      <w:pPr>
        <w:widowControl/>
        <w:jc w:val="left"/>
        <w:rPr>
          <w:rFonts w:ascii="宋体" w:hAnsi="宋体" w:cs="宋体"/>
          <w:b/>
          <w:color w:val="000000" w:themeColor="text1"/>
          <w:kern w:val="0"/>
          <w:sz w:val="24"/>
        </w:rPr>
      </w:pPr>
      <w:r>
        <w:rPr>
          <w:rFonts w:hint="eastAsia" w:ascii="宋体" w:hAnsi="宋体" w:cs="宋体"/>
          <w:b/>
          <w:color w:val="000000" w:themeColor="text1"/>
          <w:kern w:val="0"/>
          <w:sz w:val="24"/>
        </w:rPr>
        <w:br w:type="page"/>
      </w:r>
    </w:p>
    <w:p>
      <w:pPr>
        <w:widowControl/>
        <w:wordWrap w:val="0"/>
        <w:spacing w:line="460" w:lineRule="exact"/>
        <w:jc w:val="left"/>
        <w:rPr>
          <w:rFonts w:ascii="宋体" w:hAnsi="宋体" w:cs="宋体"/>
          <w:b/>
          <w:color w:val="000000" w:themeColor="text1"/>
          <w:kern w:val="0"/>
          <w:sz w:val="32"/>
          <w:szCs w:val="32"/>
        </w:rPr>
      </w:pPr>
      <w:r>
        <w:rPr>
          <w:rFonts w:hint="eastAsia" w:ascii="宋体" w:hAnsi="宋体" w:cs="宋体"/>
          <w:b/>
          <w:color w:val="000000" w:themeColor="text1"/>
          <w:kern w:val="0"/>
          <w:sz w:val="24"/>
        </w:rPr>
        <w:t>附件9                 法定代表人授权书</w:t>
      </w:r>
      <w:r>
        <w:rPr>
          <w:rFonts w:hint="eastAsia" w:ascii="宋体" w:hAnsi="宋体" w:cs="宋体"/>
          <w:color w:val="000000" w:themeColor="text1"/>
          <w:kern w:val="0"/>
          <w:sz w:val="24"/>
        </w:rPr>
        <w:t>（格式）</w:t>
      </w:r>
    </w:p>
    <w:p>
      <w:pPr>
        <w:widowControl/>
        <w:tabs>
          <w:tab w:val="left" w:pos="420"/>
          <w:tab w:val="left" w:pos="2160"/>
        </w:tabs>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napToGrid w:val="0"/>
        <w:spacing w:line="460" w:lineRule="exact"/>
        <w:jc w:val="left"/>
        <w:rPr>
          <w:rFonts w:ascii="宋体" w:hAnsi="宋体" w:cs="宋体"/>
          <w:b/>
          <w:bCs/>
          <w:color w:val="000000" w:themeColor="text1"/>
          <w:kern w:val="0"/>
          <w:sz w:val="24"/>
        </w:rPr>
      </w:pPr>
      <w:r>
        <w:rPr>
          <w:rFonts w:hint="eastAsia" w:ascii="宋体" w:hAnsi="宋体" w:cs="宋体"/>
          <w:bCs/>
          <w:color w:val="000000" w:themeColor="text1"/>
          <w:kern w:val="0"/>
          <w:sz w:val="24"/>
        </w:rPr>
        <w:t>致：</w:t>
      </w:r>
      <w:r>
        <w:rPr>
          <w:rFonts w:hint="eastAsia" w:ascii="宋体" w:hAnsi="宋体" w:cs="宋体"/>
          <w:color w:val="000000" w:themeColor="text1"/>
          <w:kern w:val="0"/>
          <w:sz w:val="24"/>
        </w:rPr>
        <w:t>______</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（采购代理机构名称）</w:t>
      </w:r>
      <w:r>
        <w:rPr>
          <w:rFonts w:hint="eastAsia" w:ascii="宋体" w:hAnsi="宋体" w:cs="宋体"/>
          <w:b/>
          <w:bCs/>
          <w:color w:val="000000" w:themeColor="text1"/>
          <w:kern w:val="0"/>
          <w:sz w:val="24"/>
        </w:rPr>
        <w:t xml:space="preserve"> </w:t>
      </w:r>
      <w:r>
        <w:rPr>
          <w:rFonts w:hint="eastAsia" w:ascii="宋体" w:hAnsi="宋体" w:cs="宋体"/>
          <w:color w:val="000000" w:themeColor="text1"/>
          <w:kern w:val="0"/>
          <w:sz w:val="24"/>
        </w:rPr>
        <w:t>：</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我______（姓名）系______（供应商名称）的法定代表人，现委托 </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（姓名）为我方代理人。代理人根据本授权，以我方的名义参加</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_</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项目标包号： （项目编号：</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）的投标活动，并代表我方全权办理针对上述项目的投标、开标、评标、签约等具体事务和签署相关文件。</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我方对代理人的签名负全部责任。在撤销授权的书面通知以前，本授权书一直有效。代理人在授权书有效期内签署的所有文件不因授权的撤销而失效。</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如果本次采购活动现场变更采购方式，本授权书有效。</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代理人无转委托权。</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委托期限：</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w:t>
      </w:r>
    </w:p>
    <w:p>
      <w:pPr>
        <w:widowControl/>
        <w:wordWrap w:val="0"/>
        <w:snapToGrid w:val="0"/>
        <w:spacing w:line="460" w:lineRule="exact"/>
        <w:ind w:firstLine="480" w:firstLineChars="200"/>
        <w:jc w:val="left"/>
        <w:rPr>
          <w:rFonts w:ascii="宋体" w:hAnsi="宋体" w:cs="宋体"/>
          <w:color w:val="000000" w:themeColor="text1"/>
          <w:kern w:val="0"/>
          <w:sz w:val="24"/>
          <w:u w:val="single"/>
        </w:rPr>
      </w:pPr>
      <w:r>
        <w:rPr>
          <w:rFonts w:hint="eastAsia" w:ascii="宋体" w:hAnsi="宋体" w:cs="宋体"/>
          <w:color w:val="000000" w:themeColor="text1"/>
          <w:kern w:val="0"/>
          <w:sz w:val="24"/>
        </w:rPr>
        <w:t>委托代理人签名：</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法定代表人签名：</w:t>
      </w:r>
      <w:r>
        <w:rPr>
          <w:rFonts w:hint="eastAsia" w:ascii="宋体" w:hAnsi="宋体" w:cs="宋体"/>
          <w:color w:val="000000" w:themeColor="text1"/>
          <w:kern w:val="0"/>
          <w:sz w:val="24"/>
          <w:u w:val="single"/>
        </w:rPr>
        <w:t xml:space="preserve">          </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职务：</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职务：</w:t>
      </w:r>
      <w:r>
        <w:rPr>
          <w:rFonts w:hint="eastAsia" w:ascii="宋体" w:hAnsi="宋体" w:cs="宋体"/>
          <w:color w:val="000000" w:themeColor="text1"/>
          <w:kern w:val="0"/>
          <w:sz w:val="24"/>
          <w:u w:val="single"/>
        </w:rPr>
        <w:t xml:space="preserve">           </w:t>
      </w:r>
    </w:p>
    <w:p>
      <w:pPr>
        <w:widowControl/>
        <w:wordWrap w:val="0"/>
        <w:snapToGrid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委托代理人身份证号码：</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 xml:space="preserve">                                                  </w:t>
      </w:r>
    </w:p>
    <w:tbl>
      <w:tblPr>
        <w:tblStyle w:val="46"/>
        <w:tblpPr w:leftFromText="180" w:rightFromText="180" w:topFromText="100" w:bottomFromText="100" w:vertAnchor="text" w:horzAnchor="page" w:tblpX="2233" w:tblpY="3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42" w:hRule="atLeast"/>
        </w:trPr>
        <w:tc>
          <w:tcPr>
            <w:tcW w:w="5508" w:type="dxa"/>
            <w:tcBorders>
              <w:top w:val="single" w:color="auto" w:sz="4" w:space="0"/>
              <w:left w:val="single" w:color="auto" w:sz="4" w:space="0"/>
              <w:bottom w:val="single" w:color="auto" w:sz="4" w:space="0"/>
              <w:right w:val="single" w:color="auto" w:sz="4" w:space="0"/>
            </w:tcBorders>
          </w:tcPr>
          <w:p>
            <w:pPr>
              <w:widowControl/>
              <w:spacing w:line="480" w:lineRule="exact"/>
              <w:jc w:val="left"/>
              <w:rPr>
                <w:rFonts w:ascii="宋体" w:hAnsi="宋体" w:cs="宋体"/>
                <w:color w:val="000000" w:themeColor="text1"/>
                <w:kern w:val="0"/>
                <w:sz w:val="24"/>
              </w:rPr>
            </w:pPr>
            <w:r>
              <w:rPr>
                <w:rFonts w:hint="eastAsia" w:ascii="宋体" w:hAnsi="宋体" w:cs="宋体"/>
                <w:bCs/>
                <w:color w:val="000000" w:themeColor="text1"/>
                <w:kern w:val="0"/>
                <w:sz w:val="24"/>
              </w:rPr>
              <w:t>此处请粘贴</w:t>
            </w:r>
            <w:r>
              <w:rPr>
                <w:rFonts w:hint="eastAsia" w:ascii="宋体" w:hAnsi="宋体" w:cs="宋体"/>
                <w:color w:val="000000" w:themeColor="text1"/>
                <w:kern w:val="0"/>
                <w:sz w:val="24"/>
              </w:rPr>
              <w:t>委托代理人</w:t>
            </w:r>
            <w:r>
              <w:rPr>
                <w:rFonts w:hint="eastAsia" w:ascii="宋体" w:hAnsi="宋体" w:cs="宋体"/>
                <w:bCs/>
                <w:color w:val="000000" w:themeColor="text1"/>
                <w:kern w:val="0"/>
                <w:sz w:val="24"/>
              </w:rPr>
              <w:t>身份证复印件</w:t>
            </w:r>
          </w:p>
        </w:tc>
      </w:tr>
    </w:tbl>
    <w:p>
      <w:pPr>
        <w:widowControl/>
        <w:wordWrap w:val="0"/>
        <w:spacing w:line="360" w:lineRule="auto"/>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360" w:lineRule="auto"/>
        <w:jc w:val="center"/>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60" w:lineRule="exact"/>
        <w:ind w:firstLine="960" w:firstLineChars="400"/>
        <w:jc w:val="left"/>
        <w:rPr>
          <w:rFonts w:ascii="宋体" w:hAnsi="宋体" w:cs="宋体"/>
          <w:color w:val="000000" w:themeColor="text1"/>
          <w:kern w:val="0"/>
          <w:sz w:val="24"/>
        </w:rPr>
      </w:pPr>
    </w:p>
    <w:p>
      <w:pPr>
        <w:widowControl/>
        <w:wordWrap w:val="0"/>
        <w:spacing w:line="460" w:lineRule="exact"/>
        <w:ind w:firstLine="960" w:firstLineChars="400"/>
        <w:jc w:val="left"/>
        <w:rPr>
          <w:rFonts w:ascii="宋体" w:hAnsi="宋体" w:cs="宋体"/>
          <w:color w:val="000000" w:themeColor="text1"/>
          <w:kern w:val="0"/>
          <w:sz w:val="24"/>
        </w:rPr>
      </w:pPr>
      <w:r>
        <w:rPr>
          <w:rFonts w:hint="eastAsia" w:ascii="宋体" w:hAnsi="宋体" w:cs="宋体"/>
          <w:color w:val="000000" w:themeColor="text1"/>
          <w:kern w:val="0"/>
          <w:sz w:val="24"/>
        </w:rPr>
        <w:t>供应商：</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（全称并加盖公章）</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60" w:lineRule="exact"/>
        <w:ind w:firstLine="3840" w:firstLineChars="1600"/>
        <w:jc w:val="left"/>
        <w:rPr>
          <w:rFonts w:ascii="宋体" w:hAnsi="宋体" w:cs="宋体"/>
          <w:b/>
          <w:color w:val="000000" w:themeColor="text1"/>
          <w:kern w:val="0"/>
          <w:sz w:val="32"/>
          <w:szCs w:val="32"/>
        </w:rPr>
      </w:pPr>
      <w:r>
        <w:rPr>
          <w:rFonts w:hint="eastAsia" w:ascii="宋体" w:hAnsi="宋体" w:cs="宋体"/>
          <w:color w:val="000000" w:themeColor="text1"/>
          <w:kern w:val="0"/>
          <w:sz w:val="24"/>
        </w:rPr>
        <w:t>年    月    日</w:t>
      </w:r>
    </w:p>
    <w:p>
      <w:pPr>
        <w:widowControl/>
        <w:wordWrap w:val="0"/>
        <w:snapToGrid w:val="0"/>
        <w:spacing w:before="156" w:after="156"/>
        <w:jc w:val="left"/>
        <w:rPr>
          <w:rFonts w:ascii="宋体" w:hAnsi="宋体" w:cs="宋体"/>
          <w:b/>
          <w:color w:val="000000" w:themeColor="text1"/>
          <w:kern w:val="0"/>
          <w:sz w:val="24"/>
        </w:rPr>
      </w:pPr>
    </w:p>
    <w:p>
      <w:pPr>
        <w:pStyle w:val="68"/>
        <w:rPr>
          <w:rFonts w:hAnsi="宋体" w:cs="宋体"/>
          <w:color w:val="000000" w:themeColor="text1"/>
        </w:rPr>
      </w:pPr>
    </w:p>
    <w:p>
      <w:pPr>
        <w:pStyle w:val="68"/>
        <w:rPr>
          <w:rFonts w:hAnsi="宋体" w:cs="宋体"/>
          <w:color w:val="000000" w:themeColor="text1"/>
        </w:rPr>
      </w:pPr>
    </w:p>
    <w:p>
      <w:pPr>
        <w:pStyle w:val="68"/>
        <w:rPr>
          <w:rFonts w:hAnsi="宋体" w:cs="宋体"/>
          <w:color w:val="000000" w:themeColor="text1"/>
        </w:rPr>
      </w:pPr>
    </w:p>
    <w:p>
      <w:pPr>
        <w:pStyle w:val="68"/>
        <w:ind w:left="0" w:firstLine="0"/>
        <w:rPr>
          <w:rFonts w:hAnsi="宋体" w:cs="宋体"/>
          <w:color w:val="000000" w:themeColor="text1"/>
        </w:rPr>
      </w:pPr>
    </w:p>
    <w:p>
      <w:pPr>
        <w:widowControl/>
        <w:wordWrap w:val="0"/>
        <w:snapToGrid w:val="0"/>
        <w:spacing w:before="156" w:after="156"/>
        <w:jc w:val="left"/>
        <w:rPr>
          <w:rFonts w:ascii="宋体" w:hAnsi="宋体" w:cs="宋体"/>
          <w:b/>
          <w:color w:val="000000" w:themeColor="text1"/>
          <w:kern w:val="0"/>
          <w:sz w:val="24"/>
        </w:rPr>
      </w:pPr>
      <w:r>
        <w:rPr>
          <w:rFonts w:hint="eastAsia" w:ascii="宋体" w:hAnsi="宋体" w:cs="宋体"/>
          <w:b/>
          <w:color w:val="000000" w:themeColor="text1"/>
          <w:kern w:val="0"/>
          <w:sz w:val="24"/>
        </w:rPr>
        <w:t>附件10                       证明文件</w:t>
      </w:r>
    </w:p>
    <w:p>
      <w:pPr>
        <w:widowControl/>
        <w:numPr>
          <w:ilvl w:val="0"/>
          <w:numId w:val="6"/>
        </w:numPr>
        <w:spacing w:line="360" w:lineRule="auto"/>
        <w:ind w:firstLine="480" w:firstLineChars="200"/>
        <w:jc w:val="left"/>
        <w:textAlignment w:val="baseline"/>
        <w:rPr>
          <w:rFonts w:ascii="宋体" w:cs="宋体"/>
          <w:kern w:val="0"/>
          <w:sz w:val="24"/>
        </w:rPr>
      </w:pPr>
      <w:r>
        <w:rPr>
          <w:rFonts w:hint="eastAsia" w:ascii="宋体" w:cs="宋体"/>
          <w:kern w:val="0"/>
          <w:sz w:val="24"/>
        </w:rPr>
        <w:t>招标文件中要求提供的资格证明文件</w:t>
      </w:r>
    </w:p>
    <w:p>
      <w:pPr>
        <w:pStyle w:val="18"/>
        <w:rPr>
          <w:color w:val="000000" w:themeColor="text1"/>
        </w:rPr>
      </w:pPr>
      <w:r>
        <w:rPr>
          <w:rFonts w:hint="eastAsia" w:ascii="宋体" w:cs="宋体"/>
          <w:kern w:val="0"/>
          <w:sz w:val="24"/>
        </w:rPr>
        <w:t>2、其他（招标文件要求提供的或供应商认为为本次招标所需提供的）（格式自拟）</w:t>
      </w:r>
      <w:r>
        <w:rPr>
          <w:rFonts w:hint="eastAsia" w:ascii="宋体" w:cs="宋体"/>
          <w:b/>
          <w:bCs/>
          <w:kern w:val="0"/>
          <w:sz w:val="24"/>
        </w:rPr>
        <w:br w:type="page"/>
      </w:r>
    </w:p>
    <w:p>
      <w:pPr>
        <w:spacing w:before="60" w:line="219" w:lineRule="auto"/>
        <w:ind w:left="20"/>
        <w:jc w:val="center"/>
        <w:outlineLvl w:val="3"/>
        <w:rPr>
          <w:rFonts w:ascii="宋体" w:hAnsi="宋体" w:cs="宋体"/>
          <w:sz w:val="24"/>
        </w:rPr>
      </w:pPr>
      <w:r>
        <w:rPr>
          <w:rFonts w:hint="eastAsia"/>
          <w:b/>
          <w:spacing w:val="6"/>
          <w:sz w:val="24"/>
        </w:rPr>
        <w:t>中小企业声明函</w:t>
      </w:r>
      <w:r>
        <w:rPr>
          <w:rFonts w:ascii="宋体" w:hAnsi="宋体" w:cs="宋体"/>
          <w:b/>
          <w:bCs/>
          <w:spacing w:val="-7"/>
          <w:sz w:val="24"/>
        </w:rPr>
        <w:t>中小企业声明函（货物</w:t>
      </w:r>
      <w:r>
        <w:rPr>
          <w:rFonts w:ascii="宋体" w:hAnsi="宋体" w:cs="宋体"/>
          <w:b/>
          <w:bCs/>
          <w:sz w:val="24"/>
        </w:rPr>
        <w:t>）（</w:t>
      </w:r>
      <w:r>
        <w:rPr>
          <w:rFonts w:ascii="宋体" w:hAnsi="宋体" w:cs="宋体"/>
          <w:b/>
          <w:bCs/>
          <w:spacing w:val="-7"/>
          <w:sz w:val="24"/>
        </w:rPr>
        <w:t>格式）</w:t>
      </w:r>
    </w:p>
    <w:p>
      <w:pPr>
        <w:pStyle w:val="18"/>
        <w:spacing w:line="373" w:lineRule="auto"/>
      </w:pPr>
    </w:p>
    <w:p>
      <w:pPr>
        <w:spacing w:before="238" w:line="407" w:lineRule="auto"/>
        <w:ind w:left="18" w:right="105" w:firstLine="426"/>
        <w:rPr>
          <w:rFonts w:ascii="宋体" w:hAnsi="宋体" w:cs="宋体"/>
          <w:spacing w:val="-1"/>
          <w:sz w:val="24"/>
        </w:rPr>
      </w:pPr>
      <w:r>
        <w:rPr>
          <w:rFonts w:ascii="宋体" w:hAnsi="宋体" w:cs="宋体"/>
          <w:spacing w:val="-1"/>
          <w:sz w:val="24"/>
        </w:rPr>
        <w:t>本公司（联合体）郑重声明，根据《政府采购促进中小企业发展管理办法》（财库﹝2020﹞46 号）的规定，本公司（联合体）参加（单位名称）的（项目名称）采购活动，提供的货物全部由符合政策要求的中小企业制造(或者：服务全部由符合政策要求的中小企业承接）。相关企业（含联合体中的中小企业 、签订分包意向协议的中小企业）的具体情况如下：</w:t>
      </w:r>
    </w:p>
    <w:p>
      <w:pPr>
        <w:spacing w:before="238" w:line="407" w:lineRule="auto"/>
        <w:ind w:left="18" w:right="105" w:firstLine="426"/>
        <w:rPr>
          <w:rFonts w:ascii="宋体" w:hAnsi="宋体" w:cs="宋体"/>
          <w:spacing w:val="-1"/>
          <w:sz w:val="24"/>
        </w:rPr>
      </w:pPr>
      <w:r>
        <w:rPr>
          <w:rFonts w:ascii="宋体" w:hAnsi="宋体" w:cs="宋体"/>
          <w:spacing w:val="-1"/>
          <w:sz w:val="24"/>
        </w:rPr>
        <w:t xml:space="preserve">1. </w:t>
      </w:r>
      <w:r>
        <w:rPr>
          <w:rFonts w:ascii="宋体" w:hAnsi="宋体" w:cs="宋体"/>
          <w:spacing w:val="-1"/>
          <w:sz w:val="24"/>
          <w:u w:val="single"/>
        </w:rPr>
        <w:t xml:space="preserve">（标的名称） </w:t>
      </w:r>
      <w:r>
        <w:rPr>
          <w:rFonts w:ascii="宋体" w:hAnsi="宋体" w:cs="宋体"/>
          <w:spacing w:val="-1"/>
          <w:sz w:val="24"/>
        </w:rPr>
        <w:t>，属于</w:t>
      </w:r>
      <w:r>
        <w:rPr>
          <w:rFonts w:ascii="宋体" w:hAnsi="宋体" w:cs="宋体"/>
          <w:spacing w:val="-1"/>
          <w:sz w:val="24"/>
          <w:u w:val="single"/>
        </w:rPr>
        <w:t xml:space="preserve">（采购文件中明确的所属行业） </w:t>
      </w:r>
      <w:r>
        <w:rPr>
          <w:rFonts w:ascii="宋体" w:hAnsi="宋体" w:cs="宋体"/>
          <w:spacing w:val="-1"/>
          <w:sz w:val="24"/>
        </w:rPr>
        <w:t>行业；制造商为</w:t>
      </w:r>
      <w:r>
        <w:rPr>
          <w:rFonts w:ascii="宋体" w:hAnsi="宋体" w:cs="宋体"/>
          <w:spacing w:val="-1"/>
          <w:sz w:val="24"/>
          <w:u w:val="single"/>
        </w:rPr>
        <w:t>（企业名称），</w:t>
      </w:r>
      <w:r>
        <w:rPr>
          <w:rFonts w:ascii="宋体" w:hAnsi="宋体" w:cs="宋体"/>
          <w:spacing w:val="-1"/>
          <w:sz w:val="24"/>
        </w:rPr>
        <w:t>从业人员</w:t>
      </w:r>
      <w:r>
        <w:rPr>
          <w:rFonts w:ascii="宋体" w:hAnsi="宋体" w:cs="宋体"/>
          <w:spacing w:val="-1"/>
          <w:sz w:val="24"/>
          <w:u w:val="single"/>
        </w:rPr>
        <w:t xml:space="preserve"> /   </w:t>
      </w:r>
      <w:r>
        <w:rPr>
          <w:rFonts w:ascii="宋体" w:hAnsi="宋体" w:cs="宋体"/>
          <w:spacing w:val="-1"/>
          <w:sz w:val="24"/>
        </w:rPr>
        <w:t>人，营业收入为</w:t>
      </w:r>
      <w:r>
        <w:rPr>
          <w:rFonts w:ascii="宋体" w:hAnsi="宋体" w:cs="宋体"/>
          <w:spacing w:val="-1"/>
          <w:sz w:val="24"/>
          <w:u w:val="single"/>
        </w:rPr>
        <w:t xml:space="preserve">  /    </w:t>
      </w:r>
      <w:r>
        <w:rPr>
          <w:rFonts w:ascii="宋体" w:hAnsi="宋体" w:cs="宋体"/>
          <w:spacing w:val="-1"/>
          <w:sz w:val="24"/>
        </w:rPr>
        <w:t>万元，资产总额为</w:t>
      </w:r>
      <w:r>
        <w:rPr>
          <w:rFonts w:ascii="宋体" w:hAnsi="宋体" w:cs="宋体"/>
          <w:spacing w:val="-1"/>
          <w:sz w:val="24"/>
          <w:u w:val="single"/>
        </w:rPr>
        <w:t xml:space="preserve">  /   </w:t>
      </w:r>
      <w:r>
        <w:rPr>
          <w:rFonts w:ascii="宋体" w:hAnsi="宋体" w:cs="宋体"/>
          <w:spacing w:val="-1"/>
          <w:sz w:val="24"/>
        </w:rPr>
        <w:t>万元①,属于</w:t>
      </w:r>
      <w:r>
        <w:rPr>
          <w:rFonts w:ascii="宋体" w:hAnsi="宋体" w:cs="宋体"/>
          <w:spacing w:val="-1"/>
          <w:sz w:val="24"/>
          <w:u w:val="single"/>
        </w:rPr>
        <w:t>（中型企业、小型企业、微型企业）</w:t>
      </w:r>
      <w:r>
        <w:rPr>
          <w:rFonts w:ascii="宋体" w:hAnsi="宋体" w:cs="宋体"/>
          <w:spacing w:val="-1"/>
          <w:sz w:val="24"/>
        </w:rPr>
        <w:t>；</w:t>
      </w:r>
    </w:p>
    <w:p>
      <w:pPr>
        <w:spacing w:before="238" w:line="407" w:lineRule="auto"/>
        <w:ind w:left="18" w:right="105" w:firstLine="426"/>
        <w:rPr>
          <w:rFonts w:ascii="宋体" w:hAnsi="宋体" w:cs="宋体"/>
          <w:spacing w:val="-1"/>
          <w:sz w:val="24"/>
        </w:rPr>
      </w:pPr>
      <w:r>
        <w:rPr>
          <w:rFonts w:ascii="宋体" w:hAnsi="宋体" w:cs="宋体"/>
          <w:spacing w:val="-1"/>
          <w:sz w:val="24"/>
        </w:rPr>
        <w:t>2. （标的名称）  ,属于（采购文件中明确的所属行业）行业；制造商为</w:t>
      </w:r>
      <w:r>
        <w:rPr>
          <w:rFonts w:ascii="宋体" w:hAnsi="宋体" w:cs="宋体"/>
          <w:spacing w:val="-1"/>
          <w:sz w:val="24"/>
          <w:u w:val="single"/>
        </w:rPr>
        <w:t>（企业名称），</w:t>
      </w:r>
      <w:r>
        <w:rPr>
          <w:rFonts w:ascii="宋体" w:hAnsi="宋体" w:cs="宋体"/>
          <w:spacing w:val="-1"/>
          <w:sz w:val="24"/>
        </w:rPr>
        <w:t>从业人员</w:t>
      </w:r>
      <w:r>
        <w:rPr>
          <w:rFonts w:ascii="宋体" w:hAnsi="宋体" w:cs="宋体"/>
          <w:spacing w:val="-1"/>
          <w:sz w:val="24"/>
          <w:u w:val="single"/>
        </w:rPr>
        <w:t xml:space="preserve">   </w:t>
      </w:r>
      <w:r>
        <w:rPr>
          <w:rFonts w:ascii="宋体" w:hAnsi="宋体" w:cs="宋体"/>
          <w:spacing w:val="-1"/>
          <w:sz w:val="24"/>
        </w:rPr>
        <w:t>人，营业收入为</w:t>
      </w:r>
      <w:r>
        <w:rPr>
          <w:rFonts w:ascii="宋体" w:hAnsi="宋体" w:cs="宋体"/>
          <w:spacing w:val="-1"/>
          <w:sz w:val="24"/>
          <w:u w:val="single"/>
        </w:rPr>
        <w:t xml:space="preserve">     </w:t>
      </w:r>
      <w:r>
        <w:rPr>
          <w:rFonts w:ascii="宋体" w:hAnsi="宋体" w:cs="宋体"/>
          <w:spacing w:val="-1"/>
          <w:sz w:val="24"/>
        </w:rPr>
        <w:t>万元，资产总额为</w:t>
      </w:r>
      <w:r>
        <w:rPr>
          <w:rFonts w:ascii="宋体" w:hAnsi="宋体" w:cs="宋体"/>
          <w:spacing w:val="-1"/>
          <w:sz w:val="24"/>
          <w:u w:val="single"/>
        </w:rPr>
        <w:t xml:space="preserve">      </w:t>
      </w:r>
      <w:r>
        <w:rPr>
          <w:rFonts w:ascii="宋体" w:hAnsi="宋体" w:cs="宋体"/>
          <w:spacing w:val="-1"/>
          <w:sz w:val="24"/>
        </w:rPr>
        <w:t>万元，属于</w:t>
      </w:r>
      <w:r>
        <w:rPr>
          <w:rFonts w:ascii="宋体" w:hAnsi="宋体" w:cs="宋体"/>
          <w:spacing w:val="-1"/>
          <w:sz w:val="24"/>
          <w:u w:val="single"/>
        </w:rPr>
        <w:t>（中型企业、小型企业、微型企业）</w:t>
      </w:r>
      <w:r>
        <w:rPr>
          <w:rFonts w:ascii="宋体" w:hAnsi="宋体" w:cs="宋体"/>
          <w:spacing w:val="-1"/>
          <w:sz w:val="24"/>
        </w:rPr>
        <w:t>；</w:t>
      </w:r>
    </w:p>
    <w:p>
      <w:pPr>
        <w:spacing w:before="69" w:line="153" w:lineRule="exact"/>
        <w:ind w:left="644"/>
        <w:rPr>
          <w:rFonts w:ascii="宋体" w:hAnsi="宋体" w:cs="宋体"/>
          <w:sz w:val="24"/>
        </w:rPr>
      </w:pPr>
      <w:r>
        <w:rPr>
          <w:rFonts w:ascii="宋体" w:hAnsi="宋体" w:cs="宋体"/>
          <w:spacing w:val="-6"/>
          <w:position w:val="-3"/>
          <w:sz w:val="24"/>
        </w:rPr>
        <w:t>……</w:t>
      </w:r>
    </w:p>
    <w:p>
      <w:pPr>
        <w:spacing w:before="238" w:line="407" w:lineRule="auto"/>
        <w:ind w:left="18" w:right="105" w:firstLine="426"/>
        <w:rPr>
          <w:rFonts w:ascii="宋体" w:hAnsi="宋体" w:cs="宋体"/>
          <w:sz w:val="24"/>
        </w:rPr>
      </w:pPr>
      <w:r>
        <w:rPr>
          <w:rFonts w:ascii="宋体" w:hAnsi="宋体" w:cs="宋体"/>
          <w:spacing w:val="-1"/>
          <w:sz w:val="24"/>
        </w:rPr>
        <w:t>以上企业，不属于大企业的分支机构，不存在控股股东为大企业的情形，也不存在与大企业</w:t>
      </w:r>
      <w:r>
        <w:rPr>
          <w:rFonts w:ascii="宋体" w:hAnsi="宋体" w:cs="宋体"/>
          <w:spacing w:val="7"/>
          <w:sz w:val="24"/>
        </w:rPr>
        <w:t xml:space="preserve"> </w:t>
      </w:r>
      <w:r>
        <w:rPr>
          <w:rFonts w:ascii="宋体" w:hAnsi="宋体" w:cs="宋体"/>
          <w:spacing w:val="-5"/>
          <w:sz w:val="24"/>
        </w:rPr>
        <w:t>的负责人为同一人的情形。</w:t>
      </w:r>
    </w:p>
    <w:p>
      <w:pPr>
        <w:spacing w:before="30" w:line="219" w:lineRule="auto"/>
        <w:ind w:left="422"/>
        <w:rPr>
          <w:sz w:val="24"/>
          <w:szCs w:val="32"/>
        </w:rPr>
      </w:pPr>
      <w:r>
        <w:rPr>
          <w:rFonts w:ascii="宋体" w:hAnsi="宋体" w:cs="宋体"/>
          <w:spacing w:val="-1"/>
          <w:sz w:val="24"/>
        </w:rPr>
        <w:t>本企业对上述声明内容的真实性负责。如有虚假，将依</w:t>
      </w:r>
      <w:r>
        <w:rPr>
          <w:rFonts w:ascii="宋体" w:hAnsi="宋体" w:cs="宋体"/>
          <w:spacing w:val="-2"/>
          <w:sz w:val="24"/>
        </w:rPr>
        <w:t>法承担相应责任。</w:t>
      </w:r>
    </w:p>
    <w:p>
      <w:pPr>
        <w:pStyle w:val="18"/>
        <w:spacing w:line="278" w:lineRule="auto"/>
        <w:rPr>
          <w:sz w:val="24"/>
          <w:szCs w:val="32"/>
        </w:rPr>
      </w:pPr>
    </w:p>
    <w:p>
      <w:pPr>
        <w:spacing w:before="69" w:line="408" w:lineRule="auto"/>
        <w:ind w:right="1623"/>
        <w:jc w:val="right"/>
        <w:rPr>
          <w:rFonts w:ascii="宋体" w:hAnsi="宋体" w:cs="宋体"/>
          <w:sz w:val="24"/>
        </w:rPr>
      </w:pPr>
      <w:r>
        <w:rPr>
          <w:rFonts w:ascii="宋体" w:hAnsi="宋体" w:cs="宋体"/>
          <w:spacing w:val="-7"/>
          <w:sz w:val="24"/>
        </w:rPr>
        <w:t>企业名称（盖章</w:t>
      </w:r>
      <w:r>
        <w:rPr>
          <w:rFonts w:ascii="宋体" w:hAnsi="宋体" w:cs="宋体"/>
          <w:spacing w:val="-6"/>
          <w:sz w:val="24"/>
        </w:rPr>
        <w:t>）：</w:t>
      </w:r>
      <w:r>
        <w:rPr>
          <w:rFonts w:ascii="宋体" w:hAnsi="宋体" w:cs="宋体"/>
          <w:sz w:val="24"/>
        </w:rPr>
        <w:t xml:space="preserve"> </w:t>
      </w:r>
    </w:p>
    <w:p>
      <w:pPr>
        <w:spacing w:before="69" w:line="408" w:lineRule="auto"/>
        <w:ind w:right="1623"/>
        <w:jc w:val="right"/>
        <w:rPr>
          <w:rFonts w:ascii="宋体" w:hAnsi="宋体" w:cs="宋体"/>
          <w:sz w:val="24"/>
        </w:rPr>
      </w:pPr>
      <w:r>
        <w:rPr>
          <w:rFonts w:ascii="宋体" w:hAnsi="宋体" w:cs="宋体"/>
          <w:spacing w:val="-25"/>
          <w:sz w:val="24"/>
        </w:rPr>
        <w:t>日</w:t>
      </w:r>
      <w:r>
        <w:rPr>
          <w:rFonts w:ascii="宋体" w:hAnsi="宋体" w:cs="宋体"/>
          <w:spacing w:val="10"/>
          <w:sz w:val="24"/>
        </w:rPr>
        <w:t xml:space="preserve"> </w:t>
      </w:r>
      <w:r>
        <w:rPr>
          <w:rFonts w:ascii="宋体" w:hAnsi="宋体" w:cs="宋体"/>
          <w:spacing w:val="-25"/>
          <w:sz w:val="24"/>
        </w:rPr>
        <w:t>期：</w:t>
      </w:r>
    </w:p>
    <w:p>
      <w:pPr>
        <w:pStyle w:val="18"/>
        <w:spacing w:line="437" w:lineRule="auto"/>
      </w:pPr>
    </w:p>
    <w:p>
      <w:pPr>
        <w:widowControl/>
        <w:spacing w:line="360" w:lineRule="auto"/>
        <w:ind w:firstLine="480" w:firstLineChars="200"/>
        <w:rPr>
          <w:sz w:val="24"/>
        </w:rPr>
      </w:pPr>
      <w:r>
        <w:rPr>
          <w:rFonts w:hint="eastAsia"/>
          <w:sz w:val="24"/>
        </w:rPr>
        <w:t>注：从业人员、营业收入、资产总额填报上一年度数据，无上一年度数据的新企业可不填报。</w:t>
      </w:r>
    </w:p>
    <w:p>
      <w:pPr>
        <w:spacing w:line="360" w:lineRule="auto"/>
        <w:jc w:val="center"/>
        <w:rPr>
          <w:sz w:val="24"/>
        </w:rPr>
      </w:pPr>
    </w:p>
    <w:p>
      <w:pPr>
        <w:spacing w:before="100" w:beforeAutospacing="1" w:after="100" w:afterAutospacing="1" w:line="443" w:lineRule="exact"/>
        <w:ind w:right="4"/>
        <w:outlineLvl w:val="1"/>
        <w:rPr>
          <w:rFonts w:ascii="宋体" w:hAnsi="宋体" w:cs="Lucida Sans Unicode"/>
          <w:b/>
          <w:color w:val="000000"/>
          <w:kern w:val="0"/>
          <w:sz w:val="24"/>
        </w:rPr>
      </w:pPr>
    </w:p>
    <w:p>
      <w:pPr>
        <w:pStyle w:val="68"/>
        <w:ind w:left="0" w:firstLine="0"/>
        <w:rPr>
          <w:rFonts w:hAnsi="宋体" w:cs="宋体"/>
          <w:color w:val="000000" w:themeColor="text1"/>
        </w:rPr>
      </w:pPr>
    </w:p>
    <w:p>
      <w:pPr>
        <w:widowControl/>
        <w:wordWrap w:val="0"/>
        <w:snapToGrid w:val="0"/>
        <w:spacing w:line="460" w:lineRule="exact"/>
        <w:jc w:val="left"/>
        <w:rPr>
          <w:rFonts w:ascii="宋体" w:hAnsi="宋体" w:cs="宋体"/>
          <w:b/>
          <w:color w:val="000000" w:themeColor="text1"/>
          <w:kern w:val="0"/>
          <w:sz w:val="24"/>
        </w:rPr>
      </w:pPr>
      <w:r>
        <w:rPr>
          <w:rFonts w:hint="eastAsia" w:ascii="宋体" w:hAnsi="宋体" w:cs="宋体"/>
          <w:b/>
          <w:color w:val="000000" w:themeColor="text1"/>
          <w:kern w:val="0"/>
          <w:sz w:val="24"/>
        </w:rPr>
        <w:t>附件11              供应商自觉抵制政府采购领域</w:t>
      </w:r>
    </w:p>
    <w:p>
      <w:pPr>
        <w:widowControl/>
        <w:wordWrap w:val="0"/>
        <w:spacing w:line="460" w:lineRule="exact"/>
        <w:jc w:val="left"/>
        <w:rPr>
          <w:rFonts w:ascii="宋体" w:hAnsi="宋体" w:cs="宋体"/>
          <w:color w:val="000000" w:themeColor="text1"/>
          <w:kern w:val="0"/>
          <w:sz w:val="24"/>
        </w:rPr>
      </w:pPr>
      <w:r>
        <w:rPr>
          <w:rFonts w:hint="eastAsia" w:ascii="宋体" w:hAnsi="宋体" w:cs="宋体"/>
          <w:b/>
          <w:color w:val="000000" w:themeColor="text1"/>
          <w:kern w:val="0"/>
          <w:sz w:val="24"/>
        </w:rPr>
        <w:t xml:space="preserve">                     商业贿赂行为承诺书</w:t>
      </w:r>
      <w:r>
        <w:rPr>
          <w:rFonts w:hint="eastAsia" w:ascii="宋体" w:hAnsi="宋体" w:cs="宋体"/>
          <w:color w:val="000000" w:themeColor="text1"/>
          <w:kern w:val="0"/>
          <w:sz w:val="24"/>
        </w:rPr>
        <w:t>（格式）</w:t>
      </w:r>
    </w:p>
    <w:p>
      <w:pPr>
        <w:widowControl/>
        <w:wordWrap w:val="0"/>
        <w:spacing w:line="360" w:lineRule="auto"/>
        <w:ind w:firstLine="2951" w:firstLineChars="1225"/>
        <w:jc w:val="left"/>
        <w:rPr>
          <w:rFonts w:ascii="宋体" w:hAnsi="宋体" w:cs="宋体"/>
          <w:b/>
          <w:color w:val="000000" w:themeColor="text1"/>
          <w:kern w:val="0"/>
          <w:sz w:val="24"/>
        </w:rPr>
      </w:pPr>
      <w:r>
        <w:rPr>
          <w:rFonts w:hint="eastAsia" w:ascii="宋体" w:hAnsi="宋体" w:cs="宋体"/>
          <w:b/>
          <w:color w:val="000000" w:themeColor="text1"/>
          <w:kern w:val="0"/>
          <w:sz w:val="24"/>
        </w:rPr>
        <w:t xml:space="preserve"> </w:t>
      </w:r>
    </w:p>
    <w:p>
      <w:pPr>
        <w:widowControl/>
        <w:wordWrap w:val="0"/>
        <w:spacing w:line="360" w:lineRule="auto"/>
        <w:jc w:val="left"/>
        <w:rPr>
          <w:rFonts w:ascii="宋体" w:hAnsi="宋体" w:cs="宋体"/>
          <w:color w:val="000000" w:themeColor="text1"/>
          <w:kern w:val="0"/>
          <w:sz w:val="24"/>
        </w:rPr>
      </w:pPr>
      <w:r>
        <w:rPr>
          <w:rFonts w:hint="eastAsia" w:ascii="宋体" w:hAnsi="宋体" w:cs="宋体"/>
          <w:bCs/>
          <w:color w:val="000000" w:themeColor="text1"/>
          <w:kern w:val="0"/>
          <w:sz w:val="24"/>
        </w:rPr>
        <w:t>致：</w:t>
      </w:r>
      <w:r>
        <w:rPr>
          <w:rFonts w:hint="eastAsia" w:ascii="宋体" w:hAnsi="宋体" w:cs="宋体"/>
          <w:color w:val="000000" w:themeColor="text1"/>
          <w:kern w:val="0"/>
          <w:sz w:val="24"/>
        </w:rPr>
        <w:t>______（采购代理机构名称）</w:t>
      </w:r>
      <w:r>
        <w:rPr>
          <w:rFonts w:hint="eastAsia" w:ascii="宋体" w:hAnsi="宋体" w:cs="宋体"/>
          <w:b/>
          <w:bCs/>
          <w:color w:val="000000" w:themeColor="text1"/>
          <w:kern w:val="0"/>
          <w:sz w:val="24"/>
        </w:rPr>
        <w:t xml:space="preserve"> </w:t>
      </w:r>
      <w:r>
        <w:rPr>
          <w:rFonts w:hint="eastAsia" w:ascii="宋体" w:hAnsi="宋体" w:cs="宋体"/>
          <w:color w:val="000000" w:themeColor="text1"/>
          <w:kern w:val="0"/>
          <w:sz w:val="24"/>
        </w:rPr>
        <w:t>：</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进一步规范政府采购行为，营造公平竞争的政府采购市场环境，维护政府采购制度良好声誉，在参与贵单位组织的招标活动中，我方庄重承诺：</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一、依法参与招标活动，遵纪守法，诚信经营，公平竞争。</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二、不向采购人、采购代理机构和评审专家提供任何形式的商业贿赂，对索取或接受商业贿赂的单位和个人，及时向财政部门和纪检监察机关举报。</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三、不以提供虚假资质文件等形式参与招标活动，不以虚假材料谋取中标。</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四、不采取不正当手段诋毁、排挤其它供应商，与其它参与招标活动的供应商保持良性的竞争关系。</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五、不与采购人、采购代理机构和评审专家恶意串通，自觉维护政府采购公平竞争的市场秩序。</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六、不与其它供应商串通采取围标、陪标等商业欺诈手段谋取中标，积极维护国家利益、社会公共利益和采购人的合法权益。</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七、严格履行政府采购合同约定义务，不在政府采购合同执行过程中采取降低质量或标准、减少数量、拖延交付时间等方式损害采购人的利益，并自觉承担违约责任。</w:t>
      </w:r>
    </w:p>
    <w:p>
      <w:pPr>
        <w:widowControl/>
        <w:wordWrap w:val="0"/>
        <w:spacing w:line="360" w:lineRule="auto"/>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八、自觉接受并积极配合相关监督部门实施的监督检查，如实反映情况，及时提供有关证明材料。</w:t>
      </w:r>
    </w:p>
    <w:p>
      <w:pPr>
        <w:widowControl/>
        <w:wordWrap w:val="0"/>
        <w:spacing w:line="240" w:lineRule="exact"/>
        <w:ind w:firstLine="240" w:firstLineChars="1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60" w:lineRule="exact"/>
        <w:ind w:firstLine="2400" w:firstLineChars="1000"/>
        <w:jc w:val="left"/>
        <w:rPr>
          <w:rFonts w:ascii="宋体" w:hAnsi="宋体" w:cs="宋体"/>
          <w:color w:val="000000" w:themeColor="text1"/>
          <w:kern w:val="0"/>
          <w:sz w:val="24"/>
          <w:u w:val="single"/>
        </w:rPr>
      </w:pPr>
      <w:r>
        <w:rPr>
          <w:rFonts w:hint="eastAsia" w:ascii="宋体" w:hAnsi="宋体" w:cs="宋体"/>
          <w:color w:val="000000" w:themeColor="text1"/>
          <w:kern w:val="0"/>
          <w:sz w:val="24"/>
        </w:rPr>
        <w:t xml:space="preserve">供应商代表签字： </w:t>
      </w:r>
      <w:r>
        <w:rPr>
          <w:rFonts w:hint="eastAsia" w:ascii="宋体" w:hAnsi="宋体" w:cs="宋体"/>
          <w:color w:val="000000" w:themeColor="text1"/>
          <w:kern w:val="0"/>
          <w:sz w:val="24"/>
          <w:u w:val="single"/>
        </w:rPr>
        <w:t xml:space="preserve">                </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供应商：</w:t>
      </w:r>
      <w:r>
        <w:rPr>
          <w:rFonts w:hint="eastAsia" w:ascii="宋体" w:hAnsi="宋体" w:cs="宋体"/>
          <w:color w:val="000000" w:themeColor="text1"/>
          <w:kern w:val="0"/>
          <w:sz w:val="24"/>
          <w:u w:val="single"/>
        </w:rPr>
        <w:t xml:space="preserve">                       </w:t>
      </w:r>
      <w:r>
        <w:rPr>
          <w:rFonts w:hint="eastAsia" w:ascii="宋体" w:hAnsi="宋体" w:cs="宋体"/>
          <w:color w:val="000000" w:themeColor="text1"/>
          <w:kern w:val="0"/>
          <w:sz w:val="24"/>
        </w:rPr>
        <w:t>（全称并加盖公章）</w:t>
      </w:r>
    </w:p>
    <w:p>
      <w:pPr>
        <w:widowControl/>
        <w:wordWrap w:val="0"/>
        <w:spacing w:line="460" w:lineRule="exact"/>
        <w:ind w:firstLine="480" w:firstLineChars="200"/>
        <w:jc w:val="left"/>
        <w:rPr>
          <w:rFonts w:ascii="宋体" w:hAnsi="宋体" w:cs="宋体"/>
          <w:color w:val="000000" w:themeColor="text1"/>
          <w:kern w:val="0"/>
          <w:sz w:val="24"/>
        </w:rPr>
      </w:pPr>
      <w:r>
        <w:rPr>
          <w:rFonts w:hint="eastAsia" w:ascii="宋体" w:hAnsi="宋体" w:cs="宋体"/>
          <w:color w:val="000000" w:themeColor="text1"/>
          <w:kern w:val="0"/>
          <w:sz w:val="24"/>
        </w:rPr>
        <w:t xml:space="preserve">                                 </w:t>
      </w:r>
    </w:p>
    <w:p>
      <w:pPr>
        <w:widowControl/>
        <w:wordWrap w:val="0"/>
        <w:spacing w:line="460" w:lineRule="exact"/>
        <w:ind w:firstLine="4920" w:firstLineChars="2050"/>
        <w:jc w:val="left"/>
        <w:rPr>
          <w:rFonts w:ascii="宋体" w:hAnsi="宋体" w:cs="宋体"/>
          <w:color w:val="000000" w:themeColor="text1"/>
          <w:kern w:val="0"/>
          <w:sz w:val="24"/>
        </w:rPr>
      </w:pPr>
      <w:r>
        <w:rPr>
          <w:rFonts w:hint="eastAsia" w:ascii="宋体" w:hAnsi="宋体" w:cs="宋体"/>
          <w:color w:val="000000" w:themeColor="text1"/>
          <w:kern w:val="0"/>
          <w:sz w:val="24"/>
        </w:rPr>
        <w:t>年    月    日</w:t>
      </w: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pStyle w:val="18"/>
        <w:rPr>
          <w:rFonts w:ascii="宋体" w:hAnsi="宋体" w:cs="宋体"/>
          <w:color w:val="000000" w:themeColor="text1"/>
          <w:kern w:val="0"/>
          <w:sz w:val="24"/>
        </w:rPr>
      </w:pPr>
    </w:p>
    <w:p>
      <w:pPr>
        <w:pStyle w:val="40"/>
        <w:rPr>
          <w:rFonts w:ascii="宋体" w:hAnsi="宋体" w:cs="宋体"/>
          <w:color w:val="000000" w:themeColor="text1"/>
          <w:kern w:val="0"/>
          <w:sz w:val="24"/>
        </w:rPr>
      </w:pPr>
    </w:p>
    <w:p>
      <w:pPr>
        <w:widowControl/>
        <w:wordWrap w:val="0"/>
        <w:snapToGrid w:val="0"/>
        <w:spacing w:line="460" w:lineRule="exact"/>
        <w:rPr>
          <w:rFonts w:ascii="宋体" w:hAnsi="宋体" w:cs="宋体"/>
          <w:b/>
          <w:kern w:val="0"/>
          <w:sz w:val="24"/>
        </w:rPr>
      </w:pPr>
      <w:r>
        <w:rPr>
          <w:rFonts w:hint="eastAsia" w:ascii="宋体" w:hAnsi="宋体" w:cs="宋体"/>
          <w:b/>
          <w:kern w:val="0"/>
          <w:sz w:val="24"/>
        </w:rPr>
        <w:t>附件12          驻马店市政府采购合同融资金融机构联系方式</w:t>
      </w:r>
    </w:p>
    <w:p>
      <w:pPr>
        <w:widowControl/>
        <w:wordWrap w:val="0"/>
        <w:snapToGrid w:val="0"/>
        <w:spacing w:line="460" w:lineRule="exact"/>
        <w:rPr>
          <w:rFonts w:ascii="宋体" w:hAnsi="宋体" w:cs="宋体"/>
          <w:b/>
          <w:kern w:val="0"/>
          <w:sz w:val="24"/>
        </w:rPr>
      </w:pPr>
    </w:p>
    <w:p>
      <w:pPr>
        <w:widowControl/>
        <w:wordWrap w:val="0"/>
        <w:spacing w:line="360" w:lineRule="auto"/>
        <w:ind w:firstLine="480" w:firstLineChars="200"/>
        <w:jc w:val="left"/>
        <w:rPr>
          <w:rFonts w:ascii="宋体" w:hAnsi="宋体" w:cs="宋体"/>
          <w:kern w:val="0"/>
          <w:sz w:val="24"/>
        </w:rPr>
      </w:pPr>
      <w:r>
        <w:rPr>
          <w:rFonts w:hint="eastAsia" w:ascii="宋体" w:hAnsi="宋体" w:cs="宋体"/>
          <w:kern w:val="0"/>
          <w:sz w:val="24"/>
        </w:rPr>
        <w:t>1、上海浦东发展银行信阳分行</w:t>
      </w:r>
    </w:p>
    <w:p>
      <w:pPr>
        <w:widowControl/>
        <w:wordWrap w:val="0"/>
        <w:spacing w:line="360" w:lineRule="auto"/>
        <w:ind w:firstLine="480" w:firstLineChars="200"/>
        <w:jc w:val="left"/>
        <w:rPr>
          <w:rFonts w:ascii="宋体" w:hAnsi="宋体" w:cs="宋体"/>
          <w:kern w:val="0"/>
          <w:sz w:val="24"/>
        </w:rPr>
      </w:pPr>
      <w:r>
        <w:rPr>
          <w:rFonts w:hint="eastAsia" w:ascii="宋体" w:hAnsi="宋体" w:cs="宋体"/>
          <w:kern w:val="0"/>
          <w:sz w:val="24"/>
        </w:rPr>
        <w:t xml:space="preserve">联系人：陈安达18538266767 </w:t>
      </w:r>
    </w:p>
    <w:p>
      <w:pPr>
        <w:widowControl/>
        <w:wordWrap w:val="0"/>
        <w:spacing w:line="360" w:lineRule="auto"/>
        <w:ind w:firstLine="480" w:firstLineChars="200"/>
        <w:jc w:val="left"/>
        <w:rPr>
          <w:rFonts w:ascii="宋体" w:hAnsi="宋体" w:cs="宋体"/>
          <w:kern w:val="0"/>
          <w:sz w:val="24"/>
        </w:rPr>
      </w:pPr>
      <w:r>
        <w:rPr>
          <w:rFonts w:hint="eastAsia" w:ascii="宋体" w:hAnsi="宋体" w:cs="宋体"/>
          <w:kern w:val="0"/>
          <w:sz w:val="24"/>
        </w:rPr>
        <w:t xml:space="preserve">李鹤松18638169788  </w:t>
      </w:r>
    </w:p>
    <w:p>
      <w:pPr>
        <w:widowControl/>
        <w:wordWrap w:val="0"/>
        <w:spacing w:line="360" w:lineRule="auto"/>
        <w:ind w:firstLine="480" w:firstLineChars="200"/>
        <w:jc w:val="left"/>
        <w:rPr>
          <w:rFonts w:ascii="宋体" w:hAnsi="宋体" w:cs="宋体"/>
          <w:kern w:val="0"/>
          <w:sz w:val="24"/>
        </w:rPr>
      </w:pPr>
      <w:r>
        <w:rPr>
          <w:rFonts w:hint="eastAsia" w:ascii="宋体" w:hAnsi="宋体" w:cs="宋体"/>
          <w:kern w:val="0"/>
          <w:sz w:val="24"/>
        </w:rPr>
        <w:t>地址：信阳市羊山新区新六大街北段九阳大厦一号楼</w:t>
      </w:r>
    </w:p>
    <w:p>
      <w:pPr>
        <w:widowControl/>
        <w:wordWrap w:val="0"/>
        <w:spacing w:line="360" w:lineRule="auto"/>
        <w:ind w:firstLine="480" w:firstLineChars="200"/>
        <w:jc w:val="left"/>
        <w:rPr>
          <w:rFonts w:ascii="宋体" w:hAnsi="宋体" w:cs="宋体"/>
          <w:kern w:val="0"/>
          <w:sz w:val="24"/>
        </w:rPr>
      </w:pPr>
      <w:r>
        <w:rPr>
          <w:rFonts w:hint="eastAsia" w:ascii="宋体" w:hAnsi="宋体" w:cs="宋体"/>
          <w:kern w:val="0"/>
          <w:sz w:val="24"/>
        </w:rPr>
        <w:t>2、中原银行驻马店分行公司业务七部</w:t>
      </w:r>
    </w:p>
    <w:p>
      <w:pPr>
        <w:widowControl/>
        <w:wordWrap w:val="0"/>
        <w:spacing w:line="360" w:lineRule="auto"/>
        <w:ind w:firstLine="480" w:firstLineChars="200"/>
        <w:jc w:val="left"/>
        <w:rPr>
          <w:rFonts w:ascii="宋体" w:hAnsi="宋体" w:cs="宋体"/>
          <w:kern w:val="0"/>
          <w:sz w:val="24"/>
        </w:rPr>
      </w:pPr>
      <w:r>
        <w:rPr>
          <w:rFonts w:hint="eastAsia" w:ascii="宋体" w:hAnsi="宋体" w:cs="宋体"/>
          <w:kern w:val="0"/>
          <w:sz w:val="24"/>
        </w:rPr>
        <w:t>联系人：王磊</w:t>
      </w:r>
    </w:p>
    <w:p>
      <w:pPr>
        <w:widowControl/>
        <w:wordWrap w:val="0"/>
        <w:spacing w:line="360" w:lineRule="auto"/>
        <w:ind w:firstLine="480" w:firstLineChars="200"/>
        <w:jc w:val="left"/>
        <w:rPr>
          <w:rFonts w:ascii="宋体" w:hAnsi="宋体" w:cs="宋体"/>
          <w:kern w:val="0"/>
          <w:sz w:val="24"/>
        </w:rPr>
      </w:pPr>
      <w:r>
        <w:rPr>
          <w:rFonts w:hint="eastAsia" w:ascii="宋体" w:hAnsi="宋体" w:cs="宋体"/>
          <w:kern w:val="0"/>
          <w:sz w:val="24"/>
        </w:rPr>
        <w:t>联系电话：13783327708</w:t>
      </w:r>
    </w:p>
    <w:p>
      <w:pPr>
        <w:widowControl/>
        <w:wordWrap w:val="0"/>
        <w:spacing w:line="360" w:lineRule="auto"/>
        <w:ind w:firstLine="480" w:firstLineChars="200"/>
        <w:jc w:val="left"/>
        <w:rPr>
          <w:rFonts w:ascii="宋体" w:hAnsi="宋体" w:cs="宋体"/>
          <w:kern w:val="0"/>
          <w:sz w:val="24"/>
        </w:rPr>
      </w:pPr>
      <w:r>
        <w:rPr>
          <w:rFonts w:hint="eastAsia" w:ascii="宋体" w:hAnsi="宋体" w:cs="宋体"/>
          <w:kern w:val="0"/>
          <w:sz w:val="24"/>
        </w:rPr>
        <w:t>地址：驻马店市驿城区文明路168号（天龙大酒店对面）</w:t>
      </w:r>
    </w:p>
    <w:p>
      <w:pPr>
        <w:spacing w:line="360" w:lineRule="auto"/>
        <w:rPr>
          <w:rFonts w:ascii="宋体" w:hAnsi="宋体"/>
          <w:sz w:val="24"/>
        </w:rPr>
      </w:pPr>
      <w:r>
        <w:rPr>
          <w:rFonts w:hint="eastAsia"/>
          <w:sz w:val="24"/>
        </w:rPr>
        <w:t xml:space="preserve">    </w:t>
      </w:r>
      <w:r>
        <w:rPr>
          <w:rFonts w:hint="eastAsia" w:ascii="宋体" w:hAnsi="宋体"/>
          <w:sz w:val="24"/>
        </w:rPr>
        <w:t xml:space="preserve"> 3、郑州银行驻马店分行 </w:t>
      </w:r>
    </w:p>
    <w:p>
      <w:pPr>
        <w:spacing w:line="360" w:lineRule="auto"/>
        <w:ind w:firstLine="480" w:firstLineChars="200"/>
        <w:rPr>
          <w:rFonts w:ascii="宋体" w:hAnsi="宋体"/>
          <w:sz w:val="24"/>
        </w:rPr>
      </w:pPr>
      <w:r>
        <w:rPr>
          <w:rFonts w:hint="eastAsia" w:ascii="宋体" w:hAnsi="宋体"/>
          <w:sz w:val="24"/>
        </w:rPr>
        <w:t>联系人：禹阳</w:t>
      </w:r>
    </w:p>
    <w:p>
      <w:pPr>
        <w:spacing w:line="360" w:lineRule="auto"/>
        <w:ind w:firstLine="480" w:firstLineChars="200"/>
        <w:rPr>
          <w:rFonts w:ascii="宋体" w:hAnsi="宋体"/>
          <w:sz w:val="24"/>
        </w:rPr>
      </w:pPr>
      <w:r>
        <w:rPr>
          <w:rFonts w:hint="eastAsia" w:ascii="宋体" w:hAnsi="宋体"/>
          <w:sz w:val="24"/>
        </w:rPr>
        <w:t>联系电话：15103825000</w:t>
      </w:r>
    </w:p>
    <w:p>
      <w:pPr>
        <w:spacing w:line="360" w:lineRule="auto"/>
        <w:ind w:firstLine="480" w:firstLineChars="200"/>
        <w:rPr>
          <w:rFonts w:ascii="宋体" w:hAnsi="宋体"/>
          <w:sz w:val="24"/>
        </w:rPr>
      </w:pPr>
      <w:r>
        <w:rPr>
          <w:rFonts w:hint="eastAsia" w:ascii="宋体" w:hAnsi="宋体"/>
          <w:sz w:val="24"/>
        </w:rPr>
        <w:t>地址：河南省驻马店市置地大道与天中山大道交叉口西南角</w:t>
      </w:r>
    </w:p>
    <w:p>
      <w:pPr>
        <w:widowControl/>
        <w:shd w:val="clear" w:color="auto" w:fill="FFFFFF"/>
        <w:spacing w:line="360" w:lineRule="auto"/>
        <w:ind w:firstLine="360" w:firstLineChars="150"/>
        <w:jc w:val="left"/>
        <w:rPr>
          <w:rFonts w:ascii="宋体" w:hAnsi="宋体"/>
          <w:sz w:val="24"/>
        </w:rPr>
      </w:pPr>
      <w:r>
        <w:rPr>
          <w:rFonts w:ascii="宋体" w:hAnsi="宋体"/>
          <w:sz w:val="24"/>
        </w:rPr>
        <w:t>4</w:t>
      </w:r>
      <w:r>
        <w:rPr>
          <w:rFonts w:hint="eastAsia" w:ascii="宋体" w:hAnsi="宋体"/>
          <w:sz w:val="24"/>
        </w:rPr>
        <w:t>、驻马店农村商业银行股份有限公司</w:t>
      </w:r>
    </w:p>
    <w:p>
      <w:pPr>
        <w:widowControl/>
        <w:shd w:val="clear" w:color="auto" w:fill="FFFFFF"/>
        <w:spacing w:line="360" w:lineRule="auto"/>
        <w:ind w:firstLine="360" w:firstLineChars="150"/>
        <w:jc w:val="left"/>
        <w:rPr>
          <w:rFonts w:ascii="宋体" w:hAnsi="宋体"/>
          <w:sz w:val="24"/>
        </w:rPr>
      </w:pPr>
      <w:r>
        <w:rPr>
          <w:rFonts w:hint="eastAsia" w:ascii="宋体" w:hAnsi="宋体"/>
          <w:sz w:val="24"/>
        </w:rPr>
        <w:t>联系人：鄢川源</w:t>
      </w:r>
      <w:r>
        <w:rPr>
          <w:rFonts w:ascii="宋体" w:hAnsi="宋体"/>
          <w:sz w:val="24"/>
        </w:rPr>
        <w:t xml:space="preserve">  15136590288   3699502</w:t>
      </w:r>
    </w:p>
    <w:p>
      <w:pPr>
        <w:widowControl/>
        <w:shd w:val="clear" w:color="auto" w:fill="FFFFFF"/>
        <w:spacing w:line="360" w:lineRule="auto"/>
        <w:ind w:firstLine="360" w:firstLineChars="150"/>
        <w:jc w:val="left"/>
        <w:rPr>
          <w:rFonts w:ascii="宋体" w:hAnsi="宋体"/>
          <w:sz w:val="24"/>
        </w:rPr>
      </w:pPr>
      <w:r>
        <w:rPr>
          <w:rFonts w:hint="eastAsia" w:ascii="宋体" w:hAnsi="宋体"/>
          <w:sz w:val="24"/>
        </w:rPr>
        <w:t>周莉娟</w:t>
      </w:r>
      <w:r>
        <w:rPr>
          <w:rFonts w:ascii="宋体" w:hAnsi="宋体"/>
          <w:sz w:val="24"/>
        </w:rPr>
        <w:t xml:space="preserve">  15290172878  3618869</w:t>
      </w:r>
    </w:p>
    <w:p>
      <w:pPr>
        <w:widowControl/>
        <w:shd w:val="clear" w:color="auto" w:fill="FFFFFF"/>
        <w:spacing w:line="360" w:lineRule="auto"/>
        <w:ind w:firstLine="360" w:firstLineChars="150"/>
        <w:jc w:val="left"/>
        <w:rPr>
          <w:rFonts w:ascii="宋体" w:hAnsi="宋体"/>
          <w:sz w:val="24"/>
        </w:rPr>
      </w:pPr>
      <w:r>
        <w:rPr>
          <w:rFonts w:hint="eastAsia" w:ascii="宋体" w:hAnsi="宋体"/>
          <w:sz w:val="24"/>
        </w:rPr>
        <w:t>地址：驻马店市驿城区文化路</w:t>
      </w:r>
      <w:r>
        <w:rPr>
          <w:rFonts w:ascii="宋体" w:hAnsi="宋体"/>
          <w:sz w:val="24"/>
        </w:rPr>
        <w:t>360</w:t>
      </w:r>
      <w:r>
        <w:rPr>
          <w:rFonts w:hint="eastAsia" w:ascii="宋体" w:hAnsi="宋体"/>
          <w:sz w:val="24"/>
        </w:rPr>
        <w:t>号</w:t>
      </w:r>
    </w:p>
    <w:p>
      <w:pPr>
        <w:widowControl/>
        <w:shd w:val="clear" w:color="auto" w:fill="FFFFFF"/>
        <w:spacing w:line="360" w:lineRule="auto"/>
        <w:ind w:firstLine="360" w:firstLineChars="150"/>
        <w:jc w:val="left"/>
        <w:rPr>
          <w:rFonts w:ascii="宋体" w:hAnsi="宋体"/>
          <w:sz w:val="24"/>
        </w:rPr>
      </w:pPr>
      <w:r>
        <w:rPr>
          <w:rFonts w:ascii="宋体" w:hAnsi="宋体"/>
          <w:sz w:val="24"/>
        </w:rPr>
        <w:t>5</w:t>
      </w:r>
      <w:r>
        <w:rPr>
          <w:rFonts w:hint="eastAsia" w:ascii="宋体" w:hAnsi="宋体"/>
          <w:sz w:val="24"/>
        </w:rPr>
        <w:t>、中国银行股份有限公司驻马店分行营业部</w:t>
      </w:r>
    </w:p>
    <w:p>
      <w:pPr>
        <w:widowControl/>
        <w:shd w:val="clear" w:color="auto" w:fill="FFFFFF"/>
        <w:spacing w:line="360" w:lineRule="auto"/>
        <w:ind w:firstLine="360" w:firstLineChars="150"/>
        <w:jc w:val="left"/>
        <w:rPr>
          <w:rFonts w:ascii="宋体" w:hAnsi="宋体"/>
          <w:sz w:val="24"/>
        </w:rPr>
      </w:pPr>
      <w:r>
        <w:rPr>
          <w:rFonts w:hint="eastAsia" w:ascii="宋体" w:hAnsi="宋体"/>
          <w:sz w:val="24"/>
        </w:rPr>
        <w:t>联系人：罗浩</w:t>
      </w:r>
      <w:r>
        <w:rPr>
          <w:rFonts w:ascii="宋体" w:hAnsi="宋体"/>
          <w:sz w:val="24"/>
        </w:rPr>
        <w:t> </w:t>
      </w:r>
      <w:r>
        <w:rPr>
          <w:rFonts w:hint="eastAsia" w:ascii="宋体" w:hAnsi="宋体"/>
          <w:sz w:val="24"/>
        </w:rPr>
        <w:t>手机号</w:t>
      </w:r>
      <w:r>
        <w:rPr>
          <w:rFonts w:ascii="宋体" w:hAnsi="宋体"/>
          <w:sz w:val="24"/>
        </w:rPr>
        <w:t>15239620736</w:t>
      </w:r>
    </w:p>
    <w:p>
      <w:pPr>
        <w:widowControl/>
        <w:shd w:val="clear" w:color="auto" w:fill="FFFFFF"/>
        <w:spacing w:line="360" w:lineRule="auto"/>
        <w:ind w:firstLine="960" w:firstLineChars="400"/>
        <w:jc w:val="left"/>
        <w:rPr>
          <w:rFonts w:ascii="宋体" w:hAnsi="宋体"/>
          <w:sz w:val="24"/>
        </w:rPr>
      </w:pPr>
      <w:r>
        <w:rPr>
          <w:rFonts w:hint="eastAsia" w:ascii="宋体" w:hAnsi="宋体"/>
          <w:sz w:val="24"/>
        </w:rPr>
        <w:t>刘杰</w:t>
      </w:r>
      <w:r>
        <w:rPr>
          <w:rFonts w:ascii="宋体" w:hAnsi="宋体"/>
          <w:sz w:val="24"/>
        </w:rPr>
        <w:t> </w:t>
      </w:r>
      <w:r>
        <w:rPr>
          <w:rFonts w:hint="eastAsia" w:ascii="宋体" w:hAnsi="宋体"/>
          <w:sz w:val="24"/>
        </w:rPr>
        <w:t>手机号</w:t>
      </w:r>
      <w:r>
        <w:rPr>
          <w:rFonts w:ascii="宋体" w:hAnsi="宋体"/>
          <w:sz w:val="24"/>
        </w:rPr>
        <w:t>16639631991</w:t>
      </w:r>
    </w:p>
    <w:p>
      <w:pPr>
        <w:widowControl/>
        <w:shd w:val="clear" w:color="auto" w:fill="FFFFFF"/>
        <w:spacing w:line="360" w:lineRule="auto"/>
        <w:ind w:firstLine="360" w:firstLineChars="150"/>
        <w:jc w:val="left"/>
        <w:rPr>
          <w:rFonts w:ascii="宋体" w:hAnsi="宋体"/>
          <w:sz w:val="24"/>
        </w:rPr>
      </w:pPr>
      <w:r>
        <w:rPr>
          <w:rFonts w:hint="eastAsia" w:ascii="宋体" w:hAnsi="宋体"/>
          <w:sz w:val="24"/>
        </w:rPr>
        <w:t>地址：驻马店市文明路</w:t>
      </w:r>
      <w:r>
        <w:rPr>
          <w:rFonts w:ascii="宋体" w:hAnsi="宋体"/>
          <w:sz w:val="24"/>
        </w:rPr>
        <w:t>188</w:t>
      </w:r>
      <w:r>
        <w:rPr>
          <w:rFonts w:hint="eastAsia" w:ascii="宋体" w:hAnsi="宋体"/>
          <w:sz w:val="24"/>
        </w:rPr>
        <w:t>号</w:t>
      </w:r>
    </w:p>
    <w:p>
      <w:pPr>
        <w:widowControl/>
        <w:shd w:val="clear" w:color="auto" w:fill="FFFFFF"/>
        <w:spacing w:line="360" w:lineRule="auto"/>
        <w:ind w:firstLine="360" w:firstLineChars="150"/>
        <w:jc w:val="left"/>
        <w:rPr>
          <w:rFonts w:ascii="宋体" w:hAnsi="宋体"/>
          <w:sz w:val="24"/>
        </w:rPr>
      </w:pPr>
      <w:r>
        <w:rPr>
          <w:rFonts w:ascii="宋体" w:hAnsi="宋体"/>
          <w:sz w:val="24"/>
        </w:rPr>
        <w:t>6</w:t>
      </w:r>
      <w:r>
        <w:rPr>
          <w:rFonts w:hint="eastAsia" w:ascii="宋体" w:hAnsi="宋体"/>
          <w:sz w:val="24"/>
        </w:rPr>
        <w:t>、中信银行股份有限公司郑州东明路支行</w:t>
      </w:r>
    </w:p>
    <w:p>
      <w:pPr>
        <w:widowControl/>
        <w:shd w:val="clear" w:color="auto" w:fill="FFFFFF"/>
        <w:spacing w:line="360" w:lineRule="auto"/>
        <w:ind w:firstLine="360" w:firstLineChars="150"/>
        <w:jc w:val="left"/>
        <w:rPr>
          <w:rFonts w:ascii="宋体" w:hAnsi="宋体"/>
          <w:sz w:val="24"/>
        </w:rPr>
      </w:pPr>
      <w:r>
        <w:rPr>
          <w:rFonts w:hint="eastAsia" w:ascii="宋体" w:hAnsi="宋体"/>
          <w:sz w:val="24"/>
        </w:rPr>
        <w:t>联系人：李阿萃</w:t>
      </w:r>
      <w:r>
        <w:rPr>
          <w:rFonts w:ascii="宋体" w:hAnsi="宋体"/>
          <w:sz w:val="24"/>
        </w:rPr>
        <w:t xml:space="preserve">  18638139933</w:t>
      </w:r>
    </w:p>
    <w:p>
      <w:pPr>
        <w:spacing w:line="360" w:lineRule="auto"/>
        <w:ind w:firstLine="480" w:firstLineChars="200"/>
        <w:rPr>
          <w:rFonts w:ascii="宋体" w:hAnsi="宋体"/>
          <w:sz w:val="24"/>
        </w:rPr>
      </w:pPr>
      <w:r>
        <w:rPr>
          <w:rFonts w:hint="eastAsia" w:ascii="宋体" w:hAnsi="宋体"/>
          <w:sz w:val="24"/>
        </w:rPr>
        <w:t>地址：郑州市东明路与东风路交叉口</w:t>
      </w:r>
    </w:p>
    <w:p/>
    <w:p>
      <w:pPr>
        <w:widowControl/>
        <w:shd w:val="clear" w:color="auto" w:fill="FFFFFF"/>
        <w:spacing w:line="360" w:lineRule="auto"/>
        <w:ind w:firstLine="1042" w:firstLineChars="346"/>
        <w:jc w:val="left"/>
        <w:rPr>
          <w:b/>
          <w:sz w:val="30"/>
          <w:szCs w:val="30"/>
        </w:rPr>
      </w:pPr>
    </w:p>
    <w:p>
      <w:pPr>
        <w:widowControl/>
        <w:shd w:val="clear" w:color="auto" w:fill="FFFFFF"/>
        <w:spacing w:line="360" w:lineRule="auto"/>
        <w:ind w:firstLine="1042" w:firstLineChars="346"/>
        <w:jc w:val="left"/>
        <w:rPr>
          <w:b/>
          <w:sz w:val="30"/>
          <w:szCs w:val="30"/>
        </w:rPr>
      </w:pPr>
    </w:p>
    <w:p>
      <w:pPr>
        <w:widowControl/>
        <w:shd w:val="clear" w:color="auto" w:fill="FFFFFF"/>
        <w:spacing w:line="360" w:lineRule="auto"/>
        <w:jc w:val="left"/>
        <w:rPr>
          <w:b/>
          <w:sz w:val="30"/>
          <w:szCs w:val="30"/>
        </w:rPr>
      </w:pPr>
    </w:p>
    <w:p>
      <w:pPr>
        <w:widowControl/>
        <w:shd w:val="clear" w:color="auto" w:fill="FFFFFF"/>
        <w:spacing w:line="360" w:lineRule="auto"/>
        <w:ind w:firstLine="1042" w:firstLineChars="346"/>
        <w:jc w:val="left"/>
        <w:rPr>
          <w:b/>
          <w:sz w:val="30"/>
          <w:szCs w:val="30"/>
        </w:rPr>
      </w:pPr>
      <w:r>
        <w:rPr>
          <w:rFonts w:hint="eastAsia"/>
          <w:b/>
          <w:sz w:val="30"/>
          <w:szCs w:val="30"/>
        </w:rPr>
        <w:t>河南省政府采购合同融资政策告知函</w:t>
      </w:r>
    </w:p>
    <w:p>
      <w:pPr>
        <w:widowControl/>
        <w:shd w:val="clear" w:color="auto" w:fill="FFFFFF"/>
        <w:spacing w:line="480" w:lineRule="auto"/>
        <w:jc w:val="left"/>
        <w:rPr>
          <w:sz w:val="24"/>
        </w:rPr>
      </w:pPr>
      <w:r>
        <w:rPr>
          <w:rFonts w:hint="eastAsia"/>
          <w:sz w:val="24"/>
        </w:rPr>
        <w:t>各供应商：</w:t>
      </w:r>
    </w:p>
    <w:p>
      <w:pPr>
        <w:widowControl/>
        <w:shd w:val="clear" w:color="auto" w:fill="FFFFFF"/>
        <w:spacing w:line="480" w:lineRule="auto"/>
        <w:ind w:firstLine="480" w:firstLineChars="200"/>
        <w:jc w:val="left"/>
        <w:rPr>
          <w:rFonts w:ascii="宋体" w:hAnsi="宋体" w:cs="宋体"/>
          <w:sz w:val="24"/>
        </w:rPr>
      </w:pPr>
      <w:r>
        <w:rPr>
          <w:rFonts w:hint="eastAsia" w:ascii="宋体" w:hAnsi="宋体" w:cs="宋体"/>
          <w:sz w:val="24"/>
        </w:rPr>
        <w:t>欢迎贵公司参与河南省政府采购活动！</w:t>
      </w:r>
    </w:p>
    <w:p>
      <w:pPr>
        <w:widowControl/>
        <w:shd w:val="clear" w:color="auto" w:fill="FFFFFF"/>
        <w:spacing w:line="480" w:lineRule="auto"/>
        <w:ind w:firstLine="480" w:firstLineChars="200"/>
        <w:jc w:val="left"/>
        <w:rPr>
          <w:rFonts w:ascii="宋体" w:hAnsi="宋体" w:cs="宋体"/>
          <w:sz w:val="24"/>
        </w:rPr>
      </w:pPr>
      <w:r>
        <w:rPr>
          <w:rFonts w:hint="eastAsia" w:ascii="宋体" w:hAnsi="宋体" w:cs="宋体"/>
          <w:sz w:val="24"/>
        </w:rPr>
        <w:t>政府采购合同融资是河南省财政厅支持中小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践方案》（豫财购【2017】10号），按照双方自愿的原则提供便捷、优惠的贷款服务。</w:t>
      </w:r>
    </w:p>
    <w:p>
      <w:pPr>
        <w:widowControl/>
        <w:shd w:val="clear" w:color="auto" w:fill="FFFFFF"/>
        <w:spacing w:line="480" w:lineRule="auto"/>
        <w:ind w:firstLine="480" w:firstLineChars="200"/>
        <w:jc w:val="left"/>
        <w:rPr>
          <w:rFonts w:ascii="宋体" w:hAnsi="宋体" w:cs="宋体"/>
          <w:sz w:val="24"/>
        </w:rPr>
      </w:pPr>
      <w:r>
        <w:rPr>
          <w:rFonts w:hint="eastAsia" w:ascii="宋体" w:hAnsi="宋体" w:cs="宋体"/>
          <w:sz w:val="24"/>
        </w:rPr>
        <w:t>贷款渠道和提供贷款的金融机构，可在河南省政府采购网“河南省政府采购合同融资平台”查询联系。</w:t>
      </w:r>
    </w:p>
    <w:p>
      <w:pPr>
        <w:pStyle w:val="18"/>
      </w:pPr>
    </w:p>
    <w:p>
      <w:pPr>
        <w:widowControl/>
        <w:snapToGrid w:val="0"/>
        <w:spacing w:line="360" w:lineRule="auto"/>
        <w:jc w:val="center"/>
        <w:rPr>
          <w:rFonts w:ascii="新宋体" w:hAnsi="新宋体" w:eastAsia="新宋体" w:cs="新宋体"/>
          <w:b/>
          <w:bCs/>
          <w:kern w:val="0"/>
          <w:sz w:val="24"/>
        </w:rPr>
      </w:pPr>
      <w:r>
        <w:rPr>
          <w:rFonts w:hint="eastAsia" w:ascii="新宋体" w:hAnsi="新宋体" w:eastAsia="新宋体" w:cs="新宋体"/>
          <w:b/>
          <w:bCs/>
          <w:kern w:val="0"/>
          <w:sz w:val="24"/>
        </w:rPr>
        <w:t>此内容为供应商须知内容，不需要附到响应文件中。</w:t>
      </w: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宋体" w:hAnsi="宋体" w:cs="宋体"/>
          <w:b/>
          <w:kern w:val="0"/>
          <w:sz w:val="24"/>
        </w:rPr>
      </w:pPr>
    </w:p>
    <w:p>
      <w:pPr>
        <w:widowControl/>
        <w:snapToGrid w:val="0"/>
        <w:spacing w:line="360" w:lineRule="auto"/>
        <w:jc w:val="left"/>
        <w:rPr>
          <w:rFonts w:ascii="新宋体" w:hAnsi="新宋体" w:eastAsia="新宋体" w:cs="新宋体"/>
          <w:kern w:val="0"/>
          <w:sz w:val="24"/>
        </w:rPr>
      </w:pPr>
      <w:r>
        <w:rPr>
          <w:rFonts w:hint="eastAsia" w:ascii="宋体" w:hAnsi="宋体" w:cs="宋体"/>
          <w:b/>
          <w:kern w:val="0"/>
          <w:sz w:val="24"/>
        </w:rPr>
        <w:t xml:space="preserve">附件13              </w:t>
      </w:r>
    </w:p>
    <w:p>
      <w:pPr>
        <w:jc w:val="center"/>
        <w:rPr>
          <w:rFonts w:ascii="宋体" w:hAnsi="宋体" w:cs="宋体"/>
          <w:b/>
          <w:bCs/>
          <w:sz w:val="24"/>
        </w:rPr>
      </w:pPr>
      <w:r>
        <w:rPr>
          <w:rFonts w:hint="eastAsia" w:ascii="宋体" w:hAnsi="宋体" w:cs="宋体"/>
          <w:b/>
          <w:bCs/>
          <w:sz w:val="24"/>
        </w:rPr>
        <w:t xml:space="preserve">    驻马店市政府采购供应商信用承诺函</w:t>
      </w:r>
    </w:p>
    <w:p>
      <w:pPr>
        <w:spacing w:line="360" w:lineRule="auto"/>
        <w:rPr>
          <w:rFonts w:ascii="宋体" w:hAnsi="宋体" w:cs="宋体"/>
          <w:sz w:val="24"/>
        </w:rPr>
      </w:pPr>
      <w:r>
        <w:rPr>
          <w:rFonts w:hint="eastAsia" w:ascii="宋体" w:hAnsi="宋体" w:cs="宋体"/>
          <w:sz w:val="24"/>
        </w:rPr>
        <w:t>致（采购人或政府采购代理机构）：</w:t>
      </w:r>
    </w:p>
    <w:p>
      <w:pPr>
        <w:spacing w:line="360" w:lineRule="auto"/>
        <w:ind w:firstLine="480" w:firstLineChars="200"/>
        <w:rPr>
          <w:rFonts w:ascii="宋体" w:hAnsi="宋体" w:cs="宋体"/>
          <w:sz w:val="24"/>
        </w:rPr>
      </w:pPr>
      <w:r>
        <w:rPr>
          <w:rFonts w:hint="eastAsia" w:ascii="宋体" w:hAnsi="宋体" w:cs="宋体"/>
          <w:sz w:val="24"/>
        </w:rPr>
        <w:t>单位名称（自然人姓名）：       </w:t>
      </w:r>
    </w:p>
    <w:p>
      <w:pPr>
        <w:spacing w:line="360" w:lineRule="auto"/>
        <w:ind w:firstLine="480" w:firstLineChars="200"/>
        <w:rPr>
          <w:rFonts w:ascii="宋体" w:hAnsi="宋体" w:cs="宋体"/>
          <w:sz w:val="24"/>
        </w:rPr>
      </w:pPr>
      <w:r>
        <w:rPr>
          <w:rFonts w:hint="eastAsia" w:ascii="宋体" w:hAnsi="宋体" w:cs="宋体"/>
          <w:sz w:val="24"/>
        </w:rPr>
        <w:t>统一社会信用代码（身份证号码）：    </w:t>
      </w:r>
    </w:p>
    <w:p>
      <w:pPr>
        <w:spacing w:line="360" w:lineRule="auto"/>
        <w:ind w:firstLine="480" w:firstLineChars="200"/>
        <w:rPr>
          <w:rFonts w:ascii="宋体" w:hAnsi="宋体" w:cs="宋体"/>
          <w:sz w:val="24"/>
        </w:rPr>
      </w:pPr>
      <w:r>
        <w:rPr>
          <w:rFonts w:hint="eastAsia" w:ascii="宋体" w:hAnsi="宋体" w:cs="宋体"/>
          <w:sz w:val="24"/>
        </w:rPr>
        <w:t>法定代表人（负责人）：        </w:t>
      </w:r>
    </w:p>
    <w:p>
      <w:pPr>
        <w:spacing w:line="360" w:lineRule="auto"/>
        <w:ind w:firstLine="480" w:firstLineChars="200"/>
        <w:rPr>
          <w:rFonts w:ascii="宋体" w:hAnsi="宋体" w:cs="宋体"/>
          <w:sz w:val="24"/>
        </w:rPr>
      </w:pPr>
      <w:r>
        <w:rPr>
          <w:rFonts w:hint="eastAsia" w:ascii="宋体" w:hAnsi="宋体" w:cs="宋体"/>
          <w:sz w:val="24"/>
        </w:rPr>
        <w:t>联系地址和电话：   </w:t>
      </w:r>
    </w:p>
    <w:p>
      <w:pPr>
        <w:spacing w:line="360" w:lineRule="auto"/>
        <w:ind w:firstLine="480" w:firstLineChars="200"/>
        <w:rPr>
          <w:rFonts w:ascii="宋体" w:hAnsi="宋体" w:cs="宋体"/>
          <w:sz w:val="24"/>
        </w:rPr>
      </w:pPr>
      <w:r>
        <w:rPr>
          <w:rFonts w:hint="eastAsia" w:ascii="宋体" w:hAnsi="宋体" w:cs="宋体"/>
          <w:sz w:val="24"/>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pPr>
        <w:spacing w:line="360" w:lineRule="auto"/>
        <w:ind w:firstLine="480" w:firstLineChars="200"/>
        <w:rPr>
          <w:rFonts w:ascii="宋体" w:hAnsi="宋体" w:cs="宋体"/>
          <w:sz w:val="24"/>
        </w:rPr>
      </w:pPr>
      <w:r>
        <w:rPr>
          <w:rFonts w:hint="eastAsia" w:ascii="宋体" w:hAnsi="宋体" w:cs="宋体"/>
          <w:sz w:val="24"/>
        </w:rPr>
        <w:t>（一）具有独立承担民事责任的能力；</w:t>
      </w:r>
    </w:p>
    <w:p>
      <w:pPr>
        <w:spacing w:line="360" w:lineRule="auto"/>
        <w:ind w:firstLine="480" w:firstLineChars="200"/>
        <w:rPr>
          <w:rFonts w:ascii="宋体" w:hAnsi="宋体" w:cs="宋体"/>
          <w:sz w:val="24"/>
        </w:rPr>
      </w:pPr>
      <w:r>
        <w:rPr>
          <w:rFonts w:hint="eastAsia" w:ascii="宋体" w:hAnsi="宋体" w:cs="宋体"/>
          <w:sz w:val="24"/>
        </w:rPr>
        <w:t>（二）具有良好的商业信誉和健全的财务会计制度；</w:t>
      </w:r>
    </w:p>
    <w:p>
      <w:pPr>
        <w:spacing w:line="360" w:lineRule="auto"/>
        <w:ind w:firstLine="480" w:firstLineChars="200"/>
        <w:rPr>
          <w:rFonts w:ascii="宋体" w:hAnsi="宋体" w:cs="宋体"/>
          <w:sz w:val="24"/>
        </w:rPr>
      </w:pPr>
      <w:r>
        <w:rPr>
          <w:rFonts w:hint="eastAsia" w:ascii="宋体" w:hAnsi="宋体" w:cs="宋体"/>
          <w:sz w:val="24"/>
        </w:rPr>
        <w:t>（三）具有履行合同所必需的设备和专业技术能力；</w:t>
      </w:r>
    </w:p>
    <w:p>
      <w:pPr>
        <w:spacing w:line="360" w:lineRule="auto"/>
        <w:ind w:firstLine="480" w:firstLineChars="200"/>
        <w:rPr>
          <w:rFonts w:ascii="宋体" w:hAnsi="宋体" w:cs="宋体"/>
          <w:sz w:val="24"/>
        </w:rPr>
      </w:pPr>
      <w:r>
        <w:rPr>
          <w:rFonts w:hint="eastAsia" w:ascii="宋体" w:hAnsi="宋体" w:cs="宋体"/>
          <w:sz w:val="24"/>
        </w:rPr>
        <w:t>（四）有依法缴纳税收和社会保障资金的良好记录；</w:t>
      </w:r>
    </w:p>
    <w:p>
      <w:pPr>
        <w:spacing w:line="360" w:lineRule="auto"/>
        <w:ind w:firstLine="480" w:firstLineChars="200"/>
        <w:rPr>
          <w:rFonts w:ascii="宋体" w:hAnsi="宋体" w:cs="宋体"/>
          <w:sz w:val="24"/>
        </w:rPr>
      </w:pPr>
      <w:r>
        <w:rPr>
          <w:rFonts w:hint="eastAsia" w:ascii="宋体" w:hAnsi="宋体" w:cs="宋体"/>
          <w:sz w:val="24"/>
        </w:rPr>
        <w:t>（五）参加政府采购活动前三年内，在经营活动中没有重大违法记录；</w:t>
      </w:r>
    </w:p>
    <w:p>
      <w:pPr>
        <w:spacing w:line="360" w:lineRule="auto"/>
        <w:ind w:firstLine="480" w:firstLineChars="200"/>
        <w:rPr>
          <w:rFonts w:ascii="宋体" w:hAnsi="宋体" w:cs="宋体"/>
          <w:sz w:val="24"/>
        </w:rPr>
      </w:pPr>
      <w:r>
        <w:rPr>
          <w:rFonts w:hint="eastAsia" w:ascii="宋体" w:hAnsi="宋体" w:cs="宋体"/>
          <w:sz w:val="24"/>
        </w:rPr>
        <w:t>（六）未被列入严重失信主体名单、失信被执行人、税收违法黑名单、政府采购严重违法失信行为记录名单，未曾作出虚假承诺；</w:t>
      </w:r>
    </w:p>
    <w:p>
      <w:pPr>
        <w:spacing w:line="360" w:lineRule="auto"/>
        <w:ind w:firstLine="480" w:firstLineChars="200"/>
        <w:rPr>
          <w:rFonts w:ascii="宋体" w:hAnsi="宋体" w:cs="宋体"/>
          <w:sz w:val="24"/>
        </w:rPr>
      </w:pPr>
      <w:r>
        <w:rPr>
          <w:rFonts w:hint="eastAsia" w:ascii="宋体" w:hAnsi="宋体" w:cs="宋体"/>
          <w:sz w:val="24"/>
        </w:rPr>
        <w:t>（七）符合法律、行政法规规定的其他条件。</w:t>
      </w:r>
    </w:p>
    <w:p>
      <w:pPr>
        <w:spacing w:line="360" w:lineRule="auto"/>
        <w:ind w:firstLine="480" w:firstLineChars="200"/>
        <w:rPr>
          <w:rFonts w:ascii="宋体" w:hAnsi="宋体" w:cs="宋体"/>
          <w:sz w:val="24"/>
        </w:rPr>
      </w:pPr>
      <w:r>
        <w:rPr>
          <w:rFonts w:hint="eastAsia" w:ascii="宋体" w:hAnsi="宋体" w:cs="宋体"/>
          <w:sz w:val="24"/>
        </w:rPr>
        <w:t>我单位（本人）保证上述承诺事项的真实性，如有弄虚作假或其他违法违规行为，愿意承担一切法律责任，并承担因此所造成的一切损失。</w:t>
      </w:r>
    </w:p>
    <w:p>
      <w:pPr>
        <w:spacing w:line="360" w:lineRule="auto"/>
        <w:ind w:firstLine="3360" w:firstLineChars="1400"/>
        <w:rPr>
          <w:rFonts w:ascii="宋体" w:hAnsi="宋体" w:cs="宋体"/>
          <w:sz w:val="24"/>
        </w:rPr>
      </w:pPr>
    </w:p>
    <w:p>
      <w:pPr>
        <w:spacing w:line="360" w:lineRule="auto"/>
        <w:ind w:firstLine="3360" w:firstLineChars="1400"/>
        <w:rPr>
          <w:rFonts w:ascii="宋体" w:hAnsi="宋体" w:cs="宋体"/>
          <w:sz w:val="24"/>
        </w:rPr>
      </w:pPr>
      <w:r>
        <w:rPr>
          <w:rFonts w:hint="eastAsia" w:ascii="宋体" w:hAnsi="宋体" w:cs="宋体"/>
          <w:sz w:val="24"/>
        </w:rPr>
        <w:t>供应商名称（盖章）：</w:t>
      </w:r>
    </w:p>
    <w:p>
      <w:pPr>
        <w:spacing w:line="360" w:lineRule="auto"/>
        <w:ind w:firstLine="3360" w:firstLineChars="1400"/>
        <w:rPr>
          <w:rFonts w:ascii="宋体" w:hAnsi="宋体" w:cs="宋体"/>
          <w:sz w:val="24"/>
        </w:rPr>
      </w:pPr>
      <w:r>
        <w:rPr>
          <w:rFonts w:hint="eastAsia" w:ascii="宋体" w:hAnsi="宋体" w:cs="宋体"/>
          <w:sz w:val="24"/>
        </w:rPr>
        <w:t>法定代表人或授权代表(签字)：</w:t>
      </w:r>
    </w:p>
    <w:p>
      <w:pPr>
        <w:spacing w:line="360" w:lineRule="auto"/>
        <w:ind w:firstLine="3360" w:firstLineChars="1400"/>
        <w:rPr>
          <w:rFonts w:ascii="宋体" w:hAnsi="宋体" w:cs="宋体"/>
          <w:sz w:val="24"/>
        </w:rPr>
      </w:pPr>
      <w:r>
        <w:rPr>
          <w:rFonts w:hint="eastAsia" w:ascii="宋体" w:hAnsi="宋体" w:cs="宋体"/>
          <w:sz w:val="24"/>
        </w:rPr>
        <w:t>日期：  年    月   日</w:t>
      </w:r>
    </w:p>
    <w:p>
      <w:pPr>
        <w:spacing w:line="360" w:lineRule="auto"/>
        <w:ind w:firstLine="480" w:firstLineChars="200"/>
        <w:rPr>
          <w:rFonts w:ascii="宋体" w:hAnsi="宋体" w:cs="宋体"/>
          <w:sz w:val="24"/>
        </w:rPr>
      </w:pPr>
      <w:r>
        <w:rPr>
          <w:rFonts w:hint="eastAsia" w:ascii="宋体" w:hAnsi="宋体" w:cs="宋体"/>
          <w:sz w:val="24"/>
        </w:rPr>
        <w:t>注：1.供应商须在投标（响应性）文件中按此模板提供承诺函，未提供视为未实质性响应招标文件要求，按无效投标（响应）处理。</w:t>
      </w:r>
    </w:p>
    <w:p>
      <w:pPr>
        <w:widowControl/>
        <w:spacing w:line="360" w:lineRule="auto"/>
        <w:rPr>
          <w:rFonts w:ascii="新宋体" w:hAnsi="新宋体" w:eastAsia="新宋体" w:cs="新宋体"/>
          <w:b/>
          <w:bCs/>
          <w:kern w:val="0"/>
          <w:sz w:val="24"/>
        </w:rPr>
      </w:pPr>
      <w:r>
        <w:rPr>
          <w:rFonts w:hint="eastAsia" w:ascii="宋体" w:hAnsi="宋体" w:cs="宋体"/>
          <w:sz w:val="24"/>
        </w:rPr>
        <w:t>2.供应商的法定代表人或者授权代表的签字或盖章应真实、有效，如由授权代表签字或盖章的，应提供“法定代表人授权书”。</w:t>
      </w:r>
    </w:p>
    <w:p>
      <w:pPr>
        <w:rPr>
          <w:rFonts w:ascii="宋体" w:hAnsi="宋体" w:cs="宋体"/>
          <w:color w:val="000000" w:themeColor="text1"/>
        </w:rPr>
      </w:pPr>
    </w:p>
    <w:sectPr>
      <w:footerReference r:id="rId7" w:type="first"/>
      <w:footerReference r:id="rId6" w:type="default"/>
      <w:pgSz w:w="11906" w:h="16838"/>
      <w:pgMar w:top="1440" w:right="1418" w:bottom="1440" w:left="1418"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Courier New">
    <w:panose1 w:val="02070309020205020404"/>
    <w:charset w:val="00"/>
    <w:family w:val="modern"/>
    <w:pitch w:val="default"/>
    <w:sig w:usb0="E0002EFF" w:usb1="C0007843" w:usb2="00000009" w:usb3="00000000" w:csb0="400001FF" w:csb1="FFFF0000"/>
  </w:font>
  <w:font w:name="新宋体">
    <w:panose1 w:val="02010609030101010101"/>
    <w:charset w:val="86"/>
    <w:family w:val="modern"/>
    <w:pitch w:val="default"/>
    <w:sig w:usb0="00000203" w:usb1="288F0000" w:usb2="00000006" w:usb3="00000000" w:csb0="00040001" w:csb1="00000000"/>
  </w:font>
  <w:font w:name="‹ΟGB2312">
    <w:altName w:val="宋体"/>
    <w:panose1 w:val="00000000000000000000"/>
    <w:charset w:val="86"/>
    <w:family w:val="roman"/>
    <w:pitch w:val="default"/>
    <w:sig w:usb0="00000000" w:usb1="00000000" w:usb2="00000010" w:usb3="00000000" w:csb0="00040000" w:csb1="00000000"/>
  </w:font>
  <w:font w:name="嫤疓B2312">
    <w:altName w:val="宋体"/>
    <w:panose1 w:val="00000000000000000000"/>
    <w:charset w:val="86"/>
    <w:family w:val="roman"/>
    <w:pitch w:val="default"/>
    <w:sig w:usb0="00000000" w:usb1="00000000" w:usb2="00000010" w:usb3="00000000" w:csb0="00040000" w:csb1="00000000"/>
  </w:font>
  <w:font w:name="Lucida Sans Unicode">
    <w:panose1 w:val="020B0602030504020204"/>
    <w:charset w:val="00"/>
    <w:family w:val="swiss"/>
    <w:pitch w:val="default"/>
    <w:sig w:usb0="80001AFF" w:usb1="0000396B" w:usb2="00000000" w:usb3="00000000" w:csb0="200000BF" w:csb1="D7F7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r>
      <w:fldChar w:fldCharType="begin"/>
    </w:r>
    <w:r>
      <w:rPr>
        <w:rStyle w:val="50"/>
      </w:rPr>
      <w:instrText xml:space="preserve">PAGE  </w:instrText>
    </w:r>
    <w:r>
      <w:fldChar w:fldCharType="end"/>
    </w:r>
  </w:p>
  <w:p>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360"/>
    </w:pPr>
    <w: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31"/>
                </w:pPr>
                <w:r>
                  <w:fldChar w:fldCharType="begin"/>
                </w:r>
                <w:r>
                  <w:instrText xml:space="preserve"> PAGE  \* MERGEFORMAT </w:instrText>
                </w:r>
                <w:r>
                  <w:fldChar w:fldCharType="separate"/>
                </w:r>
                <w:r>
                  <w:t>5</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pict>
        <v:shape id="_x0000_s3073" o:spid="_x0000_s3073"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31"/>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2819E"/>
    <w:multiLevelType w:val="singleLevel"/>
    <w:tmpl w:val="A402819E"/>
    <w:lvl w:ilvl="0" w:tentative="0">
      <w:start w:val="8"/>
      <w:numFmt w:val="chineseCounting"/>
      <w:suff w:val="nothing"/>
      <w:lvlText w:val="%1、"/>
      <w:lvlJc w:val="left"/>
      <w:rPr>
        <w:rFonts w:hint="eastAsia"/>
      </w:rPr>
    </w:lvl>
  </w:abstractNum>
  <w:abstractNum w:abstractNumId="1">
    <w:nsid w:val="D70DFE36"/>
    <w:multiLevelType w:val="singleLevel"/>
    <w:tmpl w:val="D70DFE36"/>
    <w:lvl w:ilvl="0" w:tentative="0">
      <w:start w:val="1"/>
      <w:numFmt w:val="chineseCounting"/>
      <w:suff w:val="nothing"/>
      <w:lvlText w:val="%1、"/>
      <w:lvlJc w:val="left"/>
      <w:rPr>
        <w:rFonts w:hint="eastAsia"/>
      </w:rPr>
    </w:lvl>
  </w:abstractNum>
  <w:abstractNum w:abstractNumId="2">
    <w:nsid w:val="E0E633E8"/>
    <w:multiLevelType w:val="singleLevel"/>
    <w:tmpl w:val="E0E633E8"/>
    <w:lvl w:ilvl="0" w:tentative="0">
      <w:start w:val="3"/>
      <w:numFmt w:val="decimal"/>
      <w:lvlText w:val="%1."/>
      <w:lvlJc w:val="left"/>
      <w:pPr>
        <w:tabs>
          <w:tab w:val="left" w:pos="312"/>
        </w:tabs>
      </w:pPr>
    </w:lvl>
  </w:abstractNum>
  <w:abstractNum w:abstractNumId="3">
    <w:nsid w:val="ED07D9C7"/>
    <w:multiLevelType w:val="singleLevel"/>
    <w:tmpl w:val="ED07D9C7"/>
    <w:lvl w:ilvl="0" w:tentative="0">
      <w:start w:val="1"/>
      <w:numFmt w:val="decimal"/>
      <w:suff w:val="nothing"/>
      <w:lvlText w:val="%1、"/>
      <w:lvlJc w:val="left"/>
    </w:lvl>
  </w:abstractNum>
  <w:abstractNum w:abstractNumId="4">
    <w:nsid w:val="4A9A980D"/>
    <w:multiLevelType w:val="singleLevel"/>
    <w:tmpl w:val="4A9A980D"/>
    <w:lvl w:ilvl="0" w:tentative="0">
      <w:start w:val="1"/>
      <w:numFmt w:val="chineseCounting"/>
      <w:suff w:val="space"/>
      <w:lvlText w:val="第%1章"/>
      <w:lvlJc w:val="left"/>
      <w:rPr>
        <w:rFonts w:hint="eastAsia"/>
      </w:rPr>
    </w:lvl>
  </w:abstractNum>
  <w:abstractNum w:abstractNumId="5">
    <w:nsid w:val="59B6410A"/>
    <w:multiLevelType w:val="singleLevel"/>
    <w:tmpl w:val="59B6410A"/>
    <w:lvl w:ilvl="0" w:tentative="0">
      <w:start w:val="1"/>
      <w:numFmt w:val="decimal"/>
      <w:suff w:val="nothing"/>
      <w:lvlText w:val="（%1）"/>
      <w:lvlJc w:val="left"/>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420"/>
  <w:drawingGridVerticalSpacing w:val="156"/>
  <w:noPunctuationKerning w:val="1"/>
  <w:characterSpacingControl w:val="compressPunctuation"/>
  <w:doNotValidateAgainstSchema/>
  <w:doNotDemarcateInvalidXml/>
  <w:hdrShapeDefaults>
    <o:shapelayout v:ext="edit">
      <o:idmap v:ext="edit" data="2,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DU2OWY3MzNkOWU2MzJhOTU2NzljYTQyY2YxOGVhZjcifQ=="/>
  </w:docVars>
  <w:rsids>
    <w:rsidRoot w:val="00D40B3A"/>
    <w:rsid w:val="0000148D"/>
    <w:rsid w:val="00001E73"/>
    <w:rsid w:val="00001EA7"/>
    <w:rsid w:val="0000230B"/>
    <w:rsid w:val="00002A9B"/>
    <w:rsid w:val="00003F7E"/>
    <w:rsid w:val="0000783E"/>
    <w:rsid w:val="00010241"/>
    <w:rsid w:val="000105F8"/>
    <w:rsid w:val="00010768"/>
    <w:rsid w:val="00011115"/>
    <w:rsid w:val="00011203"/>
    <w:rsid w:val="00011A7F"/>
    <w:rsid w:val="000132FD"/>
    <w:rsid w:val="0001605F"/>
    <w:rsid w:val="00016E5D"/>
    <w:rsid w:val="0001787B"/>
    <w:rsid w:val="0001799D"/>
    <w:rsid w:val="00017A0D"/>
    <w:rsid w:val="00017BC8"/>
    <w:rsid w:val="000200C9"/>
    <w:rsid w:val="00021056"/>
    <w:rsid w:val="00021523"/>
    <w:rsid w:val="0002225B"/>
    <w:rsid w:val="000223C4"/>
    <w:rsid w:val="000236B7"/>
    <w:rsid w:val="00023D6A"/>
    <w:rsid w:val="000245A4"/>
    <w:rsid w:val="00024CB8"/>
    <w:rsid w:val="00026AFC"/>
    <w:rsid w:val="00026BBD"/>
    <w:rsid w:val="00030768"/>
    <w:rsid w:val="000315E4"/>
    <w:rsid w:val="000323C4"/>
    <w:rsid w:val="000326B7"/>
    <w:rsid w:val="00032DE9"/>
    <w:rsid w:val="00034653"/>
    <w:rsid w:val="00034677"/>
    <w:rsid w:val="00035FC1"/>
    <w:rsid w:val="0003638B"/>
    <w:rsid w:val="0003643F"/>
    <w:rsid w:val="00037868"/>
    <w:rsid w:val="00037A61"/>
    <w:rsid w:val="00040582"/>
    <w:rsid w:val="00041609"/>
    <w:rsid w:val="00041A58"/>
    <w:rsid w:val="000420D1"/>
    <w:rsid w:val="00043685"/>
    <w:rsid w:val="00043B58"/>
    <w:rsid w:val="000448FA"/>
    <w:rsid w:val="00044F53"/>
    <w:rsid w:val="000455FA"/>
    <w:rsid w:val="00045998"/>
    <w:rsid w:val="00045EEE"/>
    <w:rsid w:val="0004643A"/>
    <w:rsid w:val="00046C3A"/>
    <w:rsid w:val="00047600"/>
    <w:rsid w:val="00050062"/>
    <w:rsid w:val="0005140D"/>
    <w:rsid w:val="00052707"/>
    <w:rsid w:val="00052E3E"/>
    <w:rsid w:val="00053052"/>
    <w:rsid w:val="0005312A"/>
    <w:rsid w:val="0005552F"/>
    <w:rsid w:val="00055E77"/>
    <w:rsid w:val="00056AFF"/>
    <w:rsid w:val="0006055E"/>
    <w:rsid w:val="00060DC3"/>
    <w:rsid w:val="000615D2"/>
    <w:rsid w:val="000616D0"/>
    <w:rsid w:val="00061BA8"/>
    <w:rsid w:val="0006491D"/>
    <w:rsid w:val="000653C9"/>
    <w:rsid w:val="0006560D"/>
    <w:rsid w:val="0006563B"/>
    <w:rsid w:val="00065E77"/>
    <w:rsid w:val="00065F68"/>
    <w:rsid w:val="0006652C"/>
    <w:rsid w:val="0006677D"/>
    <w:rsid w:val="00066916"/>
    <w:rsid w:val="000678AA"/>
    <w:rsid w:val="000700C6"/>
    <w:rsid w:val="0007046E"/>
    <w:rsid w:val="0007106F"/>
    <w:rsid w:val="00072490"/>
    <w:rsid w:val="00072662"/>
    <w:rsid w:val="00072EDF"/>
    <w:rsid w:val="000738DB"/>
    <w:rsid w:val="00073B63"/>
    <w:rsid w:val="00073F7C"/>
    <w:rsid w:val="000741A9"/>
    <w:rsid w:val="00074E99"/>
    <w:rsid w:val="00076746"/>
    <w:rsid w:val="000772D6"/>
    <w:rsid w:val="000808DA"/>
    <w:rsid w:val="00082204"/>
    <w:rsid w:val="000824B4"/>
    <w:rsid w:val="000824BE"/>
    <w:rsid w:val="0008344B"/>
    <w:rsid w:val="00083BCA"/>
    <w:rsid w:val="00083E29"/>
    <w:rsid w:val="00083F3F"/>
    <w:rsid w:val="0008580D"/>
    <w:rsid w:val="00086207"/>
    <w:rsid w:val="00086F05"/>
    <w:rsid w:val="0008790C"/>
    <w:rsid w:val="00087930"/>
    <w:rsid w:val="000911CE"/>
    <w:rsid w:val="00092203"/>
    <w:rsid w:val="0009291C"/>
    <w:rsid w:val="000930CC"/>
    <w:rsid w:val="00093E35"/>
    <w:rsid w:val="00094A22"/>
    <w:rsid w:val="00095B2A"/>
    <w:rsid w:val="00096053"/>
    <w:rsid w:val="00096354"/>
    <w:rsid w:val="000968BF"/>
    <w:rsid w:val="00097436"/>
    <w:rsid w:val="000975DD"/>
    <w:rsid w:val="00097BE4"/>
    <w:rsid w:val="000A0CAC"/>
    <w:rsid w:val="000A15C4"/>
    <w:rsid w:val="000A311E"/>
    <w:rsid w:val="000A556B"/>
    <w:rsid w:val="000A5A3A"/>
    <w:rsid w:val="000A65E0"/>
    <w:rsid w:val="000A6600"/>
    <w:rsid w:val="000A7796"/>
    <w:rsid w:val="000A7893"/>
    <w:rsid w:val="000A7957"/>
    <w:rsid w:val="000A7A6D"/>
    <w:rsid w:val="000B0BA6"/>
    <w:rsid w:val="000B1751"/>
    <w:rsid w:val="000B43BA"/>
    <w:rsid w:val="000B4F46"/>
    <w:rsid w:val="000B5993"/>
    <w:rsid w:val="000B60E9"/>
    <w:rsid w:val="000B62BB"/>
    <w:rsid w:val="000C0867"/>
    <w:rsid w:val="000C29A2"/>
    <w:rsid w:val="000C3180"/>
    <w:rsid w:val="000C32B8"/>
    <w:rsid w:val="000C4F0E"/>
    <w:rsid w:val="000C5925"/>
    <w:rsid w:val="000C65DF"/>
    <w:rsid w:val="000D074C"/>
    <w:rsid w:val="000D212D"/>
    <w:rsid w:val="000D30C4"/>
    <w:rsid w:val="000D4430"/>
    <w:rsid w:val="000E0842"/>
    <w:rsid w:val="000E21C9"/>
    <w:rsid w:val="000E296E"/>
    <w:rsid w:val="000E34CC"/>
    <w:rsid w:val="000E3CA1"/>
    <w:rsid w:val="000E41A6"/>
    <w:rsid w:val="000E4F0C"/>
    <w:rsid w:val="000E5121"/>
    <w:rsid w:val="000E57EF"/>
    <w:rsid w:val="000E5C5E"/>
    <w:rsid w:val="000E5D93"/>
    <w:rsid w:val="000E5F7D"/>
    <w:rsid w:val="000E601B"/>
    <w:rsid w:val="000E68F2"/>
    <w:rsid w:val="000E6ABA"/>
    <w:rsid w:val="000E7472"/>
    <w:rsid w:val="000E77FA"/>
    <w:rsid w:val="000E7992"/>
    <w:rsid w:val="000F0A71"/>
    <w:rsid w:val="000F2171"/>
    <w:rsid w:val="000F4316"/>
    <w:rsid w:val="000F446A"/>
    <w:rsid w:val="000F4F23"/>
    <w:rsid w:val="000F5636"/>
    <w:rsid w:val="000F6A91"/>
    <w:rsid w:val="000F7A81"/>
    <w:rsid w:val="00101F09"/>
    <w:rsid w:val="001020F8"/>
    <w:rsid w:val="00102ABB"/>
    <w:rsid w:val="001032CD"/>
    <w:rsid w:val="001040BF"/>
    <w:rsid w:val="0010413B"/>
    <w:rsid w:val="00104207"/>
    <w:rsid w:val="0010453F"/>
    <w:rsid w:val="0010494D"/>
    <w:rsid w:val="00105A03"/>
    <w:rsid w:val="00111502"/>
    <w:rsid w:val="00111A01"/>
    <w:rsid w:val="001162B5"/>
    <w:rsid w:val="00116339"/>
    <w:rsid w:val="001166E5"/>
    <w:rsid w:val="0011749F"/>
    <w:rsid w:val="00117C9B"/>
    <w:rsid w:val="00117EB7"/>
    <w:rsid w:val="00120522"/>
    <w:rsid w:val="00120DCA"/>
    <w:rsid w:val="0012109D"/>
    <w:rsid w:val="00121451"/>
    <w:rsid w:val="00121F94"/>
    <w:rsid w:val="0012264E"/>
    <w:rsid w:val="00123742"/>
    <w:rsid w:val="00123EDA"/>
    <w:rsid w:val="00125454"/>
    <w:rsid w:val="00125603"/>
    <w:rsid w:val="001272D9"/>
    <w:rsid w:val="00127AFE"/>
    <w:rsid w:val="001307E8"/>
    <w:rsid w:val="00131889"/>
    <w:rsid w:val="00132386"/>
    <w:rsid w:val="001324BE"/>
    <w:rsid w:val="00134DD3"/>
    <w:rsid w:val="00135C54"/>
    <w:rsid w:val="00136D7E"/>
    <w:rsid w:val="0014034B"/>
    <w:rsid w:val="00141C2E"/>
    <w:rsid w:val="001422E4"/>
    <w:rsid w:val="00142753"/>
    <w:rsid w:val="00143937"/>
    <w:rsid w:val="00143D57"/>
    <w:rsid w:val="00143E00"/>
    <w:rsid w:val="001449C4"/>
    <w:rsid w:val="00145143"/>
    <w:rsid w:val="001458CF"/>
    <w:rsid w:val="00145DB0"/>
    <w:rsid w:val="00146999"/>
    <w:rsid w:val="00147105"/>
    <w:rsid w:val="00147CE1"/>
    <w:rsid w:val="00150113"/>
    <w:rsid w:val="0015213D"/>
    <w:rsid w:val="0015265A"/>
    <w:rsid w:val="0015297D"/>
    <w:rsid w:val="00152E03"/>
    <w:rsid w:val="00153176"/>
    <w:rsid w:val="00154DB2"/>
    <w:rsid w:val="00156771"/>
    <w:rsid w:val="00156DF6"/>
    <w:rsid w:val="00157965"/>
    <w:rsid w:val="00157BAC"/>
    <w:rsid w:val="0016131E"/>
    <w:rsid w:val="001646E4"/>
    <w:rsid w:val="00164BD8"/>
    <w:rsid w:val="001677DE"/>
    <w:rsid w:val="00172448"/>
    <w:rsid w:val="00172C4C"/>
    <w:rsid w:val="00173256"/>
    <w:rsid w:val="001737E5"/>
    <w:rsid w:val="001739AD"/>
    <w:rsid w:val="0017402E"/>
    <w:rsid w:val="00176C5C"/>
    <w:rsid w:val="00177321"/>
    <w:rsid w:val="00180F02"/>
    <w:rsid w:val="001814F0"/>
    <w:rsid w:val="00181C9C"/>
    <w:rsid w:val="00181D27"/>
    <w:rsid w:val="00182AA4"/>
    <w:rsid w:val="001839E3"/>
    <w:rsid w:val="00185539"/>
    <w:rsid w:val="001862E2"/>
    <w:rsid w:val="0018638C"/>
    <w:rsid w:val="001906A3"/>
    <w:rsid w:val="00192349"/>
    <w:rsid w:val="00192814"/>
    <w:rsid w:val="00192A7D"/>
    <w:rsid w:val="00193629"/>
    <w:rsid w:val="00194E6D"/>
    <w:rsid w:val="00195854"/>
    <w:rsid w:val="00195F8B"/>
    <w:rsid w:val="001A0688"/>
    <w:rsid w:val="001A0D59"/>
    <w:rsid w:val="001A1019"/>
    <w:rsid w:val="001A1EF7"/>
    <w:rsid w:val="001A2BC7"/>
    <w:rsid w:val="001A2E96"/>
    <w:rsid w:val="001A380F"/>
    <w:rsid w:val="001A3E1C"/>
    <w:rsid w:val="001A4306"/>
    <w:rsid w:val="001A5927"/>
    <w:rsid w:val="001A5D82"/>
    <w:rsid w:val="001A6738"/>
    <w:rsid w:val="001A7B39"/>
    <w:rsid w:val="001A7D8B"/>
    <w:rsid w:val="001B1695"/>
    <w:rsid w:val="001B1D27"/>
    <w:rsid w:val="001B2E9D"/>
    <w:rsid w:val="001B3B9A"/>
    <w:rsid w:val="001B47E1"/>
    <w:rsid w:val="001B510B"/>
    <w:rsid w:val="001B5895"/>
    <w:rsid w:val="001B5C07"/>
    <w:rsid w:val="001B6434"/>
    <w:rsid w:val="001B6BE4"/>
    <w:rsid w:val="001B7F2F"/>
    <w:rsid w:val="001C0871"/>
    <w:rsid w:val="001C1063"/>
    <w:rsid w:val="001C2F48"/>
    <w:rsid w:val="001C45E9"/>
    <w:rsid w:val="001C498A"/>
    <w:rsid w:val="001C4B60"/>
    <w:rsid w:val="001C6048"/>
    <w:rsid w:val="001C665E"/>
    <w:rsid w:val="001C73C5"/>
    <w:rsid w:val="001C795B"/>
    <w:rsid w:val="001D278A"/>
    <w:rsid w:val="001D53A8"/>
    <w:rsid w:val="001D56B3"/>
    <w:rsid w:val="001D61E2"/>
    <w:rsid w:val="001D6AA3"/>
    <w:rsid w:val="001D7A39"/>
    <w:rsid w:val="001E21A4"/>
    <w:rsid w:val="001E37E4"/>
    <w:rsid w:val="001E54F9"/>
    <w:rsid w:val="001E6C37"/>
    <w:rsid w:val="001F0D53"/>
    <w:rsid w:val="001F1491"/>
    <w:rsid w:val="001F1907"/>
    <w:rsid w:val="001F2C7C"/>
    <w:rsid w:val="001F3026"/>
    <w:rsid w:val="001F3788"/>
    <w:rsid w:val="001F3B4A"/>
    <w:rsid w:val="001F3F00"/>
    <w:rsid w:val="001F3FBF"/>
    <w:rsid w:val="001F463F"/>
    <w:rsid w:val="001F4CAC"/>
    <w:rsid w:val="001F5007"/>
    <w:rsid w:val="001F5171"/>
    <w:rsid w:val="001F66C3"/>
    <w:rsid w:val="00200354"/>
    <w:rsid w:val="002005A6"/>
    <w:rsid w:val="0020091D"/>
    <w:rsid w:val="00200A43"/>
    <w:rsid w:val="0020213F"/>
    <w:rsid w:val="0020386F"/>
    <w:rsid w:val="00203C1E"/>
    <w:rsid w:val="002043A2"/>
    <w:rsid w:val="00204981"/>
    <w:rsid w:val="00204E33"/>
    <w:rsid w:val="00205791"/>
    <w:rsid w:val="00205851"/>
    <w:rsid w:val="00205E76"/>
    <w:rsid w:val="0020700E"/>
    <w:rsid w:val="00207AD6"/>
    <w:rsid w:val="00207DA1"/>
    <w:rsid w:val="00211193"/>
    <w:rsid w:val="00211304"/>
    <w:rsid w:val="002115B5"/>
    <w:rsid w:val="00211919"/>
    <w:rsid w:val="002126D1"/>
    <w:rsid w:val="00213034"/>
    <w:rsid w:val="0021474B"/>
    <w:rsid w:val="00215512"/>
    <w:rsid w:val="002167B6"/>
    <w:rsid w:val="00216DBC"/>
    <w:rsid w:val="00217017"/>
    <w:rsid w:val="0022043E"/>
    <w:rsid w:val="00220C2D"/>
    <w:rsid w:val="0022105C"/>
    <w:rsid w:val="00221A0A"/>
    <w:rsid w:val="00223301"/>
    <w:rsid w:val="00224472"/>
    <w:rsid w:val="002259B7"/>
    <w:rsid w:val="0022634A"/>
    <w:rsid w:val="00226A66"/>
    <w:rsid w:val="00226EA7"/>
    <w:rsid w:val="00230365"/>
    <w:rsid w:val="00230A78"/>
    <w:rsid w:val="00231BEE"/>
    <w:rsid w:val="00233477"/>
    <w:rsid w:val="0023382C"/>
    <w:rsid w:val="0023451A"/>
    <w:rsid w:val="0023481E"/>
    <w:rsid w:val="002348D8"/>
    <w:rsid w:val="00235FD5"/>
    <w:rsid w:val="0023677B"/>
    <w:rsid w:val="00236FE8"/>
    <w:rsid w:val="002372ED"/>
    <w:rsid w:val="002401BC"/>
    <w:rsid w:val="00241467"/>
    <w:rsid w:val="0024162D"/>
    <w:rsid w:val="0024177E"/>
    <w:rsid w:val="002431EF"/>
    <w:rsid w:val="00244728"/>
    <w:rsid w:val="0024599C"/>
    <w:rsid w:val="002517B4"/>
    <w:rsid w:val="00251AB6"/>
    <w:rsid w:val="00251E2D"/>
    <w:rsid w:val="0025290E"/>
    <w:rsid w:val="00252924"/>
    <w:rsid w:val="00253030"/>
    <w:rsid w:val="00253608"/>
    <w:rsid w:val="0025376C"/>
    <w:rsid w:val="00255A30"/>
    <w:rsid w:val="002561CE"/>
    <w:rsid w:val="00256420"/>
    <w:rsid w:val="00261137"/>
    <w:rsid w:val="00261463"/>
    <w:rsid w:val="00262F22"/>
    <w:rsid w:val="00263504"/>
    <w:rsid w:val="0026578F"/>
    <w:rsid w:val="00266325"/>
    <w:rsid w:val="00267942"/>
    <w:rsid w:val="00270C54"/>
    <w:rsid w:val="0027139A"/>
    <w:rsid w:val="0027263B"/>
    <w:rsid w:val="00272896"/>
    <w:rsid w:val="00272EEE"/>
    <w:rsid w:val="00273949"/>
    <w:rsid w:val="00274808"/>
    <w:rsid w:val="002753F3"/>
    <w:rsid w:val="00276567"/>
    <w:rsid w:val="00276DD8"/>
    <w:rsid w:val="0027717C"/>
    <w:rsid w:val="00277F5F"/>
    <w:rsid w:val="00281C02"/>
    <w:rsid w:val="002833F0"/>
    <w:rsid w:val="0028495C"/>
    <w:rsid w:val="00285381"/>
    <w:rsid w:val="0028681D"/>
    <w:rsid w:val="0028701A"/>
    <w:rsid w:val="0029067F"/>
    <w:rsid w:val="00290ABF"/>
    <w:rsid w:val="0029270C"/>
    <w:rsid w:val="00292C39"/>
    <w:rsid w:val="002944C7"/>
    <w:rsid w:val="00294C26"/>
    <w:rsid w:val="00295BCE"/>
    <w:rsid w:val="00295E61"/>
    <w:rsid w:val="00296427"/>
    <w:rsid w:val="00296EDD"/>
    <w:rsid w:val="00297686"/>
    <w:rsid w:val="002A0D93"/>
    <w:rsid w:val="002A12FA"/>
    <w:rsid w:val="002A2305"/>
    <w:rsid w:val="002A2C75"/>
    <w:rsid w:val="002A4587"/>
    <w:rsid w:val="002A4797"/>
    <w:rsid w:val="002A623C"/>
    <w:rsid w:val="002A6CCF"/>
    <w:rsid w:val="002B00AC"/>
    <w:rsid w:val="002B02C9"/>
    <w:rsid w:val="002B0740"/>
    <w:rsid w:val="002B1502"/>
    <w:rsid w:val="002B1AC4"/>
    <w:rsid w:val="002B2878"/>
    <w:rsid w:val="002B2A8F"/>
    <w:rsid w:val="002B2D3F"/>
    <w:rsid w:val="002B37E9"/>
    <w:rsid w:val="002B381A"/>
    <w:rsid w:val="002B4F9A"/>
    <w:rsid w:val="002B5F1C"/>
    <w:rsid w:val="002B6A66"/>
    <w:rsid w:val="002B7E34"/>
    <w:rsid w:val="002B7EB7"/>
    <w:rsid w:val="002C06A4"/>
    <w:rsid w:val="002C06FD"/>
    <w:rsid w:val="002C10FA"/>
    <w:rsid w:val="002C12CC"/>
    <w:rsid w:val="002C24CF"/>
    <w:rsid w:val="002C2619"/>
    <w:rsid w:val="002C27FD"/>
    <w:rsid w:val="002C2BBE"/>
    <w:rsid w:val="002C2D07"/>
    <w:rsid w:val="002C2F8D"/>
    <w:rsid w:val="002C3206"/>
    <w:rsid w:val="002C49A4"/>
    <w:rsid w:val="002C681B"/>
    <w:rsid w:val="002C7D9F"/>
    <w:rsid w:val="002D0298"/>
    <w:rsid w:val="002D082A"/>
    <w:rsid w:val="002D09C6"/>
    <w:rsid w:val="002D1EC4"/>
    <w:rsid w:val="002D270C"/>
    <w:rsid w:val="002D2F05"/>
    <w:rsid w:val="002D30D4"/>
    <w:rsid w:val="002D36FA"/>
    <w:rsid w:val="002D4B24"/>
    <w:rsid w:val="002D4B52"/>
    <w:rsid w:val="002D726F"/>
    <w:rsid w:val="002D7E33"/>
    <w:rsid w:val="002D7F26"/>
    <w:rsid w:val="002E00E7"/>
    <w:rsid w:val="002E0C53"/>
    <w:rsid w:val="002E1044"/>
    <w:rsid w:val="002E27CE"/>
    <w:rsid w:val="002E35D0"/>
    <w:rsid w:val="002E4448"/>
    <w:rsid w:val="002E4B5A"/>
    <w:rsid w:val="002E4D8A"/>
    <w:rsid w:val="002E536D"/>
    <w:rsid w:val="002E6323"/>
    <w:rsid w:val="002E7BA1"/>
    <w:rsid w:val="002F02D1"/>
    <w:rsid w:val="002F08D3"/>
    <w:rsid w:val="002F0D0B"/>
    <w:rsid w:val="002F16B9"/>
    <w:rsid w:val="002F3148"/>
    <w:rsid w:val="002F4112"/>
    <w:rsid w:val="002F5644"/>
    <w:rsid w:val="002F5DED"/>
    <w:rsid w:val="002F6364"/>
    <w:rsid w:val="002F682D"/>
    <w:rsid w:val="002F706F"/>
    <w:rsid w:val="002F77FC"/>
    <w:rsid w:val="002F78B2"/>
    <w:rsid w:val="002F78FD"/>
    <w:rsid w:val="002F79A4"/>
    <w:rsid w:val="00300907"/>
    <w:rsid w:val="00300F8A"/>
    <w:rsid w:val="003011E6"/>
    <w:rsid w:val="00301495"/>
    <w:rsid w:val="00301676"/>
    <w:rsid w:val="00301986"/>
    <w:rsid w:val="003028E4"/>
    <w:rsid w:val="00302C6B"/>
    <w:rsid w:val="00303AA4"/>
    <w:rsid w:val="00305D49"/>
    <w:rsid w:val="0030635D"/>
    <w:rsid w:val="0030709A"/>
    <w:rsid w:val="00310507"/>
    <w:rsid w:val="0031166B"/>
    <w:rsid w:val="00311940"/>
    <w:rsid w:val="00312104"/>
    <w:rsid w:val="00312321"/>
    <w:rsid w:val="00313236"/>
    <w:rsid w:val="00315742"/>
    <w:rsid w:val="00316C0A"/>
    <w:rsid w:val="0032012F"/>
    <w:rsid w:val="00320866"/>
    <w:rsid w:val="0032097C"/>
    <w:rsid w:val="00320AF6"/>
    <w:rsid w:val="003211FE"/>
    <w:rsid w:val="003218A2"/>
    <w:rsid w:val="00321EA1"/>
    <w:rsid w:val="00322837"/>
    <w:rsid w:val="003228E5"/>
    <w:rsid w:val="00322A2F"/>
    <w:rsid w:val="00322ADB"/>
    <w:rsid w:val="00322BDB"/>
    <w:rsid w:val="00322EB5"/>
    <w:rsid w:val="00323020"/>
    <w:rsid w:val="00324476"/>
    <w:rsid w:val="00324609"/>
    <w:rsid w:val="00325377"/>
    <w:rsid w:val="00325593"/>
    <w:rsid w:val="00325E01"/>
    <w:rsid w:val="00326193"/>
    <w:rsid w:val="00326263"/>
    <w:rsid w:val="00326BCA"/>
    <w:rsid w:val="00326EE7"/>
    <w:rsid w:val="00326F3C"/>
    <w:rsid w:val="003273CB"/>
    <w:rsid w:val="0032753E"/>
    <w:rsid w:val="0032769B"/>
    <w:rsid w:val="00327A51"/>
    <w:rsid w:val="00330AE9"/>
    <w:rsid w:val="00330F73"/>
    <w:rsid w:val="00333A8C"/>
    <w:rsid w:val="00333CC0"/>
    <w:rsid w:val="0033415D"/>
    <w:rsid w:val="0033474B"/>
    <w:rsid w:val="00336DA8"/>
    <w:rsid w:val="0033778F"/>
    <w:rsid w:val="00337CC4"/>
    <w:rsid w:val="00340640"/>
    <w:rsid w:val="003415DA"/>
    <w:rsid w:val="00342F64"/>
    <w:rsid w:val="00343218"/>
    <w:rsid w:val="00343E57"/>
    <w:rsid w:val="00344A08"/>
    <w:rsid w:val="003455CD"/>
    <w:rsid w:val="00345F71"/>
    <w:rsid w:val="003470EB"/>
    <w:rsid w:val="003503B1"/>
    <w:rsid w:val="0035043A"/>
    <w:rsid w:val="0035068D"/>
    <w:rsid w:val="00350B5D"/>
    <w:rsid w:val="003535A1"/>
    <w:rsid w:val="003541B2"/>
    <w:rsid w:val="00355F8D"/>
    <w:rsid w:val="0035637C"/>
    <w:rsid w:val="003567C0"/>
    <w:rsid w:val="003569C4"/>
    <w:rsid w:val="00356C73"/>
    <w:rsid w:val="0035742B"/>
    <w:rsid w:val="003578CA"/>
    <w:rsid w:val="0035796D"/>
    <w:rsid w:val="00361608"/>
    <w:rsid w:val="0036197F"/>
    <w:rsid w:val="00361ECE"/>
    <w:rsid w:val="0036200C"/>
    <w:rsid w:val="00363FB3"/>
    <w:rsid w:val="0036421E"/>
    <w:rsid w:val="003649FD"/>
    <w:rsid w:val="003651DF"/>
    <w:rsid w:val="0036574D"/>
    <w:rsid w:val="00367108"/>
    <w:rsid w:val="00370AE1"/>
    <w:rsid w:val="003724A8"/>
    <w:rsid w:val="0037278B"/>
    <w:rsid w:val="003729D5"/>
    <w:rsid w:val="00372D2F"/>
    <w:rsid w:val="00373255"/>
    <w:rsid w:val="003732DA"/>
    <w:rsid w:val="00373622"/>
    <w:rsid w:val="003736BD"/>
    <w:rsid w:val="00374518"/>
    <w:rsid w:val="003747FC"/>
    <w:rsid w:val="00375541"/>
    <w:rsid w:val="003756F9"/>
    <w:rsid w:val="00375C38"/>
    <w:rsid w:val="00375E42"/>
    <w:rsid w:val="00375FF7"/>
    <w:rsid w:val="00376E0A"/>
    <w:rsid w:val="0037700D"/>
    <w:rsid w:val="0037777D"/>
    <w:rsid w:val="00382E06"/>
    <w:rsid w:val="00383B83"/>
    <w:rsid w:val="00384B2E"/>
    <w:rsid w:val="003857A9"/>
    <w:rsid w:val="00386A3B"/>
    <w:rsid w:val="00386C98"/>
    <w:rsid w:val="003873B0"/>
    <w:rsid w:val="00390705"/>
    <w:rsid w:val="003908B8"/>
    <w:rsid w:val="003914AD"/>
    <w:rsid w:val="00392C61"/>
    <w:rsid w:val="003937E6"/>
    <w:rsid w:val="00394422"/>
    <w:rsid w:val="003945B5"/>
    <w:rsid w:val="00395073"/>
    <w:rsid w:val="00395EBB"/>
    <w:rsid w:val="00396283"/>
    <w:rsid w:val="003972EE"/>
    <w:rsid w:val="00397852"/>
    <w:rsid w:val="003A0D6B"/>
    <w:rsid w:val="003A1A84"/>
    <w:rsid w:val="003A2544"/>
    <w:rsid w:val="003A275B"/>
    <w:rsid w:val="003A27CE"/>
    <w:rsid w:val="003A2A66"/>
    <w:rsid w:val="003A2AB3"/>
    <w:rsid w:val="003A2E5D"/>
    <w:rsid w:val="003A3CB3"/>
    <w:rsid w:val="003A3E47"/>
    <w:rsid w:val="003A46B6"/>
    <w:rsid w:val="003A4858"/>
    <w:rsid w:val="003A5D8A"/>
    <w:rsid w:val="003A6256"/>
    <w:rsid w:val="003A6ED5"/>
    <w:rsid w:val="003A7376"/>
    <w:rsid w:val="003B39A6"/>
    <w:rsid w:val="003B457D"/>
    <w:rsid w:val="003B4685"/>
    <w:rsid w:val="003B48F1"/>
    <w:rsid w:val="003B5226"/>
    <w:rsid w:val="003B579D"/>
    <w:rsid w:val="003B6313"/>
    <w:rsid w:val="003B7625"/>
    <w:rsid w:val="003B7BB5"/>
    <w:rsid w:val="003C1F21"/>
    <w:rsid w:val="003C2184"/>
    <w:rsid w:val="003C3885"/>
    <w:rsid w:val="003C3BD4"/>
    <w:rsid w:val="003C3DF7"/>
    <w:rsid w:val="003C3E03"/>
    <w:rsid w:val="003C3E09"/>
    <w:rsid w:val="003C4DCD"/>
    <w:rsid w:val="003C4E3B"/>
    <w:rsid w:val="003C51A1"/>
    <w:rsid w:val="003C5410"/>
    <w:rsid w:val="003C67B5"/>
    <w:rsid w:val="003C7BA8"/>
    <w:rsid w:val="003D189D"/>
    <w:rsid w:val="003D1E7A"/>
    <w:rsid w:val="003D2D05"/>
    <w:rsid w:val="003D4519"/>
    <w:rsid w:val="003D4F9E"/>
    <w:rsid w:val="003D7348"/>
    <w:rsid w:val="003E1294"/>
    <w:rsid w:val="003E161B"/>
    <w:rsid w:val="003E24B5"/>
    <w:rsid w:val="003E2AE5"/>
    <w:rsid w:val="003E2E87"/>
    <w:rsid w:val="003E3BE1"/>
    <w:rsid w:val="003E418A"/>
    <w:rsid w:val="003E4DF4"/>
    <w:rsid w:val="003E620A"/>
    <w:rsid w:val="003E651E"/>
    <w:rsid w:val="003E7A3E"/>
    <w:rsid w:val="003F03A6"/>
    <w:rsid w:val="003F0B69"/>
    <w:rsid w:val="003F0F99"/>
    <w:rsid w:val="003F120C"/>
    <w:rsid w:val="003F28E8"/>
    <w:rsid w:val="003F3080"/>
    <w:rsid w:val="003F3183"/>
    <w:rsid w:val="003F45BE"/>
    <w:rsid w:val="003F5D07"/>
    <w:rsid w:val="003F6641"/>
    <w:rsid w:val="00402003"/>
    <w:rsid w:val="004022E9"/>
    <w:rsid w:val="00402D23"/>
    <w:rsid w:val="004037DD"/>
    <w:rsid w:val="00403D79"/>
    <w:rsid w:val="004041A0"/>
    <w:rsid w:val="00404BFF"/>
    <w:rsid w:val="004062C5"/>
    <w:rsid w:val="0040698B"/>
    <w:rsid w:val="004076F7"/>
    <w:rsid w:val="00407A10"/>
    <w:rsid w:val="004100EC"/>
    <w:rsid w:val="00410E07"/>
    <w:rsid w:val="00410E32"/>
    <w:rsid w:val="0041150A"/>
    <w:rsid w:val="004116B8"/>
    <w:rsid w:val="00412284"/>
    <w:rsid w:val="00412C8F"/>
    <w:rsid w:val="004145E1"/>
    <w:rsid w:val="00415229"/>
    <w:rsid w:val="0041530B"/>
    <w:rsid w:val="00415A56"/>
    <w:rsid w:val="00416245"/>
    <w:rsid w:val="00416B45"/>
    <w:rsid w:val="00416F6E"/>
    <w:rsid w:val="00421B99"/>
    <w:rsid w:val="00421C7D"/>
    <w:rsid w:val="004230C0"/>
    <w:rsid w:val="00423EDA"/>
    <w:rsid w:val="00424789"/>
    <w:rsid w:val="004263D0"/>
    <w:rsid w:val="00426A8D"/>
    <w:rsid w:val="00426C79"/>
    <w:rsid w:val="004308C4"/>
    <w:rsid w:val="00431139"/>
    <w:rsid w:val="004324A7"/>
    <w:rsid w:val="00432533"/>
    <w:rsid w:val="0043289A"/>
    <w:rsid w:val="004331FE"/>
    <w:rsid w:val="004335F2"/>
    <w:rsid w:val="0043372C"/>
    <w:rsid w:val="00433764"/>
    <w:rsid w:val="0043404C"/>
    <w:rsid w:val="0043419D"/>
    <w:rsid w:val="004357A7"/>
    <w:rsid w:val="004359D0"/>
    <w:rsid w:val="00435BF2"/>
    <w:rsid w:val="00436149"/>
    <w:rsid w:val="00436F26"/>
    <w:rsid w:val="004371DA"/>
    <w:rsid w:val="00437719"/>
    <w:rsid w:val="004377BE"/>
    <w:rsid w:val="00440230"/>
    <w:rsid w:val="004407A8"/>
    <w:rsid w:val="00440B25"/>
    <w:rsid w:val="0044149B"/>
    <w:rsid w:val="00441AEB"/>
    <w:rsid w:val="0044227B"/>
    <w:rsid w:val="004423ED"/>
    <w:rsid w:val="00442C4A"/>
    <w:rsid w:val="004432EA"/>
    <w:rsid w:val="00443E67"/>
    <w:rsid w:val="004443D0"/>
    <w:rsid w:val="004447DD"/>
    <w:rsid w:val="0044511C"/>
    <w:rsid w:val="00445AA0"/>
    <w:rsid w:val="00451F13"/>
    <w:rsid w:val="00452A63"/>
    <w:rsid w:val="00452D4E"/>
    <w:rsid w:val="00453ED4"/>
    <w:rsid w:val="004546CD"/>
    <w:rsid w:val="00454BAA"/>
    <w:rsid w:val="0045511F"/>
    <w:rsid w:val="004554FB"/>
    <w:rsid w:val="004557B0"/>
    <w:rsid w:val="00456AAB"/>
    <w:rsid w:val="00456AF6"/>
    <w:rsid w:val="00460048"/>
    <w:rsid w:val="004606D5"/>
    <w:rsid w:val="00461240"/>
    <w:rsid w:val="00461321"/>
    <w:rsid w:val="0046238E"/>
    <w:rsid w:val="00462EF0"/>
    <w:rsid w:val="00463E6B"/>
    <w:rsid w:val="0046420A"/>
    <w:rsid w:val="00464E58"/>
    <w:rsid w:val="00466647"/>
    <w:rsid w:val="00470EDF"/>
    <w:rsid w:val="00471069"/>
    <w:rsid w:val="00471329"/>
    <w:rsid w:val="004725F6"/>
    <w:rsid w:val="00473B51"/>
    <w:rsid w:val="004742AF"/>
    <w:rsid w:val="00475D10"/>
    <w:rsid w:val="00476A5D"/>
    <w:rsid w:val="004771A0"/>
    <w:rsid w:val="00480FDD"/>
    <w:rsid w:val="004814E4"/>
    <w:rsid w:val="004816F1"/>
    <w:rsid w:val="00481EEC"/>
    <w:rsid w:val="00483AA7"/>
    <w:rsid w:val="00484360"/>
    <w:rsid w:val="004856CE"/>
    <w:rsid w:val="004862D6"/>
    <w:rsid w:val="00486F5F"/>
    <w:rsid w:val="00487654"/>
    <w:rsid w:val="00487EA3"/>
    <w:rsid w:val="004917FE"/>
    <w:rsid w:val="00491C8C"/>
    <w:rsid w:val="00491CE6"/>
    <w:rsid w:val="0049274A"/>
    <w:rsid w:val="00495148"/>
    <w:rsid w:val="00495396"/>
    <w:rsid w:val="00496948"/>
    <w:rsid w:val="00497D09"/>
    <w:rsid w:val="004A01B5"/>
    <w:rsid w:val="004A0766"/>
    <w:rsid w:val="004A1C5C"/>
    <w:rsid w:val="004A2298"/>
    <w:rsid w:val="004A2453"/>
    <w:rsid w:val="004A2E75"/>
    <w:rsid w:val="004A3DD2"/>
    <w:rsid w:val="004A4145"/>
    <w:rsid w:val="004A43A7"/>
    <w:rsid w:val="004A479C"/>
    <w:rsid w:val="004A4B74"/>
    <w:rsid w:val="004A7C1B"/>
    <w:rsid w:val="004B0220"/>
    <w:rsid w:val="004B1EA2"/>
    <w:rsid w:val="004B1FA1"/>
    <w:rsid w:val="004B2622"/>
    <w:rsid w:val="004B2B4B"/>
    <w:rsid w:val="004B3181"/>
    <w:rsid w:val="004B6E32"/>
    <w:rsid w:val="004B7293"/>
    <w:rsid w:val="004B7C85"/>
    <w:rsid w:val="004C0395"/>
    <w:rsid w:val="004C0501"/>
    <w:rsid w:val="004C25B8"/>
    <w:rsid w:val="004C27B0"/>
    <w:rsid w:val="004C33FC"/>
    <w:rsid w:val="004C34E6"/>
    <w:rsid w:val="004C3B31"/>
    <w:rsid w:val="004C4423"/>
    <w:rsid w:val="004C4933"/>
    <w:rsid w:val="004C5568"/>
    <w:rsid w:val="004C65EE"/>
    <w:rsid w:val="004C6916"/>
    <w:rsid w:val="004C71CC"/>
    <w:rsid w:val="004C7ED1"/>
    <w:rsid w:val="004D0174"/>
    <w:rsid w:val="004D03A0"/>
    <w:rsid w:val="004D0CD1"/>
    <w:rsid w:val="004D2885"/>
    <w:rsid w:val="004D33B0"/>
    <w:rsid w:val="004D36E3"/>
    <w:rsid w:val="004D3D3E"/>
    <w:rsid w:val="004D454E"/>
    <w:rsid w:val="004D4847"/>
    <w:rsid w:val="004D53F3"/>
    <w:rsid w:val="004D53F7"/>
    <w:rsid w:val="004D671A"/>
    <w:rsid w:val="004D7635"/>
    <w:rsid w:val="004D7D6A"/>
    <w:rsid w:val="004E08CC"/>
    <w:rsid w:val="004E1A8C"/>
    <w:rsid w:val="004E458A"/>
    <w:rsid w:val="004E6C82"/>
    <w:rsid w:val="004E71E9"/>
    <w:rsid w:val="004E71F8"/>
    <w:rsid w:val="004E7D95"/>
    <w:rsid w:val="004F387B"/>
    <w:rsid w:val="004F3EE1"/>
    <w:rsid w:val="004F491E"/>
    <w:rsid w:val="004F49D2"/>
    <w:rsid w:val="004F56E6"/>
    <w:rsid w:val="004F5B6F"/>
    <w:rsid w:val="004F5CC5"/>
    <w:rsid w:val="004F6427"/>
    <w:rsid w:val="00500427"/>
    <w:rsid w:val="00500910"/>
    <w:rsid w:val="005010E7"/>
    <w:rsid w:val="005010F6"/>
    <w:rsid w:val="0050160A"/>
    <w:rsid w:val="00502882"/>
    <w:rsid w:val="005033E7"/>
    <w:rsid w:val="00505AA2"/>
    <w:rsid w:val="00506352"/>
    <w:rsid w:val="00507D73"/>
    <w:rsid w:val="0051036C"/>
    <w:rsid w:val="00512689"/>
    <w:rsid w:val="005127DF"/>
    <w:rsid w:val="00512C93"/>
    <w:rsid w:val="00513706"/>
    <w:rsid w:val="00514687"/>
    <w:rsid w:val="00517000"/>
    <w:rsid w:val="00517AE6"/>
    <w:rsid w:val="00517F83"/>
    <w:rsid w:val="0052010D"/>
    <w:rsid w:val="0052357F"/>
    <w:rsid w:val="00523B18"/>
    <w:rsid w:val="00523C63"/>
    <w:rsid w:val="005241AD"/>
    <w:rsid w:val="0052474E"/>
    <w:rsid w:val="00524E94"/>
    <w:rsid w:val="00525123"/>
    <w:rsid w:val="00526843"/>
    <w:rsid w:val="00526F3E"/>
    <w:rsid w:val="0052732C"/>
    <w:rsid w:val="005274A5"/>
    <w:rsid w:val="00527934"/>
    <w:rsid w:val="00527C5D"/>
    <w:rsid w:val="00527E4D"/>
    <w:rsid w:val="00531009"/>
    <w:rsid w:val="00532325"/>
    <w:rsid w:val="005324EE"/>
    <w:rsid w:val="00534259"/>
    <w:rsid w:val="00535A2A"/>
    <w:rsid w:val="00535AD6"/>
    <w:rsid w:val="005367B8"/>
    <w:rsid w:val="00542E85"/>
    <w:rsid w:val="00543C05"/>
    <w:rsid w:val="0054478B"/>
    <w:rsid w:val="005450EB"/>
    <w:rsid w:val="0054639B"/>
    <w:rsid w:val="00551941"/>
    <w:rsid w:val="005525F1"/>
    <w:rsid w:val="00553246"/>
    <w:rsid w:val="00554158"/>
    <w:rsid w:val="005553B0"/>
    <w:rsid w:val="005564C6"/>
    <w:rsid w:val="00556837"/>
    <w:rsid w:val="00556F5D"/>
    <w:rsid w:val="00560110"/>
    <w:rsid w:val="00560CF0"/>
    <w:rsid w:val="00561725"/>
    <w:rsid w:val="005617C8"/>
    <w:rsid w:val="00561AA4"/>
    <w:rsid w:val="005624E6"/>
    <w:rsid w:val="005644F6"/>
    <w:rsid w:val="0056472C"/>
    <w:rsid w:val="00564EE2"/>
    <w:rsid w:val="00566396"/>
    <w:rsid w:val="0057039F"/>
    <w:rsid w:val="00570C22"/>
    <w:rsid w:val="00570F9B"/>
    <w:rsid w:val="00571A0B"/>
    <w:rsid w:val="0057201A"/>
    <w:rsid w:val="00572D32"/>
    <w:rsid w:val="0057363B"/>
    <w:rsid w:val="00573D65"/>
    <w:rsid w:val="0057484D"/>
    <w:rsid w:val="0057570B"/>
    <w:rsid w:val="00575B3D"/>
    <w:rsid w:val="00576FE3"/>
    <w:rsid w:val="00577711"/>
    <w:rsid w:val="005809EE"/>
    <w:rsid w:val="005828E8"/>
    <w:rsid w:val="00583F5E"/>
    <w:rsid w:val="00584FBD"/>
    <w:rsid w:val="00585593"/>
    <w:rsid w:val="00585DD9"/>
    <w:rsid w:val="00585F39"/>
    <w:rsid w:val="00585F72"/>
    <w:rsid w:val="005861B1"/>
    <w:rsid w:val="00587302"/>
    <w:rsid w:val="00587D53"/>
    <w:rsid w:val="0059083B"/>
    <w:rsid w:val="005925F0"/>
    <w:rsid w:val="00592BAB"/>
    <w:rsid w:val="005932CB"/>
    <w:rsid w:val="005943F6"/>
    <w:rsid w:val="00594E98"/>
    <w:rsid w:val="00594F9F"/>
    <w:rsid w:val="0059584E"/>
    <w:rsid w:val="00595CD4"/>
    <w:rsid w:val="00596387"/>
    <w:rsid w:val="0059767E"/>
    <w:rsid w:val="005A0356"/>
    <w:rsid w:val="005A106B"/>
    <w:rsid w:val="005A1CD4"/>
    <w:rsid w:val="005A2349"/>
    <w:rsid w:val="005A41CA"/>
    <w:rsid w:val="005A6852"/>
    <w:rsid w:val="005A695E"/>
    <w:rsid w:val="005B055B"/>
    <w:rsid w:val="005B13A7"/>
    <w:rsid w:val="005B14BC"/>
    <w:rsid w:val="005B1B0F"/>
    <w:rsid w:val="005B37BF"/>
    <w:rsid w:val="005B3809"/>
    <w:rsid w:val="005B3949"/>
    <w:rsid w:val="005B4FE3"/>
    <w:rsid w:val="005C0C12"/>
    <w:rsid w:val="005C17F2"/>
    <w:rsid w:val="005C1D33"/>
    <w:rsid w:val="005C26CB"/>
    <w:rsid w:val="005C533B"/>
    <w:rsid w:val="005C54A9"/>
    <w:rsid w:val="005D0B20"/>
    <w:rsid w:val="005D10B6"/>
    <w:rsid w:val="005D110A"/>
    <w:rsid w:val="005D12A1"/>
    <w:rsid w:val="005D13DB"/>
    <w:rsid w:val="005D17EA"/>
    <w:rsid w:val="005D1CB8"/>
    <w:rsid w:val="005D2D39"/>
    <w:rsid w:val="005D333A"/>
    <w:rsid w:val="005D3A17"/>
    <w:rsid w:val="005D41AA"/>
    <w:rsid w:val="005D6588"/>
    <w:rsid w:val="005E0FC2"/>
    <w:rsid w:val="005E1A46"/>
    <w:rsid w:val="005E1C93"/>
    <w:rsid w:val="005E2350"/>
    <w:rsid w:val="005E27AD"/>
    <w:rsid w:val="005E2BC7"/>
    <w:rsid w:val="005E3DFD"/>
    <w:rsid w:val="005E3FBF"/>
    <w:rsid w:val="005E469D"/>
    <w:rsid w:val="005E4F42"/>
    <w:rsid w:val="005E54B0"/>
    <w:rsid w:val="005F09D6"/>
    <w:rsid w:val="005F150D"/>
    <w:rsid w:val="005F2236"/>
    <w:rsid w:val="005F3CB4"/>
    <w:rsid w:val="005F3EFF"/>
    <w:rsid w:val="005F47B0"/>
    <w:rsid w:val="005F58B7"/>
    <w:rsid w:val="005F5BCF"/>
    <w:rsid w:val="005F60CA"/>
    <w:rsid w:val="00601ED7"/>
    <w:rsid w:val="0060205D"/>
    <w:rsid w:val="00604316"/>
    <w:rsid w:val="00604851"/>
    <w:rsid w:val="006070BD"/>
    <w:rsid w:val="00613C1F"/>
    <w:rsid w:val="0061597F"/>
    <w:rsid w:val="00615CE0"/>
    <w:rsid w:val="00615F6B"/>
    <w:rsid w:val="0061617D"/>
    <w:rsid w:val="00616419"/>
    <w:rsid w:val="006179ED"/>
    <w:rsid w:val="00617CB9"/>
    <w:rsid w:val="00620129"/>
    <w:rsid w:val="006206C3"/>
    <w:rsid w:val="0062182E"/>
    <w:rsid w:val="00624063"/>
    <w:rsid w:val="006265A4"/>
    <w:rsid w:val="00626E47"/>
    <w:rsid w:val="0062751B"/>
    <w:rsid w:val="00627901"/>
    <w:rsid w:val="00627A61"/>
    <w:rsid w:val="00627FAF"/>
    <w:rsid w:val="0063112E"/>
    <w:rsid w:val="006327A1"/>
    <w:rsid w:val="00632893"/>
    <w:rsid w:val="00634EA6"/>
    <w:rsid w:val="00636CE1"/>
    <w:rsid w:val="006379D2"/>
    <w:rsid w:val="00637D6F"/>
    <w:rsid w:val="006410E1"/>
    <w:rsid w:val="00642409"/>
    <w:rsid w:val="00642476"/>
    <w:rsid w:val="0064291B"/>
    <w:rsid w:val="00642C2F"/>
    <w:rsid w:val="006447F6"/>
    <w:rsid w:val="00644849"/>
    <w:rsid w:val="00644E8C"/>
    <w:rsid w:val="00644FC7"/>
    <w:rsid w:val="0064558A"/>
    <w:rsid w:val="00645716"/>
    <w:rsid w:val="00645E00"/>
    <w:rsid w:val="00646670"/>
    <w:rsid w:val="00650AF9"/>
    <w:rsid w:val="0065111A"/>
    <w:rsid w:val="006527D3"/>
    <w:rsid w:val="00652FF6"/>
    <w:rsid w:val="0065474B"/>
    <w:rsid w:val="00654932"/>
    <w:rsid w:val="0065494A"/>
    <w:rsid w:val="00655322"/>
    <w:rsid w:val="00655ABA"/>
    <w:rsid w:val="0065629C"/>
    <w:rsid w:val="00657842"/>
    <w:rsid w:val="0066030B"/>
    <w:rsid w:val="0066034D"/>
    <w:rsid w:val="00660534"/>
    <w:rsid w:val="006620B6"/>
    <w:rsid w:val="0066218C"/>
    <w:rsid w:val="006622A0"/>
    <w:rsid w:val="00663484"/>
    <w:rsid w:val="006635CB"/>
    <w:rsid w:val="00665AB5"/>
    <w:rsid w:val="006663E7"/>
    <w:rsid w:val="00666923"/>
    <w:rsid w:val="00667A78"/>
    <w:rsid w:val="00667D01"/>
    <w:rsid w:val="00667F87"/>
    <w:rsid w:val="00670DF5"/>
    <w:rsid w:val="0067155E"/>
    <w:rsid w:val="0067169A"/>
    <w:rsid w:val="00671FC7"/>
    <w:rsid w:val="00672251"/>
    <w:rsid w:val="00672660"/>
    <w:rsid w:val="00674688"/>
    <w:rsid w:val="00675D48"/>
    <w:rsid w:val="00677A06"/>
    <w:rsid w:val="00677F87"/>
    <w:rsid w:val="00682649"/>
    <w:rsid w:val="006830A5"/>
    <w:rsid w:val="00683319"/>
    <w:rsid w:val="006857BA"/>
    <w:rsid w:val="00690B9F"/>
    <w:rsid w:val="0069234A"/>
    <w:rsid w:val="0069272A"/>
    <w:rsid w:val="00695C5B"/>
    <w:rsid w:val="00696329"/>
    <w:rsid w:val="00696425"/>
    <w:rsid w:val="006979D0"/>
    <w:rsid w:val="006A123B"/>
    <w:rsid w:val="006A298C"/>
    <w:rsid w:val="006A3406"/>
    <w:rsid w:val="006A34F9"/>
    <w:rsid w:val="006A3A8C"/>
    <w:rsid w:val="006A3FCC"/>
    <w:rsid w:val="006A3FDE"/>
    <w:rsid w:val="006A555E"/>
    <w:rsid w:val="006A5936"/>
    <w:rsid w:val="006A7446"/>
    <w:rsid w:val="006A788A"/>
    <w:rsid w:val="006B01B4"/>
    <w:rsid w:val="006B1522"/>
    <w:rsid w:val="006B47BF"/>
    <w:rsid w:val="006B48E7"/>
    <w:rsid w:val="006B7B8A"/>
    <w:rsid w:val="006B7C56"/>
    <w:rsid w:val="006B7C73"/>
    <w:rsid w:val="006C116A"/>
    <w:rsid w:val="006C280D"/>
    <w:rsid w:val="006C2C6E"/>
    <w:rsid w:val="006C3163"/>
    <w:rsid w:val="006C33C9"/>
    <w:rsid w:val="006C34E0"/>
    <w:rsid w:val="006C3A86"/>
    <w:rsid w:val="006C416C"/>
    <w:rsid w:val="006C5174"/>
    <w:rsid w:val="006C5E99"/>
    <w:rsid w:val="006C609F"/>
    <w:rsid w:val="006C610B"/>
    <w:rsid w:val="006C7600"/>
    <w:rsid w:val="006C7B1E"/>
    <w:rsid w:val="006C7FDA"/>
    <w:rsid w:val="006D30B8"/>
    <w:rsid w:val="006D35CA"/>
    <w:rsid w:val="006D4552"/>
    <w:rsid w:val="006D579C"/>
    <w:rsid w:val="006D6C76"/>
    <w:rsid w:val="006D76F1"/>
    <w:rsid w:val="006D7A13"/>
    <w:rsid w:val="006E0A84"/>
    <w:rsid w:val="006E1896"/>
    <w:rsid w:val="006E442A"/>
    <w:rsid w:val="006E4981"/>
    <w:rsid w:val="006E67B7"/>
    <w:rsid w:val="006E6A0A"/>
    <w:rsid w:val="006F0A1C"/>
    <w:rsid w:val="006F2427"/>
    <w:rsid w:val="006F3C14"/>
    <w:rsid w:val="006F4088"/>
    <w:rsid w:val="006F50A4"/>
    <w:rsid w:val="006F5D53"/>
    <w:rsid w:val="006F7441"/>
    <w:rsid w:val="006F7FA8"/>
    <w:rsid w:val="007007D6"/>
    <w:rsid w:val="00700974"/>
    <w:rsid w:val="00701F47"/>
    <w:rsid w:val="00702A4F"/>
    <w:rsid w:val="007032A6"/>
    <w:rsid w:val="00703D53"/>
    <w:rsid w:val="00703EE6"/>
    <w:rsid w:val="00704034"/>
    <w:rsid w:val="007042B4"/>
    <w:rsid w:val="00704578"/>
    <w:rsid w:val="00704DDD"/>
    <w:rsid w:val="0070528B"/>
    <w:rsid w:val="007057D5"/>
    <w:rsid w:val="0070780E"/>
    <w:rsid w:val="00710D36"/>
    <w:rsid w:val="00711591"/>
    <w:rsid w:val="00713229"/>
    <w:rsid w:val="00715160"/>
    <w:rsid w:val="00715644"/>
    <w:rsid w:val="007164E1"/>
    <w:rsid w:val="007173BD"/>
    <w:rsid w:val="00720829"/>
    <w:rsid w:val="00720D34"/>
    <w:rsid w:val="00721258"/>
    <w:rsid w:val="00721560"/>
    <w:rsid w:val="00721D42"/>
    <w:rsid w:val="0072713F"/>
    <w:rsid w:val="0072761F"/>
    <w:rsid w:val="00727E45"/>
    <w:rsid w:val="00727F93"/>
    <w:rsid w:val="007306DF"/>
    <w:rsid w:val="007317D8"/>
    <w:rsid w:val="00734704"/>
    <w:rsid w:val="00735CA0"/>
    <w:rsid w:val="007364BC"/>
    <w:rsid w:val="00736864"/>
    <w:rsid w:val="0073711B"/>
    <w:rsid w:val="00743C71"/>
    <w:rsid w:val="00744F4E"/>
    <w:rsid w:val="00746017"/>
    <w:rsid w:val="00746A19"/>
    <w:rsid w:val="00746C99"/>
    <w:rsid w:val="0074746E"/>
    <w:rsid w:val="007476C4"/>
    <w:rsid w:val="007476F9"/>
    <w:rsid w:val="007500EB"/>
    <w:rsid w:val="00750705"/>
    <w:rsid w:val="00751B77"/>
    <w:rsid w:val="00751EEE"/>
    <w:rsid w:val="0075255F"/>
    <w:rsid w:val="00752B0F"/>
    <w:rsid w:val="00753A75"/>
    <w:rsid w:val="007543BF"/>
    <w:rsid w:val="007544FD"/>
    <w:rsid w:val="00754543"/>
    <w:rsid w:val="00755C86"/>
    <w:rsid w:val="00756D20"/>
    <w:rsid w:val="007571D4"/>
    <w:rsid w:val="007574FD"/>
    <w:rsid w:val="00760B13"/>
    <w:rsid w:val="0076298B"/>
    <w:rsid w:val="00763756"/>
    <w:rsid w:val="007642E1"/>
    <w:rsid w:val="007643CF"/>
    <w:rsid w:val="007645F3"/>
    <w:rsid w:val="00766B1C"/>
    <w:rsid w:val="00767769"/>
    <w:rsid w:val="00767C92"/>
    <w:rsid w:val="007709B1"/>
    <w:rsid w:val="00770F5B"/>
    <w:rsid w:val="00771816"/>
    <w:rsid w:val="00773416"/>
    <w:rsid w:val="0077383F"/>
    <w:rsid w:val="007739D9"/>
    <w:rsid w:val="0077451C"/>
    <w:rsid w:val="00774DEE"/>
    <w:rsid w:val="00775050"/>
    <w:rsid w:val="00777433"/>
    <w:rsid w:val="00777C73"/>
    <w:rsid w:val="00780646"/>
    <w:rsid w:val="0078203F"/>
    <w:rsid w:val="00784D7A"/>
    <w:rsid w:val="007879D2"/>
    <w:rsid w:val="007879DB"/>
    <w:rsid w:val="0079086C"/>
    <w:rsid w:val="00791852"/>
    <w:rsid w:val="00792C77"/>
    <w:rsid w:val="00794271"/>
    <w:rsid w:val="007948F4"/>
    <w:rsid w:val="00797585"/>
    <w:rsid w:val="0079794C"/>
    <w:rsid w:val="007A1364"/>
    <w:rsid w:val="007A1928"/>
    <w:rsid w:val="007A2783"/>
    <w:rsid w:val="007A2B6E"/>
    <w:rsid w:val="007A37F1"/>
    <w:rsid w:val="007A4C41"/>
    <w:rsid w:val="007A52A4"/>
    <w:rsid w:val="007A5B27"/>
    <w:rsid w:val="007A746E"/>
    <w:rsid w:val="007B1EB0"/>
    <w:rsid w:val="007B1EDA"/>
    <w:rsid w:val="007B1FB7"/>
    <w:rsid w:val="007B38AE"/>
    <w:rsid w:val="007B47A2"/>
    <w:rsid w:val="007B4D98"/>
    <w:rsid w:val="007B5CE9"/>
    <w:rsid w:val="007B5E8B"/>
    <w:rsid w:val="007B5F13"/>
    <w:rsid w:val="007B6614"/>
    <w:rsid w:val="007B6D6F"/>
    <w:rsid w:val="007B7490"/>
    <w:rsid w:val="007C0211"/>
    <w:rsid w:val="007C07C8"/>
    <w:rsid w:val="007C097B"/>
    <w:rsid w:val="007C1554"/>
    <w:rsid w:val="007C1B85"/>
    <w:rsid w:val="007C311D"/>
    <w:rsid w:val="007C5225"/>
    <w:rsid w:val="007C6408"/>
    <w:rsid w:val="007C790D"/>
    <w:rsid w:val="007C7DCA"/>
    <w:rsid w:val="007D03E9"/>
    <w:rsid w:val="007D055A"/>
    <w:rsid w:val="007D0AC3"/>
    <w:rsid w:val="007D182B"/>
    <w:rsid w:val="007D33AD"/>
    <w:rsid w:val="007D349F"/>
    <w:rsid w:val="007D3F87"/>
    <w:rsid w:val="007D3F9F"/>
    <w:rsid w:val="007D404E"/>
    <w:rsid w:val="007D52D3"/>
    <w:rsid w:val="007D5A53"/>
    <w:rsid w:val="007D5B1E"/>
    <w:rsid w:val="007D6447"/>
    <w:rsid w:val="007D6609"/>
    <w:rsid w:val="007D7C69"/>
    <w:rsid w:val="007E10E8"/>
    <w:rsid w:val="007E29AF"/>
    <w:rsid w:val="007E39B7"/>
    <w:rsid w:val="007E5A51"/>
    <w:rsid w:val="007E6F2A"/>
    <w:rsid w:val="007E7101"/>
    <w:rsid w:val="007F0ACA"/>
    <w:rsid w:val="007F1F8E"/>
    <w:rsid w:val="007F2D82"/>
    <w:rsid w:val="007F3378"/>
    <w:rsid w:val="007F40BD"/>
    <w:rsid w:val="007F51BC"/>
    <w:rsid w:val="007F51BD"/>
    <w:rsid w:val="007F5B14"/>
    <w:rsid w:val="007F5B94"/>
    <w:rsid w:val="007F67D5"/>
    <w:rsid w:val="00800159"/>
    <w:rsid w:val="00801B8F"/>
    <w:rsid w:val="008035F7"/>
    <w:rsid w:val="00803F3D"/>
    <w:rsid w:val="00804244"/>
    <w:rsid w:val="0080452A"/>
    <w:rsid w:val="00804AC3"/>
    <w:rsid w:val="0080555F"/>
    <w:rsid w:val="00805C1A"/>
    <w:rsid w:val="00805D06"/>
    <w:rsid w:val="00806716"/>
    <w:rsid w:val="0080779D"/>
    <w:rsid w:val="00810C8A"/>
    <w:rsid w:val="00812E41"/>
    <w:rsid w:val="008135D4"/>
    <w:rsid w:val="0081401D"/>
    <w:rsid w:val="008140A1"/>
    <w:rsid w:val="00814ACA"/>
    <w:rsid w:val="00814E15"/>
    <w:rsid w:val="00820321"/>
    <w:rsid w:val="00820477"/>
    <w:rsid w:val="0082069D"/>
    <w:rsid w:val="00820DD6"/>
    <w:rsid w:val="00820EF7"/>
    <w:rsid w:val="00821004"/>
    <w:rsid w:val="008233A5"/>
    <w:rsid w:val="008233EF"/>
    <w:rsid w:val="00823978"/>
    <w:rsid w:val="00823F65"/>
    <w:rsid w:val="0082465E"/>
    <w:rsid w:val="00825354"/>
    <w:rsid w:val="0082632D"/>
    <w:rsid w:val="00827296"/>
    <w:rsid w:val="008277D3"/>
    <w:rsid w:val="008304A4"/>
    <w:rsid w:val="008306E0"/>
    <w:rsid w:val="00831130"/>
    <w:rsid w:val="0083196E"/>
    <w:rsid w:val="0083355B"/>
    <w:rsid w:val="008339AB"/>
    <w:rsid w:val="008342CF"/>
    <w:rsid w:val="0083479A"/>
    <w:rsid w:val="008348DA"/>
    <w:rsid w:val="00834A1D"/>
    <w:rsid w:val="00834C4B"/>
    <w:rsid w:val="008350CE"/>
    <w:rsid w:val="008355CB"/>
    <w:rsid w:val="008356F5"/>
    <w:rsid w:val="008362DB"/>
    <w:rsid w:val="008365DE"/>
    <w:rsid w:val="00837D8A"/>
    <w:rsid w:val="008404A6"/>
    <w:rsid w:val="008406BF"/>
    <w:rsid w:val="00840737"/>
    <w:rsid w:val="00840AB0"/>
    <w:rsid w:val="00840FCD"/>
    <w:rsid w:val="00841F6D"/>
    <w:rsid w:val="008459E2"/>
    <w:rsid w:val="00845DCB"/>
    <w:rsid w:val="00846917"/>
    <w:rsid w:val="00850065"/>
    <w:rsid w:val="00852E6C"/>
    <w:rsid w:val="00853663"/>
    <w:rsid w:val="008538AC"/>
    <w:rsid w:val="00853D54"/>
    <w:rsid w:val="0085414B"/>
    <w:rsid w:val="00854394"/>
    <w:rsid w:val="0085493D"/>
    <w:rsid w:val="00854BB9"/>
    <w:rsid w:val="00854D77"/>
    <w:rsid w:val="00855195"/>
    <w:rsid w:val="00855211"/>
    <w:rsid w:val="00855340"/>
    <w:rsid w:val="00855B15"/>
    <w:rsid w:val="00856B30"/>
    <w:rsid w:val="00857018"/>
    <w:rsid w:val="0085792A"/>
    <w:rsid w:val="00857F71"/>
    <w:rsid w:val="00861A82"/>
    <w:rsid w:val="00861DC5"/>
    <w:rsid w:val="008624A9"/>
    <w:rsid w:val="00862846"/>
    <w:rsid w:val="00862A8A"/>
    <w:rsid w:val="00863564"/>
    <w:rsid w:val="00864C4D"/>
    <w:rsid w:val="00865A4B"/>
    <w:rsid w:val="008667CB"/>
    <w:rsid w:val="00866972"/>
    <w:rsid w:val="008670A7"/>
    <w:rsid w:val="00867C27"/>
    <w:rsid w:val="008709FD"/>
    <w:rsid w:val="0087164D"/>
    <w:rsid w:val="00873659"/>
    <w:rsid w:val="008736C6"/>
    <w:rsid w:val="00874381"/>
    <w:rsid w:val="008746AE"/>
    <w:rsid w:val="0087494F"/>
    <w:rsid w:val="008770C0"/>
    <w:rsid w:val="0087717D"/>
    <w:rsid w:val="008820BB"/>
    <w:rsid w:val="008824DA"/>
    <w:rsid w:val="0088284B"/>
    <w:rsid w:val="0088307C"/>
    <w:rsid w:val="00883CA4"/>
    <w:rsid w:val="00884E6B"/>
    <w:rsid w:val="00885479"/>
    <w:rsid w:val="0088610A"/>
    <w:rsid w:val="00886AB0"/>
    <w:rsid w:val="00886EB7"/>
    <w:rsid w:val="00887441"/>
    <w:rsid w:val="008875D9"/>
    <w:rsid w:val="008902AF"/>
    <w:rsid w:val="00890E9C"/>
    <w:rsid w:val="00891085"/>
    <w:rsid w:val="00891394"/>
    <w:rsid w:val="00891857"/>
    <w:rsid w:val="00891932"/>
    <w:rsid w:val="00892E4F"/>
    <w:rsid w:val="008936BF"/>
    <w:rsid w:val="00894417"/>
    <w:rsid w:val="00894D82"/>
    <w:rsid w:val="00896406"/>
    <w:rsid w:val="008976E9"/>
    <w:rsid w:val="008978DC"/>
    <w:rsid w:val="008A00D1"/>
    <w:rsid w:val="008A093A"/>
    <w:rsid w:val="008A0D5C"/>
    <w:rsid w:val="008A116F"/>
    <w:rsid w:val="008A16CC"/>
    <w:rsid w:val="008A192A"/>
    <w:rsid w:val="008A19C7"/>
    <w:rsid w:val="008A1F1D"/>
    <w:rsid w:val="008A1FE1"/>
    <w:rsid w:val="008A312E"/>
    <w:rsid w:val="008A4917"/>
    <w:rsid w:val="008A6179"/>
    <w:rsid w:val="008A635B"/>
    <w:rsid w:val="008A6C5B"/>
    <w:rsid w:val="008B0649"/>
    <w:rsid w:val="008B3027"/>
    <w:rsid w:val="008B3893"/>
    <w:rsid w:val="008B42E9"/>
    <w:rsid w:val="008B564F"/>
    <w:rsid w:val="008B6250"/>
    <w:rsid w:val="008B65C0"/>
    <w:rsid w:val="008B6E35"/>
    <w:rsid w:val="008C0D8E"/>
    <w:rsid w:val="008C270D"/>
    <w:rsid w:val="008C292C"/>
    <w:rsid w:val="008C2DA6"/>
    <w:rsid w:val="008C3671"/>
    <w:rsid w:val="008C3EA0"/>
    <w:rsid w:val="008C4A89"/>
    <w:rsid w:val="008C54BE"/>
    <w:rsid w:val="008C7B78"/>
    <w:rsid w:val="008D0528"/>
    <w:rsid w:val="008D096A"/>
    <w:rsid w:val="008D09C7"/>
    <w:rsid w:val="008D0D41"/>
    <w:rsid w:val="008D2C76"/>
    <w:rsid w:val="008D2CD9"/>
    <w:rsid w:val="008D335B"/>
    <w:rsid w:val="008D3E7A"/>
    <w:rsid w:val="008D6387"/>
    <w:rsid w:val="008D6944"/>
    <w:rsid w:val="008D74C4"/>
    <w:rsid w:val="008D77CB"/>
    <w:rsid w:val="008E0109"/>
    <w:rsid w:val="008E1B5B"/>
    <w:rsid w:val="008E2382"/>
    <w:rsid w:val="008E2830"/>
    <w:rsid w:val="008E33C9"/>
    <w:rsid w:val="008E395B"/>
    <w:rsid w:val="008E3D87"/>
    <w:rsid w:val="008E4AE6"/>
    <w:rsid w:val="008E524B"/>
    <w:rsid w:val="008E55D0"/>
    <w:rsid w:val="008E65D6"/>
    <w:rsid w:val="008E6BC5"/>
    <w:rsid w:val="008E6EC9"/>
    <w:rsid w:val="008E7024"/>
    <w:rsid w:val="008E74B7"/>
    <w:rsid w:val="008E7E4A"/>
    <w:rsid w:val="008F054F"/>
    <w:rsid w:val="008F06F6"/>
    <w:rsid w:val="008F0E42"/>
    <w:rsid w:val="008F0F89"/>
    <w:rsid w:val="008F1692"/>
    <w:rsid w:val="008F1950"/>
    <w:rsid w:val="008F1E22"/>
    <w:rsid w:val="008F21D4"/>
    <w:rsid w:val="008F3826"/>
    <w:rsid w:val="008F3AE4"/>
    <w:rsid w:val="008F634D"/>
    <w:rsid w:val="008F66A7"/>
    <w:rsid w:val="008F74FA"/>
    <w:rsid w:val="008F7678"/>
    <w:rsid w:val="0090033D"/>
    <w:rsid w:val="0090052C"/>
    <w:rsid w:val="009009F3"/>
    <w:rsid w:val="00902FED"/>
    <w:rsid w:val="009038FD"/>
    <w:rsid w:val="0090395B"/>
    <w:rsid w:val="00904312"/>
    <w:rsid w:val="0090467F"/>
    <w:rsid w:val="0090482B"/>
    <w:rsid w:val="009057B3"/>
    <w:rsid w:val="009068C5"/>
    <w:rsid w:val="009068FA"/>
    <w:rsid w:val="00910C68"/>
    <w:rsid w:val="00910D50"/>
    <w:rsid w:val="00910F03"/>
    <w:rsid w:val="0091202F"/>
    <w:rsid w:val="00912C62"/>
    <w:rsid w:val="00913130"/>
    <w:rsid w:val="00913587"/>
    <w:rsid w:val="00913A59"/>
    <w:rsid w:val="00914128"/>
    <w:rsid w:val="00914CF7"/>
    <w:rsid w:val="00914DB5"/>
    <w:rsid w:val="00914F05"/>
    <w:rsid w:val="0091590A"/>
    <w:rsid w:val="00915DC3"/>
    <w:rsid w:val="00916014"/>
    <w:rsid w:val="00916D0A"/>
    <w:rsid w:val="00917247"/>
    <w:rsid w:val="009175BE"/>
    <w:rsid w:val="00920DA0"/>
    <w:rsid w:val="009235A9"/>
    <w:rsid w:val="009249AE"/>
    <w:rsid w:val="00925609"/>
    <w:rsid w:val="00925A4C"/>
    <w:rsid w:val="009273DE"/>
    <w:rsid w:val="00930201"/>
    <w:rsid w:val="0093092B"/>
    <w:rsid w:val="00930A18"/>
    <w:rsid w:val="0093134B"/>
    <w:rsid w:val="00931599"/>
    <w:rsid w:val="00932ABA"/>
    <w:rsid w:val="00932FFB"/>
    <w:rsid w:val="00933338"/>
    <w:rsid w:val="009343BE"/>
    <w:rsid w:val="00935228"/>
    <w:rsid w:val="009369A6"/>
    <w:rsid w:val="009374B9"/>
    <w:rsid w:val="009379F5"/>
    <w:rsid w:val="00940AF2"/>
    <w:rsid w:val="00941545"/>
    <w:rsid w:val="00941E17"/>
    <w:rsid w:val="0094206E"/>
    <w:rsid w:val="00942427"/>
    <w:rsid w:val="00942F8C"/>
    <w:rsid w:val="00943C83"/>
    <w:rsid w:val="00944CEA"/>
    <w:rsid w:val="009451A1"/>
    <w:rsid w:val="009458B3"/>
    <w:rsid w:val="0094748F"/>
    <w:rsid w:val="00947C89"/>
    <w:rsid w:val="00947CFE"/>
    <w:rsid w:val="00950556"/>
    <w:rsid w:val="00950D9B"/>
    <w:rsid w:val="0095220D"/>
    <w:rsid w:val="009533E0"/>
    <w:rsid w:val="009548EE"/>
    <w:rsid w:val="009554FC"/>
    <w:rsid w:val="00955672"/>
    <w:rsid w:val="0096109B"/>
    <w:rsid w:val="009616B3"/>
    <w:rsid w:val="0096194C"/>
    <w:rsid w:val="0096270F"/>
    <w:rsid w:val="00962F28"/>
    <w:rsid w:val="00962F9D"/>
    <w:rsid w:val="00962FF5"/>
    <w:rsid w:val="00963A38"/>
    <w:rsid w:val="00963B60"/>
    <w:rsid w:val="00965011"/>
    <w:rsid w:val="00965BCD"/>
    <w:rsid w:val="00966353"/>
    <w:rsid w:val="009671EB"/>
    <w:rsid w:val="009674D0"/>
    <w:rsid w:val="009676F7"/>
    <w:rsid w:val="00970119"/>
    <w:rsid w:val="0097049E"/>
    <w:rsid w:val="00970938"/>
    <w:rsid w:val="00971FB6"/>
    <w:rsid w:val="0097377B"/>
    <w:rsid w:val="00973F65"/>
    <w:rsid w:val="0097553E"/>
    <w:rsid w:val="009769FA"/>
    <w:rsid w:val="00976D94"/>
    <w:rsid w:val="00980082"/>
    <w:rsid w:val="00980494"/>
    <w:rsid w:val="00980690"/>
    <w:rsid w:val="00980D1D"/>
    <w:rsid w:val="00980D44"/>
    <w:rsid w:val="00981766"/>
    <w:rsid w:val="00981AD3"/>
    <w:rsid w:val="00983A1F"/>
    <w:rsid w:val="009850D4"/>
    <w:rsid w:val="00985D70"/>
    <w:rsid w:val="00986074"/>
    <w:rsid w:val="0098615C"/>
    <w:rsid w:val="00986177"/>
    <w:rsid w:val="0098722F"/>
    <w:rsid w:val="00987649"/>
    <w:rsid w:val="00990ABB"/>
    <w:rsid w:val="009910DE"/>
    <w:rsid w:val="009914A8"/>
    <w:rsid w:val="009920CD"/>
    <w:rsid w:val="00992156"/>
    <w:rsid w:val="00993694"/>
    <w:rsid w:val="009937BA"/>
    <w:rsid w:val="00993D4F"/>
    <w:rsid w:val="00994A4A"/>
    <w:rsid w:val="00996058"/>
    <w:rsid w:val="00996112"/>
    <w:rsid w:val="0099651E"/>
    <w:rsid w:val="00996799"/>
    <w:rsid w:val="00997099"/>
    <w:rsid w:val="009973D2"/>
    <w:rsid w:val="00997A9A"/>
    <w:rsid w:val="009A088C"/>
    <w:rsid w:val="009A0D5F"/>
    <w:rsid w:val="009A149C"/>
    <w:rsid w:val="009A15D7"/>
    <w:rsid w:val="009A1715"/>
    <w:rsid w:val="009A1E33"/>
    <w:rsid w:val="009A200E"/>
    <w:rsid w:val="009A211F"/>
    <w:rsid w:val="009A24DB"/>
    <w:rsid w:val="009A26A1"/>
    <w:rsid w:val="009A29E5"/>
    <w:rsid w:val="009A2F71"/>
    <w:rsid w:val="009A2FA5"/>
    <w:rsid w:val="009A4363"/>
    <w:rsid w:val="009A4595"/>
    <w:rsid w:val="009A496F"/>
    <w:rsid w:val="009A5F20"/>
    <w:rsid w:val="009A6071"/>
    <w:rsid w:val="009A745A"/>
    <w:rsid w:val="009B05DE"/>
    <w:rsid w:val="009B1845"/>
    <w:rsid w:val="009B333C"/>
    <w:rsid w:val="009B525B"/>
    <w:rsid w:val="009B6B82"/>
    <w:rsid w:val="009C098F"/>
    <w:rsid w:val="009C38C3"/>
    <w:rsid w:val="009C4254"/>
    <w:rsid w:val="009C454E"/>
    <w:rsid w:val="009C5102"/>
    <w:rsid w:val="009C5121"/>
    <w:rsid w:val="009C5264"/>
    <w:rsid w:val="009C557E"/>
    <w:rsid w:val="009C5735"/>
    <w:rsid w:val="009C5E5B"/>
    <w:rsid w:val="009C65C3"/>
    <w:rsid w:val="009C7355"/>
    <w:rsid w:val="009C75EF"/>
    <w:rsid w:val="009D015F"/>
    <w:rsid w:val="009D1444"/>
    <w:rsid w:val="009D15D3"/>
    <w:rsid w:val="009D1D52"/>
    <w:rsid w:val="009D20FB"/>
    <w:rsid w:val="009D2978"/>
    <w:rsid w:val="009D2E02"/>
    <w:rsid w:val="009D52FC"/>
    <w:rsid w:val="009D52FD"/>
    <w:rsid w:val="009D5C5D"/>
    <w:rsid w:val="009E0033"/>
    <w:rsid w:val="009E02FB"/>
    <w:rsid w:val="009E0815"/>
    <w:rsid w:val="009E0F60"/>
    <w:rsid w:val="009E26F9"/>
    <w:rsid w:val="009E290D"/>
    <w:rsid w:val="009E2AC8"/>
    <w:rsid w:val="009E2BEC"/>
    <w:rsid w:val="009E330A"/>
    <w:rsid w:val="009E3B05"/>
    <w:rsid w:val="009E3B3F"/>
    <w:rsid w:val="009E4306"/>
    <w:rsid w:val="009E5A46"/>
    <w:rsid w:val="009E5F68"/>
    <w:rsid w:val="009E6FD1"/>
    <w:rsid w:val="009E7CF5"/>
    <w:rsid w:val="009F043D"/>
    <w:rsid w:val="009F0715"/>
    <w:rsid w:val="009F3127"/>
    <w:rsid w:val="009F5998"/>
    <w:rsid w:val="009F5BE0"/>
    <w:rsid w:val="009F63BA"/>
    <w:rsid w:val="009F76A6"/>
    <w:rsid w:val="009F7D35"/>
    <w:rsid w:val="009F7E6C"/>
    <w:rsid w:val="00A014C5"/>
    <w:rsid w:val="00A02A8D"/>
    <w:rsid w:val="00A02FD6"/>
    <w:rsid w:val="00A0328E"/>
    <w:rsid w:val="00A03A89"/>
    <w:rsid w:val="00A03CBC"/>
    <w:rsid w:val="00A048B6"/>
    <w:rsid w:val="00A04BDB"/>
    <w:rsid w:val="00A04FD1"/>
    <w:rsid w:val="00A065B0"/>
    <w:rsid w:val="00A069D0"/>
    <w:rsid w:val="00A07FF1"/>
    <w:rsid w:val="00A10AC1"/>
    <w:rsid w:val="00A10DD2"/>
    <w:rsid w:val="00A11591"/>
    <w:rsid w:val="00A117E5"/>
    <w:rsid w:val="00A127D5"/>
    <w:rsid w:val="00A12961"/>
    <w:rsid w:val="00A12ACD"/>
    <w:rsid w:val="00A12DBC"/>
    <w:rsid w:val="00A14372"/>
    <w:rsid w:val="00A15B0C"/>
    <w:rsid w:val="00A1641B"/>
    <w:rsid w:val="00A172C2"/>
    <w:rsid w:val="00A20C6A"/>
    <w:rsid w:val="00A2117C"/>
    <w:rsid w:val="00A2250E"/>
    <w:rsid w:val="00A24B96"/>
    <w:rsid w:val="00A257B8"/>
    <w:rsid w:val="00A268C5"/>
    <w:rsid w:val="00A27FA7"/>
    <w:rsid w:val="00A3059A"/>
    <w:rsid w:val="00A3200F"/>
    <w:rsid w:val="00A32BC6"/>
    <w:rsid w:val="00A3319A"/>
    <w:rsid w:val="00A33A80"/>
    <w:rsid w:val="00A342DE"/>
    <w:rsid w:val="00A35042"/>
    <w:rsid w:val="00A357C9"/>
    <w:rsid w:val="00A3604E"/>
    <w:rsid w:val="00A363E2"/>
    <w:rsid w:val="00A3691A"/>
    <w:rsid w:val="00A40464"/>
    <w:rsid w:val="00A42294"/>
    <w:rsid w:val="00A42362"/>
    <w:rsid w:val="00A4288A"/>
    <w:rsid w:val="00A43972"/>
    <w:rsid w:val="00A43FB8"/>
    <w:rsid w:val="00A44212"/>
    <w:rsid w:val="00A444EC"/>
    <w:rsid w:val="00A505AC"/>
    <w:rsid w:val="00A51EEA"/>
    <w:rsid w:val="00A53051"/>
    <w:rsid w:val="00A53296"/>
    <w:rsid w:val="00A53454"/>
    <w:rsid w:val="00A543BA"/>
    <w:rsid w:val="00A55040"/>
    <w:rsid w:val="00A55B32"/>
    <w:rsid w:val="00A55BBD"/>
    <w:rsid w:val="00A56247"/>
    <w:rsid w:val="00A56716"/>
    <w:rsid w:val="00A569FF"/>
    <w:rsid w:val="00A56B8A"/>
    <w:rsid w:val="00A56F81"/>
    <w:rsid w:val="00A5750D"/>
    <w:rsid w:val="00A609F8"/>
    <w:rsid w:val="00A60F8D"/>
    <w:rsid w:val="00A61B89"/>
    <w:rsid w:val="00A631A8"/>
    <w:rsid w:val="00A635A4"/>
    <w:rsid w:val="00A638A9"/>
    <w:rsid w:val="00A642BF"/>
    <w:rsid w:val="00A651EC"/>
    <w:rsid w:val="00A66666"/>
    <w:rsid w:val="00A668F9"/>
    <w:rsid w:val="00A66D2F"/>
    <w:rsid w:val="00A70F26"/>
    <w:rsid w:val="00A715AB"/>
    <w:rsid w:val="00A71F17"/>
    <w:rsid w:val="00A73A0D"/>
    <w:rsid w:val="00A74856"/>
    <w:rsid w:val="00A749F3"/>
    <w:rsid w:val="00A74A20"/>
    <w:rsid w:val="00A74FFD"/>
    <w:rsid w:val="00A763FF"/>
    <w:rsid w:val="00A772F7"/>
    <w:rsid w:val="00A775D8"/>
    <w:rsid w:val="00A77E33"/>
    <w:rsid w:val="00A8138E"/>
    <w:rsid w:val="00A817ED"/>
    <w:rsid w:val="00A81DA2"/>
    <w:rsid w:val="00A81F64"/>
    <w:rsid w:val="00A82362"/>
    <w:rsid w:val="00A82876"/>
    <w:rsid w:val="00A84064"/>
    <w:rsid w:val="00A843ED"/>
    <w:rsid w:val="00A85186"/>
    <w:rsid w:val="00A85EF0"/>
    <w:rsid w:val="00A85EF5"/>
    <w:rsid w:val="00A900C8"/>
    <w:rsid w:val="00A901D9"/>
    <w:rsid w:val="00A91034"/>
    <w:rsid w:val="00A91E2F"/>
    <w:rsid w:val="00A937FC"/>
    <w:rsid w:val="00A94A61"/>
    <w:rsid w:val="00A94B51"/>
    <w:rsid w:val="00A96E7A"/>
    <w:rsid w:val="00AA029D"/>
    <w:rsid w:val="00AA03B5"/>
    <w:rsid w:val="00AA0944"/>
    <w:rsid w:val="00AA0C24"/>
    <w:rsid w:val="00AA1BC1"/>
    <w:rsid w:val="00AA6335"/>
    <w:rsid w:val="00AA6630"/>
    <w:rsid w:val="00AA716A"/>
    <w:rsid w:val="00AB0163"/>
    <w:rsid w:val="00AB03BB"/>
    <w:rsid w:val="00AB0772"/>
    <w:rsid w:val="00AB0D01"/>
    <w:rsid w:val="00AB0D39"/>
    <w:rsid w:val="00AB2205"/>
    <w:rsid w:val="00AB2D62"/>
    <w:rsid w:val="00AB2D68"/>
    <w:rsid w:val="00AB3733"/>
    <w:rsid w:val="00AB3C1D"/>
    <w:rsid w:val="00AB3CB7"/>
    <w:rsid w:val="00AB488C"/>
    <w:rsid w:val="00AB5159"/>
    <w:rsid w:val="00AB51B9"/>
    <w:rsid w:val="00AB56F7"/>
    <w:rsid w:val="00AB7E9B"/>
    <w:rsid w:val="00AB7EB3"/>
    <w:rsid w:val="00AC07A7"/>
    <w:rsid w:val="00AC095B"/>
    <w:rsid w:val="00AC15A7"/>
    <w:rsid w:val="00AC238E"/>
    <w:rsid w:val="00AC2DD9"/>
    <w:rsid w:val="00AC31CD"/>
    <w:rsid w:val="00AC3F5C"/>
    <w:rsid w:val="00AC4917"/>
    <w:rsid w:val="00AC5CA8"/>
    <w:rsid w:val="00AC5F23"/>
    <w:rsid w:val="00AC66DA"/>
    <w:rsid w:val="00AC69B0"/>
    <w:rsid w:val="00AC798C"/>
    <w:rsid w:val="00AD0A86"/>
    <w:rsid w:val="00AD187F"/>
    <w:rsid w:val="00AD1C0C"/>
    <w:rsid w:val="00AD2D7B"/>
    <w:rsid w:val="00AD30BD"/>
    <w:rsid w:val="00AD3310"/>
    <w:rsid w:val="00AD4068"/>
    <w:rsid w:val="00AD4E24"/>
    <w:rsid w:val="00AD5400"/>
    <w:rsid w:val="00AD5579"/>
    <w:rsid w:val="00AD687C"/>
    <w:rsid w:val="00AD6B63"/>
    <w:rsid w:val="00AD6DEA"/>
    <w:rsid w:val="00AD74AC"/>
    <w:rsid w:val="00AD760D"/>
    <w:rsid w:val="00AD7A58"/>
    <w:rsid w:val="00AD7E38"/>
    <w:rsid w:val="00AE0D39"/>
    <w:rsid w:val="00AE1535"/>
    <w:rsid w:val="00AE15E8"/>
    <w:rsid w:val="00AE28F1"/>
    <w:rsid w:val="00AE3B22"/>
    <w:rsid w:val="00AE44D3"/>
    <w:rsid w:val="00AE58D7"/>
    <w:rsid w:val="00AE5BEC"/>
    <w:rsid w:val="00AE6528"/>
    <w:rsid w:val="00AF1EC2"/>
    <w:rsid w:val="00AF2C2F"/>
    <w:rsid w:val="00AF32D2"/>
    <w:rsid w:val="00AF3898"/>
    <w:rsid w:val="00AF38C1"/>
    <w:rsid w:val="00AF3C7A"/>
    <w:rsid w:val="00AF49BF"/>
    <w:rsid w:val="00AF57C0"/>
    <w:rsid w:val="00AF5DB1"/>
    <w:rsid w:val="00AF6731"/>
    <w:rsid w:val="00AF6993"/>
    <w:rsid w:val="00AF78E8"/>
    <w:rsid w:val="00AF7BFF"/>
    <w:rsid w:val="00B00C8B"/>
    <w:rsid w:val="00B029BC"/>
    <w:rsid w:val="00B03BF7"/>
    <w:rsid w:val="00B048A1"/>
    <w:rsid w:val="00B0683A"/>
    <w:rsid w:val="00B0730B"/>
    <w:rsid w:val="00B07904"/>
    <w:rsid w:val="00B07C1B"/>
    <w:rsid w:val="00B111E1"/>
    <w:rsid w:val="00B142D9"/>
    <w:rsid w:val="00B145FB"/>
    <w:rsid w:val="00B17919"/>
    <w:rsid w:val="00B20712"/>
    <w:rsid w:val="00B20F07"/>
    <w:rsid w:val="00B214F4"/>
    <w:rsid w:val="00B21A4F"/>
    <w:rsid w:val="00B21E8D"/>
    <w:rsid w:val="00B21EF4"/>
    <w:rsid w:val="00B23DF6"/>
    <w:rsid w:val="00B24294"/>
    <w:rsid w:val="00B2476A"/>
    <w:rsid w:val="00B2783D"/>
    <w:rsid w:val="00B27895"/>
    <w:rsid w:val="00B27D7A"/>
    <w:rsid w:val="00B30330"/>
    <w:rsid w:val="00B30452"/>
    <w:rsid w:val="00B30616"/>
    <w:rsid w:val="00B30CD3"/>
    <w:rsid w:val="00B34974"/>
    <w:rsid w:val="00B35600"/>
    <w:rsid w:val="00B35DB5"/>
    <w:rsid w:val="00B36C4A"/>
    <w:rsid w:val="00B36EF3"/>
    <w:rsid w:val="00B373BE"/>
    <w:rsid w:val="00B37871"/>
    <w:rsid w:val="00B4040B"/>
    <w:rsid w:val="00B412A8"/>
    <w:rsid w:val="00B4152B"/>
    <w:rsid w:val="00B416BF"/>
    <w:rsid w:val="00B42C15"/>
    <w:rsid w:val="00B43B06"/>
    <w:rsid w:val="00B44CB8"/>
    <w:rsid w:val="00B45E48"/>
    <w:rsid w:val="00B45FC7"/>
    <w:rsid w:val="00B4777F"/>
    <w:rsid w:val="00B47EF3"/>
    <w:rsid w:val="00B50244"/>
    <w:rsid w:val="00B50961"/>
    <w:rsid w:val="00B51E0B"/>
    <w:rsid w:val="00B52188"/>
    <w:rsid w:val="00B525E6"/>
    <w:rsid w:val="00B52EC7"/>
    <w:rsid w:val="00B53CCC"/>
    <w:rsid w:val="00B55EDF"/>
    <w:rsid w:val="00B56FE8"/>
    <w:rsid w:val="00B573F6"/>
    <w:rsid w:val="00B57612"/>
    <w:rsid w:val="00B619EB"/>
    <w:rsid w:val="00B619FE"/>
    <w:rsid w:val="00B61C5C"/>
    <w:rsid w:val="00B62901"/>
    <w:rsid w:val="00B63920"/>
    <w:rsid w:val="00B63D86"/>
    <w:rsid w:val="00B645CB"/>
    <w:rsid w:val="00B654C9"/>
    <w:rsid w:val="00B65E8B"/>
    <w:rsid w:val="00B6732A"/>
    <w:rsid w:val="00B70014"/>
    <w:rsid w:val="00B70CFC"/>
    <w:rsid w:val="00B7223B"/>
    <w:rsid w:val="00B75524"/>
    <w:rsid w:val="00B76270"/>
    <w:rsid w:val="00B76E75"/>
    <w:rsid w:val="00B779F1"/>
    <w:rsid w:val="00B81DB3"/>
    <w:rsid w:val="00B81E83"/>
    <w:rsid w:val="00B82082"/>
    <w:rsid w:val="00B82FDD"/>
    <w:rsid w:val="00B83B99"/>
    <w:rsid w:val="00B84618"/>
    <w:rsid w:val="00B8468B"/>
    <w:rsid w:val="00B85BD8"/>
    <w:rsid w:val="00B86945"/>
    <w:rsid w:val="00B87B5C"/>
    <w:rsid w:val="00B904E3"/>
    <w:rsid w:val="00B90A55"/>
    <w:rsid w:val="00B911B0"/>
    <w:rsid w:val="00B91257"/>
    <w:rsid w:val="00B921DC"/>
    <w:rsid w:val="00B9342B"/>
    <w:rsid w:val="00B94965"/>
    <w:rsid w:val="00B94BEC"/>
    <w:rsid w:val="00B97A0C"/>
    <w:rsid w:val="00BA06D2"/>
    <w:rsid w:val="00BA0C6D"/>
    <w:rsid w:val="00BA10DB"/>
    <w:rsid w:val="00BA2883"/>
    <w:rsid w:val="00BA3AD6"/>
    <w:rsid w:val="00BA414B"/>
    <w:rsid w:val="00BA4FC6"/>
    <w:rsid w:val="00BA504F"/>
    <w:rsid w:val="00BA708A"/>
    <w:rsid w:val="00BA7DD9"/>
    <w:rsid w:val="00BB01C6"/>
    <w:rsid w:val="00BB0989"/>
    <w:rsid w:val="00BB09E0"/>
    <w:rsid w:val="00BB0A36"/>
    <w:rsid w:val="00BB1B92"/>
    <w:rsid w:val="00BB1E4F"/>
    <w:rsid w:val="00BB3684"/>
    <w:rsid w:val="00BB46FE"/>
    <w:rsid w:val="00BB5A33"/>
    <w:rsid w:val="00BB5A6F"/>
    <w:rsid w:val="00BB5BFE"/>
    <w:rsid w:val="00BB5DC9"/>
    <w:rsid w:val="00BB6FE8"/>
    <w:rsid w:val="00BB73A2"/>
    <w:rsid w:val="00BB77C5"/>
    <w:rsid w:val="00BC0063"/>
    <w:rsid w:val="00BC00E6"/>
    <w:rsid w:val="00BC1948"/>
    <w:rsid w:val="00BC2DE4"/>
    <w:rsid w:val="00BC3FA2"/>
    <w:rsid w:val="00BC5F84"/>
    <w:rsid w:val="00BD0B82"/>
    <w:rsid w:val="00BD0EF3"/>
    <w:rsid w:val="00BD1464"/>
    <w:rsid w:val="00BD160B"/>
    <w:rsid w:val="00BD3438"/>
    <w:rsid w:val="00BD3AC8"/>
    <w:rsid w:val="00BD3B58"/>
    <w:rsid w:val="00BD4244"/>
    <w:rsid w:val="00BD4CCC"/>
    <w:rsid w:val="00BD6525"/>
    <w:rsid w:val="00BD7971"/>
    <w:rsid w:val="00BE10D9"/>
    <w:rsid w:val="00BE21AC"/>
    <w:rsid w:val="00BE2E16"/>
    <w:rsid w:val="00BE3473"/>
    <w:rsid w:val="00BE3653"/>
    <w:rsid w:val="00BE3F53"/>
    <w:rsid w:val="00BE6BF3"/>
    <w:rsid w:val="00BE7CBD"/>
    <w:rsid w:val="00BF047D"/>
    <w:rsid w:val="00BF0480"/>
    <w:rsid w:val="00BF15F2"/>
    <w:rsid w:val="00BF30EE"/>
    <w:rsid w:val="00BF31ED"/>
    <w:rsid w:val="00BF392B"/>
    <w:rsid w:val="00BF4EB2"/>
    <w:rsid w:val="00BF5525"/>
    <w:rsid w:val="00C00F50"/>
    <w:rsid w:val="00C03245"/>
    <w:rsid w:val="00C039F7"/>
    <w:rsid w:val="00C046DD"/>
    <w:rsid w:val="00C0640D"/>
    <w:rsid w:val="00C06FEB"/>
    <w:rsid w:val="00C105D8"/>
    <w:rsid w:val="00C110A3"/>
    <w:rsid w:val="00C11A3B"/>
    <w:rsid w:val="00C11E42"/>
    <w:rsid w:val="00C151E8"/>
    <w:rsid w:val="00C15217"/>
    <w:rsid w:val="00C163A9"/>
    <w:rsid w:val="00C16AE7"/>
    <w:rsid w:val="00C21130"/>
    <w:rsid w:val="00C21E57"/>
    <w:rsid w:val="00C2204C"/>
    <w:rsid w:val="00C227D4"/>
    <w:rsid w:val="00C23885"/>
    <w:rsid w:val="00C23B15"/>
    <w:rsid w:val="00C2557A"/>
    <w:rsid w:val="00C25743"/>
    <w:rsid w:val="00C266DB"/>
    <w:rsid w:val="00C26932"/>
    <w:rsid w:val="00C30250"/>
    <w:rsid w:val="00C30684"/>
    <w:rsid w:val="00C320E8"/>
    <w:rsid w:val="00C32AEA"/>
    <w:rsid w:val="00C3340E"/>
    <w:rsid w:val="00C34E2A"/>
    <w:rsid w:val="00C3595E"/>
    <w:rsid w:val="00C36DEB"/>
    <w:rsid w:val="00C37CAE"/>
    <w:rsid w:val="00C417DE"/>
    <w:rsid w:val="00C41F0A"/>
    <w:rsid w:val="00C44848"/>
    <w:rsid w:val="00C45323"/>
    <w:rsid w:val="00C46625"/>
    <w:rsid w:val="00C4752F"/>
    <w:rsid w:val="00C476F4"/>
    <w:rsid w:val="00C50097"/>
    <w:rsid w:val="00C50F7C"/>
    <w:rsid w:val="00C51E6B"/>
    <w:rsid w:val="00C51FF2"/>
    <w:rsid w:val="00C5303B"/>
    <w:rsid w:val="00C55601"/>
    <w:rsid w:val="00C5687D"/>
    <w:rsid w:val="00C579B3"/>
    <w:rsid w:val="00C57B35"/>
    <w:rsid w:val="00C57D07"/>
    <w:rsid w:val="00C61610"/>
    <w:rsid w:val="00C61E5B"/>
    <w:rsid w:val="00C62BF7"/>
    <w:rsid w:val="00C62C9E"/>
    <w:rsid w:val="00C6303C"/>
    <w:rsid w:val="00C63E98"/>
    <w:rsid w:val="00C6419D"/>
    <w:rsid w:val="00C644F4"/>
    <w:rsid w:val="00C64CE7"/>
    <w:rsid w:val="00C64FB1"/>
    <w:rsid w:val="00C6597C"/>
    <w:rsid w:val="00C659C4"/>
    <w:rsid w:val="00C66945"/>
    <w:rsid w:val="00C66A3A"/>
    <w:rsid w:val="00C67339"/>
    <w:rsid w:val="00C67559"/>
    <w:rsid w:val="00C6766C"/>
    <w:rsid w:val="00C67CEB"/>
    <w:rsid w:val="00C712D1"/>
    <w:rsid w:val="00C71960"/>
    <w:rsid w:val="00C71F90"/>
    <w:rsid w:val="00C72D22"/>
    <w:rsid w:val="00C74679"/>
    <w:rsid w:val="00C75119"/>
    <w:rsid w:val="00C76FF0"/>
    <w:rsid w:val="00C7771D"/>
    <w:rsid w:val="00C77734"/>
    <w:rsid w:val="00C80055"/>
    <w:rsid w:val="00C80498"/>
    <w:rsid w:val="00C8064E"/>
    <w:rsid w:val="00C806A4"/>
    <w:rsid w:val="00C8071D"/>
    <w:rsid w:val="00C80AA2"/>
    <w:rsid w:val="00C81AA4"/>
    <w:rsid w:val="00C81BDF"/>
    <w:rsid w:val="00C81C67"/>
    <w:rsid w:val="00C83356"/>
    <w:rsid w:val="00C83A41"/>
    <w:rsid w:val="00C84221"/>
    <w:rsid w:val="00C85FE8"/>
    <w:rsid w:val="00C869B3"/>
    <w:rsid w:val="00C86EFE"/>
    <w:rsid w:val="00C874DC"/>
    <w:rsid w:val="00C87B96"/>
    <w:rsid w:val="00C908DD"/>
    <w:rsid w:val="00C92828"/>
    <w:rsid w:val="00C93E4E"/>
    <w:rsid w:val="00C947AE"/>
    <w:rsid w:val="00C94E05"/>
    <w:rsid w:val="00C95063"/>
    <w:rsid w:val="00C95EF6"/>
    <w:rsid w:val="00C97834"/>
    <w:rsid w:val="00C97FD6"/>
    <w:rsid w:val="00CA012C"/>
    <w:rsid w:val="00CA24A9"/>
    <w:rsid w:val="00CA3BAA"/>
    <w:rsid w:val="00CA413A"/>
    <w:rsid w:val="00CA49B0"/>
    <w:rsid w:val="00CA517D"/>
    <w:rsid w:val="00CA5212"/>
    <w:rsid w:val="00CA5678"/>
    <w:rsid w:val="00CA58B1"/>
    <w:rsid w:val="00CA664C"/>
    <w:rsid w:val="00CA73A1"/>
    <w:rsid w:val="00CB00A4"/>
    <w:rsid w:val="00CB0678"/>
    <w:rsid w:val="00CB0868"/>
    <w:rsid w:val="00CB0BBB"/>
    <w:rsid w:val="00CB18F3"/>
    <w:rsid w:val="00CB1A3D"/>
    <w:rsid w:val="00CB3586"/>
    <w:rsid w:val="00CB39D7"/>
    <w:rsid w:val="00CB4FA1"/>
    <w:rsid w:val="00CB59DD"/>
    <w:rsid w:val="00CB626D"/>
    <w:rsid w:val="00CB6EB2"/>
    <w:rsid w:val="00CB7A67"/>
    <w:rsid w:val="00CC0102"/>
    <w:rsid w:val="00CC0A91"/>
    <w:rsid w:val="00CC0B86"/>
    <w:rsid w:val="00CC0F4A"/>
    <w:rsid w:val="00CC2C71"/>
    <w:rsid w:val="00CC6DEF"/>
    <w:rsid w:val="00CC77E5"/>
    <w:rsid w:val="00CD0414"/>
    <w:rsid w:val="00CD09A3"/>
    <w:rsid w:val="00CD18CA"/>
    <w:rsid w:val="00CD260C"/>
    <w:rsid w:val="00CD3487"/>
    <w:rsid w:val="00CD3532"/>
    <w:rsid w:val="00CD3EFD"/>
    <w:rsid w:val="00CD3EFE"/>
    <w:rsid w:val="00CD55E8"/>
    <w:rsid w:val="00CD5C3A"/>
    <w:rsid w:val="00CD5D8F"/>
    <w:rsid w:val="00CD6134"/>
    <w:rsid w:val="00CD7A11"/>
    <w:rsid w:val="00CE0C6B"/>
    <w:rsid w:val="00CE0D11"/>
    <w:rsid w:val="00CE1003"/>
    <w:rsid w:val="00CE193C"/>
    <w:rsid w:val="00CE3B44"/>
    <w:rsid w:val="00CE452A"/>
    <w:rsid w:val="00CE63FD"/>
    <w:rsid w:val="00CE789E"/>
    <w:rsid w:val="00CF0F8A"/>
    <w:rsid w:val="00CF39CD"/>
    <w:rsid w:val="00CF4571"/>
    <w:rsid w:val="00CF45AF"/>
    <w:rsid w:val="00CF59D9"/>
    <w:rsid w:val="00CF7E60"/>
    <w:rsid w:val="00D010FE"/>
    <w:rsid w:val="00D022FF"/>
    <w:rsid w:val="00D02A87"/>
    <w:rsid w:val="00D02C24"/>
    <w:rsid w:val="00D0317D"/>
    <w:rsid w:val="00D03AFD"/>
    <w:rsid w:val="00D05C55"/>
    <w:rsid w:val="00D06715"/>
    <w:rsid w:val="00D069BE"/>
    <w:rsid w:val="00D0778C"/>
    <w:rsid w:val="00D10496"/>
    <w:rsid w:val="00D1052A"/>
    <w:rsid w:val="00D107BE"/>
    <w:rsid w:val="00D10A19"/>
    <w:rsid w:val="00D11268"/>
    <w:rsid w:val="00D11947"/>
    <w:rsid w:val="00D13223"/>
    <w:rsid w:val="00D14227"/>
    <w:rsid w:val="00D149DC"/>
    <w:rsid w:val="00D14AC3"/>
    <w:rsid w:val="00D151C9"/>
    <w:rsid w:val="00D1675F"/>
    <w:rsid w:val="00D17098"/>
    <w:rsid w:val="00D1720D"/>
    <w:rsid w:val="00D17571"/>
    <w:rsid w:val="00D2080D"/>
    <w:rsid w:val="00D21891"/>
    <w:rsid w:val="00D21E78"/>
    <w:rsid w:val="00D236C4"/>
    <w:rsid w:val="00D237AC"/>
    <w:rsid w:val="00D24801"/>
    <w:rsid w:val="00D25CA5"/>
    <w:rsid w:val="00D26252"/>
    <w:rsid w:val="00D263B9"/>
    <w:rsid w:val="00D2650E"/>
    <w:rsid w:val="00D30649"/>
    <w:rsid w:val="00D30AA7"/>
    <w:rsid w:val="00D3163F"/>
    <w:rsid w:val="00D31851"/>
    <w:rsid w:val="00D3409A"/>
    <w:rsid w:val="00D3435E"/>
    <w:rsid w:val="00D34EFA"/>
    <w:rsid w:val="00D35B19"/>
    <w:rsid w:val="00D35E7A"/>
    <w:rsid w:val="00D40420"/>
    <w:rsid w:val="00D40A45"/>
    <w:rsid w:val="00D40B17"/>
    <w:rsid w:val="00D40B3A"/>
    <w:rsid w:val="00D41ADB"/>
    <w:rsid w:val="00D41BCD"/>
    <w:rsid w:val="00D41CAD"/>
    <w:rsid w:val="00D427EE"/>
    <w:rsid w:val="00D429E8"/>
    <w:rsid w:val="00D42F70"/>
    <w:rsid w:val="00D43DD8"/>
    <w:rsid w:val="00D4418E"/>
    <w:rsid w:val="00D456FF"/>
    <w:rsid w:val="00D45809"/>
    <w:rsid w:val="00D45BCD"/>
    <w:rsid w:val="00D45F7A"/>
    <w:rsid w:val="00D46820"/>
    <w:rsid w:val="00D4699C"/>
    <w:rsid w:val="00D505B2"/>
    <w:rsid w:val="00D50C81"/>
    <w:rsid w:val="00D50DBF"/>
    <w:rsid w:val="00D5217C"/>
    <w:rsid w:val="00D52DFB"/>
    <w:rsid w:val="00D53B87"/>
    <w:rsid w:val="00D54EAF"/>
    <w:rsid w:val="00D55B0E"/>
    <w:rsid w:val="00D57074"/>
    <w:rsid w:val="00D5715E"/>
    <w:rsid w:val="00D57407"/>
    <w:rsid w:val="00D57743"/>
    <w:rsid w:val="00D57991"/>
    <w:rsid w:val="00D57B95"/>
    <w:rsid w:val="00D61762"/>
    <w:rsid w:val="00D6286F"/>
    <w:rsid w:val="00D63149"/>
    <w:rsid w:val="00D6396C"/>
    <w:rsid w:val="00D63AC8"/>
    <w:rsid w:val="00D641D3"/>
    <w:rsid w:val="00D6449F"/>
    <w:rsid w:val="00D6461A"/>
    <w:rsid w:val="00D65F12"/>
    <w:rsid w:val="00D65FBD"/>
    <w:rsid w:val="00D7009E"/>
    <w:rsid w:val="00D70828"/>
    <w:rsid w:val="00D70F87"/>
    <w:rsid w:val="00D721DB"/>
    <w:rsid w:val="00D73A29"/>
    <w:rsid w:val="00D73F08"/>
    <w:rsid w:val="00D7493F"/>
    <w:rsid w:val="00D74CFE"/>
    <w:rsid w:val="00D75131"/>
    <w:rsid w:val="00D762F3"/>
    <w:rsid w:val="00D7636F"/>
    <w:rsid w:val="00D770AA"/>
    <w:rsid w:val="00D80EC1"/>
    <w:rsid w:val="00D80F49"/>
    <w:rsid w:val="00D80FC2"/>
    <w:rsid w:val="00D815A4"/>
    <w:rsid w:val="00D81EC7"/>
    <w:rsid w:val="00D823C9"/>
    <w:rsid w:val="00D82D9B"/>
    <w:rsid w:val="00D82FCF"/>
    <w:rsid w:val="00D84AC2"/>
    <w:rsid w:val="00D85EFB"/>
    <w:rsid w:val="00D8617A"/>
    <w:rsid w:val="00D879C4"/>
    <w:rsid w:val="00D9051C"/>
    <w:rsid w:val="00D907BA"/>
    <w:rsid w:val="00D90957"/>
    <w:rsid w:val="00D9274B"/>
    <w:rsid w:val="00D93270"/>
    <w:rsid w:val="00D94E1B"/>
    <w:rsid w:val="00D95233"/>
    <w:rsid w:val="00D957FC"/>
    <w:rsid w:val="00D95B00"/>
    <w:rsid w:val="00D964FC"/>
    <w:rsid w:val="00D96A38"/>
    <w:rsid w:val="00D972C8"/>
    <w:rsid w:val="00D9770C"/>
    <w:rsid w:val="00DA03EF"/>
    <w:rsid w:val="00DA043C"/>
    <w:rsid w:val="00DA2455"/>
    <w:rsid w:val="00DA4FA9"/>
    <w:rsid w:val="00DA547D"/>
    <w:rsid w:val="00DA559B"/>
    <w:rsid w:val="00DA59D1"/>
    <w:rsid w:val="00DA5CD4"/>
    <w:rsid w:val="00DA60D0"/>
    <w:rsid w:val="00DA7906"/>
    <w:rsid w:val="00DB08C0"/>
    <w:rsid w:val="00DB1505"/>
    <w:rsid w:val="00DB27C9"/>
    <w:rsid w:val="00DB2C5A"/>
    <w:rsid w:val="00DB3003"/>
    <w:rsid w:val="00DB4289"/>
    <w:rsid w:val="00DB52DA"/>
    <w:rsid w:val="00DB54D4"/>
    <w:rsid w:val="00DB5FFB"/>
    <w:rsid w:val="00DB6844"/>
    <w:rsid w:val="00DB6A34"/>
    <w:rsid w:val="00DB78A1"/>
    <w:rsid w:val="00DB7A42"/>
    <w:rsid w:val="00DB7AD5"/>
    <w:rsid w:val="00DC26F3"/>
    <w:rsid w:val="00DC4B30"/>
    <w:rsid w:val="00DC4C48"/>
    <w:rsid w:val="00DC554F"/>
    <w:rsid w:val="00DC5B1F"/>
    <w:rsid w:val="00DC5FA5"/>
    <w:rsid w:val="00DC6E5D"/>
    <w:rsid w:val="00DC7307"/>
    <w:rsid w:val="00DD0B48"/>
    <w:rsid w:val="00DD1708"/>
    <w:rsid w:val="00DD1896"/>
    <w:rsid w:val="00DD1F0C"/>
    <w:rsid w:val="00DD54AA"/>
    <w:rsid w:val="00DD68D3"/>
    <w:rsid w:val="00DD6CE0"/>
    <w:rsid w:val="00DD6E49"/>
    <w:rsid w:val="00DD7225"/>
    <w:rsid w:val="00DD7AA9"/>
    <w:rsid w:val="00DD7BB1"/>
    <w:rsid w:val="00DE3271"/>
    <w:rsid w:val="00DE3642"/>
    <w:rsid w:val="00DE3B82"/>
    <w:rsid w:val="00DE3CD8"/>
    <w:rsid w:val="00DE4326"/>
    <w:rsid w:val="00DE4447"/>
    <w:rsid w:val="00DE7C02"/>
    <w:rsid w:val="00DE7E92"/>
    <w:rsid w:val="00DF0A06"/>
    <w:rsid w:val="00DF1076"/>
    <w:rsid w:val="00DF189B"/>
    <w:rsid w:val="00DF1BD7"/>
    <w:rsid w:val="00DF1CA6"/>
    <w:rsid w:val="00DF1F31"/>
    <w:rsid w:val="00DF26EC"/>
    <w:rsid w:val="00DF7387"/>
    <w:rsid w:val="00DF7AF2"/>
    <w:rsid w:val="00E00CBC"/>
    <w:rsid w:val="00E02077"/>
    <w:rsid w:val="00E025CF"/>
    <w:rsid w:val="00E029D0"/>
    <w:rsid w:val="00E030D0"/>
    <w:rsid w:val="00E052F6"/>
    <w:rsid w:val="00E05974"/>
    <w:rsid w:val="00E05D21"/>
    <w:rsid w:val="00E07559"/>
    <w:rsid w:val="00E07712"/>
    <w:rsid w:val="00E10DC1"/>
    <w:rsid w:val="00E11C6C"/>
    <w:rsid w:val="00E11CA0"/>
    <w:rsid w:val="00E12AEB"/>
    <w:rsid w:val="00E12BEF"/>
    <w:rsid w:val="00E12CC1"/>
    <w:rsid w:val="00E13068"/>
    <w:rsid w:val="00E139D0"/>
    <w:rsid w:val="00E13DB4"/>
    <w:rsid w:val="00E13DC0"/>
    <w:rsid w:val="00E13FC8"/>
    <w:rsid w:val="00E15E26"/>
    <w:rsid w:val="00E16945"/>
    <w:rsid w:val="00E16EB6"/>
    <w:rsid w:val="00E1728E"/>
    <w:rsid w:val="00E22D64"/>
    <w:rsid w:val="00E238AE"/>
    <w:rsid w:val="00E257B2"/>
    <w:rsid w:val="00E25B36"/>
    <w:rsid w:val="00E26BD0"/>
    <w:rsid w:val="00E3012C"/>
    <w:rsid w:val="00E308CC"/>
    <w:rsid w:val="00E31282"/>
    <w:rsid w:val="00E3263D"/>
    <w:rsid w:val="00E3291B"/>
    <w:rsid w:val="00E32D84"/>
    <w:rsid w:val="00E33648"/>
    <w:rsid w:val="00E33969"/>
    <w:rsid w:val="00E34E07"/>
    <w:rsid w:val="00E359EB"/>
    <w:rsid w:val="00E36352"/>
    <w:rsid w:val="00E40701"/>
    <w:rsid w:val="00E4133A"/>
    <w:rsid w:val="00E414A1"/>
    <w:rsid w:val="00E417C8"/>
    <w:rsid w:val="00E4249F"/>
    <w:rsid w:val="00E42950"/>
    <w:rsid w:val="00E42D5B"/>
    <w:rsid w:val="00E42ECF"/>
    <w:rsid w:val="00E42EDA"/>
    <w:rsid w:val="00E43882"/>
    <w:rsid w:val="00E43D76"/>
    <w:rsid w:val="00E443BC"/>
    <w:rsid w:val="00E4641D"/>
    <w:rsid w:val="00E46EE5"/>
    <w:rsid w:val="00E5047F"/>
    <w:rsid w:val="00E50A84"/>
    <w:rsid w:val="00E51E97"/>
    <w:rsid w:val="00E523A1"/>
    <w:rsid w:val="00E52BE0"/>
    <w:rsid w:val="00E539E8"/>
    <w:rsid w:val="00E543B2"/>
    <w:rsid w:val="00E54C10"/>
    <w:rsid w:val="00E56A40"/>
    <w:rsid w:val="00E572E0"/>
    <w:rsid w:val="00E57695"/>
    <w:rsid w:val="00E57E31"/>
    <w:rsid w:val="00E605B6"/>
    <w:rsid w:val="00E60BAB"/>
    <w:rsid w:val="00E60DCD"/>
    <w:rsid w:val="00E60EDF"/>
    <w:rsid w:val="00E6131C"/>
    <w:rsid w:val="00E64AF1"/>
    <w:rsid w:val="00E65BE0"/>
    <w:rsid w:val="00E66679"/>
    <w:rsid w:val="00E66D70"/>
    <w:rsid w:val="00E672C1"/>
    <w:rsid w:val="00E701D5"/>
    <w:rsid w:val="00E7042D"/>
    <w:rsid w:val="00E706AE"/>
    <w:rsid w:val="00E70B70"/>
    <w:rsid w:val="00E71F4A"/>
    <w:rsid w:val="00E72104"/>
    <w:rsid w:val="00E73FB0"/>
    <w:rsid w:val="00E747CC"/>
    <w:rsid w:val="00E76EB7"/>
    <w:rsid w:val="00E773E6"/>
    <w:rsid w:val="00E7775B"/>
    <w:rsid w:val="00E80AF2"/>
    <w:rsid w:val="00E80E09"/>
    <w:rsid w:val="00E814F5"/>
    <w:rsid w:val="00E83967"/>
    <w:rsid w:val="00E84AC9"/>
    <w:rsid w:val="00E8565F"/>
    <w:rsid w:val="00E85F4E"/>
    <w:rsid w:val="00E9054E"/>
    <w:rsid w:val="00E91F3B"/>
    <w:rsid w:val="00E9351E"/>
    <w:rsid w:val="00E93BCD"/>
    <w:rsid w:val="00E94F1D"/>
    <w:rsid w:val="00E9607B"/>
    <w:rsid w:val="00E9652C"/>
    <w:rsid w:val="00E96CE4"/>
    <w:rsid w:val="00E96FD8"/>
    <w:rsid w:val="00E973CF"/>
    <w:rsid w:val="00EA0F15"/>
    <w:rsid w:val="00EA2304"/>
    <w:rsid w:val="00EA2D70"/>
    <w:rsid w:val="00EA32B5"/>
    <w:rsid w:val="00EA32C8"/>
    <w:rsid w:val="00EA4B0B"/>
    <w:rsid w:val="00EA5F70"/>
    <w:rsid w:val="00EA6557"/>
    <w:rsid w:val="00EA7071"/>
    <w:rsid w:val="00EA77CD"/>
    <w:rsid w:val="00EB0665"/>
    <w:rsid w:val="00EB07E7"/>
    <w:rsid w:val="00EB14F7"/>
    <w:rsid w:val="00EB194E"/>
    <w:rsid w:val="00EB321B"/>
    <w:rsid w:val="00EB3B74"/>
    <w:rsid w:val="00EB406A"/>
    <w:rsid w:val="00EB4BE9"/>
    <w:rsid w:val="00EB5C98"/>
    <w:rsid w:val="00EB6151"/>
    <w:rsid w:val="00EB72AF"/>
    <w:rsid w:val="00EB72F8"/>
    <w:rsid w:val="00EB7CA0"/>
    <w:rsid w:val="00EC07D0"/>
    <w:rsid w:val="00EC0EC9"/>
    <w:rsid w:val="00EC0FB0"/>
    <w:rsid w:val="00EC173F"/>
    <w:rsid w:val="00EC1E2B"/>
    <w:rsid w:val="00EC2DFF"/>
    <w:rsid w:val="00EC2E39"/>
    <w:rsid w:val="00EC323D"/>
    <w:rsid w:val="00EC33D6"/>
    <w:rsid w:val="00EC5A91"/>
    <w:rsid w:val="00EC6F39"/>
    <w:rsid w:val="00EC7A21"/>
    <w:rsid w:val="00EC7AEB"/>
    <w:rsid w:val="00EC7BBE"/>
    <w:rsid w:val="00ED0A0C"/>
    <w:rsid w:val="00ED3FD5"/>
    <w:rsid w:val="00ED40BA"/>
    <w:rsid w:val="00ED6687"/>
    <w:rsid w:val="00ED6693"/>
    <w:rsid w:val="00EE09B3"/>
    <w:rsid w:val="00EE0CFE"/>
    <w:rsid w:val="00EE155F"/>
    <w:rsid w:val="00EE2651"/>
    <w:rsid w:val="00EE2886"/>
    <w:rsid w:val="00EE2BC3"/>
    <w:rsid w:val="00EE376C"/>
    <w:rsid w:val="00EE3E34"/>
    <w:rsid w:val="00EE4A68"/>
    <w:rsid w:val="00EE58D2"/>
    <w:rsid w:val="00EE6F62"/>
    <w:rsid w:val="00EE7FEC"/>
    <w:rsid w:val="00EF1B5E"/>
    <w:rsid w:val="00EF23CA"/>
    <w:rsid w:val="00EF4526"/>
    <w:rsid w:val="00EF48A3"/>
    <w:rsid w:val="00EF4B8F"/>
    <w:rsid w:val="00EF55FC"/>
    <w:rsid w:val="00EF6322"/>
    <w:rsid w:val="00EF6386"/>
    <w:rsid w:val="00EF6E10"/>
    <w:rsid w:val="00F00212"/>
    <w:rsid w:val="00F00898"/>
    <w:rsid w:val="00F01E00"/>
    <w:rsid w:val="00F02308"/>
    <w:rsid w:val="00F02575"/>
    <w:rsid w:val="00F0419A"/>
    <w:rsid w:val="00F05197"/>
    <w:rsid w:val="00F05388"/>
    <w:rsid w:val="00F05FFB"/>
    <w:rsid w:val="00F06111"/>
    <w:rsid w:val="00F06A86"/>
    <w:rsid w:val="00F06E7D"/>
    <w:rsid w:val="00F079BD"/>
    <w:rsid w:val="00F1024A"/>
    <w:rsid w:val="00F105D8"/>
    <w:rsid w:val="00F10F6F"/>
    <w:rsid w:val="00F13276"/>
    <w:rsid w:val="00F137C7"/>
    <w:rsid w:val="00F13C80"/>
    <w:rsid w:val="00F143D3"/>
    <w:rsid w:val="00F1466D"/>
    <w:rsid w:val="00F1568F"/>
    <w:rsid w:val="00F159D6"/>
    <w:rsid w:val="00F15C31"/>
    <w:rsid w:val="00F169CB"/>
    <w:rsid w:val="00F175AB"/>
    <w:rsid w:val="00F20281"/>
    <w:rsid w:val="00F209E5"/>
    <w:rsid w:val="00F21A57"/>
    <w:rsid w:val="00F220A7"/>
    <w:rsid w:val="00F22D52"/>
    <w:rsid w:val="00F24EF1"/>
    <w:rsid w:val="00F2654D"/>
    <w:rsid w:val="00F26674"/>
    <w:rsid w:val="00F26F29"/>
    <w:rsid w:val="00F27A01"/>
    <w:rsid w:val="00F27EB1"/>
    <w:rsid w:val="00F3169E"/>
    <w:rsid w:val="00F31F37"/>
    <w:rsid w:val="00F32239"/>
    <w:rsid w:val="00F322D8"/>
    <w:rsid w:val="00F326D2"/>
    <w:rsid w:val="00F32AA5"/>
    <w:rsid w:val="00F32B90"/>
    <w:rsid w:val="00F33676"/>
    <w:rsid w:val="00F33E2A"/>
    <w:rsid w:val="00F34033"/>
    <w:rsid w:val="00F349C8"/>
    <w:rsid w:val="00F356A2"/>
    <w:rsid w:val="00F358A2"/>
    <w:rsid w:val="00F378C8"/>
    <w:rsid w:val="00F40C3B"/>
    <w:rsid w:val="00F41647"/>
    <w:rsid w:val="00F42A16"/>
    <w:rsid w:val="00F42E45"/>
    <w:rsid w:val="00F44CF0"/>
    <w:rsid w:val="00F4560F"/>
    <w:rsid w:val="00F458A1"/>
    <w:rsid w:val="00F46A8E"/>
    <w:rsid w:val="00F46B3E"/>
    <w:rsid w:val="00F4729B"/>
    <w:rsid w:val="00F47C26"/>
    <w:rsid w:val="00F47DCD"/>
    <w:rsid w:val="00F500BF"/>
    <w:rsid w:val="00F51BCC"/>
    <w:rsid w:val="00F52427"/>
    <w:rsid w:val="00F52A14"/>
    <w:rsid w:val="00F547A1"/>
    <w:rsid w:val="00F549D0"/>
    <w:rsid w:val="00F54CE0"/>
    <w:rsid w:val="00F56765"/>
    <w:rsid w:val="00F567B7"/>
    <w:rsid w:val="00F56A9A"/>
    <w:rsid w:val="00F57EEF"/>
    <w:rsid w:val="00F60F3E"/>
    <w:rsid w:val="00F61DD6"/>
    <w:rsid w:val="00F6253A"/>
    <w:rsid w:val="00F62BD0"/>
    <w:rsid w:val="00F64104"/>
    <w:rsid w:val="00F641B0"/>
    <w:rsid w:val="00F658FC"/>
    <w:rsid w:val="00F671C5"/>
    <w:rsid w:val="00F67656"/>
    <w:rsid w:val="00F71418"/>
    <w:rsid w:val="00F71997"/>
    <w:rsid w:val="00F71B84"/>
    <w:rsid w:val="00F724DC"/>
    <w:rsid w:val="00F730E5"/>
    <w:rsid w:val="00F74FC8"/>
    <w:rsid w:val="00F7619D"/>
    <w:rsid w:val="00F80327"/>
    <w:rsid w:val="00F808CA"/>
    <w:rsid w:val="00F8105A"/>
    <w:rsid w:val="00F8122E"/>
    <w:rsid w:val="00F826E0"/>
    <w:rsid w:val="00F8433C"/>
    <w:rsid w:val="00F852E2"/>
    <w:rsid w:val="00F85445"/>
    <w:rsid w:val="00F85C41"/>
    <w:rsid w:val="00F865E8"/>
    <w:rsid w:val="00F87D54"/>
    <w:rsid w:val="00F9014D"/>
    <w:rsid w:val="00F913B0"/>
    <w:rsid w:val="00F9164A"/>
    <w:rsid w:val="00F92152"/>
    <w:rsid w:val="00F92311"/>
    <w:rsid w:val="00F927AA"/>
    <w:rsid w:val="00F93587"/>
    <w:rsid w:val="00F93758"/>
    <w:rsid w:val="00F93A0E"/>
    <w:rsid w:val="00F954AD"/>
    <w:rsid w:val="00F968FE"/>
    <w:rsid w:val="00F96EDC"/>
    <w:rsid w:val="00F97036"/>
    <w:rsid w:val="00FA022C"/>
    <w:rsid w:val="00FA11FE"/>
    <w:rsid w:val="00FA15CE"/>
    <w:rsid w:val="00FA1718"/>
    <w:rsid w:val="00FA1803"/>
    <w:rsid w:val="00FA35CE"/>
    <w:rsid w:val="00FA3F57"/>
    <w:rsid w:val="00FA5652"/>
    <w:rsid w:val="00FA60B3"/>
    <w:rsid w:val="00FA6AD4"/>
    <w:rsid w:val="00FA6D4C"/>
    <w:rsid w:val="00FA6D93"/>
    <w:rsid w:val="00FA6FC7"/>
    <w:rsid w:val="00FA6FFB"/>
    <w:rsid w:val="00FA7B3B"/>
    <w:rsid w:val="00FA7D63"/>
    <w:rsid w:val="00FB0124"/>
    <w:rsid w:val="00FB03C1"/>
    <w:rsid w:val="00FB0F0A"/>
    <w:rsid w:val="00FB2763"/>
    <w:rsid w:val="00FB289E"/>
    <w:rsid w:val="00FB29D4"/>
    <w:rsid w:val="00FB3E5C"/>
    <w:rsid w:val="00FB46F7"/>
    <w:rsid w:val="00FB6A68"/>
    <w:rsid w:val="00FB6FED"/>
    <w:rsid w:val="00FC07F9"/>
    <w:rsid w:val="00FC17B8"/>
    <w:rsid w:val="00FC1B1F"/>
    <w:rsid w:val="00FC2BDF"/>
    <w:rsid w:val="00FC3753"/>
    <w:rsid w:val="00FC43F2"/>
    <w:rsid w:val="00FC7405"/>
    <w:rsid w:val="00FC7E23"/>
    <w:rsid w:val="00FD08FA"/>
    <w:rsid w:val="00FD0CE7"/>
    <w:rsid w:val="00FD1739"/>
    <w:rsid w:val="00FD3487"/>
    <w:rsid w:val="00FD50D8"/>
    <w:rsid w:val="00FD611A"/>
    <w:rsid w:val="00FD69CC"/>
    <w:rsid w:val="00FE083C"/>
    <w:rsid w:val="00FE085C"/>
    <w:rsid w:val="00FE1C6A"/>
    <w:rsid w:val="00FE1D9E"/>
    <w:rsid w:val="00FE3C03"/>
    <w:rsid w:val="00FE49EF"/>
    <w:rsid w:val="00FE4AC8"/>
    <w:rsid w:val="00FE4F84"/>
    <w:rsid w:val="00FE51F8"/>
    <w:rsid w:val="00FE61CB"/>
    <w:rsid w:val="00FE7996"/>
    <w:rsid w:val="00FF0A59"/>
    <w:rsid w:val="00FF0C2F"/>
    <w:rsid w:val="00FF0D95"/>
    <w:rsid w:val="00FF230E"/>
    <w:rsid w:val="00FF2591"/>
    <w:rsid w:val="00FF3017"/>
    <w:rsid w:val="00FF31C4"/>
    <w:rsid w:val="00FF324D"/>
    <w:rsid w:val="00FF431E"/>
    <w:rsid w:val="00FF5F3C"/>
    <w:rsid w:val="00FF6651"/>
    <w:rsid w:val="00FF70DF"/>
    <w:rsid w:val="00FF7258"/>
    <w:rsid w:val="00FF7315"/>
    <w:rsid w:val="00FF78AE"/>
    <w:rsid w:val="00FF7B64"/>
    <w:rsid w:val="01856D17"/>
    <w:rsid w:val="01A35CFC"/>
    <w:rsid w:val="01A71DB7"/>
    <w:rsid w:val="022876D6"/>
    <w:rsid w:val="02287A18"/>
    <w:rsid w:val="0235779A"/>
    <w:rsid w:val="023F2FC8"/>
    <w:rsid w:val="02474846"/>
    <w:rsid w:val="025704B9"/>
    <w:rsid w:val="02680261"/>
    <w:rsid w:val="02A837E9"/>
    <w:rsid w:val="02AC1E2E"/>
    <w:rsid w:val="02B311E1"/>
    <w:rsid w:val="02C053C5"/>
    <w:rsid w:val="02F3509A"/>
    <w:rsid w:val="03385656"/>
    <w:rsid w:val="034B6875"/>
    <w:rsid w:val="036A104D"/>
    <w:rsid w:val="039C6264"/>
    <w:rsid w:val="03DB497E"/>
    <w:rsid w:val="03F31FC1"/>
    <w:rsid w:val="04154C6C"/>
    <w:rsid w:val="04253FDA"/>
    <w:rsid w:val="044149ED"/>
    <w:rsid w:val="04677A33"/>
    <w:rsid w:val="0469573A"/>
    <w:rsid w:val="047254D6"/>
    <w:rsid w:val="047732CC"/>
    <w:rsid w:val="048840CD"/>
    <w:rsid w:val="04B74CE8"/>
    <w:rsid w:val="05406F19"/>
    <w:rsid w:val="05471FC9"/>
    <w:rsid w:val="05D639A0"/>
    <w:rsid w:val="060E2FDB"/>
    <w:rsid w:val="065D1DD2"/>
    <w:rsid w:val="0694604B"/>
    <w:rsid w:val="06A23D13"/>
    <w:rsid w:val="06B92841"/>
    <w:rsid w:val="06D41D3A"/>
    <w:rsid w:val="06F05772"/>
    <w:rsid w:val="071169BE"/>
    <w:rsid w:val="07171077"/>
    <w:rsid w:val="072C175F"/>
    <w:rsid w:val="072C3ABB"/>
    <w:rsid w:val="073A689E"/>
    <w:rsid w:val="07592C07"/>
    <w:rsid w:val="075E2523"/>
    <w:rsid w:val="07657313"/>
    <w:rsid w:val="076A29A4"/>
    <w:rsid w:val="076E01A0"/>
    <w:rsid w:val="07767D0B"/>
    <w:rsid w:val="079C5200"/>
    <w:rsid w:val="07B42F31"/>
    <w:rsid w:val="07C164B0"/>
    <w:rsid w:val="07C9292C"/>
    <w:rsid w:val="07E775ED"/>
    <w:rsid w:val="07EB560A"/>
    <w:rsid w:val="07FF3329"/>
    <w:rsid w:val="083F5EAF"/>
    <w:rsid w:val="08661FAD"/>
    <w:rsid w:val="086F73DC"/>
    <w:rsid w:val="0921029C"/>
    <w:rsid w:val="094F1A9C"/>
    <w:rsid w:val="095B7DEA"/>
    <w:rsid w:val="09D43370"/>
    <w:rsid w:val="09FF5353"/>
    <w:rsid w:val="0A7143CA"/>
    <w:rsid w:val="0ABC47DC"/>
    <w:rsid w:val="0ACE5221"/>
    <w:rsid w:val="0ADB731E"/>
    <w:rsid w:val="0AFA0852"/>
    <w:rsid w:val="0B276AF1"/>
    <w:rsid w:val="0B2B4DA6"/>
    <w:rsid w:val="0B7A42BB"/>
    <w:rsid w:val="0B8D00E3"/>
    <w:rsid w:val="0B9B6FB8"/>
    <w:rsid w:val="0BC76BDF"/>
    <w:rsid w:val="0BF32F26"/>
    <w:rsid w:val="0C1F28B3"/>
    <w:rsid w:val="0C28597F"/>
    <w:rsid w:val="0C697EE6"/>
    <w:rsid w:val="0C7F638D"/>
    <w:rsid w:val="0C9F46C4"/>
    <w:rsid w:val="0CA0660F"/>
    <w:rsid w:val="0CA42CCD"/>
    <w:rsid w:val="0CC3738A"/>
    <w:rsid w:val="0CDC0FD5"/>
    <w:rsid w:val="0CE87C2B"/>
    <w:rsid w:val="0D5C160C"/>
    <w:rsid w:val="0D9D04C0"/>
    <w:rsid w:val="0DCF2837"/>
    <w:rsid w:val="0E0162B6"/>
    <w:rsid w:val="0E230EAE"/>
    <w:rsid w:val="0E3C75E8"/>
    <w:rsid w:val="0EF70D4F"/>
    <w:rsid w:val="0F46517F"/>
    <w:rsid w:val="0F8933F5"/>
    <w:rsid w:val="0F971E23"/>
    <w:rsid w:val="0FE9266F"/>
    <w:rsid w:val="0FF300E2"/>
    <w:rsid w:val="10447321"/>
    <w:rsid w:val="107453CC"/>
    <w:rsid w:val="10856F97"/>
    <w:rsid w:val="108C7655"/>
    <w:rsid w:val="10B50D43"/>
    <w:rsid w:val="10D74313"/>
    <w:rsid w:val="11135CB2"/>
    <w:rsid w:val="116B779F"/>
    <w:rsid w:val="117E4672"/>
    <w:rsid w:val="11A3145A"/>
    <w:rsid w:val="11BC16ED"/>
    <w:rsid w:val="11D81997"/>
    <w:rsid w:val="11DA5E5F"/>
    <w:rsid w:val="11E12C61"/>
    <w:rsid w:val="11FC1EB6"/>
    <w:rsid w:val="11FE4396"/>
    <w:rsid w:val="121D55DF"/>
    <w:rsid w:val="12354ABB"/>
    <w:rsid w:val="125A3745"/>
    <w:rsid w:val="127D4143"/>
    <w:rsid w:val="12AA5CB2"/>
    <w:rsid w:val="12AF4C3B"/>
    <w:rsid w:val="12E45960"/>
    <w:rsid w:val="136F5333"/>
    <w:rsid w:val="13926A4F"/>
    <w:rsid w:val="13BB5420"/>
    <w:rsid w:val="14016D59"/>
    <w:rsid w:val="140B176F"/>
    <w:rsid w:val="140E5EE8"/>
    <w:rsid w:val="143037AB"/>
    <w:rsid w:val="153C60CD"/>
    <w:rsid w:val="15592B10"/>
    <w:rsid w:val="15A72218"/>
    <w:rsid w:val="15B20A85"/>
    <w:rsid w:val="15B25EA5"/>
    <w:rsid w:val="15F30829"/>
    <w:rsid w:val="16345084"/>
    <w:rsid w:val="164E3340"/>
    <w:rsid w:val="16657313"/>
    <w:rsid w:val="166A5654"/>
    <w:rsid w:val="168203E8"/>
    <w:rsid w:val="168F5F41"/>
    <w:rsid w:val="16970564"/>
    <w:rsid w:val="16F84F7F"/>
    <w:rsid w:val="16FE39A5"/>
    <w:rsid w:val="17635F6D"/>
    <w:rsid w:val="176A6FF2"/>
    <w:rsid w:val="17973759"/>
    <w:rsid w:val="17A37B38"/>
    <w:rsid w:val="17F14354"/>
    <w:rsid w:val="181775CD"/>
    <w:rsid w:val="181D5745"/>
    <w:rsid w:val="18295FD9"/>
    <w:rsid w:val="18690884"/>
    <w:rsid w:val="186D5920"/>
    <w:rsid w:val="18734142"/>
    <w:rsid w:val="18F64632"/>
    <w:rsid w:val="193F1376"/>
    <w:rsid w:val="19545401"/>
    <w:rsid w:val="198E6335"/>
    <w:rsid w:val="19EF621A"/>
    <w:rsid w:val="19FD27BD"/>
    <w:rsid w:val="1A230CD0"/>
    <w:rsid w:val="1A5A0201"/>
    <w:rsid w:val="1A5D684E"/>
    <w:rsid w:val="1AA75AD8"/>
    <w:rsid w:val="1ABB23FE"/>
    <w:rsid w:val="1B2D0B4C"/>
    <w:rsid w:val="1B604DF7"/>
    <w:rsid w:val="1B636B52"/>
    <w:rsid w:val="1B6B6A0B"/>
    <w:rsid w:val="1BCB0A96"/>
    <w:rsid w:val="1C8E45EE"/>
    <w:rsid w:val="1CA03937"/>
    <w:rsid w:val="1CA7559C"/>
    <w:rsid w:val="1CB84967"/>
    <w:rsid w:val="1CBD085F"/>
    <w:rsid w:val="1CBD73F1"/>
    <w:rsid w:val="1CD864CC"/>
    <w:rsid w:val="1D212BEE"/>
    <w:rsid w:val="1D21305B"/>
    <w:rsid w:val="1D4C05FD"/>
    <w:rsid w:val="1D512B03"/>
    <w:rsid w:val="1D773A94"/>
    <w:rsid w:val="1DB055E8"/>
    <w:rsid w:val="1DCB079A"/>
    <w:rsid w:val="1DD0129E"/>
    <w:rsid w:val="1E6636B3"/>
    <w:rsid w:val="1E987AB8"/>
    <w:rsid w:val="1EBD0E8E"/>
    <w:rsid w:val="1EDB20B3"/>
    <w:rsid w:val="1F0E3CBC"/>
    <w:rsid w:val="1F1A1BE5"/>
    <w:rsid w:val="1F211ECE"/>
    <w:rsid w:val="1F8A6EAA"/>
    <w:rsid w:val="1FE34959"/>
    <w:rsid w:val="1FFE3865"/>
    <w:rsid w:val="1FFE518B"/>
    <w:rsid w:val="20163B31"/>
    <w:rsid w:val="20214BE4"/>
    <w:rsid w:val="202B0253"/>
    <w:rsid w:val="20321A5C"/>
    <w:rsid w:val="204C1646"/>
    <w:rsid w:val="209D6D20"/>
    <w:rsid w:val="209F5D6A"/>
    <w:rsid w:val="20C356EB"/>
    <w:rsid w:val="20EE1616"/>
    <w:rsid w:val="212B14F5"/>
    <w:rsid w:val="212F1A8F"/>
    <w:rsid w:val="21374828"/>
    <w:rsid w:val="214F03B6"/>
    <w:rsid w:val="219D33F2"/>
    <w:rsid w:val="21C3789E"/>
    <w:rsid w:val="21F06DC3"/>
    <w:rsid w:val="223B504C"/>
    <w:rsid w:val="22D12236"/>
    <w:rsid w:val="22D66F38"/>
    <w:rsid w:val="22DA5B74"/>
    <w:rsid w:val="22FC02C0"/>
    <w:rsid w:val="23D43A55"/>
    <w:rsid w:val="242D1753"/>
    <w:rsid w:val="24533EA6"/>
    <w:rsid w:val="24A45AB9"/>
    <w:rsid w:val="251D3214"/>
    <w:rsid w:val="252924E4"/>
    <w:rsid w:val="254D2394"/>
    <w:rsid w:val="25643896"/>
    <w:rsid w:val="25A27BFE"/>
    <w:rsid w:val="25EA625C"/>
    <w:rsid w:val="25EF47BB"/>
    <w:rsid w:val="26870E6E"/>
    <w:rsid w:val="26873E45"/>
    <w:rsid w:val="268A3AB0"/>
    <w:rsid w:val="269048E8"/>
    <w:rsid w:val="26DE0FD1"/>
    <w:rsid w:val="26F03512"/>
    <w:rsid w:val="273A71B5"/>
    <w:rsid w:val="278223E4"/>
    <w:rsid w:val="27D377C0"/>
    <w:rsid w:val="28074BF5"/>
    <w:rsid w:val="285D0C89"/>
    <w:rsid w:val="28647291"/>
    <w:rsid w:val="28DD5420"/>
    <w:rsid w:val="28EC495C"/>
    <w:rsid w:val="28F65C2E"/>
    <w:rsid w:val="29367BD7"/>
    <w:rsid w:val="293916AC"/>
    <w:rsid w:val="29521614"/>
    <w:rsid w:val="29CC06F0"/>
    <w:rsid w:val="29EC3645"/>
    <w:rsid w:val="2A2C79F5"/>
    <w:rsid w:val="2A4C358C"/>
    <w:rsid w:val="2A8149E9"/>
    <w:rsid w:val="2A827ECE"/>
    <w:rsid w:val="2A8C66E8"/>
    <w:rsid w:val="2A997F70"/>
    <w:rsid w:val="2ACF254B"/>
    <w:rsid w:val="2AD6025F"/>
    <w:rsid w:val="2ADC2444"/>
    <w:rsid w:val="2B47568D"/>
    <w:rsid w:val="2BBD32CE"/>
    <w:rsid w:val="2BD72C57"/>
    <w:rsid w:val="2BE4529D"/>
    <w:rsid w:val="2C4710BE"/>
    <w:rsid w:val="2C5D531B"/>
    <w:rsid w:val="2CA13BC5"/>
    <w:rsid w:val="2CA911B1"/>
    <w:rsid w:val="2CD5013A"/>
    <w:rsid w:val="2CEE2546"/>
    <w:rsid w:val="2D4E1ABE"/>
    <w:rsid w:val="2D621827"/>
    <w:rsid w:val="2D6E108C"/>
    <w:rsid w:val="2DB430E4"/>
    <w:rsid w:val="2E380F55"/>
    <w:rsid w:val="2E837235"/>
    <w:rsid w:val="2ED60BA6"/>
    <w:rsid w:val="2F871247"/>
    <w:rsid w:val="2F9B5627"/>
    <w:rsid w:val="2FE70778"/>
    <w:rsid w:val="30260A8E"/>
    <w:rsid w:val="30371D6B"/>
    <w:rsid w:val="30717AD3"/>
    <w:rsid w:val="307510AA"/>
    <w:rsid w:val="309E6EF6"/>
    <w:rsid w:val="30A91F61"/>
    <w:rsid w:val="30B51B87"/>
    <w:rsid w:val="30BB1747"/>
    <w:rsid w:val="30C24FBA"/>
    <w:rsid w:val="30D55A35"/>
    <w:rsid w:val="312F3472"/>
    <w:rsid w:val="313B3068"/>
    <w:rsid w:val="31C66D0B"/>
    <w:rsid w:val="31E0266A"/>
    <w:rsid w:val="31F64748"/>
    <w:rsid w:val="326B36FC"/>
    <w:rsid w:val="32E4434E"/>
    <w:rsid w:val="33045BB4"/>
    <w:rsid w:val="332A457E"/>
    <w:rsid w:val="33796139"/>
    <w:rsid w:val="33DB7473"/>
    <w:rsid w:val="33EA18C6"/>
    <w:rsid w:val="349C315B"/>
    <w:rsid w:val="34AB5A92"/>
    <w:rsid w:val="34B55AB2"/>
    <w:rsid w:val="34C1255D"/>
    <w:rsid w:val="3531554A"/>
    <w:rsid w:val="3554290A"/>
    <w:rsid w:val="3578081A"/>
    <w:rsid w:val="357B2720"/>
    <w:rsid w:val="357B5713"/>
    <w:rsid w:val="35963460"/>
    <w:rsid w:val="35A54B70"/>
    <w:rsid w:val="35F341FE"/>
    <w:rsid w:val="35F75996"/>
    <w:rsid w:val="35F87223"/>
    <w:rsid w:val="360618C5"/>
    <w:rsid w:val="361E4702"/>
    <w:rsid w:val="362167DA"/>
    <w:rsid w:val="365F69B2"/>
    <w:rsid w:val="36870FDC"/>
    <w:rsid w:val="36B027ED"/>
    <w:rsid w:val="36C74392"/>
    <w:rsid w:val="370E7B58"/>
    <w:rsid w:val="37537B1D"/>
    <w:rsid w:val="37663A77"/>
    <w:rsid w:val="3766695E"/>
    <w:rsid w:val="37885A26"/>
    <w:rsid w:val="37A26724"/>
    <w:rsid w:val="37BD5302"/>
    <w:rsid w:val="37C34860"/>
    <w:rsid w:val="380625AF"/>
    <w:rsid w:val="38567D6E"/>
    <w:rsid w:val="385C5F85"/>
    <w:rsid w:val="38B22A7F"/>
    <w:rsid w:val="38D5315A"/>
    <w:rsid w:val="38E049DF"/>
    <w:rsid w:val="38ED1C8F"/>
    <w:rsid w:val="390108CB"/>
    <w:rsid w:val="3952410E"/>
    <w:rsid w:val="396F4CC8"/>
    <w:rsid w:val="39794254"/>
    <w:rsid w:val="398E644B"/>
    <w:rsid w:val="39BB3FBA"/>
    <w:rsid w:val="39F21A1E"/>
    <w:rsid w:val="3A2A56AC"/>
    <w:rsid w:val="3A690764"/>
    <w:rsid w:val="3AA26FB6"/>
    <w:rsid w:val="3AA72A56"/>
    <w:rsid w:val="3AB927C9"/>
    <w:rsid w:val="3AEB54BA"/>
    <w:rsid w:val="3B1C3DBE"/>
    <w:rsid w:val="3B600668"/>
    <w:rsid w:val="3B976AF8"/>
    <w:rsid w:val="3BB42349"/>
    <w:rsid w:val="3C1C7DAA"/>
    <w:rsid w:val="3C45374D"/>
    <w:rsid w:val="3C94676F"/>
    <w:rsid w:val="3CC73975"/>
    <w:rsid w:val="3CDC524F"/>
    <w:rsid w:val="3CF25DA3"/>
    <w:rsid w:val="3D0A7CDD"/>
    <w:rsid w:val="3D0E0E4B"/>
    <w:rsid w:val="3D3A5397"/>
    <w:rsid w:val="3DBA6615"/>
    <w:rsid w:val="3DED331D"/>
    <w:rsid w:val="3DEF0FAA"/>
    <w:rsid w:val="3E140372"/>
    <w:rsid w:val="3E337634"/>
    <w:rsid w:val="3EAE2695"/>
    <w:rsid w:val="3EDA1840"/>
    <w:rsid w:val="3F1E4DB3"/>
    <w:rsid w:val="3F346F26"/>
    <w:rsid w:val="3F38137F"/>
    <w:rsid w:val="3F645F62"/>
    <w:rsid w:val="3F9615D5"/>
    <w:rsid w:val="3FD768CC"/>
    <w:rsid w:val="3FDF3204"/>
    <w:rsid w:val="3FED2FEE"/>
    <w:rsid w:val="40351405"/>
    <w:rsid w:val="405E61D0"/>
    <w:rsid w:val="40631D33"/>
    <w:rsid w:val="408A13C1"/>
    <w:rsid w:val="40B05A4E"/>
    <w:rsid w:val="410C6278"/>
    <w:rsid w:val="411A0504"/>
    <w:rsid w:val="4128109E"/>
    <w:rsid w:val="415E0CA0"/>
    <w:rsid w:val="418E1DC0"/>
    <w:rsid w:val="41A945C9"/>
    <w:rsid w:val="41B27C52"/>
    <w:rsid w:val="41C55B4B"/>
    <w:rsid w:val="41C60D50"/>
    <w:rsid w:val="42253629"/>
    <w:rsid w:val="42413EA3"/>
    <w:rsid w:val="42A71693"/>
    <w:rsid w:val="42C847A0"/>
    <w:rsid w:val="42EE6E5E"/>
    <w:rsid w:val="430412F1"/>
    <w:rsid w:val="43062EC3"/>
    <w:rsid w:val="430A0F68"/>
    <w:rsid w:val="43783D25"/>
    <w:rsid w:val="444B1319"/>
    <w:rsid w:val="44822C23"/>
    <w:rsid w:val="44DA1745"/>
    <w:rsid w:val="450C5B93"/>
    <w:rsid w:val="45552F11"/>
    <w:rsid w:val="45735230"/>
    <w:rsid w:val="45845B9E"/>
    <w:rsid w:val="45B41DF1"/>
    <w:rsid w:val="45F76ECF"/>
    <w:rsid w:val="46085EA9"/>
    <w:rsid w:val="46137EC5"/>
    <w:rsid w:val="46BE3EAE"/>
    <w:rsid w:val="47144153"/>
    <w:rsid w:val="472D6E53"/>
    <w:rsid w:val="47482900"/>
    <w:rsid w:val="476F5F39"/>
    <w:rsid w:val="47895696"/>
    <w:rsid w:val="479C078C"/>
    <w:rsid w:val="479C322F"/>
    <w:rsid w:val="479D5134"/>
    <w:rsid w:val="47A03199"/>
    <w:rsid w:val="47FB4C32"/>
    <w:rsid w:val="48091563"/>
    <w:rsid w:val="480C7A7A"/>
    <w:rsid w:val="481F5D33"/>
    <w:rsid w:val="485C5346"/>
    <w:rsid w:val="48AA5DA2"/>
    <w:rsid w:val="48DE79CC"/>
    <w:rsid w:val="48EF30CB"/>
    <w:rsid w:val="48FB54C7"/>
    <w:rsid w:val="4934020D"/>
    <w:rsid w:val="494403C0"/>
    <w:rsid w:val="49FE1961"/>
    <w:rsid w:val="4A321716"/>
    <w:rsid w:val="4A6B42A2"/>
    <w:rsid w:val="4A726F93"/>
    <w:rsid w:val="4A822A58"/>
    <w:rsid w:val="4A825A5C"/>
    <w:rsid w:val="4AB27A19"/>
    <w:rsid w:val="4AC03BFC"/>
    <w:rsid w:val="4AD65D27"/>
    <w:rsid w:val="4B166733"/>
    <w:rsid w:val="4B2936AC"/>
    <w:rsid w:val="4B822685"/>
    <w:rsid w:val="4BAB22D0"/>
    <w:rsid w:val="4BDF03AC"/>
    <w:rsid w:val="4BE32117"/>
    <w:rsid w:val="4BE657A6"/>
    <w:rsid w:val="4BE903A7"/>
    <w:rsid w:val="4BEC75EA"/>
    <w:rsid w:val="4BED3696"/>
    <w:rsid w:val="4C1D7B42"/>
    <w:rsid w:val="4C2A2CFA"/>
    <w:rsid w:val="4C59744F"/>
    <w:rsid w:val="4C6318C2"/>
    <w:rsid w:val="4C653047"/>
    <w:rsid w:val="4C6956BD"/>
    <w:rsid w:val="4CDC2F71"/>
    <w:rsid w:val="4D0812EC"/>
    <w:rsid w:val="4D1574FD"/>
    <w:rsid w:val="4D3D2BA9"/>
    <w:rsid w:val="4D505899"/>
    <w:rsid w:val="4D5E2AFB"/>
    <w:rsid w:val="4E305937"/>
    <w:rsid w:val="4E506602"/>
    <w:rsid w:val="4EA02023"/>
    <w:rsid w:val="4EB1203B"/>
    <w:rsid w:val="4EC56394"/>
    <w:rsid w:val="4F252466"/>
    <w:rsid w:val="4F3124AF"/>
    <w:rsid w:val="4F6B7967"/>
    <w:rsid w:val="4F7F224A"/>
    <w:rsid w:val="4F7F2A44"/>
    <w:rsid w:val="4F8B034E"/>
    <w:rsid w:val="4FBD2C90"/>
    <w:rsid w:val="4FCC3BE6"/>
    <w:rsid w:val="4FD35206"/>
    <w:rsid w:val="4FDC7337"/>
    <w:rsid w:val="500E3A4C"/>
    <w:rsid w:val="501820F8"/>
    <w:rsid w:val="502C3AA1"/>
    <w:rsid w:val="50AA6E54"/>
    <w:rsid w:val="50BB4059"/>
    <w:rsid w:val="50D70BBB"/>
    <w:rsid w:val="51883BBF"/>
    <w:rsid w:val="518C5568"/>
    <w:rsid w:val="51B12E15"/>
    <w:rsid w:val="51D4158C"/>
    <w:rsid w:val="51E6774B"/>
    <w:rsid w:val="522762D7"/>
    <w:rsid w:val="52907E7C"/>
    <w:rsid w:val="529619C7"/>
    <w:rsid w:val="52BF6A68"/>
    <w:rsid w:val="52CD0A8C"/>
    <w:rsid w:val="52E15705"/>
    <w:rsid w:val="52E34EDB"/>
    <w:rsid w:val="532A3F18"/>
    <w:rsid w:val="534A7100"/>
    <w:rsid w:val="53582764"/>
    <w:rsid w:val="53721F02"/>
    <w:rsid w:val="53BF6DBD"/>
    <w:rsid w:val="53D00B5B"/>
    <w:rsid w:val="53D567E8"/>
    <w:rsid w:val="541E0172"/>
    <w:rsid w:val="54315BB6"/>
    <w:rsid w:val="543D69F7"/>
    <w:rsid w:val="54A85071"/>
    <w:rsid w:val="550C3537"/>
    <w:rsid w:val="5597277B"/>
    <w:rsid w:val="55AC3C02"/>
    <w:rsid w:val="55CA00DF"/>
    <w:rsid w:val="55E34DF9"/>
    <w:rsid w:val="55E63B4E"/>
    <w:rsid w:val="565A7A55"/>
    <w:rsid w:val="566B7E8E"/>
    <w:rsid w:val="567744D3"/>
    <w:rsid w:val="56F66823"/>
    <w:rsid w:val="57126CEB"/>
    <w:rsid w:val="571A4E34"/>
    <w:rsid w:val="57455CA2"/>
    <w:rsid w:val="578D15E1"/>
    <w:rsid w:val="57B66EF2"/>
    <w:rsid w:val="580928AC"/>
    <w:rsid w:val="58102F90"/>
    <w:rsid w:val="583A0C15"/>
    <w:rsid w:val="58477DA0"/>
    <w:rsid w:val="589A626B"/>
    <w:rsid w:val="593A38F3"/>
    <w:rsid w:val="594002B5"/>
    <w:rsid w:val="59413241"/>
    <w:rsid w:val="595D3DAB"/>
    <w:rsid w:val="59735BEB"/>
    <w:rsid w:val="599A4A0D"/>
    <w:rsid w:val="59A92BA5"/>
    <w:rsid w:val="59F26EAB"/>
    <w:rsid w:val="59FC3C55"/>
    <w:rsid w:val="5A0F65FF"/>
    <w:rsid w:val="5AF041C5"/>
    <w:rsid w:val="5B254F6C"/>
    <w:rsid w:val="5B5A1AFD"/>
    <w:rsid w:val="5B9A555B"/>
    <w:rsid w:val="5BB96945"/>
    <w:rsid w:val="5C370CBA"/>
    <w:rsid w:val="5C5E3CE2"/>
    <w:rsid w:val="5C860C97"/>
    <w:rsid w:val="5C87745F"/>
    <w:rsid w:val="5C926895"/>
    <w:rsid w:val="5CF93208"/>
    <w:rsid w:val="5D1F14F3"/>
    <w:rsid w:val="5D380AC1"/>
    <w:rsid w:val="5D731146"/>
    <w:rsid w:val="5D8F5D8E"/>
    <w:rsid w:val="5DB85539"/>
    <w:rsid w:val="5DD82278"/>
    <w:rsid w:val="5E520F72"/>
    <w:rsid w:val="5EB44070"/>
    <w:rsid w:val="5EB71388"/>
    <w:rsid w:val="5ECF1070"/>
    <w:rsid w:val="5EF84D5B"/>
    <w:rsid w:val="5F16108D"/>
    <w:rsid w:val="5F1C2834"/>
    <w:rsid w:val="5F3673C4"/>
    <w:rsid w:val="5F3E007D"/>
    <w:rsid w:val="5F5D4720"/>
    <w:rsid w:val="5F6915B6"/>
    <w:rsid w:val="5FBF7E88"/>
    <w:rsid w:val="5FCD63E5"/>
    <w:rsid w:val="600F374F"/>
    <w:rsid w:val="60515592"/>
    <w:rsid w:val="608910C7"/>
    <w:rsid w:val="612005AE"/>
    <w:rsid w:val="61371077"/>
    <w:rsid w:val="61594265"/>
    <w:rsid w:val="61FF53BD"/>
    <w:rsid w:val="624F2E59"/>
    <w:rsid w:val="62704E3C"/>
    <w:rsid w:val="62A24C5F"/>
    <w:rsid w:val="62E838CF"/>
    <w:rsid w:val="630C3105"/>
    <w:rsid w:val="63122B97"/>
    <w:rsid w:val="633333AA"/>
    <w:rsid w:val="633953E4"/>
    <w:rsid w:val="636A1027"/>
    <w:rsid w:val="63777F72"/>
    <w:rsid w:val="637F5749"/>
    <w:rsid w:val="639110B6"/>
    <w:rsid w:val="64066FDC"/>
    <w:rsid w:val="64227B98"/>
    <w:rsid w:val="6423767A"/>
    <w:rsid w:val="642B2724"/>
    <w:rsid w:val="64374EF8"/>
    <w:rsid w:val="64426B0C"/>
    <w:rsid w:val="644748A7"/>
    <w:rsid w:val="64942AEC"/>
    <w:rsid w:val="64A5552C"/>
    <w:rsid w:val="64D33FF1"/>
    <w:rsid w:val="653648A4"/>
    <w:rsid w:val="65A93AD5"/>
    <w:rsid w:val="65D24163"/>
    <w:rsid w:val="65D72B90"/>
    <w:rsid w:val="660463EA"/>
    <w:rsid w:val="667F5082"/>
    <w:rsid w:val="66926FAA"/>
    <w:rsid w:val="66A03620"/>
    <w:rsid w:val="66CF7033"/>
    <w:rsid w:val="66D00541"/>
    <w:rsid w:val="66FD2FC6"/>
    <w:rsid w:val="67006EE5"/>
    <w:rsid w:val="67146EBC"/>
    <w:rsid w:val="671C4F14"/>
    <w:rsid w:val="67714724"/>
    <w:rsid w:val="67873066"/>
    <w:rsid w:val="678E1CC5"/>
    <w:rsid w:val="67FF1A17"/>
    <w:rsid w:val="684E7914"/>
    <w:rsid w:val="688A7028"/>
    <w:rsid w:val="688C5723"/>
    <w:rsid w:val="68B80AD8"/>
    <w:rsid w:val="68D83DFE"/>
    <w:rsid w:val="69382FF3"/>
    <w:rsid w:val="694B7869"/>
    <w:rsid w:val="69657C7C"/>
    <w:rsid w:val="69745043"/>
    <w:rsid w:val="697910CC"/>
    <w:rsid w:val="699E14B6"/>
    <w:rsid w:val="69A15342"/>
    <w:rsid w:val="69F75A74"/>
    <w:rsid w:val="69FE6CB6"/>
    <w:rsid w:val="6A2877EC"/>
    <w:rsid w:val="6A4F33B8"/>
    <w:rsid w:val="6A66274E"/>
    <w:rsid w:val="6A812BDF"/>
    <w:rsid w:val="6A8164B5"/>
    <w:rsid w:val="6A830343"/>
    <w:rsid w:val="6AAF7599"/>
    <w:rsid w:val="6AE554AB"/>
    <w:rsid w:val="6B452A14"/>
    <w:rsid w:val="6B51516A"/>
    <w:rsid w:val="6B822971"/>
    <w:rsid w:val="6BB06919"/>
    <w:rsid w:val="6BB622FF"/>
    <w:rsid w:val="6BB73977"/>
    <w:rsid w:val="6BD9525C"/>
    <w:rsid w:val="6C3B4DE2"/>
    <w:rsid w:val="6CB4055B"/>
    <w:rsid w:val="6D4C02B6"/>
    <w:rsid w:val="6D540C26"/>
    <w:rsid w:val="6DA57E98"/>
    <w:rsid w:val="6DA82C60"/>
    <w:rsid w:val="6DD416FB"/>
    <w:rsid w:val="6DDC1E2A"/>
    <w:rsid w:val="6DDE105B"/>
    <w:rsid w:val="6DE568D8"/>
    <w:rsid w:val="6DEF4745"/>
    <w:rsid w:val="6E301073"/>
    <w:rsid w:val="6E493F8C"/>
    <w:rsid w:val="6E5D623D"/>
    <w:rsid w:val="6E8623AE"/>
    <w:rsid w:val="6E894B99"/>
    <w:rsid w:val="6EB81E4D"/>
    <w:rsid w:val="6EDC6E70"/>
    <w:rsid w:val="6EE36540"/>
    <w:rsid w:val="6EFA1C22"/>
    <w:rsid w:val="6EFC1923"/>
    <w:rsid w:val="6EFE1D06"/>
    <w:rsid w:val="6F351782"/>
    <w:rsid w:val="6F7A0DA5"/>
    <w:rsid w:val="6F7C32E2"/>
    <w:rsid w:val="6F8A4A0A"/>
    <w:rsid w:val="6FC4539F"/>
    <w:rsid w:val="6FF653BE"/>
    <w:rsid w:val="707F6A67"/>
    <w:rsid w:val="70B005B4"/>
    <w:rsid w:val="70DA0EB4"/>
    <w:rsid w:val="70FA71EB"/>
    <w:rsid w:val="70FD0704"/>
    <w:rsid w:val="71263532"/>
    <w:rsid w:val="713800F7"/>
    <w:rsid w:val="713B1829"/>
    <w:rsid w:val="713D0B28"/>
    <w:rsid w:val="714126DC"/>
    <w:rsid w:val="71736EF7"/>
    <w:rsid w:val="71801AB8"/>
    <w:rsid w:val="72080A1E"/>
    <w:rsid w:val="72111E24"/>
    <w:rsid w:val="72174C54"/>
    <w:rsid w:val="722A1ADB"/>
    <w:rsid w:val="722B75BA"/>
    <w:rsid w:val="72514A93"/>
    <w:rsid w:val="728E0C1C"/>
    <w:rsid w:val="7296653C"/>
    <w:rsid w:val="72A84C91"/>
    <w:rsid w:val="72A85F11"/>
    <w:rsid w:val="72E20E5E"/>
    <w:rsid w:val="72E24399"/>
    <w:rsid w:val="72F04567"/>
    <w:rsid w:val="732E312C"/>
    <w:rsid w:val="73353469"/>
    <w:rsid w:val="739931FF"/>
    <w:rsid w:val="73A40BF2"/>
    <w:rsid w:val="73B75185"/>
    <w:rsid w:val="73D26BA2"/>
    <w:rsid w:val="73F41F96"/>
    <w:rsid w:val="73FE3CB2"/>
    <w:rsid w:val="74AA01F6"/>
    <w:rsid w:val="751E0C61"/>
    <w:rsid w:val="75787FC9"/>
    <w:rsid w:val="7581440E"/>
    <w:rsid w:val="75904BF4"/>
    <w:rsid w:val="75CC3CD5"/>
    <w:rsid w:val="75F6437B"/>
    <w:rsid w:val="75FA5B78"/>
    <w:rsid w:val="76106F33"/>
    <w:rsid w:val="7625682B"/>
    <w:rsid w:val="76516E0F"/>
    <w:rsid w:val="765304BC"/>
    <w:rsid w:val="76743BE2"/>
    <w:rsid w:val="767E1A75"/>
    <w:rsid w:val="76DC5E88"/>
    <w:rsid w:val="76FD6818"/>
    <w:rsid w:val="771119ED"/>
    <w:rsid w:val="771D3598"/>
    <w:rsid w:val="77456248"/>
    <w:rsid w:val="778D2026"/>
    <w:rsid w:val="778D7747"/>
    <w:rsid w:val="77AD2529"/>
    <w:rsid w:val="77E42641"/>
    <w:rsid w:val="789B32BF"/>
    <w:rsid w:val="78B96A6C"/>
    <w:rsid w:val="7904171E"/>
    <w:rsid w:val="790E4F03"/>
    <w:rsid w:val="790F6494"/>
    <w:rsid w:val="79313376"/>
    <w:rsid w:val="7A075723"/>
    <w:rsid w:val="7A2236E4"/>
    <w:rsid w:val="7AA57CF3"/>
    <w:rsid w:val="7AF4663C"/>
    <w:rsid w:val="7B484ED1"/>
    <w:rsid w:val="7BAA38A4"/>
    <w:rsid w:val="7BE06349"/>
    <w:rsid w:val="7BEB7F5D"/>
    <w:rsid w:val="7C1346F9"/>
    <w:rsid w:val="7C307304"/>
    <w:rsid w:val="7C401F95"/>
    <w:rsid w:val="7C42096C"/>
    <w:rsid w:val="7C8D0A7F"/>
    <w:rsid w:val="7CB83E2E"/>
    <w:rsid w:val="7D296C53"/>
    <w:rsid w:val="7D894AA5"/>
    <w:rsid w:val="7DC31CC4"/>
    <w:rsid w:val="7DF07B71"/>
    <w:rsid w:val="7DFA6E2E"/>
    <w:rsid w:val="7E4A74C4"/>
    <w:rsid w:val="7E9113A5"/>
    <w:rsid w:val="7ED83E28"/>
    <w:rsid w:val="7EE71179"/>
    <w:rsid w:val="7F04016F"/>
    <w:rsid w:val="7F254820"/>
    <w:rsid w:val="7FC346E6"/>
    <w:rsid w:val="7FC71532"/>
    <w:rsid w:val="7FD008B6"/>
    <w:rsid w:val="7FEA3E3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0" w:name="Note Heading"/>
    <w:lsdException w:qFormat="1"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3"/>
    <w:autoRedefine/>
    <w:qFormat/>
    <w:uiPriority w:val="9"/>
    <w:pPr>
      <w:keepNext/>
      <w:jc w:val="center"/>
      <w:outlineLvl w:val="0"/>
    </w:pPr>
    <w:rPr>
      <w:b/>
      <w:bCs/>
      <w:sz w:val="24"/>
    </w:rPr>
  </w:style>
  <w:style w:type="paragraph" w:styleId="3">
    <w:name w:val="heading 2"/>
    <w:basedOn w:val="1"/>
    <w:next w:val="1"/>
    <w:link w:val="235"/>
    <w:autoRedefine/>
    <w:qFormat/>
    <w:uiPriority w:val="9"/>
    <w:pPr>
      <w:autoSpaceDE w:val="0"/>
      <w:autoSpaceDN w:val="0"/>
      <w:spacing w:before="22" w:line="368" w:lineRule="exact"/>
      <w:ind w:left="455"/>
      <w:jc w:val="left"/>
      <w:outlineLvl w:val="1"/>
    </w:pPr>
    <w:rPr>
      <w:rFonts w:hint="eastAsia" w:ascii="微软雅黑" w:hAnsi="微软雅黑" w:eastAsia="微软雅黑" w:cs="微软雅黑"/>
      <w:b/>
      <w:kern w:val="0"/>
      <w:sz w:val="20"/>
      <w:szCs w:val="20"/>
    </w:rPr>
  </w:style>
  <w:style w:type="paragraph" w:styleId="4">
    <w:name w:val="heading 3"/>
    <w:basedOn w:val="1"/>
    <w:next w:val="1"/>
    <w:link w:val="143"/>
    <w:autoRedefine/>
    <w:qFormat/>
    <w:uiPriority w:val="0"/>
    <w:pPr>
      <w:keepNext/>
      <w:keepLines/>
      <w:spacing w:line="413" w:lineRule="auto"/>
      <w:outlineLvl w:val="2"/>
    </w:pPr>
    <w:rPr>
      <w:b/>
      <w:sz w:val="32"/>
      <w:szCs w:val="20"/>
    </w:rPr>
  </w:style>
  <w:style w:type="paragraph" w:styleId="5">
    <w:name w:val="heading 4"/>
    <w:basedOn w:val="1"/>
    <w:next w:val="1"/>
    <w:link w:val="144"/>
    <w:autoRedefine/>
    <w:qFormat/>
    <w:uiPriority w:val="0"/>
    <w:pPr>
      <w:keepNext/>
      <w:keepLines/>
      <w:spacing w:line="360" w:lineRule="auto"/>
      <w:outlineLvl w:val="3"/>
    </w:pPr>
    <w:rPr>
      <w:rFonts w:ascii="Arial" w:hAnsi="Arial"/>
      <w:b/>
      <w:szCs w:val="20"/>
    </w:rPr>
  </w:style>
  <w:style w:type="paragraph" w:styleId="6">
    <w:name w:val="heading 5"/>
    <w:basedOn w:val="1"/>
    <w:next w:val="1"/>
    <w:link w:val="145"/>
    <w:autoRedefine/>
    <w:qFormat/>
    <w:uiPriority w:val="0"/>
    <w:pPr>
      <w:keepNext/>
      <w:keepLines/>
      <w:spacing w:before="280" w:after="290" w:line="372" w:lineRule="auto"/>
      <w:outlineLvl w:val="4"/>
    </w:pPr>
    <w:rPr>
      <w:rFonts w:ascii="Calibri" w:hAnsi="Calibri"/>
      <w:b/>
      <w:bCs/>
      <w:sz w:val="28"/>
      <w:szCs w:val="28"/>
    </w:rPr>
  </w:style>
  <w:style w:type="paragraph" w:styleId="7">
    <w:name w:val="heading 6"/>
    <w:basedOn w:val="1"/>
    <w:next w:val="1"/>
    <w:link w:val="146"/>
    <w:autoRedefine/>
    <w:qFormat/>
    <w:uiPriority w:val="0"/>
    <w:pPr>
      <w:keepNext/>
      <w:keepLines/>
      <w:spacing w:before="240" w:after="64" w:line="317" w:lineRule="auto"/>
      <w:outlineLvl w:val="5"/>
    </w:pPr>
    <w:rPr>
      <w:rFonts w:ascii="Cambria" w:hAnsi="Cambria"/>
      <w:b/>
      <w:bCs/>
      <w:sz w:val="24"/>
    </w:rPr>
  </w:style>
  <w:style w:type="paragraph" w:styleId="8">
    <w:name w:val="heading 7"/>
    <w:basedOn w:val="1"/>
    <w:next w:val="1"/>
    <w:link w:val="147"/>
    <w:autoRedefine/>
    <w:qFormat/>
    <w:uiPriority w:val="0"/>
    <w:pPr>
      <w:keepNext/>
      <w:keepLines/>
      <w:spacing w:before="240" w:after="64" w:line="317" w:lineRule="auto"/>
      <w:outlineLvl w:val="6"/>
    </w:pPr>
    <w:rPr>
      <w:rFonts w:ascii="Calibri" w:hAnsi="Calibri"/>
      <w:b/>
      <w:bCs/>
      <w:sz w:val="24"/>
    </w:rPr>
  </w:style>
  <w:style w:type="paragraph" w:styleId="9">
    <w:name w:val="heading 8"/>
    <w:basedOn w:val="1"/>
    <w:next w:val="1"/>
    <w:link w:val="148"/>
    <w:autoRedefine/>
    <w:qFormat/>
    <w:uiPriority w:val="0"/>
    <w:pPr>
      <w:keepNext/>
      <w:keepLines/>
      <w:spacing w:before="240" w:after="64" w:line="317" w:lineRule="auto"/>
      <w:outlineLvl w:val="7"/>
    </w:pPr>
    <w:rPr>
      <w:rFonts w:ascii="Cambria" w:hAnsi="Cambria"/>
      <w:sz w:val="24"/>
    </w:rPr>
  </w:style>
  <w:style w:type="paragraph" w:styleId="10">
    <w:name w:val="heading 9"/>
    <w:basedOn w:val="1"/>
    <w:next w:val="1"/>
    <w:link w:val="149"/>
    <w:autoRedefine/>
    <w:qFormat/>
    <w:uiPriority w:val="0"/>
    <w:pPr>
      <w:keepNext/>
      <w:keepLines/>
      <w:spacing w:before="240" w:after="64" w:line="317" w:lineRule="auto"/>
      <w:outlineLvl w:val="8"/>
    </w:pPr>
    <w:rPr>
      <w:rFonts w:ascii="Cambria" w:hAnsi="Cambria"/>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List Number"/>
    <w:basedOn w:val="1"/>
    <w:autoRedefine/>
    <w:qFormat/>
    <w:uiPriority w:val="0"/>
    <w:pPr>
      <w:widowControl/>
      <w:spacing w:before="100" w:beforeAutospacing="1" w:after="100" w:afterAutospacing="1"/>
      <w:jc w:val="left"/>
    </w:pPr>
    <w:rPr>
      <w:rFonts w:ascii="宋体" w:hAnsi="宋体" w:cs="宋体"/>
      <w:kern w:val="0"/>
      <w:sz w:val="24"/>
    </w:rPr>
  </w:style>
  <w:style w:type="paragraph" w:styleId="13">
    <w:name w:val="Normal Indent"/>
    <w:basedOn w:val="1"/>
    <w:autoRedefine/>
    <w:qFormat/>
    <w:uiPriority w:val="0"/>
    <w:pPr>
      <w:widowControl/>
      <w:spacing w:before="100" w:beforeAutospacing="1" w:after="100" w:afterAutospacing="1"/>
      <w:jc w:val="left"/>
    </w:pPr>
    <w:rPr>
      <w:rFonts w:ascii="宋体" w:hAnsi="宋体" w:cs="宋体"/>
      <w:kern w:val="0"/>
      <w:sz w:val="24"/>
    </w:rPr>
  </w:style>
  <w:style w:type="paragraph" w:styleId="14">
    <w:name w:val="caption"/>
    <w:basedOn w:val="1"/>
    <w:next w:val="1"/>
    <w:autoRedefine/>
    <w:qFormat/>
    <w:uiPriority w:val="0"/>
    <w:rPr>
      <w:rFonts w:ascii="Cambria" w:hAnsi="Cambria" w:eastAsia="黑体"/>
      <w:sz w:val="20"/>
      <w:szCs w:val="20"/>
    </w:rPr>
  </w:style>
  <w:style w:type="paragraph" w:styleId="15">
    <w:name w:val="Document Map"/>
    <w:basedOn w:val="1"/>
    <w:link w:val="150"/>
    <w:autoRedefine/>
    <w:qFormat/>
    <w:uiPriority w:val="0"/>
    <w:pPr>
      <w:shd w:val="clear" w:color="auto" w:fill="000080"/>
    </w:pPr>
    <w:rPr>
      <w:szCs w:val="20"/>
    </w:rPr>
  </w:style>
  <w:style w:type="paragraph" w:styleId="16">
    <w:name w:val="annotation text"/>
    <w:basedOn w:val="1"/>
    <w:link w:val="151"/>
    <w:autoRedefine/>
    <w:qFormat/>
    <w:uiPriority w:val="0"/>
    <w:pPr>
      <w:jc w:val="left"/>
    </w:pPr>
    <w:rPr>
      <w:szCs w:val="20"/>
    </w:rPr>
  </w:style>
  <w:style w:type="paragraph" w:styleId="17">
    <w:name w:val="Body Text 3"/>
    <w:basedOn w:val="1"/>
    <w:link w:val="134"/>
    <w:autoRedefine/>
    <w:qFormat/>
    <w:uiPriority w:val="0"/>
    <w:pPr>
      <w:widowControl/>
      <w:spacing w:before="100" w:beforeAutospacing="1" w:after="100" w:afterAutospacing="1"/>
      <w:jc w:val="left"/>
    </w:pPr>
    <w:rPr>
      <w:rFonts w:ascii="宋体" w:hAnsi="宋体" w:cs="宋体"/>
      <w:kern w:val="0"/>
      <w:sz w:val="24"/>
    </w:rPr>
  </w:style>
  <w:style w:type="paragraph" w:styleId="18">
    <w:name w:val="Body Text"/>
    <w:basedOn w:val="1"/>
    <w:link w:val="73"/>
    <w:autoRedefine/>
    <w:qFormat/>
    <w:uiPriority w:val="99"/>
    <w:pPr>
      <w:spacing w:after="120"/>
    </w:pPr>
  </w:style>
  <w:style w:type="paragraph" w:styleId="19">
    <w:name w:val="Body Text Indent"/>
    <w:basedOn w:val="1"/>
    <w:next w:val="20"/>
    <w:link w:val="135"/>
    <w:autoRedefine/>
    <w:qFormat/>
    <w:uiPriority w:val="0"/>
    <w:pPr>
      <w:widowControl/>
      <w:spacing w:before="100" w:beforeAutospacing="1" w:after="100" w:afterAutospacing="1"/>
      <w:jc w:val="left"/>
    </w:pPr>
    <w:rPr>
      <w:rFonts w:ascii="宋体" w:hAnsi="宋体" w:cs="宋体"/>
      <w:kern w:val="0"/>
      <w:sz w:val="24"/>
    </w:rPr>
  </w:style>
  <w:style w:type="paragraph" w:styleId="20">
    <w:name w:val="envelope return"/>
    <w:basedOn w:val="1"/>
    <w:autoRedefine/>
    <w:unhideWhenUsed/>
    <w:qFormat/>
    <w:uiPriority w:val="99"/>
    <w:pPr>
      <w:snapToGrid w:val="0"/>
    </w:pPr>
    <w:rPr>
      <w:rFonts w:ascii="Arial" w:hAnsi="Arial"/>
    </w:rPr>
  </w:style>
  <w:style w:type="paragraph" w:styleId="21">
    <w:name w:val="List 2"/>
    <w:basedOn w:val="1"/>
    <w:autoRedefine/>
    <w:qFormat/>
    <w:uiPriority w:val="0"/>
    <w:pPr>
      <w:widowControl/>
      <w:spacing w:before="100" w:beforeAutospacing="1" w:after="100" w:afterAutospacing="1"/>
      <w:jc w:val="left"/>
    </w:pPr>
    <w:rPr>
      <w:rFonts w:ascii="宋体" w:hAnsi="宋体" w:cs="宋体"/>
      <w:kern w:val="0"/>
      <w:sz w:val="24"/>
    </w:rPr>
  </w:style>
  <w:style w:type="paragraph" w:styleId="22">
    <w:name w:val="Block Text"/>
    <w:basedOn w:val="1"/>
    <w:autoRedefine/>
    <w:qFormat/>
    <w:uiPriority w:val="0"/>
    <w:pPr>
      <w:adjustRightInd w:val="0"/>
      <w:spacing w:line="360" w:lineRule="auto"/>
      <w:ind w:left="420" w:leftChars="200"/>
    </w:pPr>
    <w:rPr>
      <w:rFonts w:asciiTheme="minorHAnsi" w:hAnsiTheme="minorHAnsi" w:eastAsiaTheme="minorEastAsia" w:cstheme="minorBidi"/>
      <w:sz w:val="24"/>
    </w:rPr>
  </w:style>
  <w:style w:type="paragraph" w:styleId="23">
    <w:name w:val="index 4"/>
    <w:basedOn w:val="1"/>
    <w:next w:val="1"/>
    <w:autoRedefine/>
    <w:qFormat/>
    <w:uiPriority w:val="0"/>
    <w:pPr>
      <w:ind w:left="600" w:leftChars="600"/>
    </w:pPr>
  </w:style>
  <w:style w:type="paragraph" w:styleId="24">
    <w:name w:val="toc 5"/>
    <w:basedOn w:val="1"/>
    <w:next w:val="1"/>
    <w:autoRedefine/>
    <w:qFormat/>
    <w:uiPriority w:val="0"/>
    <w:pPr>
      <w:ind w:left="1680" w:leftChars="800"/>
    </w:pPr>
  </w:style>
  <w:style w:type="paragraph" w:styleId="25">
    <w:name w:val="toc 3"/>
    <w:basedOn w:val="1"/>
    <w:next w:val="1"/>
    <w:autoRedefine/>
    <w:qFormat/>
    <w:uiPriority w:val="0"/>
    <w:pPr>
      <w:tabs>
        <w:tab w:val="right" w:leader="dot" w:pos="9060"/>
      </w:tabs>
      <w:ind w:left="540" w:leftChars="257" w:firstLine="1"/>
    </w:pPr>
    <w:rPr>
      <w:szCs w:val="20"/>
    </w:rPr>
  </w:style>
  <w:style w:type="paragraph" w:styleId="26">
    <w:name w:val="Plain Text"/>
    <w:basedOn w:val="1"/>
    <w:link w:val="136"/>
    <w:autoRedefine/>
    <w:qFormat/>
    <w:uiPriority w:val="99"/>
    <w:pPr>
      <w:widowControl/>
      <w:spacing w:before="100" w:beforeAutospacing="1" w:after="100" w:afterAutospacing="1"/>
      <w:jc w:val="left"/>
    </w:pPr>
    <w:rPr>
      <w:rFonts w:ascii="宋体" w:hAnsi="宋体" w:cs="宋体"/>
      <w:kern w:val="0"/>
      <w:sz w:val="24"/>
    </w:rPr>
  </w:style>
  <w:style w:type="paragraph" w:styleId="27">
    <w:name w:val="toc 8"/>
    <w:basedOn w:val="1"/>
    <w:next w:val="1"/>
    <w:autoRedefine/>
    <w:qFormat/>
    <w:uiPriority w:val="0"/>
    <w:pPr>
      <w:ind w:left="2940" w:leftChars="1400"/>
    </w:pPr>
  </w:style>
  <w:style w:type="paragraph" w:styleId="28">
    <w:name w:val="Date"/>
    <w:basedOn w:val="1"/>
    <w:next w:val="1"/>
    <w:link w:val="152"/>
    <w:autoRedefine/>
    <w:qFormat/>
    <w:uiPriority w:val="0"/>
    <w:pPr>
      <w:ind w:left="100" w:leftChars="2500"/>
    </w:pPr>
    <w:rPr>
      <w:sz w:val="28"/>
      <w:szCs w:val="20"/>
    </w:rPr>
  </w:style>
  <w:style w:type="paragraph" w:styleId="29">
    <w:name w:val="Body Text Indent 2"/>
    <w:basedOn w:val="1"/>
    <w:link w:val="153"/>
    <w:autoRedefine/>
    <w:qFormat/>
    <w:uiPriority w:val="0"/>
    <w:pPr>
      <w:spacing w:line="480" w:lineRule="auto"/>
      <w:ind w:left="420" w:leftChars="200"/>
    </w:pPr>
    <w:rPr>
      <w:szCs w:val="20"/>
    </w:rPr>
  </w:style>
  <w:style w:type="paragraph" w:styleId="30">
    <w:name w:val="Balloon Text"/>
    <w:basedOn w:val="1"/>
    <w:link w:val="75"/>
    <w:autoRedefine/>
    <w:qFormat/>
    <w:uiPriority w:val="0"/>
    <w:rPr>
      <w:sz w:val="18"/>
      <w:szCs w:val="18"/>
    </w:rPr>
  </w:style>
  <w:style w:type="paragraph" w:styleId="31">
    <w:name w:val="footer"/>
    <w:basedOn w:val="1"/>
    <w:link w:val="71"/>
    <w:autoRedefine/>
    <w:qFormat/>
    <w:uiPriority w:val="0"/>
    <w:pPr>
      <w:tabs>
        <w:tab w:val="center" w:pos="4153"/>
        <w:tab w:val="right" w:pos="8306"/>
      </w:tabs>
      <w:snapToGrid w:val="0"/>
      <w:jc w:val="left"/>
    </w:pPr>
    <w:rPr>
      <w:sz w:val="18"/>
      <w:szCs w:val="18"/>
    </w:rPr>
  </w:style>
  <w:style w:type="paragraph" w:styleId="32">
    <w:name w:val="header"/>
    <w:basedOn w:val="1"/>
    <w:link w:val="78"/>
    <w:autoRedefine/>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qFormat/>
    <w:uiPriority w:val="0"/>
    <w:rPr>
      <w:szCs w:val="20"/>
    </w:rPr>
  </w:style>
  <w:style w:type="paragraph" w:styleId="34">
    <w:name w:val="toc 4"/>
    <w:basedOn w:val="1"/>
    <w:next w:val="1"/>
    <w:autoRedefine/>
    <w:qFormat/>
    <w:uiPriority w:val="0"/>
    <w:pPr>
      <w:ind w:left="1260" w:leftChars="600"/>
    </w:pPr>
  </w:style>
  <w:style w:type="paragraph" w:styleId="35">
    <w:name w:val="Subtitle"/>
    <w:basedOn w:val="1"/>
    <w:next w:val="1"/>
    <w:link w:val="154"/>
    <w:autoRedefine/>
    <w:qFormat/>
    <w:uiPriority w:val="0"/>
    <w:pPr>
      <w:spacing w:before="240" w:after="60" w:line="312" w:lineRule="auto"/>
      <w:jc w:val="center"/>
      <w:outlineLvl w:val="1"/>
    </w:pPr>
    <w:rPr>
      <w:rFonts w:ascii="Cambria" w:hAnsi="Cambria"/>
      <w:b/>
      <w:kern w:val="28"/>
      <w:sz w:val="32"/>
      <w:szCs w:val="20"/>
    </w:rPr>
  </w:style>
  <w:style w:type="paragraph" w:styleId="36">
    <w:name w:val="toc 6"/>
    <w:basedOn w:val="1"/>
    <w:next w:val="1"/>
    <w:autoRedefine/>
    <w:qFormat/>
    <w:uiPriority w:val="0"/>
    <w:pPr>
      <w:spacing w:line="240" w:lineRule="exact"/>
      <w:ind w:left="71" w:leftChars="34" w:firstLine="1"/>
    </w:pPr>
  </w:style>
  <w:style w:type="paragraph" w:styleId="37">
    <w:name w:val="Body Text Indent 3"/>
    <w:basedOn w:val="1"/>
    <w:link w:val="155"/>
    <w:autoRedefine/>
    <w:qFormat/>
    <w:uiPriority w:val="0"/>
    <w:pPr>
      <w:ind w:firstLine="420" w:firstLineChars="200"/>
    </w:pPr>
    <w:rPr>
      <w:rFonts w:ascii="宋体" w:hAnsi="宋体"/>
      <w:szCs w:val="20"/>
    </w:rPr>
  </w:style>
  <w:style w:type="paragraph" w:styleId="38">
    <w:name w:val="toc 2"/>
    <w:basedOn w:val="1"/>
    <w:next w:val="1"/>
    <w:autoRedefine/>
    <w:qFormat/>
    <w:uiPriority w:val="0"/>
    <w:pPr>
      <w:ind w:left="420" w:leftChars="200"/>
    </w:pPr>
    <w:rPr>
      <w:szCs w:val="20"/>
    </w:rPr>
  </w:style>
  <w:style w:type="paragraph" w:styleId="39">
    <w:name w:val="toc 9"/>
    <w:basedOn w:val="1"/>
    <w:next w:val="1"/>
    <w:autoRedefine/>
    <w:qFormat/>
    <w:uiPriority w:val="0"/>
    <w:pPr>
      <w:ind w:left="3360" w:leftChars="1600"/>
    </w:pPr>
  </w:style>
  <w:style w:type="paragraph" w:styleId="40">
    <w:name w:val="Body Text 2"/>
    <w:basedOn w:val="1"/>
    <w:next w:val="18"/>
    <w:link w:val="142"/>
    <w:autoRedefine/>
    <w:unhideWhenUsed/>
    <w:qFormat/>
    <w:uiPriority w:val="0"/>
    <w:pPr>
      <w:spacing w:after="120" w:line="480" w:lineRule="auto"/>
    </w:pPr>
  </w:style>
  <w:style w:type="paragraph" w:styleId="4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2">
    <w:name w:val="Title"/>
    <w:basedOn w:val="1"/>
    <w:link w:val="156"/>
    <w:autoRedefine/>
    <w:qFormat/>
    <w:uiPriority w:val="0"/>
    <w:pPr>
      <w:spacing w:before="120" w:after="60"/>
      <w:jc w:val="center"/>
    </w:pPr>
    <w:rPr>
      <w:rFonts w:ascii="Arial" w:hAnsi="Arial"/>
      <w:b/>
      <w:sz w:val="44"/>
      <w:szCs w:val="20"/>
    </w:rPr>
  </w:style>
  <w:style w:type="paragraph" w:styleId="43">
    <w:name w:val="annotation subject"/>
    <w:basedOn w:val="16"/>
    <w:next w:val="16"/>
    <w:link w:val="157"/>
    <w:autoRedefine/>
    <w:qFormat/>
    <w:uiPriority w:val="0"/>
    <w:rPr>
      <w:rFonts w:ascii="宋体"/>
      <w:b/>
      <w:kern w:val="0"/>
      <w:sz w:val="28"/>
    </w:rPr>
  </w:style>
  <w:style w:type="paragraph" w:styleId="44">
    <w:name w:val="Body Text First Indent"/>
    <w:basedOn w:val="18"/>
    <w:next w:val="45"/>
    <w:link w:val="72"/>
    <w:autoRedefine/>
    <w:qFormat/>
    <w:uiPriority w:val="99"/>
    <w:pPr>
      <w:ind w:firstLine="420" w:firstLineChars="100"/>
    </w:pPr>
  </w:style>
  <w:style w:type="paragraph" w:styleId="45">
    <w:name w:val="Body Text First Indent 2"/>
    <w:basedOn w:val="19"/>
    <w:next w:val="13"/>
    <w:autoRedefine/>
    <w:unhideWhenUsed/>
    <w:qFormat/>
    <w:uiPriority w:val="99"/>
    <w:pPr>
      <w:ind w:firstLine="420" w:firstLineChars="200"/>
    </w:pPr>
  </w:style>
  <w:style w:type="table" w:styleId="47">
    <w:name w:val="Table Grid"/>
    <w:basedOn w:val="4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autoRedefine/>
    <w:qFormat/>
    <w:uiPriority w:val="0"/>
    <w:rPr>
      <w:b/>
      <w:bCs/>
    </w:rPr>
  </w:style>
  <w:style w:type="character" w:styleId="50">
    <w:name w:val="page number"/>
    <w:basedOn w:val="48"/>
    <w:autoRedefine/>
    <w:qFormat/>
    <w:uiPriority w:val="0"/>
  </w:style>
  <w:style w:type="character" w:styleId="51">
    <w:name w:val="FollowedHyperlink"/>
    <w:autoRedefine/>
    <w:qFormat/>
    <w:uiPriority w:val="99"/>
    <w:rPr>
      <w:color w:val="000000"/>
      <w:u w:val="none"/>
    </w:rPr>
  </w:style>
  <w:style w:type="character" w:styleId="52">
    <w:name w:val="Emphasis"/>
    <w:basedOn w:val="48"/>
    <w:autoRedefine/>
    <w:qFormat/>
    <w:uiPriority w:val="0"/>
    <w:rPr>
      <w:rFonts w:cs="Times New Roman"/>
      <w:i/>
    </w:rPr>
  </w:style>
  <w:style w:type="character" w:styleId="53">
    <w:name w:val="HTML Definition"/>
    <w:basedOn w:val="48"/>
    <w:autoRedefine/>
    <w:qFormat/>
    <w:uiPriority w:val="0"/>
  </w:style>
  <w:style w:type="character" w:styleId="54">
    <w:name w:val="HTML Typewriter"/>
    <w:basedOn w:val="48"/>
    <w:autoRedefine/>
    <w:qFormat/>
    <w:uiPriority w:val="0"/>
    <w:rPr>
      <w:rFonts w:hint="default" w:ascii="monospace" w:hAnsi="monospace" w:eastAsia="monospace" w:cs="monospace"/>
      <w:sz w:val="20"/>
    </w:rPr>
  </w:style>
  <w:style w:type="character" w:styleId="55">
    <w:name w:val="HTML Acronym"/>
    <w:basedOn w:val="48"/>
    <w:autoRedefine/>
    <w:qFormat/>
    <w:uiPriority w:val="0"/>
  </w:style>
  <w:style w:type="character" w:styleId="56">
    <w:name w:val="HTML Variable"/>
    <w:basedOn w:val="48"/>
    <w:autoRedefine/>
    <w:qFormat/>
    <w:uiPriority w:val="0"/>
  </w:style>
  <w:style w:type="character" w:styleId="57">
    <w:name w:val="Hyperlink"/>
    <w:autoRedefine/>
    <w:qFormat/>
    <w:uiPriority w:val="99"/>
    <w:rPr>
      <w:color w:val="000000"/>
      <w:u w:val="none"/>
    </w:rPr>
  </w:style>
  <w:style w:type="character" w:styleId="58">
    <w:name w:val="HTML Code"/>
    <w:basedOn w:val="48"/>
    <w:autoRedefine/>
    <w:qFormat/>
    <w:uiPriority w:val="0"/>
    <w:rPr>
      <w:rFonts w:hint="default" w:ascii="monospace" w:hAnsi="monospace" w:eastAsia="monospace" w:cs="monospace"/>
      <w:sz w:val="20"/>
    </w:rPr>
  </w:style>
  <w:style w:type="character" w:styleId="59">
    <w:name w:val="annotation reference"/>
    <w:basedOn w:val="48"/>
    <w:autoRedefine/>
    <w:qFormat/>
    <w:uiPriority w:val="0"/>
    <w:rPr>
      <w:rFonts w:cs="Times New Roman"/>
      <w:sz w:val="21"/>
    </w:rPr>
  </w:style>
  <w:style w:type="character" w:styleId="60">
    <w:name w:val="HTML Cite"/>
    <w:basedOn w:val="48"/>
    <w:autoRedefine/>
    <w:qFormat/>
    <w:uiPriority w:val="0"/>
  </w:style>
  <w:style w:type="character" w:styleId="61">
    <w:name w:val="HTML Keyboard"/>
    <w:basedOn w:val="48"/>
    <w:autoRedefine/>
    <w:qFormat/>
    <w:uiPriority w:val="0"/>
    <w:rPr>
      <w:rFonts w:ascii="monospace" w:hAnsi="monospace" w:eastAsia="monospace" w:cs="monospace"/>
      <w:sz w:val="20"/>
    </w:rPr>
  </w:style>
  <w:style w:type="character" w:styleId="62">
    <w:name w:val="HTML Sample"/>
    <w:basedOn w:val="48"/>
    <w:autoRedefine/>
    <w:qFormat/>
    <w:uiPriority w:val="0"/>
    <w:rPr>
      <w:rFonts w:hint="default" w:ascii="monospace" w:hAnsi="monospace" w:eastAsia="monospace" w:cs="monospace"/>
    </w:rPr>
  </w:style>
  <w:style w:type="paragraph" w:customStyle="1" w:styleId="63">
    <w:name w:val="正文 缩进2字符"/>
    <w:basedOn w:val="1"/>
    <w:autoRedefine/>
    <w:qFormat/>
    <w:uiPriority w:val="0"/>
    <w:pPr>
      <w:spacing w:line="288" w:lineRule="auto"/>
    </w:pPr>
    <w:rPr>
      <w:szCs w:val="28"/>
    </w:rPr>
  </w:style>
  <w:style w:type="paragraph" w:customStyle="1" w:styleId="64">
    <w:name w:val="Default"/>
    <w:next w:val="1"/>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5">
    <w:name w:val="表格文字"/>
    <w:basedOn w:val="1"/>
    <w:next w:val="18"/>
    <w:autoRedefine/>
    <w:qFormat/>
    <w:uiPriority w:val="0"/>
    <w:pPr>
      <w:adjustRightInd w:val="0"/>
      <w:spacing w:line="420" w:lineRule="atLeast"/>
      <w:jc w:val="left"/>
      <w:textAlignment w:val="baseline"/>
    </w:pPr>
    <w:rPr>
      <w:kern w:val="0"/>
    </w:rPr>
  </w:style>
  <w:style w:type="paragraph" w:customStyle="1" w:styleId="66">
    <w:name w:val="目录 51"/>
    <w:next w:val="1"/>
    <w:autoRedefine/>
    <w:qFormat/>
    <w:uiPriority w:val="0"/>
    <w:pPr>
      <w:wordWrap w:val="0"/>
      <w:ind w:left="1700"/>
      <w:jc w:val="both"/>
    </w:pPr>
    <w:rPr>
      <w:rFonts w:ascii="Times New Roman" w:hAnsi="Times New Roman" w:eastAsia="Calibri" w:cs="Times New Roman"/>
      <w:sz w:val="21"/>
      <w:lang w:val="en-US" w:eastAsia="zh-CN" w:bidi="ar-SA"/>
    </w:rPr>
  </w:style>
  <w:style w:type="paragraph" w:customStyle="1" w:styleId="67">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customStyle="1" w:styleId="68">
    <w:name w:val="正文1"/>
    <w:basedOn w:val="1"/>
    <w:autoRedefine/>
    <w:qFormat/>
    <w:uiPriority w:val="0"/>
    <w:pPr>
      <w:adjustRightInd w:val="0"/>
      <w:spacing w:line="318" w:lineRule="atLeast"/>
      <w:ind w:left="369" w:firstLine="369"/>
      <w:textAlignment w:val="baseline"/>
    </w:pPr>
    <w:rPr>
      <w:rFonts w:ascii="宋体"/>
    </w:rPr>
  </w:style>
  <w:style w:type="paragraph" w:customStyle="1" w:styleId="69">
    <w:name w:val="style4"/>
    <w:basedOn w:val="1"/>
    <w:next w:val="70"/>
    <w:autoRedefine/>
    <w:qFormat/>
    <w:uiPriority w:val="0"/>
    <w:pPr>
      <w:widowControl/>
      <w:spacing w:before="280" w:after="280"/>
    </w:pPr>
    <w:rPr>
      <w:rFonts w:ascii="宋体"/>
      <w:sz w:val="18"/>
    </w:rPr>
  </w:style>
  <w:style w:type="paragraph" w:customStyle="1" w:styleId="70">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71">
    <w:name w:val="页脚 Char"/>
    <w:basedOn w:val="48"/>
    <w:link w:val="31"/>
    <w:autoRedefine/>
    <w:qFormat/>
    <w:uiPriority w:val="0"/>
    <w:rPr>
      <w:kern w:val="2"/>
      <w:sz w:val="18"/>
      <w:szCs w:val="18"/>
    </w:rPr>
  </w:style>
  <w:style w:type="character" w:customStyle="1" w:styleId="72">
    <w:name w:val="正文首行缩进 Char"/>
    <w:basedOn w:val="73"/>
    <w:link w:val="44"/>
    <w:autoRedefine/>
    <w:qFormat/>
    <w:uiPriority w:val="99"/>
    <w:rPr>
      <w:kern w:val="2"/>
      <w:sz w:val="21"/>
      <w:szCs w:val="24"/>
    </w:rPr>
  </w:style>
  <w:style w:type="character" w:customStyle="1" w:styleId="73">
    <w:name w:val="正文文本 Char"/>
    <w:basedOn w:val="48"/>
    <w:link w:val="18"/>
    <w:autoRedefine/>
    <w:qFormat/>
    <w:uiPriority w:val="99"/>
    <w:rPr>
      <w:kern w:val="2"/>
      <w:sz w:val="21"/>
      <w:szCs w:val="24"/>
    </w:rPr>
  </w:style>
  <w:style w:type="character" w:customStyle="1" w:styleId="74">
    <w:name w:val="NormalCharacter"/>
    <w:autoRedefine/>
    <w:qFormat/>
    <w:uiPriority w:val="0"/>
    <w:rPr>
      <w:rFonts w:ascii="仿宋_GB2312" w:eastAsia="仿宋_GB2312"/>
      <w:kern w:val="2"/>
      <w:sz w:val="32"/>
      <w:szCs w:val="32"/>
      <w:lang w:val="en-US" w:eastAsia="zh-CN" w:bidi="ar-SA"/>
    </w:rPr>
  </w:style>
  <w:style w:type="character" w:customStyle="1" w:styleId="75">
    <w:name w:val="批注框文本 Char"/>
    <w:link w:val="30"/>
    <w:autoRedefine/>
    <w:qFormat/>
    <w:uiPriority w:val="0"/>
    <w:rPr>
      <w:kern w:val="2"/>
      <w:sz w:val="18"/>
      <w:szCs w:val="18"/>
    </w:rPr>
  </w:style>
  <w:style w:type="character" w:customStyle="1" w:styleId="76">
    <w:name w:val="selected"/>
    <w:autoRedefine/>
    <w:qFormat/>
    <w:uiPriority w:val="0"/>
    <w:rPr>
      <w:shd w:val="clear" w:color="auto" w:fill="B00006"/>
    </w:rPr>
  </w:style>
  <w:style w:type="character" w:customStyle="1" w:styleId="77">
    <w:name w:val="gpa"/>
    <w:autoRedefine/>
    <w:qFormat/>
    <w:uiPriority w:val="0"/>
    <w:rPr>
      <w:rFonts w:ascii="Arial" w:hAnsi="Arial" w:cs="Arial"/>
      <w:sz w:val="15"/>
      <w:szCs w:val="15"/>
    </w:rPr>
  </w:style>
  <w:style w:type="character" w:customStyle="1" w:styleId="78">
    <w:name w:val="页眉 Char"/>
    <w:basedOn w:val="48"/>
    <w:link w:val="32"/>
    <w:autoRedefine/>
    <w:qFormat/>
    <w:uiPriority w:val="0"/>
    <w:rPr>
      <w:kern w:val="2"/>
      <w:sz w:val="18"/>
      <w:szCs w:val="18"/>
    </w:rPr>
  </w:style>
  <w:style w:type="character" w:customStyle="1" w:styleId="79">
    <w:name w:val="displayarti"/>
    <w:autoRedefine/>
    <w:qFormat/>
    <w:uiPriority w:val="0"/>
    <w:rPr>
      <w:color w:val="FFFFFF"/>
      <w:shd w:val="clear" w:color="auto" w:fill="A00000"/>
    </w:rPr>
  </w:style>
  <w:style w:type="paragraph" w:customStyle="1" w:styleId="80">
    <w:name w:val="st_ftcss"/>
    <w:basedOn w:val="1"/>
    <w:autoRedefine/>
    <w:qFormat/>
    <w:uiPriority w:val="0"/>
    <w:pPr>
      <w:widowControl/>
      <w:jc w:val="left"/>
    </w:pPr>
    <w:rPr>
      <w:rFonts w:ascii="宋体" w:hAnsi="宋体" w:cs="宋体"/>
      <w:kern w:val="0"/>
      <w:sz w:val="24"/>
    </w:rPr>
  </w:style>
  <w:style w:type="paragraph" w:customStyle="1" w:styleId="81">
    <w:name w:val="title-3"/>
    <w:basedOn w:val="1"/>
    <w:autoRedefine/>
    <w:qFormat/>
    <w:uiPriority w:val="0"/>
    <w:pPr>
      <w:widowControl/>
      <w:spacing w:before="100" w:beforeAutospacing="1" w:after="100" w:afterAutospacing="1"/>
      <w:jc w:val="left"/>
    </w:pPr>
    <w:rPr>
      <w:rFonts w:ascii="宋体" w:hAnsi="宋体" w:cs="宋体"/>
      <w:b/>
      <w:bCs/>
      <w:color w:val="474747"/>
      <w:kern w:val="0"/>
      <w:sz w:val="18"/>
      <w:szCs w:val="18"/>
    </w:rPr>
  </w:style>
  <w:style w:type="paragraph" w:customStyle="1" w:styleId="82">
    <w:name w:val="paracharcharcharcharcharcharcharcharchar1charcharcharcha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83">
    <w:name w:val="sec1"/>
    <w:basedOn w:val="1"/>
    <w:autoRedefine/>
    <w:qFormat/>
    <w:uiPriority w:val="0"/>
    <w:pPr>
      <w:widowControl/>
      <w:spacing w:before="100" w:beforeAutospacing="1" w:after="100" w:afterAutospacing="1"/>
      <w:jc w:val="left"/>
    </w:pPr>
    <w:rPr>
      <w:rFonts w:ascii="宋体" w:hAnsi="宋体" w:cs="宋体"/>
      <w:b/>
      <w:bCs/>
      <w:color w:val="247ED1"/>
      <w:kern w:val="0"/>
      <w:szCs w:val="21"/>
    </w:rPr>
  </w:style>
  <w:style w:type="paragraph" w:customStyle="1" w:styleId="84">
    <w:name w:val="shadow"/>
    <w:basedOn w:val="1"/>
    <w:autoRedefine/>
    <w:qFormat/>
    <w:uiPriority w:val="0"/>
    <w:pPr>
      <w:widowControl/>
      <w:jc w:val="left"/>
    </w:pPr>
    <w:rPr>
      <w:rFonts w:ascii="宋体" w:hAnsi="宋体" w:cs="宋体"/>
      <w:color w:val="FFFFFF"/>
      <w:kern w:val="0"/>
      <w:sz w:val="24"/>
    </w:rPr>
  </w:style>
  <w:style w:type="paragraph" w:customStyle="1" w:styleId="85">
    <w:name w:val="st_tdcss"/>
    <w:basedOn w:val="1"/>
    <w:autoRedefine/>
    <w:qFormat/>
    <w:uiPriority w:val="0"/>
    <w:pPr>
      <w:widowControl/>
      <w:jc w:val="left"/>
    </w:pPr>
    <w:rPr>
      <w:rFonts w:ascii="宋体" w:hAnsi="宋体" w:cs="宋体"/>
      <w:kern w:val="0"/>
      <w:sz w:val="24"/>
    </w:rPr>
  </w:style>
  <w:style w:type="paragraph" w:customStyle="1" w:styleId="86">
    <w:name w:val="td-right"/>
    <w:basedOn w:val="1"/>
    <w:autoRedefine/>
    <w:qFormat/>
    <w:uiPriority w:val="0"/>
    <w:pPr>
      <w:widowControl/>
      <w:pBdr>
        <w:right w:val="dotted" w:color="999999" w:sz="6" w:space="0"/>
      </w:pBdr>
      <w:spacing w:before="100" w:beforeAutospacing="1" w:after="100" w:afterAutospacing="1"/>
      <w:jc w:val="left"/>
    </w:pPr>
    <w:rPr>
      <w:rFonts w:ascii="宋体" w:hAnsi="宋体" w:cs="宋体"/>
      <w:kern w:val="0"/>
      <w:sz w:val="24"/>
    </w:rPr>
  </w:style>
  <w:style w:type="paragraph" w:customStyle="1" w:styleId="87">
    <w:name w:val="td-top-2"/>
    <w:basedOn w:val="1"/>
    <w:autoRedefine/>
    <w:qFormat/>
    <w:uiPriority w:val="0"/>
    <w:pPr>
      <w:widowControl/>
      <w:pBdr>
        <w:top w:val="dotted" w:color="0000FF" w:sz="6" w:space="0"/>
      </w:pBdr>
      <w:spacing w:before="100" w:beforeAutospacing="1" w:after="100" w:afterAutospacing="1"/>
      <w:jc w:val="left"/>
    </w:pPr>
    <w:rPr>
      <w:rFonts w:ascii="宋体" w:hAnsi="宋体" w:cs="宋体"/>
      <w:kern w:val="0"/>
      <w:sz w:val="24"/>
    </w:rPr>
  </w:style>
  <w:style w:type="paragraph" w:customStyle="1" w:styleId="88">
    <w:name w:val="button"/>
    <w:basedOn w:val="1"/>
    <w:autoRedefine/>
    <w:qFormat/>
    <w:uiPriority w:val="0"/>
    <w:pPr>
      <w:widowControl/>
      <w:pBdr>
        <w:top w:val="single" w:color="FFFFFF" w:sz="36" w:space="0"/>
        <w:left w:val="single" w:color="FFFFFF" w:sz="2" w:space="0"/>
        <w:bottom w:val="single" w:color="FFFFFF" w:sz="36" w:space="0"/>
        <w:right w:val="single" w:color="FFFFFF" w:sz="48" w:space="0"/>
      </w:pBdr>
      <w:shd w:val="clear" w:color="auto" w:fill="3269C4"/>
      <w:spacing w:before="90" w:after="90"/>
      <w:ind w:left="90" w:right="90"/>
      <w:jc w:val="left"/>
    </w:pPr>
    <w:rPr>
      <w:rFonts w:ascii="宋体" w:hAnsi="宋体" w:cs="宋体"/>
      <w:color w:val="FFFFFF"/>
      <w:kern w:val="0"/>
      <w:sz w:val="18"/>
      <w:szCs w:val="18"/>
    </w:rPr>
  </w:style>
  <w:style w:type="paragraph" w:customStyle="1" w:styleId="89">
    <w:name w:val="正文文本首行缩进1"/>
    <w:basedOn w:val="18"/>
    <w:autoRedefine/>
    <w:qFormat/>
    <w:uiPriority w:val="0"/>
    <w:pPr>
      <w:ind w:firstLine="420" w:firstLineChars="100"/>
    </w:pPr>
    <w:rPr>
      <w:szCs w:val="20"/>
    </w:rPr>
  </w:style>
  <w:style w:type="paragraph" w:customStyle="1" w:styleId="90">
    <w:name w:val="text1"/>
    <w:basedOn w:val="1"/>
    <w:autoRedefine/>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91">
    <w:name w:val="menu"/>
    <w:basedOn w:val="1"/>
    <w:autoRedefine/>
    <w:qFormat/>
    <w:uiPriority w:val="0"/>
    <w:pPr>
      <w:widowControl/>
      <w:spacing w:before="100" w:beforeAutospacing="1" w:after="100" w:afterAutospacing="1"/>
      <w:jc w:val="left"/>
    </w:pPr>
    <w:rPr>
      <w:rFonts w:ascii="宋体" w:hAnsi="宋体" w:cs="宋体"/>
      <w:b/>
      <w:bCs/>
      <w:color w:val="FFFFFF"/>
      <w:kern w:val="0"/>
      <w:szCs w:val="21"/>
    </w:rPr>
  </w:style>
  <w:style w:type="paragraph" w:customStyle="1" w:styleId="92">
    <w:name w:val="shadow1"/>
    <w:basedOn w:val="1"/>
    <w:autoRedefine/>
    <w:qFormat/>
    <w:uiPriority w:val="0"/>
    <w:pPr>
      <w:widowControl/>
      <w:jc w:val="left"/>
    </w:pPr>
    <w:rPr>
      <w:rFonts w:ascii="宋体" w:hAnsi="宋体" w:cs="宋体"/>
      <w:b/>
      <w:bCs/>
      <w:color w:val="0048AA"/>
      <w:kern w:val="0"/>
      <w:sz w:val="24"/>
    </w:rPr>
  </w:style>
  <w:style w:type="paragraph" w:customStyle="1" w:styleId="93">
    <w:name w:val="text2"/>
    <w:basedOn w:val="1"/>
    <w:autoRedefine/>
    <w:qFormat/>
    <w:uiPriority w:val="0"/>
    <w:pPr>
      <w:widowControl/>
      <w:spacing w:before="100" w:beforeAutospacing="1" w:after="100" w:afterAutospacing="1"/>
      <w:jc w:val="left"/>
    </w:pPr>
    <w:rPr>
      <w:rFonts w:ascii="宋体" w:hAnsi="宋体" w:cs="宋体"/>
      <w:color w:val="FFFFFF"/>
      <w:kern w:val="0"/>
      <w:sz w:val="18"/>
      <w:szCs w:val="18"/>
    </w:rPr>
  </w:style>
  <w:style w:type="paragraph" w:customStyle="1" w:styleId="94">
    <w:name w:val="td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5">
    <w:name w:val="text4"/>
    <w:basedOn w:val="1"/>
    <w:autoRedefine/>
    <w:qFormat/>
    <w:uiPriority w:val="0"/>
    <w:pPr>
      <w:widowControl/>
      <w:spacing w:before="100" w:beforeAutospacing="1" w:after="100" w:afterAutospacing="1"/>
      <w:jc w:val="left"/>
    </w:pPr>
    <w:rPr>
      <w:rFonts w:ascii="宋体" w:hAnsi="宋体" w:cs="宋体"/>
      <w:color w:val="FF0000"/>
      <w:kern w:val="0"/>
      <w:sz w:val="18"/>
      <w:szCs w:val="18"/>
    </w:rPr>
  </w:style>
  <w:style w:type="paragraph" w:customStyle="1" w:styleId="96">
    <w:name w:val="text3"/>
    <w:basedOn w:val="1"/>
    <w:autoRedefine/>
    <w:qFormat/>
    <w:uiPriority w:val="0"/>
    <w:pPr>
      <w:widowControl/>
      <w:spacing w:before="100" w:beforeAutospacing="1" w:after="100" w:afterAutospacing="1" w:line="408" w:lineRule="auto"/>
      <w:jc w:val="left"/>
    </w:pPr>
    <w:rPr>
      <w:rFonts w:ascii="宋体" w:hAnsi="宋体" w:cs="宋体"/>
      <w:color w:val="000000"/>
      <w:kern w:val="0"/>
      <w:sz w:val="18"/>
      <w:szCs w:val="18"/>
    </w:rPr>
  </w:style>
  <w:style w:type="paragraph" w:customStyle="1" w:styleId="97">
    <w:name w:val="td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98">
    <w:name w:val="title-1"/>
    <w:basedOn w:val="1"/>
    <w:autoRedefine/>
    <w:qFormat/>
    <w:uiPriority w:val="0"/>
    <w:pPr>
      <w:widowControl/>
      <w:spacing w:before="100" w:beforeAutospacing="1" w:after="100" w:afterAutospacing="1"/>
      <w:jc w:val="left"/>
    </w:pPr>
    <w:rPr>
      <w:rFonts w:ascii="宋体" w:hAnsi="宋体" w:cs="宋体"/>
      <w:b/>
      <w:bCs/>
      <w:color w:val="0A3886"/>
      <w:kern w:val="0"/>
      <w:sz w:val="18"/>
      <w:szCs w:val="18"/>
    </w:rPr>
  </w:style>
  <w:style w:type="paragraph" w:customStyle="1" w:styleId="99">
    <w:name w:val="td-left-2"/>
    <w:basedOn w:val="1"/>
    <w:autoRedefine/>
    <w:qFormat/>
    <w:uiPriority w:val="0"/>
    <w:pPr>
      <w:widowControl/>
      <w:pBdr>
        <w:left w:val="dotted" w:color="FF0000" w:sz="6" w:space="0"/>
      </w:pBdr>
      <w:spacing w:before="100" w:beforeAutospacing="1" w:after="100" w:afterAutospacing="1"/>
      <w:jc w:val="left"/>
    </w:pPr>
    <w:rPr>
      <w:rFonts w:ascii="宋体" w:hAnsi="宋体" w:cs="宋体"/>
      <w:kern w:val="0"/>
      <w:sz w:val="24"/>
    </w:rPr>
  </w:style>
  <w:style w:type="paragraph" w:customStyle="1" w:styleId="100">
    <w:name w:val="style3"/>
    <w:basedOn w:val="1"/>
    <w:autoRedefine/>
    <w:qFormat/>
    <w:uiPriority w:val="0"/>
    <w:pPr>
      <w:widowControl/>
      <w:spacing w:before="100" w:beforeAutospacing="1" w:after="100" w:afterAutospacing="1"/>
      <w:jc w:val="left"/>
    </w:pPr>
    <w:rPr>
      <w:rFonts w:ascii="宋体" w:hAnsi="宋体" w:cs="宋体"/>
      <w:kern w:val="0"/>
      <w:szCs w:val="21"/>
    </w:rPr>
  </w:style>
  <w:style w:type="paragraph" w:customStyle="1" w:styleId="101">
    <w:name w:val="列出段落1"/>
    <w:basedOn w:val="1"/>
    <w:autoRedefine/>
    <w:qFormat/>
    <w:uiPriority w:val="34"/>
    <w:pPr>
      <w:spacing w:line="360" w:lineRule="auto"/>
      <w:ind w:firstLine="420" w:firstLineChars="200"/>
    </w:pPr>
    <w:rPr>
      <w:rFonts w:ascii="Calibri" w:hAnsi="Calibri"/>
      <w:sz w:val="24"/>
      <w:szCs w:val="22"/>
      <w:lang w:val="zh-CN"/>
    </w:rPr>
  </w:style>
  <w:style w:type="paragraph" w:customStyle="1" w:styleId="102">
    <w:name w:val="td-top"/>
    <w:basedOn w:val="1"/>
    <w:autoRedefine/>
    <w:qFormat/>
    <w:uiPriority w:val="0"/>
    <w:pPr>
      <w:widowControl/>
      <w:pBdr>
        <w:top w:val="dotted" w:color="0000FF" w:sz="6" w:space="0"/>
      </w:pBdr>
      <w:spacing w:before="100" w:beforeAutospacing="1" w:after="100" w:afterAutospacing="1"/>
      <w:jc w:val="left"/>
    </w:pPr>
    <w:rPr>
      <w:rFonts w:ascii="宋体" w:hAnsi="宋体" w:cs="宋体"/>
      <w:kern w:val="0"/>
      <w:sz w:val="18"/>
      <w:szCs w:val="18"/>
    </w:rPr>
  </w:style>
  <w:style w:type="paragraph" w:customStyle="1" w:styleId="103">
    <w:name w:val="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4">
    <w:name w:val="td-botton"/>
    <w:basedOn w:val="1"/>
    <w:autoRedefine/>
    <w:qFormat/>
    <w:uiPriority w:val="0"/>
    <w:pPr>
      <w:widowControl/>
      <w:pBdr>
        <w:bottom w:val="dotted" w:color="999999" w:sz="6" w:space="0"/>
      </w:pBdr>
      <w:spacing w:before="100" w:beforeAutospacing="1" w:after="100" w:afterAutospacing="1"/>
      <w:jc w:val="left"/>
    </w:pPr>
    <w:rPr>
      <w:rFonts w:ascii="宋体" w:hAnsi="宋体" w:cs="宋体"/>
      <w:kern w:val="0"/>
      <w:sz w:val="24"/>
    </w:rPr>
  </w:style>
  <w:style w:type="paragraph" w:customStyle="1" w:styleId="105">
    <w:name w:val="列出段落11"/>
    <w:basedOn w:val="1"/>
    <w:autoRedefine/>
    <w:qFormat/>
    <w:uiPriority w:val="34"/>
    <w:pPr>
      <w:ind w:firstLine="420" w:firstLineChars="200"/>
    </w:pPr>
    <w:rPr>
      <w:rFonts w:ascii="Calibri" w:hAnsi="Calibri"/>
    </w:rPr>
  </w:style>
  <w:style w:type="paragraph" w:customStyle="1" w:styleId="106">
    <w:name w:val="p"/>
    <w:basedOn w:val="1"/>
    <w:autoRedefine/>
    <w:qFormat/>
    <w:uiPriority w:val="0"/>
    <w:pPr>
      <w:widowControl/>
      <w:spacing w:line="432" w:lineRule="auto"/>
      <w:jc w:val="left"/>
    </w:pPr>
    <w:rPr>
      <w:rFonts w:ascii="宋体" w:hAnsi="宋体" w:cs="宋体"/>
      <w:kern w:val="0"/>
      <w:sz w:val="24"/>
    </w:rPr>
  </w:style>
  <w:style w:type="paragraph" w:customStyle="1" w:styleId="107">
    <w:name w:val="plaintex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8">
    <w:name w:val="title-2"/>
    <w:basedOn w:val="1"/>
    <w:autoRedefine/>
    <w:qFormat/>
    <w:uiPriority w:val="0"/>
    <w:pPr>
      <w:widowControl/>
      <w:spacing w:before="100" w:beforeAutospacing="1" w:after="100" w:afterAutospacing="1" w:line="288" w:lineRule="auto"/>
      <w:jc w:val="left"/>
    </w:pPr>
    <w:rPr>
      <w:rFonts w:ascii="宋体" w:hAnsi="宋体" w:cs="宋体"/>
      <w:b/>
      <w:bCs/>
      <w:color w:val="FFFFFF"/>
      <w:kern w:val="0"/>
      <w:sz w:val="18"/>
      <w:szCs w:val="18"/>
    </w:rPr>
  </w:style>
  <w:style w:type="paragraph" w:customStyle="1" w:styleId="109">
    <w:name w:val="ki"/>
    <w:basedOn w:val="1"/>
    <w:autoRedefine/>
    <w:qFormat/>
    <w:uiPriority w:val="0"/>
    <w:pPr>
      <w:widowControl/>
      <w:spacing w:before="100" w:beforeAutospacing="1" w:after="100" w:afterAutospacing="1"/>
      <w:jc w:val="left"/>
    </w:pPr>
    <w:rPr>
      <w:rFonts w:ascii="宋体" w:hAnsi="宋体" w:cs="宋体"/>
      <w:b/>
      <w:bCs/>
      <w:color w:val="FF6600"/>
      <w:kern w:val="0"/>
      <w:sz w:val="24"/>
    </w:rPr>
  </w:style>
  <w:style w:type="paragraph" w:customStyle="1" w:styleId="110">
    <w:name w:val="menu2"/>
    <w:basedOn w:val="1"/>
    <w:autoRedefine/>
    <w:qFormat/>
    <w:uiPriority w:val="0"/>
    <w:pPr>
      <w:widowControl/>
      <w:spacing w:before="100" w:beforeAutospacing="1" w:after="100" w:afterAutospacing="1"/>
      <w:jc w:val="left"/>
    </w:pPr>
    <w:rPr>
      <w:rFonts w:ascii="宋体" w:hAnsi="宋体" w:cs="宋体"/>
      <w:b/>
      <w:bCs/>
      <w:color w:val="247ED1"/>
      <w:kern w:val="0"/>
      <w:szCs w:val="21"/>
    </w:rPr>
  </w:style>
  <w:style w:type="paragraph" w:customStyle="1" w:styleId="111">
    <w:name w:val="td-b"/>
    <w:basedOn w:val="1"/>
    <w:autoRedefine/>
    <w:qFormat/>
    <w:uiPriority w:val="0"/>
    <w:pPr>
      <w:widowControl/>
      <w:pBdr>
        <w:left w:val="single" w:color="9DC9EC" w:sz="6" w:space="0"/>
        <w:bottom w:val="single" w:color="9DC9EC" w:sz="6" w:space="0"/>
        <w:right w:val="single" w:color="9DC9EC" w:sz="6" w:space="0"/>
      </w:pBdr>
      <w:spacing w:before="100" w:beforeAutospacing="1" w:after="100" w:afterAutospacing="1"/>
      <w:jc w:val="left"/>
    </w:pPr>
    <w:rPr>
      <w:rFonts w:ascii="宋体" w:hAnsi="宋体" w:cs="宋体"/>
      <w:kern w:val="0"/>
      <w:sz w:val="24"/>
    </w:rPr>
  </w:style>
  <w:style w:type="paragraph" w:customStyle="1" w:styleId="112">
    <w:name w:val="td-botton-2"/>
    <w:basedOn w:val="1"/>
    <w:autoRedefine/>
    <w:qFormat/>
    <w:uiPriority w:val="0"/>
    <w:pPr>
      <w:widowControl/>
      <w:pBdr>
        <w:bottom w:val="dotted" w:color="FF0000" w:sz="6" w:space="0"/>
      </w:pBdr>
      <w:spacing w:before="100" w:beforeAutospacing="1" w:after="100" w:afterAutospacing="1"/>
      <w:jc w:val="left"/>
    </w:pPr>
    <w:rPr>
      <w:rFonts w:ascii="宋体" w:hAnsi="宋体" w:cs="宋体"/>
      <w:kern w:val="0"/>
      <w:sz w:val="24"/>
    </w:rPr>
  </w:style>
  <w:style w:type="paragraph" w:customStyle="1" w:styleId="113">
    <w:name w:val="input-pass"/>
    <w:basedOn w:val="1"/>
    <w:autoRedefine/>
    <w:qFormat/>
    <w:uiPriority w:val="0"/>
    <w:pPr>
      <w:widowControl/>
      <w:pBdr>
        <w:top w:val="single" w:color="auto" w:sz="6" w:space="0"/>
        <w:left w:val="single" w:color="auto" w:sz="6" w:space="0"/>
        <w:bottom w:val="single" w:color="auto" w:sz="6" w:space="0"/>
        <w:right w:val="single" w:color="auto" w:sz="6" w:space="0"/>
      </w:pBdr>
      <w:spacing w:before="100" w:beforeAutospacing="1" w:after="100" w:afterAutospacing="1"/>
      <w:jc w:val="left"/>
    </w:pPr>
    <w:rPr>
      <w:rFonts w:ascii="宋体" w:hAnsi="宋体" w:cs="宋体"/>
      <w:kern w:val="0"/>
      <w:sz w:val="18"/>
      <w:szCs w:val="18"/>
    </w:rPr>
  </w:style>
  <w:style w:type="paragraph" w:customStyle="1" w:styleId="114">
    <w:name w:val="a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5">
    <w:name w:val="wwz"/>
    <w:basedOn w:val="1"/>
    <w:autoRedefine/>
    <w:qFormat/>
    <w:uiPriority w:val="0"/>
    <w:pPr>
      <w:widowControl/>
      <w:spacing w:before="100" w:beforeAutospacing="1" w:after="100" w:afterAutospacing="1"/>
      <w:jc w:val="left"/>
    </w:pPr>
    <w:rPr>
      <w:rFonts w:ascii="宋体" w:hAnsi="宋体" w:cs="宋体"/>
      <w:b/>
      <w:bCs/>
      <w:color w:val="FFFFFF"/>
      <w:kern w:val="0"/>
      <w:szCs w:val="21"/>
    </w:rPr>
  </w:style>
  <w:style w:type="paragraph" w:customStyle="1" w:styleId="116">
    <w:name w:val="st_tbcss"/>
    <w:basedOn w:val="1"/>
    <w:autoRedefine/>
    <w:qFormat/>
    <w:uiPriority w:val="0"/>
    <w:pPr>
      <w:widowControl/>
      <w:jc w:val="left"/>
    </w:pPr>
    <w:rPr>
      <w:rFonts w:ascii="宋体" w:hAnsi="宋体" w:cs="宋体"/>
      <w:kern w:val="0"/>
      <w:sz w:val="24"/>
    </w:rPr>
  </w:style>
  <w:style w:type="paragraph" w:customStyle="1" w:styleId="117">
    <w:name w:val="title-4"/>
    <w:basedOn w:val="1"/>
    <w:autoRedefine/>
    <w:qFormat/>
    <w:uiPriority w:val="0"/>
    <w:pPr>
      <w:widowControl/>
      <w:spacing w:before="100" w:beforeAutospacing="1" w:after="100" w:afterAutospacing="1"/>
      <w:jc w:val="left"/>
    </w:pPr>
    <w:rPr>
      <w:rFonts w:ascii="宋体" w:hAnsi="宋体" w:cs="宋体"/>
      <w:color w:val="095498"/>
      <w:kern w:val="0"/>
      <w:sz w:val="18"/>
      <w:szCs w:val="18"/>
    </w:rPr>
  </w:style>
  <w:style w:type="paragraph" w:customStyle="1" w:styleId="118">
    <w:name w:val="正文2"/>
    <w:basedOn w:val="1"/>
    <w:autoRedefine/>
    <w:qFormat/>
    <w:uiPriority w:val="0"/>
    <w:pPr>
      <w:adjustRightInd w:val="0"/>
      <w:spacing w:line="318" w:lineRule="atLeast"/>
      <w:ind w:left="369" w:firstLine="369"/>
      <w:textAlignment w:val="baseline"/>
    </w:pPr>
    <w:rPr>
      <w:rFonts w:ascii="宋体"/>
      <w:szCs w:val="20"/>
    </w:rPr>
  </w:style>
  <w:style w:type="paragraph" w:customStyle="1" w:styleId="119">
    <w:name w:val="td2"/>
    <w:basedOn w:val="1"/>
    <w:autoRedefine/>
    <w:qFormat/>
    <w:uiPriority w:val="0"/>
    <w:pPr>
      <w:widowControl/>
      <w:pBdr>
        <w:top w:val="single" w:color="FF9900" w:sz="6" w:space="0"/>
      </w:pBdr>
      <w:spacing w:before="100" w:beforeAutospacing="1" w:after="100" w:afterAutospacing="1"/>
      <w:jc w:val="left"/>
    </w:pPr>
    <w:rPr>
      <w:rFonts w:ascii="宋体" w:hAnsi="宋体" w:cs="宋体"/>
      <w:kern w:val="0"/>
      <w:sz w:val="24"/>
    </w:rPr>
  </w:style>
  <w:style w:type="paragraph" w:customStyle="1" w:styleId="120">
    <w:name w:val="tableborer-2"/>
    <w:basedOn w:val="1"/>
    <w:autoRedefine/>
    <w:qFormat/>
    <w:uiPriority w:val="0"/>
    <w:pPr>
      <w:widowControl/>
      <w:pBdr>
        <w:right w:val="single" w:color="109BF8" w:sz="6" w:space="0"/>
      </w:pBdr>
      <w:spacing w:before="100" w:beforeAutospacing="1" w:after="100" w:afterAutospacing="1"/>
      <w:jc w:val="left"/>
    </w:pPr>
    <w:rPr>
      <w:rFonts w:ascii="宋体" w:hAnsi="宋体" w:cs="宋体"/>
      <w:kern w:val="0"/>
      <w:sz w:val="24"/>
    </w:rPr>
  </w:style>
  <w:style w:type="paragraph" w:customStyle="1" w:styleId="121">
    <w:name w:val="scroll-1"/>
    <w:basedOn w:val="1"/>
    <w:autoRedefine/>
    <w:qFormat/>
    <w:uiPriority w:val="0"/>
    <w:pPr>
      <w:widowControl/>
      <w:spacing w:before="100" w:beforeAutospacing="1" w:after="100" w:afterAutospacing="1" w:line="312" w:lineRule="auto"/>
      <w:jc w:val="left"/>
    </w:pPr>
    <w:rPr>
      <w:rFonts w:ascii="宋体" w:hAnsi="宋体" w:cs="宋体"/>
      <w:color w:val="FF3333"/>
      <w:kern w:val="0"/>
      <w:sz w:val="18"/>
      <w:szCs w:val="18"/>
    </w:rPr>
  </w:style>
  <w:style w:type="paragraph" w:customStyle="1" w:styleId="122">
    <w:name w:val="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st_divcss"/>
    <w:basedOn w:val="1"/>
    <w:autoRedefine/>
    <w:qFormat/>
    <w:uiPriority w:val="0"/>
    <w:pPr>
      <w:widowControl/>
      <w:jc w:val="left"/>
    </w:pPr>
    <w:rPr>
      <w:rFonts w:ascii="宋体" w:hAnsi="宋体" w:cs="宋体"/>
      <w:kern w:val="0"/>
      <w:sz w:val="24"/>
    </w:rPr>
  </w:style>
  <w:style w:type="paragraph" w:customStyle="1" w:styleId="124">
    <w:name w:val="style1"/>
    <w:basedOn w:val="1"/>
    <w:autoRedefine/>
    <w:qFormat/>
    <w:uiPriority w:val="0"/>
    <w:pPr>
      <w:widowControl/>
      <w:spacing w:before="100" w:beforeAutospacing="1" w:after="100" w:afterAutospacing="1"/>
      <w:jc w:val="left"/>
    </w:pPr>
    <w:rPr>
      <w:rFonts w:ascii="宋体" w:hAnsi="宋体" w:cs="宋体"/>
      <w:b/>
      <w:bCs/>
      <w:color w:val="FF3300"/>
      <w:kern w:val="0"/>
      <w:szCs w:val="21"/>
    </w:rPr>
  </w:style>
  <w:style w:type="paragraph" w:customStyle="1" w:styleId="125">
    <w:name w:val="td-left"/>
    <w:basedOn w:val="1"/>
    <w:autoRedefine/>
    <w:qFormat/>
    <w:uiPriority w:val="0"/>
    <w:pPr>
      <w:widowControl/>
      <w:pBdr>
        <w:left w:val="dotted" w:color="CCCCCC" w:sz="6" w:space="0"/>
        <w:right w:val="dotted" w:color="CCCCCC" w:sz="6" w:space="0"/>
      </w:pBdr>
      <w:spacing w:before="100" w:beforeAutospacing="1" w:after="100" w:afterAutospacing="1"/>
      <w:jc w:val="left"/>
    </w:pPr>
    <w:rPr>
      <w:rFonts w:ascii="宋体" w:hAnsi="宋体" w:cs="宋体"/>
      <w:kern w:val="0"/>
      <w:sz w:val="24"/>
    </w:rPr>
  </w:style>
  <w:style w:type="paragraph" w:customStyle="1" w:styleId="126">
    <w:name w:val="td-right-2"/>
    <w:basedOn w:val="1"/>
    <w:autoRedefine/>
    <w:qFormat/>
    <w:uiPriority w:val="0"/>
    <w:pPr>
      <w:widowControl/>
      <w:pBdr>
        <w:right w:val="dotted" w:color="0000FF" w:sz="6" w:space="0"/>
      </w:pBdr>
      <w:spacing w:before="100" w:beforeAutospacing="1" w:after="100" w:afterAutospacing="1"/>
      <w:jc w:val="left"/>
    </w:pPr>
    <w:rPr>
      <w:rFonts w:ascii="宋体" w:hAnsi="宋体" w:cs="宋体"/>
      <w:kern w:val="0"/>
      <w:sz w:val="24"/>
    </w:rPr>
  </w:style>
  <w:style w:type="paragraph" w:customStyle="1" w:styleId="127">
    <w:name w:val="sec2"/>
    <w:basedOn w:val="1"/>
    <w:autoRedefine/>
    <w:qFormat/>
    <w:uiPriority w:val="0"/>
    <w:pPr>
      <w:widowControl/>
      <w:pBdr>
        <w:top w:val="single" w:color="C5E1FE" w:sz="6" w:space="0"/>
        <w:left w:val="single" w:color="C5E1FE" w:sz="6" w:space="0"/>
        <w:right w:val="single" w:color="C5E1FE" w:sz="6" w:space="0"/>
      </w:pBdr>
      <w:spacing w:before="100" w:beforeAutospacing="1" w:after="100" w:afterAutospacing="1"/>
      <w:jc w:val="left"/>
    </w:pPr>
    <w:rPr>
      <w:rFonts w:ascii="宋体" w:hAnsi="宋体" w:cs="宋体"/>
      <w:b/>
      <w:bCs/>
      <w:color w:val="247ED1"/>
      <w:kern w:val="0"/>
      <w:szCs w:val="21"/>
    </w:rPr>
  </w:style>
  <w:style w:type="paragraph" w:customStyle="1" w:styleId="128">
    <w:name w:val="td1"/>
    <w:basedOn w:val="1"/>
    <w:autoRedefine/>
    <w:qFormat/>
    <w:uiPriority w:val="0"/>
    <w:pPr>
      <w:widowControl/>
      <w:pBdr>
        <w:top w:val="single" w:color="003399" w:sz="6" w:space="0"/>
        <w:left w:val="single" w:color="003399" w:sz="6" w:space="0"/>
        <w:bottom w:val="single" w:color="003399" w:sz="6" w:space="0"/>
        <w:right w:val="single" w:color="003399" w:sz="6" w:space="0"/>
      </w:pBdr>
      <w:spacing w:before="100" w:beforeAutospacing="1" w:after="100" w:afterAutospacing="1"/>
      <w:jc w:val="left"/>
    </w:pPr>
    <w:rPr>
      <w:rFonts w:ascii="宋体" w:hAnsi="宋体" w:cs="宋体"/>
      <w:kern w:val="0"/>
      <w:sz w:val="18"/>
      <w:szCs w:val="18"/>
    </w:rPr>
  </w:style>
  <w:style w:type="paragraph" w:customStyle="1" w:styleId="12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0">
    <w:name w:val="p0"/>
    <w:basedOn w:val="1"/>
    <w:autoRedefine/>
    <w:qFormat/>
    <w:uiPriority w:val="0"/>
    <w:pPr>
      <w:widowControl/>
      <w:spacing w:line="560" w:lineRule="exact"/>
    </w:pPr>
    <w:rPr>
      <w:rFonts w:ascii="Calibri" w:hAnsi="Calibri"/>
      <w:sz w:val="24"/>
      <w:szCs w:val="21"/>
    </w:rPr>
  </w:style>
  <w:style w:type="paragraph" w:customStyle="1" w:styleId="131">
    <w:name w:val="tableborer"/>
    <w:basedOn w:val="1"/>
    <w:autoRedefine/>
    <w:qFormat/>
    <w:uiPriority w:val="0"/>
    <w:pPr>
      <w:widowControl/>
      <w:pBdr>
        <w:top w:val="dotted" w:color="EEEEEE" w:sz="6" w:space="0"/>
        <w:left w:val="dotted" w:color="EEEEEE" w:sz="6" w:space="0"/>
        <w:bottom w:val="dotted" w:color="EEEEEE" w:sz="6" w:space="0"/>
        <w:right w:val="dotted" w:color="EEEEEE" w:sz="6" w:space="0"/>
      </w:pBdr>
      <w:spacing w:before="100" w:beforeAutospacing="1" w:after="100" w:afterAutospacing="1"/>
      <w:jc w:val="left"/>
    </w:pPr>
    <w:rPr>
      <w:rFonts w:ascii="宋体" w:hAnsi="宋体" w:cs="宋体"/>
      <w:kern w:val="0"/>
      <w:sz w:val="24"/>
    </w:rPr>
  </w:style>
  <w:style w:type="paragraph" w:styleId="132">
    <w:name w:val="List Paragraph"/>
    <w:basedOn w:val="1"/>
    <w:autoRedefine/>
    <w:qFormat/>
    <w:uiPriority w:val="99"/>
    <w:pPr>
      <w:ind w:firstLine="420" w:firstLineChars="200"/>
    </w:pPr>
    <w:rPr>
      <w:rFonts w:asciiTheme="minorHAnsi" w:hAnsiTheme="minorHAnsi" w:eastAsiaTheme="minorEastAsia" w:cstheme="minorBidi"/>
    </w:rPr>
  </w:style>
  <w:style w:type="character" w:customStyle="1" w:styleId="133">
    <w:name w:val="标题 1 Char"/>
    <w:basedOn w:val="48"/>
    <w:link w:val="2"/>
    <w:autoRedefine/>
    <w:qFormat/>
    <w:uiPriority w:val="9"/>
    <w:rPr>
      <w:b/>
      <w:bCs/>
      <w:kern w:val="2"/>
      <w:sz w:val="24"/>
      <w:szCs w:val="24"/>
    </w:rPr>
  </w:style>
  <w:style w:type="character" w:customStyle="1" w:styleId="134">
    <w:name w:val="正文文本 3 Char"/>
    <w:basedOn w:val="48"/>
    <w:link w:val="17"/>
    <w:autoRedefine/>
    <w:qFormat/>
    <w:uiPriority w:val="0"/>
    <w:rPr>
      <w:rFonts w:ascii="宋体" w:hAnsi="宋体" w:cs="宋体"/>
      <w:sz w:val="24"/>
      <w:szCs w:val="24"/>
    </w:rPr>
  </w:style>
  <w:style w:type="character" w:customStyle="1" w:styleId="135">
    <w:name w:val="正文文本缩进 Char"/>
    <w:basedOn w:val="48"/>
    <w:link w:val="19"/>
    <w:autoRedefine/>
    <w:qFormat/>
    <w:uiPriority w:val="0"/>
    <w:rPr>
      <w:rFonts w:ascii="宋体" w:hAnsi="宋体" w:cs="宋体"/>
      <w:sz w:val="24"/>
      <w:szCs w:val="24"/>
    </w:rPr>
  </w:style>
  <w:style w:type="character" w:customStyle="1" w:styleId="136">
    <w:name w:val="纯文本 Char"/>
    <w:basedOn w:val="48"/>
    <w:link w:val="26"/>
    <w:autoRedefine/>
    <w:qFormat/>
    <w:uiPriority w:val="99"/>
    <w:rPr>
      <w:rFonts w:ascii="宋体" w:hAnsi="宋体" w:cs="宋体"/>
      <w:sz w:val="24"/>
      <w:szCs w:val="24"/>
    </w:rPr>
  </w:style>
  <w:style w:type="character" w:customStyle="1" w:styleId="137">
    <w:name w:val="纯文本 Char1"/>
    <w:autoRedefine/>
    <w:qFormat/>
    <w:locked/>
    <w:uiPriority w:val="0"/>
    <w:rPr>
      <w:rFonts w:ascii="宋体" w:hAnsi="宋体" w:eastAsia="宋体" w:cs="Times New Roman"/>
      <w:kern w:val="0"/>
      <w:sz w:val="24"/>
      <w:szCs w:val="24"/>
    </w:rPr>
  </w:style>
  <w:style w:type="character" w:customStyle="1" w:styleId="138">
    <w:name w:val="font171"/>
    <w:basedOn w:val="48"/>
    <w:autoRedefine/>
    <w:qFormat/>
    <w:uiPriority w:val="0"/>
    <w:rPr>
      <w:rFonts w:hint="eastAsia" w:ascii="宋体" w:hAnsi="宋体" w:eastAsia="宋体" w:cs="宋体"/>
      <w:color w:val="000000"/>
      <w:sz w:val="20"/>
      <w:szCs w:val="20"/>
      <w:u w:val="none"/>
    </w:rPr>
  </w:style>
  <w:style w:type="paragraph" w:customStyle="1" w:styleId="139">
    <w:name w:val="Body text|1"/>
    <w:basedOn w:val="1"/>
    <w:autoRedefine/>
    <w:qFormat/>
    <w:uiPriority w:val="0"/>
    <w:pPr>
      <w:spacing w:line="314" w:lineRule="auto"/>
    </w:pPr>
    <w:rPr>
      <w:rFonts w:ascii="MingLiU" w:hAnsi="MingLiU" w:eastAsia="MingLiU" w:cs="MingLiU"/>
      <w:b/>
      <w:sz w:val="19"/>
      <w:szCs w:val="19"/>
      <w:lang w:val="zh-TW" w:eastAsia="zh-TW" w:bidi="zh-TW"/>
    </w:rPr>
  </w:style>
  <w:style w:type="paragraph" w:customStyle="1" w:styleId="140">
    <w:name w:val="Char1"/>
    <w:basedOn w:val="1"/>
    <w:autoRedefine/>
    <w:qFormat/>
    <w:uiPriority w:val="0"/>
    <w:pPr>
      <w:snapToGrid w:val="0"/>
      <w:spacing w:line="360" w:lineRule="auto"/>
      <w:ind w:firstLine="200" w:firstLineChars="200"/>
    </w:pPr>
  </w:style>
  <w:style w:type="paragraph" w:customStyle="1" w:styleId="141">
    <w:name w:val="Char Char Char Char"/>
    <w:basedOn w:val="1"/>
    <w:link w:val="213"/>
    <w:autoRedefine/>
    <w:qFormat/>
    <w:uiPriority w:val="0"/>
  </w:style>
  <w:style w:type="character" w:customStyle="1" w:styleId="142">
    <w:name w:val="正文文本 2 Char"/>
    <w:basedOn w:val="48"/>
    <w:link w:val="40"/>
    <w:autoRedefine/>
    <w:semiHidden/>
    <w:qFormat/>
    <w:uiPriority w:val="0"/>
    <w:rPr>
      <w:kern w:val="2"/>
      <w:sz w:val="21"/>
      <w:szCs w:val="24"/>
    </w:rPr>
  </w:style>
  <w:style w:type="character" w:customStyle="1" w:styleId="143">
    <w:name w:val="标题 3 Char"/>
    <w:basedOn w:val="48"/>
    <w:link w:val="4"/>
    <w:autoRedefine/>
    <w:qFormat/>
    <w:uiPriority w:val="0"/>
    <w:rPr>
      <w:b/>
      <w:kern w:val="2"/>
      <w:sz w:val="32"/>
    </w:rPr>
  </w:style>
  <w:style w:type="character" w:customStyle="1" w:styleId="144">
    <w:name w:val="标题 4 Char"/>
    <w:basedOn w:val="48"/>
    <w:link w:val="5"/>
    <w:autoRedefine/>
    <w:qFormat/>
    <w:uiPriority w:val="0"/>
    <w:rPr>
      <w:rFonts w:ascii="Arial" w:hAnsi="Arial"/>
      <w:b/>
      <w:kern w:val="2"/>
      <w:sz w:val="21"/>
    </w:rPr>
  </w:style>
  <w:style w:type="character" w:customStyle="1" w:styleId="145">
    <w:name w:val="标题 5 Char"/>
    <w:basedOn w:val="48"/>
    <w:link w:val="6"/>
    <w:autoRedefine/>
    <w:qFormat/>
    <w:uiPriority w:val="0"/>
    <w:rPr>
      <w:rFonts w:ascii="Calibri" w:hAnsi="Calibri"/>
      <w:b/>
      <w:bCs/>
      <w:kern w:val="2"/>
      <w:sz w:val="28"/>
      <w:szCs w:val="28"/>
    </w:rPr>
  </w:style>
  <w:style w:type="character" w:customStyle="1" w:styleId="146">
    <w:name w:val="标题 6 Char"/>
    <w:basedOn w:val="48"/>
    <w:link w:val="7"/>
    <w:autoRedefine/>
    <w:qFormat/>
    <w:uiPriority w:val="0"/>
    <w:rPr>
      <w:rFonts w:ascii="Cambria" w:hAnsi="Cambria"/>
      <w:b/>
      <w:bCs/>
      <w:kern w:val="2"/>
      <w:sz w:val="24"/>
      <w:szCs w:val="24"/>
    </w:rPr>
  </w:style>
  <w:style w:type="character" w:customStyle="1" w:styleId="147">
    <w:name w:val="标题 7 Char"/>
    <w:basedOn w:val="48"/>
    <w:link w:val="8"/>
    <w:autoRedefine/>
    <w:qFormat/>
    <w:uiPriority w:val="0"/>
    <w:rPr>
      <w:rFonts w:ascii="Calibri" w:hAnsi="Calibri"/>
      <w:b/>
      <w:bCs/>
      <w:kern w:val="2"/>
      <w:sz w:val="24"/>
      <w:szCs w:val="24"/>
    </w:rPr>
  </w:style>
  <w:style w:type="character" w:customStyle="1" w:styleId="148">
    <w:name w:val="标题 8 Char"/>
    <w:basedOn w:val="48"/>
    <w:link w:val="9"/>
    <w:autoRedefine/>
    <w:qFormat/>
    <w:uiPriority w:val="0"/>
    <w:rPr>
      <w:rFonts w:ascii="Cambria" w:hAnsi="Cambria"/>
      <w:kern w:val="2"/>
      <w:sz w:val="24"/>
      <w:szCs w:val="24"/>
    </w:rPr>
  </w:style>
  <w:style w:type="character" w:customStyle="1" w:styleId="149">
    <w:name w:val="标题 9 Char"/>
    <w:basedOn w:val="48"/>
    <w:link w:val="10"/>
    <w:autoRedefine/>
    <w:qFormat/>
    <w:uiPriority w:val="0"/>
    <w:rPr>
      <w:rFonts w:ascii="Cambria" w:hAnsi="Cambria"/>
      <w:kern w:val="2"/>
      <w:sz w:val="21"/>
      <w:szCs w:val="21"/>
    </w:rPr>
  </w:style>
  <w:style w:type="character" w:customStyle="1" w:styleId="150">
    <w:name w:val="文档结构图 Char"/>
    <w:basedOn w:val="48"/>
    <w:link w:val="15"/>
    <w:autoRedefine/>
    <w:qFormat/>
    <w:uiPriority w:val="0"/>
    <w:rPr>
      <w:kern w:val="2"/>
      <w:sz w:val="21"/>
      <w:shd w:val="clear" w:color="auto" w:fill="000080"/>
    </w:rPr>
  </w:style>
  <w:style w:type="character" w:customStyle="1" w:styleId="151">
    <w:name w:val="批注文字 Char"/>
    <w:basedOn w:val="48"/>
    <w:link w:val="16"/>
    <w:autoRedefine/>
    <w:qFormat/>
    <w:uiPriority w:val="0"/>
    <w:rPr>
      <w:kern w:val="2"/>
      <w:sz w:val="21"/>
    </w:rPr>
  </w:style>
  <w:style w:type="character" w:customStyle="1" w:styleId="152">
    <w:name w:val="日期 Char"/>
    <w:basedOn w:val="48"/>
    <w:link w:val="28"/>
    <w:autoRedefine/>
    <w:qFormat/>
    <w:uiPriority w:val="0"/>
    <w:rPr>
      <w:kern w:val="2"/>
      <w:sz w:val="28"/>
    </w:rPr>
  </w:style>
  <w:style w:type="character" w:customStyle="1" w:styleId="153">
    <w:name w:val="正文文本缩进 2 Char"/>
    <w:basedOn w:val="48"/>
    <w:link w:val="29"/>
    <w:autoRedefine/>
    <w:qFormat/>
    <w:uiPriority w:val="0"/>
    <w:rPr>
      <w:kern w:val="2"/>
      <w:sz w:val="21"/>
    </w:rPr>
  </w:style>
  <w:style w:type="character" w:customStyle="1" w:styleId="154">
    <w:name w:val="副标题 Char"/>
    <w:basedOn w:val="48"/>
    <w:link w:val="35"/>
    <w:autoRedefine/>
    <w:qFormat/>
    <w:uiPriority w:val="0"/>
    <w:rPr>
      <w:rFonts w:ascii="Cambria" w:hAnsi="Cambria"/>
      <w:b/>
      <w:kern w:val="28"/>
      <w:sz w:val="32"/>
    </w:rPr>
  </w:style>
  <w:style w:type="character" w:customStyle="1" w:styleId="155">
    <w:name w:val="正文文本缩进 3 Char"/>
    <w:basedOn w:val="48"/>
    <w:link w:val="37"/>
    <w:autoRedefine/>
    <w:qFormat/>
    <w:uiPriority w:val="0"/>
    <w:rPr>
      <w:rFonts w:ascii="宋体" w:hAnsi="宋体"/>
      <w:kern w:val="2"/>
      <w:sz w:val="21"/>
    </w:rPr>
  </w:style>
  <w:style w:type="character" w:customStyle="1" w:styleId="156">
    <w:name w:val="标题 Char"/>
    <w:basedOn w:val="48"/>
    <w:link w:val="42"/>
    <w:autoRedefine/>
    <w:qFormat/>
    <w:uiPriority w:val="0"/>
    <w:rPr>
      <w:rFonts w:ascii="Arial" w:hAnsi="Arial"/>
      <w:b/>
      <w:kern w:val="2"/>
      <w:sz w:val="44"/>
    </w:rPr>
  </w:style>
  <w:style w:type="character" w:customStyle="1" w:styleId="157">
    <w:name w:val="批注主题 Char"/>
    <w:basedOn w:val="151"/>
    <w:link w:val="43"/>
    <w:autoRedefine/>
    <w:qFormat/>
    <w:uiPriority w:val="0"/>
    <w:rPr>
      <w:rFonts w:ascii="宋体"/>
      <w:b/>
      <w:kern w:val="2"/>
      <w:sz w:val="28"/>
    </w:rPr>
  </w:style>
  <w:style w:type="paragraph" w:customStyle="1" w:styleId="158">
    <w:name w:val="TOC 标题1"/>
    <w:basedOn w:val="2"/>
    <w:next w:val="1"/>
    <w:autoRedefine/>
    <w:qFormat/>
    <w:uiPriority w:val="0"/>
    <w:pPr>
      <w:keepLines/>
      <w:spacing w:line="578" w:lineRule="auto"/>
      <w:jc w:val="both"/>
      <w:outlineLvl w:val="9"/>
    </w:pPr>
    <w:rPr>
      <w:kern w:val="44"/>
      <w:sz w:val="44"/>
      <w:szCs w:val="44"/>
    </w:rPr>
  </w:style>
  <w:style w:type="paragraph" w:customStyle="1" w:styleId="159">
    <w:name w:val="引用1"/>
    <w:basedOn w:val="1"/>
    <w:next w:val="1"/>
    <w:link w:val="226"/>
    <w:autoRedefine/>
    <w:qFormat/>
    <w:uiPriority w:val="0"/>
    <w:rPr>
      <w:i/>
      <w:iCs/>
      <w:color w:val="000000"/>
      <w:szCs w:val="22"/>
    </w:rPr>
  </w:style>
  <w:style w:type="paragraph" w:customStyle="1" w:styleId="160">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161">
    <w:name w:val="索引 6 New"/>
    <w:autoRedefine/>
    <w:qFormat/>
    <w:uiPriority w:val="0"/>
    <w:rPr>
      <w:rFonts w:ascii="Times New Roman" w:hAnsi="Times New Roman" w:eastAsia="宋体" w:cs="Times New Roman"/>
      <w:sz w:val="24"/>
      <w:szCs w:val="24"/>
      <w:lang w:val="en-US" w:eastAsia="zh-CN" w:bidi="en-US"/>
    </w:rPr>
  </w:style>
  <w:style w:type="paragraph" w:customStyle="1" w:styleId="162">
    <w:name w:val="默认段落字体 Para Char Char Char Char"/>
    <w:basedOn w:val="1"/>
    <w:autoRedefine/>
    <w:qFormat/>
    <w:uiPriority w:val="0"/>
    <w:pPr>
      <w:snapToGrid w:val="0"/>
      <w:spacing w:line="360" w:lineRule="auto"/>
      <w:ind w:firstLine="200" w:firstLineChars="200"/>
    </w:pPr>
    <w:rPr>
      <w:rFonts w:eastAsia="仿宋_GB2312"/>
      <w:sz w:val="24"/>
    </w:rPr>
  </w:style>
  <w:style w:type="paragraph" w:customStyle="1" w:styleId="163">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164">
    <w:name w:val="dash6b63_65871"/>
    <w:basedOn w:val="1"/>
    <w:autoRedefine/>
    <w:qFormat/>
    <w:uiPriority w:val="0"/>
    <w:pPr>
      <w:widowControl/>
    </w:pPr>
    <w:rPr>
      <w:rFonts w:ascii="Calibri" w:hAnsi="Calibri" w:cs="Calibri"/>
      <w:kern w:val="0"/>
      <w:sz w:val="20"/>
      <w:szCs w:val="20"/>
    </w:rPr>
  </w:style>
  <w:style w:type="paragraph" w:customStyle="1" w:styleId="165">
    <w:name w:val="0"/>
    <w:basedOn w:val="1"/>
    <w:autoRedefine/>
    <w:qFormat/>
    <w:uiPriority w:val="0"/>
    <w:pPr>
      <w:widowControl/>
      <w:snapToGrid w:val="0"/>
    </w:pPr>
    <w:rPr>
      <w:kern w:val="0"/>
      <w:szCs w:val="20"/>
    </w:rPr>
  </w:style>
  <w:style w:type="paragraph" w:customStyle="1" w:styleId="166">
    <w:name w:val="节标题"/>
    <w:basedOn w:val="1"/>
    <w:next w:val="1"/>
    <w:autoRedefine/>
    <w:qFormat/>
    <w:uiPriority w:val="0"/>
    <w:pPr>
      <w:widowControl/>
      <w:spacing w:line="289" w:lineRule="atLeast"/>
      <w:jc w:val="center"/>
      <w:textAlignment w:val="baseline"/>
    </w:pPr>
    <w:rPr>
      <w:color w:val="000000"/>
      <w:kern w:val="0"/>
      <w:sz w:val="28"/>
      <w:szCs w:val="20"/>
      <w:u w:color="000000"/>
    </w:rPr>
  </w:style>
  <w:style w:type="paragraph" w:customStyle="1" w:styleId="167">
    <w:name w:val="标题4"/>
    <w:basedOn w:val="3"/>
    <w:next w:val="23"/>
    <w:link w:val="240"/>
    <w:autoRedefine/>
    <w:qFormat/>
    <w:uiPriority w:val="0"/>
    <w:pPr>
      <w:keepNext/>
      <w:keepLines/>
      <w:autoSpaceDE/>
      <w:autoSpaceDN/>
      <w:spacing w:before="0" w:line="413" w:lineRule="auto"/>
      <w:ind w:left="0"/>
      <w:jc w:val="both"/>
    </w:pPr>
    <w:rPr>
      <w:rFonts w:hint="default" w:ascii="Arial" w:hAnsi="Arial" w:eastAsia="宋体" w:cs="Times New Roman"/>
      <w:sz w:val="32"/>
    </w:rPr>
  </w:style>
  <w:style w:type="paragraph" w:customStyle="1" w:styleId="168">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9">
    <w:name w:val="首行缩进两字"/>
    <w:basedOn w:val="1"/>
    <w:link w:val="219"/>
    <w:autoRedefine/>
    <w:qFormat/>
    <w:uiPriority w:val="0"/>
    <w:pPr>
      <w:ind w:firstLine="549" w:firstLineChars="200"/>
      <w:jc w:val="left"/>
    </w:pPr>
    <w:rPr>
      <w:rFonts w:ascii="宋体" w:hAnsi="宋体"/>
      <w:color w:val="000000"/>
      <w:sz w:val="28"/>
      <w:szCs w:val="20"/>
    </w:rPr>
  </w:style>
  <w:style w:type="paragraph" w:customStyle="1" w:styleId="170">
    <w:name w:val="样式 标题 3 + (中文) 黑体 小四 非加粗 段前: 7.8 磅 段后: 0 磅 行距: 固定值 20 磅"/>
    <w:basedOn w:val="4"/>
    <w:autoRedefine/>
    <w:qFormat/>
    <w:uiPriority w:val="0"/>
    <w:pPr>
      <w:spacing w:line="400" w:lineRule="exact"/>
    </w:pPr>
    <w:rPr>
      <w:rFonts w:eastAsia="黑体" w:cs="宋体"/>
      <w:b w:val="0"/>
      <w:sz w:val="24"/>
    </w:rPr>
  </w:style>
  <w:style w:type="paragraph" w:customStyle="1" w:styleId="171">
    <w:name w:val="无间隔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2">
    <w:name w:val="明显引用1"/>
    <w:basedOn w:val="1"/>
    <w:next w:val="1"/>
    <w:link w:val="195"/>
    <w:autoRedefine/>
    <w:qFormat/>
    <w:uiPriority w:val="0"/>
    <w:pPr>
      <w:pBdr>
        <w:bottom w:val="single" w:color="4F81BD" w:sz="4" w:space="4"/>
      </w:pBdr>
      <w:spacing w:before="200" w:after="280"/>
      <w:ind w:left="936" w:right="936"/>
    </w:pPr>
    <w:rPr>
      <w:b/>
      <w:i/>
      <w:color w:val="4F81BD"/>
      <w:sz w:val="22"/>
      <w:szCs w:val="20"/>
    </w:rPr>
  </w:style>
  <w:style w:type="paragraph" w:customStyle="1" w:styleId="173">
    <w:name w:val="修订2"/>
    <w:autoRedefine/>
    <w:qFormat/>
    <w:uiPriority w:val="0"/>
    <w:rPr>
      <w:rFonts w:ascii="Times New Roman" w:hAnsi="Times New Roman" w:eastAsia="宋体" w:cs="Times New Roman"/>
      <w:kern w:val="2"/>
      <w:sz w:val="21"/>
      <w:szCs w:val="24"/>
      <w:lang w:val="en-US" w:eastAsia="zh-CN" w:bidi="ar-SA"/>
    </w:rPr>
  </w:style>
  <w:style w:type="paragraph" w:customStyle="1" w:styleId="174">
    <w:name w:val="标题5"/>
    <w:basedOn w:val="4"/>
    <w:link w:val="187"/>
    <w:autoRedefine/>
    <w:qFormat/>
    <w:uiPriority w:val="0"/>
    <w:rPr>
      <w:rFonts w:ascii="Arial" w:hAnsi="Arial"/>
      <w:kern w:val="0"/>
    </w:rPr>
  </w:style>
  <w:style w:type="paragraph" w:customStyle="1" w:styleId="175">
    <w:name w:val="Char1 Char Char Char"/>
    <w:basedOn w:val="1"/>
    <w:autoRedefine/>
    <w:qFormat/>
    <w:uiPriority w:val="0"/>
    <w:rPr>
      <w:szCs w:val="20"/>
    </w:rPr>
  </w:style>
  <w:style w:type="paragraph" w:customStyle="1" w:styleId="176">
    <w:name w:val="明显引用2"/>
    <w:basedOn w:val="1"/>
    <w:next w:val="1"/>
    <w:link w:val="221"/>
    <w:autoRedefine/>
    <w:qFormat/>
    <w:uiPriority w:val="0"/>
    <w:pPr>
      <w:pBdr>
        <w:bottom w:val="single" w:color="4F81BD" w:sz="4" w:space="4"/>
      </w:pBdr>
      <w:spacing w:before="200" w:after="280"/>
      <w:ind w:left="936" w:right="936"/>
    </w:pPr>
    <w:rPr>
      <w:b/>
      <w:bCs/>
      <w:i/>
      <w:iCs/>
      <w:color w:val="4F81BD"/>
      <w:szCs w:val="22"/>
    </w:rPr>
  </w:style>
  <w:style w:type="paragraph" w:customStyle="1" w:styleId="177">
    <w:name w:val="Char"/>
    <w:basedOn w:val="1"/>
    <w:autoRedefine/>
    <w:qFormat/>
    <w:uiPriority w:val="0"/>
    <w:pPr>
      <w:snapToGrid w:val="0"/>
      <w:spacing w:line="360" w:lineRule="auto"/>
      <w:ind w:firstLine="200" w:firstLineChars="200"/>
    </w:pPr>
    <w:rPr>
      <w:rFonts w:eastAsia="仿宋_GB2312"/>
      <w:sz w:val="24"/>
      <w:szCs w:val="20"/>
    </w:rPr>
  </w:style>
  <w:style w:type="paragraph" w:customStyle="1" w:styleId="178">
    <w:name w:val="列出段落2"/>
    <w:basedOn w:val="1"/>
    <w:autoRedefine/>
    <w:qFormat/>
    <w:uiPriority w:val="0"/>
    <w:pPr>
      <w:ind w:firstLine="420" w:firstLineChars="200"/>
    </w:pPr>
    <w:rPr>
      <w:rFonts w:ascii="Calibri" w:hAnsi="Calibri"/>
      <w:szCs w:val="22"/>
    </w:rPr>
  </w:style>
  <w:style w:type="paragraph" w:customStyle="1" w:styleId="179">
    <w:name w:val="样式3"/>
    <w:basedOn w:val="26"/>
    <w:autoRedefine/>
    <w:qFormat/>
    <w:uiPriority w:val="0"/>
    <w:pPr>
      <w:widowControl w:val="0"/>
      <w:spacing w:before="0" w:beforeAutospacing="0" w:after="0" w:afterAutospacing="0" w:line="0" w:lineRule="atLeast"/>
      <w:jc w:val="both"/>
      <w:outlineLvl w:val="0"/>
    </w:pPr>
    <w:rPr>
      <w:rFonts w:hAnsi="Courier New" w:cs="Times New Roman"/>
      <w:kern w:val="2"/>
      <w:sz w:val="28"/>
      <w:szCs w:val="20"/>
    </w:rPr>
  </w:style>
  <w:style w:type="paragraph" w:customStyle="1" w:styleId="180">
    <w:name w:val="TOC 标题2"/>
    <w:basedOn w:val="2"/>
    <w:next w:val="1"/>
    <w:autoRedefine/>
    <w:qFormat/>
    <w:uiPriority w:val="0"/>
    <w:pPr>
      <w:keepLines/>
      <w:spacing w:line="576" w:lineRule="auto"/>
      <w:jc w:val="both"/>
      <w:outlineLvl w:val="9"/>
    </w:pPr>
    <w:rPr>
      <w:rFonts w:ascii="Calibri" w:hAnsi="Calibri"/>
      <w:kern w:val="44"/>
      <w:sz w:val="44"/>
      <w:szCs w:val="44"/>
    </w:rPr>
  </w:style>
  <w:style w:type="paragraph" w:customStyle="1" w:styleId="181">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82">
    <w:name w:val="样式 标题 2 + Times New Roman 四号 非加粗 段前: 5 磅 段后: 0 磅 行距: 固定值 20..."/>
    <w:basedOn w:val="3"/>
    <w:autoRedefine/>
    <w:qFormat/>
    <w:uiPriority w:val="0"/>
    <w:pPr>
      <w:keepNext/>
      <w:keepLines/>
      <w:autoSpaceDE/>
      <w:autoSpaceDN/>
      <w:spacing w:before="100" w:line="400" w:lineRule="exact"/>
      <w:ind w:left="0"/>
      <w:jc w:val="both"/>
    </w:pPr>
    <w:rPr>
      <w:rFonts w:hint="default" w:ascii="Times New Roman" w:hAnsi="Times New Roman" w:eastAsia="黑体" w:cs="宋体"/>
      <w:b w:val="0"/>
      <w:sz w:val="28"/>
    </w:rPr>
  </w:style>
  <w:style w:type="paragraph" w:customStyle="1" w:styleId="183">
    <w:name w:val="引用2"/>
    <w:basedOn w:val="1"/>
    <w:next w:val="1"/>
    <w:link w:val="234"/>
    <w:autoRedefine/>
    <w:qFormat/>
    <w:uiPriority w:val="0"/>
    <w:rPr>
      <w:i/>
      <w:color w:val="000000"/>
      <w:sz w:val="22"/>
      <w:szCs w:val="20"/>
    </w:rPr>
  </w:style>
  <w:style w:type="character" w:customStyle="1" w:styleId="184">
    <w:name w:val="Char Char4"/>
    <w:autoRedefine/>
    <w:qFormat/>
    <w:locked/>
    <w:uiPriority w:val="0"/>
    <w:rPr>
      <w:rFonts w:eastAsia="宋体"/>
      <w:kern w:val="2"/>
      <w:sz w:val="18"/>
      <w:szCs w:val="18"/>
      <w:lang w:val="en-US" w:eastAsia="zh-CN" w:bidi="ar-SA"/>
    </w:rPr>
  </w:style>
  <w:style w:type="character" w:customStyle="1" w:styleId="185">
    <w:name w:val="标题 Char1"/>
    <w:basedOn w:val="48"/>
    <w:autoRedefine/>
    <w:qFormat/>
    <w:uiPriority w:val="10"/>
    <w:rPr>
      <w:rFonts w:ascii="Cambria" w:hAnsi="Cambria" w:cs="Times New Roman"/>
      <w:b/>
      <w:bCs/>
      <w:kern w:val="2"/>
      <w:sz w:val="32"/>
      <w:szCs w:val="32"/>
    </w:rPr>
  </w:style>
  <w:style w:type="character" w:customStyle="1" w:styleId="186">
    <w:name w:val="Heading 4 Char"/>
    <w:basedOn w:val="48"/>
    <w:autoRedefine/>
    <w:qFormat/>
    <w:locked/>
    <w:uiPriority w:val="0"/>
    <w:rPr>
      <w:rFonts w:ascii="Cambria" w:hAnsi="Cambria" w:eastAsia="宋体" w:cs="Times New Roman"/>
      <w:b/>
      <w:kern w:val="2"/>
      <w:sz w:val="28"/>
    </w:rPr>
  </w:style>
  <w:style w:type="character" w:customStyle="1" w:styleId="187">
    <w:name w:val="标题5 Char Char"/>
    <w:link w:val="174"/>
    <w:autoRedefine/>
    <w:qFormat/>
    <w:locked/>
    <w:uiPriority w:val="0"/>
    <w:rPr>
      <w:rFonts w:ascii="Arial" w:hAnsi="Arial"/>
      <w:b/>
      <w:sz w:val="32"/>
    </w:rPr>
  </w:style>
  <w:style w:type="character" w:customStyle="1" w:styleId="188">
    <w:name w:val="Char Char3"/>
    <w:basedOn w:val="48"/>
    <w:autoRedefine/>
    <w:qFormat/>
    <w:uiPriority w:val="0"/>
    <w:rPr>
      <w:rFonts w:ascii="Arial" w:hAnsi="Arial" w:eastAsia="宋体"/>
      <w:b/>
      <w:kern w:val="2"/>
      <w:sz w:val="44"/>
      <w:lang w:val="en-US" w:eastAsia="zh-CN" w:bidi="ar-SA"/>
    </w:rPr>
  </w:style>
  <w:style w:type="character" w:customStyle="1" w:styleId="189">
    <w:name w:val="不明显参考1"/>
    <w:autoRedefine/>
    <w:qFormat/>
    <w:uiPriority w:val="0"/>
    <w:rPr>
      <w:smallCaps/>
      <w:color w:val="C0504D"/>
      <w:u w:val="single"/>
    </w:rPr>
  </w:style>
  <w:style w:type="character" w:customStyle="1" w:styleId="190">
    <w:name w:val="Char Char5"/>
    <w:autoRedefine/>
    <w:qFormat/>
    <w:locked/>
    <w:uiPriority w:val="0"/>
    <w:rPr>
      <w:rFonts w:eastAsia="宋体"/>
      <w:kern w:val="2"/>
      <w:sz w:val="21"/>
      <w:lang w:val="en-US" w:eastAsia="zh-CN" w:bidi="ar-SA"/>
    </w:rPr>
  </w:style>
  <w:style w:type="character" w:customStyle="1" w:styleId="191">
    <w:name w:val="Char Char7"/>
    <w:autoRedefine/>
    <w:qFormat/>
    <w:locked/>
    <w:uiPriority w:val="0"/>
    <w:rPr>
      <w:rFonts w:eastAsia="宋体"/>
      <w:kern w:val="2"/>
      <w:sz w:val="21"/>
      <w:lang w:val="en-US" w:eastAsia="zh-CN" w:bidi="ar-SA"/>
    </w:rPr>
  </w:style>
  <w:style w:type="character" w:customStyle="1" w:styleId="192">
    <w:name w:val="不明显参考2"/>
    <w:basedOn w:val="48"/>
    <w:autoRedefine/>
    <w:qFormat/>
    <w:uiPriority w:val="0"/>
    <w:rPr>
      <w:rFonts w:cs="Times New Roman"/>
      <w:smallCaps/>
      <w:color w:val="C0504D"/>
      <w:u w:val="single"/>
    </w:rPr>
  </w:style>
  <w:style w:type="character" w:customStyle="1" w:styleId="193">
    <w:name w:val="明显强调1"/>
    <w:basedOn w:val="48"/>
    <w:autoRedefine/>
    <w:qFormat/>
    <w:uiPriority w:val="0"/>
    <w:rPr>
      <w:rFonts w:cs="Times New Roman"/>
      <w:b/>
      <w:i/>
      <w:color w:val="4F81BD"/>
    </w:rPr>
  </w:style>
  <w:style w:type="character" w:customStyle="1" w:styleId="194">
    <w:name w:val="Char Char15"/>
    <w:basedOn w:val="48"/>
    <w:autoRedefine/>
    <w:qFormat/>
    <w:uiPriority w:val="0"/>
    <w:rPr>
      <w:rFonts w:ascii="Arial" w:hAnsi="Arial" w:eastAsia="宋体"/>
      <w:b/>
      <w:kern w:val="2"/>
      <w:sz w:val="21"/>
      <w:lang w:val="en-US" w:eastAsia="zh-CN"/>
    </w:rPr>
  </w:style>
  <w:style w:type="character" w:customStyle="1" w:styleId="195">
    <w:name w:val="Intense Quote Char"/>
    <w:link w:val="172"/>
    <w:autoRedefine/>
    <w:qFormat/>
    <w:locked/>
    <w:uiPriority w:val="0"/>
    <w:rPr>
      <w:b/>
      <w:i/>
      <w:color w:val="4F81BD"/>
      <w:kern w:val="2"/>
      <w:sz w:val="22"/>
    </w:rPr>
  </w:style>
  <w:style w:type="character" w:customStyle="1" w:styleId="196">
    <w:name w:val="Char Char11"/>
    <w:basedOn w:val="48"/>
    <w:autoRedefine/>
    <w:qFormat/>
    <w:locked/>
    <w:uiPriority w:val="0"/>
    <w:rPr>
      <w:rFonts w:ascii="Cambria" w:hAnsi="Cambria" w:eastAsia="宋体"/>
      <w:kern w:val="2"/>
      <w:sz w:val="24"/>
      <w:szCs w:val="24"/>
      <w:lang w:val="en-US" w:eastAsia="zh-CN" w:bidi="ar-SA"/>
    </w:rPr>
  </w:style>
  <w:style w:type="character" w:customStyle="1" w:styleId="197">
    <w:name w:val="明显引用 Char"/>
    <w:autoRedefine/>
    <w:qFormat/>
    <w:uiPriority w:val="0"/>
    <w:rPr>
      <w:b/>
      <w:bCs/>
      <w:i/>
      <w:iCs/>
      <w:color w:val="4F81BD"/>
      <w:kern w:val="2"/>
      <w:sz w:val="21"/>
      <w:szCs w:val="22"/>
    </w:rPr>
  </w:style>
  <w:style w:type="character" w:customStyle="1" w:styleId="198">
    <w:name w:val="Char Char8"/>
    <w:autoRedefine/>
    <w:qFormat/>
    <w:locked/>
    <w:uiPriority w:val="0"/>
    <w:rPr>
      <w:rFonts w:eastAsia="宋体"/>
      <w:kern w:val="2"/>
      <w:sz w:val="18"/>
      <w:lang w:val="en-US" w:eastAsia="zh-CN" w:bidi="ar-SA"/>
    </w:rPr>
  </w:style>
  <w:style w:type="character" w:customStyle="1" w:styleId="199">
    <w:name w:val="Char Char9"/>
    <w:autoRedefine/>
    <w:qFormat/>
    <w:locked/>
    <w:uiPriority w:val="0"/>
    <w:rPr>
      <w:rFonts w:eastAsia="宋体"/>
      <w:kern w:val="2"/>
      <w:sz w:val="28"/>
      <w:lang w:val="en-US" w:eastAsia="zh-CN" w:bidi="ar-SA"/>
    </w:rPr>
  </w:style>
  <w:style w:type="character" w:customStyle="1" w:styleId="200">
    <w:name w:val="Char Char10"/>
    <w:basedOn w:val="48"/>
    <w:autoRedefine/>
    <w:qFormat/>
    <w:locked/>
    <w:uiPriority w:val="0"/>
    <w:rPr>
      <w:rFonts w:ascii="Cambria" w:hAnsi="Cambria" w:eastAsia="宋体"/>
      <w:kern w:val="2"/>
      <w:sz w:val="21"/>
      <w:szCs w:val="21"/>
      <w:lang w:val="en-US" w:eastAsia="zh-CN" w:bidi="ar-SA"/>
    </w:rPr>
  </w:style>
  <w:style w:type="character" w:customStyle="1" w:styleId="201">
    <w:name w:val="Char Char17"/>
    <w:basedOn w:val="48"/>
    <w:autoRedefine/>
    <w:qFormat/>
    <w:uiPriority w:val="0"/>
    <w:rPr>
      <w:rFonts w:ascii="Arial" w:hAnsi="Arial" w:eastAsia="黑体"/>
      <w:b/>
      <w:kern w:val="2"/>
      <w:sz w:val="32"/>
      <w:lang w:val="en-US" w:eastAsia="zh-CN"/>
    </w:rPr>
  </w:style>
  <w:style w:type="character" w:customStyle="1" w:styleId="202">
    <w:name w:val="apple-converted-space"/>
    <w:basedOn w:val="48"/>
    <w:autoRedefine/>
    <w:qFormat/>
    <w:uiPriority w:val="0"/>
  </w:style>
  <w:style w:type="character" w:customStyle="1" w:styleId="203">
    <w:name w:val="Heading 2 Char"/>
    <w:basedOn w:val="48"/>
    <w:autoRedefine/>
    <w:qFormat/>
    <w:locked/>
    <w:uiPriority w:val="0"/>
    <w:rPr>
      <w:rFonts w:ascii="Cambria" w:hAnsi="Cambria" w:eastAsia="宋体" w:cs="Times New Roman"/>
      <w:b/>
      <w:kern w:val="2"/>
      <w:sz w:val="32"/>
    </w:rPr>
  </w:style>
  <w:style w:type="character" w:customStyle="1" w:styleId="204">
    <w:name w:val="Subtitle Char1"/>
    <w:basedOn w:val="48"/>
    <w:autoRedefine/>
    <w:qFormat/>
    <w:locked/>
    <w:uiPriority w:val="0"/>
    <w:rPr>
      <w:rFonts w:ascii="Cambria" w:hAnsi="Cambria" w:cs="Times New Roman"/>
      <w:b/>
      <w:bCs/>
      <w:kern w:val="28"/>
      <w:sz w:val="32"/>
      <w:szCs w:val="32"/>
    </w:rPr>
  </w:style>
  <w:style w:type="character" w:customStyle="1" w:styleId="205">
    <w:name w:val="Char Char14"/>
    <w:basedOn w:val="48"/>
    <w:autoRedefine/>
    <w:qFormat/>
    <w:locked/>
    <w:uiPriority w:val="0"/>
    <w:rPr>
      <w:rFonts w:ascii="Calibri" w:hAnsi="Calibri" w:eastAsia="宋体"/>
      <w:b/>
      <w:bCs/>
      <w:kern w:val="2"/>
      <w:sz w:val="28"/>
      <w:szCs w:val="28"/>
      <w:lang w:val="en-US" w:eastAsia="zh-CN" w:bidi="ar-SA"/>
    </w:rPr>
  </w:style>
  <w:style w:type="character" w:customStyle="1" w:styleId="206">
    <w:name w:val="textcontents"/>
    <w:autoRedefine/>
    <w:qFormat/>
    <w:uiPriority w:val="0"/>
  </w:style>
  <w:style w:type="character" w:customStyle="1" w:styleId="207">
    <w:name w:val="明显参考1"/>
    <w:basedOn w:val="48"/>
    <w:autoRedefine/>
    <w:qFormat/>
    <w:uiPriority w:val="0"/>
    <w:rPr>
      <w:rFonts w:cs="Times New Roman"/>
      <w:b/>
      <w:smallCaps/>
      <w:color w:val="C0504D"/>
      <w:spacing w:val="5"/>
      <w:u w:val="single"/>
    </w:rPr>
  </w:style>
  <w:style w:type="character" w:customStyle="1" w:styleId="208">
    <w:name w:val="书籍标题1"/>
    <w:autoRedefine/>
    <w:qFormat/>
    <w:uiPriority w:val="0"/>
    <w:rPr>
      <w:b/>
      <w:bCs/>
      <w:smallCaps/>
      <w:spacing w:val="5"/>
    </w:rPr>
  </w:style>
  <w:style w:type="character" w:customStyle="1" w:styleId="209">
    <w:name w:val="Char Char13"/>
    <w:basedOn w:val="48"/>
    <w:autoRedefine/>
    <w:qFormat/>
    <w:locked/>
    <w:uiPriority w:val="0"/>
    <w:rPr>
      <w:rFonts w:ascii="Cambria" w:hAnsi="Cambria" w:eastAsia="宋体"/>
      <w:b/>
      <w:bCs/>
      <w:kern w:val="2"/>
      <w:sz w:val="24"/>
      <w:szCs w:val="24"/>
      <w:lang w:val="en-US" w:eastAsia="zh-CN" w:bidi="ar-SA"/>
    </w:rPr>
  </w:style>
  <w:style w:type="character" w:customStyle="1" w:styleId="210">
    <w:name w:val="Char Char12"/>
    <w:basedOn w:val="48"/>
    <w:autoRedefine/>
    <w:qFormat/>
    <w:locked/>
    <w:uiPriority w:val="0"/>
    <w:rPr>
      <w:rFonts w:ascii="Calibri" w:hAnsi="Calibri" w:eastAsia="宋体"/>
      <w:b/>
      <w:bCs/>
      <w:kern w:val="2"/>
      <w:sz w:val="24"/>
      <w:szCs w:val="24"/>
      <w:lang w:val="en-US" w:eastAsia="zh-CN" w:bidi="ar-SA"/>
    </w:rPr>
  </w:style>
  <w:style w:type="character" w:customStyle="1" w:styleId="211">
    <w:name w:val="日期 Char1"/>
    <w:autoRedefine/>
    <w:qFormat/>
    <w:uiPriority w:val="0"/>
    <w:rPr>
      <w:kern w:val="2"/>
      <w:sz w:val="22"/>
    </w:rPr>
  </w:style>
  <w:style w:type="character" w:customStyle="1" w:styleId="212">
    <w:name w:val="Quote Char1"/>
    <w:basedOn w:val="48"/>
    <w:autoRedefine/>
    <w:qFormat/>
    <w:locked/>
    <w:uiPriority w:val="0"/>
    <w:rPr>
      <w:rFonts w:cs="Times New Roman"/>
      <w:i/>
      <w:iCs/>
      <w:color w:val="000000"/>
    </w:rPr>
  </w:style>
  <w:style w:type="character" w:customStyle="1" w:styleId="213">
    <w:name w:val="Char Char Char Char Char Char"/>
    <w:basedOn w:val="48"/>
    <w:link w:val="141"/>
    <w:autoRedefine/>
    <w:qFormat/>
    <w:uiPriority w:val="0"/>
    <w:rPr>
      <w:kern w:val="2"/>
      <w:sz w:val="21"/>
      <w:szCs w:val="24"/>
    </w:rPr>
  </w:style>
  <w:style w:type="character" w:customStyle="1" w:styleId="214">
    <w:name w:val="Char Char6"/>
    <w:autoRedefine/>
    <w:qFormat/>
    <w:locked/>
    <w:uiPriority w:val="0"/>
    <w:rPr>
      <w:rFonts w:eastAsia="宋体"/>
      <w:kern w:val="2"/>
      <w:sz w:val="18"/>
      <w:lang w:val="en-US" w:eastAsia="zh-CN" w:bidi="ar-SA"/>
    </w:rPr>
  </w:style>
  <w:style w:type="character" w:customStyle="1" w:styleId="215">
    <w:name w:val="不明显强调1"/>
    <w:basedOn w:val="48"/>
    <w:autoRedefine/>
    <w:qFormat/>
    <w:uiPriority w:val="0"/>
    <w:rPr>
      <w:rFonts w:cs="Times New Roman"/>
      <w:i/>
      <w:color w:val="808080"/>
    </w:rPr>
  </w:style>
  <w:style w:type="character" w:customStyle="1" w:styleId="216">
    <w:name w:val="批注框文本 Char1"/>
    <w:autoRedefine/>
    <w:qFormat/>
    <w:uiPriority w:val="0"/>
    <w:rPr>
      <w:kern w:val="2"/>
      <w:sz w:val="18"/>
    </w:rPr>
  </w:style>
  <w:style w:type="character" w:customStyle="1" w:styleId="217">
    <w:name w:val="引用 Char"/>
    <w:autoRedefine/>
    <w:qFormat/>
    <w:uiPriority w:val="0"/>
    <w:rPr>
      <w:i/>
      <w:iCs/>
      <w:color w:val="000000"/>
      <w:kern w:val="2"/>
      <w:sz w:val="21"/>
      <w:szCs w:val="22"/>
    </w:rPr>
  </w:style>
  <w:style w:type="character" w:customStyle="1" w:styleId="218">
    <w:name w:val="批注主题 Char1"/>
    <w:autoRedefine/>
    <w:qFormat/>
    <w:uiPriority w:val="0"/>
    <w:rPr>
      <w:b/>
      <w:kern w:val="2"/>
      <w:sz w:val="22"/>
    </w:rPr>
  </w:style>
  <w:style w:type="character" w:customStyle="1" w:styleId="219">
    <w:name w:val="首行缩进两字 Char1"/>
    <w:basedOn w:val="48"/>
    <w:link w:val="169"/>
    <w:autoRedefine/>
    <w:qFormat/>
    <w:uiPriority w:val="0"/>
    <w:rPr>
      <w:rFonts w:ascii="宋体" w:hAnsi="宋体"/>
      <w:color w:val="000000"/>
      <w:kern w:val="2"/>
      <w:sz w:val="28"/>
    </w:rPr>
  </w:style>
  <w:style w:type="character" w:customStyle="1" w:styleId="220">
    <w:name w:val="Heading 3 Char"/>
    <w:basedOn w:val="48"/>
    <w:autoRedefine/>
    <w:qFormat/>
    <w:locked/>
    <w:uiPriority w:val="0"/>
    <w:rPr>
      <w:rFonts w:cs="Times New Roman"/>
      <w:b/>
      <w:kern w:val="2"/>
      <w:sz w:val="32"/>
    </w:rPr>
  </w:style>
  <w:style w:type="character" w:customStyle="1" w:styleId="221">
    <w:name w:val="明显引用 Char1"/>
    <w:basedOn w:val="48"/>
    <w:link w:val="176"/>
    <w:autoRedefine/>
    <w:qFormat/>
    <w:uiPriority w:val="0"/>
    <w:rPr>
      <w:b/>
      <w:bCs/>
      <w:i/>
      <w:iCs/>
      <w:color w:val="4F81BD"/>
      <w:kern w:val="2"/>
      <w:sz w:val="21"/>
      <w:szCs w:val="22"/>
    </w:rPr>
  </w:style>
  <w:style w:type="character" w:customStyle="1" w:styleId="222">
    <w:name w:val="Char Char18"/>
    <w:basedOn w:val="48"/>
    <w:autoRedefine/>
    <w:qFormat/>
    <w:uiPriority w:val="0"/>
    <w:rPr>
      <w:rFonts w:eastAsia="宋体"/>
      <w:b/>
      <w:kern w:val="44"/>
      <w:sz w:val="44"/>
      <w:lang w:val="en-US" w:eastAsia="zh-CN" w:bidi="ar-SA"/>
    </w:rPr>
  </w:style>
  <w:style w:type="character" w:customStyle="1" w:styleId="223">
    <w:name w:val="文档结构图 Char1"/>
    <w:autoRedefine/>
    <w:qFormat/>
    <w:uiPriority w:val="0"/>
    <w:rPr>
      <w:rFonts w:ascii="宋体"/>
      <w:kern w:val="2"/>
      <w:sz w:val="18"/>
    </w:rPr>
  </w:style>
  <w:style w:type="character" w:customStyle="1" w:styleId="224">
    <w:name w:val="dash6b63_6587__char1"/>
    <w:autoRedefine/>
    <w:qFormat/>
    <w:uiPriority w:val="0"/>
    <w:rPr>
      <w:rFonts w:hint="default" w:ascii="Calibri" w:hAnsi="Calibri" w:cs="Calibri"/>
      <w:sz w:val="20"/>
      <w:szCs w:val="20"/>
    </w:rPr>
  </w:style>
  <w:style w:type="character" w:customStyle="1" w:styleId="225">
    <w:name w:val="Intense Quote Char1"/>
    <w:basedOn w:val="48"/>
    <w:autoRedefine/>
    <w:qFormat/>
    <w:locked/>
    <w:uiPriority w:val="0"/>
    <w:rPr>
      <w:rFonts w:cs="Times New Roman"/>
      <w:b/>
      <w:bCs/>
      <w:i/>
      <w:iCs/>
      <w:color w:val="4F81BD"/>
    </w:rPr>
  </w:style>
  <w:style w:type="character" w:customStyle="1" w:styleId="226">
    <w:name w:val="引用 Char1"/>
    <w:basedOn w:val="48"/>
    <w:link w:val="159"/>
    <w:autoRedefine/>
    <w:qFormat/>
    <w:uiPriority w:val="0"/>
    <w:rPr>
      <w:i/>
      <w:iCs/>
      <w:color w:val="000000"/>
      <w:kern w:val="2"/>
      <w:sz w:val="21"/>
      <w:szCs w:val="22"/>
    </w:rPr>
  </w:style>
  <w:style w:type="character" w:customStyle="1" w:styleId="227">
    <w:name w:val="正文文本 Char1"/>
    <w:autoRedefine/>
    <w:qFormat/>
    <w:uiPriority w:val="0"/>
    <w:rPr>
      <w:kern w:val="2"/>
      <w:sz w:val="22"/>
    </w:rPr>
  </w:style>
  <w:style w:type="character" w:customStyle="1" w:styleId="228">
    <w:name w:val="副标题 Char1"/>
    <w:basedOn w:val="48"/>
    <w:autoRedefine/>
    <w:qFormat/>
    <w:uiPriority w:val="11"/>
    <w:rPr>
      <w:rFonts w:ascii="Cambria" w:hAnsi="Cambria" w:cs="Times New Roman"/>
      <w:b/>
      <w:bCs/>
      <w:kern w:val="28"/>
      <w:sz w:val="32"/>
      <w:szCs w:val="32"/>
    </w:rPr>
  </w:style>
  <w:style w:type="character" w:customStyle="1" w:styleId="229">
    <w:name w:val="书籍标题2"/>
    <w:basedOn w:val="48"/>
    <w:autoRedefine/>
    <w:qFormat/>
    <w:uiPriority w:val="0"/>
    <w:rPr>
      <w:rFonts w:cs="Times New Roman"/>
      <w:b/>
      <w:smallCaps/>
      <w:spacing w:val="5"/>
    </w:rPr>
  </w:style>
  <w:style w:type="character" w:customStyle="1" w:styleId="230">
    <w:name w:val="批注文字 Char Char"/>
    <w:autoRedefine/>
    <w:qFormat/>
    <w:uiPriority w:val="0"/>
    <w:rPr>
      <w:rFonts w:ascii="宋体" w:hAnsi="Times New Roman" w:eastAsia="宋体"/>
      <w:sz w:val="20"/>
    </w:rPr>
  </w:style>
  <w:style w:type="character" w:customStyle="1" w:styleId="231">
    <w:name w:val="Title Char"/>
    <w:autoRedefine/>
    <w:qFormat/>
    <w:locked/>
    <w:uiPriority w:val="0"/>
    <w:rPr>
      <w:rFonts w:ascii="Cambria" w:hAnsi="Cambria"/>
      <w:b/>
      <w:kern w:val="2"/>
      <w:sz w:val="32"/>
    </w:rPr>
  </w:style>
  <w:style w:type="character" w:customStyle="1" w:styleId="232">
    <w:name w:val="Heading 1 Char"/>
    <w:basedOn w:val="48"/>
    <w:autoRedefine/>
    <w:qFormat/>
    <w:locked/>
    <w:uiPriority w:val="0"/>
    <w:rPr>
      <w:rFonts w:cs="Times New Roman"/>
      <w:b/>
      <w:kern w:val="44"/>
      <w:sz w:val="44"/>
    </w:rPr>
  </w:style>
  <w:style w:type="character" w:customStyle="1" w:styleId="233">
    <w:name w:val="Title Char1"/>
    <w:basedOn w:val="48"/>
    <w:autoRedefine/>
    <w:qFormat/>
    <w:locked/>
    <w:uiPriority w:val="0"/>
    <w:rPr>
      <w:rFonts w:ascii="Cambria" w:hAnsi="Cambria" w:cs="Times New Roman"/>
      <w:b/>
      <w:bCs/>
      <w:sz w:val="32"/>
      <w:szCs w:val="32"/>
    </w:rPr>
  </w:style>
  <w:style w:type="character" w:customStyle="1" w:styleId="234">
    <w:name w:val="Quote Char"/>
    <w:link w:val="183"/>
    <w:autoRedefine/>
    <w:qFormat/>
    <w:locked/>
    <w:uiPriority w:val="0"/>
    <w:rPr>
      <w:i/>
      <w:color w:val="000000"/>
      <w:kern w:val="2"/>
      <w:sz w:val="22"/>
    </w:rPr>
  </w:style>
  <w:style w:type="character" w:customStyle="1" w:styleId="235">
    <w:name w:val="标题 2 Char"/>
    <w:basedOn w:val="48"/>
    <w:link w:val="3"/>
    <w:autoRedefine/>
    <w:qFormat/>
    <w:uiPriority w:val="0"/>
    <w:rPr>
      <w:rFonts w:ascii="微软雅黑" w:hAnsi="微软雅黑" w:eastAsia="微软雅黑" w:cs="微软雅黑"/>
      <w:b/>
    </w:rPr>
  </w:style>
  <w:style w:type="character" w:customStyle="1" w:styleId="236">
    <w:name w:val="不明显强调2"/>
    <w:autoRedefine/>
    <w:qFormat/>
    <w:uiPriority w:val="0"/>
    <w:rPr>
      <w:i/>
      <w:iCs/>
      <w:color w:val="808080"/>
    </w:rPr>
  </w:style>
  <w:style w:type="character" w:customStyle="1" w:styleId="237">
    <w:name w:val="Char Char16"/>
    <w:basedOn w:val="48"/>
    <w:autoRedefine/>
    <w:qFormat/>
    <w:uiPriority w:val="0"/>
    <w:rPr>
      <w:rFonts w:eastAsia="宋体"/>
      <w:b/>
      <w:kern w:val="2"/>
      <w:sz w:val="32"/>
      <w:lang w:val="en-US" w:eastAsia="zh-CN"/>
    </w:rPr>
  </w:style>
  <w:style w:type="character" w:customStyle="1" w:styleId="238">
    <w:name w:val="明显参考2"/>
    <w:autoRedefine/>
    <w:qFormat/>
    <w:uiPriority w:val="0"/>
    <w:rPr>
      <w:b/>
      <w:bCs/>
      <w:smallCaps/>
      <w:color w:val="C0504D"/>
      <w:spacing w:val="5"/>
      <w:u w:val="single"/>
    </w:rPr>
  </w:style>
  <w:style w:type="character" w:customStyle="1" w:styleId="239">
    <w:name w:val="明显强调2"/>
    <w:autoRedefine/>
    <w:qFormat/>
    <w:uiPriority w:val="0"/>
    <w:rPr>
      <w:b/>
      <w:bCs/>
      <w:i/>
      <w:iCs/>
      <w:color w:val="4F81BD"/>
    </w:rPr>
  </w:style>
  <w:style w:type="character" w:customStyle="1" w:styleId="240">
    <w:name w:val="标题4 Char Char"/>
    <w:link w:val="167"/>
    <w:autoRedefine/>
    <w:qFormat/>
    <w:locked/>
    <w:uiPriority w:val="0"/>
    <w:rPr>
      <w:rFonts w:ascii="Arial" w:hAnsi="Arial"/>
      <w:b/>
      <w:sz w:val="32"/>
    </w:rPr>
  </w:style>
  <w:style w:type="paragraph" w:customStyle="1" w:styleId="241">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2">
    <w:name w:val="WPSOffice手动目录 1"/>
    <w:autoRedefine/>
    <w:qFormat/>
    <w:uiPriority w:val="0"/>
    <w:rPr>
      <w:rFonts w:ascii="Times New Roman" w:hAnsi="Times New Roman" w:eastAsia="宋体" w:cs="Times New Roman"/>
      <w:lang w:val="en-US" w:eastAsia="zh-CN" w:bidi="ar-SA"/>
    </w:rPr>
  </w:style>
  <w:style w:type="character" w:customStyle="1" w:styleId="243">
    <w:name w:val="页脚 Char1"/>
    <w:basedOn w:val="48"/>
    <w:autoRedefine/>
    <w:qFormat/>
    <w:uiPriority w:val="0"/>
    <w:rPr>
      <w:kern w:val="2"/>
      <w:sz w:val="18"/>
      <w:szCs w:val="18"/>
    </w:rPr>
  </w:style>
  <w:style w:type="paragraph" w:customStyle="1" w:styleId="244">
    <w:name w:val="Table Paragraph"/>
    <w:basedOn w:val="1"/>
    <w:autoRedefine/>
    <w:qFormat/>
    <w:uiPriority w:val="1"/>
    <w:rPr>
      <w:rFonts w:ascii="宋体" w:hAnsi="宋体" w:cs="宋体"/>
      <w:lang w:val="zh-CN" w:bidi="zh-CN"/>
    </w:rPr>
  </w:style>
  <w:style w:type="paragraph" w:customStyle="1" w:styleId="245">
    <w:name w:val="11"/>
    <w:basedOn w:val="246"/>
    <w:autoRedefine/>
    <w:qFormat/>
    <w:uiPriority w:val="0"/>
    <w:pPr>
      <w:spacing w:line="360" w:lineRule="auto"/>
      <w:ind w:firstLine="420" w:firstLineChars="200"/>
    </w:pPr>
    <w:rPr>
      <w:rFonts w:ascii="Arial" w:hAnsi="Arial" w:cs="宋体"/>
      <w:color w:val="000000"/>
      <w:sz w:val="21"/>
    </w:rPr>
  </w:style>
  <w:style w:type="paragraph" w:customStyle="1" w:styleId="246">
    <w:name w:val="文档正文"/>
    <w:basedOn w:val="1"/>
    <w:autoRedefine/>
    <w:qFormat/>
    <w:uiPriority w:val="0"/>
    <w:pPr>
      <w:adjustRightInd w:val="0"/>
      <w:spacing w:line="480" w:lineRule="atLeast"/>
      <w:ind w:firstLine="567"/>
      <w:textAlignment w:val="baseline"/>
    </w:pPr>
    <w:rPr>
      <w:kern w:val="0"/>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4"/>
    <customShpInfo spid="_x0000_s307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D3538D-BB83-4963-B236-6D29CBB308D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25629</Words>
  <Characters>27908</Characters>
  <Lines>226</Lines>
  <Paragraphs>63</Paragraphs>
  <TotalTime>74</TotalTime>
  <ScaleCrop>false</ScaleCrop>
  <LinksUpToDate>false</LinksUpToDate>
  <CharactersWithSpaces>30432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2021-06-23T00:12:00Z</dcterms:created>
  <dc:creator>User</dc:creator>
  <cp:lastModifiedBy>暖暖 </cp:lastModifiedBy>
  <cp:lastPrinted>2024-02-26T16:51:00Z</cp:lastPrinted>
  <dcterms:modified xsi:type="dcterms:W3CDTF">2024-06-21T02:00:18Z</dcterms:modified>
  <dc:title>驻马店市政府采购货物项目</dc:title>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E3C897D47A804E34A2E600ADF0319C1F</vt:lpwstr>
  </property>
</Properties>
</file>