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0" w:lineRule="atLeast"/>
        <w:rPr>
          <w:rFonts w:hint="eastAsia" w:ascii="宋体" w:hAnsi="宋体" w:cs="宋体"/>
          <w:b/>
          <w:bCs/>
          <w:color w:val="auto"/>
          <w:kern w:val="0"/>
          <w:sz w:val="52"/>
          <w:szCs w:val="52"/>
        </w:rPr>
      </w:pPr>
    </w:p>
    <w:p>
      <w:pPr>
        <w:widowControl/>
        <w:wordWrap w:val="0"/>
        <w:spacing w:line="0" w:lineRule="atLeast"/>
        <w:jc w:val="center"/>
        <w:rPr>
          <w:rFonts w:hint="eastAsia" w:ascii="宋体" w:hAnsi="宋体" w:cs="宋体"/>
          <w:b/>
          <w:bCs/>
          <w:color w:val="auto"/>
          <w:kern w:val="0"/>
          <w:sz w:val="44"/>
          <w:szCs w:val="36"/>
        </w:rPr>
      </w:pPr>
      <w:r>
        <w:rPr>
          <w:rFonts w:hint="eastAsia" w:ascii="宋体" w:hAnsi="宋体" w:cs="宋体"/>
          <w:b/>
          <w:bCs/>
          <w:color w:val="auto"/>
          <w:kern w:val="0"/>
          <w:sz w:val="52"/>
          <w:szCs w:val="52"/>
        </w:rPr>
        <w:t>确山县第二高级中学分校采购教育教学设备项目(二次)</w:t>
      </w:r>
    </w:p>
    <w:p>
      <w:pPr>
        <w:pStyle w:val="11"/>
        <w:ind w:firstLine="210"/>
        <w:rPr>
          <w:color w:val="auto"/>
        </w:rPr>
      </w:pPr>
    </w:p>
    <w:p>
      <w:pPr>
        <w:pStyle w:val="13"/>
        <w:rPr>
          <w:color w:val="auto"/>
        </w:rPr>
      </w:pPr>
    </w:p>
    <w:p>
      <w:pPr>
        <w:widowControl/>
        <w:wordWrap w:val="0"/>
        <w:spacing w:line="0" w:lineRule="atLeast"/>
        <w:jc w:val="center"/>
        <w:rPr>
          <w:rFonts w:hint="eastAsia" w:ascii="宋体" w:hAnsi="宋体" w:cs="宋体"/>
          <w:b/>
          <w:color w:val="auto"/>
          <w:kern w:val="0"/>
          <w:sz w:val="72"/>
          <w:szCs w:val="72"/>
        </w:rPr>
      </w:pPr>
      <w:r>
        <w:rPr>
          <w:rFonts w:hint="eastAsia" w:ascii="宋体" w:hAnsi="宋体" w:cs="宋体"/>
          <w:b/>
          <w:bCs/>
          <w:color w:val="auto"/>
          <w:kern w:val="0"/>
          <w:sz w:val="72"/>
          <w:szCs w:val="72"/>
        </w:rPr>
        <w:t>招标文件</w:t>
      </w:r>
    </w:p>
    <w:p>
      <w:pPr>
        <w:widowControl/>
        <w:wordWrap w:val="0"/>
        <w:spacing w:before="156" w:after="156" w:line="0" w:lineRule="atLeast"/>
        <w:jc w:val="center"/>
        <w:rPr>
          <w:rFonts w:hint="eastAsia" w:ascii="宋体" w:hAnsi="宋体" w:cs="宋体"/>
          <w:b/>
          <w:color w:val="auto"/>
          <w:kern w:val="0"/>
          <w:sz w:val="28"/>
        </w:rPr>
      </w:pPr>
      <w:r>
        <w:rPr>
          <w:rStyle w:val="42"/>
          <w:rFonts w:hint="eastAsia" w:ascii="宋体" w:hAnsi="宋体"/>
          <w:color w:val="auto"/>
          <w:sz w:val="32"/>
          <w:szCs w:val="22"/>
        </w:rPr>
        <w:t>项目编号：确政采招-2025-03-9</w:t>
      </w:r>
    </w:p>
    <w:p>
      <w:pPr>
        <w:widowControl/>
        <w:wordWrap w:val="0"/>
        <w:spacing w:before="156" w:after="156"/>
        <w:jc w:val="center"/>
        <w:rPr>
          <w:rFonts w:hint="eastAsia" w:ascii="宋体" w:hAnsi="宋体" w:cs="宋体"/>
          <w:b/>
          <w:color w:val="auto"/>
          <w:kern w:val="0"/>
          <w:sz w:val="24"/>
        </w:rPr>
      </w:pPr>
    </w:p>
    <w:p>
      <w:pPr>
        <w:pStyle w:val="26"/>
        <w:ind w:firstLine="480"/>
        <w:rPr>
          <w:rFonts w:hint="eastAsia"/>
          <w:color w:val="auto"/>
        </w:rPr>
      </w:pPr>
    </w:p>
    <w:p>
      <w:pPr>
        <w:widowControl/>
        <w:wordWrap w:val="0"/>
        <w:spacing w:before="156" w:after="156"/>
        <w:jc w:val="center"/>
        <w:rPr>
          <w:rFonts w:hint="eastAsia" w:ascii="宋体" w:hAnsi="宋体" w:cs="宋体"/>
          <w:b/>
          <w:color w:val="auto"/>
          <w:kern w:val="0"/>
          <w:sz w:val="24"/>
        </w:rPr>
      </w:pPr>
    </w:p>
    <w:p>
      <w:pPr>
        <w:pStyle w:val="11"/>
        <w:ind w:firstLine="241"/>
        <w:rPr>
          <w:rFonts w:hint="eastAsia" w:ascii="宋体" w:hAnsi="宋体" w:cs="宋体"/>
          <w:b/>
          <w:color w:val="auto"/>
          <w:kern w:val="0"/>
          <w:sz w:val="24"/>
        </w:rPr>
      </w:pPr>
    </w:p>
    <w:p>
      <w:pPr>
        <w:rPr>
          <w:rFonts w:hint="eastAsia" w:ascii="宋体" w:hAnsi="宋体" w:cs="宋体"/>
          <w:b/>
          <w:color w:val="auto"/>
          <w:kern w:val="0"/>
          <w:sz w:val="24"/>
        </w:rPr>
      </w:pPr>
    </w:p>
    <w:p>
      <w:pPr>
        <w:pStyle w:val="11"/>
        <w:ind w:firstLine="241"/>
        <w:rPr>
          <w:rFonts w:hint="eastAsia" w:ascii="宋体" w:hAnsi="宋体" w:cs="宋体"/>
          <w:b/>
          <w:color w:val="auto"/>
          <w:kern w:val="0"/>
          <w:sz w:val="24"/>
        </w:rPr>
      </w:pPr>
    </w:p>
    <w:p>
      <w:pPr>
        <w:rPr>
          <w:rFonts w:hint="eastAsia" w:ascii="宋体" w:hAnsi="宋体" w:cs="宋体"/>
          <w:b/>
          <w:color w:val="auto"/>
          <w:kern w:val="0"/>
          <w:sz w:val="24"/>
        </w:rPr>
      </w:pPr>
    </w:p>
    <w:p>
      <w:pPr>
        <w:pStyle w:val="11"/>
        <w:ind w:firstLine="241"/>
        <w:rPr>
          <w:rFonts w:hint="eastAsia" w:ascii="宋体" w:hAnsi="宋体" w:cs="宋体"/>
          <w:b/>
          <w:color w:val="auto"/>
          <w:kern w:val="0"/>
          <w:sz w:val="24"/>
        </w:rPr>
      </w:pPr>
    </w:p>
    <w:p>
      <w:pPr>
        <w:rPr>
          <w:color w:val="auto"/>
        </w:rPr>
      </w:pPr>
    </w:p>
    <w:p>
      <w:pPr>
        <w:rPr>
          <w:rFonts w:hint="eastAsia" w:ascii="宋体" w:hAnsi="宋体" w:cs="宋体"/>
          <w:b/>
          <w:color w:val="auto"/>
          <w:kern w:val="0"/>
          <w:sz w:val="24"/>
        </w:rPr>
      </w:pPr>
    </w:p>
    <w:p>
      <w:pPr>
        <w:pStyle w:val="26"/>
        <w:ind w:firstLine="480"/>
        <w:rPr>
          <w:rFonts w:hint="eastAsia"/>
          <w:color w:val="auto"/>
        </w:rPr>
      </w:pPr>
    </w:p>
    <w:p>
      <w:pPr>
        <w:pStyle w:val="11"/>
        <w:ind w:firstLine="241"/>
        <w:rPr>
          <w:rFonts w:hint="eastAsia" w:ascii="宋体" w:hAnsi="宋体" w:cs="宋体"/>
          <w:b/>
          <w:color w:val="auto"/>
          <w:kern w:val="0"/>
          <w:sz w:val="24"/>
        </w:rPr>
      </w:pPr>
    </w:p>
    <w:p>
      <w:pPr>
        <w:rPr>
          <w:rFonts w:hint="eastAsia" w:ascii="宋体" w:hAnsi="宋体" w:cs="宋体"/>
          <w:b/>
          <w:color w:val="auto"/>
          <w:kern w:val="0"/>
          <w:sz w:val="24"/>
        </w:rPr>
      </w:pPr>
    </w:p>
    <w:p>
      <w:pPr>
        <w:widowControl/>
        <w:shd w:val="clear" w:color="auto" w:fill="FFFFFF"/>
        <w:adjustRightInd w:val="0"/>
        <w:snapToGrid w:val="0"/>
        <w:spacing w:line="360" w:lineRule="auto"/>
        <w:ind w:firstLine="1083" w:firstLineChars="200"/>
        <w:jc w:val="left"/>
        <w:rPr>
          <w:rFonts w:hint="eastAsia" w:ascii="宋体" w:hAnsi="宋体" w:cs="宋体"/>
          <w:b/>
          <w:bCs/>
          <w:color w:val="auto"/>
          <w:spacing w:val="20"/>
          <w:kern w:val="0"/>
          <w:sz w:val="36"/>
          <w:szCs w:val="36"/>
        </w:rPr>
      </w:pPr>
      <w:r>
        <w:rPr>
          <w:rFonts w:hint="eastAsia" w:ascii="宋体" w:hAnsi="宋体" w:cs="宋体"/>
          <w:b/>
          <w:bCs/>
          <w:color w:val="auto"/>
          <w:spacing w:val="90"/>
          <w:kern w:val="0"/>
          <w:sz w:val="36"/>
          <w:szCs w:val="36"/>
          <w:fitText w:val="1440" w:id="0"/>
        </w:rPr>
        <w:t>采购</w:t>
      </w:r>
      <w:r>
        <w:rPr>
          <w:rFonts w:hint="eastAsia" w:ascii="宋体" w:hAnsi="宋体" w:cs="宋体"/>
          <w:b/>
          <w:bCs/>
          <w:color w:val="auto"/>
          <w:spacing w:val="0"/>
          <w:kern w:val="0"/>
          <w:sz w:val="36"/>
          <w:szCs w:val="36"/>
          <w:fitText w:val="1440" w:id="0"/>
        </w:rPr>
        <w:t>人</w:t>
      </w:r>
      <w:r>
        <w:rPr>
          <w:rFonts w:hint="eastAsia" w:ascii="宋体" w:hAnsi="宋体" w:cs="宋体"/>
          <w:b/>
          <w:bCs/>
          <w:color w:val="auto"/>
          <w:sz w:val="36"/>
          <w:szCs w:val="36"/>
        </w:rPr>
        <w:t>：</w:t>
      </w:r>
      <w:r>
        <w:rPr>
          <w:rFonts w:hint="eastAsia" w:ascii="宋体" w:hAnsi="宋体" w:cs="宋体"/>
          <w:b/>
          <w:bCs/>
          <w:color w:val="auto"/>
          <w:spacing w:val="20"/>
          <w:kern w:val="0"/>
          <w:sz w:val="36"/>
          <w:szCs w:val="36"/>
        </w:rPr>
        <w:t xml:space="preserve">确山县第二高级中学      </w:t>
      </w:r>
    </w:p>
    <w:p>
      <w:pPr>
        <w:widowControl/>
        <w:shd w:val="clear" w:color="auto" w:fill="FFFFFF"/>
        <w:adjustRightInd w:val="0"/>
        <w:snapToGrid w:val="0"/>
        <w:spacing w:line="360" w:lineRule="auto"/>
        <w:ind w:firstLine="1084" w:firstLineChars="300"/>
        <w:jc w:val="left"/>
        <w:rPr>
          <w:rFonts w:hint="eastAsia" w:ascii="宋体" w:hAnsi="宋体" w:cs="宋体"/>
          <w:b/>
          <w:bCs/>
          <w:color w:val="auto"/>
          <w:spacing w:val="20"/>
          <w:kern w:val="0"/>
          <w:sz w:val="36"/>
          <w:szCs w:val="36"/>
        </w:rPr>
      </w:pPr>
      <w:r>
        <w:rPr>
          <w:rFonts w:hint="eastAsia" w:ascii="宋体" w:hAnsi="宋体" w:cs="宋体"/>
          <w:b/>
          <w:bCs/>
          <w:color w:val="auto"/>
          <w:spacing w:val="0"/>
          <w:kern w:val="0"/>
          <w:sz w:val="36"/>
          <w:szCs w:val="36"/>
          <w:fitText w:val="1440" w:id="1"/>
        </w:rPr>
        <w:t>代理机构</w:t>
      </w:r>
      <w:r>
        <w:rPr>
          <w:rFonts w:hint="eastAsia" w:ascii="宋体" w:hAnsi="宋体" w:cs="宋体"/>
          <w:b/>
          <w:bCs/>
          <w:color w:val="auto"/>
          <w:kern w:val="0"/>
          <w:sz w:val="36"/>
          <w:szCs w:val="36"/>
        </w:rPr>
        <w:t>：</w:t>
      </w:r>
      <w:r>
        <w:rPr>
          <w:rFonts w:hint="eastAsia" w:ascii="宋体" w:hAnsi="宋体" w:cs="宋体"/>
          <w:b/>
          <w:bCs/>
          <w:color w:val="auto"/>
          <w:spacing w:val="20"/>
          <w:kern w:val="0"/>
          <w:sz w:val="36"/>
          <w:szCs w:val="36"/>
        </w:rPr>
        <w:t>确山县公共资源交易中心</w:t>
      </w:r>
    </w:p>
    <w:p>
      <w:pPr>
        <w:widowControl/>
        <w:shd w:val="clear" w:color="auto" w:fill="FFFFFF"/>
        <w:adjustRightInd w:val="0"/>
        <w:snapToGrid w:val="0"/>
        <w:spacing w:line="360" w:lineRule="auto"/>
        <w:ind w:firstLine="1081" w:firstLineChars="100"/>
        <w:jc w:val="left"/>
        <w:rPr>
          <w:rFonts w:hint="eastAsia" w:ascii="宋体" w:hAnsi="宋体" w:cs="宋体"/>
          <w:b/>
          <w:bCs/>
          <w:color w:val="auto"/>
          <w:spacing w:val="20"/>
          <w:kern w:val="0"/>
          <w:sz w:val="28"/>
          <w:szCs w:val="28"/>
          <w:u w:val="single"/>
        </w:rPr>
      </w:pPr>
      <w:r>
        <w:rPr>
          <w:rFonts w:hint="eastAsia" w:ascii="宋体" w:hAnsi="宋体" w:cs="宋体"/>
          <w:b/>
          <w:bCs/>
          <w:color w:val="auto"/>
          <w:spacing w:val="360"/>
          <w:kern w:val="0"/>
          <w:sz w:val="36"/>
          <w:szCs w:val="36"/>
          <w:fitText w:val="1440" w:id="2"/>
        </w:rPr>
        <w:t>时</w:t>
      </w:r>
      <w:r>
        <w:rPr>
          <w:rFonts w:hint="eastAsia" w:ascii="宋体" w:hAnsi="宋体" w:cs="宋体"/>
          <w:b/>
          <w:bCs/>
          <w:color w:val="auto"/>
          <w:spacing w:val="0"/>
          <w:kern w:val="0"/>
          <w:sz w:val="36"/>
          <w:szCs w:val="36"/>
          <w:fitText w:val="1440" w:id="2"/>
        </w:rPr>
        <w:t>间</w:t>
      </w:r>
      <w:r>
        <w:rPr>
          <w:rFonts w:hint="eastAsia" w:ascii="宋体" w:hAnsi="宋体" w:cs="宋体"/>
          <w:b/>
          <w:bCs/>
          <w:color w:val="auto"/>
          <w:kern w:val="0"/>
          <w:sz w:val="36"/>
          <w:szCs w:val="36"/>
        </w:rPr>
        <w:t>：</w:t>
      </w:r>
      <w:r>
        <w:rPr>
          <w:rFonts w:hint="eastAsia" w:ascii="宋体" w:hAnsi="宋体" w:cs="宋体"/>
          <w:b/>
          <w:bCs/>
          <w:color w:val="auto"/>
          <w:spacing w:val="20"/>
          <w:kern w:val="0"/>
          <w:sz w:val="36"/>
          <w:szCs w:val="36"/>
        </w:rPr>
        <w:t>二○二五年</w:t>
      </w:r>
      <w:r>
        <w:rPr>
          <w:rFonts w:hint="eastAsia" w:ascii="宋体" w:hAnsi="宋体" w:cs="宋体"/>
          <w:b/>
          <w:bCs/>
          <w:color w:val="auto"/>
          <w:spacing w:val="20"/>
          <w:kern w:val="0"/>
          <w:sz w:val="36"/>
          <w:szCs w:val="36"/>
          <w:lang w:val="en-US" w:eastAsia="zh-CN"/>
        </w:rPr>
        <w:t>七</w:t>
      </w:r>
      <w:r>
        <w:rPr>
          <w:rFonts w:hint="eastAsia" w:ascii="宋体" w:hAnsi="宋体" w:cs="宋体"/>
          <w:b/>
          <w:bCs/>
          <w:color w:val="auto"/>
          <w:spacing w:val="20"/>
          <w:kern w:val="0"/>
          <w:sz w:val="36"/>
          <w:szCs w:val="36"/>
        </w:rPr>
        <w:t xml:space="preserve">月     </w:t>
      </w:r>
      <w:r>
        <w:rPr>
          <w:rFonts w:hint="eastAsia" w:ascii="宋体" w:hAnsi="宋体" w:cs="宋体"/>
          <w:b/>
          <w:bCs/>
          <w:color w:val="auto"/>
          <w:spacing w:val="20"/>
          <w:kern w:val="0"/>
          <w:sz w:val="28"/>
          <w:szCs w:val="28"/>
        </w:rPr>
        <w:t xml:space="preserve">  </w:t>
      </w:r>
      <w:r>
        <w:rPr>
          <w:rFonts w:hint="eastAsia" w:ascii="宋体" w:hAnsi="宋体" w:cs="宋体"/>
          <w:b/>
          <w:bCs/>
          <w:color w:val="auto"/>
          <w:spacing w:val="20"/>
          <w:kern w:val="0"/>
          <w:sz w:val="28"/>
          <w:szCs w:val="28"/>
          <w:u w:val="single"/>
        </w:rPr>
        <w:t xml:space="preserve">   </w:t>
      </w:r>
    </w:p>
    <w:p>
      <w:pPr>
        <w:widowControl/>
        <w:wordWrap w:val="0"/>
        <w:spacing w:before="156" w:after="156" w:line="360" w:lineRule="auto"/>
        <w:jc w:val="center"/>
        <w:rPr>
          <w:rFonts w:hint="eastAsia" w:ascii="宋体" w:hAnsi="宋体" w:cs="宋体"/>
          <w:b/>
          <w:color w:val="auto"/>
          <w:kern w:val="0"/>
          <w:sz w:val="36"/>
          <w:szCs w:val="36"/>
        </w:rPr>
      </w:pPr>
      <w:r>
        <w:rPr>
          <w:rFonts w:hint="eastAsia" w:ascii="黑体" w:hAnsi="宋体" w:eastAsia="黑体" w:cs="宋体"/>
          <w:b/>
          <w:color w:val="auto"/>
          <w:kern w:val="0"/>
          <w:sz w:val="36"/>
          <w:szCs w:val="36"/>
        </w:rPr>
        <w:br w:type="page"/>
      </w:r>
      <w:r>
        <w:rPr>
          <w:rFonts w:hint="eastAsia" w:ascii="宋体" w:hAnsi="宋体" w:cs="宋体"/>
          <w:b/>
          <w:color w:val="auto"/>
          <w:kern w:val="0"/>
          <w:sz w:val="36"/>
          <w:szCs w:val="36"/>
        </w:rPr>
        <w:t>目   录</w:t>
      </w:r>
    </w:p>
    <w:p>
      <w:pPr>
        <w:widowControl/>
        <w:wordWrap w:val="0"/>
        <w:spacing w:before="156" w:beforeLines="50" w:line="480" w:lineRule="exact"/>
        <w:ind w:firstLine="1680" w:firstLineChars="600"/>
        <w:jc w:val="left"/>
        <w:rPr>
          <w:rFonts w:hint="eastAsia" w:ascii="宋体" w:hAnsi="宋体" w:cs="宋体"/>
          <w:color w:val="auto"/>
          <w:kern w:val="0"/>
          <w:sz w:val="28"/>
          <w:szCs w:val="28"/>
        </w:rPr>
      </w:pPr>
      <w:r>
        <w:rPr>
          <w:rFonts w:hint="eastAsia" w:ascii="宋体" w:hAnsi="宋体" w:cs="宋体"/>
          <w:color w:val="auto"/>
          <w:kern w:val="0"/>
          <w:sz w:val="28"/>
          <w:szCs w:val="28"/>
        </w:rPr>
        <w:t>第一章    招标公告</w:t>
      </w:r>
    </w:p>
    <w:p>
      <w:pPr>
        <w:widowControl/>
        <w:wordWrap w:val="0"/>
        <w:spacing w:before="156" w:beforeLines="50" w:line="480" w:lineRule="exact"/>
        <w:ind w:firstLine="1680" w:firstLineChars="600"/>
        <w:jc w:val="left"/>
        <w:rPr>
          <w:rFonts w:hint="eastAsia" w:ascii="宋体" w:hAnsi="宋体" w:cs="宋体"/>
          <w:color w:val="auto"/>
          <w:kern w:val="0"/>
          <w:sz w:val="28"/>
          <w:szCs w:val="28"/>
        </w:rPr>
      </w:pPr>
      <w:r>
        <w:rPr>
          <w:rFonts w:hint="eastAsia" w:ascii="宋体" w:hAnsi="宋体" w:cs="宋体"/>
          <w:color w:val="auto"/>
          <w:kern w:val="0"/>
          <w:sz w:val="28"/>
          <w:szCs w:val="28"/>
        </w:rPr>
        <w:t>第二章    招标需求</w:t>
      </w:r>
    </w:p>
    <w:p>
      <w:pPr>
        <w:widowControl/>
        <w:wordWrap w:val="0"/>
        <w:spacing w:before="156" w:beforeLines="50" w:line="480" w:lineRule="exact"/>
        <w:ind w:firstLine="1680" w:firstLineChars="600"/>
        <w:jc w:val="left"/>
        <w:rPr>
          <w:rFonts w:hint="eastAsia" w:ascii="宋体" w:hAnsi="宋体" w:cs="宋体"/>
          <w:color w:val="auto"/>
          <w:kern w:val="0"/>
          <w:sz w:val="28"/>
          <w:szCs w:val="28"/>
        </w:rPr>
      </w:pPr>
      <w:r>
        <w:rPr>
          <w:rFonts w:hint="eastAsia" w:ascii="宋体" w:hAnsi="宋体" w:cs="宋体"/>
          <w:color w:val="auto"/>
          <w:kern w:val="0"/>
          <w:sz w:val="28"/>
          <w:szCs w:val="28"/>
        </w:rPr>
        <w:t>第三章    投标人须知</w:t>
      </w:r>
    </w:p>
    <w:p>
      <w:pPr>
        <w:widowControl/>
        <w:wordWrap w:val="0"/>
        <w:spacing w:before="156" w:beforeLines="50" w:line="480" w:lineRule="exact"/>
        <w:ind w:firstLine="3080" w:firstLineChars="1100"/>
        <w:jc w:val="left"/>
        <w:rPr>
          <w:rFonts w:hint="eastAsia" w:ascii="宋体" w:hAnsi="宋体" w:cs="宋体"/>
          <w:color w:val="auto"/>
          <w:kern w:val="0"/>
          <w:sz w:val="28"/>
          <w:szCs w:val="28"/>
        </w:rPr>
      </w:pPr>
      <w:r>
        <w:rPr>
          <w:rFonts w:hint="eastAsia" w:ascii="宋体" w:hAnsi="宋体" w:cs="宋体"/>
          <w:color w:val="auto"/>
          <w:kern w:val="0"/>
          <w:sz w:val="28"/>
          <w:szCs w:val="28"/>
        </w:rPr>
        <w:t>投标人须知前附表</w:t>
      </w:r>
    </w:p>
    <w:p>
      <w:pPr>
        <w:widowControl/>
        <w:wordWrap w:val="0"/>
        <w:spacing w:before="156" w:beforeLines="50" w:line="480" w:lineRule="exact"/>
        <w:ind w:firstLine="3080" w:firstLineChars="1100"/>
        <w:jc w:val="left"/>
        <w:rPr>
          <w:rFonts w:hint="eastAsia" w:ascii="宋体" w:hAnsi="宋体" w:cs="宋体"/>
          <w:color w:val="auto"/>
          <w:kern w:val="0"/>
          <w:sz w:val="28"/>
          <w:szCs w:val="28"/>
        </w:rPr>
      </w:pPr>
      <w:r>
        <w:rPr>
          <w:rFonts w:hint="eastAsia" w:ascii="宋体" w:hAnsi="宋体" w:cs="宋体"/>
          <w:color w:val="auto"/>
          <w:kern w:val="0"/>
          <w:sz w:val="28"/>
          <w:szCs w:val="28"/>
        </w:rPr>
        <w:t>一.说明</w:t>
      </w:r>
    </w:p>
    <w:p>
      <w:pPr>
        <w:widowControl/>
        <w:wordWrap w:val="0"/>
        <w:spacing w:before="156" w:beforeLines="50" w:line="480" w:lineRule="exact"/>
        <w:ind w:left="1619" w:leftChars="771" w:firstLine="1400" w:firstLineChars="500"/>
        <w:jc w:val="left"/>
        <w:rPr>
          <w:rFonts w:hint="eastAsia" w:ascii="宋体" w:hAnsi="宋体" w:cs="宋体"/>
          <w:color w:val="auto"/>
          <w:kern w:val="0"/>
          <w:sz w:val="28"/>
          <w:szCs w:val="28"/>
        </w:rPr>
      </w:pPr>
      <w:r>
        <w:rPr>
          <w:rFonts w:hint="eastAsia" w:ascii="宋体" w:hAnsi="宋体" w:cs="宋体"/>
          <w:color w:val="auto"/>
          <w:kern w:val="0"/>
          <w:sz w:val="28"/>
          <w:szCs w:val="28"/>
        </w:rPr>
        <w:t>二.招标文件</w:t>
      </w:r>
    </w:p>
    <w:p>
      <w:pPr>
        <w:widowControl/>
        <w:wordWrap w:val="0"/>
        <w:spacing w:before="156" w:beforeLines="50" w:line="480" w:lineRule="exact"/>
        <w:ind w:left="1619" w:leftChars="771" w:firstLine="1400" w:firstLineChars="500"/>
        <w:jc w:val="left"/>
        <w:rPr>
          <w:rFonts w:hint="eastAsia" w:ascii="宋体" w:hAnsi="宋体" w:cs="宋体"/>
          <w:color w:val="auto"/>
          <w:kern w:val="0"/>
          <w:sz w:val="28"/>
          <w:szCs w:val="28"/>
        </w:rPr>
      </w:pPr>
      <w:r>
        <w:rPr>
          <w:rFonts w:hint="eastAsia" w:ascii="宋体" w:hAnsi="宋体" w:cs="宋体"/>
          <w:color w:val="auto"/>
          <w:kern w:val="0"/>
          <w:sz w:val="28"/>
          <w:szCs w:val="28"/>
        </w:rPr>
        <w:t>三.投标文件的编制</w:t>
      </w:r>
    </w:p>
    <w:p>
      <w:pPr>
        <w:widowControl/>
        <w:wordWrap w:val="0"/>
        <w:spacing w:before="156" w:beforeLines="50" w:line="480" w:lineRule="exact"/>
        <w:ind w:left="1619" w:leftChars="771" w:firstLine="1400" w:firstLineChars="500"/>
        <w:jc w:val="left"/>
        <w:rPr>
          <w:rFonts w:hint="eastAsia" w:ascii="宋体" w:hAnsi="宋体" w:cs="宋体"/>
          <w:color w:val="auto"/>
          <w:kern w:val="0"/>
          <w:sz w:val="28"/>
          <w:szCs w:val="28"/>
        </w:rPr>
      </w:pPr>
      <w:r>
        <w:rPr>
          <w:rFonts w:hint="eastAsia" w:ascii="宋体" w:hAnsi="宋体" w:cs="宋体"/>
          <w:color w:val="auto"/>
          <w:kern w:val="0"/>
          <w:sz w:val="28"/>
          <w:szCs w:val="28"/>
        </w:rPr>
        <w:t>四.投标文件的的上传、提交</w:t>
      </w:r>
    </w:p>
    <w:p>
      <w:pPr>
        <w:widowControl/>
        <w:wordWrap w:val="0"/>
        <w:spacing w:before="156" w:beforeLines="50" w:line="480" w:lineRule="exact"/>
        <w:ind w:left="1619" w:leftChars="771" w:firstLine="1400" w:firstLineChars="500"/>
        <w:jc w:val="left"/>
        <w:rPr>
          <w:rFonts w:hint="eastAsia" w:ascii="宋体" w:hAnsi="宋体" w:cs="宋体"/>
          <w:color w:val="auto"/>
          <w:kern w:val="0"/>
          <w:sz w:val="28"/>
          <w:szCs w:val="28"/>
        </w:rPr>
      </w:pPr>
      <w:r>
        <w:rPr>
          <w:rFonts w:hint="eastAsia" w:ascii="宋体" w:hAnsi="宋体" w:cs="宋体"/>
          <w:color w:val="auto"/>
          <w:kern w:val="0"/>
          <w:sz w:val="28"/>
          <w:szCs w:val="28"/>
        </w:rPr>
        <w:t>五.开标</w:t>
      </w:r>
    </w:p>
    <w:p>
      <w:pPr>
        <w:widowControl/>
        <w:wordWrap w:val="0"/>
        <w:spacing w:before="156" w:beforeLines="50" w:line="480" w:lineRule="exact"/>
        <w:ind w:left="1619" w:leftChars="771" w:firstLine="1400" w:firstLineChars="500"/>
        <w:jc w:val="left"/>
        <w:rPr>
          <w:rFonts w:hint="eastAsia" w:ascii="宋体" w:hAnsi="宋体" w:cs="宋体"/>
          <w:color w:val="auto"/>
          <w:kern w:val="0"/>
          <w:sz w:val="28"/>
          <w:szCs w:val="28"/>
        </w:rPr>
      </w:pPr>
      <w:r>
        <w:rPr>
          <w:rFonts w:hint="eastAsia" w:ascii="宋体" w:hAnsi="宋体" w:cs="宋体"/>
          <w:color w:val="auto"/>
          <w:kern w:val="0"/>
          <w:sz w:val="28"/>
          <w:szCs w:val="28"/>
        </w:rPr>
        <w:t>六.评标</w:t>
      </w:r>
    </w:p>
    <w:p>
      <w:pPr>
        <w:widowControl/>
        <w:wordWrap w:val="0"/>
        <w:spacing w:before="156" w:beforeLines="50" w:line="480" w:lineRule="exact"/>
        <w:ind w:left="1619" w:leftChars="771" w:firstLine="1400" w:firstLineChars="500"/>
        <w:jc w:val="left"/>
        <w:rPr>
          <w:rFonts w:hint="eastAsia" w:ascii="宋体" w:hAnsi="宋体" w:cs="宋体"/>
          <w:color w:val="auto"/>
          <w:kern w:val="0"/>
          <w:sz w:val="28"/>
          <w:szCs w:val="28"/>
        </w:rPr>
      </w:pPr>
      <w:r>
        <w:rPr>
          <w:rFonts w:hint="eastAsia" w:ascii="宋体" w:hAnsi="宋体" w:cs="宋体"/>
          <w:color w:val="auto"/>
          <w:kern w:val="0"/>
          <w:sz w:val="28"/>
          <w:szCs w:val="28"/>
        </w:rPr>
        <w:t>七.定标</w:t>
      </w:r>
    </w:p>
    <w:p>
      <w:pPr>
        <w:widowControl/>
        <w:wordWrap w:val="0"/>
        <w:spacing w:before="156" w:beforeLines="50" w:line="480" w:lineRule="exact"/>
        <w:ind w:left="1619" w:leftChars="771" w:firstLine="1400" w:firstLineChars="500"/>
        <w:jc w:val="left"/>
        <w:rPr>
          <w:rFonts w:hint="eastAsia" w:ascii="宋体" w:hAnsi="宋体" w:cs="宋体"/>
          <w:color w:val="auto"/>
          <w:kern w:val="0"/>
          <w:sz w:val="28"/>
          <w:szCs w:val="28"/>
        </w:rPr>
      </w:pPr>
      <w:r>
        <w:rPr>
          <w:rFonts w:hint="eastAsia" w:ascii="宋体" w:hAnsi="宋体" w:cs="宋体"/>
          <w:color w:val="auto"/>
          <w:kern w:val="0"/>
          <w:sz w:val="28"/>
          <w:szCs w:val="28"/>
        </w:rPr>
        <w:t>八.合同授予</w:t>
      </w:r>
    </w:p>
    <w:p>
      <w:pPr>
        <w:widowControl/>
        <w:wordWrap w:val="0"/>
        <w:spacing w:before="156" w:beforeLines="50" w:line="480" w:lineRule="exact"/>
        <w:ind w:firstLine="1680" w:firstLineChars="600"/>
        <w:jc w:val="left"/>
        <w:rPr>
          <w:rFonts w:hint="eastAsia" w:ascii="宋体" w:hAnsi="宋体" w:cs="宋体"/>
          <w:color w:val="auto"/>
          <w:kern w:val="0"/>
          <w:sz w:val="28"/>
          <w:szCs w:val="28"/>
        </w:rPr>
      </w:pPr>
      <w:r>
        <w:rPr>
          <w:rFonts w:hint="eastAsia" w:ascii="宋体" w:hAnsi="宋体" w:cs="宋体"/>
          <w:color w:val="auto"/>
          <w:kern w:val="0"/>
          <w:sz w:val="28"/>
          <w:szCs w:val="28"/>
        </w:rPr>
        <w:t>第四章    评标办法及评分标准</w:t>
      </w:r>
    </w:p>
    <w:p>
      <w:pPr>
        <w:widowControl/>
        <w:wordWrap w:val="0"/>
        <w:spacing w:before="156" w:beforeLines="50" w:line="480" w:lineRule="exact"/>
        <w:ind w:firstLine="1680" w:firstLineChars="600"/>
        <w:jc w:val="left"/>
        <w:rPr>
          <w:rFonts w:hint="eastAsia" w:ascii="宋体" w:hAnsi="宋体" w:cs="宋体"/>
          <w:color w:val="auto"/>
          <w:kern w:val="0"/>
          <w:sz w:val="28"/>
          <w:szCs w:val="28"/>
        </w:rPr>
      </w:pPr>
      <w:r>
        <w:rPr>
          <w:rFonts w:hint="eastAsia" w:ascii="宋体" w:hAnsi="宋体" w:cs="宋体"/>
          <w:color w:val="auto"/>
          <w:kern w:val="0"/>
          <w:sz w:val="28"/>
          <w:szCs w:val="28"/>
        </w:rPr>
        <w:t>第五章    政府采购合同主要条款</w:t>
      </w:r>
    </w:p>
    <w:p>
      <w:pPr>
        <w:widowControl/>
        <w:wordWrap w:val="0"/>
        <w:spacing w:before="156" w:beforeLines="50" w:line="480" w:lineRule="exact"/>
        <w:ind w:firstLine="1680" w:firstLineChars="600"/>
        <w:jc w:val="left"/>
        <w:rPr>
          <w:rFonts w:hint="eastAsia" w:ascii="宋体" w:hAnsi="宋体" w:cs="宋体"/>
          <w:color w:val="auto"/>
          <w:kern w:val="0"/>
          <w:sz w:val="28"/>
          <w:szCs w:val="28"/>
        </w:rPr>
      </w:pPr>
      <w:r>
        <w:rPr>
          <w:rFonts w:hint="eastAsia" w:ascii="宋体" w:hAnsi="宋体" w:cs="宋体"/>
          <w:color w:val="auto"/>
          <w:kern w:val="0"/>
          <w:sz w:val="28"/>
          <w:szCs w:val="28"/>
        </w:rPr>
        <w:t>第六章    投标文件格式</w:t>
      </w:r>
    </w:p>
    <w:p>
      <w:pPr>
        <w:widowControl/>
        <w:wordWrap w:val="0"/>
        <w:spacing w:before="156" w:beforeLines="50" w:line="480" w:lineRule="exact"/>
        <w:ind w:firstLine="1680" w:firstLineChars="600"/>
        <w:jc w:val="left"/>
        <w:rPr>
          <w:rFonts w:hint="eastAsia" w:ascii="宋体" w:hAnsi="宋体" w:cs="宋体"/>
          <w:color w:val="auto"/>
          <w:kern w:val="0"/>
          <w:sz w:val="24"/>
        </w:rPr>
      </w:pPr>
      <w:r>
        <w:rPr>
          <w:rFonts w:hint="eastAsia" w:ascii="宋体" w:hAnsi="宋体" w:cs="宋体"/>
          <w:color w:val="auto"/>
          <w:kern w:val="0"/>
          <w:sz w:val="28"/>
          <w:szCs w:val="28"/>
        </w:rPr>
        <w:t>第七章    政府采购合同融资政策告知函</w:t>
      </w:r>
      <w:r>
        <w:rPr>
          <w:rFonts w:hint="eastAsia" w:ascii="宋体" w:hAnsi="宋体" w:cs="宋体"/>
          <w:color w:val="auto"/>
          <w:kern w:val="0"/>
          <w:sz w:val="24"/>
        </w:rPr>
        <w:t xml:space="preserve"> </w:t>
      </w:r>
    </w:p>
    <w:p>
      <w:pPr>
        <w:pStyle w:val="11"/>
        <w:wordWrap w:val="0"/>
        <w:ind w:firstLine="210"/>
        <w:rPr>
          <w:color w:val="auto"/>
        </w:rPr>
      </w:pPr>
    </w:p>
    <w:p>
      <w:pPr>
        <w:widowControl/>
        <w:wordWrap w:val="0"/>
        <w:spacing w:before="156" w:beforeLines="50" w:line="480" w:lineRule="exact"/>
        <w:ind w:left="134" w:leftChars="64" w:firstLine="2040" w:firstLineChars="850"/>
        <w:jc w:val="left"/>
        <w:rPr>
          <w:rFonts w:hint="eastAsia" w:ascii="宋体" w:hAnsi="宋体" w:cs="宋体"/>
          <w:color w:val="auto"/>
          <w:kern w:val="0"/>
          <w:sz w:val="24"/>
        </w:rPr>
      </w:pPr>
      <w:r>
        <w:rPr>
          <w:rFonts w:hint="eastAsia" w:ascii="宋体" w:hAnsi="宋体" w:cs="宋体"/>
          <w:color w:val="auto"/>
          <w:kern w:val="0"/>
          <w:sz w:val="24"/>
        </w:rPr>
        <w:t xml:space="preserve"> </w:t>
      </w:r>
    </w:p>
    <w:p>
      <w:pPr>
        <w:widowControl/>
        <w:wordWrap w:val="0"/>
        <w:spacing w:before="156" w:beforeLines="50" w:line="480" w:lineRule="exact"/>
        <w:ind w:left="134" w:leftChars="64" w:firstLine="2550" w:firstLineChars="850"/>
        <w:jc w:val="left"/>
        <w:rPr>
          <w:rFonts w:ascii="宋体" w:cs="宋体"/>
          <w:color w:val="auto"/>
          <w:kern w:val="0"/>
          <w:sz w:val="30"/>
        </w:rPr>
      </w:pPr>
      <w:r>
        <w:rPr>
          <w:rFonts w:hint="eastAsia" w:ascii="宋体" w:cs="宋体"/>
          <w:color w:val="auto"/>
          <w:kern w:val="0"/>
          <w:sz w:val="30"/>
        </w:rPr>
        <w:t xml:space="preserve"> </w:t>
      </w:r>
    </w:p>
    <w:p>
      <w:pPr>
        <w:widowControl/>
        <w:wordWrap w:val="0"/>
        <w:spacing w:before="156" w:beforeLines="50" w:line="480" w:lineRule="exact"/>
        <w:ind w:left="134" w:leftChars="64" w:firstLine="2550" w:firstLineChars="850"/>
        <w:jc w:val="left"/>
        <w:rPr>
          <w:rFonts w:ascii="宋体" w:cs="宋体"/>
          <w:color w:val="auto"/>
          <w:kern w:val="0"/>
          <w:sz w:val="30"/>
        </w:rPr>
      </w:pPr>
      <w:r>
        <w:rPr>
          <w:rFonts w:hint="eastAsia" w:ascii="宋体" w:cs="宋体"/>
          <w:color w:val="auto"/>
          <w:kern w:val="0"/>
          <w:sz w:val="30"/>
        </w:rPr>
        <w:t xml:space="preserve"> </w:t>
      </w:r>
    </w:p>
    <w:p>
      <w:pPr>
        <w:wordWrap w:val="0"/>
        <w:spacing w:line="440" w:lineRule="exact"/>
        <w:ind w:firstLine="643" w:firstLineChars="200"/>
        <w:jc w:val="center"/>
        <w:rPr>
          <w:rFonts w:hint="eastAsia" w:ascii="宋体" w:hAnsi="宋体" w:cs="宋体"/>
          <w:b/>
          <w:color w:val="auto"/>
          <w:kern w:val="0"/>
          <w:sz w:val="32"/>
          <w:szCs w:val="32"/>
        </w:rPr>
        <w:sectPr>
          <w:pgSz w:w="11906" w:h="16838"/>
          <w:pgMar w:top="1440" w:right="1800" w:bottom="1440" w:left="1800" w:header="851" w:footer="992" w:gutter="0"/>
          <w:pgNumType w:fmt="numberInDash" w:start="1"/>
          <w:cols w:space="720" w:num="1"/>
          <w:docGrid w:type="lines" w:linePitch="312" w:charSpace="0"/>
        </w:sectPr>
      </w:pPr>
    </w:p>
    <w:p>
      <w:pPr>
        <w:wordWrap w:val="0"/>
        <w:spacing w:line="480" w:lineRule="atLeast"/>
        <w:jc w:val="center"/>
        <w:outlineLvl w:val="0"/>
        <w:rPr>
          <w:rFonts w:hint="eastAsia" w:ascii="宋体" w:hAnsi="宋体" w:cs="宋体"/>
          <w:b/>
          <w:color w:val="auto"/>
          <w:kern w:val="0"/>
          <w:sz w:val="24"/>
        </w:rPr>
      </w:pPr>
      <w:r>
        <w:rPr>
          <w:rFonts w:hint="eastAsia" w:ascii="宋体" w:hAnsi="宋体" w:cs="宋体"/>
          <w:b/>
          <w:color w:val="auto"/>
          <w:kern w:val="0"/>
          <w:sz w:val="32"/>
          <w:szCs w:val="32"/>
        </w:rPr>
        <w:t>第一章 招标公告</w:t>
      </w:r>
    </w:p>
    <w:p>
      <w:pPr>
        <w:wordWrap w:val="0"/>
        <w:spacing w:line="500" w:lineRule="exact"/>
        <w:rPr>
          <w:rFonts w:hint="eastAsia" w:ascii="宋体" w:hAnsi="宋体" w:cs="宋体"/>
          <w:b/>
          <w:bCs/>
          <w:color w:val="auto"/>
          <w:sz w:val="24"/>
        </w:rPr>
      </w:pPr>
      <w:bookmarkStart w:id="0" w:name="_Toc35393621"/>
      <w:bookmarkStart w:id="1" w:name="_Toc28359002"/>
      <w:bookmarkStart w:id="2" w:name="_Toc28359079"/>
      <w:bookmarkStart w:id="3" w:name="_Toc35393790"/>
      <w:bookmarkStart w:id="4" w:name="_Toc365"/>
      <w:bookmarkStart w:id="5" w:name="_Hlk24379207"/>
      <w:r>
        <w:rPr>
          <w:rFonts w:hint="eastAsia" w:ascii="宋体" w:hAnsi="宋体" w:cs="宋体"/>
          <w:b/>
          <w:bCs/>
          <w:color w:val="auto"/>
          <w:sz w:val="24"/>
        </w:rPr>
        <w:t>项目概况</w:t>
      </w:r>
    </w:p>
    <w:p>
      <w:pPr>
        <w:wordWrap w:val="0"/>
        <w:spacing w:line="360" w:lineRule="auto"/>
        <w:ind w:firstLine="480" w:firstLineChars="200"/>
        <w:outlineLvl w:val="1"/>
        <w:rPr>
          <w:rFonts w:hint="eastAsia" w:ascii="宋体" w:hAnsi="宋体" w:cs="宋体"/>
          <w:color w:val="auto"/>
          <w:sz w:val="24"/>
        </w:rPr>
      </w:pPr>
      <w:r>
        <w:rPr>
          <w:rFonts w:hint="eastAsia" w:ascii="宋体" w:hAnsi="宋体" w:cs="宋体"/>
          <w:color w:val="auto"/>
          <w:sz w:val="24"/>
          <w:u w:val="single"/>
        </w:rPr>
        <w:t>确山县第二高级中学分校采购教育教学设备项目</w:t>
      </w:r>
      <w:r>
        <w:rPr>
          <w:rFonts w:hint="eastAsia" w:ascii="宋体" w:hAnsi="宋体" w:cs="宋体"/>
          <w:color w:val="auto"/>
          <w:sz w:val="24"/>
        </w:rPr>
        <w:t>的潜在供应商应在驻马店市公共资源交易中心（https：//ggzy.zhumadian.gov.cn/）网站获取招标文件，并于</w:t>
      </w:r>
      <w:r>
        <w:rPr>
          <w:rFonts w:hint="eastAsia" w:ascii="宋体" w:hAnsi="宋体" w:cs="宋体"/>
          <w:color w:val="auto"/>
          <w:sz w:val="24"/>
          <w:u w:val="single"/>
        </w:rPr>
        <w:t>2025</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8</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8</w:t>
      </w:r>
      <w:r>
        <w:rPr>
          <w:rFonts w:hint="eastAsia" w:ascii="宋体" w:hAnsi="宋体" w:cs="宋体"/>
          <w:color w:val="auto"/>
          <w:sz w:val="24"/>
          <w:u w:val="single"/>
        </w:rPr>
        <w:t xml:space="preserve"> </w:t>
      </w:r>
      <w:r>
        <w:rPr>
          <w:rFonts w:hint="eastAsia" w:ascii="宋体" w:hAnsi="宋体" w:cs="宋体"/>
          <w:color w:val="auto"/>
          <w:sz w:val="24"/>
        </w:rPr>
        <w:t>日</w:t>
      </w:r>
      <w:r>
        <w:rPr>
          <w:rFonts w:hint="eastAsia" w:ascii="宋体" w:hAnsi="宋体" w:cs="宋体"/>
          <w:color w:val="auto"/>
          <w:sz w:val="24"/>
          <w:u w:val="single"/>
        </w:rPr>
        <w:t>09</w:t>
      </w:r>
      <w:r>
        <w:rPr>
          <w:rFonts w:hint="eastAsia" w:ascii="宋体" w:hAnsi="宋体" w:cs="宋体"/>
          <w:color w:val="auto"/>
          <w:sz w:val="24"/>
        </w:rPr>
        <w:t>点</w:t>
      </w:r>
      <w:r>
        <w:rPr>
          <w:rFonts w:hint="eastAsia" w:ascii="宋体" w:hAnsi="宋体" w:cs="宋体"/>
          <w:color w:val="auto"/>
          <w:sz w:val="24"/>
          <w:u w:val="single"/>
        </w:rPr>
        <w:t>00</w:t>
      </w:r>
      <w:r>
        <w:rPr>
          <w:rFonts w:hint="eastAsia" w:ascii="宋体" w:hAnsi="宋体" w:cs="宋体"/>
          <w:color w:val="auto"/>
          <w:sz w:val="24"/>
        </w:rPr>
        <w:t>分（北京时间）前递交投标文件。</w:t>
      </w:r>
    </w:p>
    <w:p>
      <w:pPr>
        <w:wordWrap w:val="0"/>
        <w:spacing w:line="360" w:lineRule="auto"/>
        <w:outlineLvl w:val="1"/>
        <w:rPr>
          <w:rFonts w:hint="eastAsia" w:ascii="宋体" w:hAnsi="宋体" w:cs="宋体"/>
          <w:b/>
          <w:color w:val="auto"/>
          <w:sz w:val="24"/>
        </w:rPr>
      </w:pPr>
      <w:r>
        <w:rPr>
          <w:rFonts w:hint="eastAsia" w:ascii="宋体" w:hAnsi="宋体" w:cs="宋体"/>
          <w:b/>
          <w:color w:val="auto"/>
          <w:sz w:val="24"/>
        </w:rPr>
        <w:t>一、项目基本情况</w:t>
      </w:r>
      <w:bookmarkEnd w:id="0"/>
      <w:bookmarkEnd w:id="1"/>
      <w:bookmarkEnd w:id="2"/>
      <w:bookmarkEnd w:id="3"/>
      <w:r>
        <w:rPr>
          <w:rFonts w:hint="eastAsia" w:ascii="宋体" w:hAnsi="宋体" w:cs="宋体"/>
          <w:b/>
          <w:color w:val="auto"/>
          <w:sz w:val="24"/>
        </w:rPr>
        <w:t>：</w:t>
      </w:r>
      <w:bookmarkEnd w:id="4"/>
    </w:p>
    <w:bookmarkEnd w:id="5"/>
    <w:p>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1、采购项目编号：确政采招-2025-03-9</w:t>
      </w:r>
    </w:p>
    <w:p>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2、采购项目名称：确山县第二高级中学分校采购教育教学设备项目</w:t>
      </w:r>
    </w:p>
    <w:p>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3、采购方式：公开招标</w:t>
      </w:r>
    </w:p>
    <w:p>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4、预算金额：2367896.00元   最高限价：2367896.00元</w:t>
      </w:r>
    </w:p>
    <w:tbl>
      <w:tblPr>
        <w:tblStyle w:val="47"/>
        <w:tblpPr w:leftFromText="180" w:rightFromText="180" w:vertAnchor="text" w:horzAnchor="page" w:tblpX="1739" w:tblpY="616"/>
        <w:tblOverlap w:val="never"/>
        <w:tblW w:w="8408" w:type="dxa"/>
        <w:tblInd w:w="0" w:type="dxa"/>
        <w:tblLayout w:type="fixed"/>
        <w:tblCellMar>
          <w:top w:w="0" w:type="dxa"/>
          <w:left w:w="0" w:type="dxa"/>
          <w:bottom w:w="0" w:type="dxa"/>
          <w:right w:w="0" w:type="dxa"/>
        </w:tblCellMar>
      </w:tblPr>
      <w:tblGrid>
        <w:gridCol w:w="708"/>
        <w:gridCol w:w="1690"/>
        <w:gridCol w:w="2740"/>
        <w:gridCol w:w="1480"/>
        <w:gridCol w:w="1790"/>
      </w:tblGrid>
      <w:tr>
        <w:tblPrEx>
          <w:tblLayout w:type="fixed"/>
          <w:tblCellMar>
            <w:top w:w="0" w:type="dxa"/>
            <w:left w:w="0" w:type="dxa"/>
            <w:bottom w:w="0" w:type="dxa"/>
            <w:right w:w="0" w:type="dxa"/>
          </w:tblCellMar>
        </w:tblPrEx>
        <w:trPr>
          <w:trHeight w:val="857" w:hRule="atLeast"/>
        </w:trPr>
        <w:tc>
          <w:tcPr>
            <w:tcW w:w="708"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ordWrap w:val="0"/>
              <w:spacing w:line="360" w:lineRule="auto"/>
              <w:jc w:val="center"/>
              <w:rPr>
                <w:rFonts w:hint="eastAsia" w:ascii="宋体" w:hAnsi="宋体" w:cs="宋体"/>
                <w:color w:val="auto"/>
                <w:sz w:val="24"/>
              </w:rPr>
            </w:pPr>
            <w:r>
              <w:rPr>
                <w:rFonts w:hint="eastAsia" w:ascii="宋体" w:hAnsi="宋体" w:cs="宋体"/>
                <w:color w:val="auto"/>
                <w:sz w:val="24"/>
              </w:rPr>
              <w:t>序号</w:t>
            </w:r>
          </w:p>
        </w:tc>
        <w:tc>
          <w:tcPr>
            <w:tcW w:w="1690" w:type="dxa"/>
            <w:tcBorders>
              <w:top w:val="single" w:color="auto" w:sz="2" w:space="0"/>
              <w:left w:val="single" w:color="auto" w:sz="2" w:space="0"/>
              <w:bottom w:val="single" w:color="auto" w:sz="2" w:space="0"/>
              <w:right w:val="single" w:color="auto" w:sz="2" w:space="0"/>
            </w:tcBorders>
            <w:vAlign w:val="center"/>
          </w:tcPr>
          <w:p>
            <w:pPr>
              <w:wordWrap w:val="0"/>
              <w:spacing w:line="360" w:lineRule="auto"/>
              <w:jc w:val="center"/>
              <w:rPr>
                <w:rFonts w:hint="eastAsia" w:ascii="宋体" w:hAnsi="宋体" w:cs="宋体"/>
                <w:color w:val="auto"/>
                <w:sz w:val="24"/>
              </w:rPr>
            </w:pPr>
            <w:r>
              <w:rPr>
                <w:rFonts w:hint="eastAsia" w:ascii="宋体" w:hAnsi="宋体" w:cs="宋体"/>
                <w:color w:val="auto"/>
                <w:sz w:val="24"/>
              </w:rPr>
              <w:t>包号</w:t>
            </w:r>
          </w:p>
        </w:tc>
        <w:tc>
          <w:tcPr>
            <w:tcW w:w="2740"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ordWrap w:val="0"/>
              <w:spacing w:line="360" w:lineRule="auto"/>
              <w:jc w:val="center"/>
              <w:rPr>
                <w:rFonts w:hint="eastAsia" w:ascii="宋体" w:hAnsi="宋体" w:cs="宋体"/>
                <w:color w:val="auto"/>
                <w:sz w:val="24"/>
              </w:rPr>
            </w:pPr>
            <w:r>
              <w:rPr>
                <w:rFonts w:hint="eastAsia" w:ascii="宋体" w:hAnsi="宋体" w:cs="宋体"/>
                <w:color w:val="auto"/>
                <w:sz w:val="24"/>
              </w:rPr>
              <w:t>包名称</w:t>
            </w:r>
          </w:p>
        </w:tc>
        <w:tc>
          <w:tcPr>
            <w:tcW w:w="1480"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ordWrap w:val="0"/>
              <w:spacing w:line="360" w:lineRule="auto"/>
              <w:jc w:val="center"/>
              <w:rPr>
                <w:rFonts w:hint="eastAsia" w:ascii="宋体" w:hAnsi="宋体" w:cs="宋体"/>
                <w:color w:val="auto"/>
                <w:sz w:val="24"/>
              </w:rPr>
            </w:pPr>
            <w:r>
              <w:rPr>
                <w:rFonts w:hint="eastAsia" w:ascii="宋体" w:hAnsi="宋体" w:cs="宋体"/>
                <w:color w:val="auto"/>
                <w:sz w:val="24"/>
              </w:rPr>
              <w:t>包预算（元）</w:t>
            </w:r>
          </w:p>
        </w:tc>
        <w:tc>
          <w:tcPr>
            <w:tcW w:w="1790"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ordWrap w:val="0"/>
              <w:spacing w:line="360" w:lineRule="auto"/>
              <w:jc w:val="center"/>
              <w:rPr>
                <w:rFonts w:hint="eastAsia" w:ascii="宋体" w:hAnsi="宋体" w:cs="宋体"/>
                <w:color w:val="auto"/>
                <w:sz w:val="24"/>
              </w:rPr>
            </w:pPr>
            <w:r>
              <w:rPr>
                <w:rFonts w:hint="eastAsia" w:ascii="宋体" w:hAnsi="宋体" w:cs="宋体"/>
                <w:color w:val="auto"/>
                <w:sz w:val="24"/>
              </w:rPr>
              <w:t>包最高限价（元）</w:t>
            </w:r>
          </w:p>
        </w:tc>
      </w:tr>
      <w:tr>
        <w:tblPrEx>
          <w:tblLayout w:type="fixed"/>
          <w:tblCellMar>
            <w:top w:w="0" w:type="dxa"/>
            <w:left w:w="0" w:type="dxa"/>
            <w:bottom w:w="0" w:type="dxa"/>
            <w:right w:w="0" w:type="dxa"/>
          </w:tblCellMar>
        </w:tblPrEx>
        <w:trPr>
          <w:trHeight w:val="1283" w:hRule="atLeast"/>
        </w:trPr>
        <w:tc>
          <w:tcPr>
            <w:tcW w:w="708"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ordWrap w:val="0"/>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690" w:type="dxa"/>
            <w:tcBorders>
              <w:top w:val="single" w:color="auto" w:sz="2" w:space="0"/>
              <w:left w:val="single" w:color="auto" w:sz="2" w:space="0"/>
              <w:bottom w:val="single" w:color="auto" w:sz="2" w:space="0"/>
              <w:right w:val="single" w:color="auto" w:sz="2" w:space="0"/>
            </w:tcBorders>
            <w:vAlign w:val="center"/>
          </w:tcPr>
          <w:p>
            <w:pPr>
              <w:wordWrap w:val="0"/>
              <w:spacing w:line="360" w:lineRule="auto"/>
              <w:jc w:val="center"/>
              <w:rPr>
                <w:rFonts w:hint="eastAsia" w:ascii="宋体" w:hAnsi="宋体" w:cs="宋体"/>
                <w:color w:val="auto"/>
                <w:sz w:val="24"/>
              </w:rPr>
            </w:pPr>
            <w:r>
              <w:rPr>
                <w:rFonts w:hint="eastAsia" w:ascii="宋体" w:hAnsi="宋体" w:cs="宋体"/>
                <w:color w:val="auto"/>
                <w:sz w:val="24"/>
              </w:rPr>
              <w:t>确政采招-2025-03-9A</w:t>
            </w:r>
          </w:p>
        </w:tc>
        <w:tc>
          <w:tcPr>
            <w:tcW w:w="2740"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ordWrap w:val="0"/>
              <w:spacing w:line="360" w:lineRule="auto"/>
              <w:jc w:val="center"/>
              <w:rPr>
                <w:rFonts w:hint="eastAsia" w:ascii="宋体" w:hAnsi="宋体" w:cs="宋体"/>
                <w:color w:val="auto"/>
                <w:sz w:val="24"/>
              </w:rPr>
            </w:pPr>
            <w:r>
              <w:rPr>
                <w:rFonts w:hint="eastAsia" w:ascii="宋体" w:hAnsi="宋体" w:cs="宋体"/>
                <w:color w:val="auto"/>
                <w:sz w:val="24"/>
              </w:rPr>
              <w:t>确山县第二高级中学分校采购教育教学设备项目A包</w:t>
            </w:r>
          </w:p>
        </w:tc>
        <w:tc>
          <w:tcPr>
            <w:tcW w:w="1480"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ordWrap w:val="0"/>
              <w:spacing w:line="360" w:lineRule="auto"/>
              <w:jc w:val="center"/>
              <w:rPr>
                <w:rFonts w:hint="eastAsia" w:ascii="宋体" w:hAnsi="宋体" w:cs="宋体"/>
                <w:color w:val="auto"/>
                <w:sz w:val="24"/>
              </w:rPr>
            </w:pPr>
            <w:r>
              <w:rPr>
                <w:rFonts w:hint="eastAsia" w:ascii="宋体" w:hAnsi="宋体" w:cs="宋体"/>
                <w:color w:val="auto"/>
                <w:sz w:val="24"/>
              </w:rPr>
              <w:t>986000.00</w:t>
            </w:r>
          </w:p>
        </w:tc>
        <w:tc>
          <w:tcPr>
            <w:tcW w:w="1790"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ordWrap w:val="0"/>
              <w:spacing w:line="360" w:lineRule="auto"/>
              <w:jc w:val="center"/>
              <w:rPr>
                <w:rFonts w:hint="eastAsia" w:ascii="宋体" w:hAnsi="宋体" w:cs="宋体"/>
                <w:color w:val="auto"/>
                <w:sz w:val="24"/>
              </w:rPr>
            </w:pPr>
            <w:r>
              <w:rPr>
                <w:rFonts w:hint="eastAsia" w:ascii="宋体" w:hAnsi="宋体" w:cs="宋体"/>
                <w:color w:val="auto"/>
                <w:sz w:val="24"/>
              </w:rPr>
              <w:t>986000.00</w:t>
            </w:r>
          </w:p>
        </w:tc>
      </w:tr>
      <w:tr>
        <w:tblPrEx>
          <w:tblLayout w:type="fixed"/>
          <w:tblCellMar>
            <w:top w:w="0" w:type="dxa"/>
            <w:left w:w="0" w:type="dxa"/>
            <w:bottom w:w="0" w:type="dxa"/>
            <w:right w:w="0" w:type="dxa"/>
          </w:tblCellMar>
        </w:tblPrEx>
        <w:trPr>
          <w:trHeight w:val="1288" w:hRule="atLeast"/>
        </w:trPr>
        <w:tc>
          <w:tcPr>
            <w:tcW w:w="708"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ordWrap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690" w:type="dxa"/>
            <w:tcBorders>
              <w:top w:val="single" w:color="auto" w:sz="2" w:space="0"/>
              <w:left w:val="single" w:color="auto" w:sz="2" w:space="0"/>
              <w:bottom w:val="single" w:color="auto" w:sz="2" w:space="0"/>
              <w:right w:val="single" w:color="auto" w:sz="2" w:space="0"/>
            </w:tcBorders>
            <w:vAlign w:val="center"/>
          </w:tcPr>
          <w:p>
            <w:pPr>
              <w:wordWrap w:val="0"/>
              <w:spacing w:line="360" w:lineRule="auto"/>
              <w:jc w:val="center"/>
              <w:rPr>
                <w:rFonts w:hint="eastAsia" w:ascii="宋体" w:hAnsi="宋体" w:cs="宋体"/>
                <w:color w:val="auto"/>
                <w:sz w:val="24"/>
              </w:rPr>
            </w:pPr>
            <w:r>
              <w:rPr>
                <w:rFonts w:hint="eastAsia" w:ascii="宋体" w:hAnsi="宋体" w:cs="宋体"/>
                <w:color w:val="auto"/>
                <w:sz w:val="24"/>
              </w:rPr>
              <w:t>确政采招-2025-03-9B</w:t>
            </w:r>
          </w:p>
        </w:tc>
        <w:tc>
          <w:tcPr>
            <w:tcW w:w="2740"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ordWrap w:val="0"/>
              <w:spacing w:line="360" w:lineRule="auto"/>
              <w:jc w:val="center"/>
              <w:rPr>
                <w:rFonts w:hint="eastAsia" w:ascii="宋体" w:hAnsi="宋体" w:cs="宋体"/>
                <w:color w:val="auto"/>
                <w:sz w:val="24"/>
              </w:rPr>
            </w:pPr>
            <w:r>
              <w:rPr>
                <w:rFonts w:hint="eastAsia" w:ascii="宋体" w:hAnsi="宋体" w:cs="宋体"/>
                <w:color w:val="auto"/>
                <w:sz w:val="24"/>
              </w:rPr>
              <w:t>确山县第二高级中学分校采购教育教学设备项目B包</w:t>
            </w:r>
          </w:p>
        </w:tc>
        <w:tc>
          <w:tcPr>
            <w:tcW w:w="1480"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ordWrap w:val="0"/>
              <w:spacing w:line="360" w:lineRule="auto"/>
              <w:jc w:val="center"/>
              <w:rPr>
                <w:rFonts w:hint="eastAsia" w:ascii="宋体" w:hAnsi="宋体" w:cs="宋体"/>
                <w:color w:val="auto"/>
                <w:sz w:val="24"/>
              </w:rPr>
            </w:pPr>
            <w:r>
              <w:rPr>
                <w:rFonts w:hint="eastAsia" w:ascii="宋体" w:hAnsi="宋体" w:cs="宋体"/>
                <w:color w:val="auto"/>
                <w:sz w:val="24"/>
              </w:rPr>
              <w:t>1381896.00</w:t>
            </w:r>
          </w:p>
        </w:tc>
        <w:tc>
          <w:tcPr>
            <w:tcW w:w="1790" w:type="dxa"/>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pPr>
              <w:wordWrap w:val="0"/>
              <w:spacing w:line="360" w:lineRule="auto"/>
              <w:jc w:val="center"/>
              <w:rPr>
                <w:rFonts w:hint="eastAsia" w:ascii="宋体" w:hAnsi="宋体" w:cs="宋体"/>
                <w:color w:val="auto"/>
                <w:sz w:val="24"/>
              </w:rPr>
            </w:pPr>
            <w:r>
              <w:rPr>
                <w:rFonts w:hint="eastAsia" w:ascii="宋体" w:hAnsi="宋体" w:cs="宋体"/>
                <w:color w:val="auto"/>
                <w:sz w:val="24"/>
              </w:rPr>
              <w:t>1381896.00</w:t>
            </w:r>
          </w:p>
        </w:tc>
      </w:tr>
    </w:tbl>
    <w:p>
      <w:pPr>
        <w:wordWrap w:val="0"/>
        <w:rPr>
          <w:rFonts w:hint="eastAsia" w:ascii="宋体" w:hAnsi="宋体" w:cs="宋体"/>
          <w:color w:val="auto"/>
          <w:sz w:val="24"/>
        </w:rPr>
      </w:pPr>
    </w:p>
    <w:p>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5、采购需求（包括但不限于标的的名称、数量、简要技术需求或服务要求等）</w:t>
      </w:r>
    </w:p>
    <w:p>
      <w:pPr>
        <w:wordWrap w:val="0"/>
        <w:spacing w:line="360" w:lineRule="auto"/>
        <w:ind w:firstLine="960" w:firstLineChars="400"/>
        <w:rPr>
          <w:rFonts w:hint="eastAsia" w:ascii="宋体" w:hAnsi="宋体" w:cs="宋体"/>
          <w:color w:val="auto"/>
          <w:sz w:val="24"/>
        </w:rPr>
      </w:pPr>
      <w:r>
        <w:rPr>
          <w:rFonts w:hint="eastAsia" w:ascii="宋体" w:hAnsi="宋体" w:cs="宋体"/>
          <w:color w:val="auto"/>
          <w:sz w:val="24"/>
        </w:rPr>
        <w:t>详见招标文件第二章招标需求。</w:t>
      </w:r>
    </w:p>
    <w:p>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6、合同履行期限：合同签订后15日历天</w:t>
      </w:r>
    </w:p>
    <w:p>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7、本项目是否接受联合体投标：否</w:t>
      </w:r>
    </w:p>
    <w:p>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8、是否接受进口产品：否</w:t>
      </w:r>
    </w:p>
    <w:p>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9、是否专门面向中小企业：否</w:t>
      </w:r>
    </w:p>
    <w:p>
      <w:pPr>
        <w:wordWrap w:val="0"/>
        <w:spacing w:line="360" w:lineRule="auto"/>
        <w:outlineLvl w:val="1"/>
        <w:rPr>
          <w:rFonts w:hint="eastAsia" w:ascii="宋体" w:hAnsi="宋体" w:cs="宋体"/>
          <w:b/>
          <w:color w:val="auto"/>
          <w:sz w:val="24"/>
        </w:rPr>
      </w:pPr>
      <w:bookmarkStart w:id="6" w:name="_Toc25732"/>
      <w:bookmarkStart w:id="7" w:name="_Toc28359003"/>
      <w:bookmarkStart w:id="8" w:name="_Toc35393622"/>
      <w:bookmarkStart w:id="9" w:name="_Toc28359080"/>
      <w:bookmarkStart w:id="10" w:name="_Toc35393791"/>
      <w:r>
        <w:rPr>
          <w:rFonts w:hint="eastAsia" w:ascii="宋体" w:hAnsi="宋体" w:cs="宋体"/>
          <w:b/>
          <w:color w:val="auto"/>
          <w:sz w:val="24"/>
        </w:rPr>
        <w:t>二、申请人的资格要求：</w:t>
      </w:r>
      <w:bookmarkEnd w:id="6"/>
      <w:bookmarkEnd w:id="7"/>
      <w:bookmarkEnd w:id="8"/>
      <w:bookmarkEnd w:id="9"/>
      <w:bookmarkEnd w:id="10"/>
    </w:p>
    <w:p>
      <w:pPr>
        <w:wordWrap w:val="0"/>
        <w:spacing w:line="360" w:lineRule="auto"/>
        <w:ind w:firstLine="480" w:firstLineChars="200"/>
        <w:rPr>
          <w:rFonts w:hint="eastAsia" w:ascii="宋体" w:hAnsi="宋体" w:cs="宋体"/>
          <w:color w:val="auto"/>
          <w:sz w:val="24"/>
        </w:rPr>
      </w:pPr>
      <w:bookmarkStart w:id="11" w:name="_Toc28359004"/>
      <w:bookmarkStart w:id="12" w:name="_Toc35393792"/>
      <w:bookmarkStart w:id="13" w:name="_Toc28359081"/>
      <w:bookmarkStart w:id="14" w:name="_Toc35393623"/>
      <w:r>
        <w:rPr>
          <w:rFonts w:hint="eastAsia" w:ascii="宋体" w:hAnsi="宋体" w:cs="宋体"/>
          <w:color w:val="auto"/>
          <w:sz w:val="24"/>
        </w:rPr>
        <w:t>1、满足《中华人民共和国政府采购法》第二十二条规定；</w:t>
      </w:r>
    </w:p>
    <w:p>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2、落实政府采购政策需满足的资格要求：本项目落实优先采购节能环保、环境标志性产品、优先采购自主创新产品，扶持不发达地区和少数民族地区，执行促进中小微企业、监狱企业、残疾人福利性企业发展等相关政府采购政策。 </w:t>
      </w:r>
    </w:p>
    <w:p>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3、本项目的特定资格要求：</w:t>
      </w:r>
    </w:p>
    <w:p>
      <w:pPr>
        <w:wordWrap w:val="0"/>
        <w:spacing w:line="360" w:lineRule="auto"/>
        <w:ind w:firstLine="480" w:firstLineChars="200"/>
        <w:rPr>
          <w:rFonts w:hint="eastAsia" w:ascii="宋体" w:hAnsi="宋体" w:cs="宋体"/>
          <w:color w:val="auto"/>
          <w:sz w:val="24"/>
        </w:rPr>
      </w:pPr>
      <w:bookmarkStart w:id="15" w:name="_Toc14933"/>
      <w:r>
        <w:rPr>
          <w:rFonts w:hint="eastAsia" w:ascii="宋体" w:hAnsi="宋体" w:cs="宋体"/>
          <w:color w:val="auto"/>
          <w:sz w:val="24"/>
        </w:rPr>
        <w:t>3.1 符合《中华人民共和国政府采购法》第二十二条规定（根据驻财购【2022】15号文件规定实行承诺制）。</w:t>
      </w:r>
      <w:r>
        <w:rPr>
          <w:rFonts w:hint="eastAsia" w:ascii="宋体" w:hAnsi="宋体" w:cs="宋体"/>
          <w:color w:val="auto"/>
          <w:sz w:val="24"/>
        </w:rPr>
        <w:br w:type="textWrapping"/>
      </w:r>
      <w:r>
        <w:rPr>
          <w:rFonts w:hint="eastAsia" w:ascii="宋体" w:hAnsi="宋体" w:cs="宋体"/>
          <w:color w:val="auto"/>
          <w:sz w:val="24"/>
        </w:rPr>
        <w:t xml:space="preserve">   3.2信誉要求：根据《关于在政府采购活动中查询及使用信用记录有关问题的通知》(财库[2016]125号)的规定，对列入失信被执行人、重大税收违法失信主体 、政府采购严重违法失信行为记录名单的供应商，不得参与本项目采购活动;【查询渠道:“信用中国”网站(www.creditchina.gov.cn)、中国政府采购网(www.ccgp.gov.cn)】。注:采购代理机构在开标当天将对所有参与本项目投标的供应商的信用情况(失信被执行人、税收违法黑名单、政府采购严重违法失信行为记录名单)进行查询、打印留存。若在开标当天查询到供应商有相关负面信息的，则该供应商为无效供应商。</w:t>
      </w:r>
    </w:p>
    <w:p>
      <w:pPr>
        <w:wordWrap w:val="0"/>
        <w:spacing w:line="360" w:lineRule="auto"/>
        <w:outlineLvl w:val="1"/>
        <w:rPr>
          <w:rFonts w:hint="eastAsia" w:ascii="宋体" w:hAnsi="宋体" w:cs="宋体"/>
          <w:b/>
          <w:color w:val="auto"/>
          <w:sz w:val="24"/>
        </w:rPr>
      </w:pPr>
      <w:r>
        <w:rPr>
          <w:rFonts w:hint="eastAsia" w:ascii="宋体" w:hAnsi="宋体" w:cs="宋体"/>
          <w:b/>
          <w:color w:val="auto"/>
          <w:sz w:val="24"/>
        </w:rPr>
        <w:t>三、获取招标文件</w:t>
      </w:r>
      <w:bookmarkEnd w:id="11"/>
      <w:bookmarkEnd w:id="12"/>
      <w:bookmarkEnd w:id="13"/>
      <w:bookmarkEnd w:id="14"/>
      <w:r>
        <w:rPr>
          <w:rFonts w:hint="eastAsia" w:ascii="宋体" w:hAnsi="宋体" w:cs="宋体"/>
          <w:b/>
          <w:color w:val="auto"/>
          <w:sz w:val="24"/>
        </w:rPr>
        <w:t>：</w:t>
      </w:r>
      <w:bookmarkEnd w:id="15"/>
    </w:p>
    <w:p>
      <w:pPr>
        <w:wordWrap w:val="0"/>
        <w:spacing w:line="400" w:lineRule="exact"/>
        <w:ind w:firstLine="480" w:firstLineChars="200"/>
        <w:rPr>
          <w:rFonts w:hint="eastAsia" w:ascii="宋体" w:hAnsi="宋体" w:cs="宋体"/>
          <w:color w:val="auto"/>
          <w:sz w:val="24"/>
        </w:rPr>
      </w:pPr>
      <w:r>
        <w:rPr>
          <w:rFonts w:hint="eastAsia" w:ascii="宋体" w:hAnsi="宋体" w:cs="宋体"/>
          <w:color w:val="auto"/>
          <w:sz w:val="24"/>
        </w:rPr>
        <w:t>1、时间：2025年</w:t>
      </w:r>
      <w:r>
        <w:rPr>
          <w:rFonts w:hint="eastAsia" w:ascii="宋体" w:hAnsi="宋体" w:cs="宋体"/>
          <w:color w:val="auto"/>
          <w:sz w:val="24"/>
          <w:lang w:val="en-US" w:eastAsia="zh-CN"/>
        </w:rPr>
        <w:t>7</w:t>
      </w:r>
      <w:r>
        <w:rPr>
          <w:rFonts w:hint="eastAsia" w:ascii="宋体" w:hAnsi="宋体" w:cs="宋体"/>
          <w:color w:val="auto"/>
          <w:sz w:val="24"/>
        </w:rPr>
        <w:t>月</w:t>
      </w:r>
      <w:r>
        <w:rPr>
          <w:rFonts w:hint="eastAsia" w:ascii="宋体" w:hAnsi="宋体" w:cs="宋体"/>
          <w:color w:val="auto"/>
          <w:sz w:val="24"/>
          <w:lang w:val="en-US" w:eastAsia="zh-CN"/>
        </w:rPr>
        <w:t>17</w:t>
      </w:r>
      <w:r>
        <w:rPr>
          <w:rFonts w:hint="eastAsia" w:ascii="宋体" w:hAnsi="宋体" w:cs="宋体"/>
          <w:color w:val="auto"/>
          <w:sz w:val="24"/>
        </w:rPr>
        <w:t>日至2025年</w:t>
      </w:r>
      <w:r>
        <w:rPr>
          <w:rFonts w:hint="eastAsia" w:ascii="宋体" w:hAnsi="宋体" w:cs="宋体"/>
          <w:color w:val="auto"/>
          <w:sz w:val="24"/>
          <w:lang w:val="en-US" w:eastAsia="zh-CN"/>
        </w:rPr>
        <w:t>7</w:t>
      </w:r>
      <w:r>
        <w:rPr>
          <w:rFonts w:hint="eastAsia" w:ascii="宋体" w:hAnsi="宋体" w:cs="宋体"/>
          <w:color w:val="auto"/>
          <w:sz w:val="24"/>
        </w:rPr>
        <w:t>月</w:t>
      </w:r>
      <w:r>
        <w:rPr>
          <w:rFonts w:hint="eastAsia" w:ascii="宋体" w:hAnsi="宋体" w:cs="宋体"/>
          <w:color w:val="auto"/>
          <w:sz w:val="24"/>
          <w:lang w:val="en-US" w:eastAsia="zh-CN"/>
        </w:rPr>
        <w:t>24</w:t>
      </w:r>
      <w:r>
        <w:rPr>
          <w:rFonts w:hint="eastAsia" w:ascii="宋体" w:hAnsi="宋体" w:cs="宋体"/>
          <w:color w:val="auto"/>
          <w:sz w:val="24"/>
        </w:rPr>
        <w:t>日，每天上午08:00 时至12:00时，下午12:00时至 18:00 时（北京时间，法定节假日除外。）</w:t>
      </w:r>
    </w:p>
    <w:p>
      <w:pPr>
        <w:wordWrap w:val="0"/>
        <w:spacing w:line="400" w:lineRule="exact"/>
        <w:ind w:firstLine="480" w:firstLineChars="200"/>
        <w:rPr>
          <w:rFonts w:hint="eastAsia" w:ascii="宋体" w:hAnsi="宋体" w:cs="宋体"/>
          <w:color w:val="auto"/>
          <w:sz w:val="24"/>
        </w:rPr>
      </w:pPr>
      <w:r>
        <w:rPr>
          <w:rFonts w:hint="eastAsia" w:ascii="宋体" w:hAnsi="宋体" w:cs="宋体"/>
          <w:color w:val="auto"/>
          <w:sz w:val="24"/>
        </w:rPr>
        <w:t>2、地点：驻马店市公共资源交易中心电子交易平台(以下简称“交易平台网站”)（https://ggzy.zhumadian.gov.cn ）。</w:t>
      </w:r>
    </w:p>
    <w:p>
      <w:pPr>
        <w:wordWrap w:val="0"/>
        <w:spacing w:line="400" w:lineRule="exact"/>
        <w:ind w:firstLine="480" w:firstLineChars="200"/>
        <w:rPr>
          <w:rFonts w:hint="eastAsia" w:ascii="宋体" w:hAnsi="宋体" w:cs="宋体"/>
          <w:color w:val="auto"/>
          <w:sz w:val="24"/>
        </w:rPr>
      </w:pPr>
      <w:r>
        <w:rPr>
          <w:rFonts w:hint="eastAsia" w:ascii="宋体" w:hAnsi="宋体" w:cs="宋体"/>
          <w:color w:val="auto"/>
          <w:sz w:val="24"/>
        </w:rPr>
        <w:t>3、方式：登录“驻马店市公共资源交易中心（https://ggzy.zhumadian.gov.cn ）”网站，凭领取的企业身份认证锁（CA密钥）登录系统进行网上免费下载招标文件。未按规定在网上下载招标文件的，将被拒绝。</w:t>
      </w:r>
    </w:p>
    <w:p>
      <w:pPr>
        <w:wordWrap w:val="0"/>
        <w:spacing w:line="400" w:lineRule="exact"/>
        <w:ind w:firstLine="480" w:firstLineChars="200"/>
        <w:rPr>
          <w:rFonts w:hint="eastAsia" w:ascii="宋体" w:hAnsi="宋体" w:cs="宋体"/>
          <w:color w:val="auto"/>
          <w:sz w:val="24"/>
        </w:rPr>
      </w:pPr>
      <w:r>
        <w:rPr>
          <w:rFonts w:hint="eastAsia" w:ascii="宋体" w:hAnsi="宋体" w:cs="宋体"/>
          <w:color w:val="auto"/>
          <w:sz w:val="24"/>
        </w:rPr>
        <w:t>4、售价：0元。</w:t>
      </w:r>
    </w:p>
    <w:p>
      <w:pPr>
        <w:wordWrap w:val="0"/>
        <w:spacing w:line="360" w:lineRule="auto"/>
        <w:outlineLvl w:val="1"/>
        <w:rPr>
          <w:rFonts w:hint="eastAsia" w:ascii="宋体" w:hAnsi="宋体" w:cs="宋体"/>
          <w:b/>
          <w:color w:val="auto"/>
          <w:sz w:val="24"/>
        </w:rPr>
      </w:pPr>
      <w:bookmarkStart w:id="16" w:name="_Toc28359082"/>
      <w:bookmarkStart w:id="17" w:name="_Toc35393793"/>
      <w:bookmarkStart w:id="18" w:name="_Toc35393624"/>
      <w:bookmarkStart w:id="19" w:name="_Toc28359005"/>
      <w:bookmarkStart w:id="20" w:name="_Toc6353"/>
      <w:r>
        <w:rPr>
          <w:rFonts w:hint="eastAsia" w:ascii="宋体" w:hAnsi="宋体" w:cs="宋体"/>
          <w:b/>
          <w:color w:val="auto"/>
          <w:sz w:val="24"/>
        </w:rPr>
        <w:t>四、</w:t>
      </w:r>
      <w:bookmarkEnd w:id="16"/>
      <w:bookmarkEnd w:id="17"/>
      <w:bookmarkEnd w:id="18"/>
      <w:bookmarkEnd w:id="19"/>
      <w:r>
        <w:rPr>
          <w:rFonts w:hint="eastAsia" w:ascii="宋体" w:hAnsi="宋体" w:cs="宋体"/>
          <w:b/>
          <w:color w:val="auto"/>
          <w:sz w:val="24"/>
        </w:rPr>
        <w:t>投标截止时间及地点：</w:t>
      </w:r>
      <w:bookmarkEnd w:id="20"/>
    </w:p>
    <w:p>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1、时间：2025年</w:t>
      </w:r>
      <w:r>
        <w:rPr>
          <w:rFonts w:hint="eastAsia" w:ascii="宋体" w:hAnsi="宋体" w:cs="宋体"/>
          <w:color w:val="auto"/>
          <w:sz w:val="24"/>
          <w:lang w:val="en-US" w:eastAsia="zh-CN"/>
        </w:rPr>
        <w:t>8</w:t>
      </w:r>
      <w:r>
        <w:rPr>
          <w:rFonts w:hint="eastAsia" w:ascii="宋体" w:hAnsi="宋体" w:cs="宋体"/>
          <w:color w:val="auto"/>
          <w:sz w:val="24"/>
        </w:rPr>
        <w:t>月</w:t>
      </w:r>
      <w:r>
        <w:rPr>
          <w:rFonts w:hint="eastAsia" w:ascii="宋体" w:hAnsi="宋体" w:cs="宋体"/>
          <w:color w:val="auto"/>
          <w:sz w:val="24"/>
          <w:lang w:val="en-US" w:eastAsia="zh-CN"/>
        </w:rPr>
        <w:t>8</w:t>
      </w:r>
      <w:r>
        <w:rPr>
          <w:rFonts w:hint="eastAsia" w:ascii="宋体" w:hAnsi="宋体" w:cs="宋体"/>
          <w:color w:val="auto"/>
          <w:sz w:val="24"/>
        </w:rPr>
        <w:t xml:space="preserve">日09时00分（北京时间） </w:t>
      </w:r>
    </w:p>
    <w:p>
      <w:pPr>
        <w:wordWrap w:val="0"/>
        <w:spacing w:line="360" w:lineRule="auto"/>
        <w:ind w:firstLine="480" w:firstLineChars="200"/>
        <w:rPr>
          <w:rFonts w:hint="eastAsia" w:ascii="宋体" w:hAnsi="宋体" w:cs="宋体"/>
          <w:color w:val="auto"/>
          <w:kern w:val="0"/>
          <w:sz w:val="24"/>
          <w:shd w:val="clear" w:color="080000" w:fill="FFFFFF"/>
        </w:rPr>
      </w:pPr>
      <w:r>
        <w:rPr>
          <w:rFonts w:hint="eastAsia" w:ascii="宋体" w:hAnsi="宋体" w:cs="宋体"/>
          <w:color w:val="auto"/>
          <w:kern w:val="0"/>
          <w:sz w:val="24"/>
          <w:shd w:val="clear" w:color="080000" w:fill="FFFFFF"/>
        </w:rPr>
        <w:t>2、地点：驻马店市公共资源交易中心电子交易平台</w:t>
      </w:r>
    </w:p>
    <w:p>
      <w:pPr>
        <w:wordWrap w:val="0"/>
        <w:spacing w:line="360" w:lineRule="auto"/>
        <w:outlineLvl w:val="1"/>
        <w:rPr>
          <w:rFonts w:hint="eastAsia" w:ascii="宋体" w:hAnsi="宋体" w:cs="宋体"/>
          <w:b/>
          <w:color w:val="auto"/>
          <w:sz w:val="24"/>
        </w:rPr>
      </w:pPr>
      <w:bookmarkStart w:id="21" w:name="_Toc1535"/>
      <w:r>
        <w:rPr>
          <w:rFonts w:hint="eastAsia" w:ascii="宋体" w:hAnsi="宋体" w:cs="宋体"/>
          <w:b/>
          <w:color w:val="auto"/>
          <w:sz w:val="24"/>
        </w:rPr>
        <w:t xml:space="preserve">五、开标时间及地点 </w:t>
      </w:r>
    </w:p>
    <w:p>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1、时间：2025年</w:t>
      </w:r>
      <w:r>
        <w:rPr>
          <w:rFonts w:hint="eastAsia" w:ascii="宋体" w:hAnsi="宋体" w:cs="宋体"/>
          <w:color w:val="auto"/>
          <w:sz w:val="24"/>
          <w:lang w:val="en-US" w:eastAsia="zh-CN"/>
        </w:rPr>
        <w:t>8</w:t>
      </w:r>
      <w:r>
        <w:rPr>
          <w:rFonts w:hint="eastAsia" w:ascii="宋体" w:hAnsi="宋体" w:cs="宋体"/>
          <w:color w:val="auto"/>
          <w:sz w:val="24"/>
        </w:rPr>
        <w:t xml:space="preserve"> 月</w:t>
      </w:r>
      <w:r>
        <w:rPr>
          <w:rFonts w:hint="eastAsia" w:ascii="宋体" w:hAnsi="宋体" w:cs="宋体"/>
          <w:color w:val="auto"/>
          <w:sz w:val="24"/>
          <w:lang w:val="en-US" w:eastAsia="zh-CN"/>
        </w:rPr>
        <w:t>8</w:t>
      </w:r>
      <w:r>
        <w:rPr>
          <w:rFonts w:hint="eastAsia" w:ascii="宋体" w:hAnsi="宋体" w:cs="宋体"/>
          <w:color w:val="auto"/>
          <w:sz w:val="24"/>
        </w:rPr>
        <w:t xml:space="preserve">日09时00分（北京时间） </w:t>
      </w:r>
    </w:p>
    <w:p>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2、地点：确山县公共资源交易中心不见面开标大厅</w:t>
      </w:r>
    </w:p>
    <w:p>
      <w:pPr>
        <w:wordWrap w:val="0"/>
        <w:spacing w:line="360" w:lineRule="auto"/>
        <w:outlineLvl w:val="1"/>
        <w:rPr>
          <w:rFonts w:hint="eastAsia" w:ascii="宋体" w:hAnsi="宋体" w:cs="宋体"/>
          <w:b/>
          <w:color w:val="auto"/>
          <w:sz w:val="24"/>
        </w:rPr>
      </w:pPr>
      <w:r>
        <w:rPr>
          <w:rFonts w:hint="eastAsia" w:ascii="宋体" w:hAnsi="宋体" w:cs="宋体"/>
          <w:b/>
          <w:color w:val="auto"/>
          <w:sz w:val="24"/>
        </w:rPr>
        <w:t>六、发布公告的媒介及招标公告期限：</w:t>
      </w:r>
      <w:bookmarkEnd w:id="21"/>
    </w:p>
    <w:p>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本次招标公告在《河南省政府采购网》、《驻马店市公共资源交易中心网》上发布，招标公告期限</w:t>
      </w:r>
      <w:r>
        <w:rPr>
          <w:rFonts w:hint="eastAsia" w:ascii="宋体" w:hAnsi="宋体" w:cs="宋体"/>
          <w:color w:val="auto"/>
          <w:kern w:val="0"/>
          <w:sz w:val="24"/>
          <w:shd w:val="clear" w:color="auto" w:fill="FFFFFF"/>
        </w:rPr>
        <w:t>自发布之日起不少于五个工作日</w:t>
      </w:r>
      <w:r>
        <w:rPr>
          <w:rFonts w:hint="eastAsia" w:ascii="宋体" w:hAnsi="宋体" w:cs="宋体"/>
          <w:color w:val="auto"/>
          <w:sz w:val="24"/>
        </w:rPr>
        <w:t>。</w:t>
      </w:r>
      <w:bookmarkStart w:id="22" w:name="_Toc35393626"/>
      <w:bookmarkStart w:id="23" w:name="_Toc35393795"/>
    </w:p>
    <w:p>
      <w:pPr>
        <w:wordWrap w:val="0"/>
        <w:spacing w:line="360" w:lineRule="auto"/>
        <w:outlineLvl w:val="1"/>
        <w:rPr>
          <w:rFonts w:hint="eastAsia" w:ascii="宋体" w:hAnsi="宋体" w:cs="宋体"/>
          <w:b/>
          <w:color w:val="auto"/>
          <w:sz w:val="24"/>
        </w:rPr>
      </w:pPr>
      <w:r>
        <w:rPr>
          <w:rFonts w:hint="eastAsia" w:ascii="宋体" w:hAnsi="宋体" w:cs="宋体"/>
          <w:b/>
          <w:color w:val="auto"/>
          <w:sz w:val="24"/>
        </w:rPr>
        <w:t>七、其他补充事宜</w:t>
      </w:r>
    </w:p>
    <w:p>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1.本项目使用远程不见面交易的模式。投标人应于投标截止时间前将加密电子投标文件(.zmdtf格式)在驻马店市公共资源交易中心电子交易平台加密上传，逾期上传其投标将被拒绝。</w:t>
      </w:r>
    </w:p>
    <w:p>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2.投标人注册:</w:t>
      </w:r>
    </w:p>
    <w:p>
      <w:pPr>
        <w:wordWrap w:val="0"/>
        <w:spacing w:line="360" w:lineRule="auto"/>
        <w:rPr>
          <w:rFonts w:hint="eastAsia" w:ascii="宋体" w:hAnsi="宋体" w:cs="宋体"/>
          <w:color w:val="auto"/>
          <w:sz w:val="24"/>
        </w:rPr>
      </w:pPr>
      <w:r>
        <w:rPr>
          <w:rFonts w:hint="eastAsia" w:ascii="宋体" w:hAnsi="宋体" w:cs="宋体"/>
          <w:color w:val="auto"/>
          <w:sz w:val="24"/>
        </w:rPr>
        <w:t>投标人首先通过“驻马店市公共资源交易中心（https://ggzy.zhumadian.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3.招标文件下载: </w:t>
      </w:r>
    </w:p>
    <w:p>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凡有意参加投标者，登录“驻马店市公共资源交易中心（https://ggzy.zhumadian.gov.cn ）”网站，凭领取的企业身份认证锁（CA密钥）登录系统进行网上免费下载招标文件。投标人未按规定在网上下载招标文件的，其投标将被拒绝。</w:t>
      </w:r>
    </w:p>
    <w:p>
      <w:pPr>
        <w:wordWrap w:val="0"/>
        <w:spacing w:line="360" w:lineRule="auto"/>
        <w:outlineLvl w:val="1"/>
        <w:rPr>
          <w:rFonts w:hint="eastAsia" w:ascii="宋体" w:hAnsi="宋体" w:cs="宋体"/>
          <w:b/>
          <w:color w:val="auto"/>
          <w:sz w:val="24"/>
        </w:rPr>
      </w:pPr>
      <w:bookmarkStart w:id="24" w:name="_Toc27456"/>
      <w:r>
        <w:rPr>
          <w:rFonts w:hint="eastAsia" w:ascii="宋体" w:hAnsi="宋体" w:cs="宋体"/>
          <w:b/>
          <w:color w:val="auto"/>
          <w:sz w:val="24"/>
        </w:rPr>
        <w:t>八、</w:t>
      </w:r>
      <w:bookmarkEnd w:id="22"/>
      <w:bookmarkEnd w:id="23"/>
      <w:bookmarkStart w:id="25" w:name="_Toc35393796"/>
      <w:bookmarkStart w:id="26" w:name="_Toc28359008"/>
      <w:bookmarkStart w:id="27" w:name="_Toc35393627"/>
      <w:bookmarkStart w:id="28" w:name="_Toc28359085"/>
      <w:r>
        <w:rPr>
          <w:rFonts w:hint="eastAsia" w:ascii="宋体" w:hAnsi="宋体" w:cs="宋体"/>
          <w:b/>
          <w:color w:val="auto"/>
          <w:sz w:val="24"/>
        </w:rPr>
        <w:t>凡对本次招标提出询问，请按照以下方式联系。</w:t>
      </w:r>
      <w:bookmarkEnd w:id="24"/>
      <w:bookmarkEnd w:id="25"/>
      <w:bookmarkEnd w:id="26"/>
      <w:bookmarkEnd w:id="27"/>
      <w:bookmarkEnd w:id="28"/>
    </w:p>
    <w:p>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1.招标人信息 </w:t>
      </w:r>
    </w:p>
    <w:p>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名称：确山县第二高级中学     </w:t>
      </w:r>
    </w:p>
    <w:p>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地址：河南省确山县盘龙街道幸福路23号 </w:t>
      </w:r>
    </w:p>
    <w:p>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联系人：张先生 </w:t>
      </w:r>
    </w:p>
    <w:p>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联系方式：13939683064  </w:t>
      </w:r>
    </w:p>
    <w:p>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2.代理机构信息</w:t>
      </w:r>
    </w:p>
    <w:p>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名称：确山县公共资源交易中心</w:t>
      </w:r>
    </w:p>
    <w:p>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shd w:val="clear" w:color="auto" w:fill="FFFFFF"/>
        </w:rPr>
        <w:t>确山县双拥大道988号</w:t>
      </w:r>
    </w:p>
    <w:p>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联系人：张</w:t>
      </w:r>
      <w:r>
        <w:rPr>
          <w:rFonts w:hint="eastAsia" w:ascii="宋体" w:hAnsi="宋体" w:cs="宋体"/>
          <w:color w:val="auto"/>
          <w:sz w:val="24"/>
          <w:shd w:val="clear" w:color="auto" w:fill="FFFFFF"/>
        </w:rPr>
        <w:t>先生</w:t>
      </w:r>
      <w:r>
        <w:rPr>
          <w:rFonts w:hint="eastAsia" w:ascii="宋体" w:hAnsi="宋体" w:cs="宋体"/>
          <w:color w:val="auto"/>
          <w:sz w:val="24"/>
        </w:rPr>
        <w:t xml:space="preserve"> </w:t>
      </w:r>
    </w:p>
    <w:p>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联系电话：0396-2782978</w:t>
      </w:r>
    </w:p>
    <w:p>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3.项目联系方式 </w:t>
      </w:r>
    </w:p>
    <w:p>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项目联系人：张先生 </w:t>
      </w:r>
    </w:p>
    <w:p>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联系方式：13939683064</w:t>
      </w:r>
    </w:p>
    <w:p>
      <w:pPr>
        <w:widowControl/>
        <w:wordWrap w:val="0"/>
        <w:snapToGrid w:val="0"/>
        <w:spacing w:line="440" w:lineRule="exact"/>
        <w:ind w:firstLine="2891" w:firstLineChars="900"/>
        <w:outlineLvl w:val="0"/>
        <w:rPr>
          <w:rFonts w:hint="eastAsia" w:ascii="宋体" w:hAnsi="宋体" w:cs="宋体"/>
          <w:b/>
          <w:color w:val="auto"/>
          <w:kern w:val="0"/>
          <w:sz w:val="32"/>
          <w:szCs w:val="32"/>
        </w:rPr>
      </w:pPr>
      <w:r>
        <w:rPr>
          <w:rFonts w:hint="eastAsia" w:ascii="宋体" w:hAnsi="宋体" w:cs="宋体"/>
          <w:b/>
          <w:color w:val="auto"/>
          <w:kern w:val="0"/>
          <w:sz w:val="32"/>
          <w:szCs w:val="32"/>
        </w:rPr>
        <w:br w:type="page"/>
      </w:r>
      <w:bookmarkStart w:id="29" w:name="_Hlk202634136"/>
      <w:bookmarkStart w:id="30" w:name="_Hlk202873561"/>
      <w:r>
        <w:rPr>
          <w:rFonts w:hint="eastAsia" w:ascii="宋体" w:hAnsi="宋体" w:cs="宋体"/>
          <w:b/>
          <w:color w:val="auto"/>
          <w:kern w:val="0"/>
          <w:sz w:val="32"/>
          <w:szCs w:val="32"/>
        </w:rPr>
        <w:t xml:space="preserve">第二章 </w:t>
      </w:r>
      <w:r>
        <w:rPr>
          <w:rFonts w:hint="eastAsia" w:ascii="宋体" w:hAnsi="宋体" w:cs="宋体"/>
          <w:b/>
          <w:bCs/>
          <w:color w:val="auto"/>
          <w:kern w:val="0"/>
          <w:sz w:val="32"/>
          <w:szCs w:val="32"/>
        </w:rPr>
        <w:t>招标需求</w:t>
      </w:r>
    </w:p>
    <w:p>
      <w:pPr>
        <w:wordWrap w:val="0"/>
        <w:spacing w:line="420" w:lineRule="exact"/>
        <w:outlineLvl w:val="1"/>
        <w:rPr>
          <w:rFonts w:hint="eastAsia" w:ascii="宋体" w:hAnsi="宋体" w:cs="宋体"/>
          <w:b/>
          <w:bCs/>
          <w:color w:val="auto"/>
          <w:sz w:val="24"/>
        </w:rPr>
      </w:pPr>
      <w:r>
        <w:rPr>
          <w:rFonts w:hint="eastAsia" w:ascii="宋体" w:hAnsi="宋体" w:cs="宋体"/>
          <w:b/>
          <w:bCs/>
          <w:color w:val="auto"/>
          <w:sz w:val="24"/>
        </w:rPr>
        <w:t>一、技术需求</w:t>
      </w:r>
    </w:p>
    <w:tbl>
      <w:tblPr>
        <w:tblStyle w:val="47"/>
        <w:tblW w:w="10039" w:type="dxa"/>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722"/>
        <w:gridCol w:w="1192"/>
        <w:gridCol w:w="6326"/>
        <w:gridCol w:w="620"/>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563" w:type="dxa"/>
            <w:shd w:val="clear" w:color="auto" w:fill="auto"/>
            <w:vAlign w:val="center"/>
          </w:tcPr>
          <w:p>
            <w:pPr>
              <w:jc w:val="center"/>
              <w:rPr>
                <w:rFonts w:hint="eastAsia" w:ascii="宋体" w:hAnsi="宋体" w:cs="宋体"/>
                <w:color w:val="auto"/>
                <w:sz w:val="24"/>
              </w:rPr>
            </w:pPr>
            <w:r>
              <w:rPr>
                <w:rFonts w:hint="eastAsia" w:ascii="宋体" w:hAnsi="宋体" w:cs="宋体"/>
                <w:color w:val="auto"/>
                <w:sz w:val="24"/>
              </w:rPr>
              <w:t>包号</w:t>
            </w:r>
          </w:p>
        </w:tc>
        <w:tc>
          <w:tcPr>
            <w:tcW w:w="722" w:type="dxa"/>
            <w:shd w:val="clear" w:color="auto" w:fill="auto"/>
            <w:vAlign w:val="center"/>
          </w:tcPr>
          <w:p>
            <w:pPr>
              <w:jc w:val="center"/>
              <w:rPr>
                <w:rFonts w:hint="eastAsia" w:ascii="宋体" w:hAnsi="宋体" w:cs="宋体"/>
                <w:color w:val="auto"/>
                <w:sz w:val="24"/>
              </w:rPr>
            </w:pPr>
            <w:r>
              <w:rPr>
                <w:rFonts w:hint="eastAsia" w:ascii="宋体" w:hAnsi="宋体" w:cs="宋体"/>
                <w:color w:val="auto"/>
                <w:sz w:val="24"/>
              </w:rPr>
              <w:t>设备名称</w:t>
            </w:r>
          </w:p>
        </w:tc>
        <w:tc>
          <w:tcPr>
            <w:tcW w:w="7518" w:type="dxa"/>
            <w:gridSpan w:val="2"/>
            <w:shd w:val="clear" w:color="auto" w:fill="auto"/>
            <w:vAlign w:val="center"/>
          </w:tcPr>
          <w:p>
            <w:pPr>
              <w:jc w:val="center"/>
              <w:rPr>
                <w:rFonts w:hint="eastAsia" w:ascii="宋体" w:hAnsi="宋体" w:cs="宋体"/>
                <w:color w:val="auto"/>
                <w:sz w:val="24"/>
              </w:rPr>
            </w:pPr>
            <w:r>
              <w:rPr>
                <w:rFonts w:hint="eastAsia" w:ascii="宋体" w:hAnsi="宋体" w:cs="宋体"/>
                <w:color w:val="auto"/>
                <w:sz w:val="24"/>
              </w:rPr>
              <w:t>主要技术参数</w:t>
            </w:r>
          </w:p>
        </w:tc>
        <w:tc>
          <w:tcPr>
            <w:tcW w:w="620" w:type="dxa"/>
            <w:shd w:val="clear" w:color="auto" w:fill="auto"/>
            <w:vAlign w:val="center"/>
          </w:tcPr>
          <w:p>
            <w:pPr>
              <w:jc w:val="center"/>
              <w:rPr>
                <w:rFonts w:hint="eastAsia" w:ascii="宋体" w:hAnsi="宋体" w:cs="宋体"/>
                <w:color w:val="auto"/>
                <w:sz w:val="24"/>
              </w:rPr>
            </w:pPr>
            <w:r>
              <w:rPr>
                <w:rFonts w:hint="eastAsia" w:ascii="宋体" w:hAnsi="宋体" w:cs="宋体"/>
                <w:color w:val="auto"/>
                <w:sz w:val="24"/>
              </w:rPr>
              <w:t>单位</w:t>
            </w:r>
          </w:p>
        </w:tc>
        <w:tc>
          <w:tcPr>
            <w:tcW w:w="616" w:type="dxa"/>
            <w:shd w:val="clear" w:color="auto" w:fill="auto"/>
            <w:vAlign w:val="center"/>
          </w:tcPr>
          <w:p>
            <w:pPr>
              <w:jc w:val="center"/>
              <w:rPr>
                <w:rFonts w:hint="eastAsia" w:ascii="宋体" w:hAnsi="宋体" w:cs="宋体"/>
                <w:color w:val="auto"/>
                <w:sz w:val="24"/>
              </w:rPr>
            </w:pPr>
            <w:r>
              <w:rPr>
                <w:rFonts w:hint="eastAsia" w:ascii="宋体" w:hAnsi="宋体" w:cs="宋体"/>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4" w:hRule="atLeast"/>
        </w:trPr>
        <w:tc>
          <w:tcPr>
            <w:tcW w:w="563" w:type="dxa"/>
            <w:vMerge w:val="restart"/>
            <w:shd w:val="clear" w:color="auto" w:fill="auto"/>
            <w:vAlign w:val="center"/>
          </w:tcPr>
          <w:p>
            <w:pPr>
              <w:jc w:val="center"/>
              <w:rPr>
                <w:rFonts w:hint="eastAsia" w:ascii="宋体" w:hAnsi="宋体" w:cs="宋体"/>
                <w:color w:val="auto"/>
                <w:sz w:val="24"/>
              </w:rPr>
            </w:pPr>
            <w:r>
              <w:rPr>
                <w:rFonts w:hint="eastAsia" w:ascii="宋体" w:hAnsi="宋体" w:cs="宋体"/>
                <w:color w:val="auto"/>
                <w:sz w:val="24"/>
                <w:lang w:val="en-US" w:eastAsia="zh-CN"/>
              </w:rPr>
              <w:t>A</w:t>
            </w:r>
            <w:r>
              <w:rPr>
                <w:rFonts w:hint="eastAsia" w:ascii="宋体" w:hAnsi="宋体" w:cs="宋体"/>
                <w:color w:val="auto"/>
                <w:sz w:val="24"/>
              </w:rPr>
              <w:t>包</w:t>
            </w:r>
          </w:p>
        </w:tc>
        <w:tc>
          <w:tcPr>
            <w:tcW w:w="722" w:type="dxa"/>
            <w:shd w:val="clear" w:color="auto" w:fill="auto"/>
            <w:vAlign w:val="center"/>
          </w:tcPr>
          <w:p>
            <w:pPr>
              <w:jc w:val="center"/>
              <w:rPr>
                <w:rFonts w:hint="eastAsia" w:ascii="宋体" w:hAnsi="宋体" w:cs="宋体"/>
                <w:color w:val="auto"/>
                <w:sz w:val="24"/>
              </w:rPr>
            </w:pPr>
            <w:r>
              <w:rPr>
                <w:rFonts w:hint="eastAsia" w:ascii="宋体" w:hAnsi="宋体" w:cs="宋体"/>
                <w:color w:val="auto"/>
                <w:szCs w:val="21"/>
              </w:rPr>
              <w:t>35挂机</w:t>
            </w:r>
          </w:p>
        </w:tc>
        <w:tc>
          <w:tcPr>
            <w:tcW w:w="7518" w:type="dxa"/>
            <w:gridSpan w:val="2"/>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1、能效等级：一级</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2、定频/变频：变频</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3、匹数大 1.5</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4、电源220V.50Hz</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5、类型冷暖型</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6、制冷量(W)≥3354</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7、制热量(W)≥4854</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8、额定制冷功率(W)≤800</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9、制热功率额定(W)≤1353</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10、循环风量(m3/h)≥750</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11、室内机最大噪音dB(A)≤41</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12、室外机最大噪音dB(A)≤50</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13、全年能源消耗效率≥5.4</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14、电辅热输入功率（W）≤860</w:t>
            </w:r>
          </w:p>
          <w:p>
            <w:pPr>
              <w:widowControl/>
              <w:jc w:val="left"/>
              <w:rPr>
                <w:rFonts w:hint="eastAsia" w:ascii="宋体" w:hAnsi="宋体" w:cs="宋体"/>
                <w:color w:val="auto"/>
                <w:kern w:val="0"/>
                <w:sz w:val="24"/>
                <w:lang w:bidi="ar"/>
              </w:rPr>
            </w:pPr>
          </w:p>
        </w:tc>
        <w:tc>
          <w:tcPr>
            <w:tcW w:w="620" w:type="dxa"/>
            <w:shd w:val="clear" w:color="auto" w:fill="auto"/>
            <w:vAlign w:val="center"/>
          </w:tcPr>
          <w:p>
            <w:pPr>
              <w:jc w:val="center"/>
              <w:rPr>
                <w:rFonts w:hint="eastAsia" w:ascii="宋体" w:hAnsi="宋体" w:cs="宋体"/>
                <w:color w:val="auto"/>
                <w:sz w:val="24"/>
              </w:rPr>
            </w:pPr>
            <w:r>
              <w:rPr>
                <w:rFonts w:hint="eastAsia" w:ascii="宋体" w:hAnsi="宋体" w:cs="宋体"/>
                <w:color w:val="auto"/>
                <w:sz w:val="24"/>
              </w:rPr>
              <w:t>台</w:t>
            </w:r>
          </w:p>
        </w:tc>
        <w:tc>
          <w:tcPr>
            <w:tcW w:w="616" w:type="dxa"/>
            <w:shd w:val="clear" w:color="auto" w:fill="auto"/>
            <w:vAlign w:val="center"/>
          </w:tcPr>
          <w:p>
            <w:pPr>
              <w:jc w:val="center"/>
              <w:rPr>
                <w:rFonts w:hint="eastAsia" w:ascii="宋体" w:hAnsi="宋体" w:cs="宋体"/>
                <w:color w:val="auto"/>
                <w:sz w:val="24"/>
              </w:rPr>
            </w:pPr>
            <w:r>
              <w:rPr>
                <w:rFonts w:hint="eastAsia" w:ascii="宋体" w:hAnsi="宋体" w:cs="宋体"/>
                <w:color w:val="auto"/>
                <w:sz w:val="24"/>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4" w:hRule="atLeast"/>
        </w:trPr>
        <w:tc>
          <w:tcPr>
            <w:tcW w:w="563" w:type="dxa"/>
            <w:vMerge w:val="continue"/>
            <w:shd w:val="clear" w:color="auto" w:fill="auto"/>
          </w:tcPr>
          <w:p>
            <w:pPr>
              <w:jc w:val="distribute"/>
              <w:rPr>
                <w:rFonts w:hint="eastAsia" w:ascii="宋体" w:hAnsi="宋体" w:cs="宋体"/>
                <w:color w:val="auto"/>
                <w:sz w:val="24"/>
              </w:rPr>
            </w:pPr>
          </w:p>
        </w:tc>
        <w:tc>
          <w:tcPr>
            <w:tcW w:w="722" w:type="dxa"/>
            <w:shd w:val="clear" w:color="auto" w:fill="auto"/>
            <w:vAlign w:val="center"/>
          </w:tcPr>
          <w:p>
            <w:pPr>
              <w:jc w:val="center"/>
              <w:rPr>
                <w:rFonts w:hint="eastAsia" w:ascii="宋体" w:hAnsi="宋体" w:eastAsia="宋体" w:cs="宋体"/>
                <w:color w:val="auto"/>
                <w:sz w:val="24"/>
                <w:lang w:val="en-US" w:eastAsia="zh-CN"/>
              </w:rPr>
            </w:pPr>
            <w:r>
              <w:rPr>
                <w:rFonts w:hint="eastAsia" w:ascii="宋体" w:hAnsi="宋体" w:cs="宋体"/>
                <w:color w:val="auto"/>
                <w:szCs w:val="21"/>
              </w:rPr>
              <w:t>72</w:t>
            </w:r>
            <w:r>
              <w:rPr>
                <w:rFonts w:hint="eastAsia" w:ascii="宋体" w:hAnsi="宋体" w:cs="宋体"/>
                <w:color w:val="auto"/>
                <w:szCs w:val="21"/>
                <w:lang w:val="en-US" w:eastAsia="zh-CN"/>
              </w:rPr>
              <w:t>柜机</w:t>
            </w:r>
          </w:p>
        </w:tc>
        <w:tc>
          <w:tcPr>
            <w:tcW w:w="7518" w:type="dxa"/>
            <w:gridSpan w:val="2"/>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1、能效等级≥三级</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2、定频/变频：变频</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3、电源220V.50Hz</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4、类型：冷暖型</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5、制冷量(W)≥7200</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6、定制冷功率(W)≤2400</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7、制热量(W)≥9200</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8、额定制热功率(W)≤2900</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9、循环风量(m³/h)≥1200</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10、室内机最大噪音dB(A)≤47</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11、室外机最大噪音dB(A)≤56</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12、全年能源消耗效率≥3.5</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13、电辅热输入功率（W）≤2550</w:t>
            </w:r>
          </w:p>
          <w:p>
            <w:pPr>
              <w:widowControl/>
              <w:jc w:val="left"/>
              <w:rPr>
                <w:rFonts w:hint="eastAsia" w:ascii="宋体" w:hAnsi="宋体" w:cs="宋体"/>
                <w:color w:val="auto"/>
                <w:kern w:val="0"/>
                <w:sz w:val="24"/>
                <w:lang w:bidi="ar"/>
              </w:rPr>
            </w:pPr>
          </w:p>
        </w:tc>
        <w:tc>
          <w:tcPr>
            <w:tcW w:w="620" w:type="dxa"/>
            <w:shd w:val="clear" w:color="auto" w:fill="auto"/>
            <w:vAlign w:val="center"/>
          </w:tcPr>
          <w:p>
            <w:pPr>
              <w:jc w:val="center"/>
              <w:rPr>
                <w:rFonts w:hint="eastAsia" w:ascii="宋体" w:hAnsi="宋体" w:cs="宋体"/>
                <w:color w:val="auto"/>
                <w:sz w:val="24"/>
              </w:rPr>
            </w:pPr>
            <w:r>
              <w:rPr>
                <w:rFonts w:hint="eastAsia" w:ascii="宋体" w:hAnsi="宋体" w:cs="宋体"/>
                <w:color w:val="auto"/>
                <w:sz w:val="24"/>
              </w:rPr>
              <w:t>台</w:t>
            </w:r>
          </w:p>
        </w:tc>
        <w:tc>
          <w:tcPr>
            <w:tcW w:w="616" w:type="dxa"/>
            <w:shd w:val="clear" w:color="auto" w:fill="auto"/>
            <w:vAlign w:val="center"/>
          </w:tcPr>
          <w:p>
            <w:pPr>
              <w:jc w:val="center"/>
              <w:rPr>
                <w:rFonts w:hint="eastAsia" w:ascii="宋体" w:hAnsi="宋体" w:cs="宋体"/>
                <w:color w:val="auto"/>
                <w:sz w:val="24"/>
              </w:rPr>
            </w:pPr>
            <w:r>
              <w:rPr>
                <w:rFonts w:hint="eastAsia" w:ascii="宋体" w:hAnsi="宋体" w:cs="宋体"/>
                <w:color w:val="auto"/>
                <w:sz w:val="24"/>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 w:hRule="atLeast"/>
        </w:trPr>
        <w:tc>
          <w:tcPr>
            <w:tcW w:w="563" w:type="dxa"/>
            <w:vMerge w:val="restart"/>
            <w:shd w:val="clear" w:color="auto" w:fill="auto"/>
            <w:vAlign w:val="center"/>
          </w:tcPr>
          <w:p>
            <w:pPr>
              <w:jc w:val="center"/>
              <w:rPr>
                <w:rFonts w:hint="eastAsia" w:ascii="宋体" w:hAnsi="宋体" w:cs="宋体"/>
                <w:color w:val="auto"/>
                <w:sz w:val="24"/>
              </w:rPr>
            </w:pPr>
            <w:r>
              <w:rPr>
                <w:rFonts w:hint="eastAsia" w:ascii="宋体" w:hAnsi="宋体" w:cs="宋体"/>
                <w:color w:val="auto"/>
                <w:sz w:val="24"/>
                <w:lang w:val="en-US" w:eastAsia="zh-CN"/>
              </w:rPr>
              <w:t>B</w:t>
            </w:r>
            <w:r>
              <w:rPr>
                <w:rFonts w:hint="eastAsia" w:ascii="宋体" w:hAnsi="宋体" w:cs="宋体"/>
                <w:color w:val="auto"/>
                <w:sz w:val="24"/>
              </w:rPr>
              <w:t>包</w:t>
            </w:r>
          </w:p>
        </w:tc>
        <w:tc>
          <w:tcPr>
            <w:tcW w:w="722" w:type="dxa"/>
            <w:vMerge w:val="restart"/>
            <w:shd w:val="clear" w:color="auto" w:fill="auto"/>
            <w:vAlign w:val="center"/>
          </w:tcPr>
          <w:p>
            <w:pPr>
              <w:jc w:val="center"/>
              <w:rPr>
                <w:rFonts w:hint="eastAsia" w:ascii="宋体" w:hAnsi="宋体" w:cs="宋体"/>
                <w:color w:val="auto"/>
                <w:sz w:val="24"/>
              </w:rPr>
            </w:pPr>
            <w:r>
              <w:rPr>
                <w:rFonts w:hint="eastAsia" w:ascii="宋体" w:hAnsi="宋体" w:cs="宋体"/>
                <w:color w:val="auto"/>
                <w:sz w:val="22"/>
                <w:szCs w:val="22"/>
              </w:rPr>
              <w:t>台式计算机</w:t>
            </w:r>
          </w:p>
        </w:tc>
        <w:tc>
          <w:tcPr>
            <w:tcW w:w="1192"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CPU 规格</w:t>
            </w:r>
          </w:p>
          <w:p>
            <w:pPr>
              <w:widowControl/>
              <w:spacing w:line="360" w:lineRule="auto"/>
              <w:jc w:val="left"/>
              <w:rPr>
                <w:rFonts w:hint="eastAsia" w:ascii="宋体" w:hAnsi="宋体" w:cs="宋体"/>
                <w:color w:val="auto"/>
                <w:kern w:val="0"/>
                <w:sz w:val="24"/>
                <w:lang w:bidi="ar"/>
              </w:rPr>
            </w:pPr>
          </w:p>
        </w:tc>
        <w:tc>
          <w:tcPr>
            <w:tcW w:w="6326" w:type="dxa"/>
            <w:shd w:val="clear" w:color="auto" w:fill="auto"/>
            <w:vAlign w:val="center"/>
          </w:tcPr>
          <w:p>
            <w:pPr>
              <w:widowControl/>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1、CPU 信息：≥全国产兆芯6780A处理器，≥8核心64位，线程数≥8线程 </w:t>
            </w:r>
          </w:p>
          <w:p>
            <w:pPr>
              <w:widowControl/>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2、CPU 主频≥2.7GHz，CPU 支持最大内存≥64 GB，通道数≥2，热设计功耗≥35W。</w:t>
            </w:r>
          </w:p>
        </w:tc>
        <w:tc>
          <w:tcPr>
            <w:tcW w:w="620" w:type="dxa"/>
            <w:vMerge w:val="restart"/>
            <w:shd w:val="clear" w:color="auto" w:fill="auto"/>
            <w:vAlign w:val="center"/>
          </w:tcPr>
          <w:p>
            <w:pPr>
              <w:jc w:val="center"/>
              <w:rPr>
                <w:rFonts w:hint="eastAsia" w:ascii="宋体" w:hAnsi="宋体" w:cs="宋体"/>
                <w:color w:val="auto"/>
                <w:sz w:val="24"/>
              </w:rPr>
            </w:pPr>
            <w:r>
              <w:rPr>
                <w:rFonts w:hint="eastAsia" w:ascii="宋体" w:hAnsi="宋体" w:cs="宋体"/>
                <w:color w:val="auto"/>
                <w:sz w:val="22"/>
                <w:szCs w:val="22"/>
              </w:rPr>
              <w:t>台</w:t>
            </w:r>
          </w:p>
        </w:tc>
        <w:tc>
          <w:tcPr>
            <w:tcW w:w="616" w:type="dxa"/>
            <w:vMerge w:val="restart"/>
            <w:shd w:val="clear" w:color="auto" w:fill="auto"/>
            <w:vAlign w:val="center"/>
          </w:tcPr>
          <w:p>
            <w:pPr>
              <w:jc w:val="center"/>
              <w:rPr>
                <w:rFonts w:hint="eastAsia" w:ascii="宋体" w:hAnsi="宋体" w:cs="宋体"/>
                <w:color w:val="auto"/>
                <w:sz w:val="24"/>
              </w:rPr>
            </w:pPr>
            <w:r>
              <w:rPr>
                <w:rFonts w:hint="eastAsia" w:ascii="宋体" w:hAnsi="宋体" w:cs="宋体"/>
                <w:color w:val="auto"/>
                <w:sz w:val="22"/>
                <w:szCs w:val="22"/>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3" w:type="dxa"/>
            <w:vMerge w:val="continue"/>
            <w:shd w:val="clear" w:color="auto" w:fill="auto"/>
            <w:vAlign w:val="center"/>
          </w:tcPr>
          <w:p>
            <w:pPr>
              <w:jc w:val="center"/>
              <w:rPr>
                <w:rFonts w:hint="eastAsia" w:ascii="宋体" w:hAnsi="宋体" w:cs="宋体"/>
                <w:color w:val="auto"/>
                <w:sz w:val="24"/>
              </w:rPr>
            </w:pPr>
          </w:p>
        </w:tc>
        <w:tc>
          <w:tcPr>
            <w:tcW w:w="722" w:type="dxa"/>
            <w:vMerge w:val="continue"/>
            <w:shd w:val="clear" w:color="auto" w:fill="auto"/>
            <w:vAlign w:val="center"/>
          </w:tcPr>
          <w:p>
            <w:pPr>
              <w:jc w:val="center"/>
              <w:rPr>
                <w:rFonts w:hint="eastAsia" w:ascii="宋体" w:hAnsi="宋体" w:cs="宋体"/>
                <w:color w:val="auto"/>
                <w:sz w:val="22"/>
                <w:szCs w:val="22"/>
              </w:rPr>
            </w:pPr>
          </w:p>
        </w:tc>
        <w:tc>
          <w:tcPr>
            <w:tcW w:w="1192"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内存规格</w:t>
            </w:r>
          </w:p>
        </w:tc>
        <w:tc>
          <w:tcPr>
            <w:tcW w:w="6326"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1、内存配置容量：≥8GB</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2、内存类型：≥DDR4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3、内存条配置数量：≥1条</w:t>
            </w:r>
          </w:p>
        </w:tc>
        <w:tc>
          <w:tcPr>
            <w:tcW w:w="620" w:type="dxa"/>
            <w:vMerge w:val="continue"/>
            <w:shd w:val="clear" w:color="auto" w:fill="auto"/>
            <w:vAlign w:val="center"/>
          </w:tcPr>
          <w:p>
            <w:pPr>
              <w:jc w:val="center"/>
              <w:rPr>
                <w:rFonts w:hint="eastAsia" w:ascii="宋体" w:hAnsi="宋体" w:cs="宋体"/>
                <w:color w:val="auto"/>
                <w:sz w:val="22"/>
                <w:szCs w:val="22"/>
              </w:rPr>
            </w:pPr>
          </w:p>
        </w:tc>
        <w:tc>
          <w:tcPr>
            <w:tcW w:w="616" w:type="dxa"/>
            <w:vMerge w:val="continue"/>
            <w:shd w:val="clear" w:color="auto" w:fill="auto"/>
            <w:vAlign w:val="center"/>
          </w:tcPr>
          <w:p>
            <w:pPr>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3" w:type="dxa"/>
            <w:vMerge w:val="continue"/>
            <w:shd w:val="clear" w:color="auto" w:fill="auto"/>
            <w:vAlign w:val="center"/>
          </w:tcPr>
          <w:p>
            <w:pPr>
              <w:jc w:val="center"/>
              <w:rPr>
                <w:rFonts w:hint="eastAsia" w:ascii="宋体" w:hAnsi="宋体" w:cs="宋体"/>
                <w:color w:val="auto"/>
                <w:sz w:val="24"/>
              </w:rPr>
            </w:pPr>
          </w:p>
        </w:tc>
        <w:tc>
          <w:tcPr>
            <w:tcW w:w="722" w:type="dxa"/>
            <w:vMerge w:val="continue"/>
            <w:shd w:val="clear" w:color="auto" w:fill="auto"/>
            <w:vAlign w:val="center"/>
          </w:tcPr>
          <w:p>
            <w:pPr>
              <w:jc w:val="center"/>
              <w:rPr>
                <w:rFonts w:hint="eastAsia" w:ascii="宋体" w:hAnsi="宋体" w:cs="宋体"/>
                <w:color w:val="auto"/>
                <w:sz w:val="22"/>
                <w:szCs w:val="22"/>
              </w:rPr>
            </w:pPr>
          </w:p>
        </w:tc>
        <w:tc>
          <w:tcPr>
            <w:tcW w:w="1192"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主板规格</w:t>
            </w:r>
          </w:p>
        </w:tc>
        <w:tc>
          <w:tcPr>
            <w:tcW w:w="6326"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1、主板集成模块：国产芯片组；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2、主板支持的 CPU 和内存情况：支持1个智能cpu处理器。支持最低 DDR4 2666 内存，≥2 个内存插槽；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3、主板内置 PCIe 插槽数量：支持 PCIe 插槽数量不少于 2 个；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4、特殊孔位及接口：a）预留满足 USB3.0 数据传输规范的接口，工作电压 5V，最大过电流应不小于 3A； b) 预留多功能导入装置板卡安装孔位，采用内置方式与主机一体化集成， 容量不小于 145mm×125mm×16.5mm （长×宽×高）；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5、主板其他内置接口：≥2个SATA接口，≥1 个 M.2 接口，≥2个USB接口；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6、单内存插槽最大可支持容量：≥16GB</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7、内存插槽满配时提供的最高内存总容量：≥32GB。</w:t>
            </w:r>
          </w:p>
        </w:tc>
        <w:tc>
          <w:tcPr>
            <w:tcW w:w="620" w:type="dxa"/>
            <w:vMerge w:val="continue"/>
            <w:shd w:val="clear" w:color="auto" w:fill="auto"/>
            <w:vAlign w:val="center"/>
          </w:tcPr>
          <w:p>
            <w:pPr>
              <w:jc w:val="center"/>
              <w:rPr>
                <w:rFonts w:hint="eastAsia" w:ascii="宋体" w:hAnsi="宋体" w:cs="宋体"/>
                <w:color w:val="auto"/>
                <w:sz w:val="22"/>
                <w:szCs w:val="22"/>
              </w:rPr>
            </w:pPr>
          </w:p>
        </w:tc>
        <w:tc>
          <w:tcPr>
            <w:tcW w:w="616" w:type="dxa"/>
            <w:vMerge w:val="continue"/>
            <w:shd w:val="clear" w:color="auto" w:fill="auto"/>
            <w:vAlign w:val="center"/>
          </w:tcPr>
          <w:p>
            <w:pPr>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3" w:type="dxa"/>
            <w:vMerge w:val="continue"/>
            <w:shd w:val="clear" w:color="auto" w:fill="auto"/>
            <w:vAlign w:val="center"/>
          </w:tcPr>
          <w:p>
            <w:pPr>
              <w:jc w:val="center"/>
              <w:rPr>
                <w:rFonts w:hint="eastAsia" w:ascii="宋体" w:hAnsi="宋体" w:cs="宋体"/>
                <w:color w:val="auto"/>
                <w:sz w:val="24"/>
              </w:rPr>
            </w:pPr>
          </w:p>
        </w:tc>
        <w:tc>
          <w:tcPr>
            <w:tcW w:w="722" w:type="dxa"/>
            <w:vMerge w:val="continue"/>
            <w:shd w:val="clear" w:color="auto" w:fill="auto"/>
            <w:vAlign w:val="center"/>
          </w:tcPr>
          <w:p>
            <w:pPr>
              <w:jc w:val="center"/>
              <w:rPr>
                <w:rFonts w:hint="eastAsia" w:ascii="宋体" w:hAnsi="宋体" w:cs="宋体"/>
                <w:color w:val="auto"/>
                <w:sz w:val="22"/>
                <w:szCs w:val="22"/>
              </w:rPr>
            </w:pPr>
          </w:p>
        </w:tc>
        <w:tc>
          <w:tcPr>
            <w:tcW w:w="1192"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存储设备规格</w:t>
            </w:r>
          </w:p>
        </w:tc>
        <w:tc>
          <w:tcPr>
            <w:tcW w:w="6326"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1、固态盘数量：≥1 个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2、固态存储容量：≥512GB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3、固态存储接口协议：UFS/SATA/PCIe/NVMe 等类型接口协议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4、固态存储形态：主板板载 M.2 扩展接口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5、存储设备其他参数要求：固态盘应符合 SJ/T 11654 相关规定；</w:t>
            </w:r>
          </w:p>
        </w:tc>
        <w:tc>
          <w:tcPr>
            <w:tcW w:w="620" w:type="dxa"/>
            <w:vMerge w:val="continue"/>
            <w:shd w:val="clear" w:color="auto" w:fill="auto"/>
            <w:vAlign w:val="center"/>
          </w:tcPr>
          <w:p>
            <w:pPr>
              <w:jc w:val="center"/>
              <w:rPr>
                <w:rFonts w:hint="eastAsia" w:ascii="宋体" w:hAnsi="宋体" w:cs="宋体"/>
                <w:color w:val="auto"/>
                <w:sz w:val="22"/>
                <w:szCs w:val="22"/>
              </w:rPr>
            </w:pPr>
          </w:p>
        </w:tc>
        <w:tc>
          <w:tcPr>
            <w:tcW w:w="616" w:type="dxa"/>
            <w:vMerge w:val="continue"/>
            <w:shd w:val="clear" w:color="auto" w:fill="auto"/>
            <w:vAlign w:val="center"/>
          </w:tcPr>
          <w:p>
            <w:pPr>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3" w:type="dxa"/>
            <w:vMerge w:val="continue"/>
            <w:shd w:val="clear" w:color="auto" w:fill="auto"/>
            <w:vAlign w:val="center"/>
          </w:tcPr>
          <w:p>
            <w:pPr>
              <w:jc w:val="center"/>
              <w:rPr>
                <w:rFonts w:hint="eastAsia" w:ascii="宋体" w:hAnsi="宋体" w:cs="宋体"/>
                <w:color w:val="auto"/>
                <w:sz w:val="24"/>
              </w:rPr>
            </w:pPr>
          </w:p>
        </w:tc>
        <w:tc>
          <w:tcPr>
            <w:tcW w:w="722" w:type="dxa"/>
            <w:vMerge w:val="continue"/>
            <w:shd w:val="clear" w:color="auto" w:fill="auto"/>
            <w:vAlign w:val="center"/>
          </w:tcPr>
          <w:p>
            <w:pPr>
              <w:jc w:val="center"/>
              <w:rPr>
                <w:rFonts w:hint="eastAsia" w:ascii="宋体" w:hAnsi="宋体" w:cs="宋体"/>
                <w:color w:val="auto"/>
                <w:sz w:val="22"/>
                <w:szCs w:val="22"/>
              </w:rPr>
            </w:pPr>
          </w:p>
        </w:tc>
        <w:tc>
          <w:tcPr>
            <w:tcW w:w="1192"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显卡规格</w:t>
            </w:r>
          </w:p>
          <w:p>
            <w:pPr>
              <w:widowControl/>
              <w:spacing w:line="360" w:lineRule="auto"/>
              <w:jc w:val="left"/>
              <w:rPr>
                <w:rFonts w:hint="eastAsia" w:ascii="宋体" w:hAnsi="宋体" w:cs="宋体"/>
                <w:color w:val="auto"/>
                <w:kern w:val="0"/>
                <w:sz w:val="24"/>
                <w:lang w:bidi="ar"/>
              </w:rPr>
            </w:pPr>
          </w:p>
        </w:tc>
        <w:tc>
          <w:tcPr>
            <w:tcW w:w="6326"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显卡类型：集成显卡</w:t>
            </w:r>
          </w:p>
          <w:p>
            <w:pPr>
              <w:widowControl/>
              <w:jc w:val="left"/>
              <w:rPr>
                <w:rFonts w:hint="eastAsia" w:ascii="宋体" w:hAnsi="宋体" w:cs="宋体"/>
                <w:color w:val="auto"/>
                <w:kern w:val="0"/>
                <w:sz w:val="24"/>
                <w:lang w:bidi="ar"/>
              </w:rPr>
            </w:pPr>
          </w:p>
          <w:p>
            <w:pPr>
              <w:widowControl/>
              <w:spacing w:line="360" w:lineRule="auto"/>
              <w:jc w:val="left"/>
              <w:rPr>
                <w:rFonts w:hint="eastAsia" w:ascii="宋体" w:hAnsi="宋体" w:cs="宋体"/>
                <w:color w:val="auto"/>
                <w:kern w:val="0"/>
                <w:sz w:val="24"/>
                <w:lang w:bidi="ar"/>
              </w:rPr>
            </w:pPr>
          </w:p>
        </w:tc>
        <w:tc>
          <w:tcPr>
            <w:tcW w:w="620" w:type="dxa"/>
            <w:vMerge w:val="continue"/>
            <w:shd w:val="clear" w:color="auto" w:fill="auto"/>
            <w:vAlign w:val="center"/>
          </w:tcPr>
          <w:p>
            <w:pPr>
              <w:jc w:val="center"/>
              <w:rPr>
                <w:rFonts w:hint="eastAsia" w:ascii="宋体" w:hAnsi="宋体" w:cs="宋体"/>
                <w:color w:val="auto"/>
                <w:sz w:val="22"/>
                <w:szCs w:val="22"/>
              </w:rPr>
            </w:pPr>
          </w:p>
        </w:tc>
        <w:tc>
          <w:tcPr>
            <w:tcW w:w="616" w:type="dxa"/>
            <w:vMerge w:val="continue"/>
            <w:shd w:val="clear" w:color="auto" w:fill="auto"/>
            <w:vAlign w:val="center"/>
          </w:tcPr>
          <w:p>
            <w:pPr>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3" w:type="dxa"/>
            <w:vMerge w:val="continue"/>
            <w:shd w:val="clear" w:color="auto" w:fill="auto"/>
            <w:vAlign w:val="center"/>
          </w:tcPr>
          <w:p>
            <w:pPr>
              <w:jc w:val="center"/>
              <w:rPr>
                <w:rFonts w:hint="eastAsia" w:ascii="宋体" w:hAnsi="宋体" w:cs="宋体"/>
                <w:color w:val="auto"/>
                <w:sz w:val="24"/>
              </w:rPr>
            </w:pPr>
          </w:p>
        </w:tc>
        <w:tc>
          <w:tcPr>
            <w:tcW w:w="722" w:type="dxa"/>
            <w:vMerge w:val="continue"/>
            <w:shd w:val="clear" w:color="auto" w:fill="auto"/>
            <w:vAlign w:val="center"/>
          </w:tcPr>
          <w:p>
            <w:pPr>
              <w:jc w:val="center"/>
              <w:rPr>
                <w:rFonts w:hint="eastAsia" w:ascii="宋体" w:hAnsi="宋体" w:cs="宋体"/>
                <w:color w:val="auto"/>
                <w:sz w:val="22"/>
                <w:szCs w:val="22"/>
              </w:rPr>
            </w:pPr>
          </w:p>
        </w:tc>
        <w:tc>
          <w:tcPr>
            <w:tcW w:w="1192"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显示设备规格</w:t>
            </w:r>
          </w:p>
          <w:p>
            <w:pPr>
              <w:widowControl/>
              <w:spacing w:line="360" w:lineRule="auto"/>
              <w:jc w:val="left"/>
              <w:rPr>
                <w:rFonts w:hint="eastAsia" w:ascii="宋体" w:hAnsi="宋体" w:cs="宋体"/>
                <w:color w:val="auto"/>
                <w:kern w:val="0"/>
                <w:sz w:val="24"/>
                <w:lang w:bidi="ar"/>
              </w:rPr>
            </w:pPr>
          </w:p>
        </w:tc>
        <w:tc>
          <w:tcPr>
            <w:tcW w:w="6326"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1、显示屏屏占比：≥80%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2、显示屏分辨率：≥1920*1080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3、显示屏像素密度：≥85 像素/英寸</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4、显示器可视角度：≥170°</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5、显示屏尺寸：≥21.5 英寸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6、显示屏屏幕比例：16:9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7、显示器外观颜色：黑色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8、显示屏防蓝光：支持防蓝光模式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9、显示屏低频闪：显示屏应支持低频闪≤-35dB</w:t>
            </w:r>
          </w:p>
          <w:p>
            <w:pPr>
              <w:widowControl/>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10、显示屏防炫目：显示屏镜面反射率≤10%</w:t>
            </w:r>
          </w:p>
        </w:tc>
        <w:tc>
          <w:tcPr>
            <w:tcW w:w="620" w:type="dxa"/>
            <w:vMerge w:val="continue"/>
            <w:shd w:val="clear" w:color="auto" w:fill="auto"/>
            <w:vAlign w:val="center"/>
          </w:tcPr>
          <w:p>
            <w:pPr>
              <w:jc w:val="center"/>
              <w:rPr>
                <w:rFonts w:hint="eastAsia" w:ascii="宋体" w:hAnsi="宋体" w:cs="宋体"/>
                <w:color w:val="auto"/>
                <w:sz w:val="22"/>
                <w:szCs w:val="22"/>
              </w:rPr>
            </w:pPr>
          </w:p>
        </w:tc>
        <w:tc>
          <w:tcPr>
            <w:tcW w:w="616" w:type="dxa"/>
            <w:vMerge w:val="continue"/>
            <w:shd w:val="clear" w:color="auto" w:fill="auto"/>
            <w:vAlign w:val="center"/>
          </w:tcPr>
          <w:p>
            <w:pPr>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3" w:type="dxa"/>
            <w:vMerge w:val="continue"/>
            <w:shd w:val="clear" w:color="auto" w:fill="auto"/>
            <w:vAlign w:val="center"/>
          </w:tcPr>
          <w:p>
            <w:pPr>
              <w:jc w:val="center"/>
              <w:rPr>
                <w:rFonts w:hint="eastAsia" w:ascii="宋体" w:hAnsi="宋体" w:cs="宋体"/>
                <w:color w:val="auto"/>
                <w:sz w:val="24"/>
              </w:rPr>
            </w:pPr>
          </w:p>
        </w:tc>
        <w:tc>
          <w:tcPr>
            <w:tcW w:w="722" w:type="dxa"/>
            <w:vMerge w:val="continue"/>
            <w:shd w:val="clear" w:color="auto" w:fill="auto"/>
            <w:vAlign w:val="center"/>
          </w:tcPr>
          <w:p>
            <w:pPr>
              <w:jc w:val="center"/>
              <w:rPr>
                <w:rFonts w:hint="eastAsia" w:ascii="宋体" w:hAnsi="宋体" w:cs="宋体"/>
                <w:color w:val="auto"/>
                <w:sz w:val="22"/>
                <w:szCs w:val="22"/>
              </w:rPr>
            </w:pPr>
          </w:p>
        </w:tc>
        <w:tc>
          <w:tcPr>
            <w:tcW w:w="1192"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外设规格</w:t>
            </w:r>
          </w:p>
          <w:p>
            <w:pPr>
              <w:widowControl/>
              <w:spacing w:line="360" w:lineRule="auto"/>
              <w:jc w:val="left"/>
              <w:rPr>
                <w:rFonts w:hint="eastAsia" w:ascii="宋体" w:hAnsi="宋体" w:cs="宋体"/>
                <w:color w:val="auto"/>
                <w:kern w:val="0"/>
                <w:sz w:val="24"/>
                <w:lang w:bidi="ar"/>
              </w:rPr>
            </w:pPr>
          </w:p>
        </w:tc>
        <w:tc>
          <w:tcPr>
            <w:tcW w:w="6326"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1、鼠标数量：1 个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2、键盘数量：1 个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3、键盘按键数目：≥104 键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4、键盘连接方式：USB 有线连接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5、键盘键程：2.3mm ~ 4.0mm</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6、键盘按键压力：按键压力应在 0.54 N±0.14N</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7、有线键盘连接线：≥1.5 米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8、键盘颜色：黑色商务系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9、鼠标连接方式：USB 有线连接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10、有线鼠标连接线：≥1.5 米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11、鼠标 DPI分辨率：800~1600</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12、鼠标颜色：黑色商务系</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13、鼠标其他要求：其它参数应符合 GB/T 26245的相关规定</w:t>
            </w:r>
          </w:p>
          <w:p>
            <w:pPr>
              <w:widowControl/>
              <w:spacing w:line="360" w:lineRule="auto"/>
              <w:jc w:val="left"/>
              <w:rPr>
                <w:rFonts w:hint="eastAsia" w:ascii="宋体" w:hAnsi="宋体" w:cs="宋体"/>
                <w:color w:val="auto"/>
                <w:kern w:val="0"/>
                <w:sz w:val="24"/>
                <w:lang w:bidi="ar"/>
              </w:rPr>
            </w:pPr>
          </w:p>
        </w:tc>
        <w:tc>
          <w:tcPr>
            <w:tcW w:w="620" w:type="dxa"/>
            <w:vMerge w:val="continue"/>
            <w:shd w:val="clear" w:color="auto" w:fill="auto"/>
            <w:vAlign w:val="center"/>
          </w:tcPr>
          <w:p>
            <w:pPr>
              <w:jc w:val="center"/>
              <w:rPr>
                <w:rFonts w:hint="eastAsia" w:ascii="宋体" w:hAnsi="宋体" w:cs="宋体"/>
                <w:color w:val="auto"/>
                <w:sz w:val="22"/>
                <w:szCs w:val="22"/>
              </w:rPr>
            </w:pPr>
          </w:p>
        </w:tc>
        <w:tc>
          <w:tcPr>
            <w:tcW w:w="616" w:type="dxa"/>
            <w:vMerge w:val="continue"/>
            <w:shd w:val="clear" w:color="auto" w:fill="auto"/>
            <w:vAlign w:val="center"/>
          </w:tcPr>
          <w:p>
            <w:pPr>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3" w:type="dxa"/>
            <w:vMerge w:val="continue"/>
            <w:shd w:val="clear" w:color="auto" w:fill="auto"/>
            <w:vAlign w:val="center"/>
          </w:tcPr>
          <w:p>
            <w:pPr>
              <w:jc w:val="center"/>
              <w:rPr>
                <w:rFonts w:hint="eastAsia" w:ascii="宋体" w:hAnsi="宋体" w:cs="宋体"/>
                <w:color w:val="auto"/>
                <w:sz w:val="24"/>
              </w:rPr>
            </w:pPr>
          </w:p>
        </w:tc>
        <w:tc>
          <w:tcPr>
            <w:tcW w:w="722" w:type="dxa"/>
            <w:vMerge w:val="continue"/>
            <w:shd w:val="clear" w:color="auto" w:fill="auto"/>
            <w:vAlign w:val="center"/>
          </w:tcPr>
          <w:p>
            <w:pPr>
              <w:jc w:val="center"/>
              <w:rPr>
                <w:rFonts w:hint="eastAsia" w:ascii="宋体" w:hAnsi="宋体" w:cs="宋体"/>
                <w:color w:val="auto"/>
                <w:sz w:val="22"/>
                <w:szCs w:val="22"/>
              </w:rPr>
            </w:pPr>
          </w:p>
        </w:tc>
        <w:tc>
          <w:tcPr>
            <w:tcW w:w="1192"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网络设备 </w:t>
            </w:r>
          </w:p>
          <w:p>
            <w:pPr>
              <w:widowControl/>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规格</w:t>
            </w:r>
          </w:p>
        </w:tc>
        <w:tc>
          <w:tcPr>
            <w:tcW w:w="6326"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有线网卡数量：≥1</w:t>
            </w:r>
          </w:p>
          <w:p>
            <w:pPr>
              <w:widowControl/>
              <w:spacing w:line="360" w:lineRule="auto"/>
              <w:jc w:val="left"/>
              <w:rPr>
                <w:rFonts w:hint="eastAsia" w:ascii="宋体" w:hAnsi="宋体" w:cs="宋体"/>
                <w:color w:val="auto"/>
                <w:kern w:val="0"/>
                <w:sz w:val="24"/>
                <w:lang w:bidi="ar"/>
              </w:rPr>
            </w:pPr>
          </w:p>
        </w:tc>
        <w:tc>
          <w:tcPr>
            <w:tcW w:w="620" w:type="dxa"/>
            <w:vMerge w:val="continue"/>
            <w:shd w:val="clear" w:color="auto" w:fill="auto"/>
            <w:vAlign w:val="center"/>
          </w:tcPr>
          <w:p>
            <w:pPr>
              <w:jc w:val="center"/>
              <w:rPr>
                <w:rFonts w:hint="eastAsia" w:ascii="宋体" w:hAnsi="宋体" w:cs="宋体"/>
                <w:color w:val="auto"/>
                <w:sz w:val="22"/>
                <w:szCs w:val="22"/>
              </w:rPr>
            </w:pPr>
          </w:p>
        </w:tc>
        <w:tc>
          <w:tcPr>
            <w:tcW w:w="616" w:type="dxa"/>
            <w:vMerge w:val="continue"/>
            <w:shd w:val="clear" w:color="auto" w:fill="auto"/>
            <w:vAlign w:val="center"/>
          </w:tcPr>
          <w:p>
            <w:pPr>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3" w:type="dxa"/>
            <w:vMerge w:val="continue"/>
            <w:shd w:val="clear" w:color="auto" w:fill="auto"/>
            <w:vAlign w:val="center"/>
          </w:tcPr>
          <w:p>
            <w:pPr>
              <w:jc w:val="center"/>
              <w:rPr>
                <w:rFonts w:hint="eastAsia" w:ascii="宋体" w:hAnsi="宋体" w:cs="宋体"/>
                <w:color w:val="auto"/>
                <w:sz w:val="24"/>
              </w:rPr>
            </w:pPr>
          </w:p>
        </w:tc>
        <w:tc>
          <w:tcPr>
            <w:tcW w:w="722" w:type="dxa"/>
            <w:vMerge w:val="continue"/>
            <w:shd w:val="clear" w:color="auto" w:fill="auto"/>
            <w:vAlign w:val="center"/>
          </w:tcPr>
          <w:p>
            <w:pPr>
              <w:jc w:val="center"/>
              <w:rPr>
                <w:rFonts w:hint="eastAsia" w:ascii="宋体" w:hAnsi="宋体" w:cs="宋体"/>
                <w:color w:val="auto"/>
                <w:sz w:val="22"/>
                <w:szCs w:val="22"/>
              </w:rPr>
            </w:pPr>
          </w:p>
        </w:tc>
        <w:tc>
          <w:tcPr>
            <w:tcW w:w="1192"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外部接口规格</w:t>
            </w:r>
          </w:p>
          <w:p>
            <w:pPr>
              <w:widowControl/>
              <w:spacing w:line="360" w:lineRule="auto"/>
              <w:jc w:val="left"/>
              <w:rPr>
                <w:rFonts w:hint="eastAsia" w:ascii="宋体" w:hAnsi="宋体" w:cs="宋体"/>
                <w:color w:val="auto"/>
                <w:kern w:val="0"/>
                <w:sz w:val="24"/>
                <w:lang w:bidi="ar"/>
              </w:rPr>
            </w:pPr>
          </w:p>
        </w:tc>
        <w:tc>
          <w:tcPr>
            <w:tcW w:w="6326"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1.USB 接口数量：机箱前面板应提供不少于 2 个 USB 接口（含 2 个 USB3.0 及以上接口）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2.视频接口数量：≥1 个接口（主板原厂集成视频接口，至少 1个 HDMI 接口，非转接） </w:t>
            </w:r>
          </w:p>
          <w:p>
            <w:pPr>
              <w:widowControl/>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3.音频接口数量：≥1</w:t>
            </w:r>
          </w:p>
        </w:tc>
        <w:tc>
          <w:tcPr>
            <w:tcW w:w="620" w:type="dxa"/>
            <w:vMerge w:val="continue"/>
            <w:shd w:val="clear" w:color="auto" w:fill="auto"/>
            <w:vAlign w:val="center"/>
          </w:tcPr>
          <w:p>
            <w:pPr>
              <w:jc w:val="center"/>
              <w:rPr>
                <w:rFonts w:hint="eastAsia" w:ascii="宋体" w:hAnsi="宋体" w:cs="宋体"/>
                <w:color w:val="auto"/>
                <w:sz w:val="22"/>
                <w:szCs w:val="22"/>
              </w:rPr>
            </w:pPr>
          </w:p>
        </w:tc>
        <w:tc>
          <w:tcPr>
            <w:tcW w:w="616" w:type="dxa"/>
            <w:vMerge w:val="continue"/>
            <w:shd w:val="clear" w:color="auto" w:fill="auto"/>
            <w:vAlign w:val="center"/>
          </w:tcPr>
          <w:p>
            <w:pPr>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3" w:type="dxa"/>
            <w:vMerge w:val="continue"/>
            <w:shd w:val="clear" w:color="auto" w:fill="auto"/>
            <w:vAlign w:val="center"/>
          </w:tcPr>
          <w:p>
            <w:pPr>
              <w:jc w:val="center"/>
              <w:rPr>
                <w:rFonts w:hint="eastAsia" w:ascii="宋体" w:hAnsi="宋体" w:cs="宋体"/>
                <w:color w:val="auto"/>
                <w:sz w:val="24"/>
              </w:rPr>
            </w:pPr>
          </w:p>
        </w:tc>
        <w:tc>
          <w:tcPr>
            <w:tcW w:w="722" w:type="dxa"/>
            <w:vMerge w:val="continue"/>
            <w:shd w:val="clear" w:color="auto" w:fill="auto"/>
            <w:vAlign w:val="center"/>
          </w:tcPr>
          <w:p>
            <w:pPr>
              <w:jc w:val="center"/>
              <w:rPr>
                <w:rFonts w:hint="eastAsia" w:ascii="宋体" w:hAnsi="宋体" w:cs="宋体"/>
                <w:color w:val="auto"/>
                <w:sz w:val="22"/>
                <w:szCs w:val="22"/>
              </w:rPr>
            </w:pPr>
          </w:p>
        </w:tc>
        <w:tc>
          <w:tcPr>
            <w:tcW w:w="1192"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整机基础规格</w:t>
            </w:r>
          </w:p>
          <w:p>
            <w:pPr>
              <w:widowControl/>
              <w:spacing w:line="360" w:lineRule="auto"/>
              <w:jc w:val="left"/>
              <w:rPr>
                <w:rFonts w:hint="eastAsia" w:ascii="宋体" w:hAnsi="宋体" w:cs="宋体"/>
                <w:color w:val="auto"/>
                <w:kern w:val="0"/>
                <w:sz w:val="24"/>
                <w:lang w:bidi="ar"/>
              </w:rPr>
            </w:pPr>
          </w:p>
        </w:tc>
        <w:tc>
          <w:tcPr>
            <w:tcW w:w="6326"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1、整机外观：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a)产品表面不应有凹痕、划伤、裂缝、变形和污染等。表面涂层均匀，不应起泡、龟裂、脱落和磨损，金属零部 件无锈蚀及其它机械损伤；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b)产品表面说明功能的文字、符号、标志，应清晰、端正、牢固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2、状态指示灯：在产品显著位置提供状态指示功能， 如运行状态等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3、整机结构：</w:t>
            </w:r>
          </w:p>
          <w:p>
            <w:pPr>
              <w:widowControl/>
              <w:numPr>
                <w:ilvl w:val="0"/>
                <w:numId w:val="2"/>
              </w:numPr>
              <w:autoSpaceDE w:val="0"/>
              <w:autoSpaceDN w:val="0"/>
              <w:jc w:val="left"/>
              <w:rPr>
                <w:rFonts w:hint="eastAsia" w:ascii="宋体" w:hAnsi="宋体" w:cs="宋体"/>
                <w:color w:val="auto"/>
                <w:kern w:val="0"/>
                <w:sz w:val="24"/>
                <w:lang w:bidi="ar"/>
              </w:rPr>
            </w:pPr>
            <w:r>
              <w:rPr>
                <w:rFonts w:hint="eastAsia" w:ascii="宋体" w:hAnsi="宋体" w:cs="宋体"/>
                <w:color w:val="auto"/>
                <w:kern w:val="0"/>
                <w:sz w:val="24"/>
                <w:lang w:bidi="ar"/>
              </w:rPr>
              <w:t>机箱应符合 GB/T 4208、GB/T 26246的相关规定；</w:t>
            </w:r>
          </w:p>
          <w:p>
            <w:pPr>
              <w:widowControl/>
              <w:numPr>
                <w:ilvl w:val="0"/>
                <w:numId w:val="2"/>
              </w:numPr>
              <w:autoSpaceDE w:val="0"/>
              <w:autoSpaceDN w:val="0"/>
              <w:jc w:val="left"/>
              <w:rPr>
                <w:rFonts w:hint="eastAsia" w:ascii="宋体" w:hAnsi="宋体" w:cs="宋体"/>
                <w:color w:val="auto"/>
                <w:kern w:val="0"/>
                <w:sz w:val="24"/>
                <w:lang w:bidi="ar"/>
              </w:rPr>
            </w:pPr>
            <w:r>
              <w:rPr>
                <w:rFonts w:hint="eastAsia" w:ascii="宋体" w:hAnsi="宋体" w:cs="宋体"/>
                <w:color w:val="auto"/>
                <w:kern w:val="0"/>
                <w:sz w:val="24"/>
                <w:lang w:bidi="ar"/>
              </w:rPr>
              <w:t>产品内部结构应符合通用部件的安装需求；</w:t>
            </w:r>
          </w:p>
          <w:p>
            <w:pPr>
              <w:widowControl/>
              <w:numPr>
                <w:ilvl w:val="0"/>
                <w:numId w:val="2"/>
              </w:numPr>
              <w:autoSpaceDE w:val="0"/>
              <w:autoSpaceDN w:val="0"/>
              <w:jc w:val="left"/>
              <w:rPr>
                <w:rFonts w:hint="eastAsia" w:ascii="宋体" w:hAnsi="宋体" w:cs="宋体"/>
                <w:color w:val="auto"/>
                <w:kern w:val="0"/>
                <w:sz w:val="24"/>
                <w:lang w:bidi="ar"/>
              </w:rPr>
            </w:pPr>
            <w:r>
              <w:rPr>
                <w:rFonts w:hint="eastAsia" w:ascii="宋体" w:hAnsi="宋体" w:cs="宋体"/>
                <w:color w:val="auto"/>
                <w:kern w:val="0"/>
                <w:sz w:val="24"/>
                <w:lang w:bidi="ar"/>
              </w:rPr>
              <w:t>所有输入输出接口应符合相关国家或行业标准；</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d) 产品零部件应紧固无松动，可插拔部件应可靠连接，开关、按钮和其它控制部件应灵活可靠，布局应方便使用；</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e) 所有 I/O 连接器及需插接线缆的部位应预留采购人操作空间，方便插拔解锁与插拔线缆；</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f) 可插拔板卡插槽部位应预留安装、拆卸或更换板卡空间；</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g) 拆装可能接触到的金属剪口或金属尖角部位应做防划伤处理，以保证安全；</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h) 整机内部走线应规整，固线结构和位置要合理可靠并做防割线处理，需便于理线和插拔操作，走线应不影响系统各主要部件组装和拆卸；</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i) 如需通过孔走线，过线孔应做防割线处理；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j) 各插头位置和插拔方向应合理，应做到插拔无障碍设计，具备防呆设计，有效避免误操作；</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k) 各主要部件拆装无障碍，使用常规工具拆装，无特殊拆装工具需求；l) 各主要部件拆装步骤要少，各自装需避免相互干扰；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m) 对于整机或零部件外表面为高亮面的，应粘贴保护膜，保护膜需粘贴牢固，运输、组装等过程不易脱落，撕下无残留；</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n) 其它要求应符合 GB/T 9813.1 的相关规定</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3、机箱防护要求：机箱应符合 GB/T 4208 中 IP20 防护要求</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4、整机噪音：产品工作在空闲状态下，产品的声功率级应不超过 4.5 Bel</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5、整机散热：在环境温度 25℃及处理器满载情况下，产品表面温度应符合如下要求： a) 出风口在机箱后面板情况下，出风 口温度不高于 55℃； b) 可触及面温度不高于 45℃； c) 显示器表面温度：显示屏不高于38℃，显示屏上下灯带位置温度（如涉及）不高于 40℃，出风口温度不高于 45℃</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6、整机能效限定值：产品能效限定值应达到 GB 28380-2012 标准中能效等级 2 级及以上</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7、机身材质：金属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8、机身颜色：黑色商务系列 </w:t>
            </w:r>
          </w:p>
          <w:p>
            <w:pPr>
              <w:widowControl/>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9、机箱尺寸容量：机箱体积应不大于 30L</w:t>
            </w:r>
          </w:p>
        </w:tc>
        <w:tc>
          <w:tcPr>
            <w:tcW w:w="620" w:type="dxa"/>
            <w:vMerge w:val="continue"/>
            <w:shd w:val="clear" w:color="auto" w:fill="auto"/>
            <w:vAlign w:val="center"/>
          </w:tcPr>
          <w:p>
            <w:pPr>
              <w:jc w:val="center"/>
              <w:rPr>
                <w:rFonts w:hint="eastAsia" w:ascii="宋体" w:hAnsi="宋体" w:cs="宋体"/>
                <w:color w:val="auto"/>
                <w:sz w:val="22"/>
                <w:szCs w:val="22"/>
              </w:rPr>
            </w:pPr>
          </w:p>
        </w:tc>
        <w:tc>
          <w:tcPr>
            <w:tcW w:w="616" w:type="dxa"/>
            <w:vMerge w:val="continue"/>
            <w:shd w:val="clear" w:color="auto" w:fill="auto"/>
            <w:vAlign w:val="center"/>
          </w:tcPr>
          <w:p>
            <w:pPr>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3" w:type="dxa"/>
            <w:vMerge w:val="continue"/>
            <w:shd w:val="clear" w:color="auto" w:fill="auto"/>
            <w:vAlign w:val="center"/>
          </w:tcPr>
          <w:p>
            <w:pPr>
              <w:jc w:val="center"/>
              <w:rPr>
                <w:rFonts w:hint="eastAsia" w:ascii="宋体" w:hAnsi="宋体" w:cs="宋体"/>
                <w:color w:val="auto"/>
                <w:sz w:val="24"/>
              </w:rPr>
            </w:pPr>
          </w:p>
        </w:tc>
        <w:tc>
          <w:tcPr>
            <w:tcW w:w="722" w:type="dxa"/>
            <w:vMerge w:val="continue"/>
            <w:shd w:val="clear" w:color="auto" w:fill="auto"/>
            <w:vAlign w:val="center"/>
          </w:tcPr>
          <w:p>
            <w:pPr>
              <w:jc w:val="center"/>
              <w:rPr>
                <w:rFonts w:hint="eastAsia" w:ascii="宋体" w:hAnsi="宋体" w:cs="宋体"/>
                <w:color w:val="auto"/>
                <w:sz w:val="22"/>
                <w:szCs w:val="22"/>
              </w:rPr>
            </w:pPr>
          </w:p>
        </w:tc>
        <w:tc>
          <w:tcPr>
            <w:tcW w:w="1192"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CPU性能</w:t>
            </w:r>
          </w:p>
          <w:p>
            <w:pPr>
              <w:widowControl/>
              <w:spacing w:line="360" w:lineRule="auto"/>
              <w:jc w:val="left"/>
              <w:rPr>
                <w:rFonts w:hint="eastAsia" w:ascii="宋体" w:hAnsi="宋体" w:cs="宋体"/>
                <w:color w:val="auto"/>
                <w:kern w:val="0"/>
                <w:sz w:val="24"/>
                <w:lang w:bidi="ar"/>
              </w:rPr>
            </w:pPr>
          </w:p>
        </w:tc>
        <w:tc>
          <w:tcPr>
            <w:tcW w:w="6326"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1、CPU 物理核数：≥8；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2、CPU 主频：≥2.7GHz；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3、CPU 末级缓存容量：≥2MB。</w:t>
            </w:r>
          </w:p>
          <w:p>
            <w:pPr>
              <w:widowControl/>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4、CPU 支持的内存最高速率≥2666MT/s</w:t>
            </w:r>
          </w:p>
        </w:tc>
        <w:tc>
          <w:tcPr>
            <w:tcW w:w="620" w:type="dxa"/>
            <w:vMerge w:val="continue"/>
            <w:shd w:val="clear" w:color="auto" w:fill="auto"/>
            <w:vAlign w:val="center"/>
          </w:tcPr>
          <w:p>
            <w:pPr>
              <w:jc w:val="center"/>
              <w:rPr>
                <w:rFonts w:hint="eastAsia" w:ascii="宋体" w:hAnsi="宋体" w:cs="宋体"/>
                <w:color w:val="auto"/>
                <w:sz w:val="22"/>
                <w:szCs w:val="22"/>
              </w:rPr>
            </w:pPr>
          </w:p>
        </w:tc>
        <w:tc>
          <w:tcPr>
            <w:tcW w:w="616" w:type="dxa"/>
            <w:vMerge w:val="continue"/>
            <w:shd w:val="clear" w:color="auto" w:fill="auto"/>
            <w:vAlign w:val="center"/>
          </w:tcPr>
          <w:p>
            <w:pPr>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3" w:type="dxa"/>
            <w:vMerge w:val="continue"/>
            <w:shd w:val="clear" w:color="auto" w:fill="auto"/>
            <w:vAlign w:val="center"/>
          </w:tcPr>
          <w:p>
            <w:pPr>
              <w:jc w:val="center"/>
              <w:rPr>
                <w:rFonts w:hint="eastAsia" w:ascii="宋体" w:hAnsi="宋体" w:cs="宋体"/>
                <w:color w:val="auto"/>
                <w:sz w:val="24"/>
              </w:rPr>
            </w:pPr>
          </w:p>
        </w:tc>
        <w:tc>
          <w:tcPr>
            <w:tcW w:w="722" w:type="dxa"/>
            <w:vMerge w:val="continue"/>
            <w:shd w:val="clear" w:color="auto" w:fill="auto"/>
            <w:vAlign w:val="center"/>
          </w:tcPr>
          <w:p>
            <w:pPr>
              <w:jc w:val="center"/>
              <w:rPr>
                <w:rFonts w:hint="eastAsia" w:ascii="宋体" w:hAnsi="宋体" w:cs="宋体"/>
                <w:color w:val="auto"/>
                <w:sz w:val="22"/>
                <w:szCs w:val="22"/>
              </w:rPr>
            </w:pPr>
          </w:p>
        </w:tc>
        <w:tc>
          <w:tcPr>
            <w:tcW w:w="1192"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内存性能</w:t>
            </w:r>
          </w:p>
        </w:tc>
        <w:tc>
          <w:tcPr>
            <w:tcW w:w="6326" w:type="dxa"/>
            <w:shd w:val="clear" w:color="auto" w:fill="auto"/>
            <w:vAlign w:val="center"/>
          </w:tcPr>
          <w:p>
            <w:pPr>
              <w:widowControl/>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内存读写速率：≥2666MT/s</w:t>
            </w:r>
          </w:p>
        </w:tc>
        <w:tc>
          <w:tcPr>
            <w:tcW w:w="620" w:type="dxa"/>
            <w:vMerge w:val="continue"/>
            <w:shd w:val="clear" w:color="auto" w:fill="auto"/>
            <w:vAlign w:val="center"/>
          </w:tcPr>
          <w:p>
            <w:pPr>
              <w:jc w:val="center"/>
              <w:rPr>
                <w:rFonts w:hint="eastAsia" w:ascii="宋体" w:hAnsi="宋体" w:cs="宋体"/>
                <w:color w:val="auto"/>
                <w:sz w:val="22"/>
                <w:szCs w:val="22"/>
              </w:rPr>
            </w:pPr>
          </w:p>
        </w:tc>
        <w:tc>
          <w:tcPr>
            <w:tcW w:w="616" w:type="dxa"/>
            <w:vMerge w:val="continue"/>
            <w:shd w:val="clear" w:color="auto" w:fill="auto"/>
            <w:vAlign w:val="center"/>
          </w:tcPr>
          <w:p>
            <w:pPr>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3" w:type="dxa"/>
            <w:vMerge w:val="continue"/>
            <w:shd w:val="clear" w:color="auto" w:fill="auto"/>
            <w:vAlign w:val="center"/>
          </w:tcPr>
          <w:p>
            <w:pPr>
              <w:jc w:val="center"/>
              <w:rPr>
                <w:rFonts w:hint="eastAsia" w:ascii="宋体" w:hAnsi="宋体" w:cs="宋体"/>
                <w:color w:val="auto"/>
                <w:sz w:val="24"/>
              </w:rPr>
            </w:pPr>
          </w:p>
        </w:tc>
        <w:tc>
          <w:tcPr>
            <w:tcW w:w="722" w:type="dxa"/>
            <w:vMerge w:val="continue"/>
            <w:shd w:val="clear" w:color="auto" w:fill="auto"/>
            <w:vAlign w:val="center"/>
          </w:tcPr>
          <w:p>
            <w:pPr>
              <w:jc w:val="center"/>
              <w:rPr>
                <w:rFonts w:hint="eastAsia" w:ascii="宋体" w:hAnsi="宋体" w:cs="宋体"/>
                <w:color w:val="auto"/>
                <w:sz w:val="22"/>
                <w:szCs w:val="22"/>
              </w:rPr>
            </w:pPr>
          </w:p>
        </w:tc>
        <w:tc>
          <w:tcPr>
            <w:tcW w:w="1192"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显卡性能</w:t>
            </w:r>
          </w:p>
          <w:p>
            <w:pPr>
              <w:widowControl/>
              <w:spacing w:line="360" w:lineRule="auto"/>
              <w:jc w:val="left"/>
              <w:rPr>
                <w:rFonts w:hint="eastAsia" w:ascii="宋体" w:hAnsi="宋体" w:cs="宋体"/>
                <w:color w:val="auto"/>
                <w:kern w:val="0"/>
                <w:sz w:val="24"/>
                <w:lang w:bidi="ar"/>
              </w:rPr>
            </w:pPr>
          </w:p>
        </w:tc>
        <w:tc>
          <w:tcPr>
            <w:tcW w:w="6326"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1、显示分辨率：最低支持 1920x1080；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2、显卡显示芯片核心频率：≥300MHz；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3、显存等效频率：≥1000MT/s</w:t>
            </w:r>
          </w:p>
          <w:p>
            <w:pPr>
              <w:widowControl/>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4、显卡可支持多屏同时显示数量：显卡最多可支持 2 块屏幕同时显示，分辨率不低于 1920X1080。</w:t>
            </w:r>
          </w:p>
        </w:tc>
        <w:tc>
          <w:tcPr>
            <w:tcW w:w="620" w:type="dxa"/>
            <w:vMerge w:val="continue"/>
            <w:shd w:val="clear" w:color="auto" w:fill="auto"/>
            <w:vAlign w:val="center"/>
          </w:tcPr>
          <w:p>
            <w:pPr>
              <w:jc w:val="center"/>
              <w:rPr>
                <w:rFonts w:hint="eastAsia" w:ascii="宋体" w:hAnsi="宋体" w:cs="宋体"/>
                <w:color w:val="auto"/>
                <w:sz w:val="22"/>
                <w:szCs w:val="22"/>
              </w:rPr>
            </w:pPr>
          </w:p>
        </w:tc>
        <w:tc>
          <w:tcPr>
            <w:tcW w:w="616" w:type="dxa"/>
            <w:vMerge w:val="continue"/>
            <w:shd w:val="clear" w:color="auto" w:fill="auto"/>
            <w:vAlign w:val="center"/>
          </w:tcPr>
          <w:p>
            <w:pPr>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3" w:type="dxa"/>
            <w:vMerge w:val="continue"/>
            <w:shd w:val="clear" w:color="auto" w:fill="auto"/>
            <w:vAlign w:val="center"/>
          </w:tcPr>
          <w:p>
            <w:pPr>
              <w:jc w:val="center"/>
              <w:rPr>
                <w:rFonts w:hint="eastAsia" w:ascii="宋体" w:hAnsi="宋体" w:cs="宋体"/>
                <w:color w:val="auto"/>
                <w:sz w:val="24"/>
              </w:rPr>
            </w:pPr>
          </w:p>
        </w:tc>
        <w:tc>
          <w:tcPr>
            <w:tcW w:w="722" w:type="dxa"/>
            <w:vMerge w:val="continue"/>
            <w:shd w:val="clear" w:color="auto" w:fill="auto"/>
            <w:vAlign w:val="center"/>
          </w:tcPr>
          <w:p>
            <w:pPr>
              <w:jc w:val="center"/>
              <w:rPr>
                <w:rFonts w:hint="eastAsia" w:ascii="宋体" w:hAnsi="宋体" w:cs="宋体"/>
                <w:color w:val="auto"/>
                <w:sz w:val="22"/>
                <w:szCs w:val="22"/>
              </w:rPr>
            </w:pPr>
          </w:p>
        </w:tc>
        <w:tc>
          <w:tcPr>
            <w:tcW w:w="1192"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显示设备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性能</w:t>
            </w:r>
          </w:p>
          <w:p>
            <w:pPr>
              <w:widowControl/>
              <w:spacing w:line="360" w:lineRule="auto"/>
              <w:jc w:val="left"/>
              <w:rPr>
                <w:rFonts w:hint="eastAsia" w:ascii="宋体" w:hAnsi="宋体" w:cs="宋体"/>
                <w:color w:val="auto"/>
                <w:kern w:val="0"/>
                <w:sz w:val="24"/>
                <w:lang w:bidi="ar"/>
              </w:rPr>
            </w:pPr>
          </w:p>
        </w:tc>
        <w:tc>
          <w:tcPr>
            <w:tcW w:w="6326"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1、显示屏刷新率：≥75Hz；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2、显示屏位深：≥8 位；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3、显示屏色域：≥99% sRGB；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4、显示屏色准：△E≤4；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5、显示屏响应时间：6ms；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6、显示屏亮度：≥250 尼特；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7、显示屏亮度一致性：≥70%；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8、显示屏对比度：≥500：1； </w:t>
            </w:r>
          </w:p>
          <w:p>
            <w:pPr>
              <w:widowControl/>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9、显示屏其他参数：其它参数应符合 SJ/T 11292 的相关规定</w:t>
            </w:r>
          </w:p>
        </w:tc>
        <w:tc>
          <w:tcPr>
            <w:tcW w:w="620" w:type="dxa"/>
            <w:vMerge w:val="continue"/>
            <w:shd w:val="clear" w:color="auto" w:fill="auto"/>
            <w:vAlign w:val="center"/>
          </w:tcPr>
          <w:p>
            <w:pPr>
              <w:jc w:val="center"/>
              <w:rPr>
                <w:rFonts w:hint="eastAsia" w:ascii="宋体" w:hAnsi="宋体" w:cs="宋体"/>
                <w:color w:val="auto"/>
                <w:sz w:val="22"/>
                <w:szCs w:val="22"/>
              </w:rPr>
            </w:pPr>
          </w:p>
        </w:tc>
        <w:tc>
          <w:tcPr>
            <w:tcW w:w="616" w:type="dxa"/>
            <w:vMerge w:val="continue"/>
            <w:shd w:val="clear" w:color="auto" w:fill="auto"/>
            <w:vAlign w:val="center"/>
          </w:tcPr>
          <w:p>
            <w:pPr>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3" w:type="dxa"/>
            <w:vMerge w:val="continue"/>
            <w:shd w:val="clear" w:color="auto" w:fill="auto"/>
            <w:vAlign w:val="center"/>
          </w:tcPr>
          <w:p>
            <w:pPr>
              <w:jc w:val="center"/>
              <w:rPr>
                <w:rFonts w:hint="eastAsia" w:ascii="宋体" w:hAnsi="宋体" w:cs="宋体"/>
                <w:color w:val="auto"/>
                <w:sz w:val="24"/>
              </w:rPr>
            </w:pPr>
          </w:p>
        </w:tc>
        <w:tc>
          <w:tcPr>
            <w:tcW w:w="722" w:type="dxa"/>
            <w:vMerge w:val="continue"/>
            <w:shd w:val="clear" w:color="auto" w:fill="auto"/>
            <w:vAlign w:val="center"/>
          </w:tcPr>
          <w:p>
            <w:pPr>
              <w:jc w:val="center"/>
              <w:rPr>
                <w:rFonts w:hint="eastAsia" w:ascii="宋体" w:hAnsi="宋体" w:cs="宋体"/>
                <w:color w:val="auto"/>
                <w:sz w:val="22"/>
                <w:szCs w:val="22"/>
              </w:rPr>
            </w:pPr>
          </w:p>
        </w:tc>
        <w:tc>
          <w:tcPr>
            <w:tcW w:w="1192"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网络设备 </w:t>
            </w:r>
          </w:p>
          <w:p>
            <w:pPr>
              <w:widowControl/>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性能</w:t>
            </w:r>
          </w:p>
        </w:tc>
        <w:tc>
          <w:tcPr>
            <w:tcW w:w="6326" w:type="dxa"/>
            <w:shd w:val="clear" w:color="auto" w:fill="auto"/>
            <w:vAlign w:val="center"/>
          </w:tcPr>
          <w:p>
            <w:pPr>
              <w:widowControl/>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有线网卡速率：集成 10/100/1000M 自适应以太网卡</w:t>
            </w:r>
          </w:p>
        </w:tc>
        <w:tc>
          <w:tcPr>
            <w:tcW w:w="620" w:type="dxa"/>
            <w:vMerge w:val="continue"/>
            <w:shd w:val="clear" w:color="auto" w:fill="auto"/>
            <w:vAlign w:val="center"/>
          </w:tcPr>
          <w:p>
            <w:pPr>
              <w:jc w:val="center"/>
              <w:rPr>
                <w:rFonts w:hint="eastAsia" w:ascii="宋体" w:hAnsi="宋体" w:cs="宋体"/>
                <w:color w:val="auto"/>
                <w:sz w:val="22"/>
                <w:szCs w:val="22"/>
              </w:rPr>
            </w:pPr>
          </w:p>
        </w:tc>
        <w:tc>
          <w:tcPr>
            <w:tcW w:w="616" w:type="dxa"/>
            <w:vMerge w:val="continue"/>
            <w:shd w:val="clear" w:color="auto" w:fill="auto"/>
            <w:vAlign w:val="center"/>
          </w:tcPr>
          <w:p>
            <w:pPr>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3" w:type="dxa"/>
            <w:vMerge w:val="continue"/>
            <w:shd w:val="clear" w:color="auto" w:fill="auto"/>
            <w:vAlign w:val="center"/>
          </w:tcPr>
          <w:p>
            <w:pPr>
              <w:jc w:val="center"/>
              <w:rPr>
                <w:rFonts w:hint="eastAsia" w:ascii="宋体" w:hAnsi="宋体" w:cs="宋体"/>
                <w:color w:val="auto"/>
                <w:sz w:val="24"/>
              </w:rPr>
            </w:pPr>
          </w:p>
        </w:tc>
        <w:tc>
          <w:tcPr>
            <w:tcW w:w="722" w:type="dxa"/>
            <w:vMerge w:val="continue"/>
            <w:shd w:val="clear" w:color="auto" w:fill="auto"/>
            <w:vAlign w:val="center"/>
          </w:tcPr>
          <w:p>
            <w:pPr>
              <w:jc w:val="center"/>
              <w:rPr>
                <w:rFonts w:hint="eastAsia" w:ascii="宋体" w:hAnsi="宋体" w:cs="宋体"/>
                <w:color w:val="auto"/>
                <w:sz w:val="22"/>
                <w:szCs w:val="22"/>
              </w:rPr>
            </w:pPr>
          </w:p>
        </w:tc>
        <w:tc>
          <w:tcPr>
            <w:tcW w:w="1192"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主板功能</w:t>
            </w:r>
          </w:p>
          <w:p>
            <w:pPr>
              <w:widowControl/>
              <w:spacing w:line="360" w:lineRule="auto"/>
              <w:jc w:val="left"/>
              <w:rPr>
                <w:rFonts w:hint="eastAsia" w:ascii="宋体" w:hAnsi="宋体" w:cs="宋体"/>
                <w:color w:val="auto"/>
                <w:kern w:val="0"/>
                <w:sz w:val="24"/>
                <w:lang w:bidi="ar"/>
              </w:rPr>
            </w:pPr>
          </w:p>
        </w:tc>
        <w:tc>
          <w:tcPr>
            <w:tcW w:w="6326"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1、内存扩展接口（板载内存不涉及）：≥2 个；</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2、主板 USB瞬间过流保护：支持有瞬间过流保护功能</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3、主板防静电保护 ：支持防静电保护功能</w:t>
            </w:r>
          </w:p>
          <w:p>
            <w:pPr>
              <w:widowControl/>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4、I/O 接口 功能：提供基于标准 USB 接口外设连接功能、基于音频输入输出接口的音频扩展功能、基于 PCIe 接口板卡扩展功能、基于 HDMI 或 VGA 或 Type-C 或 DVI 或 DP 等接口外接显示器扩展功能、基于存储接口对产品进行增容功能等。产品I/O 接口，应具备外接标准 USB 设备、 显示器、音频设备等内外部设备能力</w:t>
            </w:r>
          </w:p>
        </w:tc>
        <w:tc>
          <w:tcPr>
            <w:tcW w:w="620" w:type="dxa"/>
            <w:vMerge w:val="continue"/>
            <w:shd w:val="clear" w:color="auto" w:fill="auto"/>
            <w:vAlign w:val="center"/>
          </w:tcPr>
          <w:p>
            <w:pPr>
              <w:jc w:val="center"/>
              <w:rPr>
                <w:rFonts w:hint="eastAsia" w:ascii="宋体" w:hAnsi="宋体" w:cs="宋体"/>
                <w:color w:val="auto"/>
                <w:sz w:val="22"/>
                <w:szCs w:val="22"/>
              </w:rPr>
            </w:pPr>
          </w:p>
        </w:tc>
        <w:tc>
          <w:tcPr>
            <w:tcW w:w="616" w:type="dxa"/>
            <w:vMerge w:val="continue"/>
            <w:shd w:val="clear" w:color="auto" w:fill="auto"/>
            <w:vAlign w:val="center"/>
          </w:tcPr>
          <w:p>
            <w:pPr>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3" w:type="dxa"/>
            <w:vMerge w:val="continue"/>
            <w:shd w:val="clear" w:color="auto" w:fill="auto"/>
            <w:vAlign w:val="center"/>
          </w:tcPr>
          <w:p>
            <w:pPr>
              <w:jc w:val="center"/>
              <w:rPr>
                <w:rFonts w:hint="eastAsia" w:ascii="宋体" w:hAnsi="宋体" w:cs="宋体"/>
                <w:color w:val="auto"/>
                <w:sz w:val="24"/>
              </w:rPr>
            </w:pPr>
          </w:p>
        </w:tc>
        <w:tc>
          <w:tcPr>
            <w:tcW w:w="722" w:type="dxa"/>
            <w:vMerge w:val="continue"/>
            <w:shd w:val="clear" w:color="auto" w:fill="auto"/>
            <w:vAlign w:val="center"/>
          </w:tcPr>
          <w:p>
            <w:pPr>
              <w:jc w:val="center"/>
              <w:rPr>
                <w:rFonts w:hint="eastAsia" w:ascii="宋体" w:hAnsi="宋体" w:cs="宋体"/>
                <w:color w:val="auto"/>
                <w:sz w:val="22"/>
                <w:szCs w:val="22"/>
              </w:rPr>
            </w:pPr>
          </w:p>
        </w:tc>
        <w:tc>
          <w:tcPr>
            <w:tcW w:w="1192"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显卡功能</w:t>
            </w:r>
          </w:p>
          <w:p>
            <w:pPr>
              <w:widowControl/>
              <w:spacing w:line="360" w:lineRule="auto"/>
              <w:jc w:val="left"/>
              <w:rPr>
                <w:rFonts w:hint="eastAsia" w:ascii="宋体" w:hAnsi="宋体" w:cs="宋体"/>
                <w:color w:val="auto"/>
                <w:kern w:val="0"/>
                <w:sz w:val="24"/>
                <w:lang w:bidi="ar"/>
              </w:rPr>
            </w:pPr>
          </w:p>
        </w:tc>
        <w:tc>
          <w:tcPr>
            <w:tcW w:w="6326"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显卡外接显示接口：显卡至少支持 VGA、HDMI、DVI、DP、Type-C 中 1 种显示接口，并与显示器 接口相匹配； </w:t>
            </w:r>
          </w:p>
        </w:tc>
        <w:tc>
          <w:tcPr>
            <w:tcW w:w="620" w:type="dxa"/>
            <w:vMerge w:val="continue"/>
            <w:shd w:val="clear" w:color="auto" w:fill="auto"/>
            <w:vAlign w:val="center"/>
          </w:tcPr>
          <w:p>
            <w:pPr>
              <w:jc w:val="center"/>
              <w:rPr>
                <w:rFonts w:hint="eastAsia" w:ascii="宋体" w:hAnsi="宋体" w:cs="宋体"/>
                <w:color w:val="auto"/>
                <w:sz w:val="22"/>
                <w:szCs w:val="22"/>
              </w:rPr>
            </w:pPr>
          </w:p>
        </w:tc>
        <w:tc>
          <w:tcPr>
            <w:tcW w:w="616" w:type="dxa"/>
            <w:vMerge w:val="continue"/>
            <w:shd w:val="clear" w:color="auto" w:fill="auto"/>
            <w:vAlign w:val="center"/>
          </w:tcPr>
          <w:p>
            <w:pPr>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3" w:type="dxa"/>
            <w:vMerge w:val="continue"/>
            <w:shd w:val="clear" w:color="auto" w:fill="auto"/>
            <w:vAlign w:val="center"/>
          </w:tcPr>
          <w:p>
            <w:pPr>
              <w:jc w:val="center"/>
              <w:rPr>
                <w:rFonts w:hint="eastAsia" w:ascii="宋体" w:hAnsi="宋体" w:cs="宋体"/>
                <w:color w:val="auto"/>
                <w:sz w:val="24"/>
              </w:rPr>
            </w:pPr>
          </w:p>
        </w:tc>
        <w:tc>
          <w:tcPr>
            <w:tcW w:w="722" w:type="dxa"/>
            <w:vMerge w:val="continue"/>
            <w:shd w:val="clear" w:color="auto" w:fill="auto"/>
            <w:vAlign w:val="center"/>
          </w:tcPr>
          <w:p>
            <w:pPr>
              <w:jc w:val="center"/>
              <w:rPr>
                <w:rFonts w:hint="eastAsia" w:ascii="宋体" w:hAnsi="宋体" w:cs="宋体"/>
                <w:color w:val="auto"/>
                <w:sz w:val="22"/>
                <w:szCs w:val="22"/>
              </w:rPr>
            </w:pPr>
          </w:p>
        </w:tc>
        <w:tc>
          <w:tcPr>
            <w:tcW w:w="1192"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显示设备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功能</w:t>
            </w:r>
          </w:p>
          <w:p>
            <w:pPr>
              <w:widowControl/>
              <w:spacing w:line="360" w:lineRule="auto"/>
              <w:jc w:val="left"/>
              <w:rPr>
                <w:rFonts w:hint="eastAsia" w:ascii="宋体" w:hAnsi="宋体" w:cs="宋体"/>
                <w:color w:val="auto"/>
                <w:kern w:val="0"/>
                <w:sz w:val="24"/>
                <w:lang w:bidi="ar"/>
              </w:rPr>
            </w:pPr>
          </w:p>
        </w:tc>
        <w:tc>
          <w:tcPr>
            <w:tcW w:w="6326"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1、显示器接口：显示器应与显卡外接显示接口匹配；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2、显示器支架：提供；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3、显示器参数调节：a）提供 OSD 选单按钮用于调节色彩、模式等； b）支持色温、亮度、对比度调节。</w:t>
            </w:r>
          </w:p>
        </w:tc>
        <w:tc>
          <w:tcPr>
            <w:tcW w:w="620" w:type="dxa"/>
            <w:vMerge w:val="continue"/>
            <w:shd w:val="clear" w:color="auto" w:fill="auto"/>
            <w:vAlign w:val="center"/>
          </w:tcPr>
          <w:p>
            <w:pPr>
              <w:jc w:val="center"/>
              <w:rPr>
                <w:rFonts w:hint="eastAsia" w:ascii="宋体" w:hAnsi="宋体" w:cs="宋体"/>
                <w:color w:val="auto"/>
                <w:sz w:val="22"/>
                <w:szCs w:val="22"/>
              </w:rPr>
            </w:pPr>
          </w:p>
        </w:tc>
        <w:tc>
          <w:tcPr>
            <w:tcW w:w="616" w:type="dxa"/>
            <w:vMerge w:val="continue"/>
            <w:shd w:val="clear" w:color="auto" w:fill="auto"/>
            <w:vAlign w:val="center"/>
          </w:tcPr>
          <w:p>
            <w:pPr>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3" w:type="dxa"/>
            <w:vMerge w:val="continue"/>
            <w:shd w:val="clear" w:color="auto" w:fill="auto"/>
            <w:vAlign w:val="center"/>
          </w:tcPr>
          <w:p>
            <w:pPr>
              <w:jc w:val="center"/>
              <w:rPr>
                <w:rFonts w:hint="eastAsia" w:ascii="宋体" w:hAnsi="宋体" w:cs="宋体"/>
                <w:color w:val="auto"/>
                <w:sz w:val="24"/>
              </w:rPr>
            </w:pPr>
          </w:p>
        </w:tc>
        <w:tc>
          <w:tcPr>
            <w:tcW w:w="722" w:type="dxa"/>
            <w:vMerge w:val="continue"/>
            <w:shd w:val="clear" w:color="auto" w:fill="auto"/>
            <w:vAlign w:val="center"/>
          </w:tcPr>
          <w:p>
            <w:pPr>
              <w:jc w:val="center"/>
              <w:rPr>
                <w:rFonts w:hint="eastAsia" w:ascii="宋体" w:hAnsi="宋体" w:cs="宋体"/>
                <w:color w:val="auto"/>
                <w:sz w:val="22"/>
                <w:szCs w:val="22"/>
              </w:rPr>
            </w:pPr>
          </w:p>
        </w:tc>
        <w:tc>
          <w:tcPr>
            <w:tcW w:w="1192"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存储功能</w:t>
            </w:r>
          </w:p>
        </w:tc>
        <w:tc>
          <w:tcPr>
            <w:tcW w:w="6326"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通过 SATA 固态存储/PCIe 固态存储/UFS固态存储/SATA硬磁盘等存储部件提供存储功能</w:t>
            </w:r>
          </w:p>
        </w:tc>
        <w:tc>
          <w:tcPr>
            <w:tcW w:w="620" w:type="dxa"/>
            <w:vMerge w:val="continue"/>
            <w:shd w:val="clear" w:color="auto" w:fill="auto"/>
            <w:vAlign w:val="center"/>
          </w:tcPr>
          <w:p>
            <w:pPr>
              <w:jc w:val="center"/>
              <w:rPr>
                <w:rFonts w:hint="eastAsia" w:ascii="宋体" w:hAnsi="宋体" w:cs="宋体"/>
                <w:color w:val="auto"/>
                <w:sz w:val="22"/>
                <w:szCs w:val="22"/>
              </w:rPr>
            </w:pPr>
          </w:p>
        </w:tc>
        <w:tc>
          <w:tcPr>
            <w:tcW w:w="616" w:type="dxa"/>
            <w:vMerge w:val="continue"/>
            <w:shd w:val="clear" w:color="auto" w:fill="auto"/>
            <w:vAlign w:val="center"/>
          </w:tcPr>
          <w:p>
            <w:pPr>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3" w:type="dxa"/>
            <w:vMerge w:val="continue"/>
            <w:shd w:val="clear" w:color="auto" w:fill="auto"/>
            <w:vAlign w:val="center"/>
          </w:tcPr>
          <w:p>
            <w:pPr>
              <w:jc w:val="center"/>
              <w:rPr>
                <w:rFonts w:hint="eastAsia" w:ascii="宋体" w:hAnsi="宋体" w:cs="宋体"/>
                <w:color w:val="auto"/>
                <w:sz w:val="24"/>
              </w:rPr>
            </w:pPr>
          </w:p>
        </w:tc>
        <w:tc>
          <w:tcPr>
            <w:tcW w:w="722" w:type="dxa"/>
            <w:vMerge w:val="continue"/>
            <w:shd w:val="clear" w:color="auto" w:fill="auto"/>
            <w:vAlign w:val="center"/>
          </w:tcPr>
          <w:p>
            <w:pPr>
              <w:jc w:val="center"/>
              <w:rPr>
                <w:rFonts w:hint="eastAsia" w:ascii="宋体" w:hAnsi="宋体" w:cs="宋体"/>
                <w:color w:val="auto"/>
                <w:sz w:val="22"/>
                <w:szCs w:val="22"/>
              </w:rPr>
            </w:pPr>
          </w:p>
        </w:tc>
        <w:tc>
          <w:tcPr>
            <w:tcW w:w="1192"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网络设备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功能</w:t>
            </w:r>
          </w:p>
          <w:p>
            <w:pPr>
              <w:widowControl/>
              <w:spacing w:line="360" w:lineRule="auto"/>
              <w:jc w:val="left"/>
              <w:rPr>
                <w:rFonts w:hint="eastAsia" w:ascii="宋体" w:hAnsi="宋体" w:cs="宋体"/>
                <w:color w:val="auto"/>
                <w:kern w:val="0"/>
                <w:sz w:val="24"/>
                <w:lang w:bidi="ar"/>
              </w:rPr>
            </w:pPr>
          </w:p>
        </w:tc>
        <w:tc>
          <w:tcPr>
            <w:tcW w:w="6326"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1、网络功能：a）支持网络连接、网络开启/关闭功能； b）支持访问网络和数据交换功能；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2、数据传输：支持数据传输能力，并提供数据流量和异常日志记录功能；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3、有线网卡接口类型：支持 RJ45 接口； </w:t>
            </w:r>
          </w:p>
          <w:p>
            <w:pPr>
              <w:widowControl/>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4、网络设备拆装：网络设备支持物理拆装，包括无线网卡和蓝牙模块等</w:t>
            </w:r>
          </w:p>
        </w:tc>
        <w:tc>
          <w:tcPr>
            <w:tcW w:w="620" w:type="dxa"/>
            <w:vMerge w:val="continue"/>
            <w:shd w:val="clear" w:color="auto" w:fill="auto"/>
            <w:vAlign w:val="center"/>
          </w:tcPr>
          <w:p>
            <w:pPr>
              <w:jc w:val="center"/>
              <w:rPr>
                <w:rFonts w:hint="eastAsia" w:ascii="宋体" w:hAnsi="宋体" w:cs="宋体"/>
                <w:color w:val="auto"/>
                <w:sz w:val="22"/>
                <w:szCs w:val="22"/>
              </w:rPr>
            </w:pPr>
          </w:p>
        </w:tc>
        <w:tc>
          <w:tcPr>
            <w:tcW w:w="616" w:type="dxa"/>
            <w:vMerge w:val="continue"/>
            <w:shd w:val="clear" w:color="auto" w:fill="auto"/>
            <w:vAlign w:val="center"/>
          </w:tcPr>
          <w:p>
            <w:pPr>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3" w:type="dxa"/>
            <w:vMerge w:val="continue"/>
            <w:shd w:val="clear" w:color="auto" w:fill="auto"/>
            <w:vAlign w:val="center"/>
          </w:tcPr>
          <w:p>
            <w:pPr>
              <w:jc w:val="center"/>
              <w:rPr>
                <w:rFonts w:hint="eastAsia" w:ascii="宋体" w:hAnsi="宋体" w:cs="宋体"/>
                <w:color w:val="auto"/>
                <w:sz w:val="24"/>
              </w:rPr>
            </w:pPr>
          </w:p>
        </w:tc>
        <w:tc>
          <w:tcPr>
            <w:tcW w:w="722" w:type="dxa"/>
            <w:vMerge w:val="continue"/>
            <w:shd w:val="clear" w:color="auto" w:fill="auto"/>
            <w:vAlign w:val="center"/>
          </w:tcPr>
          <w:p>
            <w:pPr>
              <w:jc w:val="center"/>
              <w:rPr>
                <w:rFonts w:hint="eastAsia" w:ascii="宋体" w:hAnsi="宋体" w:cs="宋体"/>
                <w:color w:val="auto"/>
                <w:sz w:val="22"/>
                <w:szCs w:val="22"/>
              </w:rPr>
            </w:pPr>
          </w:p>
        </w:tc>
        <w:tc>
          <w:tcPr>
            <w:tcW w:w="1192"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外部接口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功能</w:t>
            </w:r>
          </w:p>
          <w:p>
            <w:pPr>
              <w:widowControl/>
              <w:spacing w:line="360" w:lineRule="auto"/>
              <w:jc w:val="left"/>
              <w:rPr>
                <w:rFonts w:hint="eastAsia" w:ascii="宋体" w:hAnsi="宋体" w:cs="宋体"/>
                <w:color w:val="auto"/>
                <w:kern w:val="0"/>
                <w:sz w:val="24"/>
                <w:lang w:bidi="ar"/>
              </w:rPr>
            </w:pPr>
          </w:p>
        </w:tc>
        <w:tc>
          <w:tcPr>
            <w:tcW w:w="6326"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1、音频接口类型：支持 3.5mm 孔径 3 段式或 4 段式接口；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2、视频接口类型：至少支持 VGA、HDMI、DVI、DP、Type-C 中 1 种显示接口； </w:t>
            </w:r>
          </w:p>
          <w:p>
            <w:pPr>
              <w:widowControl/>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3、HDMI、DP、Type-C 显示接口要求：若提供 HDMI 或 DP 或 Type-C 作为显示接口，应支持音频和视频同步输出。</w:t>
            </w:r>
          </w:p>
        </w:tc>
        <w:tc>
          <w:tcPr>
            <w:tcW w:w="620" w:type="dxa"/>
            <w:vMerge w:val="continue"/>
            <w:shd w:val="clear" w:color="auto" w:fill="auto"/>
            <w:vAlign w:val="center"/>
          </w:tcPr>
          <w:p>
            <w:pPr>
              <w:jc w:val="center"/>
              <w:rPr>
                <w:rFonts w:hint="eastAsia" w:ascii="宋体" w:hAnsi="宋体" w:cs="宋体"/>
                <w:color w:val="auto"/>
                <w:sz w:val="22"/>
                <w:szCs w:val="22"/>
              </w:rPr>
            </w:pPr>
          </w:p>
        </w:tc>
        <w:tc>
          <w:tcPr>
            <w:tcW w:w="616" w:type="dxa"/>
            <w:vMerge w:val="continue"/>
            <w:shd w:val="clear" w:color="auto" w:fill="auto"/>
            <w:vAlign w:val="center"/>
          </w:tcPr>
          <w:p>
            <w:pPr>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3" w:type="dxa"/>
            <w:vMerge w:val="continue"/>
            <w:shd w:val="clear" w:color="auto" w:fill="auto"/>
            <w:vAlign w:val="center"/>
          </w:tcPr>
          <w:p>
            <w:pPr>
              <w:jc w:val="center"/>
              <w:rPr>
                <w:rFonts w:hint="eastAsia" w:ascii="宋体" w:hAnsi="宋体" w:cs="宋体"/>
                <w:color w:val="auto"/>
                <w:sz w:val="24"/>
              </w:rPr>
            </w:pPr>
          </w:p>
        </w:tc>
        <w:tc>
          <w:tcPr>
            <w:tcW w:w="722" w:type="dxa"/>
            <w:vMerge w:val="continue"/>
            <w:shd w:val="clear" w:color="auto" w:fill="auto"/>
            <w:vAlign w:val="center"/>
          </w:tcPr>
          <w:p>
            <w:pPr>
              <w:jc w:val="center"/>
              <w:rPr>
                <w:rFonts w:hint="eastAsia" w:ascii="宋体" w:hAnsi="宋体" w:cs="宋体"/>
                <w:color w:val="auto"/>
                <w:sz w:val="22"/>
                <w:szCs w:val="22"/>
              </w:rPr>
            </w:pPr>
          </w:p>
        </w:tc>
        <w:tc>
          <w:tcPr>
            <w:tcW w:w="1192"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电源功能</w:t>
            </w:r>
          </w:p>
          <w:p>
            <w:pPr>
              <w:widowControl/>
              <w:spacing w:line="360" w:lineRule="auto"/>
              <w:jc w:val="left"/>
              <w:rPr>
                <w:rFonts w:hint="eastAsia" w:ascii="宋体" w:hAnsi="宋体" w:cs="宋体"/>
                <w:color w:val="auto"/>
                <w:kern w:val="0"/>
                <w:sz w:val="24"/>
                <w:lang w:bidi="ar"/>
              </w:rPr>
            </w:pPr>
          </w:p>
        </w:tc>
        <w:tc>
          <w:tcPr>
            <w:tcW w:w="6326" w:type="dxa"/>
            <w:shd w:val="clear" w:color="auto" w:fill="auto"/>
            <w:vAlign w:val="center"/>
          </w:tcPr>
          <w:p>
            <w:pPr>
              <w:widowControl/>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电源适配器电线组件应符合 GB/T 15934 的要求，可拆线的插头和连接器可以不做要求</w:t>
            </w:r>
          </w:p>
        </w:tc>
        <w:tc>
          <w:tcPr>
            <w:tcW w:w="620" w:type="dxa"/>
            <w:vMerge w:val="continue"/>
            <w:shd w:val="clear" w:color="auto" w:fill="auto"/>
            <w:vAlign w:val="center"/>
          </w:tcPr>
          <w:p>
            <w:pPr>
              <w:jc w:val="center"/>
              <w:rPr>
                <w:rFonts w:hint="eastAsia" w:ascii="宋体" w:hAnsi="宋体" w:cs="宋体"/>
                <w:color w:val="auto"/>
                <w:sz w:val="22"/>
                <w:szCs w:val="22"/>
              </w:rPr>
            </w:pPr>
          </w:p>
        </w:tc>
        <w:tc>
          <w:tcPr>
            <w:tcW w:w="616" w:type="dxa"/>
            <w:vMerge w:val="continue"/>
            <w:shd w:val="clear" w:color="auto" w:fill="auto"/>
            <w:vAlign w:val="center"/>
          </w:tcPr>
          <w:p>
            <w:pPr>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3" w:type="dxa"/>
            <w:vMerge w:val="continue"/>
            <w:shd w:val="clear" w:color="auto" w:fill="auto"/>
            <w:vAlign w:val="center"/>
          </w:tcPr>
          <w:p>
            <w:pPr>
              <w:jc w:val="center"/>
              <w:rPr>
                <w:rFonts w:hint="eastAsia" w:ascii="宋体" w:hAnsi="宋体" w:cs="宋体"/>
                <w:color w:val="auto"/>
                <w:sz w:val="24"/>
              </w:rPr>
            </w:pPr>
          </w:p>
        </w:tc>
        <w:tc>
          <w:tcPr>
            <w:tcW w:w="722" w:type="dxa"/>
            <w:vMerge w:val="continue"/>
            <w:shd w:val="clear" w:color="auto" w:fill="auto"/>
            <w:vAlign w:val="center"/>
          </w:tcPr>
          <w:p>
            <w:pPr>
              <w:jc w:val="center"/>
              <w:rPr>
                <w:rFonts w:hint="eastAsia" w:ascii="宋体" w:hAnsi="宋体" w:cs="宋体"/>
                <w:color w:val="auto"/>
                <w:sz w:val="22"/>
                <w:szCs w:val="22"/>
              </w:rPr>
            </w:pPr>
          </w:p>
        </w:tc>
        <w:tc>
          <w:tcPr>
            <w:tcW w:w="1192"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操作系统及软件功能</w:t>
            </w:r>
          </w:p>
        </w:tc>
        <w:tc>
          <w:tcPr>
            <w:tcW w:w="6326"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1、中文信息处理要求：符合 GB18030的相关规定；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2、操作系统备份及还原功能：支持操作系统备份及还原功能；</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3、固件备份还原能力：支持备份及还原固件的功能</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4、操作系统及驱动升级：支持通过网络、闪存盘等方式对操作系统、驱动进行升级</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5、固件升级：支持通过网络、闪存盘等方式对固件进行升级</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6、BIOS 支持关闭通讯接口：支持 BIOS 关闭以太网及 USB 接口</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7、固件查看信息：支持查看固件版本、内存信息、主板信息、处理器信息和系统时间信息等功能</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8、固件设置启动顺序：支持设置启动顺序功能，并按照设置的启动顺序启动</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9、固件设置口令：支持设置口令、修改口令、验证口令功能</w:t>
            </w:r>
          </w:p>
          <w:p>
            <w:pPr>
              <w:widowControl/>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10、固件设置网络引导：支持网络引导启动和关闭功能</w:t>
            </w:r>
          </w:p>
        </w:tc>
        <w:tc>
          <w:tcPr>
            <w:tcW w:w="620" w:type="dxa"/>
            <w:vMerge w:val="continue"/>
            <w:shd w:val="clear" w:color="auto" w:fill="auto"/>
            <w:vAlign w:val="center"/>
          </w:tcPr>
          <w:p>
            <w:pPr>
              <w:jc w:val="center"/>
              <w:rPr>
                <w:rFonts w:hint="eastAsia" w:ascii="宋体" w:hAnsi="宋体" w:cs="宋体"/>
                <w:color w:val="auto"/>
                <w:sz w:val="22"/>
                <w:szCs w:val="22"/>
              </w:rPr>
            </w:pPr>
          </w:p>
        </w:tc>
        <w:tc>
          <w:tcPr>
            <w:tcW w:w="616" w:type="dxa"/>
            <w:vMerge w:val="continue"/>
            <w:shd w:val="clear" w:color="auto" w:fill="auto"/>
            <w:vAlign w:val="center"/>
          </w:tcPr>
          <w:p>
            <w:pPr>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3" w:type="dxa"/>
            <w:vMerge w:val="continue"/>
            <w:shd w:val="clear" w:color="auto" w:fill="auto"/>
            <w:vAlign w:val="center"/>
          </w:tcPr>
          <w:p>
            <w:pPr>
              <w:jc w:val="center"/>
              <w:rPr>
                <w:rFonts w:hint="eastAsia" w:ascii="宋体" w:hAnsi="宋体" w:cs="宋体"/>
                <w:color w:val="auto"/>
                <w:sz w:val="24"/>
              </w:rPr>
            </w:pPr>
          </w:p>
        </w:tc>
        <w:tc>
          <w:tcPr>
            <w:tcW w:w="722" w:type="dxa"/>
            <w:vMerge w:val="continue"/>
            <w:shd w:val="clear" w:color="auto" w:fill="auto"/>
            <w:vAlign w:val="center"/>
          </w:tcPr>
          <w:p>
            <w:pPr>
              <w:jc w:val="center"/>
              <w:rPr>
                <w:rFonts w:hint="eastAsia" w:ascii="宋体" w:hAnsi="宋体" w:cs="宋体"/>
                <w:color w:val="auto"/>
                <w:sz w:val="22"/>
                <w:szCs w:val="22"/>
              </w:rPr>
            </w:pPr>
          </w:p>
        </w:tc>
        <w:tc>
          <w:tcPr>
            <w:tcW w:w="1192"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存储设备 </w:t>
            </w:r>
          </w:p>
          <w:p>
            <w:pPr>
              <w:widowControl/>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可靠性</w:t>
            </w:r>
          </w:p>
        </w:tc>
        <w:tc>
          <w:tcPr>
            <w:tcW w:w="6326" w:type="dxa"/>
            <w:shd w:val="clear" w:color="auto" w:fill="auto"/>
            <w:vAlign w:val="center"/>
          </w:tcPr>
          <w:p>
            <w:pPr>
              <w:pStyle w:val="62"/>
              <w:widowControl/>
              <w:numPr>
                <w:ilvl w:val="0"/>
                <w:numId w:val="3"/>
              </w:numPr>
              <w:jc w:val="left"/>
              <w:rPr>
                <w:rFonts w:hint="eastAsia" w:ascii="宋体" w:hAnsi="宋体" w:cs="宋体"/>
                <w:color w:val="auto"/>
                <w:kern w:val="0"/>
                <w:sz w:val="24"/>
                <w:lang w:bidi="ar"/>
              </w:rPr>
            </w:pPr>
            <w:r>
              <w:rPr>
                <w:rFonts w:hint="eastAsia" w:ascii="宋体" w:hAnsi="宋体" w:cs="宋体"/>
                <w:color w:val="auto"/>
                <w:kern w:val="0"/>
                <w:sz w:val="24"/>
                <w:lang w:bidi="ar"/>
              </w:rPr>
              <w:t>TBW≥ 80TB</w:t>
            </w:r>
          </w:p>
          <w:p>
            <w:pPr>
              <w:pStyle w:val="62"/>
              <w:widowControl/>
              <w:numPr>
                <w:ilvl w:val="0"/>
                <w:numId w:val="3"/>
              </w:numPr>
              <w:jc w:val="left"/>
              <w:rPr>
                <w:rFonts w:hint="eastAsia" w:ascii="宋体" w:hAnsi="宋体" w:cs="宋体"/>
                <w:color w:val="auto"/>
                <w:kern w:val="0"/>
                <w:sz w:val="24"/>
                <w:lang w:bidi="ar"/>
              </w:rPr>
            </w:pPr>
            <w:r>
              <w:rPr>
                <w:rFonts w:hint="eastAsia" w:ascii="宋体" w:hAnsi="宋体" w:cs="宋体"/>
                <w:color w:val="auto"/>
                <w:kern w:val="0"/>
                <w:sz w:val="24"/>
                <w:lang w:bidi="ar"/>
              </w:rPr>
              <w:t>通电时间≥5万小时</w:t>
            </w:r>
          </w:p>
          <w:p>
            <w:pPr>
              <w:widowControl/>
              <w:spacing w:line="360" w:lineRule="auto"/>
              <w:jc w:val="left"/>
              <w:rPr>
                <w:rFonts w:hint="eastAsia" w:ascii="宋体" w:hAnsi="宋体" w:cs="宋体"/>
                <w:color w:val="auto"/>
                <w:kern w:val="0"/>
                <w:sz w:val="24"/>
                <w:lang w:bidi="ar"/>
              </w:rPr>
            </w:pPr>
          </w:p>
        </w:tc>
        <w:tc>
          <w:tcPr>
            <w:tcW w:w="620" w:type="dxa"/>
            <w:vMerge w:val="continue"/>
            <w:shd w:val="clear" w:color="auto" w:fill="auto"/>
            <w:vAlign w:val="center"/>
          </w:tcPr>
          <w:p>
            <w:pPr>
              <w:jc w:val="center"/>
              <w:rPr>
                <w:rFonts w:hint="eastAsia" w:ascii="宋体" w:hAnsi="宋体" w:cs="宋体"/>
                <w:color w:val="auto"/>
                <w:sz w:val="22"/>
                <w:szCs w:val="22"/>
              </w:rPr>
            </w:pPr>
          </w:p>
        </w:tc>
        <w:tc>
          <w:tcPr>
            <w:tcW w:w="616" w:type="dxa"/>
            <w:vMerge w:val="continue"/>
            <w:shd w:val="clear" w:color="auto" w:fill="auto"/>
            <w:vAlign w:val="center"/>
          </w:tcPr>
          <w:p>
            <w:pPr>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3" w:type="dxa"/>
            <w:vMerge w:val="continue"/>
            <w:shd w:val="clear" w:color="auto" w:fill="auto"/>
            <w:vAlign w:val="center"/>
          </w:tcPr>
          <w:p>
            <w:pPr>
              <w:jc w:val="center"/>
              <w:rPr>
                <w:rFonts w:hint="eastAsia" w:ascii="宋体" w:hAnsi="宋体" w:cs="宋体"/>
                <w:color w:val="auto"/>
                <w:sz w:val="24"/>
              </w:rPr>
            </w:pPr>
          </w:p>
        </w:tc>
        <w:tc>
          <w:tcPr>
            <w:tcW w:w="722" w:type="dxa"/>
            <w:vMerge w:val="continue"/>
            <w:shd w:val="clear" w:color="auto" w:fill="auto"/>
            <w:vAlign w:val="center"/>
          </w:tcPr>
          <w:p>
            <w:pPr>
              <w:jc w:val="center"/>
              <w:rPr>
                <w:rFonts w:hint="eastAsia" w:ascii="宋体" w:hAnsi="宋体" w:cs="宋体"/>
                <w:color w:val="auto"/>
                <w:sz w:val="22"/>
                <w:szCs w:val="22"/>
              </w:rPr>
            </w:pPr>
          </w:p>
        </w:tc>
        <w:tc>
          <w:tcPr>
            <w:tcW w:w="1192"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显示设备 </w:t>
            </w:r>
          </w:p>
          <w:p>
            <w:pPr>
              <w:widowControl/>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可靠性</w:t>
            </w:r>
          </w:p>
        </w:tc>
        <w:tc>
          <w:tcPr>
            <w:tcW w:w="6326"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显示屏屏幕失效点：符合 GB/T 9813.2 的要求</w:t>
            </w:r>
          </w:p>
          <w:p>
            <w:pPr>
              <w:widowControl/>
              <w:spacing w:line="360" w:lineRule="auto"/>
              <w:jc w:val="left"/>
              <w:rPr>
                <w:rFonts w:hint="eastAsia" w:ascii="宋体" w:hAnsi="宋体" w:cs="宋体"/>
                <w:color w:val="auto"/>
                <w:kern w:val="0"/>
                <w:sz w:val="24"/>
                <w:lang w:bidi="ar"/>
              </w:rPr>
            </w:pPr>
          </w:p>
        </w:tc>
        <w:tc>
          <w:tcPr>
            <w:tcW w:w="620" w:type="dxa"/>
            <w:vMerge w:val="continue"/>
            <w:shd w:val="clear" w:color="auto" w:fill="auto"/>
            <w:vAlign w:val="center"/>
          </w:tcPr>
          <w:p>
            <w:pPr>
              <w:jc w:val="center"/>
              <w:rPr>
                <w:rFonts w:hint="eastAsia" w:ascii="宋体" w:hAnsi="宋体" w:cs="宋体"/>
                <w:color w:val="auto"/>
                <w:sz w:val="22"/>
                <w:szCs w:val="22"/>
              </w:rPr>
            </w:pPr>
          </w:p>
        </w:tc>
        <w:tc>
          <w:tcPr>
            <w:tcW w:w="616" w:type="dxa"/>
            <w:vMerge w:val="continue"/>
            <w:shd w:val="clear" w:color="auto" w:fill="auto"/>
            <w:vAlign w:val="center"/>
          </w:tcPr>
          <w:p>
            <w:pPr>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3" w:type="dxa"/>
            <w:vMerge w:val="continue"/>
            <w:shd w:val="clear" w:color="auto" w:fill="auto"/>
            <w:vAlign w:val="center"/>
          </w:tcPr>
          <w:p>
            <w:pPr>
              <w:jc w:val="center"/>
              <w:rPr>
                <w:rFonts w:hint="eastAsia" w:ascii="宋体" w:hAnsi="宋体" w:cs="宋体"/>
                <w:color w:val="auto"/>
                <w:sz w:val="24"/>
              </w:rPr>
            </w:pPr>
          </w:p>
        </w:tc>
        <w:tc>
          <w:tcPr>
            <w:tcW w:w="722" w:type="dxa"/>
            <w:vMerge w:val="continue"/>
            <w:shd w:val="clear" w:color="auto" w:fill="auto"/>
            <w:vAlign w:val="center"/>
          </w:tcPr>
          <w:p>
            <w:pPr>
              <w:jc w:val="center"/>
              <w:rPr>
                <w:rFonts w:hint="eastAsia" w:ascii="宋体" w:hAnsi="宋体" w:cs="宋体"/>
                <w:color w:val="auto"/>
                <w:sz w:val="22"/>
                <w:szCs w:val="22"/>
              </w:rPr>
            </w:pPr>
          </w:p>
        </w:tc>
        <w:tc>
          <w:tcPr>
            <w:tcW w:w="1192"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外设可靠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性</w:t>
            </w:r>
          </w:p>
          <w:p>
            <w:pPr>
              <w:widowControl/>
              <w:spacing w:line="360" w:lineRule="auto"/>
              <w:jc w:val="left"/>
              <w:rPr>
                <w:rFonts w:hint="eastAsia" w:ascii="宋体" w:hAnsi="宋体" w:cs="宋体"/>
                <w:color w:val="auto"/>
                <w:kern w:val="0"/>
                <w:sz w:val="24"/>
                <w:lang w:bidi="ar"/>
              </w:rPr>
            </w:pPr>
          </w:p>
        </w:tc>
        <w:tc>
          <w:tcPr>
            <w:tcW w:w="6326"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1、键盘按键寿命：≥1000 万次；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2、鼠标按键寿命：≥500 万次；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3、键盘鼠标线材寿命：键盘鼠标所用线材经±60°弯折不低于3000 次，功 能、外观完好； </w:t>
            </w:r>
          </w:p>
          <w:p>
            <w:pPr>
              <w:widowControl/>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4、风扇寿命：≥4 万小时</w:t>
            </w:r>
          </w:p>
        </w:tc>
        <w:tc>
          <w:tcPr>
            <w:tcW w:w="620" w:type="dxa"/>
            <w:vMerge w:val="continue"/>
            <w:shd w:val="clear" w:color="auto" w:fill="auto"/>
            <w:vAlign w:val="center"/>
          </w:tcPr>
          <w:p>
            <w:pPr>
              <w:jc w:val="center"/>
              <w:rPr>
                <w:rFonts w:hint="eastAsia" w:ascii="宋体" w:hAnsi="宋体" w:cs="宋体"/>
                <w:color w:val="auto"/>
                <w:sz w:val="22"/>
                <w:szCs w:val="22"/>
              </w:rPr>
            </w:pPr>
          </w:p>
        </w:tc>
        <w:tc>
          <w:tcPr>
            <w:tcW w:w="616" w:type="dxa"/>
            <w:vMerge w:val="continue"/>
            <w:shd w:val="clear" w:color="auto" w:fill="auto"/>
            <w:vAlign w:val="center"/>
          </w:tcPr>
          <w:p>
            <w:pPr>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3" w:type="dxa"/>
            <w:vMerge w:val="continue"/>
            <w:shd w:val="clear" w:color="auto" w:fill="auto"/>
            <w:vAlign w:val="center"/>
          </w:tcPr>
          <w:p>
            <w:pPr>
              <w:jc w:val="center"/>
              <w:rPr>
                <w:rFonts w:hint="eastAsia" w:ascii="宋体" w:hAnsi="宋体" w:cs="宋体"/>
                <w:color w:val="auto"/>
                <w:sz w:val="24"/>
              </w:rPr>
            </w:pPr>
          </w:p>
        </w:tc>
        <w:tc>
          <w:tcPr>
            <w:tcW w:w="722" w:type="dxa"/>
            <w:vMerge w:val="continue"/>
            <w:shd w:val="clear" w:color="auto" w:fill="auto"/>
            <w:vAlign w:val="center"/>
          </w:tcPr>
          <w:p>
            <w:pPr>
              <w:jc w:val="center"/>
              <w:rPr>
                <w:rFonts w:hint="eastAsia" w:ascii="宋体" w:hAnsi="宋体" w:cs="宋体"/>
                <w:color w:val="auto"/>
                <w:sz w:val="22"/>
                <w:szCs w:val="22"/>
              </w:rPr>
            </w:pPr>
          </w:p>
        </w:tc>
        <w:tc>
          <w:tcPr>
            <w:tcW w:w="1192"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整机可靠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性要求</w:t>
            </w:r>
          </w:p>
          <w:p>
            <w:pPr>
              <w:widowControl/>
              <w:spacing w:line="360" w:lineRule="auto"/>
              <w:jc w:val="left"/>
              <w:rPr>
                <w:rFonts w:hint="eastAsia" w:ascii="宋体" w:hAnsi="宋体" w:cs="宋体"/>
                <w:color w:val="auto"/>
                <w:kern w:val="0"/>
                <w:sz w:val="24"/>
                <w:lang w:bidi="ar"/>
              </w:rPr>
            </w:pPr>
          </w:p>
        </w:tc>
        <w:tc>
          <w:tcPr>
            <w:tcW w:w="6326"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1、电磁兼容性要求的抗扰度：符合 GB/T 9254.2 的规定；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2、环境条件要求的气候环境适应性：符合 GB/T 9813.1 中规定；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3、环境条件要求的振动适应性：符合GB/T 9813.1 中规定；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4、环境条件要求的冲击适应性：符合GB/T 9813.1 中规定；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5、环境条件要求的碰撞适应性：符合GB/T 9813.1 中规定；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6、环境条件要求的运输包装件跌落适应性：符合 GB/T 9813.1 中规定；</w:t>
            </w:r>
          </w:p>
          <w:p>
            <w:pPr>
              <w:widowControl/>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7、MTBF 测试：MTBF（m1）≥100万小时。</w:t>
            </w:r>
          </w:p>
        </w:tc>
        <w:tc>
          <w:tcPr>
            <w:tcW w:w="620" w:type="dxa"/>
            <w:vMerge w:val="continue"/>
            <w:shd w:val="clear" w:color="auto" w:fill="auto"/>
            <w:vAlign w:val="center"/>
          </w:tcPr>
          <w:p>
            <w:pPr>
              <w:jc w:val="center"/>
              <w:rPr>
                <w:rFonts w:hint="eastAsia" w:ascii="宋体" w:hAnsi="宋体" w:cs="宋体"/>
                <w:color w:val="auto"/>
                <w:sz w:val="22"/>
                <w:szCs w:val="22"/>
              </w:rPr>
            </w:pPr>
          </w:p>
        </w:tc>
        <w:tc>
          <w:tcPr>
            <w:tcW w:w="616" w:type="dxa"/>
            <w:vMerge w:val="continue"/>
            <w:shd w:val="clear" w:color="auto" w:fill="auto"/>
            <w:vAlign w:val="center"/>
          </w:tcPr>
          <w:p>
            <w:pPr>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3" w:type="dxa"/>
            <w:vMerge w:val="continue"/>
            <w:shd w:val="clear" w:color="auto" w:fill="auto"/>
            <w:vAlign w:val="center"/>
          </w:tcPr>
          <w:p>
            <w:pPr>
              <w:jc w:val="center"/>
              <w:rPr>
                <w:rFonts w:hint="eastAsia" w:ascii="宋体" w:hAnsi="宋体" w:cs="宋体"/>
                <w:color w:val="auto"/>
                <w:sz w:val="24"/>
              </w:rPr>
            </w:pPr>
          </w:p>
        </w:tc>
        <w:tc>
          <w:tcPr>
            <w:tcW w:w="722" w:type="dxa"/>
            <w:vMerge w:val="continue"/>
            <w:shd w:val="clear" w:color="auto" w:fill="auto"/>
            <w:vAlign w:val="center"/>
          </w:tcPr>
          <w:p>
            <w:pPr>
              <w:jc w:val="center"/>
              <w:rPr>
                <w:rFonts w:hint="eastAsia" w:ascii="宋体" w:hAnsi="宋体" w:cs="宋体"/>
                <w:color w:val="auto"/>
                <w:sz w:val="22"/>
                <w:szCs w:val="22"/>
              </w:rPr>
            </w:pPr>
          </w:p>
        </w:tc>
        <w:tc>
          <w:tcPr>
            <w:tcW w:w="1192"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兼容要求</w:t>
            </w:r>
          </w:p>
          <w:p>
            <w:pPr>
              <w:widowControl/>
              <w:spacing w:line="360" w:lineRule="auto"/>
              <w:jc w:val="left"/>
              <w:rPr>
                <w:rFonts w:hint="eastAsia" w:ascii="宋体" w:hAnsi="宋体" w:cs="宋体"/>
                <w:color w:val="auto"/>
                <w:kern w:val="0"/>
                <w:sz w:val="24"/>
                <w:lang w:bidi="ar"/>
              </w:rPr>
            </w:pPr>
          </w:p>
        </w:tc>
        <w:tc>
          <w:tcPr>
            <w:tcW w:w="6326"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1、常用软件兼容：支持流式软件、版式软件、浏览器、 邮件采购人端、解压软件、多媒体、 图形图像处理等常用软件；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2、数据库兼容：兼容 3 个及以上厂商的数据库产品；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3、中间件兼容：兼容 3 个及以上厂商中间件产品； </w:t>
            </w:r>
          </w:p>
          <w:p>
            <w:pPr>
              <w:widowControl/>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4、平台软件兼容：兼容 3 个及以上厂商云计算及大数据平台。</w:t>
            </w:r>
          </w:p>
        </w:tc>
        <w:tc>
          <w:tcPr>
            <w:tcW w:w="620" w:type="dxa"/>
            <w:vMerge w:val="continue"/>
            <w:shd w:val="clear" w:color="auto" w:fill="auto"/>
            <w:vAlign w:val="center"/>
          </w:tcPr>
          <w:p>
            <w:pPr>
              <w:jc w:val="center"/>
              <w:rPr>
                <w:rFonts w:hint="eastAsia" w:ascii="宋体" w:hAnsi="宋体" w:cs="宋体"/>
                <w:color w:val="auto"/>
                <w:sz w:val="22"/>
                <w:szCs w:val="22"/>
              </w:rPr>
            </w:pPr>
          </w:p>
        </w:tc>
        <w:tc>
          <w:tcPr>
            <w:tcW w:w="616" w:type="dxa"/>
            <w:vMerge w:val="continue"/>
            <w:shd w:val="clear" w:color="auto" w:fill="auto"/>
            <w:vAlign w:val="center"/>
          </w:tcPr>
          <w:p>
            <w:pPr>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3" w:type="dxa"/>
            <w:vMerge w:val="continue"/>
            <w:shd w:val="clear" w:color="auto" w:fill="auto"/>
            <w:vAlign w:val="center"/>
          </w:tcPr>
          <w:p>
            <w:pPr>
              <w:jc w:val="center"/>
              <w:rPr>
                <w:rFonts w:hint="eastAsia" w:ascii="宋体" w:hAnsi="宋体" w:cs="宋体"/>
                <w:color w:val="auto"/>
                <w:sz w:val="24"/>
              </w:rPr>
            </w:pPr>
          </w:p>
        </w:tc>
        <w:tc>
          <w:tcPr>
            <w:tcW w:w="722" w:type="dxa"/>
            <w:vMerge w:val="continue"/>
            <w:shd w:val="clear" w:color="auto" w:fill="auto"/>
            <w:vAlign w:val="center"/>
          </w:tcPr>
          <w:p>
            <w:pPr>
              <w:jc w:val="center"/>
              <w:rPr>
                <w:rFonts w:hint="eastAsia" w:ascii="宋体" w:hAnsi="宋体" w:cs="宋体"/>
                <w:color w:val="auto"/>
                <w:sz w:val="22"/>
                <w:szCs w:val="22"/>
              </w:rPr>
            </w:pPr>
          </w:p>
        </w:tc>
        <w:tc>
          <w:tcPr>
            <w:tcW w:w="1192"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包装及运输要求</w:t>
            </w:r>
          </w:p>
        </w:tc>
        <w:tc>
          <w:tcPr>
            <w:tcW w:w="6326"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标志、包装、运输和贮存：符合 GB/T 9813. 1 和商品包装政府采购需求标准的相关规定</w:t>
            </w:r>
          </w:p>
          <w:p>
            <w:pPr>
              <w:widowControl/>
              <w:spacing w:line="360" w:lineRule="auto"/>
              <w:jc w:val="left"/>
              <w:rPr>
                <w:rFonts w:hint="eastAsia" w:ascii="宋体" w:hAnsi="宋体" w:cs="宋体"/>
                <w:color w:val="auto"/>
                <w:kern w:val="0"/>
                <w:sz w:val="24"/>
                <w:lang w:bidi="ar"/>
              </w:rPr>
            </w:pPr>
          </w:p>
        </w:tc>
        <w:tc>
          <w:tcPr>
            <w:tcW w:w="620" w:type="dxa"/>
            <w:vMerge w:val="continue"/>
            <w:shd w:val="clear" w:color="auto" w:fill="auto"/>
            <w:vAlign w:val="center"/>
          </w:tcPr>
          <w:p>
            <w:pPr>
              <w:jc w:val="center"/>
              <w:rPr>
                <w:rFonts w:hint="eastAsia" w:ascii="宋体" w:hAnsi="宋体" w:cs="宋体"/>
                <w:color w:val="auto"/>
                <w:sz w:val="22"/>
                <w:szCs w:val="22"/>
              </w:rPr>
            </w:pPr>
          </w:p>
        </w:tc>
        <w:tc>
          <w:tcPr>
            <w:tcW w:w="616" w:type="dxa"/>
            <w:vMerge w:val="continue"/>
            <w:shd w:val="clear" w:color="auto" w:fill="auto"/>
            <w:vAlign w:val="center"/>
          </w:tcPr>
          <w:p>
            <w:pPr>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3" w:type="dxa"/>
            <w:vMerge w:val="continue"/>
            <w:shd w:val="clear" w:color="auto" w:fill="auto"/>
            <w:vAlign w:val="center"/>
          </w:tcPr>
          <w:p>
            <w:pPr>
              <w:jc w:val="center"/>
              <w:rPr>
                <w:rFonts w:hint="eastAsia" w:ascii="宋体" w:hAnsi="宋体" w:cs="宋体"/>
                <w:color w:val="auto"/>
                <w:sz w:val="24"/>
              </w:rPr>
            </w:pPr>
          </w:p>
        </w:tc>
        <w:tc>
          <w:tcPr>
            <w:tcW w:w="722" w:type="dxa"/>
            <w:vMerge w:val="continue"/>
            <w:shd w:val="clear" w:color="auto" w:fill="auto"/>
            <w:vAlign w:val="center"/>
          </w:tcPr>
          <w:p>
            <w:pPr>
              <w:jc w:val="center"/>
              <w:rPr>
                <w:rFonts w:hint="eastAsia" w:ascii="宋体" w:hAnsi="宋体" w:cs="宋体"/>
                <w:color w:val="auto"/>
                <w:sz w:val="22"/>
                <w:szCs w:val="22"/>
              </w:rPr>
            </w:pPr>
          </w:p>
        </w:tc>
        <w:tc>
          <w:tcPr>
            <w:tcW w:w="1192"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服务要求</w:t>
            </w:r>
          </w:p>
          <w:p>
            <w:pPr>
              <w:widowControl/>
              <w:spacing w:line="360" w:lineRule="auto"/>
              <w:jc w:val="left"/>
              <w:rPr>
                <w:rFonts w:hint="eastAsia" w:ascii="宋体" w:hAnsi="宋体" w:cs="宋体"/>
                <w:color w:val="auto"/>
                <w:kern w:val="0"/>
                <w:sz w:val="24"/>
                <w:lang w:bidi="ar"/>
              </w:rPr>
            </w:pPr>
          </w:p>
        </w:tc>
        <w:tc>
          <w:tcPr>
            <w:tcW w:w="6326"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1、配置检查工具：供应商提供自检测试工具；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2、服务响应：a）提供制造厂商大客户专属 VIP 7*24 小时 400 或 800 售后 服务专线；可通过电话、电子邮件、远程连接等多种形式服务；b）提供同城 4h异地 12h 技术 响应服务，2 个工作日解决问题，对于未能解决的问题和故障应提供可行的 升级方案，并提供周转设备或更换设备；c）建立全国技术服务体系和服务团体；d）服务周期内提供产品的维修、换件和升级服务；</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3、服务周期：a）免费服务周期（含换件和维修）3 年免费上门服务，设备停产后应继续提供质量保障 服务（含备品备件），服务终止时间 与最后一批设备交付时间间隔不低于 6 年；</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b）产品停止服务时间应提前 1 年告知；</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c）应明确产品发布日期 4、预装操作系统：预装正版操作系统；</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4*预装操作系统 预装符合桌面操作系统政府采购需求标准的正版操作系统</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5、培训服务：供应商提供培训材料、产品手册、培训视频等培训相关内容；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6、典型问题解决手册：供应商提供典型问题解决说明文档或视频；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7、厂家升级软件与扩容服务：供应商提供上门升级部件/软件与扩容的增值服务；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8、整机质量服务要求：免费服务周期（含换件和维修）3 年免费上门服务；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9、合格证书要求：供应商提供产品合格证；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10、开箱组装/使用指导要求：供应商提供开箱组装/使用指导；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11、驱动下载服务要求：供应商提供驱动光盘或下载方式；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12、兼容适配软件下载服务要求：供应商提供兼容适配软件下载渠道（光盘、网站）。</w:t>
            </w:r>
          </w:p>
        </w:tc>
        <w:tc>
          <w:tcPr>
            <w:tcW w:w="620" w:type="dxa"/>
            <w:vMerge w:val="continue"/>
            <w:shd w:val="clear" w:color="auto" w:fill="auto"/>
            <w:vAlign w:val="center"/>
          </w:tcPr>
          <w:p>
            <w:pPr>
              <w:jc w:val="center"/>
              <w:rPr>
                <w:rFonts w:hint="eastAsia" w:ascii="宋体" w:hAnsi="宋体" w:cs="宋体"/>
                <w:color w:val="auto"/>
                <w:sz w:val="22"/>
                <w:szCs w:val="22"/>
              </w:rPr>
            </w:pPr>
          </w:p>
        </w:tc>
        <w:tc>
          <w:tcPr>
            <w:tcW w:w="616" w:type="dxa"/>
            <w:vMerge w:val="continue"/>
            <w:shd w:val="clear" w:color="auto" w:fill="auto"/>
            <w:vAlign w:val="center"/>
          </w:tcPr>
          <w:p>
            <w:pPr>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3" w:type="dxa"/>
            <w:vMerge w:val="continue"/>
            <w:shd w:val="clear" w:color="auto" w:fill="auto"/>
            <w:vAlign w:val="center"/>
          </w:tcPr>
          <w:p>
            <w:pPr>
              <w:jc w:val="center"/>
              <w:rPr>
                <w:rFonts w:hint="eastAsia" w:ascii="宋体" w:hAnsi="宋体" w:cs="宋体"/>
                <w:color w:val="auto"/>
                <w:sz w:val="24"/>
              </w:rPr>
            </w:pPr>
          </w:p>
        </w:tc>
        <w:tc>
          <w:tcPr>
            <w:tcW w:w="722" w:type="dxa"/>
            <w:vMerge w:val="continue"/>
            <w:shd w:val="clear" w:color="auto" w:fill="auto"/>
            <w:vAlign w:val="center"/>
          </w:tcPr>
          <w:p>
            <w:pPr>
              <w:jc w:val="center"/>
              <w:rPr>
                <w:rFonts w:hint="eastAsia" w:ascii="宋体" w:hAnsi="宋体" w:cs="宋体"/>
                <w:color w:val="auto"/>
                <w:sz w:val="22"/>
                <w:szCs w:val="22"/>
              </w:rPr>
            </w:pPr>
          </w:p>
        </w:tc>
        <w:tc>
          <w:tcPr>
            <w:tcW w:w="1192"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供应链合规性</w:t>
            </w:r>
          </w:p>
        </w:tc>
        <w:tc>
          <w:tcPr>
            <w:tcW w:w="6326"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产品部件保障：供应商保障产品主要部件，提供 6 年的备件服务能力（自购买之日起）， 或提供可兼容原设备的升级换代产品</w:t>
            </w:r>
          </w:p>
          <w:p>
            <w:pPr>
              <w:widowControl/>
              <w:spacing w:line="360" w:lineRule="auto"/>
              <w:jc w:val="left"/>
              <w:rPr>
                <w:rFonts w:hint="eastAsia" w:ascii="宋体" w:hAnsi="宋体" w:cs="宋体"/>
                <w:color w:val="auto"/>
                <w:kern w:val="0"/>
                <w:sz w:val="24"/>
                <w:lang w:bidi="ar"/>
              </w:rPr>
            </w:pPr>
          </w:p>
        </w:tc>
        <w:tc>
          <w:tcPr>
            <w:tcW w:w="620" w:type="dxa"/>
            <w:vMerge w:val="continue"/>
            <w:shd w:val="clear" w:color="auto" w:fill="auto"/>
            <w:vAlign w:val="center"/>
          </w:tcPr>
          <w:p>
            <w:pPr>
              <w:jc w:val="center"/>
              <w:rPr>
                <w:rFonts w:hint="eastAsia" w:ascii="宋体" w:hAnsi="宋体" w:cs="宋体"/>
                <w:color w:val="auto"/>
                <w:sz w:val="22"/>
                <w:szCs w:val="22"/>
              </w:rPr>
            </w:pPr>
          </w:p>
        </w:tc>
        <w:tc>
          <w:tcPr>
            <w:tcW w:w="616" w:type="dxa"/>
            <w:vMerge w:val="continue"/>
            <w:shd w:val="clear" w:color="auto" w:fill="auto"/>
            <w:vAlign w:val="center"/>
          </w:tcPr>
          <w:p>
            <w:pPr>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3" w:type="dxa"/>
            <w:vMerge w:val="continue"/>
            <w:shd w:val="clear" w:color="auto" w:fill="auto"/>
            <w:vAlign w:val="center"/>
          </w:tcPr>
          <w:p>
            <w:pPr>
              <w:jc w:val="center"/>
              <w:rPr>
                <w:rFonts w:hint="eastAsia" w:ascii="宋体" w:hAnsi="宋体" w:cs="宋体"/>
                <w:color w:val="auto"/>
                <w:sz w:val="24"/>
              </w:rPr>
            </w:pPr>
          </w:p>
        </w:tc>
        <w:tc>
          <w:tcPr>
            <w:tcW w:w="722" w:type="dxa"/>
            <w:vMerge w:val="continue"/>
            <w:shd w:val="clear" w:color="auto" w:fill="auto"/>
            <w:vAlign w:val="center"/>
          </w:tcPr>
          <w:p>
            <w:pPr>
              <w:jc w:val="center"/>
              <w:rPr>
                <w:rFonts w:hint="eastAsia" w:ascii="宋体" w:hAnsi="宋体" w:cs="宋体"/>
                <w:color w:val="auto"/>
                <w:sz w:val="22"/>
                <w:szCs w:val="22"/>
              </w:rPr>
            </w:pPr>
          </w:p>
        </w:tc>
        <w:tc>
          <w:tcPr>
            <w:tcW w:w="1192"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供应链质量</w:t>
            </w:r>
          </w:p>
          <w:p>
            <w:pPr>
              <w:widowControl/>
              <w:spacing w:line="360" w:lineRule="auto"/>
              <w:jc w:val="left"/>
              <w:rPr>
                <w:rFonts w:hint="eastAsia" w:ascii="宋体" w:hAnsi="宋体" w:cs="宋体"/>
                <w:color w:val="auto"/>
                <w:kern w:val="0"/>
                <w:sz w:val="24"/>
                <w:lang w:bidi="ar"/>
              </w:rPr>
            </w:pPr>
          </w:p>
        </w:tc>
        <w:tc>
          <w:tcPr>
            <w:tcW w:w="6326"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1、抗干扰性：当产品部件出现供应风险时，供应商应通知采购人并提供风险应对方案确保产品的服务保障； </w:t>
            </w:r>
          </w:p>
          <w:p>
            <w:pPr>
              <w:widowControl/>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2、供应能力证明：供应商提供供应链稳定承诺书，确保产品的部件在产品服 务周期内稳定化供货。</w:t>
            </w:r>
          </w:p>
        </w:tc>
        <w:tc>
          <w:tcPr>
            <w:tcW w:w="620" w:type="dxa"/>
            <w:vMerge w:val="continue"/>
            <w:shd w:val="clear" w:color="auto" w:fill="auto"/>
            <w:vAlign w:val="center"/>
          </w:tcPr>
          <w:p>
            <w:pPr>
              <w:jc w:val="center"/>
              <w:rPr>
                <w:rFonts w:hint="eastAsia" w:ascii="宋体" w:hAnsi="宋体" w:cs="宋体"/>
                <w:color w:val="auto"/>
                <w:sz w:val="22"/>
                <w:szCs w:val="22"/>
              </w:rPr>
            </w:pPr>
          </w:p>
        </w:tc>
        <w:tc>
          <w:tcPr>
            <w:tcW w:w="616" w:type="dxa"/>
            <w:vMerge w:val="continue"/>
            <w:shd w:val="clear" w:color="auto" w:fill="auto"/>
            <w:vAlign w:val="center"/>
          </w:tcPr>
          <w:p>
            <w:pPr>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3" w:type="dxa"/>
            <w:vMerge w:val="continue"/>
            <w:shd w:val="clear" w:color="auto" w:fill="auto"/>
            <w:vAlign w:val="center"/>
          </w:tcPr>
          <w:p>
            <w:pPr>
              <w:jc w:val="center"/>
              <w:rPr>
                <w:rFonts w:hint="eastAsia" w:ascii="宋体" w:hAnsi="宋体" w:cs="宋体"/>
                <w:color w:val="auto"/>
                <w:sz w:val="24"/>
              </w:rPr>
            </w:pPr>
          </w:p>
        </w:tc>
        <w:tc>
          <w:tcPr>
            <w:tcW w:w="722" w:type="dxa"/>
            <w:vMerge w:val="continue"/>
            <w:shd w:val="clear" w:color="auto" w:fill="auto"/>
            <w:vAlign w:val="center"/>
          </w:tcPr>
          <w:p>
            <w:pPr>
              <w:jc w:val="center"/>
              <w:rPr>
                <w:rFonts w:hint="eastAsia" w:ascii="宋体" w:hAnsi="宋体" w:cs="宋体"/>
                <w:color w:val="auto"/>
                <w:sz w:val="22"/>
                <w:szCs w:val="22"/>
              </w:rPr>
            </w:pPr>
          </w:p>
        </w:tc>
        <w:tc>
          <w:tcPr>
            <w:tcW w:w="1192"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关键部件安全要求</w:t>
            </w:r>
          </w:p>
        </w:tc>
        <w:tc>
          <w:tcPr>
            <w:tcW w:w="6326"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CPU 和操作系统等关键部件应当符合安全可靠测评要求</w:t>
            </w:r>
          </w:p>
          <w:p>
            <w:pPr>
              <w:widowControl/>
              <w:spacing w:line="360" w:lineRule="auto"/>
              <w:jc w:val="left"/>
              <w:rPr>
                <w:rFonts w:hint="eastAsia" w:ascii="宋体" w:hAnsi="宋体" w:cs="宋体"/>
                <w:color w:val="auto"/>
                <w:kern w:val="0"/>
                <w:sz w:val="24"/>
                <w:lang w:bidi="ar"/>
              </w:rPr>
            </w:pPr>
          </w:p>
        </w:tc>
        <w:tc>
          <w:tcPr>
            <w:tcW w:w="620" w:type="dxa"/>
            <w:vMerge w:val="continue"/>
            <w:shd w:val="clear" w:color="auto" w:fill="auto"/>
            <w:vAlign w:val="center"/>
          </w:tcPr>
          <w:p>
            <w:pPr>
              <w:jc w:val="center"/>
              <w:rPr>
                <w:rFonts w:hint="eastAsia" w:ascii="宋体" w:hAnsi="宋体" w:cs="宋体"/>
                <w:color w:val="auto"/>
                <w:sz w:val="22"/>
                <w:szCs w:val="22"/>
              </w:rPr>
            </w:pPr>
          </w:p>
        </w:tc>
        <w:tc>
          <w:tcPr>
            <w:tcW w:w="616" w:type="dxa"/>
            <w:vMerge w:val="continue"/>
            <w:shd w:val="clear" w:color="auto" w:fill="auto"/>
            <w:vAlign w:val="center"/>
          </w:tcPr>
          <w:p>
            <w:pPr>
              <w:jc w:val="center"/>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63" w:type="dxa"/>
            <w:vMerge w:val="continue"/>
            <w:shd w:val="clear" w:color="auto" w:fill="auto"/>
            <w:vAlign w:val="center"/>
          </w:tcPr>
          <w:p>
            <w:pPr>
              <w:jc w:val="center"/>
              <w:rPr>
                <w:rFonts w:hint="eastAsia" w:ascii="宋体" w:hAnsi="宋体" w:cs="宋体"/>
                <w:color w:val="auto"/>
                <w:sz w:val="24"/>
              </w:rPr>
            </w:pPr>
          </w:p>
        </w:tc>
        <w:tc>
          <w:tcPr>
            <w:tcW w:w="722" w:type="dxa"/>
            <w:vMerge w:val="continue"/>
            <w:shd w:val="clear" w:color="auto" w:fill="auto"/>
            <w:vAlign w:val="center"/>
          </w:tcPr>
          <w:p>
            <w:pPr>
              <w:jc w:val="center"/>
              <w:rPr>
                <w:rFonts w:hint="eastAsia" w:ascii="宋体" w:hAnsi="宋体" w:cs="宋体"/>
                <w:color w:val="auto"/>
                <w:sz w:val="22"/>
                <w:szCs w:val="22"/>
              </w:rPr>
            </w:pPr>
          </w:p>
        </w:tc>
        <w:tc>
          <w:tcPr>
            <w:tcW w:w="1192"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整机安全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性要求</w:t>
            </w:r>
          </w:p>
          <w:p>
            <w:pPr>
              <w:widowControl/>
              <w:spacing w:line="360" w:lineRule="auto"/>
              <w:jc w:val="left"/>
              <w:rPr>
                <w:rFonts w:hint="eastAsia" w:ascii="宋体" w:hAnsi="宋体" w:cs="宋体"/>
                <w:color w:val="auto"/>
                <w:kern w:val="0"/>
                <w:sz w:val="24"/>
                <w:lang w:bidi="ar"/>
              </w:rPr>
            </w:pPr>
          </w:p>
        </w:tc>
        <w:tc>
          <w:tcPr>
            <w:tcW w:w="6326" w:type="dxa"/>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1、密码算法实现：支持集成中国 SM 密码算法和国际通用密码算法的TPM安全芯片。芯片密码模块符合 GB/T 37092或 GM/T002 的相关规定；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2、USB 端口管控：支持 USB 端口管控；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3、信息安全基本要求：a) 产品应符合GB/T39276 的 5.2 的规定；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b) 应建立漏洞跟踪表，保证产品版本涉及到的漏洞(如驱动程序等)可查看；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c) 产品不得包含已知的恶意代码或漏洞，不存在未声明的指令、功能、接口；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4、固件安全启动：支持固件安全启动功能，固件启动过程中只有通过启动校验才能正常启动</w:t>
            </w:r>
          </w:p>
          <w:p>
            <w:pPr>
              <w:widowControl/>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5、限用物质的限量要求：符合 GB/T 26572中规定。</w:t>
            </w:r>
          </w:p>
        </w:tc>
        <w:tc>
          <w:tcPr>
            <w:tcW w:w="620" w:type="dxa"/>
            <w:vMerge w:val="continue"/>
            <w:shd w:val="clear" w:color="auto" w:fill="auto"/>
            <w:vAlign w:val="center"/>
          </w:tcPr>
          <w:p>
            <w:pPr>
              <w:jc w:val="center"/>
              <w:rPr>
                <w:rFonts w:hint="eastAsia" w:ascii="宋体" w:hAnsi="宋体" w:cs="宋体"/>
                <w:color w:val="auto"/>
                <w:sz w:val="22"/>
                <w:szCs w:val="22"/>
              </w:rPr>
            </w:pPr>
          </w:p>
        </w:tc>
        <w:tc>
          <w:tcPr>
            <w:tcW w:w="616" w:type="dxa"/>
            <w:vMerge w:val="continue"/>
            <w:shd w:val="clear" w:color="auto" w:fill="auto"/>
            <w:vAlign w:val="center"/>
          </w:tcPr>
          <w:p>
            <w:pPr>
              <w:jc w:val="center"/>
              <w:rPr>
                <w:rFonts w:hint="eastAsia" w:ascii="宋体" w:hAnsi="宋体" w:cs="宋体"/>
                <w:color w:val="auto"/>
                <w:sz w:val="22"/>
                <w:szCs w:val="22"/>
              </w:rPr>
            </w:pPr>
          </w:p>
        </w:tc>
      </w:tr>
      <w:bookmark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63" w:type="dxa"/>
            <w:vMerge w:val="continue"/>
            <w:shd w:val="clear" w:color="auto" w:fill="auto"/>
            <w:vAlign w:val="center"/>
          </w:tcPr>
          <w:p>
            <w:pPr>
              <w:jc w:val="center"/>
              <w:rPr>
                <w:rFonts w:hint="eastAsia" w:ascii="宋体" w:hAnsi="宋体" w:cs="宋体"/>
                <w:color w:val="auto"/>
                <w:sz w:val="24"/>
              </w:rPr>
            </w:pPr>
          </w:p>
        </w:tc>
        <w:tc>
          <w:tcPr>
            <w:tcW w:w="722" w:type="dxa"/>
            <w:shd w:val="clear" w:color="auto" w:fill="auto"/>
            <w:vAlign w:val="center"/>
          </w:tcPr>
          <w:p>
            <w:pPr>
              <w:jc w:val="center"/>
              <w:rPr>
                <w:rFonts w:hint="eastAsia" w:ascii="宋体" w:hAnsi="宋体" w:cs="宋体"/>
                <w:color w:val="auto"/>
                <w:sz w:val="24"/>
              </w:rPr>
            </w:pPr>
            <w:r>
              <w:rPr>
                <w:rFonts w:hint="eastAsia" w:ascii="宋体" w:hAnsi="宋体" w:cs="宋体"/>
                <w:color w:val="auto"/>
                <w:sz w:val="22"/>
                <w:szCs w:val="22"/>
              </w:rPr>
              <w:t>机房管理软件</w:t>
            </w:r>
          </w:p>
        </w:tc>
        <w:tc>
          <w:tcPr>
            <w:tcW w:w="7518" w:type="dxa"/>
            <w:gridSpan w:val="2"/>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1、支持同一个版本安装操作系统，无需通过多个版本安装支持，减少安装维护工作量。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2、支持独立设置每次开机恢复、手动恢复、每天恢复、每周恢复、每月恢复、定时恢复及不恢复等多种数据还原方式，无需进入系统即可完成设置，同时也可在系统下对所有终端批量设置还原参数，也可对单台还原参数独立设置，满足各种教学场景需要。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3、支持BIOS底层和操作系统下两种方式对管理员模式、还原模式、考试模式一键自由切换</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4、支持双硬盘保护还原及同传，同传支持UEFI PXE和Legacy PXE双模式自动连线及有效数据或增量的传输</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5、支持BIOS底层管理，无需进入系统下即可完成对硬盘分区新建、删除和编辑维护，及IP地址、ID信息、计算机名、管理密码信息的修改和关机重启操作。</w:t>
            </w:r>
          </w:p>
          <w:p>
            <w:pPr>
              <w:widowControl/>
              <w:jc w:val="left"/>
              <w:rPr>
                <w:rFonts w:hint="eastAsia" w:ascii="宋体" w:hAnsi="宋体" w:cs="宋体"/>
                <w:color w:val="auto"/>
                <w:kern w:val="0"/>
                <w:sz w:val="24"/>
                <w:lang w:bidi="ar"/>
              </w:rPr>
            </w:pPr>
          </w:p>
        </w:tc>
        <w:tc>
          <w:tcPr>
            <w:tcW w:w="620" w:type="dxa"/>
            <w:shd w:val="clear" w:color="auto" w:fill="auto"/>
            <w:vAlign w:val="center"/>
          </w:tcPr>
          <w:p>
            <w:pPr>
              <w:jc w:val="center"/>
              <w:rPr>
                <w:rFonts w:hint="eastAsia" w:ascii="宋体" w:hAnsi="宋体" w:cs="宋体"/>
                <w:color w:val="auto"/>
                <w:sz w:val="24"/>
              </w:rPr>
            </w:pPr>
            <w:r>
              <w:rPr>
                <w:rFonts w:hint="eastAsia"/>
                <w:color w:val="auto"/>
                <w:sz w:val="22"/>
                <w:szCs w:val="22"/>
              </w:rPr>
              <w:t>套</w:t>
            </w:r>
          </w:p>
        </w:tc>
        <w:tc>
          <w:tcPr>
            <w:tcW w:w="616" w:type="dxa"/>
            <w:shd w:val="clear" w:color="auto" w:fill="auto"/>
            <w:vAlign w:val="center"/>
          </w:tcPr>
          <w:p>
            <w:pPr>
              <w:jc w:val="center"/>
              <w:rPr>
                <w:rFonts w:hint="eastAsia" w:ascii="宋体" w:hAnsi="宋体" w:cs="宋体"/>
                <w:color w:val="auto"/>
                <w:sz w:val="24"/>
              </w:rPr>
            </w:pPr>
            <w:r>
              <w:rPr>
                <w:rFonts w:hint="eastAsia"/>
                <w:color w:val="auto"/>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63" w:type="dxa"/>
            <w:vMerge w:val="continue"/>
            <w:shd w:val="clear" w:color="auto" w:fill="auto"/>
            <w:vAlign w:val="center"/>
          </w:tcPr>
          <w:p>
            <w:pPr>
              <w:jc w:val="center"/>
              <w:rPr>
                <w:rFonts w:hint="eastAsia" w:ascii="宋体" w:hAnsi="宋体" w:cs="宋体"/>
                <w:color w:val="auto"/>
                <w:sz w:val="24"/>
              </w:rPr>
            </w:pPr>
          </w:p>
        </w:tc>
        <w:tc>
          <w:tcPr>
            <w:tcW w:w="722" w:type="dxa"/>
            <w:shd w:val="clear" w:color="auto" w:fill="auto"/>
            <w:vAlign w:val="center"/>
          </w:tcPr>
          <w:p>
            <w:pPr>
              <w:jc w:val="center"/>
              <w:rPr>
                <w:rFonts w:hint="eastAsia" w:ascii="宋体" w:hAnsi="宋体" w:cs="宋体"/>
                <w:b w:val="0"/>
                <w:bCs w:val="0"/>
                <w:color w:val="auto"/>
                <w:sz w:val="24"/>
              </w:rPr>
            </w:pPr>
            <w:r>
              <w:rPr>
                <w:rFonts w:hint="eastAsia" w:ascii="宋体" w:hAnsi="宋体"/>
                <w:b w:val="0"/>
                <w:bCs w:val="0"/>
                <w:color w:val="auto"/>
                <w:kern w:val="0"/>
                <w:sz w:val="22"/>
                <w:szCs w:val="22"/>
              </w:rPr>
              <w:t>机房教学软件</w:t>
            </w:r>
          </w:p>
        </w:tc>
        <w:tc>
          <w:tcPr>
            <w:tcW w:w="7518" w:type="dxa"/>
            <w:gridSpan w:val="2"/>
            <w:shd w:val="clear" w:color="auto" w:fill="auto"/>
            <w:vAlign w:val="center"/>
          </w:tcPr>
          <w:p>
            <w:pPr>
              <w:widowControl/>
              <w:jc w:val="left"/>
              <w:rPr>
                <w:rFonts w:hint="eastAsia" w:ascii="宋体" w:hAnsi="宋体" w:cs="宋体"/>
                <w:b w:val="0"/>
                <w:bCs w:val="0"/>
                <w:color w:val="auto"/>
                <w:kern w:val="0"/>
                <w:sz w:val="24"/>
                <w:lang w:bidi="ar"/>
              </w:rPr>
            </w:pPr>
            <w:r>
              <w:rPr>
                <w:rFonts w:hint="eastAsia" w:ascii="宋体" w:hAnsi="宋体" w:cs="宋体"/>
                <w:b w:val="0"/>
                <w:bCs w:val="0"/>
                <w:color w:val="auto"/>
                <w:kern w:val="0"/>
                <w:sz w:val="24"/>
                <w:lang w:bidi="ar"/>
              </w:rPr>
              <w:t>1、支持在操作系统下的广播教学、学生演示、网络影院、打开网页、收取作业、文件分发、电子点名、在线考试、屏幕录制等多种课堂教学功能。</w:t>
            </w:r>
          </w:p>
          <w:p>
            <w:pPr>
              <w:jc w:val="left"/>
              <w:rPr>
                <w:rFonts w:hint="eastAsia" w:ascii="宋体" w:hAnsi="宋体" w:cs="宋体"/>
                <w:b w:val="0"/>
                <w:bCs w:val="0"/>
                <w:color w:val="auto"/>
                <w:kern w:val="0"/>
                <w:sz w:val="24"/>
                <w:lang w:bidi="ar"/>
              </w:rPr>
            </w:pPr>
            <w:r>
              <w:rPr>
                <w:rFonts w:hint="eastAsia" w:ascii="宋体" w:hAnsi="宋体" w:cs="宋体"/>
                <w:b w:val="0"/>
                <w:bCs w:val="0"/>
                <w:color w:val="auto"/>
                <w:kern w:val="0"/>
                <w:sz w:val="24"/>
                <w:lang w:bidi="ar"/>
              </w:rPr>
              <w:t>2、支持Windows系列操作系统，支持MAC系统及众多Linux发行版本，支持UOS或Kylin国产系统</w:t>
            </w:r>
          </w:p>
          <w:p>
            <w:pPr>
              <w:widowControl/>
              <w:jc w:val="left"/>
              <w:rPr>
                <w:rFonts w:hint="eastAsia" w:ascii="宋体" w:hAnsi="宋体" w:cs="宋体"/>
                <w:b w:val="0"/>
                <w:bCs w:val="0"/>
                <w:color w:val="auto"/>
                <w:kern w:val="0"/>
                <w:sz w:val="24"/>
                <w:lang w:bidi="ar"/>
              </w:rPr>
            </w:pPr>
            <w:r>
              <w:rPr>
                <w:rFonts w:hint="eastAsia" w:ascii="宋体" w:hAnsi="宋体" w:cs="宋体"/>
                <w:b w:val="0"/>
                <w:bCs w:val="0"/>
                <w:color w:val="auto"/>
                <w:kern w:val="0"/>
                <w:sz w:val="24"/>
                <w:lang w:bidi="ar"/>
              </w:rPr>
              <w:t>3、支持：加密狗加密、服务器端授权、在线序列号加密、离线文件加密、自定义短码激活、mac地址预置激活等多种方式的激活方式</w:t>
            </w:r>
          </w:p>
          <w:p>
            <w:pPr>
              <w:widowControl/>
              <w:jc w:val="left"/>
              <w:rPr>
                <w:rFonts w:hint="eastAsia" w:ascii="宋体" w:hAnsi="宋体" w:cs="宋体"/>
                <w:b w:val="0"/>
                <w:bCs w:val="0"/>
                <w:color w:val="auto"/>
                <w:kern w:val="0"/>
                <w:sz w:val="24"/>
                <w:lang w:bidi="ar"/>
              </w:rPr>
            </w:pPr>
            <w:r>
              <w:rPr>
                <w:rFonts w:hint="eastAsia" w:ascii="宋体" w:hAnsi="宋体" w:cs="宋体"/>
                <w:b w:val="0"/>
                <w:bCs w:val="0"/>
                <w:color w:val="auto"/>
                <w:kern w:val="0"/>
                <w:sz w:val="24"/>
                <w:lang w:bidi="ar"/>
              </w:rPr>
              <w:t>4、支持在操作系统下的设备锁定、程序运行、模式切换、远程登录、远程注销、远程关机、远程重启、远程唤醒、远程控制、远程查看、系统切换、消息发送、教室管理等多种课堂管理功能。</w:t>
            </w:r>
          </w:p>
          <w:p>
            <w:pPr>
              <w:widowControl/>
              <w:jc w:val="left"/>
              <w:rPr>
                <w:rFonts w:hint="eastAsia" w:ascii="宋体" w:hAnsi="宋体" w:cs="宋体"/>
                <w:b w:val="0"/>
                <w:bCs w:val="0"/>
                <w:color w:val="auto"/>
                <w:kern w:val="0"/>
                <w:sz w:val="24"/>
                <w:lang w:bidi="ar"/>
              </w:rPr>
            </w:pPr>
            <w:r>
              <w:rPr>
                <w:rFonts w:hint="eastAsia" w:ascii="宋体" w:hAnsi="宋体" w:cs="宋体"/>
                <w:b w:val="0"/>
                <w:bCs w:val="0"/>
                <w:color w:val="auto"/>
                <w:kern w:val="0"/>
                <w:sz w:val="24"/>
                <w:lang w:bidi="ar"/>
              </w:rPr>
              <w:t>5、支持在操作系统下老师机对学生机桌面状态实时查看功能，老师可对学生机缩略图进行任意比例的缩放和多种查看模式的切换。</w:t>
            </w:r>
          </w:p>
          <w:p>
            <w:pPr>
              <w:widowControl/>
              <w:jc w:val="left"/>
              <w:rPr>
                <w:rFonts w:hint="eastAsia" w:ascii="宋体" w:hAnsi="宋体" w:cs="宋体"/>
                <w:b w:val="0"/>
                <w:bCs w:val="0"/>
                <w:color w:val="auto"/>
                <w:kern w:val="0"/>
                <w:sz w:val="24"/>
                <w:lang w:bidi="ar"/>
              </w:rPr>
            </w:pPr>
          </w:p>
        </w:tc>
        <w:tc>
          <w:tcPr>
            <w:tcW w:w="620" w:type="dxa"/>
            <w:shd w:val="clear" w:color="auto" w:fill="auto"/>
            <w:vAlign w:val="center"/>
          </w:tcPr>
          <w:p>
            <w:pPr>
              <w:jc w:val="center"/>
              <w:rPr>
                <w:rFonts w:hint="eastAsia" w:ascii="宋体" w:hAnsi="宋体" w:cs="宋体"/>
                <w:color w:val="auto"/>
                <w:sz w:val="24"/>
              </w:rPr>
            </w:pPr>
            <w:r>
              <w:rPr>
                <w:rFonts w:hint="eastAsia"/>
                <w:color w:val="auto"/>
                <w:sz w:val="22"/>
                <w:szCs w:val="22"/>
              </w:rPr>
              <w:t>套</w:t>
            </w:r>
          </w:p>
        </w:tc>
        <w:tc>
          <w:tcPr>
            <w:tcW w:w="616" w:type="dxa"/>
            <w:shd w:val="clear" w:color="auto" w:fill="auto"/>
            <w:vAlign w:val="center"/>
          </w:tcPr>
          <w:p>
            <w:pPr>
              <w:jc w:val="center"/>
              <w:rPr>
                <w:rFonts w:hint="eastAsia" w:ascii="宋体" w:hAnsi="宋体" w:eastAsia="等线" w:cs="宋体"/>
                <w:color w:val="auto"/>
                <w:sz w:val="24"/>
              </w:rPr>
            </w:pPr>
            <w:r>
              <w:rPr>
                <w:rFonts w:hint="eastAsia" w:eastAsia="等线"/>
                <w:color w:val="auto"/>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63" w:type="dxa"/>
            <w:vMerge w:val="continue"/>
            <w:shd w:val="clear" w:color="auto" w:fill="auto"/>
            <w:vAlign w:val="center"/>
          </w:tcPr>
          <w:p>
            <w:pPr>
              <w:jc w:val="center"/>
              <w:rPr>
                <w:rFonts w:hint="eastAsia" w:ascii="宋体" w:hAnsi="宋体" w:cs="宋体"/>
                <w:color w:val="auto"/>
                <w:sz w:val="24"/>
              </w:rPr>
            </w:pPr>
          </w:p>
        </w:tc>
        <w:tc>
          <w:tcPr>
            <w:tcW w:w="722" w:type="dxa"/>
            <w:shd w:val="clear" w:color="auto" w:fill="auto"/>
            <w:vAlign w:val="center"/>
          </w:tcPr>
          <w:p>
            <w:pPr>
              <w:jc w:val="center"/>
              <w:rPr>
                <w:rFonts w:hint="eastAsia" w:ascii="宋体" w:hAnsi="宋体" w:cs="宋体"/>
                <w:b w:val="0"/>
                <w:bCs w:val="0"/>
                <w:color w:val="auto"/>
                <w:sz w:val="24"/>
              </w:rPr>
            </w:pPr>
            <w:r>
              <w:rPr>
                <w:rFonts w:hint="eastAsia"/>
                <w:b w:val="0"/>
                <w:bCs w:val="0"/>
                <w:color w:val="auto"/>
                <w:sz w:val="22"/>
                <w:szCs w:val="22"/>
              </w:rPr>
              <w:t>国产桌面操作系统</w:t>
            </w:r>
          </w:p>
        </w:tc>
        <w:tc>
          <w:tcPr>
            <w:tcW w:w="7518" w:type="dxa"/>
            <w:gridSpan w:val="2"/>
            <w:shd w:val="clear" w:color="auto" w:fill="auto"/>
            <w:vAlign w:val="center"/>
          </w:tcPr>
          <w:p>
            <w:pPr>
              <w:widowControl/>
              <w:numPr>
                <w:ilvl w:val="0"/>
                <w:numId w:val="4"/>
              </w:numPr>
              <w:jc w:val="left"/>
              <w:rPr>
                <w:rFonts w:hint="eastAsia" w:ascii="宋体" w:hAnsi="宋体"/>
                <w:sz w:val="24"/>
              </w:rPr>
            </w:pPr>
            <w:r>
              <w:rPr>
                <w:rFonts w:hint="eastAsia" w:ascii="宋体" w:hAnsi="宋体"/>
                <w:sz w:val="24"/>
              </w:rPr>
              <w:t>同时支持3种或以上主流国产CPU。（提供3种或以上国产CPU产品相互认证证书复印件）</w:t>
            </w:r>
          </w:p>
          <w:p>
            <w:pPr>
              <w:widowControl/>
              <w:numPr>
                <w:ilvl w:val="0"/>
                <w:numId w:val="0"/>
              </w:numPr>
              <w:jc w:val="left"/>
              <w:rPr>
                <w:rFonts w:hint="eastAsia" w:ascii="宋体" w:hAnsi="宋体" w:cs="宋体"/>
                <w:b w:val="0"/>
                <w:bCs w:val="0"/>
                <w:color w:val="auto"/>
                <w:kern w:val="0"/>
                <w:sz w:val="24"/>
                <w:lang w:bidi="ar"/>
              </w:rPr>
            </w:pPr>
            <w:r>
              <w:rPr>
                <w:rFonts w:hint="eastAsia" w:ascii="宋体" w:hAnsi="宋体" w:cs="宋体"/>
                <w:b w:val="0"/>
                <w:bCs w:val="0"/>
                <w:color w:val="auto"/>
                <w:kern w:val="0"/>
                <w:sz w:val="24"/>
                <w:lang w:bidi="ar"/>
              </w:rPr>
              <w:t>2、产品通过中国信息安全测评中心的安全可靠测评，以安全可靠测评结果公告(2023年第1号和2024年1号)为准；</w:t>
            </w:r>
          </w:p>
          <w:p>
            <w:pPr>
              <w:widowControl/>
              <w:jc w:val="left"/>
              <w:rPr>
                <w:rFonts w:hint="eastAsia" w:ascii="宋体" w:hAnsi="宋体" w:cs="宋体"/>
                <w:b w:val="0"/>
                <w:bCs w:val="0"/>
                <w:color w:val="auto"/>
                <w:kern w:val="0"/>
                <w:sz w:val="24"/>
                <w:lang w:bidi="ar"/>
              </w:rPr>
            </w:pPr>
            <w:r>
              <w:rPr>
                <w:rFonts w:hint="eastAsia" w:ascii="宋体" w:hAnsi="宋体" w:cs="宋体"/>
                <w:b w:val="0"/>
                <w:bCs w:val="0"/>
                <w:color w:val="auto"/>
                <w:kern w:val="0"/>
                <w:sz w:val="24"/>
                <w:lang w:bidi="ar"/>
              </w:rPr>
              <w:t>3、操作系统产品应符合CCID-JF-07020-2023《软件供应链安全能力测评规范》，产品安全可靠。</w:t>
            </w:r>
          </w:p>
          <w:p>
            <w:pPr>
              <w:widowControl/>
              <w:jc w:val="left"/>
              <w:rPr>
                <w:rFonts w:hint="eastAsia" w:ascii="宋体" w:hAnsi="宋体" w:cs="宋体"/>
                <w:b w:val="0"/>
                <w:bCs w:val="0"/>
                <w:color w:val="auto"/>
                <w:kern w:val="0"/>
                <w:sz w:val="24"/>
                <w:lang w:bidi="ar"/>
              </w:rPr>
            </w:pPr>
            <w:r>
              <w:rPr>
                <w:rFonts w:hint="eastAsia" w:ascii="宋体" w:hAnsi="宋体" w:cs="宋体"/>
                <w:b w:val="0"/>
                <w:bCs w:val="0"/>
                <w:color w:val="auto"/>
                <w:kern w:val="0"/>
                <w:sz w:val="24"/>
                <w:lang w:bidi="ar"/>
              </w:rPr>
              <w:t>4、提供原生安全中心，支持外设管控，外设接入时能够动态显示未授权设备信息。</w:t>
            </w:r>
          </w:p>
          <w:p>
            <w:pPr>
              <w:widowControl/>
              <w:jc w:val="left"/>
              <w:rPr>
                <w:rFonts w:hint="eastAsia" w:ascii="宋体" w:hAnsi="宋体" w:cs="宋体"/>
                <w:b w:val="0"/>
                <w:bCs w:val="0"/>
                <w:color w:val="auto"/>
                <w:kern w:val="0"/>
                <w:sz w:val="24"/>
                <w:lang w:bidi="ar"/>
              </w:rPr>
            </w:pPr>
            <w:r>
              <w:rPr>
                <w:rFonts w:hint="eastAsia" w:ascii="宋体" w:hAnsi="宋体" w:cs="宋体"/>
                <w:b w:val="0"/>
                <w:bCs w:val="0"/>
                <w:color w:val="auto"/>
                <w:kern w:val="0"/>
                <w:sz w:val="24"/>
                <w:lang w:bidi="ar"/>
              </w:rPr>
              <w:t>5、提供官网补丁更新及漏洞修复信息纰漏，包括安全漏洞补丁公告、CEV查询及修复方法、系统更新查询及操作方法，补丁包下载等。</w:t>
            </w:r>
          </w:p>
          <w:p>
            <w:pPr>
              <w:widowControl/>
              <w:jc w:val="left"/>
              <w:rPr>
                <w:rFonts w:hint="eastAsia" w:ascii="宋体" w:hAnsi="宋体" w:cs="宋体"/>
                <w:b w:val="0"/>
                <w:bCs w:val="0"/>
                <w:color w:val="auto"/>
                <w:kern w:val="0"/>
                <w:sz w:val="24"/>
                <w:lang w:bidi="ar"/>
              </w:rPr>
            </w:pPr>
            <w:r>
              <w:rPr>
                <w:rFonts w:hint="eastAsia" w:ascii="宋体" w:hAnsi="宋体" w:cs="宋体"/>
                <w:b w:val="0"/>
                <w:bCs w:val="0"/>
                <w:color w:val="auto"/>
                <w:kern w:val="0"/>
                <w:sz w:val="24"/>
                <w:lang w:bidi="ar"/>
              </w:rPr>
              <w:t>6、操作系统提供人性化人机交互界面，提供系统文件管理器，文件管理器支持多页签打开、支持可视化管理系统各类文件、支持图标缩放，当缩小到一定程度时，自动转换为列表视图。</w:t>
            </w:r>
          </w:p>
          <w:p>
            <w:pPr>
              <w:widowControl/>
              <w:spacing w:line="360" w:lineRule="auto"/>
              <w:jc w:val="left"/>
              <w:rPr>
                <w:rFonts w:hint="eastAsia" w:ascii="宋体" w:hAnsi="宋体" w:cs="宋体"/>
                <w:b w:val="0"/>
                <w:bCs w:val="0"/>
                <w:color w:val="auto"/>
                <w:kern w:val="0"/>
                <w:sz w:val="24"/>
                <w:lang w:bidi="ar"/>
              </w:rPr>
            </w:pPr>
            <w:r>
              <w:rPr>
                <w:rFonts w:hint="eastAsia" w:ascii="宋体" w:hAnsi="宋体" w:cs="宋体"/>
                <w:b w:val="0"/>
                <w:bCs w:val="0"/>
                <w:color w:val="auto"/>
                <w:kern w:val="0"/>
                <w:sz w:val="24"/>
                <w:lang w:bidi="ar"/>
              </w:rPr>
              <w:t>7、操作系统提供搜索功能，支持创建索引，能够对系统文件、文本内容、应用程序、网页快速搜索。</w:t>
            </w:r>
          </w:p>
        </w:tc>
        <w:tc>
          <w:tcPr>
            <w:tcW w:w="620" w:type="dxa"/>
            <w:shd w:val="clear" w:color="auto" w:fill="auto"/>
            <w:vAlign w:val="center"/>
          </w:tcPr>
          <w:p>
            <w:pPr>
              <w:jc w:val="center"/>
              <w:rPr>
                <w:rFonts w:hint="eastAsia" w:ascii="宋体" w:hAnsi="宋体" w:cs="宋体"/>
                <w:color w:val="auto"/>
                <w:sz w:val="24"/>
              </w:rPr>
            </w:pPr>
            <w:r>
              <w:rPr>
                <w:rFonts w:hint="eastAsia"/>
                <w:color w:val="auto"/>
                <w:sz w:val="22"/>
                <w:szCs w:val="22"/>
              </w:rPr>
              <w:t>套</w:t>
            </w:r>
          </w:p>
        </w:tc>
        <w:tc>
          <w:tcPr>
            <w:tcW w:w="616" w:type="dxa"/>
            <w:shd w:val="clear" w:color="auto" w:fill="auto"/>
            <w:vAlign w:val="center"/>
          </w:tcPr>
          <w:p>
            <w:pPr>
              <w:jc w:val="center"/>
              <w:rPr>
                <w:rFonts w:hint="eastAsia" w:ascii="宋体" w:hAnsi="宋体" w:cs="宋体"/>
                <w:color w:val="auto"/>
                <w:sz w:val="24"/>
              </w:rPr>
            </w:pPr>
            <w:r>
              <w:rPr>
                <w:rFonts w:hint="eastAsia" w:ascii="宋体" w:hAnsi="宋体" w:cs="宋体"/>
                <w:color w:val="auto"/>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63" w:type="dxa"/>
            <w:vMerge w:val="continue"/>
            <w:shd w:val="clear" w:color="auto" w:fill="auto"/>
            <w:vAlign w:val="center"/>
          </w:tcPr>
          <w:p>
            <w:pPr>
              <w:jc w:val="center"/>
              <w:rPr>
                <w:rFonts w:hint="eastAsia" w:ascii="宋体" w:hAnsi="宋体" w:cs="宋体"/>
                <w:color w:val="auto"/>
                <w:sz w:val="24"/>
              </w:rPr>
            </w:pPr>
          </w:p>
        </w:tc>
        <w:tc>
          <w:tcPr>
            <w:tcW w:w="722" w:type="dxa"/>
            <w:shd w:val="clear" w:color="auto" w:fill="auto"/>
            <w:vAlign w:val="center"/>
          </w:tcPr>
          <w:p>
            <w:pPr>
              <w:jc w:val="center"/>
              <w:rPr>
                <w:rFonts w:hint="eastAsia" w:ascii="宋体" w:hAnsi="宋体" w:cs="宋体"/>
                <w:color w:val="auto"/>
                <w:sz w:val="24"/>
              </w:rPr>
            </w:pPr>
            <w:r>
              <w:rPr>
                <w:rFonts w:hint="eastAsia"/>
                <w:color w:val="auto"/>
                <w:sz w:val="22"/>
                <w:szCs w:val="22"/>
              </w:rPr>
              <w:t>国产办公软件</w:t>
            </w:r>
          </w:p>
        </w:tc>
        <w:tc>
          <w:tcPr>
            <w:tcW w:w="7518" w:type="dxa"/>
            <w:gridSpan w:val="2"/>
            <w:shd w:val="clear" w:color="auto" w:fill="auto"/>
            <w:vAlign w:val="center"/>
          </w:tcPr>
          <w:p>
            <w:pPr>
              <w:widowControl/>
              <w:jc w:val="left"/>
              <w:rPr>
                <w:rFonts w:hint="eastAsia" w:ascii="宋体" w:hAnsi="宋体" w:cs="宋体"/>
                <w:kern w:val="0"/>
                <w:sz w:val="24"/>
                <w:lang w:bidi="ar"/>
              </w:rPr>
            </w:pPr>
            <w:r>
              <w:rPr>
                <w:rFonts w:hint="eastAsia" w:ascii="宋体" w:hAnsi="宋体" w:cs="宋体"/>
                <w:kern w:val="0"/>
                <w:sz w:val="24"/>
                <w:lang w:bidi="ar"/>
              </w:rPr>
              <w:t>1、支持国产CPU；</w:t>
            </w:r>
          </w:p>
          <w:p>
            <w:pPr>
              <w:widowControl/>
              <w:jc w:val="left"/>
              <w:rPr>
                <w:rFonts w:hint="eastAsia" w:ascii="宋体" w:hAnsi="宋体" w:cs="宋体"/>
                <w:color w:val="auto"/>
                <w:kern w:val="0"/>
                <w:sz w:val="24"/>
                <w:lang w:bidi="ar"/>
              </w:rPr>
            </w:pPr>
            <w:r>
              <w:rPr>
                <w:rFonts w:hint="eastAsia" w:ascii="宋体" w:hAnsi="宋体" w:cs="宋体"/>
                <w:kern w:val="0"/>
                <w:sz w:val="24"/>
                <w:lang w:bidi="ar"/>
              </w:rPr>
              <w:t>2、支持国产操作系统</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3、用于处理文字，表格及幻灯片的国产成熟度高的流式办公软件，至少包含文字、表格、演示三个模块。</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4、支持公式插入和编辑，提供预设公式、预设符号等常用功能。支持垂直审阅窗格和水平审阅窗格两种模式；</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5、支持通过审阅人、审阅时间查看批注和修订信息，同时批注支持答复、解决批注等操作。</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6、支持不少于134种智能图形（SmartArt），包括层次结构、列表、循环、流程等，其中97种支持插入和编辑，另外37种类型支持打开和编辑。</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7、支持“切片器“，支持通过插入单个或多个切片器进行数据透视表筛选。</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8、支持自动筛选高级模式：支持显示计数、导出计数、按计数排序、反选、筛选唯一/重复值等高级功能。</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9、数据透视图支持以图形方式汇总数据，并浏览数据。</w:t>
            </w:r>
          </w:p>
        </w:tc>
        <w:tc>
          <w:tcPr>
            <w:tcW w:w="620" w:type="dxa"/>
            <w:shd w:val="clear" w:color="auto" w:fill="auto"/>
            <w:vAlign w:val="center"/>
          </w:tcPr>
          <w:p>
            <w:pPr>
              <w:jc w:val="center"/>
              <w:rPr>
                <w:rFonts w:hint="eastAsia" w:ascii="宋体" w:hAnsi="宋体" w:cs="宋体"/>
                <w:color w:val="auto"/>
                <w:sz w:val="24"/>
              </w:rPr>
            </w:pPr>
            <w:r>
              <w:rPr>
                <w:rFonts w:hint="eastAsia"/>
                <w:color w:val="auto"/>
                <w:sz w:val="22"/>
                <w:szCs w:val="22"/>
              </w:rPr>
              <w:t>套</w:t>
            </w:r>
          </w:p>
        </w:tc>
        <w:tc>
          <w:tcPr>
            <w:tcW w:w="616" w:type="dxa"/>
            <w:shd w:val="clear" w:color="auto" w:fill="auto"/>
            <w:vAlign w:val="center"/>
          </w:tcPr>
          <w:p>
            <w:pPr>
              <w:jc w:val="center"/>
              <w:rPr>
                <w:rFonts w:hint="eastAsia" w:ascii="宋体" w:hAnsi="宋体" w:cs="宋体"/>
                <w:color w:val="auto"/>
                <w:sz w:val="24"/>
              </w:rPr>
            </w:pPr>
            <w:r>
              <w:rPr>
                <w:rFonts w:hint="eastAsia"/>
                <w:color w:val="auto"/>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563" w:type="dxa"/>
            <w:vMerge w:val="continue"/>
            <w:shd w:val="clear" w:color="auto" w:fill="auto"/>
          </w:tcPr>
          <w:p>
            <w:pPr>
              <w:jc w:val="distribute"/>
              <w:rPr>
                <w:rFonts w:hint="eastAsia" w:ascii="宋体" w:hAnsi="宋体" w:cs="宋体"/>
                <w:color w:val="auto"/>
                <w:sz w:val="24"/>
              </w:rPr>
            </w:pPr>
          </w:p>
        </w:tc>
        <w:tc>
          <w:tcPr>
            <w:tcW w:w="722" w:type="dxa"/>
            <w:shd w:val="clear" w:color="auto" w:fill="auto"/>
            <w:vAlign w:val="center"/>
          </w:tcPr>
          <w:p>
            <w:pPr>
              <w:jc w:val="center"/>
              <w:rPr>
                <w:rFonts w:hint="eastAsia" w:ascii="宋体" w:hAnsi="宋体" w:cs="宋体"/>
                <w:color w:val="auto"/>
                <w:sz w:val="24"/>
              </w:rPr>
            </w:pPr>
            <w:r>
              <w:rPr>
                <w:rFonts w:hint="eastAsia"/>
                <w:color w:val="auto"/>
                <w:sz w:val="24"/>
              </w:rPr>
              <w:t>交换机</w:t>
            </w:r>
          </w:p>
        </w:tc>
        <w:tc>
          <w:tcPr>
            <w:tcW w:w="7518" w:type="dxa"/>
            <w:gridSpan w:val="2"/>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1、交换容量≥336Gbps，包转发率≥126Mpps，端口类型≥24个10/100/1000Base-T电口，≥4个1000Base-X SFP光口</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2、支持MAC地址学习数目限制，支持组播VLAN</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3、支持端口自环检测，支持端口限速以及流限速功能</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4、支持SNMPV1/2/3、TELNET、SSH等多种管理方式</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5、支持防私接DHCP Snooping，支持802.1X和MAC认证，支持客户端软件版本检测、Guest VLAN等功能</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6、可console管理，支持命令行调试，支持sflow流量统计分析功能</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7、支持以太网OAM和DLDP，支持STP/RSTP/MSTP多种生成树协议</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8、支持丰富的IPV6业务特性及多种IPv6管理手段，支持静态路由</w:t>
            </w:r>
          </w:p>
        </w:tc>
        <w:tc>
          <w:tcPr>
            <w:tcW w:w="620" w:type="dxa"/>
            <w:shd w:val="clear" w:color="auto" w:fill="auto"/>
            <w:vAlign w:val="center"/>
          </w:tcPr>
          <w:p>
            <w:pPr>
              <w:jc w:val="center"/>
              <w:rPr>
                <w:rFonts w:hint="eastAsia" w:ascii="宋体" w:hAnsi="宋体" w:cs="宋体"/>
                <w:color w:val="auto"/>
                <w:sz w:val="24"/>
              </w:rPr>
            </w:pPr>
            <w:r>
              <w:rPr>
                <w:rFonts w:hint="eastAsia"/>
                <w:color w:val="auto"/>
                <w:sz w:val="24"/>
              </w:rPr>
              <w:t>台</w:t>
            </w:r>
          </w:p>
        </w:tc>
        <w:tc>
          <w:tcPr>
            <w:tcW w:w="616" w:type="dxa"/>
            <w:shd w:val="clear" w:color="auto" w:fill="auto"/>
            <w:vAlign w:val="center"/>
          </w:tcPr>
          <w:p>
            <w:pPr>
              <w:jc w:val="center"/>
              <w:rPr>
                <w:rFonts w:hint="eastAsia" w:ascii="宋体" w:hAnsi="宋体" w:cs="宋体"/>
                <w:color w:val="auto"/>
                <w:sz w:val="24"/>
              </w:rPr>
            </w:pPr>
            <w:r>
              <w:rPr>
                <w:rFonts w:hint="eastAsia"/>
                <w:color w:val="auto"/>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563" w:type="dxa"/>
            <w:vMerge w:val="continue"/>
            <w:shd w:val="clear" w:color="auto" w:fill="auto"/>
          </w:tcPr>
          <w:p>
            <w:pPr>
              <w:jc w:val="distribute"/>
              <w:rPr>
                <w:rFonts w:hint="eastAsia" w:ascii="宋体" w:hAnsi="宋体" w:cs="宋体"/>
                <w:color w:val="auto"/>
                <w:sz w:val="24"/>
              </w:rPr>
            </w:pPr>
          </w:p>
        </w:tc>
        <w:tc>
          <w:tcPr>
            <w:tcW w:w="722" w:type="dxa"/>
            <w:shd w:val="clear" w:color="auto" w:fill="auto"/>
            <w:vAlign w:val="center"/>
          </w:tcPr>
          <w:p>
            <w:pPr>
              <w:pStyle w:val="163"/>
              <w:jc w:val="center"/>
              <w:rPr>
                <w:rFonts w:hint="eastAsia" w:ascii="宋体" w:hAnsi="宋体" w:cs="宋体"/>
                <w:bCs/>
                <w:color w:val="auto"/>
                <w:sz w:val="24"/>
                <w:szCs w:val="24"/>
              </w:rPr>
            </w:pPr>
            <w:r>
              <w:rPr>
                <w:rFonts w:hint="eastAsia" w:ascii="宋体" w:hAnsi="宋体" w:cs="宋体"/>
                <w:bCs/>
                <w:color w:val="auto"/>
                <w:sz w:val="24"/>
                <w:szCs w:val="24"/>
              </w:rPr>
              <w:t>学生</w:t>
            </w:r>
          </w:p>
          <w:p>
            <w:pPr>
              <w:jc w:val="center"/>
              <w:rPr>
                <w:rFonts w:hint="eastAsia" w:ascii="宋体" w:hAnsi="宋体" w:cs="宋体"/>
                <w:color w:val="auto"/>
                <w:sz w:val="24"/>
              </w:rPr>
            </w:pPr>
            <w:r>
              <w:rPr>
                <w:rFonts w:hint="eastAsia" w:ascii="宋体" w:hAnsi="宋体" w:cs="宋体"/>
                <w:bCs/>
                <w:color w:val="auto"/>
                <w:sz w:val="24"/>
              </w:rPr>
              <w:t>电脑桌</w:t>
            </w:r>
          </w:p>
        </w:tc>
        <w:tc>
          <w:tcPr>
            <w:tcW w:w="7518" w:type="dxa"/>
            <w:gridSpan w:val="2"/>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1、桌面采用≥25 mm厚/侧板采用≥18 mm厚刨花板,</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2、所用刨花板必须符合国家标准GB/T 39600-2021环保标准规定的E0级要求。</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3、封边采用与板材颜色一致，厚度≥1.5mmPVC直封边</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4、五金配件结构简单，连接牢固，连接件安装严密，平整，端正，结合处无崩茬或松动，易清洁</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5、规格：长宽高1200×550×750 mm（误差±5mm 以内）。</w:t>
            </w:r>
          </w:p>
        </w:tc>
        <w:tc>
          <w:tcPr>
            <w:tcW w:w="620" w:type="dxa"/>
            <w:shd w:val="clear" w:color="auto" w:fill="auto"/>
            <w:vAlign w:val="center"/>
          </w:tcPr>
          <w:p>
            <w:pPr>
              <w:jc w:val="center"/>
              <w:rPr>
                <w:rFonts w:hint="eastAsia" w:ascii="宋体" w:hAnsi="宋体" w:cs="宋体"/>
                <w:color w:val="auto"/>
                <w:sz w:val="24"/>
              </w:rPr>
            </w:pPr>
            <w:r>
              <w:rPr>
                <w:rFonts w:hint="eastAsia"/>
                <w:color w:val="auto"/>
                <w:sz w:val="24"/>
              </w:rPr>
              <w:t>张</w:t>
            </w:r>
          </w:p>
        </w:tc>
        <w:tc>
          <w:tcPr>
            <w:tcW w:w="616" w:type="dxa"/>
            <w:shd w:val="clear" w:color="auto" w:fill="auto"/>
            <w:vAlign w:val="center"/>
          </w:tcPr>
          <w:p>
            <w:pPr>
              <w:jc w:val="center"/>
              <w:rPr>
                <w:rFonts w:hint="eastAsia" w:ascii="宋体" w:hAnsi="宋体" w:cs="宋体"/>
                <w:color w:val="auto"/>
                <w:sz w:val="24"/>
              </w:rPr>
            </w:pPr>
            <w:r>
              <w:rPr>
                <w:rFonts w:hint="eastAsia"/>
                <w:color w:val="auto"/>
                <w:sz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563" w:type="dxa"/>
            <w:vMerge w:val="continue"/>
            <w:shd w:val="clear" w:color="auto" w:fill="auto"/>
          </w:tcPr>
          <w:p>
            <w:pPr>
              <w:jc w:val="distribute"/>
              <w:rPr>
                <w:rFonts w:hint="eastAsia" w:ascii="宋体" w:hAnsi="宋体" w:cs="宋体"/>
                <w:color w:val="auto"/>
                <w:sz w:val="24"/>
              </w:rPr>
            </w:pPr>
          </w:p>
        </w:tc>
        <w:tc>
          <w:tcPr>
            <w:tcW w:w="722" w:type="dxa"/>
            <w:shd w:val="clear" w:color="auto" w:fill="auto"/>
            <w:vAlign w:val="center"/>
          </w:tcPr>
          <w:p>
            <w:pPr>
              <w:jc w:val="center"/>
              <w:rPr>
                <w:rFonts w:hint="eastAsia" w:ascii="宋体" w:hAnsi="宋体" w:cs="宋体"/>
                <w:color w:val="auto"/>
                <w:sz w:val="24"/>
              </w:rPr>
            </w:pPr>
            <w:r>
              <w:rPr>
                <w:rFonts w:hint="eastAsia" w:ascii="宋体" w:hAnsi="宋体" w:cs="宋体"/>
                <w:bCs/>
                <w:color w:val="auto"/>
                <w:sz w:val="24"/>
              </w:rPr>
              <w:t>凳子</w:t>
            </w:r>
          </w:p>
        </w:tc>
        <w:tc>
          <w:tcPr>
            <w:tcW w:w="7518" w:type="dxa"/>
            <w:gridSpan w:val="2"/>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1、凳为钢腿木面尺寸：长宽高340×240×420 mm（误差±5mm 以内），</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2、方凳饰面采用：防火板贴面，防划，防火，结实耐用、登面四角磨出圆角，且经设备一次注塑封边无接头。</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3、凳架采用≥25mm×1.0mm厚优质方管焊接成四腿三撑，钢材厚度采用国标A一级钢管。经过抛丸机打沙处理或酸洗磷化，焊接流畅，无焊渣、焊瘤、穿焊、假焊,经流水线静电高温喷涂，颜色灰白色。</w:t>
            </w:r>
          </w:p>
        </w:tc>
        <w:tc>
          <w:tcPr>
            <w:tcW w:w="620" w:type="dxa"/>
            <w:shd w:val="clear" w:color="auto" w:fill="auto"/>
            <w:vAlign w:val="center"/>
          </w:tcPr>
          <w:p>
            <w:pPr>
              <w:jc w:val="center"/>
              <w:rPr>
                <w:rFonts w:hint="eastAsia" w:ascii="宋体" w:hAnsi="宋体" w:cs="宋体"/>
                <w:color w:val="auto"/>
                <w:sz w:val="24"/>
              </w:rPr>
            </w:pPr>
            <w:r>
              <w:rPr>
                <w:rFonts w:hint="eastAsia"/>
                <w:color w:val="auto"/>
                <w:sz w:val="24"/>
              </w:rPr>
              <w:t>把</w:t>
            </w:r>
          </w:p>
        </w:tc>
        <w:tc>
          <w:tcPr>
            <w:tcW w:w="616" w:type="dxa"/>
            <w:shd w:val="clear" w:color="auto" w:fill="auto"/>
            <w:vAlign w:val="center"/>
          </w:tcPr>
          <w:p>
            <w:pPr>
              <w:jc w:val="center"/>
              <w:rPr>
                <w:rFonts w:hint="eastAsia" w:ascii="宋体" w:hAnsi="宋体" w:cs="宋体"/>
                <w:color w:val="auto"/>
                <w:sz w:val="24"/>
              </w:rPr>
            </w:pPr>
            <w:r>
              <w:rPr>
                <w:rFonts w:hint="eastAsia"/>
                <w:color w:val="auto"/>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563" w:type="dxa"/>
            <w:vMerge w:val="continue"/>
            <w:shd w:val="clear" w:color="auto" w:fill="auto"/>
          </w:tcPr>
          <w:p>
            <w:pPr>
              <w:jc w:val="distribute"/>
              <w:rPr>
                <w:rFonts w:hint="eastAsia" w:ascii="宋体" w:hAnsi="宋体" w:cs="宋体"/>
                <w:color w:val="auto"/>
                <w:sz w:val="24"/>
              </w:rPr>
            </w:pPr>
          </w:p>
        </w:tc>
        <w:tc>
          <w:tcPr>
            <w:tcW w:w="722" w:type="dxa"/>
            <w:shd w:val="clear" w:color="auto" w:fill="auto"/>
            <w:vAlign w:val="center"/>
          </w:tcPr>
          <w:p>
            <w:pPr>
              <w:jc w:val="center"/>
              <w:rPr>
                <w:rFonts w:hint="eastAsia" w:ascii="宋体" w:hAnsi="宋体" w:cs="宋体"/>
                <w:color w:val="auto"/>
                <w:sz w:val="24"/>
              </w:rPr>
            </w:pPr>
            <w:r>
              <w:rPr>
                <w:rFonts w:hint="eastAsia" w:ascii="宋体" w:hAnsi="宋体" w:cs="宋体"/>
                <w:bCs/>
                <w:color w:val="auto"/>
                <w:sz w:val="24"/>
              </w:rPr>
              <w:t>教师桌</w:t>
            </w:r>
          </w:p>
        </w:tc>
        <w:tc>
          <w:tcPr>
            <w:tcW w:w="7518" w:type="dxa"/>
            <w:gridSpan w:val="2"/>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1、桌面采用≥25 mm厚/侧板采用≥18 mm厚刨花板,</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2、所用刨花板必须符合国家标准GB/T 39600-2021环保标准规定的E0级要求。</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3、封边采用与板材颜色一致，厚度≥1.5mmPVC直封边</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4、五金配件结构简单，连接牢固，连接件安装严密，平整，端正，结合处无崩茬或松动，易清洁</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5、规格：长宽高1200×550×750 mm（误差±5mm 以内）。</w:t>
            </w:r>
          </w:p>
          <w:p>
            <w:pPr>
              <w:widowControl/>
              <w:jc w:val="left"/>
              <w:rPr>
                <w:rFonts w:hint="eastAsia" w:ascii="宋体" w:hAnsi="宋体" w:cs="宋体"/>
                <w:color w:val="auto"/>
                <w:kern w:val="0"/>
                <w:sz w:val="24"/>
                <w:lang w:bidi="ar"/>
              </w:rPr>
            </w:pPr>
          </w:p>
        </w:tc>
        <w:tc>
          <w:tcPr>
            <w:tcW w:w="620" w:type="dxa"/>
            <w:shd w:val="clear" w:color="auto" w:fill="auto"/>
            <w:vAlign w:val="center"/>
          </w:tcPr>
          <w:p>
            <w:pPr>
              <w:jc w:val="center"/>
              <w:rPr>
                <w:rFonts w:hint="eastAsia" w:ascii="宋体" w:hAnsi="宋体" w:cs="宋体"/>
                <w:color w:val="auto"/>
                <w:sz w:val="24"/>
              </w:rPr>
            </w:pPr>
            <w:r>
              <w:rPr>
                <w:rFonts w:hint="eastAsia"/>
                <w:color w:val="auto"/>
                <w:sz w:val="24"/>
              </w:rPr>
              <w:t>张</w:t>
            </w:r>
          </w:p>
        </w:tc>
        <w:tc>
          <w:tcPr>
            <w:tcW w:w="616" w:type="dxa"/>
            <w:shd w:val="clear" w:color="auto" w:fill="auto"/>
            <w:vAlign w:val="center"/>
          </w:tcPr>
          <w:p>
            <w:pPr>
              <w:jc w:val="center"/>
              <w:rPr>
                <w:rFonts w:hint="eastAsia" w:ascii="宋体" w:hAnsi="宋体" w:cs="宋体"/>
                <w:color w:val="auto"/>
                <w:sz w:val="24"/>
              </w:rPr>
            </w:pPr>
            <w:r>
              <w:rPr>
                <w:rFonts w:hint="eastAsia"/>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563" w:type="dxa"/>
            <w:vMerge w:val="continue"/>
            <w:shd w:val="clear" w:color="auto" w:fill="auto"/>
          </w:tcPr>
          <w:p>
            <w:pPr>
              <w:jc w:val="distribute"/>
              <w:rPr>
                <w:rFonts w:hint="eastAsia" w:ascii="宋体" w:hAnsi="宋体" w:cs="宋体"/>
                <w:color w:val="auto"/>
                <w:sz w:val="24"/>
              </w:rPr>
            </w:pPr>
          </w:p>
        </w:tc>
        <w:tc>
          <w:tcPr>
            <w:tcW w:w="722" w:type="dxa"/>
            <w:shd w:val="clear" w:color="auto" w:fill="auto"/>
            <w:vAlign w:val="center"/>
          </w:tcPr>
          <w:p>
            <w:pPr>
              <w:jc w:val="center"/>
              <w:rPr>
                <w:rFonts w:hint="eastAsia" w:ascii="宋体" w:hAnsi="宋体" w:cs="宋体"/>
                <w:color w:val="auto"/>
                <w:sz w:val="24"/>
              </w:rPr>
            </w:pPr>
            <w:r>
              <w:rPr>
                <w:rFonts w:hint="eastAsia" w:ascii="宋体" w:hAnsi="宋体" w:cs="宋体"/>
                <w:bCs/>
                <w:color w:val="auto"/>
                <w:sz w:val="24"/>
              </w:rPr>
              <w:t>教师椅</w:t>
            </w:r>
          </w:p>
        </w:tc>
        <w:tc>
          <w:tcPr>
            <w:tcW w:w="7518" w:type="dxa"/>
            <w:gridSpan w:val="2"/>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1、椅面采用高密度裁切海绵,表面有一层保护面,可防氧化,防碎,永不变形；</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2、脚架采用优质镀锌钢管，壁厚不少于2.0mm钢管折弯而成，直径不少于20mm,表面电镀。</w:t>
            </w:r>
          </w:p>
          <w:p>
            <w:pPr>
              <w:widowControl/>
              <w:jc w:val="left"/>
              <w:rPr>
                <w:rFonts w:hint="eastAsia" w:ascii="宋体" w:hAnsi="宋体" w:cs="宋体"/>
                <w:color w:val="auto"/>
                <w:kern w:val="0"/>
                <w:sz w:val="24"/>
                <w:lang w:bidi="ar"/>
              </w:rPr>
            </w:pPr>
          </w:p>
        </w:tc>
        <w:tc>
          <w:tcPr>
            <w:tcW w:w="620" w:type="dxa"/>
            <w:shd w:val="clear" w:color="auto" w:fill="auto"/>
            <w:vAlign w:val="center"/>
          </w:tcPr>
          <w:p>
            <w:pPr>
              <w:jc w:val="center"/>
              <w:rPr>
                <w:rFonts w:hint="eastAsia" w:ascii="宋体" w:hAnsi="宋体" w:cs="宋体"/>
                <w:color w:val="auto"/>
                <w:sz w:val="24"/>
              </w:rPr>
            </w:pPr>
            <w:r>
              <w:rPr>
                <w:rFonts w:hint="eastAsia"/>
                <w:color w:val="auto"/>
                <w:sz w:val="24"/>
              </w:rPr>
              <w:t>把</w:t>
            </w:r>
          </w:p>
        </w:tc>
        <w:tc>
          <w:tcPr>
            <w:tcW w:w="616" w:type="dxa"/>
            <w:shd w:val="clear" w:color="auto" w:fill="auto"/>
            <w:vAlign w:val="center"/>
          </w:tcPr>
          <w:p>
            <w:pPr>
              <w:jc w:val="center"/>
              <w:rPr>
                <w:rFonts w:hint="eastAsia" w:ascii="宋体" w:hAnsi="宋体" w:cs="宋体"/>
                <w:color w:val="auto"/>
                <w:sz w:val="24"/>
              </w:rPr>
            </w:pPr>
            <w:r>
              <w:rPr>
                <w:rFonts w:hint="eastAsia"/>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1" w:hRule="atLeast"/>
        </w:trPr>
        <w:tc>
          <w:tcPr>
            <w:tcW w:w="563" w:type="dxa"/>
            <w:vMerge w:val="continue"/>
            <w:shd w:val="clear" w:color="auto" w:fill="auto"/>
          </w:tcPr>
          <w:p>
            <w:pPr>
              <w:jc w:val="distribute"/>
              <w:rPr>
                <w:rFonts w:hint="eastAsia" w:ascii="宋体" w:hAnsi="宋体" w:cs="宋体"/>
                <w:color w:val="auto"/>
                <w:sz w:val="24"/>
              </w:rPr>
            </w:pPr>
          </w:p>
        </w:tc>
        <w:tc>
          <w:tcPr>
            <w:tcW w:w="722" w:type="dxa"/>
            <w:shd w:val="clear" w:color="auto" w:fill="auto"/>
            <w:vAlign w:val="center"/>
          </w:tcPr>
          <w:p>
            <w:pPr>
              <w:jc w:val="center"/>
              <w:rPr>
                <w:rFonts w:hint="eastAsia" w:ascii="宋体" w:hAnsi="宋体" w:cs="宋体"/>
                <w:color w:val="auto"/>
                <w:sz w:val="24"/>
              </w:rPr>
            </w:pPr>
            <w:r>
              <w:rPr>
                <w:rFonts w:hint="eastAsia"/>
                <w:color w:val="auto"/>
                <w:sz w:val="24"/>
              </w:rPr>
              <w:t>稳压器</w:t>
            </w:r>
          </w:p>
        </w:tc>
        <w:tc>
          <w:tcPr>
            <w:tcW w:w="7518" w:type="dxa"/>
            <w:gridSpan w:val="2"/>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1、容量：≥20KVA</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2、输入电压 ：普通型 160~250V ；超低压 130~250V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3、输出电压(A) ：198V-242V 可设定,出厂初值为 220V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4、稳压精度(b) ：±(2%-5%)可设定，出厂初值为 3%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5、过压保护电压 ：240V-280V 可设定，出厂初值为 242V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6、欠压保护电压 ：100V-200V 可设定，出厂初值为 198V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7、延时时间 ：1s-10s 可设定，出厂初值为 10s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8、保护后的处理方式 ：关机重开</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9、变压器过温保护 ：100℃保护，70℃恢复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10、频 率 ：50—60Hz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11、调整时间 ：&lt;1 秒(输入电压变化 10%时)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12、环境温度 ：-5℃~+40℃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13、温 升 ：小于 60℃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14、相对湿度 ：低于 90%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15、波形失真 ：无附加失真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16、功率因数 ：0.8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17、效 率 ：大于 90%</w:t>
            </w:r>
          </w:p>
        </w:tc>
        <w:tc>
          <w:tcPr>
            <w:tcW w:w="620" w:type="dxa"/>
            <w:shd w:val="clear" w:color="auto" w:fill="auto"/>
            <w:vAlign w:val="center"/>
          </w:tcPr>
          <w:p>
            <w:pPr>
              <w:jc w:val="center"/>
              <w:rPr>
                <w:rFonts w:hint="eastAsia" w:ascii="宋体" w:hAnsi="宋体" w:cs="宋体"/>
                <w:color w:val="auto"/>
                <w:sz w:val="24"/>
              </w:rPr>
            </w:pPr>
            <w:r>
              <w:rPr>
                <w:rFonts w:hint="eastAsia"/>
                <w:color w:val="auto"/>
                <w:sz w:val="24"/>
              </w:rPr>
              <w:t>台</w:t>
            </w:r>
          </w:p>
        </w:tc>
        <w:tc>
          <w:tcPr>
            <w:tcW w:w="616" w:type="dxa"/>
            <w:shd w:val="clear" w:color="auto" w:fill="auto"/>
            <w:vAlign w:val="center"/>
          </w:tcPr>
          <w:p>
            <w:pPr>
              <w:jc w:val="center"/>
              <w:rPr>
                <w:rFonts w:hint="eastAsia" w:ascii="宋体" w:hAnsi="宋体" w:cs="宋体"/>
                <w:color w:val="auto"/>
                <w:sz w:val="24"/>
              </w:rPr>
            </w:pPr>
            <w:r>
              <w:rPr>
                <w:rFonts w:hint="eastAsia"/>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563" w:type="dxa"/>
            <w:vMerge w:val="continue"/>
            <w:shd w:val="clear" w:color="auto" w:fill="auto"/>
          </w:tcPr>
          <w:p>
            <w:pPr>
              <w:jc w:val="distribute"/>
              <w:rPr>
                <w:rFonts w:hint="eastAsia" w:ascii="宋体" w:hAnsi="宋体" w:cs="宋体"/>
                <w:color w:val="auto"/>
                <w:sz w:val="24"/>
              </w:rPr>
            </w:pPr>
          </w:p>
        </w:tc>
        <w:tc>
          <w:tcPr>
            <w:tcW w:w="722" w:type="dxa"/>
            <w:shd w:val="clear" w:color="auto" w:fill="auto"/>
            <w:vAlign w:val="center"/>
          </w:tcPr>
          <w:p>
            <w:pPr>
              <w:jc w:val="center"/>
              <w:rPr>
                <w:color w:val="auto"/>
                <w:sz w:val="24"/>
              </w:rPr>
            </w:pPr>
            <w:r>
              <w:rPr>
                <w:rFonts w:hint="eastAsia" w:ascii="宋体" w:hAnsi="宋体" w:cs="宋体"/>
                <w:color w:val="auto"/>
                <w:sz w:val="24"/>
              </w:rPr>
              <w:t>防静电活动地板</w:t>
            </w:r>
          </w:p>
        </w:tc>
        <w:tc>
          <w:tcPr>
            <w:tcW w:w="7518" w:type="dxa"/>
            <w:gridSpan w:val="2"/>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1.、尺寸：600mm×600mm（误差±0.5mm 以内）</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2、 厚度：35mm（误差±0.3mm 以内 ）</w:t>
            </w:r>
            <w:r>
              <w:rPr>
                <w:rFonts w:ascii="宋体" w:hAnsi="宋体" w:cs="宋体"/>
                <w:color w:val="auto"/>
                <w:kern w:val="0"/>
                <w:sz w:val="24"/>
                <w:lang w:bidi="ar"/>
              </w:rPr>
              <w:t xml:space="preserve">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3、</w:t>
            </w:r>
            <w:r>
              <w:rPr>
                <w:rFonts w:ascii="宋体" w:hAnsi="宋体" w:cs="宋体"/>
                <w:color w:val="auto"/>
                <w:kern w:val="0"/>
                <w:sz w:val="24"/>
                <w:lang w:bidi="ar"/>
              </w:rPr>
              <w:t> </w:t>
            </w:r>
            <w:r>
              <w:rPr>
                <w:rFonts w:hint="eastAsia" w:ascii="宋体" w:hAnsi="宋体" w:cs="宋体"/>
                <w:color w:val="auto"/>
                <w:kern w:val="0"/>
                <w:sz w:val="24"/>
                <w:lang w:bidi="ar"/>
              </w:rPr>
              <w:t>防静电性能：对地电阻需符合国家标准GB/T36340-2018,静电耗散稳定在</w:t>
            </w:r>
            <w:r>
              <w:rPr>
                <w:rFonts w:ascii="宋体" w:hAnsi="宋体" w:cs="宋体"/>
                <w:color w:val="auto"/>
                <w:kern w:val="0"/>
                <w:sz w:val="24"/>
                <w:lang w:bidi="ar"/>
              </w:rPr>
              <w:t xml:space="preserve"> 1.0×10</w:t>
            </w:r>
            <w:r>
              <w:rPr>
                <w:rFonts w:ascii="Cambria Math" w:hAnsi="Cambria Math" w:cs="Cambria Math"/>
                <w:color w:val="auto"/>
                <w:kern w:val="0"/>
                <w:sz w:val="24"/>
                <w:lang w:bidi="ar"/>
              </w:rPr>
              <w:t>⁶</w:t>
            </w:r>
            <w:r>
              <w:rPr>
                <w:rFonts w:hint="eastAsia" w:ascii="宋体" w:hAnsi="宋体" w:cs="宋体"/>
                <w:color w:val="auto"/>
                <w:kern w:val="0"/>
                <w:sz w:val="24"/>
                <w:lang w:bidi="ar"/>
              </w:rPr>
              <w:t>Ω</w:t>
            </w:r>
            <w:r>
              <w:rPr>
                <w:rFonts w:ascii="宋体" w:hAnsi="宋体" w:cs="宋体"/>
                <w:color w:val="auto"/>
                <w:kern w:val="0"/>
                <w:sz w:val="24"/>
                <w:lang w:bidi="ar"/>
              </w:rPr>
              <w:t xml:space="preserve"> - 1.0</w:t>
            </w:r>
            <w:r>
              <w:rPr>
                <w:rFonts w:hint="eastAsia" w:ascii="宋体" w:hAnsi="宋体" w:cs="宋体"/>
                <w:color w:val="auto"/>
                <w:kern w:val="0"/>
                <w:sz w:val="24"/>
                <w:lang w:bidi="ar"/>
              </w:rPr>
              <w:t>×</w:t>
            </w:r>
            <w:r>
              <w:rPr>
                <w:rFonts w:ascii="宋体" w:hAnsi="宋体" w:cs="宋体"/>
                <w:color w:val="auto"/>
                <w:kern w:val="0"/>
                <w:sz w:val="24"/>
                <w:lang w:bidi="ar"/>
              </w:rPr>
              <w:t>10</w:t>
            </w:r>
            <w:r>
              <w:rPr>
                <w:rFonts w:ascii="Cambria Math" w:hAnsi="Cambria Math" w:cs="Cambria Math"/>
                <w:color w:val="auto"/>
                <w:kern w:val="0"/>
                <w:sz w:val="24"/>
                <w:lang w:bidi="ar"/>
              </w:rPr>
              <w:t>⁹</w:t>
            </w:r>
            <w:r>
              <w:rPr>
                <w:rFonts w:hint="eastAsia" w:ascii="宋体" w:hAnsi="宋体" w:cs="宋体"/>
                <w:color w:val="auto"/>
                <w:kern w:val="0"/>
                <w:sz w:val="24"/>
                <w:lang w:bidi="ar"/>
              </w:rPr>
              <w:t>Ω之间，确保有效导除静电，防止静电对设备和人员造成危害。</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4.、承载能力：均布载荷、集中荷载、极限集中荷载须符合国家标准GB/T36340-2018，满足一般设备及人员活动的承载要求并能够承受机房内较重设备的局部压力。</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5.、防火性能：达到 A 级不燃标准，在火灾发生时有效阻止火势蔓延，为人员疏散和灭火救援争取时间。</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6.、耐磨性能：耐磨性达到 0.1g/1000 转及以上 ，表面耐磨层厚度≥0.8mm，确保长期使用过程中不易磨损，维持良好的外观和性能。</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7.、表面平面度：≤0.60mm ，保证地板表面平整，便于设备放置和人员行走，减少因地面不平整带来的安全隐患。</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8、 相邻边垂直度：≤0.30mm ，确保地板拼接紧密，铺设后整体效果美观，且不影响地板的正常使用。</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9、材质要求：全钢组成,四角独立支撑结构，地板底面选用ST14深冲板厚度≥0.5mm,，面板选用冷轧钢板厚度≥0.6mm， 通过高温脱脂、磷化、清洗、高温静电环氧树脂喷涂处理，内填充发泡水泥。表面可粘贴 HPL 防静电贴面或 PVC 防静电贴面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10、配件要求：支架高度可调节，调节范围为 150 - 200mm ，以适应不同的地面高度和布线需求；采用优质钢材制作，表面经过镀锌或静电喷塑处理，具有良好的防锈性能；单个支架的承载能力≥500kg 。横梁与支架配套使用，采用优质钢材制作，厚度不低于1.2mm ，表面经过防锈处理；横梁与支架之间的连接牢固可靠，确保整个地板系统的稳定性。 螺丝、螺母等连接件采用高强度不锈钢材质，保证连接的牢固性和耐久性 。</w:t>
            </w:r>
          </w:p>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11、外观要求：地板表面色泽均匀，无明显色差、斑点、划痕和断裂等缺陷 。地板边缘整齐，无毛刺、变形等现象，拼接处紧密无缝隙 。支架、横梁等配件表面光洁，无锈迹、油污等杂质 。</w:t>
            </w:r>
          </w:p>
          <w:p>
            <w:pPr>
              <w:widowControl/>
              <w:jc w:val="left"/>
              <w:rPr>
                <w:rFonts w:hint="eastAsia" w:ascii="宋体" w:hAnsi="宋体" w:cs="宋体"/>
                <w:color w:val="auto"/>
                <w:kern w:val="0"/>
                <w:sz w:val="24"/>
                <w:lang w:bidi="ar"/>
              </w:rPr>
            </w:pPr>
            <w:r>
              <w:rPr>
                <w:rFonts w:ascii="宋体" w:hAnsi="宋体" w:cs="宋体"/>
                <w:color w:val="auto"/>
                <w:kern w:val="0"/>
                <w:sz w:val="24"/>
                <w:lang w:bidi="ar"/>
              </w:rPr>
              <w:t xml:space="preserve"> </w:t>
            </w:r>
          </w:p>
        </w:tc>
        <w:tc>
          <w:tcPr>
            <w:tcW w:w="620" w:type="dxa"/>
            <w:shd w:val="clear" w:color="auto" w:fill="auto"/>
            <w:vAlign w:val="center"/>
          </w:tcPr>
          <w:p>
            <w:pPr>
              <w:jc w:val="center"/>
              <w:rPr>
                <w:color w:val="auto"/>
                <w:sz w:val="24"/>
              </w:rPr>
            </w:pPr>
            <w:r>
              <w:rPr>
                <w:rFonts w:hint="eastAsia" w:ascii="宋体" w:hAnsi="宋体" w:cs="宋体"/>
                <w:color w:val="auto"/>
                <w:sz w:val="24"/>
              </w:rPr>
              <w:t>平方米</w:t>
            </w:r>
          </w:p>
        </w:tc>
        <w:tc>
          <w:tcPr>
            <w:tcW w:w="616" w:type="dxa"/>
            <w:shd w:val="clear" w:color="auto" w:fill="auto"/>
            <w:vAlign w:val="center"/>
          </w:tcPr>
          <w:p>
            <w:pPr>
              <w:jc w:val="center"/>
              <w:rPr>
                <w:rFonts w:eastAsia="等线"/>
                <w:color w:val="auto"/>
                <w:sz w:val="24"/>
              </w:rPr>
            </w:pPr>
            <w:r>
              <w:rPr>
                <w:rFonts w:hint="eastAsia" w:eastAsia="等线"/>
                <w:color w:val="auto"/>
                <w:sz w:val="24"/>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563" w:type="dxa"/>
            <w:vMerge w:val="continue"/>
            <w:shd w:val="clear" w:color="auto" w:fill="auto"/>
          </w:tcPr>
          <w:p>
            <w:pPr>
              <w:jc w:val="distribute"/>
              <w:rPr>
                <w:rFonts w:hint="eastAsia" w:ascii="宋体" w:hAnsi="宋体" w:cs="宋体"/>
                <w:color w:val="auto"/>
                <w:sz w:val="24"/>
              </w:rPr>
            </w:pPr>
          </w:p>
        </w:tc>
        <w:tc>
          <w:tcPr>
            <w:tcW w:w="722" w:type="dxa"/>
            <w:shd w:val="clear" w:color="auto" w:fill="auto"/>
            <w:vAlign w:val="center"/>
          </w:tcPr>
          <w:p>
            <w:pPr>
              <w:jc w:val="center"/>
              <w:rPr>
                <w:rFonts w:hint="eastAsia" w:ascii="宋体" w:hAnsi="宋体" w:cs="宋体"/>
                <w:color w:val="auto"/>
                <w:sz w:val="24"/>
              </w:rPr>
            </w:pPr>
            <w:r>
              <w:rPr>
                <w:rFonts w:hint="eastAsia"/>
                <w:color w:val="auto"/>
                <w:sz w:val="24"/>
              </w:rPr>
              <w:t>综合布线</w:t>
            </w:r>
          </w:p>
        </w:tc>
        <w:tc>
          <w:tcPr>
            <w:tcW w:w="7518" w:type="dxa"/>
            <w:gridSpan w:val="2"/>
            <w:shd w:val="clear" w:color="auto" w:fill="auto"/>
            <w:vAlign w:val="center"/>
          </w:tcPr>
          <w:p>
            <w:pPr>
              <w:widowControl/>
              <w:jc w:val="left"/>
              <w:rPr>
                <w:rFonts w:hint="eastAsia" w:ascii="宋体" w:hAnsi="宋体" w:cs="宋体"/>
                <w:color w:val="auto"/>
                <w:kern w:val="0"/>
                <w:sz w:val="24"/>
                <w:lang w:bidi="ar"/>
              </w:rPr>
            </w:pPr>
            <w:r>
              <w:rPr>
                <w:rFonts w:hint="eastAsia" w:ascii="宋体" w:hAnsi="宋体" w:cs="宋体"/>
                <w:color w:val="auto"/>
                <w:kern w:val="0"/>
                <w:sz w:val="24"/>
                <w:lang w:bidi="ar"/>
              </w:rPr>
              <w:t>提供全部超五类国标网线、3芯4mm/6mm国标铜线、插排、PVC线槽、线管、钢线槽、机柜、工程辅材等</w:t>
            </w:r>
          </w:p>
        </w:tc>
        <w:tc>
          <w:tcPr>
            <w:tcW w:w="620" w:type="dxa"/>
            <w:shd w:val="clear" w:color="auto" w:fill="auto"/>
            <w:vAlign w:val="center"/>
          </w:tcPr>
          <w:p>
            <w:pPr>
              <w:jc w:val="center"/>
              <w:rPr>
                <w:rFonts w:hint="eastAsia" w:ascii="宋体" w:hAnsi="宋体" w:cs="宋体"/>
                <w:color w:val="auto"/>
                <w:sz w:val="24"/>
              </w:rPr>
            </w:pPr>
            <w:r>
              <w:rPr>
                <w:rFonts w:hint="eastAsia"/>
                <w:color w:val="auto"/>
                <w:sz w:val="24"/>
              </w:rPr>
              <w:t>批</w:t>
            </w:r>
          </w:p>
        </w:tc>
        <w:tc>
          <w:tcPr>
            <w:tcW w:w="616" w:type="dxa"/>
            <w:shd w:val="clear" w:color="auto" w:fill="auto"/>
            <w:vAlign w:val="center"/>
          </w:tcPr>
          <w:p>
            <w:pPr>
              <w:jc w:val="center"/>
              <w:rPr>
                <w:rFonts w:hint="eastAsia" w:ascii="宋体" w:hAnsi="宋体" w:cs="宋体"/>
                <w:color w:val="auto"/>
                <w:sz w:val="24"/>
              </w:rPr>
            </w:pPr>
            <w:r>
              <w:rPr>
                <w:rFonts w:hint="eastAsia"/>
                <w:color w:val="auto"/>
                <w:sz w:val="24"/>
              </w:rPr>
              <w:t>3</w:t>
            </w:r>
          </w:p>
        </w:tc>
      </w:tr>
      <w:bookmarkEnd w:id="30"/>
    </w:tbl>
    <w:p>
      <w:pPr>
        <w:spacing w:line="400" w:lineRule="exact"/>
        <w:jc w:val="left"/>
        <w:rPr>
          <w:rFonts w:hint="eastAsia" w:ascii="宋体" w:hAnsi="宋体" w:cs="宋体"/>
          <w:b/>
          <w:bCs/>
          <w:color w:val="auto"/>
          <w:kern w:val="0"/>
          <w:sz w:val="24"/>
        </w:rPr>
      </w:pPr>
      <w:r>
        <w:rPr>
          <w:rFonts w:hint="eastAsia" w:ascii="宋体" w:hAnsi="宋体" w:cs="宋体"/>
          <w:b/>
          <w:bCs/>
          <w:color w:val="auto"/>
          <w:kern w:val="0"/>
          <w:sz w:val="24"/>
        </w:rPr>
        <w:t>注：</w:t>
      </w:r>
    </w:p>
    <w:p>
      <w:pPr>
        <w:wordWrap w:val="0"/>
        <w:spacing w:line="360" w:lineRule="auto"/>
        <w:jc w:val="left"/>
        <w:rPr>
          <w:rFonts w:hint="eastAsia" w:ascii="宋体" w:hAnsi="宋体" w:cs="宋体"/>
          <w:b/>
          <w:bCs/>
          <w:color w:val="auto"/>
          <w:szCs w:val="21"/>
        </w:rPr>
      </w:pPr>
      <w:r>
        <w:rPr>
          <w:rFonts w:hint="eastAsia" w:ascii="宋体" w:hAnsi="宋体" w:cs="宋体"/>
          <w:b/>
          <w:bCs/>
          <w:color w:val="auto"/>
          <w:szCs w:val="21"/>
        </w:rPr>
        <w:t>1、以上参数为最低参数，投标人可提供优于上述参数的产品。</w:t>
      </w:r>
    </w:p>
    <w:p>
      <w:pPr>
        <w:wordWrap w:val="0"/>
        <w:spacing w:line="360" w:lineRule="auto"/>
        <w:jc w:val="left"/>
        <w:rPr>
          <w:rFonts w:hint="eastAsia" w:ascii="宋体" w:hAnsi="宋体" w:cs="宋体"/>
          <w:b/>
          <w:bCs/>
          <w:color w:val="auto"/>
          <w:szCs w:val="21"/>
        </w:rPr>
      </w:pPr>
      <w:r>
        <w:rPr>
          <w:rFonts w:hint="eastAsia" w:ascii="宋体" w:hAnsi="宋体" w:cs="宋体"/>
          <w:b/>
          <w:bCs/>
          <w:color w:val="auto"/>
          <w:szCs w:val="21"/>
        </w:rPr>
        <w:t>2、投标人提供的货物必须是原装全新、符合招标文件规定技术参数、具有生产厂家质量合格证明的设备或产品。</w:t>
      </w:r>
    </w:p>
    <w:p>
      <w:pPr>
        <w:wordWrap w:val="0"/>
        <w:spacing w:line="360" w:lineRule="auto"/>
        <w:jc w:val="left"/>
        <w:rPr>
          <w:rFonts w:hint="eastAsia" w:ascii="宋体" w:hAnsi="宋体" w:cs="宋体"/>
          <w:b/>
          <w:bCs/>
          <w:color w:val="auto"/>
          <w:sz w:val="24"/>
        </w:rPr>
      </w:pPr>
      <w:r>
        <w:rPr>
          <w:rFonts w:hint="eastAsia" w:ascii="宋体" w:hAnsi="宋体" w:cs="宋体"/>
          <w:b/>
          <w:bCs/>
          <w:color w:val="auto"/>
          <w:szCs w:val="21"/>
        </w:rPr>
        <w:t>3、核心产品：A包72柜机，B包台式计算机。提供相同品牌核心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w:t>
      </w:r>
      <w:r>
        <w:rPr>
          <w:rFonts w:hint="eastAsia" w:ascii="宋体" w:hAnsi="宋体" w:cs="宋体"/>
          <w:b/>
          <w:bCs/>
          <w:color w:val="auto"/>
          <w:kern w:val="0"/>
          <w:szCs w:val="21"/>
        </w:rPr>
        <w:t>供应商</w:t>
      </w:r>
      <w:r>
        <w:rPr>
          <w:rFonts w:hint="eastAsia" w:ascii="宋体" w:hAnsi="宋体" w:cs="宋体"/>
          <w:b/>
          <w:bCs/>
          <w:color w:val="auto"/>
          <w:szCs w:val="21"/>
        </w:rPr>
        <w:t>获得中标人推荐资格，招标文件未规定的采取随机抽取方式确定，其他同品牌</w:t>
      </w:r>
      <w:r>
        <w:rPr>
          <w:rFonts w:hint="eastAsia" w:ascii="宋体" w:hAnsi="宋体" w:cs="宋体"/>
          <w:b/>
          <w:bCs/>
          <w:color w:val="auto"/>
          <w:kern w:val="0"/>
          <w:szCs w:val="21"/>
        </w:rPr>
        <w:t>供应商</w:t>
      </w:r>
      <w:r>
        <w:rPr>
          <w:rFonts w:hint="eastAsia" w:ascii="宋体" w:hAnsi="宋体" w:cs="宋体"/>
          <w:b/>
          <w:bCs/>
          <w:color w:val="auto"/>
          <w:szCs w:val="21"/>
        </w:rPr>
        <w:t>不作为中标候选人。</w:t>
      </w:r>
    </w:p>
    <w:p>
      <w:pPr>
        <w:wordWrap w:val="0"/>
        <w:spacing w:line="420" w:lineRule="exact"/>
        <w:outlineLvl w:val="1"/>
        <w:rPr>
          <w:rFonts w:hint="eastAsia" w:ascii="宋体" w:hAnsi="宋体" w:cs="宋体"/>
          <w:b/>
          <w:bCs/>
          <w:color w:val="auto"/>
          <w:sz w:val="24"/>
        </w:rPr>
      </w:pPr>
      <w:r>
        <w:rPr>
          <w:rFonts w:hint="eastAsia" w:ascii="宋体" w:hAnsi="宋体" w:cs="宋体"/>
          <w:b/>
          <w:bCs/>
          <w:color w:val="auto"/>
          <w:sz w:val="24"/>
        </w:rPr>
        <w:t>二、商务要求</w:t>
      </w:r>
    </w:p>
    <w:tbl>
      <w:tblPr>
        <w:tblStyle w:val="47"/>
        <w:tblW w:w="9054"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8"/>
        <w:gridCol w:w="6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228" w:type="dxa"/>
            <w:vAlign w:val="center"/>
          </w:tcPr>
          <w:p>
            <w:pPr>
              <w:spacing w:line="400" w:lineRule="exact"/>
              <w:jc w:val="center"/>
              <w:rPr>
                <w:rFonts w:hint="eastAsia" w:ascii="宋体" w:hAnsi="宋体" w:cs="宋体"/>
                <w:color w:val="auto"/>
                <w:kern w:val="0"/>
                <w:sz w:val="24"/>
              </w:rPr>
            </w:pPr>
            <w:r>
              <w:rPr>
                <w:rFonts w:ascii="宋体" w:hAnsi="宋体" w:cs="宋体"/>
                <w:color w:val="auto"/>
                <w:sz w:val="24"/>
              </w:rPr>
              <w:t>质保期</w:t>
            </w:r>
          </w:p>
        </w:tc>
        <w:tc>
          <w:tcPr>
            <w:tcW w:w="6826" w:type="dxa"/>
            <w:vAlign w:val="center"/>
          </w:tcPr>
          <w:p>
            <w:pPr>
              <w:spacing w:line="400" w:lineRule="exact"/>
              <w:jc w:val="left"/>
              <w:rPr>
                <w:rFonts w:hint="eastAsia" w:ascii="宋体" w:hAnsi="宋体" w:cs="宋体"/>
                <w:color w:val="auto"/>
                <w:kern w:val="0"/>
                <w:sz w:val="24"/>
              </w:rPr>
            </w:pPr>
            <w:r>
              <w:rPr>
                <w:rFonts w:hint="eastAsia" w:ascii="宋体" w:hAnsi="宋体" w:cs="宋体"/>
                <w:color w:val="auto"/>
                <w:kern w:val="0"/>
                <w:sz w:val="24"/>
              </w:rPr>
              <w:t>空调质保期5年，其它产品质保期1年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2228" w:type="dxa"/>
            <w:vAlign w:val="center"/>
          </w:tcPr>
          <w:p>
            <w:pPr>
              <w:spacing w:line="400" w:lineRule="exact"/>
              <w:jc w:val="center"/>
              <w:rPr>
                <w:rFonts w:hint="eastAsia" w:ascii="宋体" w:hAnsi="宋体" w:cs="宋体"/>
                <w:color w:val="auto"/>
                <w:kern w:val="0"/>
                <w:sz w:val="24"/>
              </w:rPr>
            </w:pPr>
            <w:r>
              <w:rPr>
                <w:rFonts w:hint="eastAsia" w:ascii="宋体" w:hAnsi="宋体" w:cs="宋体"/>
                <w:color w:val="auto"/>
                <w:kern w:val="0"/>
                <w:sz w:val="24"/>
              </w:rPr>
              <w:t>合同期限</w:t>
            </w:r>
          </w:p>
        </w:tc>
        <w:tc>
          <w:tcPr>
            <w:tcW w:w="6826" w:type="dxa"/>
            <w:vAlign w:val="center"/>
          </w:tcPr>
          <w:p>
            <w:pPr>
              <w:spacing w:line="400" w:lineRule="exact"/>
              <w:jc w:val="left"/>
              <w:rPr>
                <w:rFonts w:hint="eastAsia" w:ascii="宋体" w:hAnsi="宋体" w:cs="宋体"/>
                <w:color w:val="auto"/>
                <w:kern w:val="0"/>
                <w:sz w:val="24"/>
              </w:rPr>
            </w:pPr>
            <w:r>
              <w:rPr>
                <w:rFonts w:hint="eastAsia" w:ascii="宋体" w:hAnsi="宋体" w:cs="宋体"/>
                <w:color w:val="auto"/>
                <w:kern w:val="0"/>
                <w:sz w:val="24"/>
              </w:rPr>
              <w:t>合同签订后15日历天。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2228" w:type="dxa"/>
            <w:vAlign w:val="center"/>
          </w:tcPr>
          <w:p>
            <w:pPr>
              <w:spacing w:line="400" w:lineRule="exact"/>
              <w:jc w:val="center"/>
              <w:rPr>
                <w:rFonts w:hint="eastAsia" w:ascii="宋体" w:hAnsi="宋体" w:eastAsia="等线" w:cs="宋体"/>
                <w:color w:val="auto"/>
                <w:kern w:val="0"/>
                <w:sz w:val="24"/>
              </w:rPr>
            </w:pPr>
            <w:r>
              <w:rPr>
                <w:rFonts w:hint="eastAsia" w:ascii="宋体" w:hAnsi="宋体"/>
                <w:bCs/>
                <w:color w:val="auto"/>
                <w:sz w:val="24"/>
              </w:rPr>
              <w:t>合同签订时间、交货时间</w:t>
            </w:r>
          </w:p>
        </w:tc>
        <w:tc>
          <w:tcPr>
            <w:tcW w:w="6826" w:type="dxa"/>
            <w:vAlign w:val="center"/>
          </w:tcPr>
          <w:p>
            <w:pPr>
              <w:spacing w:line="400" w:lineRule="exact"/>
              <w:jc w:val="left"/>
              <w:rPr>
                <w:rFonts w:hint="eastAsia" w:ascii="宋体" w:hAnsi="宋体" w:cs="宋体"/>
                <w:color w:val="auto"/>
                <w:kern w:val="0"/>
                <w:sz w:val="24"/>
              </w:rPr>
            </w:pPr>
            <w:r>
              <w:rPr>
                <w:rFonts w:hint="eastAsia" w:ascii="宋体" w:hAnsi="宋体"/>
                <w:bCs/>
                <w:color w:val="auto"/>
                <w:sz w:val="24"/>
              </w:rPr>
              <w:t>合同签订时间</w:t>
            </w:r>
            <w:r>
              <w:rPr>
                <w:rFonts w:hint="eastAsia" w:ascii="宋体" w:hAnsi="宋体" w:cs="宋体"/>
                <w:bCs/>
                <w:color w:val="auto"/>
                <w:sz w:val="24"/>
              </w:rPr>
              <w:t>：</w:t>
            </w:r>
            <w:r>
              <w:rPr>
                <w:rFonts w:hint="eastAsia" w:ascii="宋体" w:hAnsi="宋体" w:cs="宋体"/>
                <w:color w:val="auto"/>
                <w:kern w:val="0"/>
                <w:sz w:val="24"/>
              </w:rPr>
              <w:t>中标通知书发出之日起2个工作日内。</w:t>
            </w:r>
          </w:p>
          <w:p>
            <w:pPr>
              <w:spacing w:line="400" w:lineRule="exact"/>
              <w:jc w:val="left"/>
              <w:rPr>
                <w:rFonts w:hint="eastAsia" w:ascii="宋体" w:hAnsi="宋体" w:cs="宋体"/>
                <w:color w:val="auto"/>
                <w:kern w:val="0"/>
                <w:sz w:val="24"/>
              </w:rPr>
            </w:pPr>
            <w:r>
              <w:rPr>
                <w:rFonts w:hint="eastAsia" w:ascii="宋体" w:hAnsi="宋体"/>
                <w:bCs/>
                <w:color w:val="auto"/>
                <w:sz w:val="24"/>
              </w:rPr>
              <w:t>交货时间</w:t>
            </w:r>
            <w:r>
              <w:rPr>
                <w:rFonts w:hint="eastAsia" w:ascii="宋体" w:hAnsi="宋体" w:cs="宋体"/>
                <w:bCs/>
                <w:color w:val="auto"/>
                <w:sz w:val="24"/>
              </w:rPr>
              <w:t>：</w:t>
            </w:r>
            <w:r>
              <w:rPr>
                <w:rFonts w:hint="eastAsia" w:ascii="宋体" w:hAnsi="宋体" w:cs="宋体"/>
                <w:color w:val="auto"/>
                <w:kern w:val="0"/>
                <w:sz w:val="24"/>
              </w:rPr>
              <w:t>合同签订后15日历天。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2228" w:type="dxa"/>
            <w:vAlign w:val="center"/>
          </w:tcPr>
          <w:p>
            <w:pPr>
              <w:spacing w:line="400" w:lineRule="exact"/>
              <w:jc w:val="center"/>
              <w:rPr>
                <w:rFonts w:hint="eastAsia" w:ascii="宋体" w:hAnsi="宋体" w:cs="宋体"/>
                <w:color w:val="auto"/>
                <w:kern w:val="0"/>
                <w:sz w:val="24"/>
              </w:rPr>
            </w:pPr>
            <w:r>
              <w:rPr>
                <w:rFonts w:hint="eastAsia" w:ascii="宋体" w:hAnsi="宋体" w:cs="宋体"/>
                <w:color w:val="auto"/>
                <w:kern w:val="0"/>
                <w:sz w:val="24"/>
              </w:rPr>
              <w:t>交货地点</w:t>
            </w:r>
          </w:p>
        </w:tc>
        <w:tc>
          <w:tcPr>
            <w:tcW w:w="6826" w:type="dxa"/>
            <w:vAlign w:val="center"/>
          </w:tcPr>
          <w:p>
            <w:pPr>
              <w:spacing w:line="400" w:lineRule="exact"/>
              <w:rPr>
                <w:rFonts w:hint="eastAsia" w:ascii="宋体" w:hAnsi="宋体" w:cs="宋体"/>
                <w:color w:val="auto"/>
                <w:kern w:val="0"/>
                <w:sz w:val="24"/>
              </w:rPr>
            </w:pPr>
            <w:r>
              <w:rPr>
                <w:rFonts w:hint="eastAsia"/>
                <w:color w:val="auto"/>
                <w:sz w:val="24"/>
              </w:rPr>
              <w:t>采购人指定位置。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228" w:type="dxa"/>
            <w:vAlign w:val="center"/>
          </w:tcPr>
          <w:p>
            <w:pPr>
              <w:spacing w:line="400" w:lineRule="exact"/>
              <w:jc w:val="center"/>
              <w:rPr>
                <w:color w:val="auto"/>
                <w:sz w:val="24"/>
              </w:rPr>
            </w:pPr>
            <w:r>
              <w:rPr>
                <w:rFonts w:hint="eastAsia"/>
                <w:color w:val="auto"/>
                <w:sz w:val="24"/>
              </w:rPr>
              <w:t>付款方式</w:t>
            </w:r>
          </w:p>
        </w:tc>
        <w:tc>
          <w:tcPr>
            <w:tcW w:w="6826" w:type="dxa"/>
            <w:vAlign w:val="center"/>
          </w:tcPr>
          <w:p>
            <w:pPr>
              <w:spacing w:line="400" w:lineRule="exact"/>
              <w:rPr>
                <w:color w:val="auto"/>
                <w:sz w:val="24"/>
              </w:rPr>
            </w:pPr>
            <w:r>
              <w:rPr>
                <w:rFonts w:hint="eastAsia"/>
                <w:color w:val="auto"/>
                <w:sz w:val="24"/>
              </w:rPr>
              <w:t>验收合格后一次性付清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28" w:type="dxa"/>
            <w:vAlign w:val="center"/>
          </w:tcPr>
          <w:p>
            <w:pPr>
              <w:widowControl/>
              <w:snapToGrid w:val="0"/>
              <w:spacing w:before="156" w:after="156" w:line="400" w:lineRule="exact"/>
              <w:jc w:val="center"/>
              <w:outlineLvl w:val="0"/>
              <w:rPr>
                <w:rFonts w:hint="eastAsia" w:ascii="宋体" w:hAnsi="宋体" w:cs="宋体"/>
                <w:color w:val="auto"/>
                <w:kern w:val="0"/>
                <w:sz w:val="24"/>
              </w:rPr>
            </w:pPr>
            <w:r>
              <w:rPr>
                <w:rFonts w:ascii="宋体" w:hAnsi="宋体" w:cs="宋体"/>
                <w:color w:val="auto"/>
                <w:kern w:val="0"/>
                <w:sz w:val="24"/>
              </w:rPr>
              <w:t>质量标准</w:t>
            </w:r>
          </w:p>
        </w:tc>
        <w:tc>
          <w:tcPr>
            <w:tcW w:w="6826" w:type="dxa"/>
          </w:tcPr>
          <w:p>
            <w:pPr>
              <w:widowControl/>
              <w:snapToGrid w:val="0"/>
              <w:spacing w:before="156" w:after="156" w:line="400" w:lineRule="exact"/>
              <w:jc w:val="left"/>
              <w:outlineLvl w:val="0"/>
              <w:rPr>
                <w:rFonts w:hint="eastAsia" w:ascii="宋体" w:hAnsi="宋体" w:cs="宋体"/>
                <w:color w:val="auto"/>
                <w:kern w:val="0"/>
                <w:sz w:val="24"/>
              </w:rPr>
            </w:pPr>
            <w:r>
              <w:rPr>
                <w:rFonts w:hint="eastAsia" w:ascii="宋体" w:hAnsi="宋体" w:cs="宋体"/>
                <w:bCs/>
                <w:color w:val="auto"/>
                <w:kern w:val="0"/>
                <w:sz w:val="24"/>
              </w:rPr>
              <w:t>符合国家、行业质量标准要求，并满足招标人的相关要求。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2228" w:type="dxa"/>
            <w:vAlign w:val="center"/>
          </w:tcPr>
          <w:p>
            <w:pPr>
              <w:jc w:val="center"/>
              <w:rPr>
                <w:rFonts w:hint="eastAsia" w:ascii="宋体" w:hAnsi="宋体" w:cs="宋体"/>
                <w:color w:val="auto"/>
                <w:kern w:val="0"/>
                <w:sz w:val="24"/>
              </w:rPr>
            </w:pPr>
            <w:r>
              <w:rPr>
                <w:rFonts w:hint="eastAsia"/>
                <w:color w:val="auto"/>
                <w:sz w:val="24"/>
              </w:rPr>
              <w:t>售后服务保障要求</w:t>
            </w:r>
          </w:p>
        </w:tc>
        <w:tc>
          <w:tcPr>
            <w:tcW w:w="6826" w:type="dxa"/>
            <w:vAlign w:val="center"/>
          </w:tcPr>
          <w:p>
            <w:pPr>
              <w:snapToGrid w:val="0"/>
              <w:rPr>
                <w:rFonts w:hint="eastAsia" w:ascii="宋体" w:hAnsi="宋体" w:cs="宋体"/>
                <w:bCs/>
                <w:color w:val="auto"/>
                <w:kern w:val="0"/>
                <w:sz w:val="24"/>
              </w:rPr>
            </w:pPr>
            <w:r>
              <w:rPr>
                <w:rFonts w:hint="eastAsia" w:ascii="宋体" w:hAnsi="宋体"/>
                <w:color w:val="auto"/>
                <w:sz w:val="24"/>
              </w:rPr>
              <w:t>1、中标人提供12小时电话响应，若电话或远程技术支持不能解决问题，投标人人员12小时内到达招标人指定现场。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28" w:type="dxa"/>
            <w:vAlign w:val="center"/>
          </w:tcPr>
          <w:p>
            <w:pPr>
              <w:widowControl/>
              <w:snapToGrid w:val="0"/>
              <w:spacing w:before="156" w:after="156" w:line="400" w:lineRule="exact"/>
              <w:jc w:val="center"/>
              <w:outlineLvl w:val="0"/>
              <w:rPr>
                <w:rFonts w:hint="eastAsia" w:ascii="宋体" w:hAnsi="宋体" w:cs="宋体"/>
                <w:color w:val="auto"/>
                <w:kern w:val="0"/>
                <w:sz w:val="24"/>
              </w:rPr>
            </w:pPr>
            <w:r>
              <w:rPr>
                <w:rFonts w:ascii="宋体" w:hAnsi="宋体" w:cs="宋体"/>
                <w:color w:val="auto"/>
                <w:kern w:val="0"/>
                <w:sz w:val="24"/>
              </w:rPr>
              <w:t>验收条件及标准</w:t>
            </w:r>
          </w:p>
        </w:tc>
        <w:tc>
          <w:tcPr>
            <w:tcW w:w="6826" w:type="dxa"/>
          </w:tcPr>
          <w:p>
            <w:pPr>
              <w:widowControl/>
              <w:snapToGrid w:val="0"/>
              <w:spacing w:before="156" w:after="156" w:line="400" w:lineRule="exact"/>
              <w:jc w:val="left"/>
              <w:outlineLvl w:val="0"/>
              <w:rPr>
                <w:rFonts w:hint="eastAsia" w:ascii="宋体" w:hAnsi="宋体" w:cs="宋体"/>
                <w:color w:val="auto"/>
                <w:kern w:val="0"/>
                <w:sz w:val="24"/>
              </w:rPr>
            </w:pPr>
            <w:r>
              <w:rPr>
                <w:rFonts w:hint="eastAsia" w:ascii="宋体" w:hAnsi="宋体"/>
                <w:color w:val="auto"/>
                <w:sz w:val="24"/>
              </w:rPr>
              <w:t>供货完成后，由校方组织人员对投标人提供货物是否符合采购要求进行审查，不符合招标人要求的，不予接收。验收合格后由招标人代表签字确认。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28" w:type="dxa"/>
            <w:vAlign w:val="center"/>
          </w:tcPr>
          <w:p>
            <w:pPr>
              <w:widowControl/>
              <w:snapToGrid w:val="0"/>
              <w:spacing w:before="156" w:after="156" w:line="400" w:lineRule="exact"/>
              <w:jc w:val="center"/>
              <w:outlineLvl w:val="0"/>
              <w:rPr>
                <w:rFonts w:hint="eastAsia" w:ascii="宋体" w:hAnsi="宋体" w:cs="宋体"/>
                <w:color w:val="auto"/>
                <w:kern w:val="0"/>
                <w:sz w:val="24"/>
              </w:rPr>
            </w:pPr>
            <w:r>
              <w:rPr>
                <w:rFonts w:ascii="宋体" w:hAnsi="宋体" w:cs="宋体"/>
                <w:color w:val="auto"/>
                <w:kern w:val="0"/>
                <w:sz w:val="24"/>
              </w:rPr>
              <w:t>验收方法及方案</w:t>
            </w:r>
          </w:p>
        </w:tc>
        <w:tc>
          <w:tcPr>
            <w:tcW w:w="6826" w:type="dxa"/>
          </w:tcPr>
          <w:p>
            <w:pPr>
              <w:widowControl/>
              <w:snapToGrid w:val="0"/>
              <w:spacing w:before="156" w:after="156" w:line="400" w:lineRule="exact"/>
              <w:jc w:val="left"/>
              <w:outlineLvl w:val="0"/>
              <w:rPr>
                <w:rFonts w:hint="eastAsia" w:ascii="宋体" w:hAnsi="宋体" w:cs="宋体"/>
                <w:color w:val="auto"/>
                <w:kern w:val="0"/>
                <w:sz w:val="24"/>
              </w:rPr>
            </w:pPr>
            <w:r>
              <w:rPr>
                <w:rFonts w:hint="eastAsia" w:ascii="宋体" w:hAnsi="宋体"/>
                <w:color w:val="auto"/>
                <w:kern w:val="0"/>
                <w:sz w:val="24"/>
              </w:rPr>
              <w:t>由招标人组织验收。</w:t>
            </w:r>
          </w:p>
        </w:tc>
      </w:tr>
    </w:tbl>
    <w:p>
      <w:pPr>
        <w:wordWrap w:val="0"/>
        <w:spacing w:line="420" w:lineRule="exact"/>
        <w:outlineLvl w:val="1"/>
        <w:rPr>
          <w:rFonts w:hint="eastAsia" w:ascii="宋体" w:hAnsi="宋体" w:cs="宋体"/>
          <w:b/>
          <w:bCs/>
          <w:color w:val="auto"/>
          <w:sz w:val="24"/>
        </w:rPr>
      </w:pPr>
      <w:r>
        <w:rPr>
          <w:rFonts w:hint="eastAsia" w:ascii="宋体" w:hAnsi="宋体" w:cs="宋体"/>
          <w:b/>
          <w:bCs/>
          <w:color w:val="auto"/>
          <w:sz w:val="24"/>
        </w:rPr>
        <w:t>三、招标人对项目的特殊要求及说明</w:t>
      </w:r>
    </w:p>
    <w:tbl>
      <w:tblPr>
        <w:tblStyle w:val="47"/>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78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hint="eastAsia" w:ascii="宋体" w:hAnsi="宋体" w:eastAsia="仿宋_GB2312" w:cs="宋体"/>
                <w:color w:val="auto"/>
                <w:kern w:val="0"/>
                <w:sz w:val="24"/>
              </w:rPr>
            </w:pPr>
            <w:r>
              <w:rPr>
                <w:rFonts w:hint="eastAsia" w:ascii="宋体" w:hAnsi="宋体" w:cs="宋体"/>
                <w:color w:val="auto"/>
                <w:kern w:val="0"/>
                <w:sz w:val="24"/>
              </w:rPr>
              <w:t>招标人的特殊要求及说明理由</w:t>
            </w:r>
          </w:p>
        </w:tc>
        <w:tc>
          <w:tcPr>
            <w:tcW w:w="7812" w:type="dxa"/>
            <w:tcBorders>
              <w:top w:val="single" w:color="auto" w:sz="4" w:space="0"/>
              <w:left w:val="single" w:color="auto" w:sz="4" w:space="0"/>
              <w:bottom w:val="single" w:color="auto" w:sz="4" w:space="0"/>
              <w:right w:val="single" w:color="auto" w:sz="4" w:space="0"/>
            </w:tcBorders>
          </w:tcPr>
          <w:p>
            <w:pPr>
              <w:widowControl/>
              <w:snapToGrid w:val="0"/>
              <w:spacing w:line="400" w:lineRule="exact"/>
              <w:jc w:val="left"/>
              <w:rPr>
                <w:rFonts w:hint="eastAsia" w:ascii="宋体" w:hAnsi="宋体" w:cs="宋体"/>
                <w:color w:val="auto"/>
                <w:kern w:val="0"/>
                <w:sz w:val="24"/>
              </w:rPr>
            </w:pPr>
            <w:r>
              <w:rPr>
                <w:rFonts w:hint="eastAsia"/>
                <w:color w:val="auto"/>
                <w:sz w:val="24"/>
              </w:rPr>
              <w:t>1、</w:t>
            </w:r>
            <w:r>
              <w:rPr>
                <w:rFonts w:hint="eastAsia" w:ascii="宋体" w:hAnsi="宋体" w:cs="宋体"/>
                <w:color w:val="auto"/>
                <w:kern w:val="0"/>
                <w:sz w:val="24"/>
              </w:rPr>
              <w:t>投标人特殊资格等要求：无。</w:t>
            </w:r>
          </w:p>
          <w:p>
            <w:pPr>
              <w:widowControl/>
              <w:snapToGrid w:val="0"/>
              <w:spacing w:line="400" w:lineRule="exact"/>
              <w:jc w:val="left"/>
              <w:rPr>
                <w:rFonts w:hint="eastAsia" w:ascii="宋体" w:hAnsi="宋体" w:cs="宋体"/>
                <w:color w:val="auto"/>
                <w:kern w:val="0"/>
                <w:sz w:val="24"/>
              </w:rPr>
            </w:pPr>
            <w:r>
              <w:rPr>
                <w:rFonts w:hint="eastAsia" w:ascii="宋体" w:hAnsi="宋体" w:cs="宋体"/>
                <w:color w:val="auto"/>
                <w:kern w:val="0"/>
                <w:sz w:val="24"/>
              </w:rPr>
              <w:t>2、是否收取履约保证金：否。</w:t>
            </w:r>
          </w:p>
          <w:p>
            <w:pPr>
              <w:widowControl/>
              <w:snapToGrid w:val="0"/>
              <w:spacing w:line="400" w:lineRule="exact"/>
              <w:jc w:val="left"/>
              <w:rPr>
                <w:rFonts w:hint="eastAsia" w:ascii="宋体" w:hAnsi="宋体" w:cs="宋体"/>
                <w:color w:val="auto"/>
                <w:kern w:val="0"/>
                <w:sz w:val="24"/>
              </w:rPr>
            </w:pPr>
            <w:r>
              <w:rPr>
                <w:rFonts w:hint="eastAsia" w:ascii="宋体" w:hAnsi="宋体" w:cs="宋体"/>
                <w:color w:val="auto"/>
                <w:kern w:val="0"/>
                <w:sz w:val="24"/>
              </w:rPr>
              <w:t>3、是否接受联合体投标：否。</w:t>
            </w:r>
          </w:p>
          <w:p>
            <w:pPr>
              <w:pStyle w:val="11"/>
              <w:ind w:firstLine="0" w:firstLineChars="0"/>
              <w:rPr>
                <w:rFonts w:hint="eastAsia" w:eastAsia="宋体"/>
                <w:color w:val="auto"/>
                <w:sz w:val="24"/>
                <w:lang w:val="en-US" w:eastAsia="zh-CN"/>
              </w:rPr>
            </w:pPr>
            <w:r>
              <w:rPr>
                <w:rFonts w:hint="eastAsia" w:ascii="宋体" w:hAnsi="宋体"/>
                <w:color w:val="auto"/>
                <w:kern w:val="0"/>
                <w:sz w:val="24"/>
              </w:rPr>
              <w:t>4、采购标的对应的中小企业划分标准所属行业为：</w:t>
            </w:r>
            <w:r>
              <w:rPr>
                <w:rFonts w:hint="eastAsia" w:ascii="宋体" w:hAnsi="宋体"/>
                <w:color w:val="auto"/>
                <w:kern w:val="0"/>
                <w:sz w:val="24"/>
                <w:u w:val="single"/>
                <w:lang w:val="en-US" w:eastAsia="zh-CN"/>
              </w:rPr>
              <w:t>工业</w:t>
            </w:r>
          </w:p>
        </w:tc>
      </w:tr>
    </w:tbl>
    <w:p>
      <w:pPr>
        <w:widowControl/>
        <w:wordWrap w:val="0"/>
        <w:snapToGrid w:val="0"/>
        <w:spacing w:line="440" w:lineRule="exact"/>
        <w:ind w:firstLine="2891" w:firstLineChars="900"/>
        <w:outlineLvl w:val="0"/>
        <w:rPr>
          <w:rFonts w:hint="eastAsia" w:ascii="宋体" w:hAnsi="宋体" w:cs="宋体"/>
          <w:b/>
          <w:color w:val="auto"/>
          <w:kern w:val="0"/>
          <w:sz w:val="32"/>
          <w:szCs w:val="32"/>
        </w:rPr>
      </w:pPr>
      <w:r>
        <w:rPr>
          <w:rFonts w:hint="eastAsia" w:ascii="宋体" w:hAnsi="宋体" w:cs="宋体"/>
          <w:b/>
          <w:color w:val="auto"/>
          <w:kern w:val="0"/>
          <w:sz w:val="32"/>
          <w:szCs w:val="32"/>
        </w:rPr>
        <w:br w:type="page"/>
      </w:r>
      <w:r>
        <w:rPr>
          <w:rFonts w:hint="eastAsia" w:ascii="宋体" w:hAnsi="宋体" w:cs="宋体"/>
          <w:b/>
          <w:color w:val="auto"/>
          <w:kern w:val="0"/>
          <w:sz w:val="32"/>
          <w:szCs w:val="32"/>
        </w:rPr>
        <w:t>第三章 投标人须知</w:t>
      </w:r>
    </w:p>
    <w:p>
      <w:pPr>
        <w:wordWrap w:val="0"/>
        <w:spacing w:line="440" w:lineRule="exact"/>
        <w:jc w:val="center"/>
        <w:rPr>
          <w:rFonts w:hint="eastAsia" w:ascii="宋体" w:hAnsi="宋体" w:cs="宋体"/>
          <w:b/>
          <w:color w:val="auto"/>
          <w:sz w:val="24"/>
        </w:rPr>
      </w:pPr>
      <w:r>
        <w:rPr>
          <w:rFonts w:hint="eastAsia" w:ascii="宋体" w:hAnsi="宋体" w:cs="宋体"/>
          <w:b/>
          <w:color w:val="auto"/>
          <w:sz w:val="24"/>
        </w:rPr>
        <w:t>投标人须知前附表</w:t>
      </w:r>
    </w:p>
    <w:tbl>
      <w:tblPr>
        <w:tblStyle w:val="47"/>
        <w:tblW w:w="10005" w:type="dxa"/>
        <w:tblInd w:w="-74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93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2" w:hRule="atLeast"/>
        </w:trPr>
        <w:tc>
          <w:tcPr>
            <w:tcW w:w="705" w:type="dxa"/>
            <w:tcBorders>
              <w:top w:val="single" w:color="auto" w:sz="4" w:space="0"/>
              <w:left w:val="single" w:color="auto" w:sz="4" w:space="0"/>
              <w:bottom w:val="single" w:color="auto" w:sz="4" w:space="0"/>
              <w:right w:val="single" w:color="auto" w:sz="4" w:space="0"/>
            </w:tcBorders>
            <w:vAlign w:val="center"/>
          </w:tcPr>
          <w:p>
            <w:pPr>
              <w:wordWrap w:val="0"/>
              <w:spacing w:line="430" w:lineRule="exact"/>
              <w:rPr>
                <w:rFonts w:hint="eastAsia" w:ascii="宋体" w:hAnsi="宋体" w:cs="宋体"/>
                <w:color w:val="auto"/>
                <w:sz w:val="24"/>
              </w:rPr>
            </w:pPr>
            <w:r>
              <w:rPr>
                <w:rFonts w:hint="eastAsia" w:ascii="宋体" w:hAnsi="宋体" w:cs="宋体"/>
                <w:color w:val="auto"/>
                <w:sz w:val="24"/>
              </w:rPr>
              <w:t>序号</w:t>
            </w:r>
          </w:p>
        </w:tc>
        <w:tc>
          <w:tcPr>
            <w:tcW w:w="9300" w:type="dxa"/>
            <w:tcBorders>
              <w:top w:val="single" w:color="auto" w:sz="4" w:space="0"/>
              <w:left w:val="single" w:color="auto" w:sz="4" w:space="0"/>
              <w:bottom w:val="single" w:color="auto" w:sz="4" w:space="0"/>
              <w:right w:val="single" w:color="auto" w:sz="4" w:space="0"/>
            </w:tcBorders>
            <w:vAlign w:val="center"/>
          </w:tcPr>
          <w:p>
            <w:pPr>
              <w:wordWrap w:val="0"/>
              <w:spacing w:line="430" w:lineRule="exact"/>
              <w:jc w:val="center"/>
              <w:rPr>
                <w:rFonts w:hint="eastAsia" w:ascii="宋体" w:hAnsi="宋体" w:cs="宋体"/>
                <w:color w:val="auto"/>
                <w:sz w:val="24"/>
              </w:rPr>
            </w:pPr>
            <w:r>
              <w:rPr>
                <w:rFonts w:hint="eastAsia" w:ascii="宋体" w:hAnsi="宋体" w:cs="宋体"/>
                <w:color w:val="auto"/>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7"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wordWrap w:val="0"/>
              <w:snapToGrid w:val="0"/>
              <w:spacing w:line="430" w:lineRule="exact"/>
              <w:contextualSpacing/>
              <w:jc w:val="center"/>
              <w:rPr>
                <w:rFonts w:hint="eastAsia" w:ascii="宋体" w:hAnsi="宋体" w:cs="宋体"/>
                <w:color w:val="auto"/>
                <w:kern w:val="0"/>
                <w:sz w:val="24"/>
              </w:rPr>
            </w:pPr>
            <w:r>
              <w:rPr>
                <w:rFonts w:hint="eastAsia" w:ascii="宋体" w:hAnsi="宋体" w:cs="宋体"/>
                <w:color w:val="auto"/>
                <w:kern w:val="0"/>
                <w:sz w:val="24"/>
              </w:rPr>
              <w:t>1</w:t>
            </w:r>
          </w:p>
        </w:tc>
        <w:tc>
          <w:tcPr>
            <w:tcW w:w="9300" w:type="dxa"/>
            <w:tcBorders>
              <w:top w:val="single" w:color="auto" w:sz="4" w:space="0"/>
              <w:left w:val="single" w:color="auto" w:sz="4" w:space="0"/>
              <w:bottom w:val="single" w:color="auto" w:sz="4" w:space="0"/>
              <w:right w:val="single" w:color="auto" w:sz="4" w:space="0"/>
            </w:tcBorders>
            <w:vAlign w:val="center"/>
          </w:tcPr>
          <w:p>
            <w:pPr>
              <w:widowControl/>
              <w:wordWrap w:val="0"/>
              <w:spacing w:line="430" w:lineRule="exact"/>
              <w:ind w:left="1680" w:hanging="1680" w:hangingChars="700"/>
              <w:contextualSpacing/>
              <w:jc w:val="left"/>
              <w:rPr>
                <w:rFonts w:hint="eastAsia" w:ascii="宋体" w:hAnsi="宋体" w:cs="宋体"/>
                <w:color w:val="auto"/>
                <w:kern w:val="0"/>
                <w:sz w:val="24"/>
              </w:rPr>
            </w:pPr>
            <w:r>
              <w:rPr>
                <w:rFonts w:hint="eastAsia" w:ascii="宋体" w:hAnsi="宋体" w:cs="宋体"/>
                <w:color w:val="auto"/>
                <w:kern w:val="0"/>
                <w:sz w:val="24"/>
              </w:rPr>
              <w:t xml:space="preserve">1.1项目名称：确山县第二高级中学分校采购教育教学设备项目 </w:t>
            </w:r>
          </w:p>
          <w:p>
            <w:pPr>
              <w:widowControl/>
              <w:wordWrap w:val="0"/>
              <w:spacing w:line="430" w:lineRule="exact"/>
              <w:contextualSpacing/>
              <w:jc w:val="left"/>
              <w:rPr>
                <w:rFonts w:cs="宋体"/>
                <w:color w:val="auto"/>
              </w:rPr>
            </w:pPr>
            <w:r>
              <w:rPr>
                <w:rFonts w:hint="eastAsia" w:ascii="宋体" w:hAnsi="宋体" w:cs="宋体"/>
                <w:color w:val="auto"/>
                <w:kern w:val="0"/>
                <w:sz w:val="24"/>
              </w:rPr>
              <w:t xml:space="preserve">1.2 招标人名称：确山县第二高级中学 </w:t>
            </w:r>
            <w:r>
              <w:rPr>
                <w:rFonts w:cs="宋体"/>
                <w:color w:val="auto"/>
              </w:rPr>
              <w:t xml:space="preserve">  </w:t>
            </w:r>
          </w:p>
          <w:p>
            <w:pPr>
              <w:wordWrap w:val="0"/>
              <w:spacing w:line="430" w:lineRule="exact"/>
              <w:rPr>
                <w:rFonts w:hint="eastAsia" w:ascii="宋体" w:hAnsi="宋体" w:cs="宋体"/>
                <w:b/>
                <w:color w:val="auto"/>
                <w:kern w:val="0"/>
                <w:sz w:val="24"/>
              </w:rPr>
            </w:pPr>
            <w:r>
              <w:rPr>
                <w:rFonts w:hint="eastAsia" w:ascii="宋体" w:hAnsi="宋体" w:cs="宋体"/>
                <w:color w:val="auto"/>
                <w:kern w:val="0"/>
                <w:sz w:val="24"/>
              </w:rPr>
              <w:t>1.3 项目编号：确政采招-2025-03-9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wordWrap w:val="0"/>
              <w:snapToGrid w:val="0"/>
              <w:spacing w:line="430" w:lineRule="exact"/>
              <w:contextualSpacing/>
              <w:jc w:val="center"/>
              <w:rPr>
                <w:rFonts w:hint="eastAsia" w:ascii="宋体" w:hAnsi="宋体" w:cs="宋体"/>
                <w:color w:val="auto"/>
                <w:kern w:val="0"/>
                <w:sz w:val="24"/>
              </w:rPr>
            </w:pPr>
            <w:r>
              <w:rPr>
                <w:rFonts w:hint="eastAsia" w:ascii="宋体" w:hAnsi="宋体" w:cs="宋体"/>
                <w:color w:val="auto"/>
                <w:kern w:val="0"/>
                <w:sz w:val="24"/>
              </w:rPr>
              <w:t>2</w:t>
            </w:r>
          </w:p>
        </w:tc>
        <w:tc>
          <w:tcPr>
            <w:tcW w:w="9300" w:type="dxa"/>
            <w:tcBorders>
              <w:top w:val="single" w:color="auto" w:sz="4" w:space="0"/>
              <w:left w:val="single" w:color="auto" w:sz="4" w:space="0"/>
              <w:bottom w:val="single" w:color="auto" w:sz="4" w:space="0"/>
              <w:right w:val="single" w:color="auto" w:sz="4" w:space="0"/>
            </w:tcBorders>
            <w:vAlign w:val="center"/>
          </w:tcPr>
          <w:p>
            <w:pPr>
              <w:wordWrap w:val="0"/>
              <w:spacing w:line="430" w:lineRule="exact"/>
              <w:rPr>
                <w:rFonts w:hint="eastAsia" w:ascii="宋体" w:hAnsi="宋体" w:cs="宋体"/>
                <w:color w:val="auto"/>
                <w:sz w:val="24"/>
              </w:rPr>
            </w:pPr>
            <w:r>
              <w:rPr>
                <w:rFonts w:hint="eastAsia" w:ascii="宋体" w:hAnsi="宋体" w:cs="宋体"/>
                <w:b/>
                <w:color w:val="auto"/>
                <w:sz w:val="24"/>
              </w:rPr>
              <w:t>合格投标人：</w:t>
            </w:r>
            <w:r>
              <w:rPr>
                <w:rFonts w:hint="eastAsia" w:ascii="宋体" w:hAnsi="宋体" w:cs="宋体"/>
                <w:color w:val="auto"/>
                <w:sz w:val="24"/>
              </w:rPr>
              <w:t>具备招标公告第二项规定的条件。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65"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wordWrap w:val="0"/>
              <w:snapToGrid w:val="0"/>
              <w:spacing w:line="430" w:lineRule="exact"/>
              <w:contextualSpacing/>
              <w:jc w:val="center"/>
              <w:rPr>
                <w:rFonts w:hint="eastAsia" w:ascii="宋体" w:hAnsi="宋体" w:cs="宋体"/>
                <w:color w:val="auto"/>
                <w:kern w:val="0"/>
                <w:sz w:val="24"/>
              </w:rPr>
            </w:pPr>
            <w:r>
              <w:rPr>
                <w:rFonts w:hint="eastAsia" w:ascii="宋体" w:hAnsi="宋体" w:cs="宋体"/>
                <w:color w:val="auto"/>
                <w:kern w:val="0"/>
                <w:sz w:val="24"/>
              </w:rPr>
              <w:t>3</w:t>
            </w:r>
          </w:p>
        </w:tc>
        <w:tc>
          <w:tcPr>
            <w:tcW w:w="9300" w:type="dxa"/>
            <w:tcBorders>
              <w:top w:val="single" w:color="auto" w:sz="4" w:space="0"/>
              <w:left w:val="single" w:color="auto" w:sz="4" w:space="0"/>
              <w:bottom w:val="single" w:color="auto" w:sz="4" w:space="0"/>
              <w:right w:val="single" w:color="auto" w:sz="4" w:space="0"/>
            </w:tcBorders>
            <w:vAlign w:val="center"/>
          </w:tcPr>
          <w:p>
            <w:pPr>
              <w:wordWrap w:val="0"/>
              <w:spacing w:line="430" w:lineRule="exact"/>
              <w:rPr>
                <w:rFonts w:hint="eastAsia" w:ascii="宋体" w:hAnsi="宋体" w:cs="宋体"/>
                <w:b/>
                <w:color w:val="auto"/>
                <w:sz w:val="24"/>
              </w:rPr>
            </w:pPr>
            <w:r>
              <w:rPr>
                <w:rFonts w:hint="eastAsia" w:ascii="宋体" w:hAnsi="宋体" w:cs="宋体"/>
                <w:b/>
                <w:color w:val="auto"/>
                <w:sz w:val="24"/>
              </w:rPr>
              <w:t>投标报价及费用：</w:t>
            </w:r>
          </w:p>
          <w:p>
            <w:pPr>
              <w:wordWrap w:val="0"/>
              <w:spacing w:line="430" w:lineRule="exact"/>
              <w:rPr>
                <w:rFonts w:hint="eastAsia" w:ascii="宋体" w:hAnsi="宋体" w:cs="宋体"/>
                <w:color w:val="auto"/>
                <w:sz w:val="24"/>
              </w:rPr>
            </w:pPr>
            <w:r>
              <w:rPr>
                <w:rFonts w:hint="eastAsia" w:ascii="宋体" w:hAnsi="宋体" w:cs="宋体"/>
                <w:color w:val="auto"/>
                <w:sz w:val="24"/>
              </w:rPr>
              <w:t>3.1 本项目投标以人民币进行报价。</w:t>
            </w:r>
          </w:p>
          <w:p>
            <w:pPr>
              <w:wordWrap w:val="0"/>
              <w:spacing w:line="430" w:lineRule="exact"/>
              <w:rPr>
                <w:rFonts w:hint="eastAsia" w:ascii="宋体" w:hAnsi="宋体" w:cs="宋体"/>
                <w:color w:val="auto"/>
                <w:sz w:val="24"/>
              </w:rPr>
            </w:pPr>
            <w:r>
              <w:rPr>
                <w:rFonts w:hint="eastAsia" w:ascii="宋体" w:hAnsi="宋体" w:cs="宋体"/>
                <w:color w:val="auto"/>
                <w:sz w:val="24"/>
              </w:rPr>
              <w:t>3.2 投标人的报价均超过采购预算或最高限价，招标人不能支付的，按废标处理。</w:t>
            </w:r>
          </w:p>
          <w:p>
            <w:pPr>
              <w:wordWrap w:val="0"/>
              <w:spacing w:line="430" w:lineRule="exact"/>
              <w:rPr>
                <w:color w:val="auto"/>
              </w:rPr>
            </w:pPr>
            <w:r>
              <w:rPr>
                <w:rFonts w:ascii="宋体" w:hAnsi="宋体" w:cs="宋体"/>
                <w:color w:val="auto"/>
                <w:sz w:val="24"/>
              </w:rPr>
              <w:t>3.3 代理服务费：本项目不收取。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7"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wordWrap w:val="0"/>
              <w:snapToGrid w:val="0"/>
              <w:spacing w:line="430" w:lineRule="exact"/>
              <w:contextualSpacing/>
              <w:jc w:val="center"/>
              <w:rPr>
                <w:rFonts w:hint="eastAsia" w:ascii="宋体" w:hAnsi="宋体" w:cs="宋体"/>
                <w:color w:val="auto"/>
                <w:kern w:val="0"/>
                <w:sz w:val="24"/>
              </w:rPr>
            </w:pPr>
            <w:r>
              <w:rPr>
                <w:rFonts w:hint="eastAsia" w:ascii="宋体" w:hAnsi="宋体" w:cs="宋体"/>
                <w:color w:val="auto"/>
                <w:kern w:val="0"/>
                <w:sz w:val="24"/>
              </w:rPr>
              <w:t>4</w:t>
            </w:r>
          </w:p>
        </w:tc>
        <w:tc>
          <w:tcPr>
            <w:tcW w:w="9300" w:type="dxa"/>
            <w:tcBorders>
              <w:top w:val="single" w:color="auto" w:sz="4" w:space="0"/>
              <w:left w:val="single" w:color="auto" w:sz="4" w:space="0"/>
              <w:bottom w:val="single" w:color="auto" w:sz="4" w:space="0"/>
              <w:right w:val="single" w:color="auto" w:sz="4" w:space="0"/>
            </w:tcBorders>
            <w:vAlign w:val="center"/>
          </w:tcPr>
          <w:p>
            <w:pPr>
              <w:wordWrap w:val="0"/>
              <w:spacing w:line="430" w:lineRule="exact"/>
              <w:rPr>
                <w:rFonts w:hint="eastAsia" w:ascii="宋体" w:hAnsi="宋体" w:cs="宋体"/>
                <w:b/>
                <w:color w:val="auto"/>
                <w:sz w:val="24"/>
              </w:rPr>
            </w:pPr>
            <w:r>
              <w:rPr>
                <w:rFonts w:hint="eastAsia" w:ascii="宋体" w:hAnsi="宋体" w:cs="宋体"/>
                <w:b/>
                <w:color w:val="auto"/>
                <w:sz w:val="24"/>
              </w:rPr>
              <w:t>现场踏勘或标前答疑：</w:t>
            </w:r>
            <w:r>
              <w:rPr>
                <w:rFonts w:hint="eastAsia" w:ascii="宋体" w:hAnsi="宋体" w:cs="宋体"/>
                <w:color w:val="auto"/>
                <w:sz w:val="24"/>
              </w:rPr>
              <w:t>本项目不组织现场踏勘或标前答疑会。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wordWrap w:val="0"/>
              <w:snapToGrid w:val="0"/>
              <w:spacing w:line="430" w:lineRule="exact"/>
              <w:contextualSpacing/>
              <w:jc w:val="center"/>
              <w:rPr>
                <w:rFonts w:hint="eastAsia" w:ascii="宋体" w:hAnsi="宋体" w:cs="宋体"/>
                <w:color w:val="auto"/>
                <w:kern w:val="0"/>
                <w:sz w:val="24"/>
              </w:rPr>
            </w:pPr>
            <w:r>
              <w:rPr>
                <w:rFonts w:hint="eastAsia" w:ascii="宋体" w:hAnsi="宋体" w:cs="宋体"/>
                <w:color w:val="auto"/>
                <w:kern w:val="0"/>
                <w:sz w:val="24"/>
              </w:rPr>
              <w:t>5</w:t>
            </w:r>
          </w:p>
        </w:tc>
        <w:tc>
          <w:tcPr>
            <w:tcW w:w="9300" w:type="dxa"/>
            <w:tcBorders>
              <w:top w:val="single" w:color="auto" w:sz="4" w:space="0"/>
              <w:left w:val="single" w:color="auto" w:sz="4" w:space="0"/>
              <w:bottom w:val="single" w:color="auto" w:sz="4" w:space="0"/>
              <w:right w:val="single" w:color="auto" w:sz="4" w:space="0"/>
            </w:tcBorders>
            <w:vAlign w:val="center"/>
          </w:tcPr>
          <w:p>
            <w:pPr>
              <w:widowControl/>
              <w:wordWrap w:val="0"/>
              <w:spacing w:line="430" w:lineRule="exact"/>
              <w:contextualSpacing/>
              <w:jc w:val="left"/>
              <w:rPr>
                <w:rFonts w:hint="eastAsia" w:ascii="宋体" w:hAnsi="宋体" w:cs="宋体"/>
                <w:b/>
                <w:color w:val="auto"/>
                <w:sz w:val="24"/>
              </w:rPr>
            </w:pPr>
            <w:r>
              <w:rPr>
                <w:rFonts w:hint="eastAsia" w:ascii="宋体" w:hAnsi="宋体" w:cs="宋体"/>
                <w:color w:val="auto"/>
                <w:sz w:val="24"/>
              </w:rPr>
              <w:t>投标文件组成：加密版电子投标文件，应在投标文件提交截止时间前上传至驻马店市公共资源交易平台。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1"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wordWrap w:val="0"/>
              <w:snapToGrid w:val="0"/>
              <w:spacing w:line="430" w:lineRule="exact"/>
              <w:contextualSpacing/>
              <w:jc w:val="center"/>
              <w:rPr>
                <w:rFonts w:hint="eastAsia" w:ascii="宋体" w:hAnsi="宋体" w:cs="宋体"/>
                <w:color w:val="auto"/>
                <w:kern w:val="0"/>
                <w:sz w:val="24"/>
              </w:rPr>
            </w:pPr>
            <w:r>
              <w:rPr>
                <w:rFonts w:hint="eastAsia" w:ascii="宋体" w:hAnsi="宋体" w:cs="宋体"/>
                <w:color w:val="auto"/>
                <w:kern w:val="0"/>
                <w:sz w:val="24"/>
              </w:rPr>
              <w:t>6</w:t>
            </w:r>
          </w:p>
        </w:tc>
        <w:tc>
          <w:tcPr>
            <w:tcW w:w="9300" w:type="dxa"/>
            <w:tcBorders>
              <w:top w:val="single" w:color="auto" w:sz="4" w:space="0"/>
              <w:left w:val="single" w:color="auto" w:sz="4" w:space="0"/>
              <w:bottom w:val="single" w:color="auto" w:sz="4" w:space="0"/>
              <w:right w:val="single" w:color="auto" w:sz="4" w:space="0"/>
            </w:tcBorders>
            <w:vAlign w:val="center"/>
          </w:tcPr>
          <w:p>
            <w:pPr>
              <w:wordWrap w:val="0"/>
              <w:spacing w:line="430" w:lineRule="exact"/>
              <w:rPr>
                <w:rFonts w:hint="eastAsia" w:ascii="宋体" w:hAnsi="宋体" w:cs="宋体"/>
                <w:b/>
                <w:color w:val="auto"/>
                <w:sz w:val="24"/>
              </w:rPr>
            </w:pPr>
            <w:r>
              <w:rPr>
                <w:rFonts w:hint="eastAsia" w:ascii="宋体" w:hAnsi="宋体" w:cs="宋体"/>
                <w:b/>
                <w:color w:val="auto"/>
                <w:sz w:val="24"/>
              </w:rPr>
              <w:t>投标截止时间及地点：</w:t>
            </w:r>
            <w:r>
              <w:rPr>
                <w:rFonts w:hint="eastAsia" w:ascii="宋体" w:hAnsi="宋体" w:cs="宋体"/>
                <w:color w:val="auto"/>
                <w:sz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1"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wordWrap w:val="0"/>
              <w:snapToGrid w:val="0"/>
              <w:spacing w:line="430" w:lineRule="exact"/>
              <w:contextualSpacing/>
              <w:jc w:val="center"/>
              <w:rPr>
                <w:rFonts w:hint="eastAsia" w:ascii="宋体" w:hAnsi="宋体" w:cs="宋体"/>
                <w:color w:val="auto"/>
                <w:kern w:val="0"/>
                <w:sz w:val="24"/>
              </w:rPr>
            </w:pPr>
            <w:r>
              <w:rPr>
                <w:rFonts w:hint="eastAsia" w:ascii="宋体" w:hAnsi="宋体" w:cs="宋体"/>
                <w:color w:val="auto"/>
                <w:kern w:val="0"/>
                <w:sz w:val="24"/>
              </w:rPr>
              <w:t>7</w:t>
            </w:r>
          </w:p>
        </w:tc>
        <w:tc>
          <w:tcPr>
            <w:tcW w:w="9300" w:type="dxa"/>
            <w:tcBorders>
              <w:top w:val="single" w:color="auto" w:sz="4" w:space="0"/>
              <w:left w:val="single" w:color="auto" w:sz="4" w:space="0"/>
              <w:bottom w:val="single" w:color="auto" w:sz="4" w:space="0"/>
              <w:right w:val="single" w:color="auto" w:sz="4" w:space="0"/>
            </w:tcBorders>
            <w:vAlign w:val="center"/>
          </w:tcPr>
          <w:p>
            <w:pPr>
              <w:wordWrap w:val="0"/>
              <w:spacing w:line="430" w:lineRule="exact"/>
              <w:rPr>
                <w:rFonts w:hint="eastAsia" w:ascii="宋体" w:hAnsi="宋体" w:cs="宋体"/>
                <w:b/>
                <w:color w:val="auto"/>
                <w:sz w:val="24"/>
              </w:rPr>
            </w:pPr>
            <w:r>
              <w:rPr>
                <w:rFonts w:hint="eastAsia" w:ascii="宋体" w:hAnsi="宋体" w:cs="宋体"/>
                <w:b/>
                <w:color w:val="auto"/>
                <w:sz w:val="24"/>
              </w:rPr>
              <w:t>开标时间及地点：</w:t>
            </w:r>
            <w:r>
              <w:rPr>
                <w:rFonts w:hint="eastAsia" w:ascii="宋体" w:hAnsi="宋体" w:cs="宋体"/>
                <w:color w:val="auto"/>
                <w:sz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wordWrap w:val="0"/>
              <w:snapToGrid w:val="0"/>
              <w:spacing w:line="430" w:lineRule="exact"/>
              <w:contextualSpacing/>
              <w:jc w:val="center"/>
              <w:rPr>
                <w:rFonts w:hint="eastAsia" w:ascii="宋体" w:hAnsi="宋体" w:cs="宋体"/>
                <w:color w:val="auto"/>
                <w:kern w:val="0"/>
                <w:sz w:val="24"/>
              </w:rPr>
            </w:pPr>
            <w:r>
              <w:rPr>
                <w:rFonts w:hint="eastAsia" w:ascii="宋体" w:hAnsi="宋体" w:cs="宋体"/>
                <w:color w:val="auto"/>
                <w:kern w:val="0"/>
                <w:sz w:val="24"/>
              </w:rPr>
              <w:t>8</w:t>
            </w:r>
          </w:p>
        </w:tc>
        <w:tc>
          <w:tcPr>
            <w:tcW w:w="9300" w:type="dxa"/>
            <w:tcBorders>
              <w:top w:val="single" w:color="auto" w:sz="4" w:space="0"/>
              <w:left w:val="single" w:color="auto" w:sz="4" w:space="0"/>
              <w:bottom w:val="single" w:color="auto" w:sz="4" w:space="0"/>
              <w:right w:val="single" w:color="auto" w:sz="4" w:space="0"/>
            </w:tcBorders>
            <w:vAlign w:val="center"/>
          </w:tcPr>
          <w:p>
            <w:pPr>
              <w:wordWrap w:val="0"/>
              <w:spacing w:line="430" w:lineRule="exact"/>
              <w:rPr>
                <w:rFonts w:hint="eastAsia" w:ascii="宋体" w:hAnsi="宋体" w:cs="宋体"/>
                <w:b/>
                <w:color w:val="auto"/>
                <w:kern w:val="0"/>
                <w:sz w:val="24"/>
              </w:rPr>
            </w:pPr>
            <w:r>
              <w:rPr>
                <w:rFonts w:hint="eastAsia" w:ascii="宋体" w:hAnsi="宋体" w:cs="宋体"/>
                <w:b/>
                <w:color w:val="auto"/>
                <w:sz w:val="24"/>
              </w:rPr>
              <w:t>评标办法:</w:t>
            </w:r>
            <w:r>
              <w:rPr>
                <w:rFonts w:hint="eastAsia" w:ascii="宋体" w:hAnsi="宋体" w:cs="宋体"/>
                <w:color w:val="auto"/>
                <w:kern w:val="0"/>
                <w:sz w:val="24"/>
              </w:rPr>
              <w:t>本项目采用综合评分法。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6"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wordWrap w:val="0"/>
              <w:snapToGrid w:val="0"/>
              <w:spacing w:line="430" w:lineRule="exact"/>
              <w:contextualSpacing/>
              <w:jc w:val="center"/>
              <w:rPr>
                <w:rFonts w:hint="eastAsia" w:ascii="宋体" w:hAnsi="宋体" w:cs="宋体"/>
                <w:color w:val="auto"/>
                <w:kern w:val="0"/>
                <w:sz w:val="24"/>
              </w:rPr>
            </w:pPr>
            <w:r>
              <w:rPr>
                <w:rFonts w:hint="eastAsia" w:ascii="宋体" w:hAnsi="宋体" w:cs="宋体"/>
                <w:color w:val="auto"/>
                <w:kern w:val="0"/>
                <w:sz w:val="24"/>
              </w:rPr>
              <w:t>9</w:t>
            </w:r>
          </w:p>
        </w:tc>
        <w:tc>
          <w:tcPr>
            <w:tcW w:w="9300" w:type="dxa"/>
            <w:tcBorders>
              <w:top w:val="single" w:color="auto" w:sz="4" w:space="0"/>
              <w:left w:val="single" w:color="auto" w:sz="4" w:space="0"/>
              <w:bottom w:val="single" w:color="auto" w:sz="4" w:space="0"/>
              <w:right w:val="single" w:color="auto" w:sz="4" w:space="0"/>
            </w:tcBorders>
            <w:vAlign w:val="center"/>
          </w:tcPr>
          <w:p>
            <w:pPr>
              <w:wordWrap w:val="0"/>
              <w:spacing w:line="430" w:lineRule="exact"/>
              <w:rPr>
                <w:rFonts w:hint="eastAsia" w:ascii="宋体" w:hAnsi="宋体" w:cs="宋体"/>
                <w:b/>
                <w:color w:val="auto"/>
                <w:sz w:val="24"/>
              </w:rPr>
            </w:pPr>
            <w:r>
              <w:rPr>
                <w:rFonts w:hint="eastAsia" w:ascii="宋体" w:hAnsi="宋体" w:cs="宋体"/>
                <w:b/>
                <w:color w:val="auto"/>
                <w:sz w:val="24"/>
              </w:rPr>
              <w:t>中标公告及中标通知书：</w:t>
            </w:r>
          </w:p>
          <w:p>
            <w:pPr>
              <w:wordWrap w:val="0"/>
              <w:spacing w:line="430" w:lineRule="exact"/>
              <w:ind w:firstLine="480" w:firstLineChars="200"/>
              <w:rPr>
                <w:rFonts w:hint="eastAsia" w:ascii="宋体" w:hAnsi="宋体" w:cs="宋体"/>
                <w:bCs/>
                <w:color w:val="auto"/>
                <w:sz w:val="24"/>
              </w:rPr>
            </w:pPr>
            <w:r>
              <w:rPr>
                <w:rFonts w:hint="eastAsia" w:ascii="宋体" w:hAnsi="宋体" w:cs="宋体"/>
                <w:bCs/>
                <w:color w:val="auto"/>
                <w:sz w:val="24"/>
              </w:rPr>
              <w:t>9.1本项目由评审委员会确定3名中标候选人。“评审委员会”根据全体评审委员会成员签字的原始评审报告和评审结果编写评审委员会评审报告，采购代理机构应当履行核对评审委员会评审报告职责，并在评审结束后2个工作日内将评审委员会评审报告通过公共资源电子交易系统提交招标人，招标人应当在收到评审报告1个工作日内通过公共资源电子交易系统线上确定“中标人”。</w:t>
            </w:r>
          </w:p>
          <w:p>
            <w:pPr>
              <w:wordWrap w:val="0"/>
              <w:spacing w:line="430" w:lineRule="exact"/>
              <w:ind w:firstLine="480" w:firstLineChars="200"/>
              <w:rPr>
                <w:rFonts w:hint="eastAsia" w:ascii="宋体" w:hAnsi="宋体" w:cs="宋体"/>
                <w:color w:val="auto"/>
                <w:kern w:val="0"/>
                <w:sz w:val="24"/>
              </w:rPr>
            </w:pPr>
            <w:r>
              <w:rPr>
                <w:rFonts w:hint="eastAsia" w:ascii="宋体" w:hAnsi="宋体" w:cs="宋体"/>
                <w:bCs/>
                <w:color w:val="auto"/>
                <w:sz w:val="24"/>
              </w:rPr>
              <w:t>9.2评审结束后，代理机构及时在河南省政府采购网、驻马店市公共资源交易中心网上发布中标结果公告，同时向中标人发放中标通知书。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0"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wordWrap w:val="0"/>
              <w:snapToGrid w:val="0"/>
              <w:spacing w:line="430" w:lineRule="exact"/>
              <w:contextualSpacing/>
              <w:jc w:val="center"/>
              <w:rPr>
                <w:rFonts w:hint="eastAsia" w:ascii="宋体" w:hAnsi="宋体" w:cs="宋体"/>
                <w:color w:val="auto"/>
                <w:kern w:val="0"/>
                <w:sz w:val="24"/>
              </w:rPr>
            </w:pPr>
            <w:r>
              <w:rPr>
                <w:rFonts w:hint="eastAsia" w:ascii="宋体" w:hAnsi="宋体" w:cs="宋体"/>
                <w:color w:val="auto"/>
                <w:kern w:val="0"/>
                <w:sz w:val="24"/>
              </w:rPr>
              <w:t>10</w:t>
            </w:r>
          </w:p>
        </w:tc>
        <w:tc>
          <w:tcPr>
            <w:tcW w:w="9300" w:type="dxa"/>
            <w:tcBorders>
              <w:top w:val="single" w:color="auto" w:sz="4" w:space="0"/>
              <w:left w:val="single" w:color="auto" w:sz="4" w:space="0"/>
              <w:bottom w:val="single" w:color="auto" w:sz="4" w:space="0"/>
              <w:right w:val="single" w:color="auto" w:sz="4" w:space="0"/>
            </w:tcBorders>
            <w:vAlign w:val="center"/>
          </w:tcPr>
          <w:p>
            <w:pPr>
              <w:wordWrap w:val="0"/>
              <w:spacing w:line="430" w:lineRule="exact"/>
              <w:rPr>
                <w:rFonts w:hint="eastAsia" w:ascii="宋体" w:hAnsi="宋体" w:cs="宋体"/>
                <w:b/>
                <w:color w:val="auto"/>
                <w:sz w:val="24"/>
              </w:rPr>
            </w:pPr>
            <w:r>
              <w:rPr>
                <w:rFonts w:hint="eastAsia" w:ascii="宋体" w:hAnsi="宋体" w:cs="宋体"/>
                <w:b/>
                <w:color w:val="auto"/>
                <w:sz w:val="24"/>
              </w:rPr>
              <w:t>投标保证金交纳与退还：本项目不收取投标保证金。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9"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wordWrap w:val="0"/>
              <w:snapToGrid w:val="0"/>
              <w:spacing w:line="430" w:lineRule="exact"/>
              <w:contextualSpacing/>
              <w:jc w:val="center"/>
              <w:rPr>
                <w:rFonts w:hint="eastAsia" w:ascii="宋体" w:hAnsi="宋体" w:cs="宋体"/>
                <w:color w:val="auto"/>
                <w:kern w:val="0"/>
                <w:sz w:val="24"/>
              </w:rPr>
            </w:pPr>
            <w:r>
              <w:rPr>
                <w:rFonts w:hint="eastAsia" w:ascii="宋体" w:hAnsi="宋体" w:cs="宋体"/>
                <w:color w:val="auto"/>
                <w:kern w:val="0"/>
                <w:sz w:val="24"/>
              </w:rPr>
              <w:t>11</w:t>
            </w:r>
          </w:p>
        </w:tc>
        <w:tc>
          <w:tcPr>
            <w:tcW w:w="9300" w:type="dxa"/>
            <w:tcBorders>
              <w:top w:val="single" w:color="auto" w:sz="4" w:space="0"/>
              <w:left w:val="single" w:color="auto" w:sz="4" w:space="0"/>
              <w:bottom w:val="single" w:color="auto" w:sz="4" w:space="0"/>
              <w:right w:val="single" w:color="auto" w:sz="4" w:space="0"/>
            </w:tcBorders>
            <w:vAlign w:val="center"/>
          </w:tcPr>
          <w:p>
            <w:pPr>
              <w:wordWrap w:val="0"/>
              <w:spacing w:line="430" w:lineRule="exact"/>
              <w:rPr>
                <w:rFonts w:hint="eastAsia" w:ascii="宋体" w:hAnsi="宋体" w:cs="宋体"/>
                <w:b/>
                <w:color w:val="auto"/>
                <w:sz w:val="24"/>
              </w:rPr>
            </w:pPr>
            <w:r>
              <w:rPr>
                <w:rFonts w:hint="eastAsia" w:ascii="宋体" w:hAnsi="宋体" w:cs="宋体"/>
                <w:b/>
                <w:color w:val="auto"/>
                <w:sz w:val="24"/>
              </w:rPr>
              <w:t>签订合同：</w:t>
            </w:r>
            <w:r>
              <w:rPr>
                <w:rFonts w:hint="eastAsia" w:ascii="宋体" w:hAnsi="宋体" w:cs="宋体"/>
                <w:color w:val="auto"/>
                <w:sz w:val="24"/>
              </w:rPr>
              <w:t>详见第二章招标需求第二项商务要求。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wordWrap w:val="0"/>
              <w:snapToGrid w:val="0"/>
              <w:spacing w:line="430" w:lineRule="exact"/>
              <w:contextualSpacing/>
              <w:jc w:val="center"/>
              <w:rPr>
                <w:rFonts w:hint="eastAsia" w:ascii="宋体" w:hAnsi="宋体" w:cs="宋体"/>
                <w:color w:val="auto"/>
                <w:kern w:val="0"/>
                <w:sz w:val="24"/>
              </w:rPr>
            </w:pPr>
            <w:r>
              <w:rPr>
                <w:rFonts w:hint="eastAsia" w:ascii="宋体" w:hAnsi="宋体" w:cs="宋体"/>
                <w:color w:val="auto"/>
                <w:kern w:val="0"/>
                <w:sz w:val="24"/>
              </w:rPr>
              <w:t>12</w:t>
            </w:r>
          </w:p>
        </w:tc>
        <w:tc>
          <w:tcPr>
            <w:tcW w:w="9300" w:type="dxa"/>
            <w:tcBorders>
              <w:top w:val="single" w:color="auto" w:sz="4" w:space="0"/>
              <w:left w:val="single" w:color="auto" w:sz="4" w:space="0"/>
              <w:bottom w:val="single" w:color="auto" w:sz="4" w:space="0"/>
              <w:right w:val="single" w:color="auto" w:sz="4" w:space="0"/>
            </w:tcBorders>
            <w:vAlign w:val="center"/>
          </w:tcPr>
          <w:p>
            <w:pPr>
              <w:wordWrap w:val="0"/>
              <w:spacing w:line="430" w:lineRule="exact"/>
              <w:rPr>
                <w:rFonts w:hint="eastAsia" w:ascii="宋体" w:hAnsi="宋体" w:cs="宋体"/>
                <w:color w:val="auto"/>
                <w:sz w:val="24"/>
              </w:rPr>
            </w:pPr>
            <w:r>
              <w:rPr>
                <w:rFonts w:hint="eastAsia" w:ascii="宋体" w:hAnsi="宋体" w:cs="宋体"/>
                <w:b/>
                <w:color w:val="auto"/>
                <w:sz w:val="24"/>
              </w:rPr>
              <w:t xml:space="preserve">履约保证金的收取及退还: </w:t>
            </w:r>
            <w:r>
              <w:rPr>
                <w:rFonts w:hint="eastAsia" w:ascii="宋体" w:hAnsi="宋体" w:cs="宋体"/>
                <w:color w:val="auto"/>
                <w:sz w:val="24"/>
              </w:rPr>
              <w:t>本项目不收取履约保证金。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2" w:hRule="atLeast"/>
        </w:trPr>
        <w:tc>
          <w:tcPr>
            <w:tcW w:w="705" w:type="dxa"/>
            <w:tcBorders>
              <w:top w:val="single" w:color="auto" w:sz="4" w:space="0"/>
              <w:left w:val="single" w:color="auto" w:sz="4" w:space="0"/>
              <w:bottom w:val="nil"/>
              <w:right w:val="single" w:color="auto" w:sz="4" w:space="0"/>
            </w:tcBorders>
            <w:vAlign w:val="center"/>
          </w:tcPr>
          <w:p>
            <w:pPr>
              <w:widowControl/>
              <w:wordWrap w:val="0"/>
              <w:snapToGrid w:val="0"/>
              <w:spacing w:line="430" w:lineRule="exact"/>
              <w:contextualSpacing/>
              <w:jc w:val="center"/>
              <w:rPr>
                <w:rFonts w:hint="eastAsia" w:ascii="宋体" w:hAnsi="宋体" w:cs="宋体"/>
                <w:color w:val="auto"/>
                <w:kern w:val="0"/>
                <w:sz w:val="24"/>
              </w:rPr>
            </w:pPr>
            <w:r>
              <w:rPr>
                <w:rFonts w:hint="eastAsia" w:ascii="宋体" w:hAnsi="宋体" w:cs="宋体"/>
                <w:color w:val="auto"/>
                <w:kern w:val="0"/>
                <w:sz w:val="24"/>
              </w:rPr>
              <w:t>13</w:t>
            </w:r>
          </w:p>
        </w:tc>
        <w:tc>
          <w:tcPr>
            <w:tcW w:w="9300" w:type="dxa"/>
            <w:tcBorders>
              <w:top w:val="single" w:color="auto" w:sz="4" w:space="0"/>
              <w:left w:val="single" w:color="auto" w:sz="4" w:space="0"/>
              <w:bottom w:val="nil"/>
              <w:right w:val="single" w:color="auto" w:sz="4" w:space="0"/>
            </w:tcBorders>
            <w:vAlign w:val="center"/>
          </w:tcPr>
          <w:p>
            <w:pPr>
              <w:wordWrap w:val="0"/>
              <w:spacing w:line="430" w:lineRule="exact"/>
              <w:rPr>
                <w:rFonts w:hint="eastAsia" w:ascii="宋体" w:hAnsi="宋体" w:cs="宋体"/>
                <w:b/>
                <w:color w:val="auto"/>
                <w:sz w:val="24"/>
              </w:rPr>
            </w:pPr>
            <w:r>
              <w:rPr>
                <w:rFonts w:hint="eastAsia" w:ascii="宋体" w:hAnsi="宋体" w:cs="宋体"/>
                <w:b/>
                <w:color w:val="auto"/>
                <w:sz w:val="24"/>
              </w:rPr>
              <w:t>采购资金来源：</w:t>
            </w:r>
            <w:r>
              <w:rPr>
                <w:rFonts w:hint="eastAsia" w:ascii="宋体" w:hAnsi="宋体" w:cs="宋体"/>
                <w:color w:val="auto"/>
                <w:kern w:val="0"/>
                <w:sz w:val="24"/>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trPr>
        <w:tc>
          <w:tcPr>
            <w:tcW w:w="705" w:type="dxa"/>
            <w:tcBorders>
              <w:top w:val="single" w:color="auto" w:sz="4" w:space="0"/>
              <w:left w:val="single" w:color="auto" w:sz="4" w:space="0"/>
              <w:bottom w:val="nil"/>
              <w:right w:val="single" w:color="auto" w:sz="4" w:space="0"/>
            </w:tcBorders>
            <w:vAlign w:val="center"/>
          </w:tcPr>
          <w:p>
            <w:pPr>
              <w:widowControl/>
              <w:wordWrap w:val="0"/>
              <w:snapToGrid w:val="0"/>
              <w:spacing w:line="430" w:lineRule="exact"/>
              <w:contextualSpacing/>
              <w:jc w:val="center"/>
              <w:rPr>
                <w:rFonts w:hint="eastAsia" w:ascii="宋体" w:hAnsi="宋体" w:cs="宋体"/>
                <w:color w:val="auto"/>
                <w:kern w:val="0"/>
                <w:sz w:val="24"/>
              </w:rPr>
            </w:pPr>
            <w:r>
              <w:rPr>
                <w:rFonts w:hint="eastAsia" w:ascii="宋体" w:hAnsi="宋体" w:cs="宋体"/>
                <w:color w:val="auto"/>
                <w:kern w:val="0"/>
                <w:sz w:val="24"/>
              </w:rPr>
              <w:t>14</w:t>
            </w:r>
          </w:p>
        </w:tc>
        <w:tc>
          <w:tcPr>
            <w:tcW w:w="9300" w:type="dxa"/>
            <w:tcBorders>
              <w:top w:val="single" w:color="auto" w:sz="4" w:space="0"/>
              <w:left w:val="single" w:color="auto" w:sz="4" w:space="0"/>
              <w:bottom w:val="nil"/>
              <w:right w:val="single" w:color="auto" w:sz="4" w:space="0"/>
            </w:tcBorders>
            <w:vAlign w:val="center"/>
          </w:tcPr>
          <w:p>
            <w:pPr>
              <w:wordWrap w:val="0"/>
              <w:spacing w:line="430" w:lineRule="exact"/>
              <w:rPr>
                <w:rFonts w:hint="eastAsia" w:ascii="宋体" w:hAnsi="宋体" w:cs="宋体"/>
                <w:b/>
                <w:color w:val="auto"/>
                <w:sz w:val="24"/>
              </w:rPr>
            </w:pPr>
            <w:r>
              <w:rPr>
                <w:rFonts w:hint="eastAsia" w:ascii="宋体" w:hAnsi="宋体" w:cs="宋体"/>
                <w:b/>
                <w:color w:val="auto"/>
                <w:sz w:val="24"/>
              </w:rPr>
              <w:t>付款方式：</w:t>
            </w:r>
            <w:r>
              <w:rPr>
                <w:rFonts w:hint="eastAsia" w:ascii="宋体" w:hAnsi="宋体" w:cs="宋体"/>
                <w:color w:val="auto"/>
                <w:sz w:val="24"/>
              </w:rPr>
              <w:t>详见第二章招标需求第二项商务要求。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9" w:hRule="atLeast"/>
        </w:trPr>
        <w:tc>
          <w:tcPr>
            <w:tcW w:w="705" w:type="dxa"/>
            <w:tcBorders>
              <w:top w:val="single" w:color="auto" w:sz="4" w:space="0"/>
              <w:left w:val="single" w:color="auto" w:sz="4" w:space="0"/>
              <w:bottom w:val="nil"/>
              <w:right w:val="single" w:color="auto" w:sz="4" w:space="0"/>
            </w:tcBorders>
            <w:vAlign w:val="center"/>
          </w:tcPr>
          <w:p>
            <w:pPr>
              <w:widowControl/>
              <w:wordWrap w:val="0"/>
              <w:snapToGrid w:val="0"/>
              <w:spacing w:line="430" w:lineRule="exact"/>
              <w:contextualSpacing/>
              <w:jc w:val="center"/>
              <w:rPr>
                <w:rFonts w:hint="eastAsia" w:ascii="宋体" w:hAnsi="宋体" w:cs="宋体"/>
                <w:color w:val="auto"/>
                <w:kern w:val="0"/>
                <w:sz w:val="24"/>
              </w:rPr>
            </w:pPr>
            <w:r>
              <w:rPr>
                <w:rFonts w:hint="eastAsia" w:ascii="宋体" w:hAnsi="宋体" w:cs="宋体"/>
                <w:color w:val="auto"/>
                <w:kern w:val="0"/>
                <w:sz w:val="24"/>
              </w:rPr>
              <w:t>15</w:t>
            </w:r>
          </w:p>
        </w:tc>
        <w:tc>
          <w:tcPr>
            <w:tcW w:w="9300" w:type="dxa"/>
            <w:tcBorders>
              <w:top w:val="single" w:color="auto" w:sz="4" w:space="0"/>
              <w:left w:val="single" w:color="auto" w:sz="4" w:space="0"/>
              <w:bottom w:val="nil"/>
              <w:right w:val="single" w:color="auto" w:sz="4" w:space="0"/>
            </w:tcBorders>
            <w:vAlign w:val="center"/>
          </w:tcPr>
          <w:p>
            <w:pPr>
              <w:wordWrap w:val="0"/>
              <w:spacing w:line="430" w:lineRule="exact"/>
              <w:rPr>
                <w:rFonts w:hint="eastAsia" w:ascii="宋体" w:hAnsi="宋体" w:cs="宋体"/>
                <w:b/>
                <w:color w:val="auto"/>
                <w:sz w:val="24"/>
              </w:rPr>
            </w:pPr>
            <w:r>
              <w:rPr>
                <w:rFonts w:hint="eastAsia" w:ascii="宋体" w:hAnsi="宋体" w:cs="宋体"/>
                <w:bCs/>
                <w:color w:val="auto"/>
                <w:sz w:val="24"/>
              </w:rPr>
              <w:t>中标人可以以政府采购合同为担保向金融机构进行贷款融资。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9"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wordWrap w:val="0"/>
              <w:snapToGrid w:val="0"/>
              <w:spacing w:line="430" w:lineRule="exact"/>
              <w:contextualSpacing/>
              <w:jc w:val="center"/>
              <w:rPr>
                <w:rFonts w:hint="eastAsia" w:ascii="宋体" w:hAnsi="宋体" w:cs="宋体"/>
                <w:color w:val="auto"/>
                <w:kern w:val="0"/>
                <w:sz w:val="24"/>
              </w:rPr>
            </w:pPr>
            <w:r>
              <w:rPr>
                <w:rFonts w:hint="eastAsia" w:ascii="宋体" w:hAnsi="宋体" w:cs="宋体"/>
                <w:color w:val="auto"/>
                <w:kern w:val="0"/>
                <w:sz w:val="24"/>
              </w:rPr>
              <w:t>16</w:t>
            </w:r>
          </w:p>
        </w:tc>
        <w:tc>
          <w:tcPr>
            <w:tcW w:w="9300" w:type="dxa"/>
            <w:tcBorders>
              <w:top w:val="single" w:color="auto" w:sz="4" w:space="0"/>
              <w:left w:val="single" w:color="auto" w:sz="4" w:space="0"/>
              <w:bottom w:val="single" w:color="auto" w:sz="4" w:space="0"/>
              <w:right w:val="single" w:color="auto" w:sz="4" w:space="0"/>
            </w:tcBorders>
            <w:vAlign w:val="center"/>
          </w:tcPr>
          <w:p>
            <w:pPr>
              <w:wordWrap w:val="0"/>
              <w:spacing w:line="430" w:lineRule="exact"/>
              <w:rPr>
                <w:rFonts w:hint="eastAsia" w:ascii="宋体" w:hAnsi="宋体" w:cs="宋体"/>
                <w:b/>
                <w:color w:val="auto"/>
                <w:sz w:val="24"/>
              </w:rPr>
            </w:pPr>
            <w:r>
              <w:rPr>
                <w:rFonts w:hint="eastAsia" w:ascii="宋体" w:hAnsi="宋体" w:cs="宋体"/>
                <w:b/>
                <w:color w:val="auto"/>
                <w:sz w:val="24"/>
              </w:rPr>
              <w:t>投标文件有效期：</w:t>
            </w:r>
            <w:r>
              <w:rPr>
                <w:rFonts w:hint="eastAsia" w:ascii="宋体" w:hAnsi="宋体" w:cs="宋体"/>
                <w:color w:val="auto"/>
                <w:sz w:val="24"/>
              </w:rPr>
              <w:t>投标截止期结束后90日。中标人的投标文件是合同的组成部分,有效期至合同完全履行止。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9"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wordWrap w:val="0"/>
              <w:snapToGrid w:val="0"/>
              <w:spacing w:line="430" w:lineRule="exact"/>
              <w:contextualSpacing/>
              <w:jc w:val="center"/>
              <w:rPr>
                <w:rFonts w:hint="eastAsia" w:ascii="宋体" w:hAnsi="宋体" w:cs="宋体"/>
                <w:color w:val="auto"/>
                <w:kern w:val="0"/>
                <w:sz w:val="24"/>
              </w:rPr>
            </w:pPr>
            <w:r>
              <w:rPr>
                <w:rFonts w:hint="eastAsia" w:ascii="宋体" w:hAnsi="宋体" w:cs="宋体"/>
                <w:color w:val="auto"/>
                <w:kern w:val="0"/>
                <w:sz w:val="24"/>
              </w:rPr>
              <w:t>17</w:t>
            </w:r>
          </w:p>
        </w:tc>
        <w:tc>
          <w:tcPr>
            <w:tcW w:w="9300" w:type="dxa"/>
            <w:tcBorders>
              <w:top w:val="single" w:color="auto" w:sz="4" w:space="0"/>
              <w:left w:val="single" w:color="auto" w:sz="4" w:space="0"/>
              <w:bottom w:val="single" w:color="auto" w:sz="4" w:space="0"/>
              <w:right w:val="single" w:color="auto" w:sz="4" w:space="0"/>
            </w:tcBorders>
            <w:vAlign w:val="center"/>
          </w:tcPr>
          <w:p>
            <w:pPr>
              <w:widowControl/>
              <w:wordWrap w:val="0"/>
              <w:spacing w:line="430" w:lineRule="exact"/>
              <w:contextualSpacing/>
              <w:jc w:val="left"/>
              <w:rPr>
                <w:rFonts w:hint="eastAsia" w:ascii="宋体" w:hAnsi="宋体" w:cs="宋体"/>
                <w:color w:val="auto"/>
                <w:sz w:val="24"/>
              </w:rPr>
            </w:pPr>
            <w:r>
              <w:rPr>
                <w:rFonts w:hint="eastAsia" w:ascii="宋体" w:hAnsi="宋体" w:cs="宋体"/>
                <w:snapToGrid w:val="0"/>
                <w:color w:val="auto"/>
                <w:sz w:val="24"/>
                <w:lang w:bidi="ar"/>
              </w:rPr>
              <w:t>根据《关于在政府采购活动中查询及使用信用记录有关问题的通知》（财库[2016]125号）的规定，对列入失信被执行人、重大税收违法失信主体、政府采购严重违法失信行为记录名单的供应商，不得参与本项目采购活动；【查询渠道：“信用中国”网站（www.creditchina.gov.cn）、中国政府采购网（www.ccgp.gov.cn）】。注：采购代理机构在开标当天将对所有参与本项目投标的供应商的信用情况（失信被执行人、税收违法黑名单、政府采购严重违法失信行为记录名单）进行查询、打印留存。若在开标当天查询到供应商有相关负面信息的，则该供应商为无效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9" w:hRule="atLeast"/>
        </w:trPr>
        <w:tc>
          <w:tcPr>
            <w:tcW w:w="705" w:type="dxa"/>
            <w:tcBorders>
              <w:top w:val="single" w:color="auto" w:sz="4" w:space="0"/>
              <w:left w:val="single" w:color="auto" w:sz="4" w:space="0"/>
              <w:bottom w:val="nil"/>
              <w:right w:val="single" w:color="auto" w:sz="4" w:space="0"/>
            </w:tcBorders>
            <w:vAlign w:val="center"/>
          </w:tcPr>
          <w:p>
            <w:pPr>
              <w:widowControl/>
              <w:wordWrap w:val="0"/>
              <w:snapToGrid w:val="0"/>
              <w:spacing w:line="430" w:lineRule="exact"/>
              <w:contextualSpacing/>
              <w:jc w:val="center"/>
              <w:rPr>
                <w:rFonts w:hint="eastAsia" w:ascii="宋体" w:hAnsi="宋体" w:cs="宋体"/>
                <w:color w:val="auto"/>
                <w:kern w:val="0"/>
                <w:sz w:val="24"/>
              </w:rPr>
            </w:pPr>
            <w:r>
              <w:rPr>
                <w:rFonts w:hint="eastAsia" w:ascii="宋体" w:hAnsi="宋体" w:cs="宋体"/>
                <w:color w:val="auto"/>
                <w:kern w:val="0"/>
                <w:sz w:val="24"/>
              </w:rPr>
              <w:t>18</w:t>
            </w:r>
          </w:p>
        </w:tc>
        <w:tc>
          <w:tcPr>
            <w:tcW w:w="9300" w:type="dxa"/>
            <w:tcBorders>
              <w:top w:val="single" w:color="auto" w:sz="4" w:space="0"/>
              <w:left w:val="single" w:color="auto" w:sz="4" w:space="0"/>
              <w:bottom w:val="nil"/>
              <w:right w:val="single" w:color="auto" w:sz="4" w:space="0"/>
            </w:tcBorders>
            <w:vAlign w:val="center"/>
          </w:tcPr>
          <w:p>
            <w:pPr>
              <w:wordWrap w:val="0"/>
              <w:spacing w:line="430" w:lineRule="exact"/>
              <w:rPr>
                <w:rFonts w:hint="eastAsia" w:ascii="宋体" w:hAnsi="宋体" w:cs="宋体"/>
                <w:b/>
                <w:color w:val="auto"/>
                <w:sz w:val="24"/>
              </w:rPr>
            </w:pPr>
            <w:r>
              <w:rPr>
                <w:rFonts w:hint="eastAsia" w:ascii="宋体" w:hAnsi="宋体" w:cs="宋体"/>
                <w:b/>
                <w:color w:val="auto"/>
                <w:sz w:val="24"/>
              </w:rPr>
              <w:t>质疑和投诉：</w:t>
            </w:r>
            <w:r>
              <w:rPr>
                <w:rFonts w:hint="eastAsia" w:ascii="宋体" w:hAnsi="宋体" w:cs="宋体"/>
                <w:color w:val="auto"/>
                <w:sz w:val="24"/>
              </w:rPr>
              <w:t>详见第三章投标人须知第10条。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9" w:hRule="atLeast"/>
        </w:trPr>
        <w:tc>
          <w:tcPr>
            <w:tcW w:w="705" w:type="dxa"/>
            <w:tcBorders>
              <w:top w:val="single" w:color="auto" w:sz="4" w:space="0"/>
              <w:left w:val="single" w:color="auto" w:sz="4" w:space="0"/>
              <w:bottom w:val="nil"/>
              <w:right w:val="single" w:color="auto" w:sz="4" w:space="0"/>
            </w:tcBorders>
            <w:vAlign w:val="center"/>
          </w:tcPr>
          <w:p>
            <w:pPr>
              <w:widowControl/>
              <w:wordWrap w:val="0"/>
              <w:snapToGrid w:val="0"/>
              <w:spacing w:line="430" w:lineRule="exact"/>
              <w:contextualSpacing/>
              <w:jc w:val="center"/>
              <w:rPr>
                <w:rFonts w:hint="eastAsia" w:ascii="宋体" w:hAnsi="宋体" w:cs="宋体"/>
                <w:color w:val="auto"/>
                <w:kern w:val="0"/>
                <w:sz w:val="24"/>
              </w:rPr>
            </w:pPr>
            <w:r>
              <w:rPr>
                <w:rFonts w:hint="eastAsia" w:ascii="宋体" w:hAnsi="宋体" w:cs="宋体"/>
                <w:color w:val="auto"/>
                <w:kern w:val="0"/>
                <w:sz w:val="24"/>
              </w:rPr>
              <w:t>19</w:t>
            </w:r>
          </w:p>
        </w:tc>
        <w:tc>
          <w:tcPr>
            <w:tcW w:w="9300" w:type="dxa"/>
            <w:tcBorders>
              <w:top w:val="single" w:color="auto" w:sz="4" w:space="0"/>
              <w:left w:val="single" w:color="auto" w:sz="4" w:space="0"/>
              <w:bottom w:val="nil"/>
              <w:right w:val="single" w:color="auto" w:sz="4" w:space="0"/>
            </w:tcBorders>
            <w:vAlign w:val="center"/>
          </w:tcPr>
          <w:p>
            <w:pPr>
              <w:wordWrap w:val="0"/>
              <w:spacing w:line="430" w:lineRule="exact"/>
              <w:rPr>
                <w:rFonts w:hint="eastAsia" w:ascii="宋体" w:hAnsi="宋体" w:cs="宋体"/>
                <w:b/>
                <w:color w:val="auto"/>
                <w:sz w:val="24"/>
              </w:rPr>
            </w:pPr>
            <w:r>
              <w:rPr>
                <w:rFonts w:hint="eastAsia" w:ascii="宋体" w:hAnsi="宋体" w:cs="宋体"/>
                <w:bCs/>
                <w:color w:val="auto"/>
                <w:sz w:val="24"/>
              </w:rPr>
              <w:t>本项目使用远程不见面交易的模式。投标人应于投标截止时间前将加密电子投标文件(.zmdtf格式)在驻马店市公共资源交易中心电子交易平台加密上传，逾期上传投标将被拒绝。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9" w:hRule="atLeast"/>
        </w:trPr>
        <w:tc>
          <w:tcPr>
            <w:tcW w:w="705" w:type="dxa"/>
            <w:tcBorders>
              <w:top w:val="single" w:color="auto" w:sz="4" w:space="0"/>
              <w:left w:val="single" w:color="auto" w:sz="4" w:space="0"/>
              <w:bottom w:val="nil"/>
              <w:right w:val="single" w:color="auto" w:sz="4" w:space="0"/>
            </w:tcBorders>
            <w:vAlign w:val="center"/>
          </w:tcPr>
          <w:p>
            <w:pPr>
              <w:widowControl/>
              <w:wordWrap w:val="0"/>
              <w:snapToGrid w:val="0"/>
              <w:spacing w:line="430" w:lineRule="exact"/>
              <w:contextualSpacing/>
              <w:jc w:val="center"/>
              <w:rPr>
                <w:rFonts w:hint="eastAsia" w:ascii="宋体" w:hAnsi="宋体" w:cs="宋体"/>
                <w:color w:val="auto"/>
                <w:kern w:val="0"/>
                <w:sz w:val="24"/>
              </w:rPr>
            </w:pPr>
            <w:r>
              <w:rPr>
                <w:rFonts w:hint="eastAsia" w:ascii="宋体" w:hAnsi="宋体" w:cs="宋体"/>
                <w:color w:val="auto"/>
                <w:kern w:val="0"/>
                <w:sz w:val="24"/>
              </w:rPr>
              <w:t>20</w:t>
            </w:r>
          </w:p>
        </w:tc>
        <w:tc>
          <w:tcPr>
            <w:tcW w:w="9300" w:type="dxa"/>
            <w:tcBorders>
              <w:top w:val="single" w:color="auto" w:sz="4" w:space="0"/>
              <w:left w:val="single" w:color="auto" w:sz="4" w:space="0"/>
              <w:bottom w:val="nil"/>
              <w:right w:val="single" w:color="auto" w:sz="4" w:space="0"/>
            </w:tcBorders>
            <w:vAlign w:val="center"/>
          </w:tcPr>
          <w:p>
            <w:pPr>
              <w:wordWrap w:val="0"/>
              <w:spacing w:line="430" w:lineRule="exact"/>
              <w:rPr>
                <w:rFonts w:hint="eastAsia" w:ascii="宋体" w:hAnsi="宋体" w:cs="宋体"/>
                <w:b/>
                <w:color w:val="auto"/>
                <w:sz w:val="24"/>
              </w:rPr>
            </w:pPr>
            <w:r>
              <w:rPr>
                <w:rFonts w:hint="eastAsia" w:ascii="宋体" w:hAnsi="宋体" w:cs="宋体"/>
                <w:b/>
                <w:color w:val="auto"/>
                <w:sz w:val="24"/>
              </w:rPr>
              <w:t>投标人注册:</w:t>
            </w:r>
          </w:p>
          <w:p>
            <w:pPr>
              <w:wordWrap w:val="0"/>
              <w:spacing w:line="430" w:lineRule="exact"/>
              <w:rPr>
                <w:rFonts w:hint="eastAsia" w:ascii="宋体" w:hAnsi="宋体" w:cs="宋体"/>
                <w:color w:val="auto"/>
                <w:sz w:val="24"/>
              </w:rPr>
            </w:pPr>
            <w:r>
              <w:rPr>
                <w:rFonts w:hint="eastAsia" w:ascii="宋体" w:hAnsi="宋体" w:cs="宋体"/>
                <w:b/>
                <w:color w:val="auto"/>
                <w:sz w:val="24"/>
              </w:rPr>
              <w:t xml:space="preserve"> </w:t>
            </w:r>
            <w:r>
              <w:rPr>
                <w:rFonts w:hint="eastAsia" w:ascii="宋体" w:hAnsi="宋体" w:cs="宋体"/>
                <w:color w:val="auto"/>
                <w:sz w:val="24"/>
              </w:rPr>
              <w:t>投标人首先通过“驻马店市公共资源交易中心（https://ggzy.zhumadian.gov.cn/TPFront/）”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9"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wordWrap w:val="0"/>
              <w:snapToGrid w:val="0"/>
              <w:spacing w:line="430" w:lineRule="exact"/>
              <w:contextualSpacing/>
              <w:jc w:val="center"/>
              <w:rPr>
                <w:rFonts w:hint="eastAsia" w:ascii="宋体" w:hAnsi="宋体" w:cs="宋体"/>
                <w:color w:val="auto"/>
                <w:kern w:val="0"/>
                <w:sz w:val="24"/>
              </w:rPr>
            </w:pPr>
            <w:r>
              <w:rPr>
                <w:rFonts w:hint="eastAsia" w:ascii="宋体" w:hAnsi="宋体" w:cs="宋体"/>
                <w:color w:val="auto"/>
                <w:kern w:val="0"/>
                <w:sz w:val="24"/>
              </w:rPr>
              <w:t>21</w:t>
            </w:r>
          </w:p>
        </w:tc>
        <w:tc>
          <w:tcPr>
            <w:tcW w:w="9300" w:type="dxa"/>
            <w:tcBorders>
              <w:top w:val="single" w:color="auto" w:sz="4" w:space="0"/>
              <w:left w:val="single" w:color="auto" w:sz="4" w:space="0"/>
              <w:bottom w:val="single" w:color="auto" w:sz="4" w:space="0"/>
              <w:right w:val="single" w:color="auto" w:sz="4" w:space="0"/>
            </w:tcBorders>
            <w:vAlign w:val="center"/>
          </w:tcPr>
          <w:p>
            <w:pPr>
              <w:wordWrap w:val="0"/>
              <w:spacing w:line="430" w:lineRule="exact"/>
              <w:rPr>
                <w:rFonts w:hint="eastAsia" w:ascii="宋体" w:hAnsi="宋体" w:cs="宋体"/>
                <w:b/>
                <w:color w:val="auto"/>
                <w:sz w:val="24"/>
              </w:rPr>
            </w:pPr>
            <w:r>
              <w:rPr>
                <w:rFonts w:hint="eastAsia" w:ascii="宋体" w:hAnsi="宋体" w:cs="宋体"/>
                <w:b/>
                <w:color w:val="auto"/>
                <w:sz w:val="24"/>
              </w:rPr>
              <w:t xml:space="preserve">招标文件下载: </w:t>
            </w:r>
          </w:p>
          <w:p>
            <w:pPr>
              <w:wordWrap w:val="0"/>
              <w:spacing w:line="430" w:lineRule="exact"/>
              <w:rPr>
                <w:rFonts w:hint="eastAsia" w:ascii="宋体" w:hAnsi="宋体" w:cs="宋体"/>
                <w:color w:val="auto"/>
                <w:sz w:val="24"/>
              </w:rPr>
            </w:pPr>
            <w:r>
              <w:rPr>
                <w:rFonts w:hint="eastAsia" w:ascii="宋体" w:hAnsi="宋体" w:cs="宋体"/>
                <w:color w:val="auto"/>
                <w:sz w:val="24"/>
              </w:rPr>
              <w:t>凡有意参加投标者，登录“驻马店市公共资源交易中心（https://ggzy.zhumadian.gov.cn/TPFront/）”网站，凭领取的企业身份认证锁（CA密钥）登录系统进行网上免费下载招标文件。投标人未按规定在网上下载招标文件的，其投标将被拒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9"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wordWrap w:val="0"/>
              <w:snapToGrid w:val="0"/>
              <w:spacing w:line="430" w:lineRule="exact"/>
              <w:contextualSpacing/>
              <w:jc w:val="center"/>
              <w:rPr>
                <w:rFonts w:hint="eastAsia" w:ascii="宋体" w:hAnsi="宋体" w:cs="宋体"/>
                <w:color w:val="auto"/>
                <w:kern w:val="0"/>
                <w:sz w:val="24"/>
              </w:rPr>
            </w:pPr>
            <w:r>
              <w:rPr>
                <w:rFonts w:hint="eastAsia" w:ascii="宋体" w:hAnsi="宋体" w:cs="宋体"/>
                <w:color w:val="auto"/>
                <w:kern w:val="0"/>
                <w:sz w:val="24"/>
              </w:rPr>
              <w:t>22</w:t>
            </w:r>
          </w:p>
        </w:tc>
        <w:tc>
          <w:tcPr>
            <w:tcW w:w="9300" w:type="dxa"/>
            <w:tcBorders>
              <w:top w:val="single" w:color="auto" w:sz="4" w:space="0"/>
              <w:left w:val="single" w:color="auto" w:sz="4" w:space="0"/>
              <w:bottom w:val="single" w:color="auto" w:sz="4" w:space="0"/>
              <w:right w:val="single" w:color="auto" w:sz="4" w:space="0"/>
            </w:tcBorders>
            <w:vAlign w:val="center"/>
          </w:tcPr>
          <w:p>
            <w:pPr>
              <w:wordWrap w:val="0"/>
              <w:spacing w:line="430" w:lineRule="exact"/>
              <w:jc w:val="left"/>
              <w:rPr>
                <w:rFonts w:hint="eastAsia" w:ascii="宋体" w:hAnsi="宋体" w:cs="宋体"/>
                <w:color w:val="auto"/>
                <w:sz w:val="24"/>
              </w:rPr>
            </w:pPr>
            <w:r>
              <w:rPr>
                <w:rFonts w:hint="eastAsia" w:ascii="宋体" w:hAnsi="宋体" w:cs="宋体"/>
                <w:b/>
                <w:color w:val="auto"/>
                <w:sz w:val="24"/>
              </w:rPr>
              <w:t xml:space="preserve">投标文件制作: </w:t>
            </w:r>
          </w:p>
          <w:p>
            <w:pPr>
              <w:wordWrap w:val="0"/>
              <w:spacing w:line="430" w:lineRule="exact"/>
              <w:jc w:val="left"/>
              <w:rPr>
                <w:rFonts w:hint="eastAsia" w:ascii="宋体" w:hAnsi="宋体" w:cs="宋体"/>
                <w:color w:val="auto"/>
                <w:sz w:val="24"/>
              </w:rPr>
            </w:pPr>
            <w:r>
              <w:rPr>
                <w:rFonts w:hint="eastAsia" w:ascii="宋体" w:hAnsi="宋体" w:cs="宋体"/>
                <w:color w:val="auto"/>
                <w:sz w:val="24"/>
              </w:rPr>
              <w:t>1、投标人通过“驻马店市公共资源交易中心（https://ggzy.zhumadian.gov.cn/TPFront/）”网站下载中心（政府采购类）：下载“新点投标文件制作软件（驻马店）”。</w:t>
            </w:r>
          </w:p>
          <w:p>
            <w:pPr>
              <w:wordWrap w:val="0"/>
              <w:spacing w:line="430" w:lineRule="exact"/>
              <w:jc w:val="left"/>
              <w:rPr>
                <w:rFonts w:hint="eastAsia" w:ascii="宋体" w:hAnsi="宋体" w:cs="宋体"/>
                <w:color w:val="auto"/>
                <w:sz w:val="24"/>
              </w:rPr>
            </w:pPr>
            <w:r>
              <w:rPr>
                <w:rFonts w:hint="eastAsia" w:ascii="宋体" w:hAnsi="宋体" w:cs="宋体"/>
                <w:color w:val="auto"/>
                <w:sz w:val="24"/>
              </w:rPr>
              <w:t>2、投标人凭 CA 密钥登陆交易系统下载招标文件(.zmdzf 格式)。</w:t>
            </w:r>
          </w:p>
          <w:p>
            <w:pPr>
              <w:wordWrap w:val="0"/>
              <w:spacing w:line="430" w:lineRule="exact"/>
              <w:jc w:val="left"/>
              <w:rPr>
                <w:rFonts w:hint="eastAsia" w:ascii="宋体" w:hAnsi="宋体" w:cs="宋体"/>
                <w:color w:val="auto"/>
                <w:sz w:val="24"/>
              </w:rPr>
            </w:pPr>
            <w:r>
              <w:rPr>
                <w:rFonts w:hint="eastAsia" w:ascii="宋体" w:hAnsi="宋体" w:cs="宋体"/>
                <w:color w:val="auto"/>
                <w:sz w:val="24"/>
              </w:rPr>
              <w:t>3、投标人须在投标截止时间前制作并提交。加密的电子投标文件（.zmdtf 格式）, 应在投标截止时间前通过“驻马店市公共资源交易中心（https://ggzy.zhumadian.gov.cn/TPFront/）”电子交易平台内上传。</w:t>
            </w:r>
          </w:p>
          <w:p>
            <w:pPr>
              <w:wordWrap w:val="0"/>
              <w:spacing w:line="430" w:lineRule="exact"/>
              <w:jc w:val="left"/>
              <w:rPr>
                <w:rFonts w:hint="eastAsia" w:ascii="宋体" w:hAnsi="宋体" w:cs="宋体"/>
                <w:color w:val="auto"/>
                <w:sz w:val="24"/>
              </w:rPr>
            </w:pPr>
            <w:r>
              <w:rPr>
                <w:rFonts w:hint="eastAsia" w:ascii="宋体" w:hAnsi="宋体" w:cs="宋体"/>
                <w:color w:val="auto"/>
                <w:sz w:val="24"/>
              </w:rPr>
              <w:t>4、加密的电子投标文件为“驻马店市公共资源交易中心（https://ggzy.zhumadian.gov.cn/TPFront/）”网站提供的“新点投标文件制作软件（驻马店）”制作生成的加密版投标文件。</w:t>
            </w:r>
          </w:p>
          <w:p>
            <w:pPr>
              <w:wordWrap w:val="0"/>
              <w:spacing w:line="430" w:lineRule="exact"/>
              <w:jc w:val="left"/>
              <w:rPr>
                <w:rFonts w:hint="eastAsia" w:ascii="宋体" w:hAnsi="宋体" w:cs="宋体"/>
                <w:color w:val="auto"/>
                <w:sz w:val="24"/>
              </w:rPr>
            </w:pPr>
            <w:r>
              <w:rPr>
                <w:rFonts w:hint="eastAsia" w:ascii="宋体" w:hAnsi="宋体" w:cs="宋体"/>
                <w:color w:val="auto"/>
                <w:sz w:val="24"/>
              </w:rPr>
              <w:t>5、投标人在编制电子投标文件时，生成后的电子投标文件须按招标文件的格式要求完成电子签字或盖章，无法直接完成电子签字或盖章的投标文件格式内容，投标人须将盖章签字后的扫描图片替换到相应格式中。</w:t>
            </w:r>
          </w:p>
          <w:p>
            <w:pPr>
              <w:wordWrap w:val="0"/>
              <w:spacing w:line="430" w:lineRule="exact"/>
              <w:jc w:val="left"/>
              <w:rPr>
                <w:rFonts w:hint="eastAsia" w:ascii="宋体" w:hAnsi="宋体" w:cs="宋体"/>
                <w:color w:val="auto"/>
                <w:sz w:val="24"/>
              </w:rPr>
            </w:pPr>
            <w:r>
              <w:rPr>
                <w:rFonts w:hint="eastAsia" w:ascii="宋体" w:hAnsi="宋体" w:cs="宋体"/>
                <w:color w:val="auto"/>
                <w:sz w:val="24"/>
              </w:rPr>
              <w:t>6、招标文件格式所要求包含的全部资料应全部制作在投标文件内，严格按照本项目招标文件所有格式如实填写（不涉及的内容除外），不应存在漏项或缺项，否则将存在投标文件被拒绝的风险。</w:t>
            </w:r>
          </w:p>
          <w:p>
            <w:pPr>
              <w:wordWrap w:val="0"/>
              <w:spacing w:line="430" w:lineRule="exact"/>
              <w:jc w:val="left"/>
              <w:rPr>
                <w:rFonts w:hint="eastAsia" w:ascii="宋体" w:hAnsi="宋体" w:cs="宋体"/>
                <w:color w:val="auto"/>
                <w:sz w:val="24"/>
              </w:rPr>
            </w:pPr>
            <w:r>
              <w:rPr>
                <w:rFonts w:hint="eastAsia" w:ascii="宋体" w:hAnsi="宋体" w:cs="宋体"/>
                <w:color w:val="auto"/>
                <w:sz w:val="24"/>
              </w:rPr>
              <w:t>7、投标文件以外的任何资料招标人和代理机构将拒收。</w:t>
            </w:r>
          </w:p>
          <w:p>
            <w:pPr>
              <w:wordWrap w:val="0"/>
              <w:spacing w:line="430" w:lineRule="exact"/>
              <w:jc w:val="left"/>
              <w:rPr>
                <w:rFonts w:hint="eastAsia" w:ascii="宋体" w:hAnsi="宋体" w:cs="宋体"/>
                <w:color w:val="auto"/>
                <w:sz w:val="24"/>
              </w:rPr>
            </w:pPr>
            <w:r>
              <w:rPr>
                <w:rFonts w:hint="eastAsia" w:ascii="宋体" w:hAnsi="宋体" w:cs="宋体"/>
                <w:color w:val="auto"/>
                <w:sz w:val="24"/>
              </w:rPr>
              <w:t>8、投标人编辑电子投标文件时，根据招标文件要求用法人CA 密钥和企业CA 密钥进行签章制作；最后一步生成电子投标文件（.zmdtf 格式和.nzmdtf 格式）时，只能用本单位的企业 CA 密钥。</w:t>
            </w:r>
          </w:p>
          <w:p>
            <w:pPr>
              <w:wordWrap w:val="0"/>
              <w:spacing w:line="430" w:lineRule="exact"/>
              <w:jc w:val="left"/>
              <w:rPr>
                <w:rFonts w:hint="eastAsia" w:ascii="宋体" w:hAnsi="宋体" w:cs="宋体"/>
                <w:b/>
                <w:color w:val="auto"/>
                <w:sz w:val="24"/>
              </w:rPr>
            </w:pPr>
            <w:r>
              <w:rPr>
                <w:rFonts w:hint="eastAsia" w:ascii="宋体" w:hAnsi="宋体" w:cs="宋体"/>
                <w:color w:val="auto"/>
                <w:sz w:val="24"/>
              </w:rPr>
              <w:t>9、电子投标文件制作流程，可参考驻马店市公共资源交易中心官方网站的下载中心板块的视频（https://ggzy.zhumadian.gov.cn/TPFront/TPFront/InfoDetail/?InfoID=844e0ea7-2b6c-425d-99f6-91bd5b500e5e&amp;CategoryNum=026002）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9" w:hRule="atLeast"/>
        </w:trPr>
        <w:tc>
          <w:tcPr>
            <w:tcW w:w="705" w:type="dxa"/>
            <w:tcBorders>
              <w:top w:val="single" w:color="auto" w:sz="4" w:space="0"/>
              <w:left w:val="single" w:color="auto" w:sz="4" w:space="0"/>
              <w:bottom w:val="nil"/>
              <w:right w:val="single" w:color="auto" w:sz="4" w:space="0"/>
            </w:tcBorders>
            <w:vAlign w:val="center"/>
          </w:tcPr>
          <w:p>
            <w:pPr>
              <w:widowControl/>
              <w:wordWrap w:val="0"/>
              <w:snapToGrid w:val="0"/>
              <w:spacing w:line="430" w:lineRule="exact"/>
              <w:contextualSpacing/>
              <w:jc w:val="center"/>
              <w:rPr>
                <w:rFonts w:hint="eastAsia" w:ascii="宋体" w:hAnsi="宋体" w:cs="宋体"/>
                <w:color w:val="auto"/>
                <w:kern w:val="0"/>
                <w:sz w:val="24"/>
              </w:rPr>
            </w:pPr>
            <w:r>
              <w:rPr>
                <w:rFonts w:hint="eastAsia" w:ascii="宋体" w:hAnsi="宋体" w:cs="宋体"/>
                <w:color w:val="auto"/>
                <w:kern w:val="0"/>
                <w:sz w:val="24"/>
              </w:rPr>
              <w:t>23</w:t>
            </w:r>
          </w:p>
        </w:tc>
        <w:tc>
          <w:tcPr>
            <w:tcW w:w="9300" w:type="dxa"/>
            <w:tcBorders>
              <w:top w:val="single" w:color="auto" w:sz="4" w:space="0"/>
              <w:left w:val="single" w:color="auto" w:sz="4" w:space="0"/>
              <w:bottom w:val="nil"/>
              <w:right w:val="single" w:color="auto" w:sz="4" w:space="0"/>
            </w:tcBorders>
            <w:vAlign w:val="center"/>
          </w:tcPr>
          <w:p>
            <w:pPr>
              <w:wordWrap w:val="0"/>
              <w:spacing w:line="430" w:lineRule="exact"/>
              <w:rPr>
                <w:rFonts w:hint="eastAsia" w:ascii="宋体" w:hAnsi="宋体" w:cs="宋体"/>
                <w:b/>
                <w:color w:val="auto"/>
                <w:sz w:val="24"/>
              </w:rPr>
            </w:pPr>
            <w:r>
              <w:rPr>
                <w:rFonts w:hint="eastAsia" w:ascii="宋体" w:hAnsi="宋体" w:cs="宋体"/>
                <w:b/>
                <w:color w:val="auto"/>
                <w:sz w:val="24"/>
              </w:rPr>
              <w:t>投标文件上传:</w:t>
            </w:r>
            <w:r>
              <w:rPr>
                <w:rFonts w:hint="eastAsia" w:ascii="宋体" w:hAnsi="宋体" w:cs="宋体"/>
                <w:color w:val="auto"/>
                <w:sz w:val="24"/>
              </w:rPr>
              <w:t>详见第三章投标人须知第22条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9"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wordWrap w:val="0"/>
              <w:snapToGrid w:val="0"/>
              <w:spacing w:line="430" w:lineRule="exact"/>
              <w:contextualSpacing/>
              <w:jc w:val="center"/>
              <w:rPr>
                <w:rFonts w:hint="eastAsia" w:ascii="宋体" w:hAnsi="宋体" w:cs="宋体"/>
                <w:color w:val="auto"/>
                <w:kern w:val="0"/>
                <w:sz w:val="24"/>
              </w:rPr>
            </w:pPr>
            <w:r>
              <w:rPr>
                <w:rFonts w:hint="eastAsia" w:ascii="宋体" w:hAnsi="宋体" w:cs="宋体"/>
                <w:color w:val="auto"/>
                <w:kern w:val="0"/>
                <w:sz w:val="24"/>
              </w:rPr>
              <w:t>24</w:t>
            </w:r>
          </w:p>
        </w:tc>
        <w:tc>
          <w:tcPr>
            <w:tcW w:w="9300" w:type="dxa"/>
            <w:tcBorders>
              <w:top w:val="single" w:color="auto" w:sz="4" w:space="0"/>
              <w:left w:val="single" w:color="auto" w:sz="4" w:space="0"/>
              <w:bottom w:val="single" w:color="auto" w:sz="4" w:space="0"/>
              <w:right w:val="single" w:color="auto" w:sz="4" w:space="0"/>
            </w:tcBorders>
            <w:vAlign w:val="center"/>
          </w:tcPr>
          <w:p>
            <w:pPr>
              <w:wordWrap w:val="0"/>
              <w:spacing w:line="430" w:lineRule="exact"/>
              <w:rPr>
                <w:rFonts w:hint="eastAsia" w:ascii="宋体" w:hAnsi="宋体" w:cs="宋体"/>
                <w:b/>
                <w:color w:val="auto"/>
                <w:sz w:val="24"/>
              </w:rPr>
            </w:pPr>
            <w:r>
              <w:rPr>
                <w:rFonts w:hint="eastAsia" w:ascii="宋体" w:hAnsi="宋体" w:cs="宋体"/>
                <w:b/>
                <w:color w:val="auto"/>
                <w:sz w:val="24"/>
              </w:rPr>
              <w:t xml:space="preserve">招标文件的澄清与变更: </w:t>
            </w:r>
          </w:p>
          <w:p>
            <w:pPr>
              <w:wordWrap w:val="0"/>
              <w:spacing w:line="430" w:lineRule="exact"/>
              <w:rPr>
                <w:rFonts w:hint="eastAsia" w:ascii="宋体" w:hAnsi="宋体" w:cs="宋体"/>
                <w:color w:val="auto"/>
                <w:sz w:val="24"/>
              </w:rPr>
            </w:pPr>
            <w:r>
              <w:rPr>
                <w:rFonts w:hint="eastAsia" w:ascii="宋体" w:hAnsi="宋体" w:cs="宋体"/>
                <w:color w:val="auto"/>
                <w:sz w:val="24"/>
              </w:rPr>
              <w:t>1、招标人、代理机构对已发出的招标文件进行的澄清、更正或更改，澄清、更正或更改的内容将作为招标文件的组成部分。代理机构将通过网站“变更公告”和“答疑文件”告知投标人。各投标人须下载招标文件和最新的答疑文件，以此编制投标文件。</w:t>
            </w:r>
          </w:p>
          <w:p>
            <w:pPr>
              <w:wordWrap w:val="0"/>
              <w:spacing w:line="430" w:lineRule="exact"/>
              <w:rPr>
                <w:rFonts w:hint="eastAsia" w:ascii="宋体" w:hAnsi="宋体" w:cs="宋体"/>
                <w:b/>
                <w:color w:val="auto"/>
                <w:sz w:val="24"/>
              </w:rPr>
            </w:pPr>
            <w:r>
              <w:rPr>
                <w:rFonts w:hint="eastAsia" w:ascii="宋体" w:hAnsi="宋体" w:cs="宋体"/>
                <w:color w:val="auto"/>
                <w:sz w:val="24"/>
              </w:rPr>
              <w:t>2、因</w:t>
            </w:r>
            <w:r>
              <w:rPr>
                <w:rFonts w:hint="eastAsia" w:ascii="宋体" w:hAnsi="宋体" w:cs="宋体"/>
                <w:bCs/>
                <w:color w:val="auto"/>
                <w:kern w:val="0"/>
                <w:sz w:val="24"/>
              </w:rPr>
              <w:t>驻马店市公共资源交易中心电子交易平台</w:t>
            </w:r>
            <w:r>
              <w:rPr>
                <w:rFonts w:hint="eastAsia" w:ascii="宋体" w:hAnsi="宋体" w:cs="宋体"/>
                <w:color w:val="auto"/>
                <w:sz w:val="24"/>
              </w:rPr>
              <w:t>在开标前具有保密性，投标人在投标截止时间前须自行查看项目进展、变更通知、澄清及回复，因投标人未及时查看而造成的后果自负。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9"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wordWrap w:val="0"/>
              <w:snapToGrid w:val="0"/>
              <w:spacing w:line="430" w:lineRule="exact"/>
              <w:contextualSpacing/>
              <w:jc w:val="center"/>
              <w:rPr>
                <w:rFonts w:hint="eastAsia" w:ascii="宋体" w:hAnsi="宋体" w:cs="宋体"/>
                <w:color w:val="auto"/>
                <w:kern w:val="0"/>
                <w:sz w:val="24"/>
              </w:rPr>
            </w:pPr>
            <w:r>
              <w:rPr>
                <w:rFonts w:hint="eastAsia" w:ascii="宋体" w:hAnsi="宋体" w:cs="宋体"/>
                <w:color w:val="auto"/>
                <w:kern w:val="0"/>
                <w:sz w:val="24"/>
              </w:rPr>
              <w:t>25</w:t>
            </w:r>
          </w:p>
        </w:tc>
        <w:tc>
          <w:tcPr>
            <w:tcW w:w="9300" w:type="dxa"/>
            <w:tcBorders>
              <w:top w:val="single" w:color="auto" w:sz="4" w:space="0"/>
              <w:left w:val="single" w:color="auto" w:sz="4" w:space="0"/>
              <w:bottom w:val="single" w:color="auto" w:sz="4" w:space="0"/>
              <w:right w:val="single" w:color="auto" w:sz="4" w:space="0"/>
            </w:tcBorders>
            <w:vAlign w:val="center"/>
          </w:tcPr>
          <w:p>
            <w:pPr>
              <w:wordWrap w:val="0"/>
              <w:spacing w:line="430" w:lineRule="exact"/>
              <w:rPr>
                <w:rFonts w:hint="eastAsia" w:ascii="宋体" w:hAnsi="宋体" w:cs="宋体"/>
                <w:b/>
                <w:color w:val="auto"/>
                <w:sz w:val="24"/>
              </w:rPr>
            </w:pPr>
            <w:r>
              <w:rPr>
                <w:rFonts w:hint="eastAsia" w:ascii="宋体" w:hAnsi="宋体" w:cs="宋体"/>
                <w:b/>
                <w:color w:val="auto"/>
                <w:sz w:val="24"/>
              </w:rPr>
              <w:t>开标：</w:t>
            </w:r>
          </w:p>
          <w:p>
            <w:pPr>
              <w:wordWrap w:val="0"/>
              <w:spacing w:line="430" w:lineRule="exact"/>
              <w:rPr>
                <w:rFonts w:hint="eastAsia" w:ascii="宋体" w:hAnsi="宋体" w:cs="宋体"/>
                <w:color w:val="auto"/>
                <w:sz w:val="24"/>
              </w:rPr>
            </w:pPr>
            <w:r>
              <w:rPr>
                <w:rFonts w:hint="eastAsia" w:ascii="宋体" w:hAnsi="宋体" w:cs="宋体"/>
                <w:color w:val="auto"/>
                <w:sz w:val="24"/>
              </w:rPr>
              <w:t>1、开标当日，投标人无需到达开标现场，仅需在任意地点使用企业CA 密钥登入驻马店市公共资源交易中心电子交易平台不见面开标大厅（https://ggzy.zhumadian.gov.cn/:9190/BidOpening/bidopeninghallaction/hall/login）及相应的配套硬件设备（摄像头、话筒、麦克风等）参加开标会议。</w:t>
            </w:r>
          </w:p>
          <w:p>
            <w:pPr>
              <w:wordWrap w:val="0"/>
              <w:spacing w:line="430" w:lineRule="exact"/>
              <w:rPr>
                <w:rFonts w:hint="eastAsia" w:ascii="宋体" w:hAnsi="宋体" w:cs="宋体"/>
                <w:color w:val="auto"/>
                <w:sz w:val="24"/>
              </w:rPr>
            </w:pPr>
            <w:r>
              <w:rPr>
                <w:rFonts w:hint="eastAsia" w:ascii="宋体" w:hAnsi="宋体" w:cs="宋体"/>
                <w:color w:val="auto"/>
                <w:sz w:val="24"/>
              </w:rPr>
              <w:t>2、开标时，投标人必须使用能正确解密投标文件的CA 密钥在规定的时间内完成远程解密，因投标人原因未能解密、解密失败或解密超时，视为投标人撤销其投标文件，系统内投标文件将被退回；因招标人原因或网上招投标平台发生故障，导致投标人无法按时完成投标文件解密或开、评标工作无法进行的，可根据实际情况报请批准后相应延迟解密时间或调整开、评标时间（友情提示：若投标人已领取副锁（含多把副锁）请注意正副锁的使用差别）。</w:t>
            </w:r>
          </w:p>
          <w:p>
            <w:pPr>
              <w:wordWrap w:val="0"/>
              <w:spacing w:line="430" w:lineRule="exact"/>
              <w:rPr>
                <w:rFonts w:hint="eastAsia" w:ascii="宋体" w:hAnsi="宋体" w:cs="宋体"/>
                <w:color w:val="auto"/>
                <w:sz w:val="24"/>
              </w:rPr>
            </w:pPr>
            <w:r>
              <w:rPr>
                <w:rFonts w:hint="eastAsia" w:ascii="宋体" w:hAnsi="宋体" w:cs="宋体"/>
                <w:color w:val="auto"/>
                <w:sz w:val="24"/>
              </w:rPr>
              <w:t>3、远程开标前，投标人务必在驻马店市公共资源交易中心电子交易平台（https://ggzy.zhumadian.gov.cn/TPFront/）投标文件上传模块中使用“模拟解密”功能，验证本机远程自助解密环境。</w:t>
            </w:r>
          </w:p>
          <w:p>
            <w:pPr>
              <w:wordWrap w:val="0"/>
              <w:spacing w:line="430" w:lineRule="exact"/>
              <w:rPr>
                <w:rFonts w:hint="eastAsia" w:ascii="宋体" w:hAnsi="宋体" w:cs="宋体"/>
                <w:color w:val="auto"/>
                <w:sz w:val="24"/>
              </w:rPr>
            </w:pPr>
            <w:r>
              <w:rPr>
                <w:rFonts w:hint="eastAsia" w:ascii="宋体" w:hAnsi="宋体" w:cs="宋体"/>
                <w:color w:val="auto"/>
                <w:sz w:val="24"/>
              </w:rPr>
              <w:t>4、特别提醒：</w:t>
            </w:r>
          </w:p>
          <w:p>
            <w:pPr>
              <w:wordWrap w:val="0"/>
              <w:spacing w:line="430" w:lineRule="exact"/>
              <w:rPr>
                <w:rFonts w:hint="eastAsia" w:ascii="宋体" w:hAnsi="宋体" w:cs="宋体"/>
                <w:color w:val="auto"/>
                <w:sz w:val="24"/>
              </w:rPr>
            </w:pPr>
            <w:r>
              <w:rPr>
                <w:rFonts w:hint="eastAsia" w:ascii="宋体" w:hAnsi="宋体" w:cs="宋体"/>
                <w:color w:val="auto"/>
                <w:sz w:val="24"/>
              </w:rPr>
              <w:t>因驻马店市公共资源交易中心电子交易平台不见面交易系统具备视频直播、语音通话等，对网络带宽及硬件要求相对较高的功能，故投标人在参与使用不见面交易系统开标的项目时，需确认是否满足如下要求：</w:t>
            </w:r>
          </w:p>
          <w:p>
            <w:pPr>
              <w:wordWrap w:val="0"/>
              <w:spacing w:line="430" w:lineRule="exact"/>
              <w:rPr>
                <w:rFonts w:hint="eastAsia" w:ascii="宋体" w:hAnsi="宋体" w:cs="宋体"/>
                <w:color w:val="auto"/>
                <w:sz w:val="24"/>
              </w:rPr>
            </w:pPr>
            <w:r>
              <w:rPr>
                <w:rFonts w:hint="eastAsia" w:ascii="宋体" w:hAnsi="宋体" w:cs="宋体"/>
                <w:color w:val="auto"/>
                <w:sz w:val="24"/>
              </w:rPr>
              <w:t>（1）网络要求：网络带宽4M以上。</w:t>
            </w:r>
          </w:p>
          <w:p>
            <w:pPr>
              <w:wordWrap w:val="0"/>
              <w:spacing w:line="430" w:lineRule="exact"/>
              <w:rPr>
                <w:rFonts w:hint="eastAsia" w:ascii="宋体" w:hAnsi="宋体" w:cs="宋体"/>
                <w:color w:val="auto"/>
                <w:sz w:val="24"/>
              </w:rPr>
            </w:pPr>
            <w:r>
              <w:rPr>
                <w:rFonts w:hint="eastAsia" w:ascii="宋体" w:hAnsi="宋体" w:cs="宋体"/>
                <w:color w:val="auto"/>
                <w:sz w:val="24"/>
              </w:rPr>
              <w:t>（2）硬件要求：电脑要求内存4G及以上，且需配套网络摄像头、麦克风、音箱等，并确保其均能正常运转。操作系统要求Windows7及以上，IE浏览器IE11及以上。</w:t>
            </w:r>
          </w:p>
          <w:p>
            <w:pPr>
              <w:wordWrap w:val="0"/>
              <w:spacing w:line="430" w:lineRule="exact"/>
              <w:rPr>
                <w:rFonts w:hint="eastAsia" w:ascii="宋体" w:hAnsi="宋体" w:cs="宋体"/>
                <w:color w:val="auto"/>
                <w:sz w:val="24"/>
              </w:rPr>
            </w:pPr>
            <w:r>
              <w:rPr>
                <w:rFonts w:hint="eastAsia" w:ascii="宋体" w:hAnsi="宋体" w:cs="宋体"/>
                <w:color w:val="auto"/>
                <w:sz w:val="24"/>
              </w:rPr>
              <w:t>（3）人员要求：对于参与</w:t>
            </w:r>
            <w:r>
              <w:rPr>
                <w:rFonts w:hint="eastAsia" w:ascii="宋体" w:hAnsi="宋体" w:cs="宋体"/>
                <w:bCs/>
                <w:color w:val="auto"/>
                <w:kern w:val="0"/>
                <w:sz w:val="24"/>
              </w:rPr>
              <w:t>驻马店市公共资源交易中心电子交易平台不见面交易系统</w:t>
            </w:r>
            <w:r>
              <w:rPr>
                <w:rFonts w:hint="eastAsia" w:ascii="宋体" w:hAnsi="宋体" w:cs="宋体"/>
                <w:color w:val="auto"/>
                <w:sz w:val="24"/>
              </w:rPr>
              <w:t>开标的投标人，要求能熟练掌握电脑基础操作。不见面开标操作手册下载地址：</w:t>
            </w:r>
          </w:p>
          <w:p>
            <w:pPr>
              <w:wordWrap w:val="0"/>
              <w:spacing w:line="430" w:lineRule="exact"/>
              <w:rPr>
                <w:rFonts w:hint="eastAsia" w:ascii="宋体" w:hAnsi="宋体" w:cs="宋体"/>
                <w:b/>
                <w:color w:val="auto"/>
                <w:sz w:val="24"/>
              </w:rPr>
            </w:pPr>
            <w:r>
              <w:rPr>
                <w:rFonts w:hint="eastAsia" w:ascii="宋体" w:hAnsi="宋体" w:cs="宋体"/>
                <w:color w:val="auto"/>
                <w:sz w:val="24"/>
              </w:rPr>
              <w:t>（https://ggzy.zhumadian.gov.cn/TPFront/TPFront/InfoDetail/?InfoID=6e085538-6be5-4d25-80b2-12f5fc669ba1&amp;CategoryNum=026005）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9" w:hRule="atLeast"/>
        </w:trPr>
        <w:tc>
          <w:tcPr>
            <w:tcW w:w="705" w:type="dxa"/>
            <w:tcBorders>
              <w:top w:val="single" w:color="auto" w:sz="4" w:space="0"/>
              <w:left w:val="single" w:color="auto" w:sz="4" w:space="0"/>
              <w:bottom w:val="nil"/>
              <w:right w:val="single" w:color="auto" w:sz="4" w:space="0"/>
            </w:tcBorders>
            <w:vAlign w:val="center"/>
          </w:tcPr>
          <w:p>
            <w:pPr>
              <w:widowControl/>
              <w:wordWrap w:val="0"/>
              <w:snapToGrid w:val="0"/>
              <w:spacing w:line="430" w:lineRule="exact"/>
              <w:contextualSpacing/>
              <w:jc w:val="center"/>
              <w:rPr>
                <w:rFonts w:hint="eastAsia" w:ascii="宋体" w:hAnsi="宋体" w:cs="宋体"/>
                <w:color w:val="auto"/>
                <w:kern w:val="0"/>
                <w:sz w:val="24"/>
              </w:rPr>
            </w:pPr>
            <w:r>
              <w:rPr>
                <w:rFonts w:hint="eastAsia" w:ascii="宋体" w:hAnsi="宋体" w:cs="宋体"/>
                <w:color w:val="auto"/>
                <w:kern w:val="0"/>
                <w:sz w:val="24"/>
              </w:rPr>
              <w:t>26</w:t>
            </w:r>
          </w:p>
        </w:tc>
        <w:tc>
          <w:tcPr>
            <w:tcW w:w="9300" w:type="dxa"/>
            <w:tcBorders>
              <w:top w:val="single" w:color="auto" w:sz="4" w:space="0"/>
              <w:left w:val="single" w:color="auto" w:sz="4" w:space="0"/>
              <w:bottom w:val="nil"/>
              <w:right w:val="single" w:color="auto" w:sz="4" w:space="0"/>
            </w:tcBorders>
            <w:vAlign w:val="center"/>
          </w:tcPr>
          <w:p>
            <w:pPr>
              <w:wordWrap w:val="0"/>
              <w:spacing w:line="430" w:lineRule="exact"/>
              <w:rPr>
                <w:rFonts w:hint="eastAsia" w:ascii="宋体" w:hAnsi="宋体" w:cs="宋体"/>
                <w:bCs/>
                <w:color w:val="auto"/>
                <w:sz w:val="24"/>
              </w:rPr>
            </w:pPr>
            <w:r>
              <w:rPr>
                <w:rFonts w:hint="eastAsia" w:ascii="宋体" w:hAnsi="宋体" w:cs="宋体"/>
                <w:b/>
                <w:color w:val="auto"/>
                <w:sz w:val="24"/>
              </w:rPr>
              <w:t>评标：</w:t>
            </w:r>
            <w:r>
              <w:rPr>
                <w:rFonts w:hint="eastAsia" w:ascii="宋体" w:hAnsi="宋体" w:cs="宋体"/>
                <w:bCs/>
                <w:color w:val="auto"/>
                <w:sz w:val="24"/>
              </w:rPr>
              <w:t>□网络电子评标(电子评标过程中当出现突发情况，导致系统无法正常运行 且短时间内无法修复时，经监督部门同意，延迟评标。)</w:t>
            </w:r>
          </w:p>
          <w:p>
            <w:pPr>
              <w:wordWrap w:val="0"/>
              <w:spacing w:line="430" w:lineRule="exact"/>
              <w:rPr>
                <w:rFonts w:hint="eastAsia" w:ascii="宋体" w:hAnsi="宋体" w:cs="宋体"/>
                <w:b/>
                <w:color w:val="auto"/>
                <w:sz w:val="24"/>
              </w:rPr>
            </w:pPr>
            <w:r>
              <w:rPr>
                <w:rFonts w:hint="eastAsia" w:ascii="宋体" w:hAnsi="宋体" w:cs="宋体"/>
                <w:bCs/>
                <w:color w:val="auto"/>
                <w:sz w:val="24"/>
              </w:rPr>
              <w:t>☑远程异地网络电子评标，抽取异地评标专家数量不少于专家总人数的 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wordWrap w:val="0"/>
              <w:snapToGrid w:val="0"/>
              <w:spacing w:line="430" w:lineRule="exact"/>
              <w:contextualSpacing/>
              <w:jc w:val="center"/>
              <w:rPr>
                <w:rFonts w:hint="eastAsia" w:ascii="宋体" w:hAnsi="宋体" w:cs="宋体"/>
                <w:color w:val="auto"/>
                <w:kern w:val="0"/>
                <w:sz w:val="24"/>
              </w:rPr>
            </w:pPr>
            <w:r>
              <w:rPr>
                <w:rFonts w:hint="eastAsia" w:ascii="宋体" w:hAnsi="宋体" w:cs="宋体"/>
                <w:color w:val="auto"/>
                <w:kern w:val="0"/>
                <w:sz w:val="24"/>
              </w:rPr>
              <w:t>27</w:t>
            </w:r>
          </w:p>
        </w:tc>
        <w:tc>
          <w:tcPr>
            <w:tcW w:w="9300" w:type="dxa"/>
            <w:tcBorders>
              <w:top w:val="single" w:color="auto" w:sz="4" w:space="0"/>
              <w:left w:val="single" w:color="auto" w:sz="4" w:space="0"/>
              <w:bottom w:val="single" w:color="auto" w:sz="4" w:space="0"/>
              <w:right w:val="single" w:color="auto" w:sz="4" w:space="0"/>
            </w:tcBorders>
            <w:vAlign w:val="center"/>
          </w:tcPr>
          <w:p>
            <w:pPr>
              <w:widowControl/>
              <w:wordWrap w:val="0"/>
              <w:spacing w:line="430" w:lineRule="exact"/>
              <w:contextualSpacing/>
              <w:jc w:val="left"/>
              <w:textAlignment w:val="bottom"/>
              <w:rPr>
                <w:rFonts w:hint="eastAsia" w:ascii="宋体" w:hAnsi="宋体" w:cs="宋体"/>
                <w:b/>
                <w:color w:val="auto"/>
                <w:sz w:val="24"/>
              </w:rPr>
            </w:pPr>
            <w:r>
              <w:rPr>
                <w:rFonts w:hint="eastAsia" w:ascii="宋体" w:hAnsi="宋体" w:cs="宋体"/>
                <w:b/>
                <w:color w:val="auto"/>
                <w:sz w:val="24"/>
              </w:rPr>
              <w:t>解释：</w:t>
            </w:r>
            <w:r>
              <w:rPr>
                <w:rFonts w:hint="eastAsia" w:ascii="宋体" w:hAnsi="宋体" w:cs="宋体"/>
                <w:color w:val="auto"/>
                <w:sz w:val="24"/>
              </w:rPr>
              <w:t>构成本招标文件的各个组成文件应互为解释，互为说明；如有不明确或不一致，构成合同文件组成内容的，以合同文件约定内容为准；除招标文件中有特殊规定外，仅适用于招标投标阶段的规定，按招标公告、投标人须知、评标办法、投标文件格式的先后顺序解释；同一组成文件中就同一事项的规定或约定不一致的，以编排顺序在后者为准；当招标文件与招标文件的澄清、修改或补充通知就同一内容的表述不一致时，以最后发出的书面文件为准。合同文件约定或后者明显错误的除外。</w:t>
            </w:r>
            <w:r>
              <w:rPr>
                <w:rFonts w:hint="eastAsia" w:ascii="宋体" w:hAnsi="宋体" w:cs="宋体"/>
                <w:color w:val="auto"/>
                <w:kern w:val="0"/>
                <w:sz w:val="24"/>
              </w:rPr>
              <w:t>合同文件约定或后者明显错误的除外。</w:t>
            </w:r>
            <w:r>
              <w:rPr>
                <w:rFonts w:hint="eastAsia" w:ascii="宋体" w:hAnsi="宋体" w:cs="宋体"/>
                <w:color w:val="auto"/>
                <w:sz w:val="24"/>
              </w:rPr>
              <w:t>按本款前述规定仍不能形成结论的，由招标人（或代理机构）负责解释。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wordWrap w:val="0"/>
              <w:snapToGrid w:val="0"/>
              <w:spacing w:line="430" w:lineRule="exact"/>
              <w:contextualSpacing/>
              <w:jc w:val="center"/>
              <w:rPr>
                <w:rFonts w:hint="eastAsia" w:ascii="宋体" w:hAnsi="宋体" w:cs="宋体"/>
                <w:color w:val="auto"/>
                <w:kern w:val="0"/>
                <w:sz w:val="24"/>
              </w:rPr>
            </w:pPr>
            <w:r>
              <w:rPr>
                <w:rFonts w:hint="eastAsia" w:ascii="宋体" w:hAnsi="宋体" w:cs="宋体"/>
                <w:color w:val="auto"/>
                <w:kern w:val="0"/>
                <w:sz w:val="24"/>
              </w:rPr>
              <w:t>28</w:t>
            </w:r>
          </w:p>
        </w:tc>
        <w:tc>
          <w:tcPr>
            <w:tcW w:w="93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textAlignment w:val="bottom"/>
              <w:rPr>
                <w:rFonts w:hint="eastAsia" w:ascii="宋体" w:hAnsi="宋体" w:cs="宋体"/>
                <w:b/>
                <w:color w:val="auto"/>
                <w:sz w:val="24"/>
              </w:rPr>
            </w:pPr>
            <w:r>
              <w:rPr>
                <w:rFonts w:hint="eastAsia" w:ascii="宋体" w:hAnsi="宋体" w:cs="宋体"/>
                <w:color w:val="auto"/>
                <w:kern w:val="0"/>
                <w:sz w:val="24"/>
              </w:rPr>
              <w:t>根据《驻马店市财政局关于推行政府采购资格审查环节信用承诺制的通知》（驻财购〔2022〕15号）规定，在此项目政府采购资格审查环节实行信用承诺制，供应商应当按文件规定格式以书面形式向采购代理机构作出信用承诺。</w:t>
            </w:r>
          </w:p>
        </w:tc>
      </w:tr>
    </w:tbl>
    <w:p>
      <w:pPr>
        <w:widowControl/>
        <w:wordWrap w:val="0"/>
        <w:snapToGrid w:val="0"/>
        <w:spacing w:line="430" w:lineRule="exact"/>
        <w:ind w:firstLine="2518" w:firstLineChars="1045"/>
        <w:jc w:val="left"/>
        <w:rPr>
          <w:rFonts w:hint="eastAsia" w:ascii="宋体" w:hAnsi="宋体" w:cs="宋体"/>
          <w:b/>
          <w:color w:val="auto"/>
          <w:kern w:val="0"/>
          <w:sz w:val="24"/>
        </w:rPr>
      </w:pPr>
      <w:r>
        <w:rPr>
          <w:rFonts w:hint="eastAsia" w:ascii="宋体" w:hAnsi="宋体" w:cs="宋体"/>
          <w:b/>
          <w:color w:val="auto"/>
          <w:kern w:val="0"/>
          <w:sz w:val="24"/>
        </w:rPr>
        <w:t xml:space="preserve"> </w:t>
      </w:r>
    </w:p>
    <w:p>
      <w:pPr>
        <w:wordWrap w:val="0"/>
        <w:spacing w:line="480" w:lineRule="exact"/>
        <w:ind w:firstLine="3092" w:firstLineChars="1100"/>
        <w:rPr>
          <w:rFonts w:hint="eastAsia" w:ascii="宋体" w:hAnsi="宋体" w:cs="宋体"/>
          <w:b/>
          <w:color w:val="auto"/>
          <w:sz w:val="28"/>
          <w:szCs w:val="28"/>
        </w:rPr>
      </w:pPr>
      <w:r>
        <w:rPr>
          <w:rFonts w:hint="eastAsia" w:ascii="宋体" w:hAnsi="宋体" w:cs="宋体"/>
          <w:b/>
          <w:color w:val="auto"/>
          <w:sz w:val="28"/>
          <w:szCs w:val="28"/>
        </w:rPr>
        <w:br w:type="page"/>
      </w:r>
      <w:r>
        <w:rPr>
          <w:rFonts w:hint="eastAsia" w:ascii="宋体" w:hAnsi="宋体" w:cs="宋体"/>
          <w:b/>
          <w:color w:val="auto"/>
          <w:sz w:val="28"/>
          <w:szCs w:val="28"/>
        </w:rPr>
        <w:t>一  说    明</w:t>
      </w:r>
    </w:p>
    <w:p>
      <w:pPr>
        <w:widowControl/>
        <w:wordWrap w:val="0"/>
        <w:snapToGrid w:val="0"/>
        <w:spacing w:line="480" w:lineRule="exact"/>
        <w:ind w:firstLine="482" w:firstLineChars="200"/>
        <w:jc w:val="left"/>
        <w:rPr>
          <w:rFonts w:hint="eastAsia" w:ascii="宋体" w:hAnsi="宋体" w:cs="宋体"/>
          <w:b/>
          <w:color w:val="auto"/>
          <w:sz w:val="24"/>
        </w:rPr>
      </w:pPr>
      <w:r>
        <w:rPr>
          <w:rFonts w:hint="eastAsia" w:ascii="宋体" w:hAnsi="宋体" w:cs="宋体"/>
          <w:b/>
          <w:color w:val="auto"/>
          <w:sz w:val="24"/>
        </w:rPr>
        <w:t>1.适用范围</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本招标文件仅适用于招标公告中所叙述项目的货物采购。</w:t>
      </w:r>
    </w:p>
    <w:p>
      <w:pPr>
        <w:wordWrap w:val="0"/>
        <w:spacing w:line="480" w:lineRule="exact"/>
        <w:ind w:firstLine="482" w:firstLineChars="200"/>
        <w:rPr>
          <w:rFonts w:hint="eastAsia" w:ascii="宋体" w:hAnsi="宋体" w:cs="宋体"/>
          <w:b/>
          <w:color w:val="auto"/>
          <w:sz w:val="24"/>
        </w:rPr>
      </w:pPr>
      <w:r>
        <w:rPr>
          <w:rFonts w:hint="eastAsia" w:ascii="宋体" w:hAnsi="宋体" w:cs="宋体"/>
          <w:b/>
          <w:color w:val="auto"/>
          <w:sz w:val="24"/>
        </w:rPr>
        <w:t>2.定义</w:t>
      </w:r>
    </w:p>
    <w:p>
      <w:pPr>
        <w:wordWrap w:val="0"/>
        <w:spacing w:line="440" w:lineRule="exact"/>
        <w:ind w:firstLine="480" w:firstLineChars="200"/>
        <w:rPr>
          <w:rFonts w:hint="eastAsia" w:ascii="宋体" w:hAnsi="宋体"/>
          <w:color w:val="auto"/>
          <w:kern w:val="0"/>
          <w:sz w:val="24"/>
        </w:rPr>
      </w:pPr>
      <w:r>
        <w:rPr>
          <w:rFonts w:hint="eastAsia" w:ascii="宋体" w:hAnsi="宋体"/>
          <w:color w:val="auto"/>
          <w:kern w:val="0"/>
          <w:sz w:val="24"/>
        </w:rPr>
        <w:t>2.1 “招标人”系指确山县第二高级中学。</w:t>
      </w:r>
    </w:p>
    <w:p>
      <w:pPr>
        <w:wordWrap w:val="0"/>
        <w:spacing w:line="480" w:lineRule="exact"/>
        <w:ind w:firstLine="480" w:firstLineChars="200"/>
        <w:rPr>
          <w:rFonts w:hint="eastAsia" w:ascii="宋体" w:hAnsi="宋体" w:cs="宋体"/>
          <w:color w:val="auto"/>
          <w:sz w:val="24"/>
        </w:rPr>
      </w:pPr>
      <w:r>
        <w:rPr>
          <w:rFonts w:hint="eastAsia" w:ascii="宋体" w:hAnsi="宋体"/>
          <w:color w:val="auto"/>
          <w:kern w:val="0"/>
          <w:sz w:val="24"/>
        </w:rPr>
        <w:t>2.2 “代理机构”系指</w:t>
      </w:r>
      <w:r>
        <w:rPr>
          <w:rFonts w:hint="eastAsia" w:ascii="宋体" w:hAnsi="宋体" w:cs="宋体"/>
          <w:color w:val="auto"/>
          <w:sz w:val="24"/>
        </w:rPr>
        <w:t>确山县公共资源交易中心。</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2.3 “投标人”系指下载了本招标文件，且已经提交本次投标文件的投标人。</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2.4 “投标人代表”系指代表投标人参加本次招标活动的投标人的法定代表人或其委托代理人。</w:t>
      </w:r>
    </w:p>
    <w:p>
      <w:pPr>
        <w:wordWrap w:val="0"/>
        <w:spacing w:line="480" w:lineRule="exact"/>
        <w:ind w:firstLine="480" w:firstLineChars="200"/>
        <w:rPr>
          <w:rFonts w:hint="eastAsia" w:ascii="宋体" w:hAnsi="宋体" w:cs="宋体"/>
          <w:b/>
          <w:color w:val="auto"/>
          <w:sz w:val="24"/>
        </w:rPr>
      </w:pPr>
      <w:r>
        <w:rPr>
          <w:rFonts w:hint="eastAsia" w:ascii="宋体" w:hAnsi="宋体" w:cs="宋体"/>
          <w:color w:val="auto"/>
          <w:sz w:val="24"/>
        </w:rPr>
        <w:t>2.5 “服务”系指投标人按招标文件规定向招标人提供的一切工作内容。</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2.6 “投标文件有效期” 系指本次采购项目投标截止之日起至合同签订之日止的期限。中标人的投标文件有效期至合同完全履行止。</w:t>
      </w:r>
    </w:p>
    <w:p>
      <w:pPr>
        <w:wordWrap w:val="0"/>
        <w:spacing w:line="480" w:lineRule="exact"/>
        <w:ind w:firstLine="482" w:firstLineChars="200"/>
        <w:rPr>
          <w:rFonts w:hint="eastAsia" w:ascii="宋体" w:hAnsi="宋体" w:cs="宋体"/>
          <w:b/>
          <w:color w:val="auto"/>
          <w:sz w:val="24"/>
        </w:rPr>
      </w:pPr>
      <w:r>
        <w:rPr>
          <w:rFonts w:hint="eastAsia" w:ascii="宋体" w:hAnsi="宋体" w:cs="宋体"/>
          <w:b/>
          <w:color w:val="auto"/>
          <w:sz w:val="24"/>
        </w:rPr>
        <w:t>3.采购预算（最高投标限价）</w:t>
      </w:r>
    </w:p>
    <w:p>
      <w:pPr>
        <w:wordWrap w:val="0"/>
        <w:spacing w:line="480" w:lineRule="exact"/>
        <w:ind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详见招标文件</w:t>
      </w:r>
      <w:bookmarkStart w:id="32" w:name="_GoBack"/>
      <w:bookmarkEnd w:id="32"/>
    </w:p>
    <w:p>
      <w:pPr>
        <w:wordWrap w:val="0"/>
        <w:spacing w:line="480" w:lineRule="exact"/>
        <w:ind w:firstLine="482" w:firstLineChars="200"/>
        <w:rPr>
          <w:rFonts w:hint="eastAsia" w:ascii="宋体" w:hAnsi="宋体" w:cs="宋体"/>
          <w:color w:val="auto"/>
          <w:sz w:val="24"/>
        </w:rPr>
      </w:pPr>
      <w:r>
        <w:rPr>
          <w:rFonts w:hint="eastAsia" w:ascii="宋体" w:hAnsi="宋体" w:cs="宋体"/>
          <w:b/>
          <w:bCs/>
          <w:color w:val="auto"/>
          <w:sz w:val="24"/>
        </w:rPr>
        <w:t>4.投标人应提交的证明文件</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4.1 投标人工商营业执照、税务登记证或统一社会信用代码证“新营业执照”（有效的副本原件的扫描件）；</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4.2 法定代表人本人投标的，提供身份证原件的扫描件；法定代表人委托代理人投标的，提供法人授权委托书原件和委托代理人的身份证原件的扫描件；</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4.3符合《中华人民共和国政府采购法》第二十二条规定（根据驻财购【2022】15号文件规定实行承诺制）；</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4.4信誉要求：根据《关于在政府采购活动中查询及使用信用记录有关问题的通知》(财库[2016]125号)的规定，对列入失信被执行人、重大税收违法失信主体 、政府采购严重违法失信行为记录名单的供应商，不得参与本项目采购活动;【查询渠道:“信用中国”网站(www.creditchina.gov.cn)、中国政府采购网(www.ccgp.gov.cn)】。注:采购代理机构在开标当天将对所有参与本项目投标的供应商的信用情况(失信被执行人、税收违法黑名单、政府采购严重违法失信行为记录名单)进行查询、打印留存。若在开标当天查询到供应商有相关负面信息的，则该供应商为无效供应商；</w:t>
      </w:r>
    </w:p>
    <w:p>
      <w:pPr>
        <w:pStyle w:val="30"/>
        <w:widowControl/>
        <w:wordWrap w:val="0"/>
        <w:spacing w:line="500" w:lineRule="exact"/>
        <w:ind w:firstLine="480" w:firstLineChars="200"/>
        <w:jc w:val="both"/>
        <w:rPr>
          <w:rFonts w:cs="宋体"/>
          <w:color w:val="auto"/>
        </w:rPr>
      </w:pPr>
      <w:r>
        <w:rPr>
          <w:rFonts w:cs="宋体"/>
          <w:color w:val="auto"/>
        </w:rPr>
        <w:t>4.5 其他证明文件(采购人根据项目需要提出且为本次采购所必要的)。</w:t>
      </w:r>
    </w:p>
    <w:p>
      <w:pPr>
        <w:pStyle w:val="30"/>
        <w:widowControl/>
        <w:wordWrap w:val="0"/>
        <w:spacing w:line="500" w:lineRule="exact"/>
        <w:ind w:firstLine="480" w:firstLineChars="200"/>
        <w:jc w:val="both"/>
        <w:rPr>
          <w:rFonts w:cs="宋体"/>
          <w:b/>
          <w:bCs/>
          <w:color w:val="auto"/>
        </w:rPr>
      </w:pPr>
      <w:r>
        <w:rPr>
          <w:rFonts w:cs="宋体"/>
          <w:color w:val="auto"/>
        </w:rPr>
        <w:t>注：以上为必须提供的材料（</w:t>
      </w:r>
      <w:r>
        <w:rPr>
          <w:color w:val="auto"/>
        </w:rPr>
        <w:t>4.4项除外）</w:t>
      </w:r>
      <w:r>
        <w:rPr>
          <w:rFonts w:cs="宋体"/>
          <w:color w:val="auto"/>
          <w:shd w:val="clear" w:color="auto" w:fill="FFFFFF"/>
        </w:rPr>
        <w:t>。</w:t>
      </w:r>
      <w:r>
        <w:rPr>
          <w:rFonts w:cs="宋体"/>
          <w:color w:val="auto"/>
        </w:rPr>
        <w:t>本项目采用不见面交易，投标人在投标文件提交截止时间前应及时完善主体诚信库中企业信息及扫描件，提交并自行核验通过。同时在“资格审查及评审材料”菜单下按分包挑选该包所用资格审查材料，以供评审过程中评标委员会查阅。投标人应确保主体诚信库信息与电子投标文件信息一致，上传的资料要真实并清晰可辨。评审时以电子投标文件及“资格审查及评审材料”菜单中选取的企业信息为准。</w:t>
      </w:r>
    </w:p>
    <w:p>
      <w:pPr>
        <w:wordWrap w:val="0"/>
        <w:spacing w:line="480" w:lineRule="exact"/>
        <w:ind w:firstLine="482" w:firstLineChars="200"/>
        <w:rPr>
          <w:rFonts w:hint="eastAsia" w:ascii="宋体" w:hAnsi="宋体" w:cs="宋体"/>
          <w:b/>
          <w:color w:val="auto"/>
          <w:sz w:val="24"/>
        </w:rPr>
      </w:pPr>
      <w:r>
        <w:rPr>
          <w:rFonts w:hint="eastAsia" w:ascii="宋体" w:hAnsi="宋体" w:cs="宋体"/>
          <w:b/>
          <w:color w:val="auto"/>
          <w:sz w:val="24"/>
        </w:rPr>
        <w:t>5.投标费用</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不论投标结果如何，投标人均应自行承担所有与投标有关的全部费用。</w:t>
      </w:r>
    </w:p>
    <w:p>
      <w:pPr>
        <w:wordWrap w:val="0"/>
        <w:spacing w:line="480" w:lineRule="exact"/>
        <w:ind w:firstLine="482" w:firstLineChars="200"/>
        <w:rPr>
          <w:rFonts w:hint="eastAsia" w:ascii="宋体" w:hAnsi="宋体" w:cs="宋体"/>
          <w:b/>
          <w:color w:val="auto"/>
          <w:sz w:val="24"/>
        </w:rPr>
      </w:pPr>
      <w:r>
        <w:rPr>
          <w:rFonts w:hint="eastAsia" w:ascii="宋体" w:hAnsi="宋体" w:cs="宋体"/>
          <w:b/>
          <w:color w:val="auto"/>
          <w:sz w:val="24"/>
        </w:rPr>
        <w:t>6.联合体投标（本项目不接受）</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6.1 两个以上投标人可以组成一个投标联合体，以一个投标人的身份投标。</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6.2以联合体形式参加投标的，联合体各方均应当符合政府采购法第二十二条规定的条件。招标人根据采购项目的特殊要求规定投标人特定条件的，联合体各方中至少应当有一方符合招标人规定的特定条件。</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6.3联合体各方之间应当签订共同投标协议，明确约定联合体各方承担的工作、相应的责任</w:t>
      </w:r>
      <w:r>
        <w:rPr>
          <w:rFonts w:hint="eastAsia" w:ascii="宋体" w:hAnsi="宋体" w:cs="宋体"/>
          <w:color w:val="auto"/>
          <w:kern w:val="0"/>
          <w:sz w:val="24"/>
        </w:rPr>
        <w:t>、完成的合同金额及完成的合同金额所占总合同金额的比例</w:t>
      </w:r>
      <w:r>
        <w:rPr>
          <w:rFonts w:hint="eastAsia" w:ascii="宋体" w:hAnsi="宋体" w:cs="宋体"/>
          <w:color w:val="auto"/>
          <w:sz w:val="24"/>
        </w:rPr>
        <w:t>，并将共同投标协议原件连同投标文件一并提交代理机构。联合体各方承担的工作和相应的责任应与其具备的资质条件相一致。联合体各方签订共同投标协议后，不得再以自己名义单独投标，也不得组成新的联合体参加投标。</w:t>
      </w:r>
    </w:p>
    <w:p>
      <w:pPr>
        <w:widowControl/>
        <w:wordWrap w:val="0"/>
        <w:spacing w:line="440" w:lineRule="exact"/>
        <w:ind w:firstLine="482" w:firstLineChars="200"/>
        <w:jc w:val="left"/>
        <w:rPr>
          <w:rFonts w:hint="eastAsia" w:ascii="宋体" w:hAnsi="宋体" w:cs="宋体"/>
          <w:b/>
          <w:iCs/>
          <w:color w:val="auto"/>
          <w:sz w:val="24"/>
        </w:rPr>
      </w:pPr>
      <w:r>
        <w:rPr>
          <w:rFonts w:hint="eastAsia" w:ascii="宋体" w:hAnsi="宋体" w:cs="宋体"/>
          <w:b/>
          <w:color w:val="auto"/>
          <w:sz w:val="24"/>
        </w:rPr>
        <w:t>7.关联企业投标（</w:t>
      </w:r>
      <w:r>
        <w:rPr>
          <w:rFonts w:hint="eastAsia" w:ascii="宋体" w:hAnsi="宋体" w:cs="宋体"/>
          <w:b/>
          <w:iCs/>
          <w:color w:val="auto"/>
          <w:sz w:val="24"/>
        </w:rPr>
        <w:t>本项目不接受关联企业投标</w:t>
      </w:r>
      <w:r>
        <w:rPr>
          <w:rFonts w:hint="eastAsia" w:ascii="宋体" w:hAnsi="宋体" w:cs="宋体"/>
          <w:b/>
          <w:color w:val="auto"/>
          <w:sz w:val="24"/>
        </w:rPr>
        <w:t>）</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7.1 本招标文件所称关联企业,是指存在关联关系的企业。“关联关系”的界定适用《中华人民共和国公司法》第二百一十七条、《中华人民共和国政府采购法实施条例》第十八条之规定。</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7.2 关联企业中, 同一个法定代表人的两个及两个以上法人，母公司、全资子公司及其控股公司，都不得同时投标。单位负责人为同一人或者存在直接控股、管理关系的不同投标人，不得参加同一合同项下的投标。一经发现，将导致投标同时被拒绝。</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7.3 为采购项目提供整体设计、规范编制或者项目管理、监理、检测等服务的投标人，不得再参加该采购项目的投标活动。</w:t>
      </w:r>
    </w:p>
    <w:p>
      <w:pPr>
        <w:wordWrap w:val="0"/>
        <w:spacing w:line="480" w:lineRule="exact"/>
        <w:ind w:firstLine="482" w:firstLineChars="200"/>
        <w:rPr>
          <w:rFonts w:hint="eastAsia" w:ascii="宋体" w:hAnsi="宋体" w:cs="宋体"/>
          <w:b/>
          <w:color w:val="auto"/>
          <w:sz w:val="24"/>
        </w:rPr>
      </w:pPr>
      <w:r>
        <w:rPr>
          <w:rFonts w:hint="eastAsia" w:ascii="宋体" w:hAnsi="宋体" w:cs="宋体"/>
          <w:b/>
          <w:color w:val="auto"/>
          <w:sz w:val="24"/>
        </w:rPr>
        <w:t>8.转包与分包</w:t>
      </w:r>
    </w:p>
    <w:p>
      <w:pPr>
        <w:wordWrap w:val="0"/>
        <w:spacing w:line="480" w:lineRule="exact"/>
        <w:ind w:firstLine="480" w:firstLineChars="200"/>
        <w:rPr>
          <w:rFonts w:hint="eastAsia" w:ascii="宋体" w:hAnsi="宋体" w:cs="宋体"/>
          <w:color w:val="auto"/>
        </w:rPr>
      </w:pPr>
      <w:r>
        <w:rPr>
          <w:rFonts w:hint="eastAsia" w:ascii="宋体" w:hAnsi="宋体" w:cs="宋体"/>
          <w:color w:val="auto"/>
          <w:sz w:val="24"/>
        </w:rPr>
        <w:t>8.1 本项目不允许采取转包方式履行合同。</w:t>
      </w:r>
    </w:p>
    <w:p>
      <w:pPr>
        <w:pStyle w:val="26"/>
        <w:wordWrap w:val="0"/>
        <w:spacing w:before="0" w:beforeAutospacing="0" w:after="0" w:afterAutospacing="0" w:line="480" w:lineRule="exact"/>
        <w:ind w:left="0" w:leftChars="0" w:firstLine="480"/>
        <w:rPr>
          <w:rFonts w:hint="eastAsia"/>
          <w:color w:val="auto"/>
        </w:rPr>
      </w:pPr>
      <w:r>
        <w:rPr>
          <w:rFonts w:hint="eastAsia"/>
          <w:color w:val="auto"/>
        </w:rPr>
        <w:t>8.2 本项目不允许采取分包方式履行合同。</w:t>
      </w:r>
    </w:p>
    <w:p>
      <w:pPr>
        <w:wordWrap w:val="0"/>
        <w:spacing w:line="480" w:lineRule="exact"/>
        <w:ind w:firstLine="482" w:firstLineChars="200"/>
        <w:rPr>
          <w:rFonts w:hint="eastAsia" w:ascii="宋体" w:hAnsi="宋体" w:cs="宋体"/>
          <w:b/>
          <w:color w:val="auto"/>
          <w:sz w:val="24"/>
        </w:rPr>
      </w:pPr>
      <w:r>
        <w:rPr>
          <w:rFonts w:hint="eastAsia" w:ascii="宋体" w:hAnsi="宋体" w:cs="宋体"/>
          <w:b/>
          <w:color w:val="auto"/>
          <w:sz w:val="24"/>
        </w:rPr>
        <w:t>9.特别说明：</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9.1</w:t>
      </w:r>
      <w:r>
        <w:rPr>
          <w:rStyle w:val="86"/>
          <w:rFonts w:hint="eastAsia" w:ascii="宋体" w:hAnsi="宋体" w:cs="宋体"/>
          <w:color w:val="auto"/>
          <w:kern w:val="0"/>
        </w:rPr>
        <w:t>投标人投标所使用的信誉、荣誉、业绩与企业相关证书必须为投标人所拥有并作出书面承诺附投标文件中，</w:t>
      </w:r>
      <w:r>
        <w:rPr>
          <w:rFonts w:hint="eastAsia" w:ascii="宋体" w:hAnsi="宋体" w:cs="宋体"/>
          <w:color w:val="auto"/>
          <w:kern w:val="0"/>
          <w:sz w:val="24"/>
        </w:rPr>
        <w:t>否则视为对招标文件未作出实质性响应</w:t>
      </w:r>
      <w:r>
        <w:rPr>
          <w:rStyle w:val="86"/>
          <w:rFonts w:hint="eastAsia" w:ascii="宋体" w:hAnsi="宋体" w:cs="宋体"/>
          <w:color w:val="auto"/>
          <w:kern w:val="0"/>
        </w:rPr>
        <w:t>。</w:t>
      </w:r>
      <w:r>
        <w:rPr>
          <w:rFonts w:hint="eastAsia" w:ascii="宋体" w:hAnsi="宋体" w:cs="宋体"/>
          <w:color w:val="auto"/>
          <w:sz w:val="24"/>
        </w:rPr>
        <w:t xml:space="preserve">   </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9.2 投标人代表只能接受一个投标人的委托参加投标。</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9.3 《政府采购法》第二十二条第五款“参加政府采购活动前三年内，在经营活动中没有重大违法记录”，“重大违法记录”是指投标人因违法经营受到刑事处罚或者责令停产停业、吊销许可证或者执照、较大数额罚款等行政处罚。</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9.4投标人在投标活动中提供虚假材料或从事其他违法活动的,其投标无效，由相关部门查处。</w:t>
      </w:r>
    </w:p>
    <w:p>
      <w:pPr>
        <w:wordWrap w:val="0"/>
        <w:spacing w:line="480" w:lineRule="exact"/>
        <w:ind w:firstLine="482" w:firstLineChars="200"/>
        <w:rPr>
          <w:rFonts w:hint="eastAsia" w:ascii="宋体" w:hAnsi="宋体" w:cs="宋体"/>
          <w:b/>
          <w:color w:val="auto"/>
          <w:sz w:val="24"/>
        </w:rPr>
      </w:pPr>
      <w:r>
        <w:rPr>
          <w:rFonts w:hint="eastAsia" w:ascii="宋体" w:hAnsi="宋体" w:cs="宋体"/>
          <w:b/>
          <w:color w:val="auto"/>
          <w:sz w:val="24"/>
        </w:rPr>
        <w:t>10.质疑和投诉</w:t>
      </w:r>
    </w:p>
    <w:p>
      <w:pPr>
        <w:wordWrap w:val="0"/>
        <w:spacing w:line="500" w:lineRule="exact"/>
        <w:ind w:firstLine="480" w:firstLineChars="200"/>
        <w:rPr>
          <w:rFonts w:hint="eastAsia" w:ascii="宋体" w:hAnsi="宋体"/>
          <w:color w:val="auto"/>
          <w:kern w:val="0"/>
          <w:sz w:val="24"/>
        </w:rPr>
      </w:pPr>
      <w:r>
        <w:rPr>
          <w:rFonts w:hint="eastAsia" w:ascii="宋体" w:hAnsi="宋体"/>
          <w:color w:val="auto"/>
          <w:kern w:val="0"/>
          <w:sz w:val="24"/>
        </w:rPr>
        <w:t>10.1投标人认为招标文件使自己的合法权益受到损害的，应当在招标公告期限届满之日(或收到招标文件之日)起7个工作日之内向招标人或代理机构提出质疑；投标人认为招标过程和中标结果使自己的合法权益受到损害的，应当在知道或者应知其权益受到损害之日起7个工作日内提出质疑,逾期不再受理,投标人在法定质疑期内应一次性提出针对同一采购环节的质疑。关于对招标程序、招标文件格式性条款、评审结果的询问和质疑,请向招标人或代理机构提出；关于对投标人特殊资质要求、技术参数和技术标准、商务要求、综合评分标准的询问和质疑，请向招标人提出。</w:t>
      </w:r>
    </w:p>
    <w:p>
      <w:pPr>
        <w:wordWrap w:val="0"/>
        <w:spacing w:line="500" w:lineRule="exact"/>
        <w:ind w:firstLine="480" w:firstLineChars="200"/>
        <w:rPr>
          <w:rFonts w:hint="eastAsia" w:ascii="宋体" w:hAnsi="宋体"/>
          <w:color w:val="auto"/>
          <w:kern w:val="0"/>
          <w:sz w:val="24"/>
        </w:rPr>
      </w:pPr>
      <w:r>
        <w:rPr>
          <w:rFonts w:hint="eastAsia" w:ascii="宋体" w:hAnsi="宋体"/>
          <w:color w:val="auto"/>
          <w:kern w:val="0"/>
          <w:sz w:val="24"/>
        </w:rPr>
        <w:t>投标人对招标人或代理机构的质疑答复不满意,或招标人或代理机构未在规定时间内作出答复的，可以在答复期满后15个工作日内向同级财政部门投诉。</w:t>
      </w:r>
    </w:p>
    <w:p>
      <w:pPr>
        <w:wordWrap w:val="0"/>
        <w:spacing w:line="500" w:lineRule="exact"/>
        <w:ind w:firstLine="480" w:firstLineChars="200"/>
        <w:rPr>
          <w:rFonts w:hint="eastAsia" w:ascii="宋体" w:hAnsi="宋体"/>
          <w:color w:val="auto"/>
          <w:kern w:val="0"/>
          <w:sz w:val="24"/>
        </w:rPr>
      </w:pPr>
      <w:r>
        <w:rPr>
          <w:rFonts w:hint="eastAsia" w:ascii="宋体" w:hAnsi="宋体"/>
          <w:color w:val="auto"/>
          <w:kern w:val="0"/>
          <w:sz w:val="24"/>
        </w:rPr>
        <w:t>10.2质疑、投诉应当采用书面形式，质疑及答疑将通过驻马店市公共资源交易中心电子交易平台不见面交易系统进行。质疑书、投诉书均应明确阐述招标文件、招标过程和中标结果中使自己合法权益受到损害的实质性内容，提供相关事实、依据和证据及其来源或线索，便于有关单位调查、答复和处理。</w:t>
      </w:r>
    </w:p>
    <w:p>
      <w:pPr>
        <w:wordWrap w:val="0"/>
        <w:spacing w:line="480" w:lineRule="exact"/>
        <w:ind w:firstLine="482" w:firstLineChars="200"/>
        <w:rPr>
          <w:rFonts w:hint="eastAsia" w:ascii="宋体" w:hAnsi="宋体" w:cs="宋体"/>
          <w:b/>
          <w:color w:val="auto"/>
          <w:sz w:val="24"/>
        </w:rPr>
      </w:pPr>
      <w:r>
        <w:rPr>
          <w:rFonts w:hint="eastAsia" w:ascii="宋体" w:hAnsi="宋体" w:cs="宋体"/>
          <w:b/>
          <w:color w:val="auto"/>
          <w:sz w:val="24"/>
        </w:rPr>
        <w:t>11.投标人的风险</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投标人没有按照招标文件要求提供全部资料，或者投标人没有对招标文件在各方面都作出实质性响应是投标人的风险，并可能导致其投标被拒绝。</w:t>
      </w:r>
    </w:p>
    <w:p>
      <w:pPr>
        <w:wordWrap w:val="0"/>
        <w:spacing w:line="480" w:lineRule="exact"/>
        <w:ind w:firstLine="562" w:firstLineChars="200"/>
        <w:jc w:val="center"/>
        <w:rPr>
          <w:rFonts w:hint="eastAsia" w:ascii="宋体" w:hAnsi="宋体" w:cs="宋体"/>
          <w:b/>
          <w:color w:val="auto"/>
          <w:sz w:val="24"/>
        </w:rPr>
      </w:pPr>
      <w:r>
        <w:rPr>
          <w:rFonts w:hint="eastAsia" w:ascii="宋体" w:hAnsi="宋体" w:cs="宋体"/>
          <w:b/>
          <w:color w:val="auto"/>
          <w:sz w:val="28"/>
          <w:szCs w:val="28"/>
        </w:rPr>
        <w:t>二  招标文件</w:t>
      </w:r>
    </w:p>
    <w:p>
      <w:pPr>
        <w:wordWrap w:val="0"/>
        <w:spacing w:line="480" w:lineRule="exact"/>
        <w:ind w:firstLine="585"/>
        <w:rPr>
          <w:rFonts w:hint="eastAsia" w:ascii="宋体" w:hAnsi="宋体" w:cs="宋体"/>
          <w:b/>
          <w:color w:val="auto"/>
          <w:sz w:val="24"/>
        </w:rPr>
      </w:pPr>
      <w:r>
        <w:rPr>
          <w:rFonts w:hint="eastAsia" w:ascii="宋体" w:hAnsi="宋体" w:cs="宋体"/>
          <w:b/>
          <w:color w:val="auto"/>
          <w:sz w:val="24"/>
        </w:rPr>
        <w:t>12.招标文件的构成。本招标文件由以下部分组成</w:t>
      </w:r>
    </w:p>
    <w:p>
      <w:pPr>
        <w:wordWrap w:val="0"/>
        <w:spacing w:line="480" w:lineRule="exact"/>
        <w:ind w:firstLine="585"/>
        <w:jc w:val="left"/>
        <w:rPr>
          <w:rFonts w:hint="eastAsia" w:ascii="宋体" w:hAnsi="宋体" w:cs="宋体"/>
          <w:color w:val="auto"/>
          <w:kern w:val="0"/>
          <w:sz w:val="24"/>
        </w:rPr>
      </w:pPr>
      <w:r>
        <w:rPr>
          <w:rFonts w:hint="eastAsia" w:ascii="宋体" w:hAnsi="宋体" w:cs="宋体"/>
          <w:color w:val="auto"/>
          <w:kern w:val="0"/>
          <w:sz w:val="24"/>
        </w:rPr>
        <w:t>12.1 招标公告</w:t>
      </w:r>
    </w:p>
    <w:p>
      <w:pPr>
        <w:wordWrap w:val="0"/>
        <w:spacing w:line="480" w:lineRule="exact"/>
        <w:ind w:firstLine="585"/>
        <w:jc w:val="left"/>
        <w:rPr>
          <w:rFonts w:hint="eastAsia" w:ascii="宋体" w:hAnsi="宋体" w:cs="宋体"/>
          <w:color w:val="auto"/>
          <w:kern w:val="0"/>
          <w:sz w:val="24"/>
        </w:rPr>
      </w:pPr>
      <w:r>
        <w:rPr>
          <w:rFonts w:hint="eastAsia" w:ascii="宋体" w:hAnsi="宋体" w:cs="宋体"/>
          <w:color w:val="auto"/>
          <w:kern w:val="0"/>
          <w:sz w:val="24"/>
        </w:rPr>
        <w:t>12.2 招标需求</w:t>
      </w:r>
    </w:p>
    <w:p>
      <w:pPr>
        <w:wordWrap w:val="0"/>
        <w:spacing w:line="480" w:lineRule="exact"/>
        <w:ind w:firstLine="585"/>
        <w:jc w:val="left"/>
        <w:rPr>
          <w:rFonts w:hint="eastAsia" w:ascii="宋体" w:hAnsi="宋体" w:cs="宋体"/>
          <w:color w:val="auto"/>
          <w:kern w:val="0"/>
          <w:sz w:val="24"/>
        </w:rPr>
      </w:pPr>
      <w:r>
        <w:rPr>
          <w:rFonts w:hint="eastAsia" w:ascii="宋体" w:hAnsi="宋体" w:cs="宋体"/>
          <w:color w:val="auto"/>
          <w:kern w:val="0"/>
          <w:sz w:val="24"/>
        </w:rPr>
        <w:t>12.3 投标人须知</w:t>
      </w:r>
    </w:p>
    <w:p>
      <w:pPr>
        <w:wordWrap w:val="0"/>
        <w:spacing w:line="480" w:lineRule="exact"/>
        <w:ind w:firstLine="585"/>
        <w:jc w:val="left"/>
        <w:rPr>
          <w:rFonts w:hint="eastAsia" w:ascii="宋体" w:hAnsi="宋体" w:cs="宋体"/>
          <w:color w:val="auto"/>
          <w:kern w:val="0"/>
          <w:sz w:val="24"/>
        </w:rPr>
      </w:pPr>
      <w:r>
        <w:rPr>
          <w:rFonts w:hint="eastAsia" w:ascii="宋体" w:hAnsi="宋体" w:cs="宋体"/>
          <w:color w:val="auto"/>
          <w:kern w:val="0"/>
          <w:sz w:val="24"/>
        </w:rPr>
        <w:t>12.4 评标办法及标准</w:t>
      </w:r>
    </w:p>
    <w:p>
      <w:pPr>
        <w:wordWrap w:val="0"/>
        <w:spacing w:line="480" w:lineRule="exact"/>
        <w:ind w:firstLine="585"/>
        <w:jc w:val="left"/>
        <w:rPr>
          <w:rFonts w:hint="eastAsia" w:ascii="宋体" w:hAnsi="宋体" w:cs="宋体"/>
          <w:color w:val="auto"/>
          <w:kern w:val="0"/>
          <w:sz w:val="24"/>
        </w:rPr>
      </w:pPr>
      <w:r>
        <w:rPr>
          <w:rFonts w:hint="eastAsia" w:ascii="宋体" w:hAnsi="宋体" w:cs="宋体"/>
          <w:color w:val="auto"/>
          <w:kern w:val="0"/>
          <w:sz w:val="24"/>
        </w:rPr>
        <w:t>12.5 合同主要条款</w:t>
      </w:r>
    </w:p>
    <w:p>
      <w:pPr>
        <w:wordWrap w:val="0"/>
        <w:spacing w:line="480" w:lineRule="exact"/>
        <w:ind w:firstLine="585"/>
        <w:jc w:val="left"/>
        <w:rPr>
          <w:rFonts w:hint="eastAsia" w:ascii="宋体" w:hAnsi="宋体" w:cs="宋体"/>
          <w:color w:val="auto"/>
          <w:kern w:val="0"/>
          <w:sz w:val="24"/>
        </w:rPr>
      </w:pPr>
      <w:r>
        <w:rPr>
          <w:rFonts w:hint="eastAsia" w:ascii="宋体" w:hAnsi="宋体" w:cs="宋体"/>
          <w:color w:val="auto"/>
          <w:kern w:val="0"/>
          <w:sz w:val="24"/>
        </w:rPr>
        <w:t>12.6 投标文件格式</w:t>
      </w:r>
    </w:p>
    <w:p>
      <w:pPr>
        <w:wordWrap w:val="0"/>
        <w:spacing w:line="480" w:lineRule="exact"/>
        <w:ind w:firstLine="585"/>
        <w:jc w:val="left"/>
        <w:rPr>
          <w:rFonts w:hint="eastAsia" w:ascii="宋体" w:hAnsi="宋体" w:cs="宋体"/>
          <w:color w:val="auto"/>
          <w:kern w:val="0"/>
          <w:sz w:val="24"/>
        </w:rPr>
      </w:pPr>
      <w:r>
        <w:rPr>
          <w:rFonts w:hint="eastAsia" w:ascii="宋体" w:hAnsi="宋体" w:cs="宋体"/>
          <w:color w:val="auto"/>
          <w:kern w:val="0"/>
          <w:sz w:val="24"/>
        </w:rPr>
        <w:t>12.7 政府采购合同融资政策告知函</w:t>
      </w:r>
    </w:p>
    <w:p>
      <w:pPr>
        <w:wordWrap w:val="0"/>
        <w:spacing w:line="480" w:lineRule="exact"/>
        <w:ind w:firstLine="585"/>
        <w:rPr>
          <w:rFonts w:hint="eastAsia" w:ascii="宋体" w:hAnsi="宋体" w:cs="宋体"/>
          <w:b/>
          <w:color w:val="auto"/>
          <w:sz w:val="24"/>
        </w:rPr>
      </w:pPr>
      <w:r>
        <w:rPr>
          <w:rFonts w:hint="eastAsia" w:ascii="宋体" w:hAnsi="宋体" w:cs="宋体"/>
          <w:b/>
          <w:color w:val="auto"/>
          <w:sz w:val="24"/>
        </w:rPr>
        <w:t>13.招标文件的澄清与修改</w:t>
      </w:r>
    </w:p>
    <w:p>
      <w:pPr>
        <w:wordWrap w:val="0"/>
        <w:spacing w:line="480" w:lineRule="exact"/>
        <w:ind w:firstLine="480" w:firstLineChars="200"/>
        <w:rPr>
          <w:rFonts w:hint="eastAsia" w:ascii="宋体" w:hAnsi="宋体" w:cs="宋体"/>
          <w:bCs/>
          <w:color w:val="auto"/>
          <w:kern w:val="0"/>
          <w:sz w:val="24"/>
        </w:rPr>
      </w:pPr>
      <w:r>
        <w:rPr>
          <w:rFonts w:hint="eastAsia" w:ascii="宋体" w:hAnsi="宋体" w:cs="宋体"/>
          <w:bCs/>
          <w:color w:val="auto"/>
          <w:kern w:val="0"/>
          <w:sz w:val="24"/>
        </w:rPr>
        <w:t>13.1 代理机构对已发出的招标文件进行必要澄清、修改或补充的，应当在投标截止时间15日（如至原定截止时间不足15日，则需延长开标时间，招标文件获取时间、递交样品截止时间等可以相应延长）前，在河南省政府采购网、驻马店市公共资源交易中心网等相关媒体上发布更正公告或变更公告。</w:t>
      </w:r>
    </w:p>
    <w:p>
      <w:pPr>
        <w:wordWrap w:val="0"/>
        <w:spacing w:line="480" w:lineRule="exact"/>
        <w:ind w:firstLine="480" w:firstLineChars="200"/>
        <w:rPr>
          <w:rFonts w:hint="eastAsia" w:ascii="宋体" w:hAnsi="宋体" w:cs="宋体"/>
          <w:bCs/>
          <w:color w:val="auto"/>
          <w:kern w:val="0"/>
          <w:sz w:val="24"/>
        </w:rPr>
      </w:pPr>
      <w:r>
        <w:rPr>
          <w:rFonts w:hint="eastAsia" w:ascii="宋体" w:hAnsi="宋体" w:cs="宋体"/>
          <w:bCs/>
          <w:color w:val="auto"/>
          <w:kern w:val="0"/>
          <w:sz w:val="24"/>
        </w:rPr>
        <w:t>13.2 招标文件澄清、修改或补充的内容为招标文件的组成部分。</w:t>
      </w:r>
    </w:p>
    <w:p>
      <w:pPr>
        <w:wordWrap w:val="0"/>
        <w:spacing w:line="480" w:lineRule="exact"/>
        <w:ind w:firstLine="480" w:firstLineChars="200"/>
        <w:rPr>
          <w:rFonts w:hint="eastAsia" w:ascii="宋体" w:hAnsi="宋体" w:cs="宋体"/>
          <w:bCs/>
          <w:color w:val="auto"/>
          <w:kern w:val="0"/>
          <w:sz w:val="24"/>
        </w:rPr>
      </w:pPr>
      <w:r>
        <w:rPr>
          <w:rFonts w:hint="eastAsia" w:ascii="宋体" w:hAnsi="宋体" w:cs="宋体"/>
          <w:bCs/>
          <w:color w:val="auto"/>
          <w:kern w:val="0"/>
          <w:sz w:val="24"/>
        </w:rPr>
        <w:t>13.3 招标文件的澄清、修改或补充都应通过本代理机构以法定形式发布。招标人未通过本代理机构对招标文件进行的澄清、修改或补充无效，评标时不予认可。</w:t>
      </w:r>
    </w:p>
    <w:p>
      <w:pPr>
        <w:wordWrap w:val="0"/>
        <w:spacing w:line="480" w:lineRule="exact"/>
        <w:ind w:firstLine="480" w:firstLineChars="200"/>
        <w:rPr>
          <w:rFonts w:hint="eastAsia" w:ascii="宋体" w:hAnsi="宋体" w:cs="宋体"/>
          <w:b/>
          <w:color w:val="auto"/>
          <w:kern w:val="0"/>
          <w:sz w:val="24"/>
        </w:rPr>
      </w:pPr>
      <w:r>
        <w:rPr>
          <w:rFonts w:hint="eastAsia" w:ascii="宋体" w:hAnsi="宋体" w:cs="宋体"/>
          <w:bCs/>
          <w:color w:val="auto"/>
          <w:kern w:val="0"/>
          <w:sz w:val="24"/>
        </w:rPr>
        <w:t>13.4 代理机构可以视采购具体情况延长投标截止时间和开标时间，但至少应当在投标截止时间3日前，将变更时间在河南省政府采购网、驻马店市公共资源交易中心网等相关媒体上发布更正公告或变更公告。</w:t>
      </w:r>
      <w:r>
        <w:rPr>
          <w:rFonts w:hint="eastAsia" w:ascii="宋体" w:hAnsi="宋体" w:cs="宋体"/>
          <w:b/>
          <w:color w:val="auto"/>
          <w:kern w:val="0"/>
          <w:sz w:val="24"/>
        </w:rPr>
        <w:t xml:space="preserve"> </w:t>
      </w:r>
    </w:p>
    <w:p>
      <w:pPr>
        <w:widowControl/>
        <w:wordWrap w:val="0"/>
        <w:spacing w:line="480" w:lineRule="exact"/>
        <w:ind w:firstLine="200"/>
        <w:jc w:val="center"/>
        <w:rPr>
          <w:rFonts w:hint="eastAsia" w:ascii="宋体" w:hAnsi="宋体" w:cs="宋体"/>
          <w:b/>
          <w:color w:val="auto"/>
          <w:kern w:val="0"/>
          <w:sz w:val="28"/>
          <w:szCs w:val="28"/>
        </w:rPr>
      </w:pPr>
    </w:p>
    <w:p>
      <w:pPr>
        <w:widowControl/>
        <w:wordWrap w:val="0"/>
        <w:spacing w:line="480" w:lineRule="exact"/>
        <w:ind w:firstLine="200"/>
        <w:jc w:val="center"/>
        <w:rPr>
          <w:rFonts w:hint="eastAsia" w:ascii="宋体" w:hAnsi="宋体" w:cs="宋体"/>
          <w:b/>
          <w:color w:val="auto"/>
          <w:kern w:val="0"/>
          <w:sz w:val="28"/>
          <w:szCs w:val="28"/>
        </w:rPr>
      </w:pPr>
      <w:r>
        <w:rPr>
          <w:rFonts w:hint="eastAsia" w:ascii="宋体" w:hAnsi="宋体" w:cs="宋体"/>
          <w:b/>
          <w:color w:val="auto"/>
          <w:kern w:val="0"/>
          <w:sz w:val="28"/>
          <w:szCs w:val="28"/>
        </w:rPr>
        <w:t>三   投标文件的编制</w:t>
      </w:r>
    </w:p>
    <w:p>
      <w:pPr>
        <w:wordWrap w:val="0"/>
        <w:spacing w:line="480" w:lineRule="exact"/>
        <w:ind w:firstLine="482" w:firstLineChars="200"/>
        <w:rPr>
          <w:rFonts w:hint="eastAsia" w:ascii="宋体" w:hAnsi="宋体" w:cs="宋体"/>
          <w:b/>
          <w:color w:val="auto"/>
          <w:sz w:val="24"/>
        </w:rPr>
      </w:pPr>
      <w:r>
        <w:rPr>
          <w:rFonts w:hint="eastAsia" w:ascii="宋体" w:hAnsi="宋体" w:cs="宋体"/>
          <w:b/>
          <w:color w:val="auto"/>
          <w:sz w:val="24"/>
        </w:rPr>
        <w:t>14.要求</w:t>
      </w:r>
    </w:p>
    <w:p>
      <w:pPr>
        <w:widowControl/>
        <w:wordWrap w:val="0"/>
        <w:spacing w:line="480" w:lineRule="exact"/>
        <w:ind w:firstLine="480"/>
        <w:rPr>
          <w:rFonts w:hint="eastAsia" w:ascii="宋体" w:hAnsi="宋体" w:cs="宋体"/>
          <w:color w:val="auto"/>
          <w:kern w:val="0"/>
          <w:sz w:val="24"/>
        </w:rPr>
      </w:pPr>
      <w:r>
        <w:rPr>
          <w:rFonts w:hint="eastAsia" w:ascii="宋体" w:hAnsi="宋体" w:cs="宋体"/>
          <w:color w:val="auto"/>
          <w:kern w:val="0"/>
          <w:sz w:val="24"/>
        </w:rPr>
        <w:t>14.1 投标人应仔细阅读招标文件的所有内容，按照招标文件提供的格式编写投标文件，不得缺少或留空任何招标文件要求填写的表格或提交的资料。招标文件提供格式的按格式填列，未提供格式的可自行拟定。投标文件应对招标文件的要求作出实质性响应（包括投标人资格要求、服务技术需求、商务要求和投标文件格式中对投标的要求），投标人对所提供的全部资料的合法性、真实性负责并作出书面承诺附投标文件内，否则视为对招标文件未作出实质性响应。</w:t>
      </w:r>
    </w:p>
    <w:p>
      <w:pPr>
        <w:widowControl/>
        <w:wordWrap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14.2 投标人应完整签署投标文件格式附件中《投标书》和《抵制商业贿赂承诺》，不得增减或修改内容，否则视为对招标文件未作出实质性响应。</w:t>
      </w:r>
    </w:p>
    <w:p>
      <w:pPr>
        <w:wordWrap w:val="0"/>
        <w:spacing w:line="480" w:lineRule="exact"/>
        <w:ind w:firstLine="482" w:firstLineChars="200"/>
        <w:rPr>
          <w:rFonts w:hint="eastAsia" w:ascii="宋体" w:hAnsi="宋体" w:cs="宋体"/>
          <w:b/>
          <w:color w:val="auto"/>
          <w:sz w:val="24"/>
        </w:rPr>
      </w:pPr>
      <w:r>
        <w:rPr>
          <w:rFonts w:hint="eastAsia" w:ascii="宋体" w:hAnsi="宋体" w:cs="宋体"/>
          <w:b/>
          <w:color w:val="auto"/>
          <w:sz w:val="24"/>
        </w:rPr>
        <w:t>15.投标文件的语言和计量单位</w:t>
      </w:r>
    </w:p>
    <w:p>
      <w:pPr>
        <w:widowControl/>
        <w:tabs>
          <w:tab w:val="left" w:pos="0"/>
        </w:tabs>
        <w:wordWrap w:val="0"/>
        <w:snapToGrid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15.1投标文件以及投标人与招标人就有关投标事宜的所有来往函电均应使用简体中文书写。</w:t>
      </w:r>
    </w:p>
    <w:p>
      <w:pPr>
        <w:widowControl/>
        <w:wordWrap w:val="0"/>
        <w:snapToGrid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15.2 关于投标计量单位，招标文件已有明确规定的，使用招标文件规定的计量单位；招标文件没有规定的，应采用中华人民共和国法定计量单位。否则视为对招标文件未作出实质性响应。</w:t>
      </w:r>
    </w:p>
    <w:p>
      <w:pPr>
        <w:widowControl/>
        <w:tabs>
          <w:tab w:val="left" w:pos="567"/>
        </w:tabs>
        <w:wordWrap w:val="0"/>
        <w:snapToGrid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widowControl/>
        <w:wordWrap w:val="0"/>
        <w:spacing w:line="480" w:lineRule="exact"/>
        <w:ind w:firstLine="482" w:firstLineChars="200"/>
        <w:jc w:val="left"/>
        <w:rPr>
          <w:rFonts w:hint="eastAsia" w:ascii="宋体" w:hAnsi="宋体" w:cs="宋体"/>
          <w:b/>
          <w:color w:val="auto"/>
          <w:kern w:val="0"/>
          <w:sz w:val="24"/>
        </w:rPr>
      </w:pPr>
      <w:r>
        <w:rPr>
          <w:rFonts w:hint="eastAsia" w:ascii="宋体" w:hAnsi="宋体" w:cs="宋体"/>
          <w:b/>
          <w:color w:val="auto"/>
          <w:kern w:val="0"/>
          <w:sz w:val="24"/>
        </w:rPr>
        <w:t>16.投标文件的组成</w:t>
      </w:r>
      <w:r>
        <w:rPr>
          <w:rFonts w:hint="eastAsia" w:ascii="宋体" w:hAnsi="宋体" w:cs="宋体"/>
          <w:color w:val="auto"/>
          <w:kern w:val="0"/>
          <w:sz w:val="24"/>
        </w:rPr>
        <w:t>。</w:t>
      </w:r>
      <w:r>
        <w:rPr>
          <w:rFonts w:hint="eastAsia" w:ascii="宋体" w:hAnsi="宋体" w:cs="宋体"/>
          <w:b/>
          <w:color w:val="auto"/>
          <w:kern w:val="0"/>
          <w:sz w:val="24"/>
        </w:rPr>
        <w:t>投标文件应包括下列部分：</w:t>
      </w:r>
    </w:p>
    <w:p>
      <w:pPr>
        <w:widowControl/>
        <w:wordWrap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16.1 投标书</w:t>
      </w:r>
    </w:p>
    <w:p>
      <w:pPr>
        <w:widowControl/>
        <w:wordWrap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16.2 开标一览表</w:t>
      </w:r>
    </w:p>
    <w:p>
      <w:pPr>
        <w:widowControl/>
        <w:wordWrap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16.3 技术响应表</w:t>
      </w:r>
    </w:p>
    <w:p>
      <w:pPr>
        <w:widowControl/>
        <w:wordWrap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16.4 商务响应表</w:t>
      </w:r>
    </w:p>
    <w:p>
      <w:pPr>
        <w:widowControl/>
        <w:wordWrap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16.5 法定代表人身份证明</w:t>
      </w:r>
    </w:p>
    <w:p>
      <w:pPr>
        <w:widowControl/>
        <w:wordWrap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16.6 法定代表人授权书</w:t>
      </w:r>
    </w:p>
    <w:p>
      <w:pPr>
        <w:widowControl/>
        <w:wordWrap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16.7 证明文件</w:t>
      </w:r>
    </w:p>
    <w:p>
      <w:pPr>
        <w:widowControl/>
        <w:wordWrap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16.8 抵制商业贿赂承诺</w:t>
      </w:r>
    </w:p>
    <w:p>
      <w:pPr>
        <w:wordWrap w:val="0"/>
        <w:spacing w:line="480" w:lineRule="exact"/>
        <w:ind w:firstLine="482" w:firstLineChars="200"/>
        <w:rPr>
          <w:rFonts w:hint="eastAsia" w:ascii="宋体" w:hAnsi="宋体" w:cs="宋体"/>
          <w:b/>
          <w:color w:val="auto"/>
          <w:sz w:val="24"/>
        </w:rPr>
      </w:pPr>
      <w:r>
        <w:rPr>
          <w:rFonts w:hint="eastAsia" w:ascii="宋体" w:hAnsi="宋体" w:cs="宋体"/>
          <w:b/>
          <w:color w:val="auto"/>
          <w:sz w:val="24"/>
        </w:rPr>
        <w:t>17.投标有效期</w:t>
      </w:r>
    </w:p>
    <w:p>
      <w:pPr>
        <w:widowControl/>
        <w:wordWrap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17.1 投标文件有效期须附投标文件中并加盖单位公章否则按不响应招标文件处理，投标文件从招标公告所规定的投标截止时间之后开始生效，在投标人须知前附表第16项所规定的期限内保持有效。有效期不足将导致其投标文件被拒绝。中标人的投标文件有效期至合同完全履行止。</w:t>
      </w:r>
    </w:p>
    <w:p>
      <w:pPr>
        <w:widowControl/>
        <w:wordWrap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17.2特殊情况下代理机构可于投标有效期满之前书面要求投标人同意延长有效期，投标人应在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wordWrap w:val="0"/>
        <w:spacing w:line="480" w:lineRule="exact"/>
        <w:ind w:firstLine="482" w:firstLineChars="200"/>
        <w:rPr>
          <w:rFonts w:hint="eastAsia" w:ascii="宋体" w:hAnsi="宋体" w:cs="宋体"/>
          <w:b/>
          <w:color w:val="auto"/>
          <w:sz w:val="24"/>
        </w:rPr>
      </w:pPr>
      <w:r>
        <w:rPr>
          <w:rFonts w:hint="eastAsia" w:ascii="宋体" w:hAnsi="宋体" w:cs="宋体"/>
          <w:b/>
          <w:color w:val="auto"/>
          <w:sz w:val="24"/>
        </w:rPr>
        <w:t>18.投标报价</w:t>
      </w:r>
    </w:p>
    <w:p>
      <w:pPr>
        <w:widowControl/>
        <w:wordWrap w:val="0"/>
        <w:snapToGrid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18.1 本项目投标报价均以人民币元为计算单位。投标人的投标报价为完成本项目内容产生的所有费用。</w:t>
      </w:r>
    </w:p>
    <w:p>
      <w:pPr>
        <w:widowControl/>
        <w:wordWrap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18.2 投标人要按开标一览表的内容填写</w:t>
      </w:r>
      <w:r>
        <w:rPr>
          <w:rFonts w:hint="eastAsia" w:ascii="宋体" w:hAnsi="宋体" w:cs="Arial"/>
          <w:color w:val="auto"/>
          <w:kern w:val="0"/>
          <w:sz w:val="24"/>
        </w:rPr>
        <w:t>。</w:t>
      </w:r>
    </w:p>
    <w:p>
      <w:pPr>
        <w:widowControl/>
        <w:wordWrap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18.3 投标人投报多标包的，应对每标包分别报价并分别填报开标一览表。</w:t>
      </w:r>
    </w:p>
    <w:p>
      <w:pPr>
        <w:widowControl/>
        <w:wordWrap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18.4 开标一览表中标明的价格在政府采购合同执行过程中是固定不变的，投标人不得以任何理由予以变更。以可调整的价格提交的投标将被作为无效投标处理。</w:t>
      </w:r>
    </w:p>
    <w:p>
      <w:pPr>
        <w:widowControl/>
        <w:wordWrap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18.5 代理机构不接受可选择的投标报价。</w:t>
      </w:r>
    </w:p>
    <w:p>
      <w:pPr>
        <w:widowControl/>
        <w:wordWrap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18.6 对于投标人在开标一览表和投标文件中列出的赠送条款，在评审时不得作为价格评分因素或者调整评标价格的依据。</w:t>
      </w:r>
    </w:p>
    <w:p>
      <w:pPr>
        <w:widowControl/>
        <w:wordWrap w:val="0"/>
        <w:spacing w:line="480" w:lineRule="exact"/>
        <w:ind w:firstLine="482" w:firstLineChars="200"/>
        <w:jc w:val="left"/>
        <w:textAlignment w:val="baseline"/>
        <w:rPr>
          <w:rFonts w:hint="eastAsia" w:ascii="宋体" w:hAnsi="宋体" w:cs="宋体"/>
          <w:b/>
          <w:color w:val="auto"/>
          <w:sz w:val="24"/>
        </w:rPr>
      </w:pPr>
      <w:r>
        <w:rPr>
          <w:rFonts w:hint="eastAsia" w:ascii="宋体" w:hAnsi="宋体" w:cs="宋体"/>
          <w:b/>
          <w:color w:val="auto"/>
          <w:sz w:val="24"/>
        </w:rPr>
        <w:t>19.投标保证金（</w:t>
      </w:r>
      <w:r>
        <w:rPr>
          <w:rStyle w:val="86"/>
          <w:rFonts w:hint="eastAsia" w:ascii="宋体" w:hAnsi="宋体" w:cs="宋体"/>
          <w:color w:val="auto"/>
          <w:kern w:val="0"/>
        </w:rPr>
        <w:t>本项目无投标保证金</w:t>
      </w:r>
      <w:r>
        <w:rPr>
          <w:rFonts w:hint="eastAsia" w:ascii="宋体" w:hAnsi="宋体" w:cs="宋体"/>
          <w:b/>
          <w:color w:val="auto"/>
          <w:sz w:val="24"/>
        </w:rPr>
        <w:t>）</w:t>
      </w:r>
      <w:r>
        <w:rPr>
          <w:rStyle w:val="86"/>
          <w:rFonts w:hint="eastAsia" w:ascii="宋体" w:hAnsi="宋体" w:cs="宋体"/>
          <w:color w:val="auto"/>
          <w:kern w:val="0"/>
        </w:rPr>
        <w:t>。</w:t>
      </w:r>
    </w:p>
    <w:p>
      <w:pPr>
        <w:widowControl/>
        <w:wordWrap w:val="0"/>
        <w:snapToGrid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19.1 投标保证金为投标文件的组成部分之一，用于保护本次招标活动免受因投标人的行为而引起的风险。</w:t>
      </w:r>
    </w:p>
    <w:p>
      <w:pPr>
        <w:widowControl/>
        <w:wordWrap w:val="0"/>
        <w:snapToGrid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19.2 投标人应按照招标公告和投标人须知前附表第10项的要求交纳和退还投标保证金。联合体投标的，可以由联合体中的一方或者共同提交投标保证金。以一方名义提交投标保证金的，对联合体各方均具有约束力。</w:t>
      </w:r>
    </w:p>
    <w:p>
      <w:pPr>
        <w:widowControl/>
        <w:wordWrap w:val="0"/>
        <w:snapToGrid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19.3 发生以下情况之一的，投标保证金将不予退还并将上报财政部门列入失信名单：</w:t>
      </w:r>
    </w:p>
    <w:p>
      <w:pPr>
        <w:widowControl/>
        <w:wordWrap w:val="0"/>
        <w:snapToGrid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19.3.1 投标人串通投标的。</w:t>
      </w:r>
    </w:p>
    <w:p>
      <w:pPr>
        <w:widowControl/>
        <w:wordWrap w:val="0"/>
        <w:snapToGrid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19.3.2 投标人提供虚假材料谋取中标的。</w:t>
      </w:r>
    </w:p>
    <w:p>
      <w:pPr>
        <w:widowControl/>
        <w:wordWrap w:val="0"/>
        <w:snapToGrid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19.3.3 投标人递交投标文件后，在唱标后私自退出的。</w:t>
      </w:r>
    </w:p>
    <w:p>
      <w:pPr>
        <w:widowControl/>
        <w:wordWrap w:val="0"/>
        <w:snapToGrid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19.3.4 投标人在投标截止时间后、投标有效期内撤回投标的。</w:t>
      </w:r>
    </w:p>
    <w:p>
      <w:pPr>
        <w:widowControl/>
        <w:wordWrap w:val="0"/>
        <w:snapToGrid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19.3.5中标人未按规定领取中标通知书的。</w:t>
      </w:r>
    </w:p>
    <w:p>
      <w:pPr>
        <w:widowControl/>
        <w:wordWrap w:val="0"/>
        <w:snapToGrid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19.3.6 中标人未按规定签订采购合同的。</w:t>
      </w:r>
    </w:p>
    <w:p>
      <w:pPr>
        <w:widowControl/>
        <w:wordWrap w:val="0"/>
        <w:snapToGrid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19.3.7 以他人名义投标或者以其他方式弄虚作假的。</w:t>
      </w:r>
    </w:p>
    <w:p>
      <w:pPr>
        <w:widowControl/>
        <w:wordWrap w:val="0"/>
        <w:snapToGrid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19.3.8 投标人影响或干预评审活动的。</w:t>
      </w:r>
    </w:p>
    <w:p>
      <w:pPr>
        <w:widowControl/>
        <w:wordWrap w:val="0"/>
        <w:snapToGrid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19.3.9 投标人存在其他违法违规行为和其他不予退还投标保证金的情形。上述不予退还投标保证金的情况给招标人或代理机构造成损失的，还要承担赔偿责任。</w:t>
      </w:r>
    </w:p>
    <w:p>
      <w:pPr>
        <w:wordWrap w:val="0"/>
        <w:spacing w:line="480" w:lineRule="exact"/>
        <w:ind w:firstLine="482" w:firstLineChars="200"/>
        <w:rPr>
          <w:rFonts w:hint="eastAsia" w:ascii="宋体" w:hAnsi="宋体" w:cs="宋体"/>
          <w:b/>
          <w:color w:val="auto"/>
          <w:sz w:val="24"/>
        </w:rPr>
      </w:pPr>
      <w:r>
        <w:rPr>
          <w:rFonts w:hint="eastAsia" w:ascii="宋体" w:hAnsi="宋体" w:cs="宋体"/>
          <w:b/>
          <w:color w:val="auto"/>
          <w:sz w:val="24"/>
        </w:rPr>
        <w:t>20.投标文件的式样和签署</w:t>
      </w:r>
    </w:p>
    <w:p>
      <w:pPr>
        <w:widowControl/>
        <w:wordWrap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20.1投标人应按本招标文件规定的格式和顺序制作投标文件。除了投标文件封面以外，每个页面应在明显位置编制页码，按流水顺序填写，字迹必须清晰可认，投标文件的目录应编序。投标文件内容不完整、编排混乱导致投标文件被误读、漏读或者查找不到相关内容的，由投标人负责。</w:t>
      </w:r>
    </w:p>
    <w:p>
      <w:pPr>
        <w:widowControl/>
        <w:wordWrap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20.2投标文件（.zmdtf格式）是根据“驻马店市公共资源交易中心电子交易平台”下载的电子招标文件，制作生成的加密版投标文件。</w:t>
      </w:r>
    </w:p>
    <w:p>
      <w:pPr>
        <w:widowControl/>
        <w:wordWrap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 xml:space="preserve">20.3 投标人应提交证明其拟供服务货物符合招标文件要求的技术投标文件，该文件可以是文字资料、图纸和数据，并须提供服务货物主要技术性能的详细描述。  </w:t>
      </w:r>
    </w:p>
    <w:p>
      <w:pPr>
        <w:widowControl/>
        <w:wordWrap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20.4投标人在编制电子投标文件时，根据招标文件的要求用法人CA秘钥和企业CA秘钥进行签章制作。生成电子投标文件时，只能用本单位的企业CA秘钥。</w:t>
      </w:r>
      <w:r>
        <w:rPr>
          <w:rFonts w:hint="eastAsia" w:ascii="宋体" w:hAnsi="宋体" w:cs="宋体"/>
          <w:color w:val="auto"/>
          <w:sz w:val="24"/>
        </w:rPr>
        <w:t>生成后的电子投标文件须按招标文件的格式要求逐页完成电子签字并盖章，否则视为不响应招标文件</w:t>
      </w:r>
      <w:r>
        <w:rPr>
          <w:rFonts w:hint="eastAsia" w:ascii="宋体" w:hAnsi="宋体" w:cs="宋体"/>
          <w:color w:val="auto"/>
          <w:kern w:val="0"/>
          <w:sz w:val="24"/>
        </w:rPr>
        <w:t>。</w:t>
      </w:r>
    </w:p>
    <w:p>
      <w:pPr>
        <w:widowControl/>
        <w:wordWrap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20.5不接受电报、电传和传真的投标文件。</w:t>
      </w:r>
    </w:p>
    <w:p>
      <w:pPr>
        <w:widowControl/>
        <w:wordWrap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20.6 全套投标文件应无涂改和行间插字，除非这些改动是为改正投标人造成的必须修改的错误而进行的。有改动时，修改处应由投标人代表签署证明或加盖公章，但非投标人出具的材料，投标人改动无效。未按本须知规定的格式填写投标文件或投标文件字迹模糊不清，导致评标委员无法认定是否实质性响应招标文件的,其投标将被作为无效投标。</w:t>
      </w:r>
    </w:p>
    <w:p>
      <w:pPr>
        <w:widowControl/>
        <w:wordWrap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20.7电子投标文件制作流程。可参考驻马店市公共资源交易中心官方网站的下载中心板块的视频（https://ggzy.zhumadian.gov.cn/TPFront/TPFront/InfoDetail/?InfoID=844e0ea7-2b6c-425d-99f6-91bd5b500e5e&amp;CategoryNum=026002）</w:t>
      </w:r>
    </w:p>
    <w:p>
      <w:pPr>
        <w:widowControl/>
        <w:wordWrap w:val="0"/>
        <w:spacing w:line="480" w:lineRule="exact"/>
        <w:ind w:firstLine="1915" w:firstLineChars="795"/>
        <w:jc w:val="left"/>
        <w:rPr>
          <w:rFonts w:hint="eastAsia" w:ascii="宋体" w:hAnsi="宋体" w:cs="宋体"/>
          <w:b/>
          <w:color w:val="auto"/>
          <w:kern w:val="0"/>
          <w:sz w:val="28"/>
          <w:szCs w:val="28"/>
        </w:rPr>
      </w:pPr>
      <w:r>
        <w:rPr>
          <w:rFonts w:hint="eastAsia" w:ascii="宋体" w:hAnsi="宋体" w:cs="宋体"/>
          <w:b/>
          <w:color w:val="auto"/>
          <w:kern w:val="0"/>
          <w:sz w:val="24"/>
        </w:rPr>
        <w:t xml:space="preserve"> </w:t>
      </w:r>
      <w:r>
        <w:rPr>
          <w:rFonts w:hint="eastAsia" w:ascii="宋体" w:hAnsi="宋体" w:cs="宋体"/>
          <w:b/>
          <w:color w:val="auto"/>
          <w:kern w:val="0"/>
          <w:sz w:val="28"/>
          <w:szCs w:val="28"/>
        </w:rPr>
        <w:t>四  投标文件的上传、提交</w:t>
      </w:r>
    </w:p>
    <w:p>
      <w:pPr>
        <w:wordWrap w:val="0"/>
        <w:spacing w:line="480" w:lineRule="exact"/>
        <w:ind w:firstLine="482" w:firstLineChars="200"/>
        <w:rPr>
          <w:rFonts w:hint="eastAsia" w:ascii="宋体" w:hAnsi="宋体" w:cs="宋体"/>
          <w:b/>
          <w:color w:val="auto"/>
          <w:sz w:val="24"/>
        </w:rPr>
      </w:pPr>
      <w:r>
        <w:rPr>
          <w:rFonts w:hint="eastAsia" w:ascii="宋体" w:hAnsi="宋体" w:cs="宋体"/>
          <w:b/>
          <w:color w:val="auto"/>
          <w:sz w:val="24"/>
        </w:rPr>
        <w:t>21.投标文件的加密、标记</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21.1投标人应在投标截止时间前上传加密的电子投标文件（.zmdtf格式）。</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21.2投标人因</w:t>
      </w:r>
      <w:r>
        <w:rPr>
          <w:rFonts w:hint="eastAsia" w:ascii="宋体" w:hAnsi="宋体" w:cs="宋体"/>
          <w:color w:val="auto"/>
          <w:kern w:val="0"/>
          <w:sz w:val="24"/>
        </w:rPr>
        <w:t>驻马店市公共资源交易中心电子交易平台投标系统</w:t>
      </w:r>
      <w:r>
        <w:rPr>
          <w:rFonts w:hint="eastAsia" w:ascii="宋体" w:hAnsi="宋体" w:cs="宋体"/>
          <w:color w:val="auto"/>
          <w:sz w:val="24"/>
        </w:rPr>
        <w:t>出现问题无法上传电子投标文件时，请与江苏国泰新点软件有限公司联系，联系电话：0396-2613088。</w:t>
      </w:r>
    </w:p>
    <w:p>
      <w:pPr>
        <w:wordWrap w:val="0"/>
        <w:spacing w:line="480" w:lineRule="exact"/>
        <w:ind w:firstLine="482" w:firstLineChars="200"/>
        <w:rPr>
          <w:rFonts w:hint="eastAsia" w:ascii="宋体" w:hAnsi="宋体" w:cs="宋体"/>
          <w:b/>
          <w:color w:val="auto"/>
          <w:sz w:val="24"/>
        </w:rPr>
      </w:pPr>
      <w:r>
        <w:rPr>
          <w:rFonts w:hint="eastAsia" w:ascii="宋体" w:hAnsi="宋体" w:cs="宋体"/>
          <w:b/>
          <w:color w:val="auto"/>
          <w:sz w:val="24"/>
        </w:rPr>
        <w:t>22.投标文件的上传、提交</w:t>
      </w:r>
    </w:p>
    <w:p>
      <w:pPr>
        <w:wordWrap w:val="0"/>
        <w:spacing w:line="5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投标人应在招标公告中规定的提交投标文件截止日期和时间前将制作好的电子投标文件加密上传至驻马店市公共资源交易中心电子交易平台。投标文件中投标人提供的所有承诺均须法定代表人签字（或盖章）</w:t>
      </w:r>
      <w:r>
        <w:rPr>
          <w:rFonts w:hint="eastAsia" w:ascii="宋体" w:hAnsi="宋体" w:cs="宋体"/>
          <w:color w:val="auto"/>
          <w:sz w:val="24"/>
        </w:rPr>
        <w:t>并加盖单位公</w:t>
      </w:r>
      <w:r>
        <w:rPr>
          <w:rFonts w:hint="eastAsia" w:ascii="宋体" w:hAnsi="宋体" w:cs="宋体"/>
          <w:bCs/>
          <w:color w:val="auto"/>
          <w:sz w:val="24"/>
        </w:rPr>
        <w:t>章</w:t>
      </w:r>
      <w:r>
        <w:rPr>
          <w:rFonts w:hint="eastAsia" w:ascii="宋体" w:hAnsi="宋体" w:cs="宋体"/>
          <w:color w:val="auto"/>
          <w:kern w:val="0"/>
          <w:sz w:val="24"/>
        </w:rPr>
        <w:t>。</w:t>
      </w:r>
    </w:p>
    <w:p>
      <w:pPr>
        <w:wordWrap w:val="0"/>
        <w:spacing w:line="480" w:lineRule="exact"/>
        <w:ind w:firstLine="482" w:firstLineChars="200"/>
        <w:rPr>
          <w:rFonts w:hint="eastAsia" w:ascii="宋体" w:hAnsi="宋体" w:cs="宋体"/>
          <w:b/>
          <w:color w:val="auto"/>
          <w:sz w:val="24"/>
        </w:rPr>
      </w:pPr>
      <w:r>
        <w:rPr>
          <w:rFonts w:hint="eastAsia" w:ascii="宋体" w:hAnsi="宋体" w:cs="宋体"/>
          <w:b/>
          <w:color w:val="auto"/>
          <w:sz w:val="24"/>
        </w:rPr>
        <w:t>23.投标文件的修改和撤回</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23.1 投标人在投标截止时间前，可以对所提交的投标文件进行补充、修改或者撤回，并书面通知代理机构。补充、修改的内容和撤回通知应当按本须知要求签署、盖章、加密，并作为投标文件的组成部分。</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23.2 投标人在投标截止时间后不得修改、撤回投标文件。投标人在投标截止时间后修改投标文件的，其投标将被拒绝。</w:t>
      </w:r>
    </w:p>
    <w:p>
      <w:pPr>
        <w:wordWrap w:val="0"/>
        <w:spacing w:line="480" w:lineRule="exact"/>
        <w:jc w:val="center"/>
        <w:rPr>
          <w:rFonts w:hint="eastAsia" w:ascii="宋体" w:hAnsi="宋体" w:cs="宋体"/>
          <w:b/>
          <w:color w:val="auto"/>
          <w:kern w:val="0"/>
          <w:sz w:val="28"/>
          <w:szCs w:val="28"/>
        </w:rPr>
      </w:pPr>
      <w:r>
        <w:rPr>
          <w:rFonts w:hint="eastAsia" w:ascii="宋体" w:hAnsi="宋体" w:cs="宋体"/>
          <w:b/>
          <w:color w:val="auto"/>
          <w:kern w:val="0"/>
          <w:sz w:val="28"/>
          <w:szCs w:val="28"/>
        </w:rPr>
        <w:t>五   开标</w:t>
      </w:r>
    </w:p>
    <w:p>
      <w:pPr>
        <w:wordWrap w:val="0"/>
        <w:spacing w:line="480" w:lineRule="exact"/>
        <w:ind w:firstLine="482" w:firstLineChars="200"/>
        <w:rPr>
          <w:rFonts w:hint="eastAsia" w:ascii="宋体" w:hAnsi="宋体" w:cs="宋体"/>
          <w:b/>
          <w:color w:val="auto"/>
          <w:sz w:val="24"/>
        </w:rPr>
      </w:pPr>
      <w:r>
        <w:rPr>
          <w:rFonts w:hint="eastAsia" w:ascii="宋体" w:hAnsi="宋体" w:cs="宋体"/>
          <w:b/>
          <w:color w:val="auto"/>
          <w:sz w:val="24"/>
        </w:rPr>
        <w:t>24.开标、唱标</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24.1 在招标公告中规定的时间、地点开标。</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24.2 开标由代理机构主持，招标人、投标人和有关方面代表参加。</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24.3开标时，首先，各投标人应在规定时间内对本单位的加密投标文件进行解密，然后代理机构工作人员对所有投标文件进行解密。如投标人自身原因解密失败，其投标将被拒绝。</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24.4 解密完成后，系统将自动唱标，公布各投标人开标一览表的内容。</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24.5 代理机构对唱标内容做开标记录，由招标人、代理机构共同签字确认。</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24.6投标人在投标时有下列情形之一的，代理机构将拒绝接受其投标文件：</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24.6.1 在招标文件规定的投标截止时间之后投标的。</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24.6.2 投标文件未按招标文件规定加密的。</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24.6.3 未进行网上下载领取招标文件参加投标的。</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24.6.4 一个投标人不只递交一套投标文件的。</w:t>
      </w:r>
    </w:p>
    <w:p>
      <w:pPr>
        <w:widowControl/>
        <w:wordWrap w:val="0"/>
        <w:spacing w:line="480" w:lineRule="exact"/>
        <w:ind w:firstLine="480" w:firstLineChars="200"/>
        <w:jc w:val="left"/>
        <w:textAlignment w:val="baseline"/>
        <w:rPr>
          <w:rStyle w:val="86"/>
          <w:rFonts w:hint="eastAsia" w:ascii="宋体" w:hAnsi="宋体" w:cs="宋体"/>
          <w:color w:val="auto"/>
          <w:kern w:val="0"/>
        </w:rPr>
      </w:pPr>
      <w:r>
        <w:rPr>
          <w:rFonts w:hint="eastAsia" w:ascii="宋体" w:hAnsi="宋体" w:cs="宋体"/>
          <w:color w:val="auto"/>
          <w:kern w:val="0"/>
          <w:sz w:val="24"/>
        </w:rPr>
        <w:t>24.6.5投标人未按照招标公告规定的</w:t>
      </w:r>
      <w:r>
        <w:rPr>
          <w:rFonts w:hint="eastAsia" w:ascii="宋体" w:hAnsi="宋体" w:cs="宋体"/>
          <w:color w:val="auto"/>
          <w:sz w:val="24"/>
        </w:rPr>
        <w:t>投标文件提交</w:t>
      </w:r>
      <w:r>
        <w:rPr>
          <w:rFonts w:hint="eastAsia" w:ascii="宋体" w:hAnsi="宋体" w:cs="宋体"/>
          <w:color w:val="auto"/>
          <w:kern w:val="0"/>
          <w:sz w:val="24"/>
        </w:rPr>
        <w:t>时间签到的。</w:t>
      </w:r>
    </w:p>
    <w:p>
      <w:pPr>
        <w:widowControl/>
        <w:wordWrap w:val="0"/>
        <w:spacing w:line="480" w:lineRule="exact"/>
        <w:ind w:firstLine="3373" w:firstLineChars="1200"/>
        <w:rPr>
          <w:rFonts w:hint="eastAsia" w:ascii="宋体" w:hAnsi="宋体" w:cs="宋体"/>
          <w:b/>
          <w:color w:val="auto"/>
          <w:kern w:val="0"/>
          <w:sz w:val="28"/>
          <w:szCs w:val="28"/>
        </w:rPr>
      </w:pPr>
    </w:p>
    <w:p>
      <w:pPr>
        <w:widowControl/>
        <w:wordWrap w:val="0"/>
        <w:spacing w:line="480" w:lineRule="exact"/>
        <w:ind w:firstLine="3373" w:firstLineChars="1200"/>
        <w:rPr>
          <w:rFonts w:hint="eastAsia" w:ascii="宋体" w:hAnsi="宋体" w:cs="宋体"/>
          <w:b/>
          <w:color w:val="auto"/>
          <w:kern w:val="0"/>
          <w:sz w:val="28"/>
          <w:szCs w:val="28"/>
        </w:rPr>
      </w:pPr>
      <w:r>
        <w:rPr>
          <w:rFonts w:hint="eastAsia" w:ascii="宋体" w:hAnsi="宋体" w:cs="宋体"/>
          <w:b/>
          <w:color w:val="auto"/>
          <w:kern w:val="0"/>
          <w:sz w:val="28"/>
          <w:szCs w:val="28"/>
        </w:rPr>
        <w:t>六   评标</w:t>
      </w:r>
    </w:p>
    <w:p>
      <w:pPr>
        <w:wordWrap w:val="0"/>
        <w:spacing w:line="480" w:lineRule="exact"/>
        <w:ind w:firstLine="482" w:firstLineChars="200"/>
        <w:rPr>
          <w:rFonts w:hint="eastAsia" w:ascii="宋体" w:hAnsi="宋体" w:cs="宋体"/>
          <w:color w:val="auto"/>
          <w:sz w:val="24"/>
        </w:rPr>
      </w:pPr>
      <w:r>
        <w:rPr>
          <w:rFonts w:hint="eastAsia" w:ascii="宋体" w:hAnsi="宋体" w:cs="宋体"/>
          <w:b/>
          <w:color w:val="auto"/>
          <w:sz w:val="24"/>
        </w:rPr>
        <w:t>25.组建评标委员会</w:t>
      </w:r>
    </w:p>
    <w:p>
      <w:pPr>
        <w:widowControl/>
        <w:wordWrap w:val="0"/>
        <w:spacing w:line="480" w:lineRule="exact"/>
        <w:ind w:firstLine="480" w:firstLineChars="200"/>
        <w:jc w:val="left"/>
        <w:rPr>
          <w:rFonts w:hint="eastAsia" w:ascii="宋体" w:hAnsi="宋体" w:cs="宋体"/>
          <w:color w:val="auto"/>
          <w:sz w:val="24"/>
        </w:rPr>
      </w:pPr>
      <w:r>
        <w:rPr>
          <w:rFonts w:hint="eastAsia" w:ascii="宋体" w:hAnsi="宋体" w:cs="宋体"/>
          <w:color w:val="auto"/>
          <w:sz w:val="24"/>
        </w:rPr>
        <w:t>25.1代理机构根据采购项目的特点依法组建评标委员会。评标委员会由1名招标人代表和4名评标专家组成，成员应当为 5人及以上单数，其中评标专家不得少于成员总数的三分之二。（采购项目符合下列情形之一的，评标委员会成员人数应当为7人以上单数：（一）采购预算金额在1000万元以上；（二）技术复杂；（三）社会影响较大。）招标人可委派一名代表进入评标委员会，但不得担任主任。评标专家对本单位的采购项目只能作为招标人代表参与评标。在开标后由评标委员会对投标文件进行审查、质疑、评估和比较，并做合理的建议。</w:t>
      </w:r>
    </w:p>
    <w:p>
      <w:pPr>
        <w:widowControl/>
        <w:wordWrap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sz w:val="24"/>
        </w:rPr>
        <w:t>25.2评标委员会成员要依法独立评审，并对评审意见承担个人责任。评审委员会成员对需要共同认定的事项存在争议的，按照少数服从多数的原则做出结论。持不同意见的评审委员会成员应当在评审报告上签署不同意见并说明理由，否则视为同意。</w:t>
      </w:r>
    </w:p>
    <w:p>
      <w:pPr>
        <w:wordWrap w:val="0"/>
        <w:spacing w:line="480" w:lineRule="exact"/>
        <w:ind w:firstLine="482" w:firstLineChars="200"/>
        <w:rPr>
          <w:rFonts w:hint="eastAsia" w:ascii="宋体" w:hAnsi="宋体" w:cs="宋体"/>
          <w:b/>
          <w:color w:val="auto"/>
          <w:sz w:val="24"/>
        </w:rPr>
      </w:pPr>
      <w:r>
        <w:rPr>
          <w:rFonts w:hint="eastAsia" w:ascii="宋体" w:hAnsi="宋体" w:cs="宋体"/>
          <w:b/>
          <w:color w:val="auto"/>
          <w:sz w:val="24"/>
        </w:rPr>
        <w:t>26.投标文件的初审</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26.1对所有投标人的评估，都采用相同的程序和标准。评标过程将严格按照招标文件的要求和条件进行。</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26.2 评标委员会将对投标文件进行检查，以确定投标文件是否完整、有无计算上的错误、文件是否已正确签署等。</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26.3 投标文件报价出现前后不一致的，除招标文件另有规定外，修正错误的原则如下：</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26.3.1 投标文件开标一览表（报价表）的内容与投标文件中相应内容不一致的，以开标一览表（报价表）为准。</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26.3.2 大写金额与小写金额不一致的，以大写金额为准。</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26.3.3单价金额小数点或者百分比有明显错位的，以开标一览表的总价为准，并修改单价；</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26.3.4总价金额与按单价汇总金额不一致的，以单价金额计算结果为准。</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26.3.5对不同文字文本投标文件的解释发生异议的，以中文文本为准。</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同时出现两种以上不一致的，按照前款规定的顺序修正。修正后的报价按照财政部87号令第五十一条第二款的规定经投标人确认后产生约束力，投标人不确认的，其投标无效。</w:t>
      </w:r>
    </w:p>
    <w:p>
      <w:pPr>
        <w:wordWrap w:val="0"/>
        <w:spacing w:line="480" w:lineRule="exact"/>
        <w:ind w:firstLine="482" w:firstLineChars="200"/>
        <w:rPr>
          <w:rFonts w:hint="eastAsia" w:ascii="宋体" w:hAnsi="宋体" w:cs="宋体"/>
          <w:b/>
          <w:color w:val="auto"/>
          <w:sz w:val="24"/>
        </w:rPr>
      </w:pPr>
      <w:r>
        <w:rPr>
          <w:rFonts w:hint="eastAsia" w:ascii="宋体" w:hAnsi="宋体" w:cs="宋体"/>
          <w:b/>
          <w:color w:val="auto"/>
          <w:sz w:val="24"/>
        </w:rPr>
        <w:t>26.4 资格性检查和符合性检查。</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26.4.1资格性检查。依据法规政策和招标文件的规定，在对投标文件详细评估之前，招标人将依据投标人提交的投标文件按</w:t>
      </w:r>
      <w:r>
        <w:rPr>
          <w:rFonts w:hint="eastAsia" w:ascii="宋体" w:hAnsi="宋体" w:cs="宋体"/>
          <w:color w:val="auto"/>
          <w:kern w:val="0"/>
          <w:sz w:val="24"/>
        </w:rPr>
        <w:t>招标文件第一章招标公告第二项和招标文件第三章(一）说明4.</w:t>
      </w:r>
      <w:r>
        <w:rPr>
          <w:rFonts w:hint="eastAsia" w:ascii="宋体" w:hAnsi="宋体" w:cs="宋体"/>
          <w:color w:val="auto"/>
          <w:sz w:val="24"/>
        </w:rPr>
        <w:t>投标人应提交的证明文件所述的资格标准对投标人进行资格审查,以确定其是否具备投标资格。如果投标人不具备投标资格、不满足招标文件所规定的资格标准或提供资格证明文件不全,其投标将被作为无效投标。</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26.4.2 资格审查后合格的投标人不足3家的，不得评标。</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26.4.3符合性检查。依据招标文件的规定，评标委员会将从投标文件的有效性、完整性和对招标文件的响应程度进行审查，以确定是否符合对招标文件的实质性要求作出响应（招标人可根据具体项目的情况对实质性要求作特别的具体规定）。实质性偏离是指：（1）实质性影响合同的范围、质量和履行。（2）实质性违背招标文件，限制了招标人的权利。（3）不公正地影响了其它作出实质性响应的投标人的竞争地位。对没有实质性响应的投标文件将不进行评估，其投标被作为无效投标。凡有下列情况之一者，投标文件也将被视为未实质性响应招标文件要求：</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(1)投标文件未按规定签字、盖章的。</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(2)投标人代表未能出具有效身份证明，或与身份不符的。</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(3)投标有效期、交货时间、售后服务保障等不满足招标文件要求的。</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(4)未按招标文件规定报价的。</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(5)未按招标文件提供的格式填列、项目不齐全或内容虚假的。</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(6)投标文件的实质性内容未使用中文表述，或意思表述不明确，或前后矛盾，或使用计量单位不符合招标文件要求的（经评标委员会认定允许其当场更正的笔误除外）。</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（7）投标文件的关键内容字迹模糊、无法辨认,或投标文件中经修正的内容字迹模糊无法辩认，或修改处未按规定签名盖章的或未提供投标报名确认函的。</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（8）不符合招标文件中规定的其它实质性条款。</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（9）联合体投标未提供联合体投标协议原件的。</w:t>
      </w:r>
    </w:p>
    <w:p>
      <w:pPr>
        <w:wordWrap w:val="0"/>
        <w:spacing w:line="480" w:lineRule="exact"/>
        <w:ind w:firstLine="480" w:firstLineChars="200"/>
        <w:rPr>
          <w:color w:val="auto"/>
        </w:rPr>
      </w:pPr>
      <w:r>
        <w:rPr>
          <w:rFonts w:hint="eastAsia" w:ascii="宋体" w:hAnsi="宋体" w:cs="宋体"/>
          <w:color w:val="auto"/>
          <w:sz w:val="24"/>
        </w:rPr>
        <w:t>评标委员会决定投标的响应性只根据投标文件本身的内容，而不寻求其他的外部证据。</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26.4.4对资格性检查和符合性检查不合格的投标人，将通过驻马店市公共资源交易不见面开评标系统网上实时告知其理由。</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26.5 在评审过程中，评标委员会发现投标人有下列情形之一的，视为投标人相互串通投标，其投标无效：</w:t>
      </w:r>
    </w:p>
    <w:p>
      <w:pPr>
        <w:widowControl/>
        <w:tabs>
          <w:tab w:val="left" w:pos="0"/>
        </w:tabs>
        <w:wordWrap w:val="0"/>
        <w:snapToGrid w:val="0"/>
        <w:spacing w:line="480" w:lineRule="exact"/>
        <w:ind w:firstLine="378" w:firstLineChars="150"/>
        <w:jc w:val="left"/>
        <w:textAlignment w:val="baseline"/>
        <w:rPr>
          <w:rStyle w:val="86"/>
          <w:rFonts w:hint="eastAsia" w:ascii="宋体" w:hAnsi="宋体" w:cs="宋体"/>
          <w:color w:val="auto"/>
          <w:kern w:val="0"/>
          <w:szCs w:val="24"/>
        </w:rPr>
      </w:pPr>
      <w:r>
        <w:rPr>
          <w:rStyle w:val="86"/>
          <w:rFonts w:hint="eastAsia" w:ascii="宋体" w:hAnsi="宋体" w:cs="宋体"/>
          <w:color w:val="auto"/>
          <w:szCs w:val="24"/>
        </w:rPr>
        <w:t>26.5.1不同投标人的投标文件由同一台电脑编制或者同一个IP上传的；</w:t>
      </w:r>
    </w:p>
    <w:p>
      <w:pPr>
        <w:widowControl/>
        <w:tabs>
          <w:tab w:val="left" w:pos="0"/>
        </w:tabs>
        <w:wordWrap w:val="0"/>
        <w:snapToGrid w:val="0"/>
        <w:spacing w:line="480" w:lineRule="exact"/>
        <w:ind w:firstLine="378" w:firstLineChars="150"/>
        <w:jc w:val="left"/>
        <w:textAlignment w:val="baseline"/>
        <w:rPr>
          <w:rStyle w:val="86"/>
          <w:rFonts w:hint="eastAsia" w:ascii="宋体" w:hAnsi="宋体" w:cs="宋体"/>
          <w:color w:val="auto"/>
          <w:kern w:val="0"/>
          <w:szCs w:val="24"/>
        </w:rPr>
      </w:pPr>
      <w:r>
        <w:rPr>
          <w:rStyle w:val="86"/>
          <w:rFonts w:hint="eastAsia" w:ascii="宋体" w:hAnsi="宋体" w:cs="宋体"/>
          <w:color w:val="auto"/>
          <w:szCs w:val="24"/>
        </w:rPr>
        <w:t>26.5.2不同投标人的投标文件编制机器码一致的。</w:t>
      </w:r>
    </w:p>
    <w:p>
      <w:pPr>
        <w:widowControl/>
        <w:tabs>
          <w:tab w:val="left" w:pos="0"/>
        </w:tabs>
        <w:wordWrap w:val="0"/>
        <w:snapToGrid w:val="0"/>
        <w:spacing w:line="480" w:lineRule="exact"/>
        <w:ind w:firstLine="378" w:firstLineChars="150"/>
        <w:jc w:val="left"/>
        <w:textAlignment w:val="baseline"/>
        <w:rPr>
          <w:rStyle w:val="86"/>
          <w:rFonts w:hint="eastAsia" w:ascii="宋体" w:hAnsi="宋体" w:cs="宋体"/>
          <w:color w:val="auto"/>
          <w:kern w:val="0"/>
        </w:rPr>
      </w:pPr>
      <w:r>
        <w:rPr>
          <w:rStyle w:val="86"/>
          <w:rFonts w:hint="eastAsia" w:ascii="宋体" w:hAnsi="宋体" w:cs="宋体"/>
          <w:color w:val="auto"/>
          <w:kern w:val="0"/>
        </w:rPr>
        <w:t>26.5.3不同投标人的投标文件异常一致或者投标报价呈规律性差异的。</w:t>
      </w:r>
    </w:p>
    <w:p>
      <w:pPr>
        <w:widowControl/>
        <w:tabs>
          <w:tab w:val="left" w:pos="0"/>
        </w:tabs>
        <w:wordWrap w:val="0"/>
        <w:snapToGrid w:val="0"/>
        <w:spacing w:line="480" w:lineRule="exact"/>
        <w:ind w:firstLine="378" w:firstLineChars="150"/>
        <w:jc w:val="left"/>
        <w:textAlignment w:val="baseline"/>
        <w:rPr>
          <w:rStyle w:val="86"/>
          <w:rFonts w:hint="eastAsia" w:ascii="宋体" w:hAnsi="宋体" w:cs="宋体"/>
          <w:color w:val="auto"/>
        </w:rPr>
      </w:pPr>
      <w:r>
        <w:rPr>
          <w:rStyle w:val="86"/>
          <w:rFonts w:hint="eastAsia" w:ascii="宋体" w:hAnsi="宋体" w:cs="宋体"/>
          <w:color w:val="auto"/>
        </w:rPr>
        <w:t>26.5.4不同投标人的投标文件由同一单位或者个人编制；</w:t>
      </w:r>
    </w:p>
    <w:p>
      <w:pPr>
        <w:widowControl/>
        <w:tabs>
          <w:tab w:val="left" w:pos="0"/>
        </w:tabs>
        <w:wordWrap w:val="0"/>
        <w:snapToGrid w:val="0"/>
        <w:spacing w:line="480" w:lineRule="exact"/>
        <w:ind w:firstLine="378" w:firstLineChars="150"/>
        <w:jc w:val="left"/>
        <w:textAlignment w:val="baseline"/>
        <w:rPr>
          <w:rStyle w:val="86"/>
          <w:rFonts w:hint="eastAsia" w:ascii="宋体" w:hAnsi="宋体" w:cs="宋体"/>
          <w:color w:val="auto"/>
        </w:rPr>
      </w:pPr>
      <w:r>
        <w:rPr>
          <w:rStyle w:val="86"/>
          <w:rFonts w:hint="eastAsia" w:ascii="宋体" w:hAnsi="宋体" w:cs="宋体"/>
          <w:color w:val="auto"/>
        </w:rPr>
        <w:t>26.5.5不同投标人委托同一单位或者个人办理投标事宜；</w:t>
      </w:r>
    </w:p>
    <w:p>
      <w:pPr>
        <w:widowControl/>
        <w:tabs>
          <w:tab w:val="left" w:pos="0"/>
        </w:tabs>
        <w:wordWrap w:val="0"/>
        <w:snapToGrid w:val="0"/>
        <w:spacing w:line="480" w:lineRule="exact"/>
        <w:ind w:firstLine="378" w:firstLineChars="150"/>
        <w:jc w:val="left"/>
        <w:textAlignment w:val="baseline"/>
        <w:rPr>
          <w:rStyle w:val="86"/>
          <w:rFonts w:hint="eastAsia" w:ascii="宋体" w:hAnsi="宋体" w:cs="宋体"/>
          <w:color w:val="auto"/>
        </w:rPr>
      </w:pPr>
      <w:r>
        <w:rPr>
          <w:rStyle w:val="86"/>
          <w:rFonts w:hint="eastAsia" w:ascii="宋体" w:hAnsi="宋体" w:cs="宋体"/>
          <w:color w:val="auto"/>
        </w:rPr>
        <w:t>26.5.6不同投标人的投标文件载明的项目管理成员或者联系人员为同一人；</w:t>
      </w:r>
    </w:p>
    <w:p>
      <w:pPr>
        <w:widowControl/>
        <w:tabs>
          <w:tab w:val="left" w:pos="0"/>
        </w:tabs>
        <w:wordWrap w:val="0"/>
        <w:snapToGrid w:val="0"/>
        <w:spacing w:line="480" w:lineRule="exact"/>
        <w:ind w:firstLine="378" w:firstLineChars="150"/>
        <w:jc w:val="left"/>
        <w:textAlignment w:val="baseline"/>
        <w:rPr>
          <w:rStyle w:val="86"/>
          <w:rFonts w:hint="eastAsia" w:ascii="宋体" w:hAnsi="宋体" w:cs="宋体"/>
          <w:color w:val="auto"/>
        </w:rPr>
      </w:pPr>
      <w:r>
        <w:rPr>
          <w:rStyle w:val="86"/>
          <w:rFonts w:hint="eastAsia" w:ascii="宋体" w:hAnsi="宋体" w:cs="宋体"/>
          <w:color w:val="auto"/>
        </w:rPr>
        <w:t>26.5.7不同投标人的投标文件相互混装；</w:t>
      </w:r>
    </w:p>
    <w:p>
      <w:pPr>
        <w:widowControl/>
        <w:tabs>
          <w:tab w:val="left" w:pos="0"/>
        </w:tabs>
        <w:wordWrap w:val="0"/>
        <w:snapToGrid w:val="0"/>
        <w:spacing w:line="480" w:lineRule="exact"/>
        <w:ind w:firstLine="378" w:firstLineChars="150"/>
        <w:jc w:val="left"/>
        <w:textAlignment w:val="baseline"/>
        <w:rPr>
          <w:rStyle w:val="86"/>
          <w:rFonts w:hint="eastAsia" w:ascii="宋体" w:hAnsi="宋体" w:cs="宋体"/>
          <w:color w:val="auto"/>
          <w:kern w:val="0"/>
        </w:rPr>
      </w:pPr>
      <w:r>
        <w:rPr>
          <w:rStyle w:val="86"/>
          <w:rFonts w:hint="eastAsia" w:ascii="宋体" w:hAnsi="宋体" w:cs="宋体"/>
          <w:color w:val="auto"/>
          <w:kern w:val="0"/>
        </w:rPr>
        <w:t>26.5.8不同投标人的投标（响应）文件的内容存在两处以上细节错误一致；</w:t>
      </w:r>
    </w:p>
    <w:p>
      <w:pPr>
        <w:widowControl/>
        <w:tabs>
          <w:tab w:val="left" w:pos="0"/>
        </w:tabs>
        <w:wordWrap w:val="0"/>
        <w:snapToGrid w:val="0"/>
        <w:spacing w:line="480" w:lineRule="exact"/>
        <w:ind w:firstLine="378" w:firstLineChars="150"/>
        <w:jc w:val="left"/>
        <w:textAlignment w:val="baseline"/>
        <w:rPr>
          <w:rStyle w:val="86"/>
          <w:rFonts w:hint="eastAsia" w:ascii="宋体" w:hAnsi="宋体" w:cs="宋体"/>
          <w:color w:val="auto"/>
          <w:kern w:val="0"/>
        </w:rPr>
      </w:pPr>
      <w:r>
        <w:rPr>
          <w:rStyle w:val="86"/>
          <w:rFonts w:hint="eastAsia" w:ascii="宋体" w:hAnsi="宋体" w:cs="宋体"/>
          <w:color w:val="auto"/>
          <w:kern w:val="0"/>
        </w:rPr>
        <w:t>26.5.9不同投标人的法定代表人、委托代理人、项目经理、项目负责人等由同一个单位缴纳社会保险；</w:t>
      </w:r>
    </w:p>
    <w:p>
      <w:pPr>
        <w:widowControl/>
        <w:tabs>
          <w:tab w:val="left" w:pos="0"/>
        </w:tabs>
        <w:wordWrap w:val="0"/>
        <w:snapToGrid w:val="0"/>
        <w:spacing w:line="480" w:lineRule="exact"/>
        <w:ind w:firstLine="378" w:firstLineChars="150"/>
        <w:jc w:val="left"/>
        <w:textAlignment w:val="baseline"/>
        <w:rPr>
          <w:rStyle w:val="86"/>
          <w:rFonts w:hint="eastAsia" w:ascii="宋体" w:hAnsi="宋体" w:cs="宋体"/>
          <w:color w:val="auto"/>
          <w:kern w:val="0"/>
        </w:rPr>
      </w:pPr>
      <w:r>
        <w:rPr>
          <w:rStyle w:val="86"/>
          <w:rFonts w:hint="eastAsia" w:ascii="宋体" w:hAnsi="宋体" w:cs="宋体"/>
          <w:color w:val="auto"/>
          <w:kern w:val="0"/>
        </w:rPr>
        <w:t>26.5.10不同投标人投标（响应）文件中法定代表人或者负责人签字出自同一人之手；</w:t>
      </w:r>
    </w:p>
    <w:p>
      <w:pPr>
        <w:widowControl/>
        <w:tabs>
          <w:tab w:val="left" w:pos="0"/>
        </w:tabs>
        <w:wordWrap w:val="0"/>
        <w:snapToGrid w:val="0"/>
        <w:spacing w:line="480" w:lineRule="exact"/>
        <w:ind w:firstLine="378" w:firstLineChars="150"/>
        <w:jc w:val="left"/>
        <w:textAlignment w:val="baseline"/>
        <w:rPr>
          <w:rStyle w:val="86"/>
          <w:rFonts w:hint="eastAsia" w:ascii="宋体" w:hAnsi="宋体" w:cs="宋体"/>
          <w:color w:val="auto"/>
          <w:kern w:val="0"/>
        </w:rPr>
      </w:pPr>
      <w:r>
        <w:rPr>
          <w:rStyle w:val="86"/>
          <w:rFonts w:hint="eastAsia" w:ascii="宋体" w:hAnsi="宋体" w:cs="宋体"/>
          <w:color w:val="auto"/>
          <w:kern w:val="0"/>
        </w:rPr>
        <w:t>26.5.11 有证据证明投标人串通投标的其他情形的。</w:t>
      </w:r>
    </w:p>
    <w:p>
      <w:pPr>
        <w:widowControl/>
        <w:tabs>
          <w:tab w:val="left" w:pos="0"/>
        </w:tabs>
        <w:wordWrap w:val="0"/>
        <w:snapToGrid w:val="0"/>
        <w:spacing w:line="480" w:lineRule="exact"/>
        <w:ind w:firstLine="378" w:firstLineChars="150"/>
        <w:jc w:val="left"/>
        <w:textAlignment w:val="baseline"/>
        <w:rPr>
          <w:rStyle w:val="86"/>
          <w:rFonts w:hint="eastAsia" w:ascii="宋体" w:hAnsi="宋体" w:cs="宋体"/>
          <w:color w:val="auto"/>
          <w:kern w:val="0"/>
        </w:rPr>
      </w:pPr>
      <w:r>
        <w:rPr>
          <w:rStyle w:val="86"/>
          <w:rFonts w:hint="eastAsia" w:ascii="宋体" w:hAnsi="宋体" w:cs="宋体"/>
          <w:color w:val="auto"/>
          <w:kern w:val="0"/>
        </w:rPr>
        <w:t>26.5.12评标委员会认定的其他串通投标情形。</w:t>
      </w:r>
    </w:p>
    <w:p>
      <w:pPr>
        <w:wordWrap w:val="0"/>
        <w:spacing w:line="480" w:lineRule="exact"/>
        <w:ind w:firstLine="482" w:firstLineChars="200"/>
        <w:rPr>
          <w:rFonts w:hint="eastAsia" w:ascii="宋体" w:hAnsi="宋体" w:cs="宋体"/>
          <w:b/>
          <w:color w:val="auto"/>
          <w:sz w:val="24"/>
        </w:rPr>
      </w:pPr>
      <w:r>
        <w:rPr>
          <w:rFonts w:hint="eastAsia" w:ascii="宋体" w:hAnsi="宋体" w:cs="宋体"/>
          <w:b/>
          <w:color w:val="auto"/>
          <w:sz w:val="24"/>
        </w:rPr>
        <w:t>27.投标文件的澄清</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对投标文件中含义不明确、同类问题表述不一致或者有明显文字和计算错误的内容，评标委员会可以书面形式通过驻马店市公共资源交易中心电子交易平台不见面交易系统远程要求投标人作出必要的澄清。投标人的澄清应当在评标委员会规定的时间内通过驻马店市公共资源交易中心电子交易平台不见面交易系统远程以书面形式作出，由其投标人代表签字。但澄清事项不得超出投标文件的范围，不得实质性改变投标文件的内容，不得通过澄清等方式对投标人实行差别对待。评标委员会不得接受投标人主动提出的澄清和解释。</w:t>
      </w:r>
    </w:p>
    <w:p>
      <w:pPr>
        <w:wordWrap w:val="0"/>
        <w:spacing w:line="480" w:lineRule="exact"/>
        <w:ind w:firstLine="482" w:firstLineChars="200"/>
        <w:rPr>
          <w:rFonts w:hint="eastAsia" w:ascii="宋体" w:hAnsi="宋体" w:cs="宋体"/>
          <w:b/>
          <w:color w:val="auto"/>
          <w:sz w:val="24"/>
        </w:rPr>
      </w:pPr>
      <w:r>
        <w:rPr>
          <w:rFonts w:hint="eastAsia" w:ascii="宋体" w:hAnsi="宋体" w:cs="宋体"/>
          <w:b/>
          <w:color w:val="auto"/>
          <w:sz w:val="24"/>
        </w:rPr>
        <w:t>28.比较与评价</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28.1 评标委员会将按本招标文件规定的评标方法与标准，对资格性检查和符合性检查合格的投标文件进行商务和技术评估，综合比较与评价。</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28.2 对漏（缺）报项的处理：招标文件中要求列入报价的费用（含配置、功能），漏（缺）报的视同已含在投标总价中。但在评标时取有效投标人该项最高报价加入评标价进行评标。对多报项及赠送项的价格评标时不予核减，全部进入评标价评议。</w:t>
      </w:r>
    </w:p>
    <w:p>
      <w:pPr>
        <w:wordWrap w:val="0"/>
        <w:spacing w:line="480" w:lineRule="exact"/>
        <w:ind w:firstLine="480" w:firstLineChars="200"/>
        <w:rPr>
          <w:rFonts w:hint="eastAsia" w:ascii="宋体" w:hAnsi="宋体" w:cs="宋体"/>
          <w:b/>
          <w:color w:val="auto"/>
          <w:sz w:val="24"/>
        </w:rPr>
      </w:pPr>
      <w:r>
        <w:rPr>
          <w:rFonts w:hint="eastAsia" w:ascii="宋体" w:hAnsi="宋体" w:cs="宋体"/>
          <w:color w:val="auto"/>
          <w:sz w:val="24"/>
        </w:rPr>
        <w:t>28.3评标委员会认为投标人的报价明显低于其他通过符合性审查投标人的报价，有可能影响产品质量或者不能诚信履约的，应当要求其通过驻马店市公共资源交易中心电子交易平台不见面交易系统在合理的时间内提供书面说明，必要时提交相关证明材料；投标人不能证明其报价合理性的，评标委员会应当将其作为无效投标处理。</w:t>
      </w:r>
    </w:p>
    <w:p>
      <w:pPr>
        <w:wordWrap w:val="0"/>
        <w:spacing w:line="480" w:lineRule="exact"/>
        <w:ind w:firstLine="482" w:firstLineChars="200"/>
        <w:rPr>
          <w:rFonts w:hint="eastAsia" w:ascii="宋体" w:hAnsi="宋体" w:cs="宋体"/>
          <w:b/>
          <w:color w:val="auto"/>
          <w:sz w:val="24"/>
        </w:rPr>
      </w:pPr>
      <w:r>
        <w:rPr>
          <w:rFonts w:hint="eastAsia" w:ascii="宋体" w:hAnsi="宋体" w:cs="宋体"/>
          <w:b/>
          <w:color w:val="auto"/>
          <w:sz w:val="24"/>
        </w:rPr>
        <w:t>29.评标过程及保密原则</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29.1 凡与本次招标有关人员对属于审查、澄清、评价和比较投标的有关资料以及定标意向等，均不得向投标人或其他人员透露。否则,将按有关规定追究相关人员的责任。</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29.2 在评标期间，投标人试图影响或干预评审的任何行为，将导致其投标被作为无效投标，并承担相应的法律责任。</w:t>
      </w:r>
    </w:p>
    <w:p>
      <w:pPr>
        <w:wordWrap w:val="0"/>
        <w:spacing w:line="480" w:lineRule="exact"/>
        <w:ind w:firstLine="482" w:firstLineChars="200"/>
        <w:rPr>
          <w:rFonts w:hint="eastAsia" w:ascii="宋体" w:hAnsi="宋体" w:cs="宋体"/>
          <w:b/>
          <w:color w:val="auto"/>
          <w:sz w:val="24"/>
        </w:rPr>
      </w:pPr>
      <w:r>
        <w:rPr>
          <w:rFonts w:hint="eastAsia" w:ascii="宋体" w:hAnsi="宋体" w:cs="宋体"/>
          <w:b/>
          <w:color w:val="auto"/>
          <w:sz w:val="24"/>
        </w:rPr>
        <w:t>30.评标异议登记</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代理机构工作人员对评审专家等相关人员在评审过程中发现、提出的异议进行逐项登记。</w:t>
      </w:r>
    </w:p>
    <w:p>
      <w:pPr>
        <w:widowControl/>
        <w:wordWrap w:val="0"/>
        <w:spacing w:line="480" w:lineRule="exact"/>
        <w:ind w:firstLine="2289" w:firstLineChars="950"/>
        <w:jc w:val="left"/>
        <w:rPr>
          <w:rFonts w:hint="eastAsia" w:ascii="宋体" w:hAnsi="宋体" w:cs="宋体"/>
          <w:b/>
          <w:color w:val="auto"/>
          <w:kern w:val="0"/>
          <w:sz w:val="28"/>
          <w:szCs w:val="28"/>
        </w:rPr>
      </w:pPr>
      <w:r>
        <w:rPr>
          <w:rFonts w:hint="eastAsia" w:ascii="宋体" w:hAnsi="宋体" w:cs="宋体"/>
          <w:b/>
          <w:color w:val="auto"/>
          <w:kern w:val="0"/>
          <w:sz w:val="24"/>
        </w:rPr>
        <w:t xml:space="preserve">         </w:t>
      </w:r>
      <w:r>
        <w:rPr>
          <w:rFonts w:hint="eastAsia" w:ascii="宋体" w:hAnsi="宋体" w:cs="宋体"/>
          <w:b/>
          <w:color w:val="auto"/>
          <w:kern w:val="0"/>
          <w:sz w:val="28"/>
          <w:szCs w:val="28"/>
        </w:rPr>
        <w:t>七   定标</w:t>
      </w:r>
    </w:p>
    <w:p>
      <w:pPr>
        <w:widowControl/>
        <w:wordWrap w:val="0"/>
        <w:spacing w:line="480" w:lineRule="exact"/>
        <w:ind w:firstLine="482" w:firstLineChars="200"/>
        <w:rPr>
          <w:rFonts w:hint="eastAsia" w:ascii="宋体" w:hAnsi="宋体" w:cs="宋体"/>
          <w:b/>
          <w:color w:val="auto"/>
          <w:sz w:val="24"/>
        </w:rPr>
      </w:pPr>
      <w:r>
        <w:rPr>
          <w:rFonts w:hint="eastAsia" w:ascii="宋体" w:hAnsi="宋体" w:cs="宋体"/>
          <w:b/>
          <w:color w:val="auto"/>
          <w:sz w:val="24"/>
        </w:rPr>
        <w:t>31.定标原则</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31.1 最低投标价不作为中标的保证。</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31.2 确定实质上响应招标文件且满足下列条件的为中标候选人（或中标人）：</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31.2.1 综合评分法，是指投标文件满足招标文件全部实质性要求，且按照评审因素的量化指标评审得分最高的投标人为中标候选人（或中标人）的评标方法。</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ordWrap w:val="0"/>
        <w:spacing w:line="480" w:lineRule="exact"/>
        <w:ind w:firstLine="480" w:firstLineChars="200"/>
        <w:rPr>
          <w:rFonts w:hint="eastAsia" w:ascii="宋体" w:hAnsi="宋体" w:cs="宋体"/>
          <w:b/>
          <w:color w:val="auto"/>
          <w:sz w:val="24"/>
        </w:rPr>
      </w:pPr>
      <w:r>
        <w:rPr>
          <w:rFonts w:hint="eastAsia" w:ascii="宋体" w:hAnsi="宋体" w:cs="宋体"/>
          <w:color w:val="auto"/>
          <w:sz w:val="24"/>
        </w:rPr>
        <w:t>采用综合评分法，按评标总得分由高到低顺序排列。得分相同的，按投标报价由低到高顺序排列。得分与投标报价均相同的，按技术指标优劣排列。得分、投标报价与技术指标优劣均相同的，通过随机抽取产生。</w:t>
      </w:r>
    </w:p>
    <w:p>
      <w:pPr>
        <w:wordWrap w:val="0"/>
        <w:spacing w:line="480" w:lineRule="exact"/>
        <w:ind w:firstLine="482" w:firstLineChars="200"/>
        <w:rPr>
          <w:rFonts w:hint="eastAsia" w:ascii="宋体" w:hAnsi="宋体" w:cs="宋体"/>
          <w:b/>
          <w:color w:val="auto"/>
          <w:sz w:val="24"/>
        </w:rPr>
      </w:pPr>
      <w:r>
        <w:rPr>
          <w:rFonts w:hint="eastAsia" w:ascii="宋体" w:hAnsi="宋体" w:cs="宋体"/>
          <w:b/>
          <w:color w:val="auto"/>
          <w:sz w:val="24"/>
        </w:rPr>
        <w:t>32.确定中标人和中标候选人</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本项目由评审委员会确定3名中标候选人。“评审委员会”根据全体评审委员会成员签字的原始评审报告和评审结果编写评审委员会评审报告，采购代理机构应当履行核对评审委员会评审报告职责，并在评审结束后2个工作日内将评审委员会评审报告通过公共资源电子交易系统提交招标人，招标人应当在收到评审报告1个工作日内通过公共资源电子交易系统线上确定“中标人”。</w:t>
      </w:r>
    </w:p>
    <w:p>
      <w:pPr>
        <w:wordWrap w:val="0"/>
        <w:spacing w:line="480" w:lineRule="exact"/>
        <w:ind w:firstLine="482" w:firstLineChars="200"/>
        <w:rPr>
          <w:rFonts w:hint="eastAsia" w:ascii="宋体" w:hAnsi="宋体" w:cs="宋体"/>
          <w:b/>
          <w:color w:val="auto"/>
          <w:sz w:val="24"/>
        </w:rPr>
      </w:pPr>
      <w:r>
        <w:rPr>
          <w:rFonts w:hint="eastAsia" w:ascii="宋体" w:hAnsi="宋体" w:cs="宋体"/>
          <w:b/>
          <w:color w:val="auto"/>
          <w:sz w:val="24"/>
        </w:rPr>
        <w:t>33.中标通知书及中标公告</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33.1 评审结束后，代理机构及时在《河南省政府采购网》、《驻马店市公共资源交易中心网》</w:t>
      </w:r>
      <w:r>
        <w:rPr>
          <w:color w:val="auto"/>
        </w:rPr>
        <w:fldChar w:fldCharType="begin"/>
      </w:r>
      <w:r>
        <w:rPr>
          <w:color w:val="auto"/>
        </w:rPr>
        <w:instrText xml:space="preserve"> HYPERLINK "http://www.sxztb.gov.cn/" </w:instrText>
      </w:r>
      <w:r>
        <w:rPr>
          <w:color w:val="auto"/>
        </w:rPr>
        <w:fldChar w:fldCharType="separate"/>
      </w:r>
      <w:r>
        <w:rPr>
          <w:color w:val="auto"/>
        </w:rPr>
        <w:fldChar w:fldCharType="end"/>
      </w:r>
      <w:r>
        <w:rPr>
          <w:rFonts w:hint="eastAsia" w:ascii="宋体" w:hAnsi="宋体" w:cs="宋体"/>
          <w:color w:val="auto"/>
          <w:sz w:val="24"/>
        </w:rPr>
        <w:t>等相关媒体上发布中标公告，同时向中标人发出中标通知书。</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33.2 中标人在规定的时间内不领取中标通知书的，视为中标后自动放弃中标资格；中标人在有效报价中报价最低,非不可抗力放弃中标资格的。发生上述情况的承担由此引起的一切后果。</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33.3 中标通知书对招标人和中标人具有同等法律效力。中标通知书发出后，招标人改变中标结果，或者中标人放弃中标，应按相关法律、规章、规范性文件的要求承担相应的法律责任。</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33.4 中标通知书将作为签订合同的依据。合同签订后，中标通知书成为合同的一部分。</w:t>
      </w:r>
    </w:p>
    <w:p>
      <w:pPr>
        <w:wordWrap w:val="0"/>
        <w:spacing w:line="480" w:lineRule="exact"/>
        <w:ind w:firstLine="482" w:firstLineChars="200"/>
        <w:rPr>
          <w:rFonts w:hint="eastAsia" w:ascii="宋体" w:hAnsi="宋体" w:cs="宋体"/>
          <w:b/>
          <w:color w:val="auto"/>
          <w:sz w:val="24"/>
        </w:rPr>
      </w:pPr>
      <w:r>
        <w:rPr>
          <w:rFonts w:hint="eastAsia" w:ascii="宋体" w:hAnsi="宋体" w:cs="宋体"/>
          <w:b/>
          <w:color w:val="auto"/>
          <w:sz w:val="24"/>
        </w:rPr>
        <w:t>34.代理机构宣布废标的权利</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34.1 出现下列情况之一时，代理机构有权宣布废标，并将理由通知所有投标人：</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34.1.1出现影响采购公正的违法、违规行为的。</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34.1.2 投标人的报价均超过了招标控制价，招标人不能支付的。</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34.1.3 因重大变故，采购任务取消的。</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34.2 投标截止时间后投标人不足3家或通过资格性检查或符合性检查的投标人不足3家的，除采购任务取消情形外，按照以下方式处理：</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（1）招标文件存在不合理条款或者招标程序不符合规定的，招标人、代理机构改正后依法重新招标；　</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（2）招标文件没有不合理条款、招标程序符合规定，需要采用其他采购方式采购的，招标人应当依法报财政部门批准。</w:t>
      </w:r>
    </w:p>
    <w:p>
      <w:pPr>
        <w:wordWrap w:val="0"/>
        <w:spacing w:line="480" w:lineRule="exact"/>
        <w:jc w:val="center"/>
        <w:rPr>
          <w:rFonts w:hint="eastAsia" w:ascii="宋体" w:hAnsi="宋体" w:cs="宋体"/>
          <w:b/>
          <w:color w:val="auto"/>
          <w:kern w:val="0"/>
          <w:sz w:val="28"/>
          <w:szCs w:val="28"/>
        </w:rPr>
      </w:pPr>
    </w:p>
    <w:p>
      <w:pPr>
        <w:wordWrap w:val="0"/>
        <w:spacing w:line="480" w:lineRule="exact"/>
        <w:jc w:val="center"/>
        <w:rPr>
          <w:rFonts w:hint="eastAsia" w:ascii="宋体" w:hAnsi="宋体" w:cs="宋体"/>
          <w:b/>
          <w:color w:val="auto"/>
          <w:kern w:val="0"/>
          <w:sz w:val="24"/>
        </w:rPr>
      </w:pPr>
      <w:r>
        <w:rPr>
          <w:rFonts w:hint="eastAsia" w:ascii="宋体" w:hAnsi="宋体" w:cs="宋体"/>
          <w:b/>
          <w:color w:val="auto"/>
          <w:kern w:val="0"/>
          <w:sz w:val="28"/>
          <w:szCs w:val="28"/>
        </w:rPr>
        <w:t>八   合同授予</w:t>
      </w:r>
    </w:p>
    <w:p>
      <w:pPr>
        <w:wordWrap w:val="0"/>
        <w:spacing w:line="480" w:lineRule="exact"/>
        <w:ind w:firstLine="482" w:firstLineChars="200"/>
        <w:rPr>
          <w:rFonts w:hint="eastAsia" w:ascii="宋体" w:hAnsi="宋体" w:cs="宋体"/>
          <w:b/>
          <w:color w:val="auto"/>
          <w:sz w:val="24"/>
        </w:rPr>
      </w:pPr>
      <w:r>
        <w:rPr>
          <w:rFonts w:hint="eastAsia" w:ascii="宋体" w:hAnsi="宋体" w:cs="宋体"/>
          <w:b/>
          <w:color w:val="auto"/>
          <w:sz w:val="24"/>
        </w:rPr>
        <w:t>35.合同签订</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35.1 招标人、中标人自中标通知书发出之日起</w:t>
      </w:r>
      <w:r>
        <w:rPr>
          <w:rFonts w:hint="eastAsia" w:ascii="宋体" w:hAnsi="宋体" w:cs="宋体"/>
          <w:color w:val="auto"/>
          <w:sz w:val="24"/>
          <w:u w:val="single"/>
        </w:rPr>
        <w:t>2</w:t>
      </w:r>
      <w:r>
        <w:rPr>
          <w:rFonts w:hint="eastAsia" w:ascii="宋体" w:hAnsi="宋体" w:cs="宋体"/>
          <w:color w:val="auto"/>
          <w:sz w:val="24"/>
        </w:rPr>
        <w:t>个工作日内，根据招标文件确定的事项和中标人投标文件签订合同。双方所签订的合同不得对招标文件和中标人投标文件作实质性修改。</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35.2 招标文件、招标文件的修改文件、中标人的投标文件、补充或修改的文件及澄清或承诺文件等，均为双方签订合同的组成部分，并与合同一并作为本招标文件所列采购项目的互补性法律文件，与合同具有同等法律效力。</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34.3 中标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wordWrap w:val="0"/>
        <w:spacing w:line="480" w:lineRule="exact"/>
        <w:ind w:firstLine="480" w:firstLineChars="200"/>
        <w:rPr>
          <w:rFonts w:hint="eastAsia" w:ascii="宋体" w:hAnsi="宋体" w:cs="宋体"/>
          <w:color w:val="auto"/>
          <w:sz w:val="24"/>
        </w:rPr>
      </w:pPr>
      <w:r>
        <w:rPr>
          <w:rFonts w:hint="eastAsia" w:ascii="宋体" w:hAnsi="宋体" w:cs="宋体"/>
          <w:color w:val="auto"/>
          <w:sz w:val="24"/>
        </w:rPr>
        <w:t>34.4 招标人应在采购合同签订后按相关规定将合同副本报同级财政部门备案。</w:t>
      </w:r>
    </w:p>
    <w:p>
      <w:pPr>
        <w:widowControl/>
        <w:wordWrap w:val="0"/>
        <w:spacing w:line="400" w:lineRule="exact"/>
        <w:rPr>
          <w:rFonts w:hint="eastAsia" w:ascii="宋体" w:hAnsi="宋体" w:cs="宋体"/>
          <w:b/>
          <w:color w:val="auto"/>
          <w:kern w:val="0"/>
          <w:sz w:val="32"/>
          <w:szCs w:val="32"/>
        </w:rPr>
      </w:pPr>
    </w:p>
    <w:p>
      <w:pPr>
        <w:widowControl/>
        <w:wordWrap w:val="0"/>
        <w:spacing w:before="156" w:beforeLines="50" w:after="156" w:afterLines="50" w:line="400" w:lineRule="exact"/>
        <w:ind w:firstLine="2249" w:firstLineChars="700"/>
        <w:outlineLvl w:val="0"/>
        <w:rPr>
          <w:rFonts w:hint="eastAsia" w:ascii="宋体" w:hAnsi="宋体" w:cs="宋体"/>
          <w:b/>
          <w:color w:val="auto"/>
          <w:kern w:val="0"/>
          <w:sz w:val="32"/>
          <w:szCs w:val="32"/>
        </w:rPr>
      </w:pPr>
      <w:r>
        <w:rPr>
          <w:rFonts w:hint="eastAsia" w:ascii="宋体" w:hAnsi="宋体" w:cs="宋体"/>
          <w:b/>
          <w:color w:val="auto"/>
          <w:kern w:val="0"/>
          <w:sz w:val="32"/>
          <w:szCs w:val="32"/>
        </w:rPr>
        <w:br w:type="page"/>
      </w:r>
      <w:r>
        <w:rPr>
          <w:rFonts w:hint="eastAsia" w:ascii="宋体" w:hAnsi="宋体" w:cs="宋体"/>
          <w:b/>
          <w:color w:val="auto"/>
          <w:kern w:val="0"/>
          <w:sz w:val="32"/>
          <w:szCs w:val="32"/>
        </w:rPr>
        <w:t>第四章 评标办法及评分标准</w:t>
      </w:r>
    </w:p>
    <w:p>
      <w:pPr>
        <w:wordWrap w:val="0"/>
        <w:spacing w:line="400" w:lineRule="exact"/>
        <w:ind w:firstLine="480" w:firstLineChars="200"/>
        <w:rPr>
          <w:rFonts w:hint="eastAsia" w:ascii="宋体" w:hAnsi="宋体" w:cs="宋体"/>
          <w:color w:val="auto"/>
          <w:sz w:val="24"/>
        </w:rPr>
      </w:pPr>
      <w:r>
        <w:rPr>
          <w:rFonts w:hint="eastAsia" w:ascii="宋体" w:hAnsi="宋体" w:cs="宋体"/>
          <w:color w:val="auto"/>
          <w:sz w:val="24"/>
        </w:rPr>
        <w:t>为公正、公平、科学地选择中标人，根据《中华人民共和国政府采购法》、《政府采购货物和服务招标投标管理办法》等有关法律法规的规定，并结合本项目的实际，制定本办法。</w:t>
      </w:r>
    </w:p>
    <w:p>
      <w:pPr>
        <w:widowControl/>
        <w:wordWrap w:val="0"/>
        <w:spacing w:line="400" w:lineRule="exact"/>
        <w:ind w:firstLine="252" w:firstLineChars="100"/>
        <w:jc w:val="left"/>
        <w:textAlignment w:val="baseline"/>
        <w:rPr>
          <w:rStyle w:val="86"/>
          <w:rFonts w:hint="eastAsia" w:ascii="宋体" w:hAnsi="宋体" w:cs="宋体"/>
          <w:b/>
          <w:color w:val="auto"/>
          <w:kern w:val="0"/>
        </w:rPr>
      </w:pPr>
      <w:r>
        <w:rPr>
          <w:rStyle w:val="86"/>
          <w:rFonts w:hint="eastAsia" w:ascii="宋体" w:hAnsi="宋体" w:cs="宋体"/>
          <w:color w:val="auto"/>
          <w:kern w:val="0"/>
        </w:rPr>
        <w:t>一、</w:t>
      </w:r>
      <w:r>
        <w:rPr>
          <w:rStyle w:val="86"/>
          <w:rFonts w:hint="eastAsia" w:ascii="宋体" w:hAnsi="宋体" w:cs="宋体"/>
          <w:b/>
          <w:color w:val="auto"/>
          <w:kern w:val="0"/>
        </w:rPr>
        <w:t>总则</w:t>
      </w:r>
    </w:p>
    <w:p>
      <w:pPr>
        <w:widowControl/>
        <w:wordWrap w:val="0"/>
        <w:spacing w:line="400" w:lineRule="exact"/>
        <w:ind w:firstLine="480" w:firstLineChars="200"/>
        <w:textAlignment w:val="baseline"/>
        <w:rPr>
          <w:rStyle w:val="86"/>
          <w:rFonts w:hint="eastAsia" w:ascii="宋体" w:hAnsi="宋体" w:cs="宋体"/>
          <w:color w:val="auto"/>
        </w:rPr>
      </w:pPr>
      <w:r>
        <w:rPr>
          <w:rFonts w:hint="eastAsia" w:ascii="宋体" w:hAnsi="宋体" w:cs="宋体"/>
          <w:color w:val="auto"/>
          <w:sz w:val="24"/>
        </w:rPr>
        <w:t>本次评标采用综合评分法，总分为100分。按投标人须知第31项的规定排列中标资格。排名第一的投标人为第一中标候选人（其他投标人中标候选资格依此类推）。评分过程中采用四舍五入法，保留小数2位。</w:t>
      </w:r>
    </w:p>
    <w:p>
      <w:pPr>
        <w:widowControl/>
        <w:wordWrap w:val="0"/>
        <w:spacing w:line="400" w:lineRule="exact"/>
        <w:ind w:firstLine="253" w:firstLineChars="100"/>
        <w:jc w:val="left"/>
        <w:textAlignment w:val="baseline"/>
        <w:rPr>
          <w:rStyle w:val="86"/>
          <w:rFonts w:hint="eastAsia" w:ascii="宋体" w:hAnsi="宋体" w:cs="宋体"/>
          <w:b/>
          <w:color w:val="auto"/>
          <w:kern w:val="0"/>
        </w:rPr>
      </w:pPr>
      <w:r>
        <w:rPr>
          <w:rStyle w:val="86"/>
          <w:rFonts w:hint="eastAsia" w:ascii="宋体" w:hAnsi="宋体" w:cs="宋体"/>
          <w:b/>
          <w:color w:val="auto"/>
          <w:kern w:val="0"/>
        </w:rPr>
        <w:t xml:space="preserve">二、评标内容及标准 </w:t>
      </w:r>
    </w:p>
    <w:p>
      <w:pPr>
        <w:widowControl/>
        <w:wordWrap w:val="0"/>
        <w:spacing w:line="400" w:lineRule="exact"/>
        <w:ind w:firstLine="506" w:firstLineChars="200"/>
        <w:jc w:val="left"/>
        <w:textAlignment w:val="baseline"/>
        <w:rPr>
          <w:rStyle w:val="86"/>
          <w:rFonts w:hint="eastAsia" w:ascii="宋体" w:hAnsi="宋体" w:cs="宋体"/>
          <w:b/>
          <w:color w:val="auto"/>
          <w:kern w:val="0"/>
        </w:rPr>
      </w:pPr>
      <w:r>
        <w:rPr>
          <w:rStyle w:val="86"/>
          <w:rFonts w:hint="eastAsia" w:ascii="宋体" w:hAnsi="宋体" w:cs="宋体"/>
          <w:b/>
          <w:color w:val="auto"/>
          <w:kern w:val="0"/>
        </w:rPr>
        <w:t>1.评标办法</w:t>
      </w:r>
    </w:p>
    <w:p>
      <w:pPr>
        <w:widowControl/>
        <w:wordWrap w:val="0"/>
        <w:spacing w:line="400" w:lineRule="exact"/>
        <w:ind w:firstLine="504" w:firstLineChars="200"/>
        <w:jc w:val="left"/>
        <w:textAlignment w:val="baseline"/>
        <w:rPr>
          <w:rStyle w:val="86"/>
          <w:rFonts w:hint="eastAsia" w:ascii="宋体" w:hAnsi="宋体" w:cs="宋体"/>
          <w:color w:val="auto"/>
          <w:kern w:val="0"/>
        </w:rPr>
      </w:pPr>
      <w:r>
        <w:rPr>
          <w:rStyle w:val="86"/>
          <w:rFonts w:hint="eastAsia" w:ascii="宋体" w:hAnsi="宋体" w:cs="宋体"/>
          <w:color w:val="auto"/>
          <w:kern w:val="0"/>
        </w:rPr>
        <w:t>本次评标采用综合评分法。</w:t>
      </w:r>
    </w:p>
    <w:p>
      <w:pPr>
        <w:widowControl/>
        <w:wordWrap w:val="0"/>
        <w:spacing w:line="480" w:lineRule="exact"/>
        <w:ind w:firstLine="253" w:firstLineChars="100"/>
        <w:jc w:val="left"/>
        <w:textAlignment w:val="baseline"/>
        <w:rPr>
          <w:rStyle w:val="86"/>
          <w:rFonts w:hint="eastAsia" w:ascii="宋体" w:hAnsi="宋体" w:cs="宋体"/>
          <w:b/>
          <w:color w:val="auto"/>
          <w:kern w:val="0"/>
        </w:rPr>
      </w:pPr>
      <w:r>
        <w:rPr>
          <w:rStyle w:val="86"/>
          <w:rFonts w:hint="eastAsia" w:ascii="宋体" w:hAnsi="宋体" w:cs="宋体"/>
          <w:b/>
          <w:color w:val="auto"/>
          <w:kern w:val="0"/>
        </w:rPr>
        <w:t>2.评分因素</w:t>
      </w:r>
    </w:p>
    <w:p>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评标委员会根据政府采购相关规定，对有效投标的投标内容符合价格折扣条件的，按照“价格调整要素及价格折扣幅度列表”进行报价调整，以调整后的价格作为投标人的评标价。</w:t>
      </w:r>
    </w:p>
    <w:p>
      <w:pPr>
        <w:wordWrap w:val="0"/>
        <w:spacing w:line="360" w:lineRule="auto"/>
        <w:ind w:firstLine="480" w:firstLineChars="200"/>
        <w:rPr>
          <w:rFonts w:hint="eastAsia" w:ascii="宋体" w:hAnsi="宋体" w:cs="宋体"/>
          <w:color w:val="auto"/>
          <w:sz w:val="24"/>
        </w:rPr>
      </w:pPr>
      <w:r>
        <w:rPr>
          <w:rFonts w:hint="eastAsia" w:ascii="宋体" w:hAnsi="宋体" w:cs="宋体"/>
          <w:color w:val="auto"/>
          <w:sz w:val="24"/>
        </w:rPr>
        <w:t>价格分应当采用低价优先法计算，即满足招标文件要求且投标价格最低的投标报价为评标基准价，其价格分为满分。其他投标人的价格分统一按照下列公式计算：投标报价得分=(评标基准价／投标报价)×价格权值×100。</w:t>
      </w:r>
    </w:p>
    <w:p>
      <w:pPr>
        <w:wordWrap w:val="0"/>
        <w:spacing w:line="360" w:lineRule="auto"/>
        <w:ind w:firstLine="482" w:firstLineChars="200"/>
        <w:rPr>
          <w:rFonts w:hint="eastAsia" w:ascii="宋体" w:hAnsi="宋体" w:cs="宋体"/>
          <w:b/>
          <w:color w:val="auto"/>
          <w:kern w:val="0"/>
          <w:sz w:val="24"/>
        </w:rPr>
      </w:pPr>
      <w:r>
        <w:rPr>
          <w:rFonts w:hint="eastAsia" w:ascii="宋体" w:hAnsi="宋体" w:cs="宋体"/>
          <w:b/>
          <w:color w:val="auto"/>
          <w:kern w:val="0"/>
          <w:sz w:val="24"/>
        </w:rPr>
        <w:t>价格调整要素及价格折扣幅度列表：</w:t>
      </w:r>
    </w:p>
    <w:tbl>
      <w:tblPr>
        <w:tblStyle w:val="47"/>
        <w:tblW w:w="90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8"/>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3298" w:type="dxa"/>
            <w:tcBorders>
              <w:top w:val="single" w:color="auto" w:sz="4" w:space="0"/>
              <w:left w:val="single" w:color="auto" w:sz="4" w:space="0"/>
              <w:bottom w:val="single" w:color="auto" w:sz="4" w:space="0"/>
              <w:right w:val="single" w:color="auto" w:sz="4" w:space="0"/>
            </w:tcBorders>
            <w:vAlign w:val="center"/>
          </w:tcPr>
          <w:p>
            <w:pPr>
              <w:widowControl/>
              <w:wordWrap w:val="0"/>
              <w:spacing w:line="320" w:lineRule="exact"/>
              <w:ind w:firstLine="480" w:firstLineChars="200"/>
              <w:jc w:val="center"/>
              <w:rPr>
                <w:rFonts w:hint="eastAsia" w:ascii="宋体" w:hAnsi="宋体" w:cs="宋体"/>
                <w:color w:val="auto"/>
                <w:kern w:val="0"/>
                <w:sz w:val="24"/>
              </w:rPr>
            </w:pPr>
            <w:r>
              <w:rPr>
                <w:rFonts w:hint="eastAsia" w:ascii="宋体" w:hAnsi="宋体" w:cs="宋体"/>
                <w:color w:val="auto"/>
                <w:kern w:val="0"/>
                <w:sz w:val="24"/>
              </w:rPr>
              <w:t>评标价格要素</w:t>
            </w:r>
          </w:p>
        </w:tc>
        <w:tc>
          <w:tcPr>
            <w:tcW w:w="5790" w:type="dxa"/>
            <w:tcBorders>
              <w:top w:val="single" w:color="auto" w:sz="4" w:space="0"/>
              <w:left w:val="single" w:color="auto" w:sz="4" w:space="0"/>
              <w:bottom w:val="single" w:color="auto" w:sz="4" w:space="0"/>
              <w:right w:val="single" w:color="auto" w:sz="4" w:space="0"/>
            </w:tcBorders>
            <w:vAlign w:val="center"/>
          </w:tcPr>
          <w:p>
            <w:pPr>
              <w:widowControl/>
              <w:wordWrap w:val="0"/>
              <w:spacing w:line="320" w:lineRule="exact"/>
              <w:ind w:firstLine="480" w:firstLineChars="200"/>
              <w:jc w:val="center"/>
              <w:rPr>
                <w:rFonts w:hint="eastAsia" w:ascii="宋体" w:hAnsi="宋体" w:cs="宋体"/>
                <w:color w:val="auto"/>
                <w:kern w:val="0"/>
                <w:sz w:val="24"/>
              </w:rPr>
            </w:pPr>
            <w:r>
              <w:rPr>
                <w:rFonts w:hint="eastAsia" w:ascii="宋体" w:hAnsi="宋体" w:cs="宋体"/>
                <w:color w:val="auto"/>
                <w:kern w:val="0"/>
                <w:sz w:val="24"/>
              </w:rPr>
              <w:t>价格折扣幅度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jc w:val="center"/>
        </w:trPr>
        <w:tc>
          <w:tcPr>
            <w:tcW w:w="3298" w:type="dxa"/>
            <w:tcBorders>
              <w:top w:val="single" w:color="auto" w:sz="4" w:space="0"/>
              <w:left w:val="single" w:color="auto" w:sz="4" w:space="0"/>
              <w:bottom w:val="single" w:color="auto" w:sz="4" w:space="0"/>
              <w:right w:val="single" w:color="auto" w:sz="4" w:space="0"/>
            </w:tcBorders>
            <w:vAlign w:val="center"/>
          </w:tcPr>
          <w:p>
            <w:pPr>
              <w:widowControl/>
              <w:wordWrap w:val="0"/>
              <w:spacing w:line="320" w:lineRule="exact"/>
              <w:jc w:val="center"/>
              <w:rPr>
                <w:rFonts w:hint="eastAsia" w:ascii="宋体" w:hAnsi="宋体" w:cs="宋体"/>
                <w:color w:val="auto"/>
                <w:kern w:val="0"/>
                <w:sz w:val="24"/>
              </w:rPr>
            </w:pPr>
            <w:r>
              <w:rPr>
                <w:rFonts w:hint="eastAsia" w:ascii="宋体" w:hAnsi="宋体" w:cs="宋体"/>
                <w:color w:val="auto"/>
                <w:kern w:val="0"/>
                <w:sz w:val="24"/>
              </w:rPr>
              <w:t>小微企业投标，且投标产品出自小型或微型企业。监狱企业视同小型、微型企业。</w:t>
            </w:r>
          </w:p>
        </w:tc>
        <w:tc>
          <w:tcPr>
            <w:tcW w:w="5790" w:type="dxa"/>
            <w:tcBorders>
              <w:top w:val="single" w:color="auto" w:sz="4" w:space="0"/>
              <w:left w:val="single" w:color="auto" w:sz="4" w:space="0"/>
              <w:bottom w:val="single" w:color="auto" w:sz="4" w:space="0"/>
              <w:right w:val="single" w:color="auto" w:sz="4" w:space="0"/>
            </w:tcBorders>
            <w:vAlign w:val="center"/>
          </w:tcPr>
          <w:p>
            <w:pPr>
              <w:pStyle w:val="12"/>
              <w:widowControl/>
              <w:wordWrap w:val="0"/>
              <w:spacing w:line="320" w:lineRule="exact"/>
              <w:jc w:val="left"/>
              <w:rPr>
                <w:rFonts w:hint="eastAsia" w:ascii="宋体" w:hAnsi="宋体" w:cs="宋体"/>
                <w:color w:val="auto"/>
                <w:kern w:val="0"/>
              </w:rPr>
            </w:pPr>
            <w:r>
              <w:rPr>
                <w:rFonts w:hint="eastAsia" w:ascii="宋体" w:hAnsi="宋体" w:cs="宋体"/>
                <w:color w:val="auto"/>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98" w:type="dxa"/>
            <w:tcBorders>
              <w:top w:val="single" w:color="auto" w:sz="4" w:space="0"/>
              <w:left w:val="single" w:color="auto" w:sz="4" w:space="0"/>
              <w:bottom w:val="single" w:color="auto" w:sz="4" w:space="0"/>
              <w:right w:val="single" w:color="auto" w:sz="4" w:space="0"/>
            </w:tcBorders>
            <w:vAlign w:val="center"/>
          </w:tcPr>
          <w:p>
            <w:pPr>
              <w:widowControl/>
              <w:wordWrap w:val="0"/>
              <w:spacing w:line="320" w:lineRule="exact"/>
              <w:jc w:val="center"/>
              <w:rPr>
                <w:rFonts w:hint="eastAsia" w:ascii="宋体" w:hAnsi="宋体" w:cs="宋体"/>
                <w:color w:val="auto"/>
                <w:kern w:val="0"/>
                <w:sz w:val="24"/>
              </w:rPr>
            </w:pPr>
            <w:r>
              <w:rPr>
                <w:rFonts w:hint="eastAsia" w:ascii="宋体" w:hAnsi="宋体" w:cs="宋体"/>
                <w:color w:val="auto"/>
                <w:kern w:val="0"/>
                <w:sz w:val="24"/>
              </w:rPr>
              <w:t>联合体和分包</w:t>
            </w:r>
          </w:p>
        </w:tc>
        <w:tc>
          <w:tcPr>
            <w:tcW w:w="5790" w:type="dxa"/>
            <w:tcBorders>
              <w:top w:val="single" w:color="auto" w:sz="4" w:space="0"/>
              <w:left w:val="single" w:color="auto" w:sz="4" w:space="0"/>
              <w:bottom w:val="single" w:color="auto" w:sz="4" w:space="0"/>
              <w:right w:val="single" w:color="auto" w:sz="4" w:space="0"/>
            </w:tcBorders>
            <w:vAlign w:val="center"/>
          </w:tcPr>
          <w:p>
            <w:pPr>
              <w:widowControl/>
              <w:wordWrap w:val="0"/>
              <w:spacing w:line="320" w:lineRule="exact"/>
              <w:rPr>
                <w:rFonts w:hint="eastAsia" w:ascii="宋体" w:hAnsi="宋体" w:cs="宋体"/>
                <w:color w:val="auto"/>
                <w:sz w:val="24"/>
              </w:rPr>
            </w:pPr>
            <w:r>
              <w:rPr>
                <w:rFonts w:hint="eastAsia" w:ascii="宋体" w:hAnsi="宋体" w:cs="宋体"/>
                <w:color w:val="auto"/>
                <w:kern w:val="0"/>
                <w:sz w:val="24"/>
              </w:rPr>
              <w:t>本项目不接受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98" w:type="dxa"/>
            <w:tcBorders>
              <w:top w:val="single" w:color="auto" w:sz="4" w:space="0"/>
              <w:left w:val="single" w:color="auto" w:sz="4" w:space="0"/>
              <w:bottom w:val="single" w:color="auto" w:sz="4" w:space="0"/>
              <w:right w:val="single" w:color="auto" w:sz="4" w:space="0"/>
            </w:tcBorders>
            <w:vAlign w:val="center"/>
          </w:tcPr>
          <w:p>
            <w:pPr>
              <w:widowControl/>
              <w:wordWrap w:val="0"/>
              <w:spacing w:line="320" w:lineRule="exact"/>
              <w:jc w:val="center"/>
              <w:rPr>
                <w:rFonts w:hint="eastAsia" w:ascii="宋体" w:hAnsi="宋体" w:cs="宋体"/>
                <w:color w:val="auto"/>
                <w:kern w:val="0"/>
                <w:sz w:val="24"/>
              </w:rPr>
            </w:pPr>
            <w:r>
              <w:rPr>
                <w:rFonts w:hint="eastAsia" w:ascii="宋体" w:hAnsi="宋体" w:cs="宋体"/>
                <w:color w:val="auto"/>
                <w:kern w:val="0"/>
                <w:sz w:val="24"/>
              </w:rPr>
              <w:t>……</w:t>
            </w:r>
          </w:p>
        </w:tc>
        <w:tc>
          <w:tcPr>
            <w:tcW w:w="5790" w:type="dxa"/>
            <w:tcBorders>
              <w:top w:val="single" w:color="auto" w:sz="4" w:space="0"/>
              <w:left w:val="single" w:color="auto" w:sz="4" w:space="0"/>
              <w:bottom w:val="single" w:color="auto" w:sz="4" w:space="0"/>
              <w:right w:val="single" w:color="auto" w:sz="4" w:space="0"/>
            </w:tcBorders>
          </w:tcPr>
          <w:p>
            <w:pPr>
              <w:widowControl/>
              <w:wordWrap w:val="0"/>
              <w:spacing w:line="320" w:lineRule="exact"/>
              <w:jc w:val="left"/>
              <w:rPr>
                <w:rFonts w:hint="eastAsia" w:ascii="宋体" w:hAnsi="宋体" w:cs="宋体"/>
                <w:color w:val="auto"/>
                <w:kern w:val="0"/>
                <w:sz w:val="24"/>
              </w:rPr>
            </w:pPr>
            <w:r>
              <w:rPr>
                <w:rFonts w:hint="eastAsia" w:ascii="宋体" w:hAnsi="宋体" w:cs="宋体"/>
                <w:color w:val="auto"/>
                <w:kern w:val="0"/>
                <w:sz w:val="24"/>
              </w:rPr>
              <w:t>投标人或所投产品按规定享受其他国家政策支持、扶持的，由投标人提供相关法律法规政策依据，每项按0.5%折扣。</w:t>
            </w:r>
          </w:p>
        </w:tc>
      </w:tr>
    </w:tbl>
    <w:p>
      <w:pPr>
        <w:wordWrap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注:（1）投标产品属节能或环境标志产品品目清单范围的，以国家确定的认证机构出具的、处于有效期之内的节能产品、环境标志产品认证证书为准。属于强制采购的产品，不再给予价格优惠。</w:t>
      </w:r>
    </w:p>
    <w:p>
      <w:pPr>
        <w:wordWrap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（2）投标人属于中\小\微型企业的，必须出示中小企业声明函，否则不予认可；</w:t>
      </w:r>
    </w:p>
    <w:p>
      <w:pPr>
        <w:wordWrap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 </w:t>
      </w:r>
    </w:p>
    <w:p>
      <w:pPr>
        <w:wordWrap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评标价=投标人报价×（1-∑价格折扣幅度）</w:t>
      </w:r>
    </w:p>
    <w:p>
      <w:pPr>
        <w:wordWrap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价格分采用低价优先法计算，即满足招标文件要求，评标价最低的为评标基准价，其他投标人的价格分按照下列公式计算：</w:t>
      </w:r>
    </w:p>
    <w:p>
      <w:pPr>
        <w:wordWrap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价格分=（评标基准价/评标价）×100×价格权值</w:t>
      </w:r>
    </w:p>
    <w:p>
      <w:pPr>
        <w:wordWrap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监狱企业参加政府采购活动时，应当提供由省级以上监狱管理局、戒毒管理局（含新疆生产建设兵团）出具的属于监狱企业的证明文件。</w:t>
      </w:r>
    </w:p>
    <w:p>
      <w:pPr>
        <w:widowControl/>
        <w:wordWrap w:val="0"/>
        <w:spacing w:line="480" w:lineRule="exact"/>
        <w:ind w:firstLine="480" w:firstLineChars="200"/>
        <w:jc w:val="left"/>
        <w:textAlignment w:val="baseline"/>
        <w:rPr>
          <w:rStyle w:val="86"/>
          <w:rFonts w:hint="eastAsia" w:ascii="宋体" w:hAnsi="宋体" w:cs="宋体"/>
          <w:color w:val="auto"/>
          <w:kern w:val="0"/>
        </w:rPr>
      </w:pPr>
      <w:r>
        <w:rPr>
          <w:rFonts w:hint="eastAsia" w:ascii="宋体" w:hAnsi="宋体" w:cs="宋体"/>
          <w:color w:val="auto"/>
          <w:kern w:val="0"/>
          <w:sz w:val="24"/>
        </w:rPr>
        <w:t>（3）根据《财政部 民政部 中国残疾人联合会关于促进残疾人就业政府采购政策的通知》（财库〔2017〕141号）的规定，享受政府采购支持政策的残疾人福利性单位应当提供《残疾人福利性单位声明函》。</w:t>
      </w:r>
    </w:p>
    <w:p>
      <w:pPr>
        <w:widowControl/>
        <w:wordWrap w:val="0"/>
        <w:spacing w:line="480" w:lineRule="exact"/>
        <w:ind w:firstLine="504" w:firstLineChars="200"/>
        <w:jc w:val="left"/>
        <w:textAlignment w:val="baseline"/>
        <w:rPr>
          <w:rStyle w:val="86"/>
          <w:rFonts w:hint="eastAsia" w:ascii="宋体" w:hAnsi="宋体" w:cs="宋体"/>
          <w:color w:val="auto"/>
          <w:kern w:val="0"/>
        </w:rPr>
      </w:pPr>
      <w:r>
        <w:rPr>
          <w:rStyle w:val="86"/>
          <w:rFonts w:hint="eastAsia" w:ascii="宋体" w:hAnsi="宋体" w:cs="宋体"/>
          <w:color w:val="auto"/>
          <w:kern w:val="0"/>
        </w:rPr>
        <w:t>评委将根据评分标准，分别对通过符合性审查、资格性审查的投标人，进行综合评分。</w:t>
      </w:r>
    </w:p>
    <w:p>
      <w:pPr>
        <w:jc w:val="center"/>
        <w:rPr>
          <w:b/>
          <w:bCs/>
          <w:color w:val="auto"/>
          <w:sz w:val="28"/>
          <w:szCs w:val="28"/>
        </w:rPr>
      </w:pPr>
      <w:r>
        <w:rPr>
          <w:rFonts w:hint="eastAsia"/>
          <w:b/>
          <w:bCs/>
          <w:color w:val="auto"/>
          <w:sz w:val="28"/>
          <w:szCs w:val="28"/>
          <w:lang w:val="en-US" w:eastAsia="zh-CN"/>
        </w:rPr>
        <w:t>A</w:t>
      </w:r>
      <w:r>
        <w:rPr>
          <w:rFonts w:hint="eastAsia"/>
          <w:b/>
          <w:bCs/>
          <w:color w:val="auto"/>
          <w:sz w:val="28"/>
          <w:szCs w:val="28"/>
        </w:rPr>
        <w:t>包评分内容及标准</w:t>
      </w:r>
    </w:p>
    <w:tbl>
      <w:tblPr>
        <w:tblStyle w:val="47"/>
        <w:tblW w:w="9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65"/>
        <w:gridCol w:w="828"/>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360" w:lineRule="auto"/>
              <w:jc w:val="center"/>
              <w:rPr>
                <w:rFonts w:hint="eastAsia" w:ascii="宋体" w:hAnsi="宋体" w:cs="宋体"/>
                <w:b/>
                <w:bCs/>
                <w:color w:val="auto"/>
                <w:sz w:val="24"/>
              </w:rPr>
            </w:pPr>
            <w:r>
              <w:rPr>
                <w:rFonts w:hint="eastAsia" w:ascii="宋体" w:hAnsi="宋体" w:cs="宋体"/>
                <w:b/>
                <w:bCs/>
                <w:color w:val="auto"/>
                <w:sz w:val="24"/>
              </w:rPr>
              <w:t>序号</w:t>
            </w:r>
          </w:p>
        </w:tc>
        <w:tc>
          <w:tcPr>
            <w:tcW w:w="1065" w:type="dxa"/>
            <w:vAlign w:val="center"/>
          </w:tcPr>
          <w:p>
            <w:pPr>
              <w:spacing w:line="360" w:lineRule="auto"/>
              <w:jc w:val="center"/>
              <w:rPr>
                <w:rFonts w:hint="eastAsia" w:ascii="宋体" w:hAnsi="宋体" w:cs="宋体"/>
                <w:b/>
                <w:bCs/>
                <w:color w:val="auto"/>
                <w:sz w:val="24"/>
              </w:rPr>
            </w:pPr>
            <w:r>
              <w:rPr>
                <w:rFonts w:hint="eastAsia" w:ascii="宋体" w:hAnsi="宋体" w:cs="宋体"/>
                <w:b/>
                <w:bCs/>
                <w:color w:val="auto"/>
                <w:sz w:val="24"/>
              </w:rPr>
              <w:t>评分</w:t>
            </w:r>
          </w:p>
          <w:p>
            <w:pPr>
              <w:spacing w:line="360" w:lineRule="auto"/>
              <w:jc w:val="center"/>
              <w:rPr>
                <w:rFonts w:hint="eastAsia" w:ascii="宋体" w:hAnsi="宋体" w:cs="宋体"/>
                <w:b/>
                <w:bCs/>
                <w:color w:val="auto"/>
                <w:sz w:val="24"/>
              </w:rPr>
            </w:pPr>
            <w:r>
              <w:rPr>
                <w:rFonts w:hint="eastAsia" w:ascii="宋体" w:hAnsi="宋体" w:cs="宋体"/>
                <w:b/>
                <w:bCs/>
                <w:color w:val="auto"/>
                <w:sz w:val="24"/>
              </w:rPr>
              <w:t>项目</w:t>
            </w:r>
          </w:p>
        </w:tc>
        <w:tc>
          <w:tcPr>
            <w:tcW w:w="828" w:type="dxa"/>
            <w:vAlign w:val="center"/>
          </w:tcPr>
          <w:p>
            <w:pPr>
              <w:spacing w:line="360" w:lineRule="auto"/>
              <w:jc w:val="center"/>
              <w:rPr>
                <w:rFonts w:hint="eastAsia" w:ascii="宋体" w:hAnsi="宋体" w:cs="宋体"/>
                <w:b/>
                <w:bCs/>
                <w:color w:val="auto"/>
                <w:sz w:val="24"/>
              </w:rPr>
            </w:pPr>
            <w:r>
              <w:rPr>
                <w:rFonts w:hint="eastAsia" w:ascii="宋体" w:hAnsi="宋体" w:cs="宋体"/>
                <w:b/>
                <w:bCs/>
                <w:color w:val="auto"/>
                <w:sz w:val="24"/>
              </w:rPr>
              <w:t>评分权重</w:t>
            </w:r>
          </w:p>
        </w:tc>
        <w:tc>
          <w:tcPr>
            <w:tcW w:w="6440" w:type="dxa"/>
            <w:vAlign w:val="center"/>
          </w:tcPr>
          <w:p>
            <w:pPr>
              <w:spacing w:line="360" w:lineRule="auto"/>
              <w:jc w:val="center"/>
              <w:rPr>
                <w:rFonts w:hint="eastAsia" w:ascii="宋体" w:hAnsi="宋体" w:cs="宋体"/>
                <w:b/>
                <w:bCs/>
                <w:color w:val="auto"/>
                <w:sz w:val="24"/>
              </w:rPr>
            </w:pPr>
            <w:r>
              <w:rPr>
                <w:rFonts w:hint="eastAsia" w:ascii="宋体" w:hAnsi="宋体" w:cs="宋体"/>
                <w:b/>
                <w:bCs/>
                <w:color w:val="auto"/>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1" w:type="dxa"/>
            <w:gridSpan w:val="4"/>
            <w:vAlign w:val="center"/>
          </w:tcPr>
          <w:p>
            <w:pPr>
              <w:spacing w:line="360" w:lineRule="auto"/>
              <w:rPr>
                <w:rFonts w:hint="eastAsia" w:ascii="宋体" w:hAnsi="宋体" w:cs="宋体"/>
                <w:b/>
                <w:bCs/>
                <w:color w:val="auto"/>
                <w:sz w:val="24"/>
              </w:rPr>
            </w:pPr>
            <w:r>
              <w:rPr>
                <w:rFonts w:hint="eastAsia" w:ascii="宋体" w:hAnsi="宋体" w:cs="宋体"/>
                <w:b/>
                <w:bCs/>
                <w:color w:val="auto"/>
                <w:sz w:val="24"/>
              </w:rPr>
              <w:t>一、价格分 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065"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价格分</w:t>
            </w:r>
          </w:p>
        </w:tc>
        <w:tc>
          <w:tcPr>
            <w:tcW w:w="828"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30分</w:t>
            </w:r>
          </w:p>
        </w:tc>
        <w:tc>
          <w:tcPr>
            <w:tcW w:w="6440" w:type="dxa"/>
          </w:tcPr>
          <w:p>
            <w:pPr>
              <w:spacing w:line="360" w:lineRule="auto"/>
              <w:rPr>
                <w:rFonts w:hint="eastAsia" w:ascii="宋体" w:hAnsi="宋体" w:cs="宋体"/>
                <w:color w:val="auto"/>
                <w:sz w:val="24"/>
              </w:rPr>
            </w:pPr>
            <w:r>
              <w:rPr>
                <w:rFonts w:hint="eastAsia" w:ascii="宋体" w:hAnsi="宋体" w:cs="宋体"/>
                <w:color w:val="auto"/>
                <w:sz w:val="24"/>
              </w:rPr>
              <w:t xml:space="preserve">1.满足招标文件要求且投标价格最低的投标报价为评审基准价，其价格分为满分30分。其他投标人的价格分统一按照下列公式计算： </w:t>
            </w:r>
          </w:p>
          <w:p>
            <w:pPr>
              <w:spacing w:line="360" w:lineRule="auto"/>
              <w:rPr>
                <w:rFonts w:hint="eastAsia" w:ascii="宋体" w:hAnsi="宋体" w:cs="宋体"/>
                <w:color w:val="auto"/>
                <w:sz w:val="24"/>
              </w:rPr>
            </w:pPr>
            <w:r>
              <w:rPr>
                <w:rFonts w:hint="eastAsia" w:ascii="宋体" w:hAnsi="宋体" w:cs="宋体"/>
                <w:color w:val="auto"/>
                <w:sz w:val="24"/>
              </w:rPr>
              <w:t xml:space="preserve">投标报价得分=（评标基准价/投标报价）×30分 </w:t>
            </w:r>
          </w:p>
          <w:p>
            <w:pPr>
              <w:spacing w:line="360" w:lineRule="auto"/>
              <w:rPr>
                <w:rFonts w:hint="eastAsia" w:ascii="宋体" w:hAnsi="宋体" w:cs="宋体"/>
                <w:color w:val="auto"/>
                <w:sz w:val="24"/>
              </w:rPr>
            </w:pPr>
            <w:r>
              <w:rPr>
                <w:rFonts w:hint="eastAsia" w:ascii="宋体" w:hAnsi="宋体" w:cs="宋体"/>
                <w:color w:val="auto"/>
                <w:sz w:val="24"/>
              </w:rPr>
              <w:t>注：计算结果四舍五入，保留两位小数。</w:t>
            </w:r>
          </w:p>
          <w:p>
            <w:pPr>
              <w:spacing w:line="360" w:lineRule="auto"/>
              <w:rPr>
                <w:rFonts w:hint="eastAsia" w:ascii="宋体" w:hAnsi="宋体" w:cs="宋体"/>
                <w:color w:val="auto"/>
                <w:sz w:val="24"/>
              </w:rPr>
            </w:pPr>
            <w:r>
              <w:rPr>
                <w:rFonts w:hint="eastAsia" w:ascii="宋体" w:hAnsi="宋体" w:cs="宋体"/>
                <w:color w:val="auto"/>
                <w:sz w:val="24"/>
              </w:rPr>
              <w:t>2.投标人的报价超出招标控制价的，按无效标处理。</w:t>
            </w:r>
          </w:p>
          <w:p>
            <w:pPr>
              <w:spacing w:line="360" w:lineRule="auto"/>
              <w:rPr>
                <w:rFonts w:hint="eastAsia" w:ascii="宋体" w:hAnsi="宋体" w:cs="宋体"/>
                <w:color w:val="auto"/>
                <w:sz w:val="24"/>
              </w:rPr>
            </w:pPr>
            <w:r>
              <w:rPr>
                <w:rFonts w:hint="eastAsia" w:ascii="宋体" w:hAnsi="宋体" w:cs="宋体"/>
                <w:color w:val="auto"/>
                <w:sz w:val="24"/>
              </w:rPr>
              <w:t>3.评标委员会认为投标人的报价明显低于其他通过符合性审查投标人的报价，有可能影响产品质量或者不能诚信履约的，应当要求其在电子交易系统中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1" w:type="dxa"/>
            <w:gridSpan w:val="4"/>
          </w:tcPr>
          <w:p>
            <w:pPr>
              <w:spacing w:line="360" w:lineRule="auto"/>
              <w:rPr>
                <w:rFonts w:hint="eastAsia" w:ascii="宋体" w:hAnsi="宋体" w:cs="宋体"/>
                <w:b/>
                <w:bCs/>
                <w:color w:val="auto"/>
                <w:sz w:val="24"/>
              </w:rPr>
            </w:pPr>
            <w:r>
              <w:rPr>
                <w:rFonts w:hint="eastAsia" w:ascii="宋体" w:hAnsi="宋体" w:cs="宋体"/>
                <w:b/>
                <w:bCs/>
                <w:color w:val="auto"/>
                <w:sz w:val="24"/>
              </w:rPr>
              <w:t>二、技术分49分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065" w:type="dxa"/>
            <w:vAlign w:val="center"/>
          </w:tcPr>
          <w:p>
            <w:pPr>
              <w:jc w:val="center"/>
              <w:rPr>
                <w:rFonts w:hint="eastAsia" w:ascii="宋体" w:hAnsi="宋体" w:cs="宋体"/>
                <w:color w:val="auto"/>
                <w:sz w:val="24"/>
              </w:rPr>
            </w:pPr>
            <w:r>
              <w:rPr>
                <w:rFonts w:hint="eastAsia" w:ascii="宋体" w:hAnsi="宋体" w:cs="宋体"/>
                <w:color w:val="auto"/>
                <w:sz w:val="24"/>
              </w:rPr>
              <w:t>技术指标响应情况</w:t>
            </w:r>
          </w:p>
          <w:p>
            <w:pPr>
              <w:spacing w:line="360" w:lineRule="auto"/>
              <w:jc w:val="center"/>
              <w:rPr>
                <w:rFonts w:hint="eastAsia" w:ascii="宋体" w:hAnsi="宋体" w:cs="宋体"/>
                <w:color w:val="auto"/>
                <w:sz w:val="24"/>
              </w:rPr>
            </w:pPr>
          </w:p>
        </w:tc>
        <w:tc>
          <w:tcPr>
            <w:tcW w:w="828"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22分</w:t>
            </w:r>
          </w:p>
        </w:tc>
        <w:tc>
          <w:tcPr>
            <w:tcW w:w="6440" w:type="dxa"/>
            <w:vAlign w:val="center"/>
          </w:tcPr>
          <w:p>
            <w:pPr>
              <w:pStyle w:val="143"/>
              <w:numPr>
                <w:ilvl w:val="0"/>
                <w:numId w:val="5"/>
              </w:numPr>
              <w:spacing w:line="360" w:lineRule="exact"/>
              <w:rPr>
                <w:rFonts w:hint="eastAsia"/>
                <w:color w:val="auto"/>
                <w:sz w:val="24"/>
                <w:lang w:eastAsia="zh-CN" w:bidi="ar"/>
              </w:rPr>
            </w:pPr>
            <w:r>
              <w:rPr>
                <w:rFonts w:hint="eastAsia"/>
                <w:color w:val="auto"/>
                <w:sz w:val="24"/>
                <w:lang w:eastAsia="zh-CN" w:bidi="ar"/>
              </w:rPr>
              <w:t>所投产品技术参数完全满足招标文件要求的，得基础分16分；有一项不满足的扣4分，扣完为止，不计负分。</w:t>
            </w:r>
          </w:p>
          <w:p>
            <w:pPr>
              <w:pStyle w:val="143"/>
              <w:numPr>
                <w:ilvl w:val="0"/>
                <w:numId w:val="5"/>
              </w:numPr>
              <w:spacing w:line="360" w:lineRule="exact"/>
              <w:rPr>
                <w:rFonts w:hint="eastAsia"/>
                <w:color w:val="auto"/>
                <w:kern w:val="2"/>
                <w:sz w:val="24"/>
                <w:szCs w:val="24"/>
                <w:lang w:eastAsia="zh-CN"/>
              </w:rPr>
            </w:pPr>
            <w:r>
              <w:rPr>
                <w:rFonts w:hint="eastAsia"/>
                <w:color w:val="auto"/>
                <w:sz w:val="24"/>
                <w:lang w:eastAsia="zh-CN" w:bidi="ar"/>
              </w:rPr>
              <w:t>所投产品提供</w:t>
            </w:r>
            <w:r>
              <w:rPr>
                <w:rFonts w:hint="eastAsia"/>
                <w:color w:val="auto"/>
                <w:sz w:val="24"/>
                <w:lang w:eastAsia="zh-CN"/>
              </w:rPr>
              <w:t>具有CMA或CNAS资质认定的第三方检测机构出具的检测报告扫描件并加盖厂家公章，每提供一种产品得3分，</w:t>
            </w:r>
            <w:r>
              <w:rPr>
                <w:color w:val="auto"/>
                <w:sz w:val="24"/>
                <w:szCs w:val="24"/>
                <w:lang w:eastAsia="zh-CN"/>
              </w:rPr>
              <w:t>最多得</w:t>
            </w:r>
            <w:r>
              <w:rPr>
                <w:rFonts w:hint="eastAsia"/>
                <w:color w:val="auto"/>
                <w:sz w:val="24"/>
                <w:szCs w:val="24"/>
                <w:lang w:eastAsia="zh-CN"/>
              </w:rPr>
              <w:t>6</w:t>
            </w:r>
            <w:r>
              <w:rPr>
                <w:color w:val="auto"/>
                <w:sz w:val="24"/>
                <w:szCs w:val="24"/>
                <w:lang w:eastAsia="zh-CN"/>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065"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供货、安</w:t>
            </w:r>
          </w:p>
          <w:p>
            <w:pPr>
              <w:spacing w:line="360" w:lineRule="auto"/>
              <w:jc w:val="center"/>
              <w:rPr>
                <w:rFonts w:hint="eastAsia" w:ascii="宋体" w:hAnsi="宋体" w:cs="宋体"/>
                <w:color w:val="auto"/>
                <w:sz w:val="24"/>
              </w:rPr>
            </w:pPr>
            <w:r>
              <w:rPr>
                <w:rFonts w:hint="eastAsia" w:ascii="宋体" w:hAnsi="宋体" w:cs="宋体"/>
                <w:color w:val="auto"/>
                <w:sz w:val="24"/>
              </w:rPr>
              <w:t>装、调试服</w:t>
            </w:r>
          </w:p>
          <w:p>
            <w:pPr>
              <w:spacing w:line="360" w:lineRule="auto"/>
              <w:jc w:val="center"/>
              <w:rPr>
                <w:rFonts w:hint="eastAsia" w:ascii="宋体" w:hAnsi="宋体" w:cs="宋体"/>
                <w:color w:val="auto"/>
                <w:sz w:val="24"/>
              </w:rPr>
            </w:pPr>
            <w:r>
              <w:rPr>
                <w:rFonts w:hint="eastAsia" w:ascii="宋体" w:hAnsi="宋体" w:cs="宋体"/>
                <w:color w:val="auto"/>
                <w:sz w:val="24"/>
              </w:rPr>
              <w:t>务方案</w:t>
            </w:r>
          </w:p>
        </w:tc>
        <w:tc>
          <w:tcPr>
            <w:tcW w:w="828"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10分</w:t>
            </w:r>
          </w:p>
        </w:tc>
        <w:tc>
          <w:tcPr>
            <w:tcW w:w="6440" w:type="dxa"/>
            <w:vAlign w:val="center"/>
          </w:tcPr>
          <w:p>
            <w:pPr>
              <w:pStyle w:val="143"/>
              <w:spacing w:line="360" w:lineRule="exact"/>
              <w:ind w:left="0"/>
              <w:rPr>
                <w:rFonts w:hint="eastAsia"/>
                <w:color w:val="auto"/>
                <w:sz w:val="24"/>
                <w:szCs w:val="24"/>
                <w:lang w:eastAsia="zh-CN"/>
              </w:rPr>
            </w:pPr>
            <w:r>
              <w:rPr>
                <w:rFonts w:hint="eastAsia"/>
                <w:color w:val="auto"/>
                <w:sz w:val="24"/>
                <w:szCs w:val="24"/>
                <w:lang w:eastAsia="zh-CN"/>
              </w:rPr>
              <w:t>投标人</w:t>
            </w:r>
            <w:r>
              <w:rPr>
                <w:color w:val="auto"/>
                <w:sz w:val="24"/>
                <w:szCs w:val="24"/>
                <w:lang w:eastAsia="zh-CN"/>
              </w:rPr>
              <w:t>提供的供货、安装、调试服务方案包含（但不限于）以下内容：供货时间安排及保障措施</w:t>
            </w:r>
            <w:r>
              <w:rPr>
                <w:rFonts w:hint="eastAsia"/>
                <w:color w:val="auto"/>
                <w:sz w:val="24"/>
                <w:szCs w:val="24"/>
                <w:lang w:eastAsia="zh-CN"/>
              </w:rPr>
              <w:t>、</w:t>
            </w:r>
            <w:r>
              <w:rPr>
                <w:color w:val="auto"/>
                <w:sz w:val="24"/>
                <w:szCs w:val="24"/>
                <w:lang w:eastAsia="zh-CN"/>
              </w:rPr>
              <w:t>人员配备及职责分工</w:t>
            </w:r>
            <w:r>
              <w:rPr>
                <w:rFonts w:hint="eastAsia"/>
                <w:color w:val="auto"/>
                <w:sz w:val="24"/>
                <w:szCs w:val="24"/>
                <w:lang w:eastAsia="zh-CN"/>
              </w:rPr>
              <w:t>、</w:t>
            </w:r>
            <w:r>
              <w:rPr>
                <w:color w:val="auto"/>
                <w:sz w:val="24"/>
                <w:szCs w:val="24"/>
                <w:lang w:eastAsia="zh-CN"/>
              </w:rPr>
              <w:t>安装调试服务方案及保障措施</w:t>
            </w:r>
            <w:r>
              <w:rPr>
                <w:rFonts w:hint="eastAsia"/>
                <w:color w:val="auto"/>
                <w:sz w:val="24"/>
                <w:szCs w:val="24"/>
                <w:lang w:eastAsia="zh-CN"/>
              </w:rPr>
              <w:t>、人员技术培训、服务承诺有关内容等</w:t>
            </w:r>
            <w:r>
              <w:rPr>
                <w:color w:val="auto"/>
                <w:sz w:val="24"/>
                <w:szCs w:val="24"/>
                <w:lang w:eastAsia="zh-CN"/>
              </w:rPr>
              <w:t>。</w:t>
            </w:r>
          </w:p>
          <w:p>
            <w:pPr>
              <w:pStyle w:val="143"/>
              <w:spacing w:line="360" w:lineRule="auto"/>
              <w:ind w:left="0"/>
              <w:rPr>
                <w:rFonts w:hint="eastAsia"/>
                <w:b/>
                <w:bCs/>
                <w:color w:val="auto"/>
                <w:kern w:val="2"/>
                <w:sz w:val="24"/>
                <w:szCs w:val="24"/>
                <w:lang w:eastAsia="zh-CN"/>
              </w:rPr>
            </w:pPr>
            <w:r>
              <w:rPr>
                <w:rFonts w:hint="eastAsia"/>
                <w:color w:val="auto"/>
                <w:sz w:val="24"/>
                <w:szCs w:val="24"/>
                <w:lang w:eastAsia="zh-CN"/>
              </w:rPr>
              <w:t>上述内容阐述全面、详尽且满足项目实际需要的，每项</w:t>
            </w:r>
            <w:r>
              <w:rPr>
                <w:rFonts w:hint="eastAsia"/>
                <w:bCs/>
                <w:color w:val="auto"/>
                <w:sz w:val="24"/>
                <w:szCs w:val="24"/>
                <w:lang w:eastAsia="zh-CN"/>
              </w:rPr>
              <w:t>得2分；</w:t>
            </w:r>
            <w:r>
              <w:rPr>
                <w:rFonts w:hint="eastAsia"/>
                <w:color w:val="auto"/>
                <w:sz w:val="24"/>
                <w:szCs w:val="24"/>
                <w:lang w:eastAsia="zh-CN"/>
              </w:rPr>
              <w:t>上述内容阐述基本全面、基本贴合项目实际情况的，每项</w:t>
            </w:r>
            <w:r>
              <w:rPr>
                <w:rFonts w:hint="eastAsia"/>
                <w:bCs/>
                <w:color w:val="auto"/>
                <w:sz w:val="24"/>
                <w:szCs w:val="24"/>
                <w:lang w:eastAsia="zh-CN"/>
              </w:rPr>
              <w:t>得1分；</w:t>
            </w:r>
            <w:r>
              <w:rPr>
                <w:rFonts w:hint="eastAsia"/>
                <w:color w:val="auto"/>
                <w:sz w:val="24"/>
                <w:szCs w:val="24"/>
                <w:lang w:eastAsia="zh-CN"/>
              </w:rPr>
              <w:t>上述内容阐述不全面、未贴合项目实际情况的，每项</w:t>
            </w:r>
            <w:r>
              <w:rPr>
                <w:rFonts w:hint="eastAsia"/>
                <w:bCs/>
                <w:color w:val="auto"/>
                <w:sz w:val="24"/>
                <w:szCs w:val="24"/>
                <w:lang w:eastAsia="zh-CN"/>
              </w:rPr>
              <w:t>得0.5分</w:t>
            </w:r>
            <w:r>
              <w:rPr>
                <w:rFonts w:hint="eastAsia"/>
                <w:color w:val="auto"/>
                <w:sz w:val="24"/>
                <w:szCs w:val="24"/>
                <w:lang w:eastAsia="zh-CN"/>
              </w:rPr>
              <w:t>。</w:t>
            </w:r>
            <w:r>
              <w:rPr>
                <w:color w:val="auto"/>
                <w:sz w:val="24"/>
                <w:szCs w:val="24"/>
              </w:rPr>
              <w:t>最多得</w:t>
            </w:r>
            <w:r>
              <w:rPr>
                <w:rFonts w:hint="eastAsia"/>
                <w:color w:val="auto"/>
                <w:sz w:val="24"/>
                <w:szCs w:val="24"/>
                <w:lang w:eastAsia="zh-CN"/>
              </w:rPr>
              <w:t>10</w:t>
            </w:r>
            <w:r>
              <w:rPr>
                <w:color w:val="auto"/>
                <w:sz w:val="24"/>
                <w:szCs w:val="24"/>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065"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安全、质量保证措施</w:t>
            </w:r>
          </w:p>
        </w:tc>
        <w:tc>
          <w:tcPr>
            <w:tcW w:w="828"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8分</w:t>
            </w:r>
          </w:p>
        </w:tc>
        <w:tc>
          <w:tcPr>
            <w:tcW w:w="6440" w:type="dxa"/>
            <w:vAlign w:val="center"/>
          </w:tcPr>
          <w:p>
            <w:pPr>
              <w:pStyle w:val="143"/>
              <w:spacing w:line="360" w:lineRule="exact"/>
              <w:ind w:left="0"/>
              <w:rPr>
                <w:rFonts w:hint="eastAsia"/>
                <w:color w:val="auto"/>
                <w:kern w:val="2"/>
                <w:sz w:val="24"/>
                <w:szCs w:val="24"/>
                <w:lang w:eastAsia="zh-CN"/>
              </w:rPr>
            </w:pPr>
            <w:r>
              <w:rPr>
                <w:rFonts w:hint="eastAsia"/>
                <w:color w:val="auto"/>
                <w:kern w:val="2"/>
                <w:sz w:val="24"/>
                <w:szCs w:val="24"/>
                <w:lang w:eastAsia="zh-CN"/>
              </w:rPr>
              <w:t>投标人提供的安全、质量保障措施包含但不限于安全管理措施、风险管理措施、自检自查措施、质量保障措施等。</w:t>
            </w:r>
          </w:p>
          <w:p>
            <w:pPr>
              <w:pStyle w:val="143"/>
              <w:spacing w:line="360" w:lineRule="exact"/>
              <w:ind w:left="0"/>
              <w:rPr>
                <w:rFonts w:hint="eastAsia"/>
                <w:color w:val="auto"/>
                <w:kern w:val="2"/>
                <w:sz w:val="24"/>
                <w:szCs w:val="24"/>
                <w:lang w:eastAsia="zh-CN"/>
              </w:rPr>
            </w:pPr>
            <w:r>
              <w:rPr>
                <w:rFonts w:hint="eastAsia"/>
                <w:color w:val="auto"/>
                <w:sz w:val="24"/>
                <w:szCs w:val="24"/>
                <w:lang w:eastAsia="zh-CN"/>
              </w:rPr>
              <w:t>上述内容阐述全面、详尽且满足项目实际需要的，每项</w:t>
            </w:r>
            <w:r>
              <w:rPr>
                <w:rFonts w:hint="eastAsia"/>
                <w:bCs/>
                <w:color w:val="auto"/>
                <w:sz w:val="24"/>
                <w:szCs w:val="24"/>
                <w:lang w:eastAsia="zh-CN"/>
              </w:rPr>
              <w:t>得2分；</w:t>
            </w:r>
            <w:r>
              <w:rPr>
                <w:rFonts w:hint="eastAsia"/>
                <w:color w:val="auto"/>
                <w:sz w:val="24"/>
                <w:szCs w:val="24"/>
                <w:lang w:eastAsia="zh-CN"/>
              </w:rPr>
              <w:t>上述内容阐述基本全面、基本贴合项目实际情况的，每项</w:t>
            </w:r>
            <w:r>
              <w:rPr>
                <w:rFonts w:hint="eastAsia"/>
                <w:bCs/>
                <w:color w:val="auto"/>
                <w:sz w:val="24"/>
                <w:szCs w:val="24"/>
                <w:lang w:eastAsia="zh-CN"/>
              </w:rPr>
              <w:t>得1分；</w:t>
            </w:r>
            <w:r>
              <w:rPr>
                <w:rFonts w:hint="eastAsia"/>
                <w:color w:val="auto"/>
                <w:sz w:val="24"/>
                <w:szCs w:val="24"/>
                <w:lang w:eastAsia="zh-CN"/>
              </w:rPr>
              <w:t>上述内容阐述不全面、未贴合项目实际情况的，每项</w:t>
            </w:r>
            <w:r>
              <w:rPr>
                <w:rFonts w:hint="eastAsia"/>
                <w:bCs/>
                <w:color w:val="auto"/>
                <w:sz w:val="24"/>
                <w:szCs w:val="24"/>
                <w:lang w:eastAsia="zh-CN"/>
              </w:rPr>
              <w:t>得0.5分</w:t>
            </w:r>
            <w:r>
              <w:rPr>
                <w:rFonts w:hint="eastAsia"/>
                <w:color w:val="auto"/>
                <w:sz w:val="24"/>
                <w:szCs w:val="24"/>
                <w:lang w:eastAsia="zh-CN"/>
              </w:rPr>
              <w:t>。</w:t>
            </w:r>
            <w:r>
              <w:rPr>
                <w:color w:val="auto"/>
                <w:sz w:val="24"/>
                <w:szCs w:val="24"/>
              </w:rPr>
              <w:t>最多得</w:t>
            </w:r>
            <w:r>
              <w:rPr>
                <w:rFonts w:hint="eastAsia"/>
                <w:color w:val="auto"/>
                <w:sz w:val="24"/>
                <w:szCs w:val="24"/>
                <w:lang w:eastAsia="zh-CN"/>
              </w:rPr>
              <w:t>8</w:t>
            </w:r>
            <w:r>
              <w:rPr>
                <w:color w:val="auto"/>
                <w:sz w:val="24"/>
                <w:szCs w:val="24"/>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4</w:t>
            </w:r>
          </w:p>
        </w:tc>
        <w:tc>
          <w:tcPr>
            <w:tcW w:w="1065"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 xml:space="preserve">突发事件应急保障措施 </w:t>
            </w:r>
          </w:p>
        </w:tc>
        <w:tc>
          <w:tcPr>
            <w:tcW w:w="828"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9分</w:t>
            </w:r>
          </w:p>
        </w:tc>
        <w:tc>
          <w:tcPr>
            <w:tcW w:w="6440" w:type="dxa"/>
            <w:vAlign w:val="center"/>
          </w:tcPr>
          <w:p>
            <w:pPr>
              <w:pStyle w:val="143"/>
              <w:spacing w:before="24" w:line="400" w:lineRule="exact"/>
              <w:ind w:left="0" w:right="33"/>
              <w:rPr>
                <w:rFonts w:hint="eastAsia"/>
                <w:color w:val="auto"/>
                <w:kern w:val="2"/>
                <w:sz w:val="24"/>
                <w:szCs w:val="24"/>
                <w:lang w:eastAsia="zh-CN"/>
              </w:rPr>
            </w:pPr>
            <w:r>
              <w:rPr>
                <w:rFonts w:hint="eastAsia"/>
                <w:color w:val="auto"/>
                <w:kern w:val="2"/>
                <w:sz w:val="24"/>
                <w:szCs w:val="24"/>
                <w:lang w:eastAsia="zh-CN"/>
              </w:rPr>
              <w:t>投标人提供的突发事件应急保障措施应包含但不限于以下内容：应急措施及应急服务响应时间、响应机制及准备工作、人员配合及应对措施等。</w:t>
            </w:r>
          </w:p>
          <w:p>
            <w:pPr>
              <w:pStyle w:val="143"/>
              <w:spacing w:before="24" w:line="400" w:lineRule="exact"/>
              <w:ind w:left="0" w:right="33"/>
              <w:rPr>
                <w:rFonts w:hint="eastAsia"/>
                <w:color w:val="auto"/>
                <w:kern w:val="2"/>
                <w:sz w:val="24"/>
                <w:szCs w:val="24"/>
                <w:lang w:eastAsia="zh-CN"/>
              </w:rPr>
            </w:pPr>
            <w:r>
              <w:rPr>
                <w:rFonts w:hint="eastAsia"/>
                <w:color w:val="auto"/>
                <w:sz w:val="24"/>
                <w:szCs w:val="24"/>
                <w:lang w:eastAsia="zh-CN"/>
              </w:rPr>
              <w:t>上述内容阐述全面、详尽且满足项目实际需要的，</w:t>
            </w:r>
            <w:r>
              <w:rPr>
                <w:rFonts w:hint="eastAsia"/>
                <w:bCs/>
                <w:color w:val="auto"/>
                <w:sz w:val="24"/>
                <w:szCs w:val="24"/>
                <w:lang w:eastAsia="zh-CN"/>
              </w:rPr>
              <w:t>得9分；</w:t>
            </w:r>
            <w:r>
              <w:rPr>
                <w:rFonts w:hint="eastAsia"/>
                <w:color w:val="auto"/>
                <w:sz w:val="24"/>
                <w:szCs w:val="24"/>
                <w:lang w:eastAsia="zh-CN"/>
              </w:rPr>
              <w:t>上述内容阐述基本全面、基本贴合项目实际情况的，</w:t>
            </w:r>
            <w:r>
              <w:rPr>
                <w:rFonts w:hint="eastAsia"/>
                <w:bCs/>
                <w:color w:val="auto"/>
                <w:sz w:val="24"/>
                <w:szCs w:val="24"/>
                <w:lang w:eastAsia="zh-CN"/>
              </w:rPr>
              <w:t>得4.5分；</w:t>
            </w:r>
            <w:r>
              <w:rPr>
                <w:rFonts w:hint="eastAsia"/>
                <w:color w:val="auto"/>
                <w:sz w:val="24"/>
                <w:szCs w:val="24"/>
                <w:lang w:eastAsia="zh-CN"/>
              </w:rPr>
              <w:t>上述内容阐述不全面、未贴合项目实际情况的，</w:t>
            </w:r>
            <w:r>
              <w:rPr>
                <w:rFonts w:hint="eastAsia"/>
                <w:bCs/>
                <w:color w:val="auto"/>
                <w:sz w:val="24"/>
                <w:szCs w:val="24"/>
                <w:lang w:eastAsia="zh-CN"/>
              </w:rPr>
              <w:t>得2分</w:t>
            </w:r>
            <w:r>
              <w:rPr>
                <w:rFonts w:hint="eastAsia"/>
                <w:color w:val="auto"/>
                <w:sz w:val="24"/>
                <w:szCs w:val="24"/>
                <w:lang w:eastAsia="zh-CN"/>
              </w:rPr>
              <w:t>。</w:t>
            </w:r>
            <w:r>
              <w:rPr>
                <w:color w:val="auto"/>
                <w:sz w:val="24"/>
                <w:szCs w:val="24"/>
                <w:lang w:eastAsia="zh-CN"/>
              </w:rPr>
              <w:t>未提供不得分</w:t>
            </w:r>
            <w:r>
              <w:rPr>
                <w:rFonts w:hint="eastAsia"/>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1" w:type="dxa"/>
            <w:gridSpan w:val="4"/>
          </w:tcPr>
          <w:p>
            <w:pPr>
              <w:spacing w:line="360" w:lineRule="auto"/>
              <w:rPr>
                <w:rFonts w:hint="eastAsia" w:ascii="宋体" w:hAnsi="宋体" w:cs="宋体"/>
                <w:b/>
                <w:bCs/>
                <w:color w:val="auto"/>
                <w:sz w:val="24"/>
              </w:rPr>
            </w:pPr>
            <w:r>
              <w:rPr>
                <w:rFonts w:hint="eastAsia" w:ascii="宋体" w:hAnsi="宋体" w:cs="宋体"/>
                <w:b/>
                <w:bCs/>
                <w:color w:val="auto"/>
                <w:sz w:val="24"/>
              </w:rPr>
              <w:t>三、商务分21分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065"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安装人员资质</w:t>
            </w:r>
            <w:r>
              <w:rPr>
                <w:rFonts w:ascii="宋体" w:hAnsi="宋体" w:cs="宋体"/>
                <w:color w:val="auto"/>
                <w:sz w:val="24"/>
              </w:rPr>
              <w:t xml:space="preserve"> </w:t>
            </w:r>
          </w:p>
        </w:tc>
        <w:tc>
          <w:tcPr>
            <w:tcW w:w="828"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6分</w:t>
            </w:r>
          </w:p>
        </w:tc>
        <w:tc>
          <w:tcPr>
            <w:tcW w:w="6440" w:type="dxa"/>
          </w:tcPr>
          <w:p>
            <w:pPr>
              <w:spacing w:line="360" w:lineRule="auto"/>
              <w:rPr>
                <w:rFonts w:hint="eastAsia" w:ascii="宋体" w:hAnsi="宋体" w:cs="宋体"/>
                <w:color w:val="auto"/>
                <w:sz w:val="24"/>
              </w:rPr>
            </w:pPr>
            <w:r>
              <w:rPr>
                <w:rFonts w:hint="eastAsia" w:ascii="宋体" w:hAnsi="宋体" w:cs="宋体"/>
                <w:color w:val="auto"/>
                <w:sz w:val="24"/>
              </w:rPr>
              <w:t>参与安装空调的安装人员须持有有效的高空作业证，每提供一人得2分，</w:t>
            </w:r>
            <w:r>
              <w:rPr>
                <w:color w:val="auto"/>
                <w:sz w:val="24"/>
              </w:rPr>
              <w:t>最多得</w:t>
            </w:r>
            <w:r>
              <w:rPr>
                <w:rFonts w:hint="eastAsia"/>
                <w:color w:val="auto"/>
                <w:sz w:val="24"/>
              </w:rPr>
              <w:t>6</w:t>
            </w:r>
            <w:r>
              <w:rPr>
                <w:color w:val="auto"/>
                <w:sz w:val="24"/>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trPr>
        <w:tc>
          <w:tcPr>
            <w:tcW w:w="828"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065"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 xml:space="preserve">售后服务方案 </w:t>
            </w:r>
          </w:p>
        </w:tc>
        <w:tc>
          <w:tcPr>
            <w:tcW w:w="828"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15分</w:t>
            </w:r>
          </w:p>
        </w:tc>
        <w:tc>
          <w:tcPr>
            <w:tcW w:w="6440" w:type="dxa"/>
          </w:tcPr>
          <w:p>
            <w:pPr>
              <w:spacing w:line="360" w:lineRule="auto"/>
              <w:rPr>
                <w:rFonts w:hint="eastAsia" w:ascii="宋体" w:hAnsi="宋体" w:cs="宋体"/>
                <w:color w:val="auto"/>
                <w:sz w:val="24"/>
              </w:rPr>
            </w:pPr>
            <w:r>
              <w:rPr>
                <w:rFonts w:hint="eastAsia" w:ascii="宋体" w:hAnsi="宋体" w:cs="宋体"/>
                <w:color w:val="auto"/>
                <w:sz w:val="24"/>
              </w:rPr>
              <w:t>针对本项目采购需求，提供售后服务方案，包括但不限于：售后服务流程、服务体系、服务站点设立及人员配备、故障响应和处理办法、响应时间其他有关内容等；</w:t>
            </w:r>
          </w:p>
          <w:p>
            <w:pPr>
              <w:spacing w:line="360" w:lineRule="auto"/>
              <w:rPr>
                <w:rFonts w:hint="eastAsia" w:ascii="宋体" w:hAnsi="宋体" w:cs="宋体"/>
                <w:color w:val="auto"/>
                <w:sz w:val="24"/>
              </w:rPr>
            </w:pPr>
            <w:r>
              <w:rPr>
                <w:rFonts w:hint="eastAsia" w:ascii="宋体" w:hAnsi="宋体" w:cs="宋体"/>
                <w:color w:val="auto"/>
                <w:sz w:val="24"/>
              </w:rPr>
              <w:t>上述内容阐述全面、详尽且满足项目实际需要的，每项得3分；上述内容阐述基本全面、基本贴合项目实际情况的，每项得1.5分；上述内容阐述不全面、未贴合项目实际情况的，每项得0.5分。最多得15分，未提供不得分。</w:t>
            </w:r>
          </w:p>
        </w:tc>
      </w:tr>
    </w:tbl>
    <w:p>
      <w:pPr>
        <w:widowControl/>
        <w:wordWrap w:val="0"/>
        <w:spacing w:line="480" w:lineRule="exact"/>
        <w:ind w:firstLine="504" w:firstLineChars="200"/>
        <w:jc w:val="left"/>
        <w:textAlignment w:val="baseline"/>
        <w:rPr>
          <w:rStyle w:val="86"/>
          <w:rFonts w:hint="eastAsia" w:ascii="宋体" w:hAnsi="宋体" w:cs="宋体"/>
          <w:color w:val="auto"/>
          <w:kern w:val="0"/>
        </w:rPr>
      </w:pPr>
    </w:p>
    <w:p>
      <w:pPr>
        <w:jc w:val="center"/>
        <w:rPr>
          <w:b/>
          <w:bCs/>
          <w:color w:val="auto"/>
          <w:sz w:val="28"/>
          <w:szCs w:val="28"/>
        </w:rPr>
      </w:pPr>
      <w:bookmarkStart w:id="31" w:name="_Hlk202873608"/>
      <w:r>
        <w:rPr>
          <w:rFonts w:hint="eastAsia"/>
          <w:b/>
          <w:bCs/>
          <w:color w:val="auto"/>
          <w:sz w:val="28"/>
          <w:szCs w:val="28"/>
          <w:lang w:val="en-US" w:eastAsia="zh-CN"/>
        </w:rPr>
        <w:t>B</w:t>
      </w:r>
      <w:r>
        <w:rPr>
          <w:rFonts w:hint="eastAsia"/>
          <w:b/>
          <w:bCs/>
          <w:color w:val="auto"/>
          <w:sz w:val="28"/>
          <w:szCs w:val="28"/>
        </w:rPr>
        <w:t>包评分内容及标准</w:t>
      </w:r>
    </w:p>
    <w:tbl>
      <w:tblPr>
        <w:tblStyle w:val="47"/>
        <w:tblW w:w="9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65"/>
        <w:gridCol w:w="828"/>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widowControl/>
              <w:spacing w:line="360" w:lineRule="auto"/>
              <w:jc w:val="center"/>
              <w:rPr>
                <w:rFonts w:hint="eastAsia" w:ascii="宋体" w:hAnsi="宋体" w:cs="宋体"/>
                <w:b/>
                <w:bCs/>
                <w:color w:val="auto"/>
                <w:sz w:val="24"/>
              </w:rPr>
            </w:pPr>
            <w:r>
              <w:rPr>
                <w:rFonts w:hint="eastAsia" w:ascii="宋体" w:hAnsi="宋体" w:cs="宋体"/>
                <w:b/>
                <w:bCs/>
                <w:color w:val="auto"/>
                <w:sz w:val="24"/>
              </w:rPr>
              <w:t>序号</w:t>
            </w:r>
          </w:p>
        </w:tc>
        <w:tc>
          <w:tcPr>
            <w:tcW w:w="1065" w:type="dxa"/>
            <w:vAlign w:val="center"/>
          </w:tcPr>
          <w:p>
            <w:pPr>
              <w:spacing w:line="360" w:lineRule="auto"/>
              <w:jc w:val="center"/>
              <w:rPr>
                <w:rFonts w:hint="eastAsia" w:ascii="宋体" w:hAnsi="宋体" w:cs="宋体"/>
                <w:b/>
                <w:bCs/>
                <w:color w:val="auto"/>
                <w:sz w:val="24"/>
              </w:rPr>
            </w:pPr>
            <w:r>
              <w:rPr>
                <w:rFonts w:hint="eastAsia" w:ascii="宋体" w:hAnsi="宋体" w:cs="宋体"/>
                <w:b/>
                <w:bCs/>
                <w:color w:val="auto"/>
                <w:sz w:val="24"/>
              </w:rPr>
              <w:t>评分</w:t>
            </w:r>
          </w:p>
          <w:p>
            <w:pPr>
              <w:spacing w:line="360" w:lineRule="auto"/>
              <w:jc w:val="center"/>
              <w:rPr>
                <w:rFonts w:hint="eastAsia" w:ascii="宋体" w:hAnsi="宋体" w:cs="宋体"/>
                <w:b/>
                <w:bCs/>
                <w:color w:val="auto"/>
                <w:sz w:val="24"/>
              </w:rPr>
            </w:pPr>
            <w:r>
              <w:rPr>
                <w:rFonts w:hint="eastAsia" w:ascii="宋体" w:hAnsi="宋体" w:cs="宋体"/>
                <w:b/>
                <w:bCs/>
                <w:color w:val="auto"/>
                <w:sz w:val="24"/>
              </w:rPr>
              <w:t>项目</w:t>
            </w:r>
          </w:p>
        </w:tc>
        <w:tc>
          <w:tcPr>
            <w:tcW w:w="828" w:type="dxa"/>
            <w:vAlign w:val="center"/>
          </w:tcPr>
          <w:p>
            <w:pPr>
              <w:spacing w:line="360" w:lineRule="auto"/>
              <w:jc w:val="center"/>
              <w:rPr>
                <w:rFonts w:hint="eastAsia" w:ascii="宋体" w:hAnsi="宋体" w:cs="宋体"/>
                <w:b/>
                <w:bCs/>
                <w:color w:val="auto"/>
                <w:sz w:val="24"/>
              </w:rPr>
            </w:pPr>
            <w:r>
              <w:rPr>
                <w:rFonts w:hint="eastAsia" w:ascii="宋体" w:hAnsi="宋体" w:cs="宋体"/>
                <w:b/>
                <w:bCs/>
                <w:color w:val="auto"/>
                <w:sz w:val="24"/>
              </w:rPr>
              <w:t>评分权重</w:t>
            </w:r>
          </w:p>
        </w:tc>
        <w:tc>
          <w:tcPr>
            <w:tcW w:w="6440" w:type="dxa"/>
            <w:vAlign w:val="center"/>
          </w:tcPr>
          <w:p>
            <w:pPr>
              <w:spacing w:line="360" w:lineRule="auto"/>
              <w:jc w:val="center"/>
              <w:rPr>
                <w:rFonts w:hint="eastAsia" w:ascii="宋体" w:hAnsi="宋体" w:cs="宋体"/>
                <w:b/>
                <w:bCs/>
                <w:color w:val="auto"/>
                <w:sz w:val="24"/>
              </w:rPr>
            </w:pPr>
            <w:r>
              <w:rPr>
                <w:rFonts w:hint="eastAsia" w:ascii="宋体" w:hAnsi="宋体" w:cs="宋体"/>
                <w:b/>
                <w:bCs/>
                <w:color w:val="auto"/>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1" w:type="dxa"/>
            <w:gridSpan w:val="4"/>
            <w:vAlign w:val="center"/>
          </w:tcPr>
          <w:p>
            <w:pPr>
              <w:spacing w:line="360" w:lineRule="auto"/>
              <w:rPr>
                <w:rFonts w:hint="eastAsia" w:ascii="宋体" w:hAnsi="宋体" w:cs="宋体"/>
                <w:b/>
                <w:bCs/>
                <w:color w:val="auto"/>
                <w:sz w:val="24"/>
              </w:rPr>
            </w:pPr>
            <w:r>
              <w:rPr>
                <w:rFonts w:hint="eastAsia" w:ascii="宋体" w:hAnsi="宋体" w:cs="宋体"/>
                <w:b/>
                <w:bCs/>
                <w:color w:val="auto"/>
                <w:sz w:val="24"/>
              </w:rPr>
              <w:t>一、价格分 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065"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价格分</w:t>
            </w:r>
          </w:p>
        </w:tc>
        <w:tc>
          <w:tcPr>
            <w:tcW w:w="828"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30分</w:t>
            </w:r>
          </w:p>
        </w:tc>
        <w:tc>
          <w:tcPr>
            <w:tcW w:w="6440" w:type="dxa"/>
          </w:tcPr>
          <w:p>
            <w:pPr>
              <w:spacing w:line="360" w:lineRule="auto"/>
              <w:rPr>
                <w:rFonts w:hint="eastAsia" w:ascii="宋体" w:hAnsi="宋体" w:cs="宋体"/>
                <w:color w:val="auto"/>
                <w:sz w:val="24"/>
              </w:rPr>
            </w:pPr>
            <w:r>
              <w:rPr>
                <w:rFonts w:hint="eastAsia" w:ascii="宋体" w:hAnsi="宋体" w:cs="宋体"/>
                <w:color w:val="auto"/>
                <w:sz w:val="24"/>
              </w:rPr>
              <w:t xml:space="preserve">1.满足招标文件要求且投标价格最低的投标报价为评审基准价，其价格分为满分30分。其他投标人的价格分统一按照下列公式计算： </w:t>
            </w:r>
          </w:p>
          <w:p>
            <w:pPr>
              <w:spacing w:line="360" w:lineRule="auto"/>
              <w:rPr>
                <w:rFonts w:hint="eastAsia" w:ascii="宋体" w:hAnsi="宋体" w:cs="宋体"/>
                <w:color w:val="auto"/>
                <w:sz w:val="24"/>
              </w:rPr>
            </w:pPr>
            <w:r>
              <w:rPr>
                <w:rFonts w:hint="eastAsia" w:ascii="宋体" w:hAnsi="宋体" w:cs="宋体"/>
                <w:color w:val="auto"/>
                <w:sz w:val="24"/>
              </w:rPr>
              <w:t xml:space="preserve">投标报价得分=（评标基准价/投标报价）×30分 </w:t>
            </w:r>
          </w:p>
          <w:p>
            <w:pPr>
              <w:spacing w:line="360" w:lineRule="auto"/>
              <w:rPr>
                <w:rFonts w:hint="eastAsia" w:ascii="宋体" w:hAnsi="宋体" w:cs="宋体"/>
                <w:color w:val="auto"/>
                <w:sz w:val="24"/>
              </w:rPr>
            </w:pPr>
            <w:r>
              <w:rPr>
                <w:rFonts w:hint="eastAsia" w:ascii="宋体" w:hAnsi="宋体" w:cs="宋体"/>
                <w:color w:val="auto"/>
                <w:sz w:val="24"/>
              </w:rPr>
              <w:t>注：计算结果四舍五入，保留两位小数。</w:t>
            </w:r>
          </w:p>
          <w:p>
            <w:pPr>
              <w:spacing w:line="360" w:lineRule="auto"/>
              <w:rPr>
                <w:rFonts w:hint="eastAsia" w:ascii="宋体" w:hAnsi="宋体" w:cs="宋体"/>
                <w:color w:val="auto"/>
                <w:sz w:val="24"/>
              </w:rPr>
            </w:pPr>
            <w:r>
              <w:rPr>
                <w:rFonts w:hint="eastAsia" w:ascii="宋体" w:hAnsi="宋体" w:cs="宋体"/>
                <w:color w:val="auto"/>
                <w:sz w:val="24"/>
              </w:rPr>
              <w:t>2.投标人的报价超出招标控制价的，按无效标处理。</w:t>
            </w:r>
          </w:p>
          <w:p>
            <w:pPr>
              <w:spacing w:line="360" w:lineRule="auto"/>
              <w:rPr>
                <w:rFonts w:hint="eastAsia" w:ascii="宋体" w:hAnsi="宋体" w:cs="宋体"/>
                <w:color w:val="auto"/>
                <w:sz w:val="24"/>
              </w:rPr>
            </w:pPr>
            <w:r>
              <w:rPr>
                <w:rFonts w:hint="eastAsia" w:ascii="宋体" w:hAnsi="宋体" w:cs="宋体"/>
                <w:color w:val="auto"/>
                <w:sz w:val="24"/>
              </w:rPr>
              <w:t>3.评标委员会认为投标人的报价明显低于其他通过符合性审查投标人的报价，有可能影响产品质量或者不能诚信履约的，应当要求其在电子交易系统中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1" w:type="dxa"/>
            <w:gridSpan w:val="4"/>
          </w:tcPr>
          <w:p>
            <w:pPr>
              <w:spacing w:line="360" w:lineRule="auto"/>
              <w:rPr>
                <w:rFonts w:hint="eastAsia" w:ascii="宋体" w:hAnsi="宋体" w:cs="宋体"/>
                <w:b/>
                <w:bCs/>
                <w:color w:val="auto"/>
                <w:sz w:val="24"/>
              </w:rPr>
            </w:pPr>
            <w:r>
              <w:rPr>
                <w:rFonts w:hint="eastAsia" w:ascii="宋体" w:hAnsi="宋体" w:cs="宋体"/>
                <w:b/>
                <w:bCs/>
                <w:color w:val="auto"/>
                <w:sz w:val="24"/>
              </w:rPr>
              <w:t>二、技术分49分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065"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 xml:space="preserve">技术参数及技术功能 </w:t>
            </w:r>
          </w:p>
        </w:tc>
        <w:tc>
          <w:tcPr>
            <w:tcW w:w="828"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25分</w:t>
            </w:r>
          </w:p>
        </w:tc>
        <w:tc>
          <w:tcPr>
            <w:tcW w:w="6440" w:type="dxa"/>
            <w:vAlign w:val="center"/>
          </w:tcPr>
          <w:p>
            <w:pPr>
              <w:spacing w:line="360" w:lineRule="auto"/>
              <w:rPr>
                <w:rFonts w:hint="eastAsia" w:ascii="宋体" w:hAnsi="宋体" w:cs="宋体"/>
                <w:color w:val="auto"/>
                <w:sz w:val="24"/>
              </w:rPr>
            </w:pPr>
            <w:r>
              <w:rPr>
                <w:rFonts w:hint="eastAsia" w:ascii="宋体" w:hAnsi="宋体" w:cs="宋体"/>
                <w:color w:val="auto"/>
                <w:sz w:val="24"/>
              </w:rPr>
              <w:t>为确保招标产品质量，部分产品的技术参数及技术功能需投标人提供相应证明材料佐证（共10条，），若需提供佐证的产品技术参数或功能缺项或某项不符合招标文件要求，本条不得分。不提供者不得分。</w:t>
            </w:r>
          </w:p>
          <w:p>
            <w:pPr>
              <w:spacing w:line="360" w:lineRule="auto"/>
              <w:rPr>
                <w:rFonts w:hint="eastAsia" w:ascii="宋体" w:hAnsi="宋体" w:cs="宋体"/>
                <w:color w:val="auto"/>
                <w:sz w:val="24"/>
              </w:rPr>
            </w:pPr>
            <w:r>
              <w:rPr>
                <w:rFonts w:hint="eastAsia" w:ascii="宋体" w:hAnsi="宋体" w:cs="宋体"/>
                <w:color w:val="auto"/>
                <w:sz w:val="24"/>
              </w:rPr>
              <w:t>1、提供所投机房管理软件第3、4、5项软件功能截图（得2分）</w:t>
            </w:r>
          </w:p>
          <w:p>
            <w:pPr>
              <w:spacing w:line="360" w:lineRule="auto"/>
              <w:rPr>
                <w:rFonts w:hint="eastAsia" w:ascii="宋体" w:hAnsi="宋体" w:cs="宋体"/>
                <w:color w:val="auto"/>
                <w:sz w:val="24"/>
              </w:rPr>
            </w:pPr>
            <w:r>
              <w:rPr>
                <w:rFonts w:hint="eastAsia" w:ascii="宋体" w:hAnsi="宋体" w:cs="宋体"/>
                <w:color w:val="auto"/>
                <w:sz w:val="24"/>
              </w:rPr>
              <w:t>2、提供所投机房教学软件第2、3、4项软件功能截图（得2分）</w:t>
            </w:r>
          </w:p>
          <w:p>
            <w:pPr>
              <w:spacing w:line="360" w:lineRule="auto"/>
              <w:rPr>
                <w:rFonts w:hint="eastAsia" w:ascii="宋体" w:hAnsi="宋体" w:cs="宋体"/>
                <w:color w:val="auto"/>
                <w:sz w:val="24"/>
              </w:rPr>
            </w:pPr>
            <w:r>
              <w:rPr>
                <w:rFonts w:hint="eastAsia" w:ascii="宋体" w:hAnsi="宋体" w:cs="宋体"/>
                <w:color w:val="auto"/>
                <w:sz w:val="24"/>
              </w:rPr>
              <w:t>3、所投国产桌面操作系统第4、5、6、7项功能截图（得2分）</w:t>
            </w:r>
          </w:p>
          <w:p>
            <w:pPr>
              <w:spacing w:line="360" w:lineRule="auto"/>
              <w:rPr>
                <w:rFonts w:hint="eastAsia" w:ascii="宋体" w:hAnsi="宋体" w:cs="宋体"/>
                <w:color w:val="auto"/>
                <w:sz w:val="24"/>
              </w:rPr>
            </w:pPr>
            <w:r>
              <w:rPr>
                <w:rFonts w:hint="eastAsia" w:ascii="宋体" w:hAnsi="宋体" w:cs="宋体"/>
                <w:color w:val="auto"/>
                <w:sz w:val="24"/>
              </w:rPr>
              <w:t>4、提供所投国产办公软件第4、5、6、7、8项软件功能截图（得2分）</w:t>
            </w:r>
          </w:p>
          <w:p>
            <w:pPr>
              <w:spacing w:line="360" w:lineRule="auto"/>
              <w:rPr>
                <w:rFonts w:hint="eastAsia" w:ascii="宋体" w:hAnsi="宋体" w:cs="宋体"/>
                <w:color w:val="auto"/>
                <w:sz w:val="24"/>
              </w:rPr>
            </w:pPr>
            <w:r>
              <w:rPr>
                <w:rFonts w:hint="eastAsia" w:ascii="宋体" w:hAnsi="宋体" w:cs="宋体"/>
                <w:color w:val="auto"/>
                <w:sz w:val="24"/>
              </w:rPr>
              <w:t>5、提供所投产品交换机第1、2、3、5、6、7、8项技术功能官网截图（得2分）</w:t>
            </w:r>
          </w:p>
          <w:p>
            <w:pPr>
              <w:spacing w:line="360" w:lineRule="auto"/>
              <w:rPr>
                <w:rFonts w:hint="eastAsia" w:ascii="宋体" w:hAnsi="宋体" w:cs="宋体"/>
                <w:color w:val="auto"/>
                <w:sz w:val="24"/>
              </w:rPr>
            </w:pPr>
            <w:r>
              <w:rPr>
                <w:rFonts w:hint="eastAsia" w:ascii="宋体" w:hAnsi="宋体" w:cs="宋体"/>
                <w:color w:val="auto"/>
                <w:sz w:val="24"/>
              </w:rPr>
              <w:t>6、提供所投产品交换机第4项技术功能官网截图及第三方检测报告截图。（得3分）</w:t>
            </w:r>
          </w:p>
          <w:p>
            <w:pPr>
              <w:spacing w:line="360" w:lineRule="auto"/>
              <w:rPr>
                <w:rFonts w:hint="eastAsia" w:ascii="宋体" w:hAnsi="宋体" w:cs="宋体"/>
                <w:color w:val="auto"/>
                <w:sz w:val="24"/>
              </w:rPr>
            </w:pPr>
            <w:r>
              <w:rPr>
                <w:rFonts w:hint="eastAsia" w:ascii="宋体" w:hAnsi="宋体" w:cs="宋体"/>
                <w:color w:val="auto"/>
                <w:sz w:val="24"/>
              </w:rPr>
              <w:t>7、</w:t>
            </w:r>
            <w:r>
              <w:rPr>
                <w:rFonts w:hint="eastAsia" w:ascii="宋体" w:hAnsi="宋体" w:cs="宋体"/>
                <w:bCs/>
                <w:color w:val="auto"/>
                <w:sz w:val="24"/>
              </w:rPr>
              <w:t>提供</w:t>
            </w:r>
            <w:r>
              <w:rPr>
                <w:rFonts w:hint="eastAsia" w:ascii="宋体" w:hAnsi="宋体" w:cs="宋体"/>
                <w:color w:val="auto"/>
                <w:sz w:val="24"/>
              </w:rPr>
              <w:t>所投学生电脑</w:t>
            </w:r>
            <w:r>
              <w:rPr>
                <w:rFonts w:hint="eastAsia" w:ascii="宋体" w:hAnsi="宋体" w:cs="宋体"/>
                <w:bCs/>
                <w:color w:val="auto"/>
                <w:sz w:val="24"/>
              </w:rPr>
              <w:t>桌第2项</w:t>
            </w:r>
            <w:r>
              <w:rPr>
                <w:rFonts w:hint="eastAsia" w:ascii="宋体" w:hAnsi="宋体" w:cs="宋体"/>
                <w:color w:val="auto"/>
                <w:sz w:val="24"/>
              </w:rPr>
              <w:t>具有CMA或CNAS资质认定的第三方检测机构出具的检测报告扫描件并加盖厂家公章佐证。（得3分）</w:t>
            </w:r>
          </w:p>
          <w:p>
            <w:pPr>
              <w:spacing w:line="360" w:lineRule="auto"/>
              <w:rPr>
                <w:rFonts w:hint="eastAsia" w:ascii="宋体" w:hAnsi="宋体" w:cs="宋体"/>
                <w:color w:val="auto"/>
                <w:sz w:val="24"/>
              </w:rPr>
            </w:pPr>
            <w:r>
              <w:rPr>
                <w:rFonts w:hint="eastAsia" w:ascii="宋体" w:hAnsi="宋体" w:cs="宋体"/>
                <w:color w:val="auto"/>
                <w:sz w:val="24"/>
              </w:rPr>
              <w:t>8、提供所投产品稳压器具有CMA或CNAS资质认定的第三方检测机构出具的检测报告扫描件并加盖厂家公章。（得3分）</w:t>
            </w:r>
          </w:p>
          <w:p>
            <w:pPr>
              <w:spacing w:line="360" w:lineRule="auto"/>
              <w:rPr>
                <w:rFonts w:hint="eastAsia" w:ascii="宋体" w:hAnsi="宋体" w:cs="宋体"/>
                <w:color w:val="auto"/>
                <w:sz w:val="24"/>
              </w:rPr>
            </w:pPr>
            <w:r>
              <w:rPr>
                <w:rFonts w:hint="eastAsia" w:ascii="宋体" w:hAnsi="宋体" w:cs="宋体"/>
                <w:color w:val="auto"/>
                <w:sz w:val="24"/>
              </w:rPr>
              <w:t>9、提供所投产品防静电活动地板第3、4项具有CMA或CNAS资质认定的第三方检测机构出具的检测报告扫描件并加盖厂家公章佐证。（得3分）</w:t>
            </w:r>
          </w:p>
          <w:p>
            <w:pPr>
              <w:spacing w:line="360" w:lineRule="auto"/>
              <w:rPr>
                <w:rFonts w:hint="eastAsia" w:ascii="宋体" w:hAnsi="宋体" w:cs="宋体"/>
                <w:color w:val="auto"/>
                <w:sz w:val="24"/>
              </w:rPr>
            </w:pPr>
            <w:r>
              <w:rPr>
                <w:rFonts w:hint="eastAsia" w:ascii="宋体" w:hAnsi="宋体" w:cs="宋体"/>
                <w:color w:val="auto"/>
                <w:sz w:val="24"/>
              </w:rPr>
              <w:t>10、提供所投产品防静电活动地板第5项具有CMA或CNAS资质认定的第三方检测机构出具的检测报告扫描件并加盖厂家公章佐证。（得3分）</w:t>
            </w:r>
          </w:p>
          <w:p>
            <w:pPr>
              <w:pStyle w:val="143"/>
              <w:spacing w:line="360" w:lineRule="exact"/>
              <w:ind w:left="0"/>
              <w:rPr>
                <w:rFonts w:hint="eastAsia"/>
                <w:color w:val="auto"/>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065"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供货、安</w:t>
            </w:r>
          </w:p>
          <w:p>
            <w:pPr>
              <w:spacing w:line="360" w:lineRule="auto"/>
              <w:jc w:val="center"/>
              <w:rPr>
                <w:rFonts w:hint="eastAsia" w:ascii="宋体" w:hAnsi="宋体" w:cs="宋体"/>
                <w:color w:val="auto"/>
                <w:sz w:val="24"/>
              </w:rPr>
            </w:pPr>
            <w:r>
              <w:rPr>
                <w:rFonts w:hint="eastAsia" w:ascii="宋体" w:hAnsi="宋体" w:cs="宋体"/>
                <w:color w:val="auto"/>
                <w:sz w:val="24"/>
              </w:rPr>
              <w:t>装、调试服</w:t>
            </w:r>
          </w:p>
          <w:p>
            <w:pPr>
              <w:spacing w:line="360" w:lineRule="auto"/>
              <w:jc w:val="center"/>
              <w:rPr>
                <w:rFonts w:hint="eastAsia" w:ascii="宋体" w:hAnsi="宋体" w:cs="宋体"/>
                <w:color w:val="auto"/>
                <w:sz w:val="24"/>
              </w:rPr>
            </w:pPr>
            <w:r>
              <w:rPr>
                <w:rFonts w:hint="eastAsia" w:ascii="宋体" w:hAnsi="宋体" w:cs="宋体"/>
                <w:color w:val="auto"/>
                <w:sz w:val="24"/>
              </w:rPr>
              <w:t>务方案</w:t>
            </w:r>
          </w:p>
        </w:tc>
        <w:tc>
          <w:tcPr>
            <w:tcW w:w="828"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10分</w:t>
            </w:r>
          </w:p>
        </w:tc>
        <w:tc>
          <w:tcPr>
            <w:tcW w:w="6440" w:type="dxa"/>
            <w:vAlign w:val="center"/>
          </w:tcPr>
          <w:p>
            <w:pPr>
              <w:pStyle w:val="143"/>
              <w:spacing w:line="360" w:lineRule="exact"/>
              <w:ind w:left="0"/>
              <w:rPr>
                <w:rFonts w:hint="eastAsia"/>
                <w:color w:val="auto"/>
                <w:sz w:val="24"/>
                <w:szCs w:val="24"/>
                <w:lang w:eastAsia="zh-CN"/>
              </w:rPr>
            </w:pPr>
            <w:r>
              <w:rPr>
                <w:rFonts w:hint="eastAsia"/>
                <w:color w:val="auto"/>
                <w:sz w:val="24"/>
                <w:szCs w:val="24"/>
                <w:lang w:eastAsia="zh-CN"/>
              </w:rPr>
              <w:t>投标人</w:t>
            </w:r>
            <w:r>
              <w:rPr>
                <w:color w:val="auto"/>
                <w:sz w:val="24"/>
                <w:szCs w:val="24"/>
                <w:lang w:eastAsia="zh-CN"/>
              </w:rPr>
              <w:t>提供的供货、安装、调试服务方案包含（但不限于）以下内容：供货时间安排及保障措施</w:t>
            </w:r>
            <w:r>
              <w:rPr>
                <w:rFonts w:hint="eastAsia"/>
                <w:color w:val="auto"/>
                <w:sz w:val="24"/>
                <w:szCs w:val="24"/>
                <w:lang w:eastAsia="zh-CN"/>
              </w:rPr>
              <w:t>、</w:t>
            </w:r>
            <w:r>
              <w:rPr>
                <w:color w:val="auto"/>
                <w:sz w:val="24"/>
                <w:szCs w:val="24"/>
                <w:lang w:eastAsia="zh-CN"/>
              </w:rPr>
              <w:t>人员配备及职责分工</w:t>
            </w:r>
            <w:r>
              <w:rPr>
                <w:rFonts w:hint="eastAsia"/>
                <w:color w:val="auto"/>
                <w:sz w:val="24"/>
                <w:szCs w:val="24"/>
                <w:lang w:eastAsia="zh-CN"/>
              </w:rPr>
              <w:t>、</w:t>
            </w:r>
            <w:r>
              <w:rPr>
                <w:color w:val="auto"/>
                <w:sz w:val="24"/>
                <w:szCs w:val="24"/>
                <w:lang w:eastAsia="zh-CN"/>
              </w:rPr>
              <w:t>安装调试服务方案及保障措施</w:t>
            </w:r>
            <w:r>
              <w:rPr>
                <w:rFonts w:hint="eastAsia"/>
                <w:color w:val="auto"/>
                <w:sz w:val="24"/>
                <w:szCs w:val="24"/>
                <w:lang w:eastAsia="zh-CN"/>
              </w:rPr>
              <w:t>、人员技术培训、服务承诺有关内容等</w:t>
            </w:r>
            <w:r>
              <w:rPr>
                <w:color w:val="auto"/>
                <w:sz w:val="24"/>
                <w:szCs w:val="24"/>
                <w:lang w:eastAsia="zh-CN"/>
              </w:rPr>
              <w:t>。</w:t>
            </w:r>
          </w:p>
          <w:p>
            <w:pPr>
              <w:pStyle w:val="143"/>
              <w:spacing w:line="360" w:lineRule="auto"/>
              <w:ind w:left="0"/>
              <w:rPr>
                <w:rFonts w:hint="eastAsia"/>
                <w:b/>
                <w:bCs/>
                <w:color w:val="auto"/>
                <w:kern w:val="2"/>
                <w:sz w:val="24"/>
                <w:szCs w:val="24"/>
                <w:lang w:eastAsia="zh-CN"/>
              </w:rPr>
            </w:pPr>
            <w:r>
              <w:rPr>
                <w:rFonts w:hint="eastAsia"/>
                <w:color w:val="auto"/>
                <w:sz w:val="24"/>
                <w:szCs w:val="24"/>
                <w:lang w:eastAsia="zh-CN"/>
              </w:rPr>
              <w:t>上述内容阐述全面、详尽且满足项目实际需要的，每项</w:t>
            </w:r>
            <w:r>
              <w:rPr>
                <w:rFonts w:hint="eastAsia"/>
                <w:bCs/>
                <w:color w:val="auto"/>
                <w:sz w:val="24"/>
                <w:szCs w:val="24"/>
                <w:lang w:eastAsia="zh-CN"/>
              </w:rPr>
              <w:t>得2分；</w:t>
            </w:r>
            <w:r>
              <w:rPr>
                <w:rFonts w:hint="eastAsia"/>
                <w:color w:val="auto"/>
                <w:sz w:val="24"/>
                <w:szCs w:val="24"/>
                <w:lang w:eastAsia="zh-CN"/>
              </w:rPr>
              <w:t>上述内容阐述基本全面、基本贴合项目实际情况的，每项</w:t>
            </w:r>
            <w:r>
              <w:rPr>
                <w:rFonts w:hint="eastAsia"/>
                <w:bCs/>
                <w:color w:val="auto"/>
                <w:sz w:val="24"/>
                <w:szCs w:val="24"/>
                <w:lang w:eastAsia="zh-CN"/>
              </w:rPr>
              <w:t>得1分；</w:t>
            </w:r>
            <w:r>
              <w:rPr>
                <w:rFonts w:hint="eastAsia"/>
                <w:color w:val="auto"/>
                <w:sz w:val="24"/>
                <w:szCs w:val="24"/>
                <w:lang w:eastAsia="zh-CN"/>
              </w:rPr>
              <w:t>上述内容阐述不全面、未贴合项目实际情况的，每项</w:t>
            </w:r>
            <w:r>
              <w:rPr>
                <w:rFonts w:hint="eastAsia"/>
                <w:bCs/>
                <w:color w:val="auto"/>
                <w:sz w:val="24"/>
                <w:szCs w:val="24"/>
                <w:lang w:eastAsia="zh-CN"/>
              </w:rPr>
              <w:t>得0.5分</w:t>
            </w:r>
            <w:r>
              <w:rPr>
                <w:rFonts w:hint="eastAsia"/>
                <w:color w:val="auto"/>
                <w:sz w:val="24"/>
                <w:szCs w:val="24"/>
                <w:lang w:eastAsia="zh-CN"/>
              </w:rPr>
              <w:t>。</w:t>
            </w:r>
            <w:r>
              <w:rPr>
                <w:color w:val="auto"/>
                <w:sz w:val="24"/>
                <w:szCs w:val="24"/>
              </w:rPr>
              <w:t>最多得</w:t>
            </w:r>
            <w:r>
              <w:rPr>
                <w:rFonts w:hint="eastAsia"/>
                <w:color w:val="auto"/>
                <w:sz w:val="24"/>
                <w:szCs w:val="24"/>
                <w:lang w:eastAsia="zh-CN"/>
              </w:rPr>
              <w:t>10</w:t>
            </w:r>
            <w:r>
              <w:rPr>
                <w:color w:val="auto"/>
                <w:sz w:val="24"/>
                <w:szCs w:val="24"/>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065"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安全、质量保证措施</w:t>
            </w:r>
          </w:p>
        </w:tc>
        <w:tc>
          <w:tcPr>
            <w:tcW w:w="828"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8分</w:t>
            </w:r>
          </w:p>
        </w:tc>
        <w:tc>
          <w:tcPr>
            <w:tcW w:w="6440" w:type="dxa"/>
            <w:vAlign w:val="center"/>
          </w:tcPr>
          <w:p>
            <w:pPr>
              <w:pStyle w:val="143"/>
              <w:spacing w:line="360" w:lineRule="exact"/>
              <w:ind w:left="0"/>
              <w:rPr>
                <w:rFonts w:hint="eastAsia"/>
                <w:color w:val="auto"/>
                <w:kern w:val="2"/>
                <w:sz w:val="24"/>
                <w:szCs w:val="24"/>
                <w:lang w:eastAsia="zh-CN"/>
              </w:rPr>
            </w:pPr>
            <w:r>
              <w:rPr>
                <w:rFonts w:hint="eastAsia"/>
                <w:color w:val="auto"/>
                <w:kern w:val="2"/>
                <w:sz w:val="24"/>
                <w:szCs w:val="24"/>
                <w:lang w:eastAsia="zh-CN"/>
              </w:rPr>
              <w:t>投标人提供的安全、质量保障措施包含但不限于安全管理措施、风险管理措施、自检自查措施、质量保障措施等。</w:t>
            </w:r>
          </w:p>
          <w:p>
            <w:pPr>
              <w:pStyle w:val="143"/>
              <w:spacing w:line="360" w:lineRule="exact"/>
              <w:ind w:left="0"/>
              <w:rPr>
                <w:rFonts w:hint="eastAsia"/>
                <w:color w:val="auto"/>
                <w:kern w:val="2"/>
                <w:sz w:val="24"/>
                <w:szCs w:val="24"/>
                <w:lang w:eastAsia="zh-CN"/>
              </w:rPr>
            </w:pPr>
            <w:r>
              <w:rPr>
                <w:rFonts w:hint="eastAsia"/>
                <w:color w:val="auto"/>
                <w:sz w:val="24"/>
                <w:szCs w:val="24"/>
                <w:lang w:eastAsia="zh-CN"/>
              </w:rPr>
              <w:t>上述内容阐述全面、详尽且满足项目实际需要的，每项</w:t>
            </w:r>
            <w:r>
              <w:rPr>
                <w:rFonts w:hint="eastAsia"/>
                <w:bCs/>
                <w:color w:val="auto"/>
                <w:sz w:val="24"/>
                <w:szCs w:val="24"/>
                <w:lang w:eastAsia="zh-CN"/>
              </w:rPr>
              <w:t>得2分；</w:t>
            </w:r>
            <w:r>
              <w:rPr>
                <w:rFonts w:hint="eastAsia"/>
                <w:color w:val="auto"/>
                <w:sz w:val="24"/>
                <w:szCs w:val="24"/>
                <w:lang w:eastAsia="zh-CN"/>
              </w:rPr>
              <w:t>上述内容阐述基本全面、基本贴合项目实际情况的，每项</w:t>
            </w:r>
            <w:r>
              <w:rPr>
                <w:rFonts w:hint="eastAsia"/>
                <w:bCs/>
                <w:color w:val="auto"/>
                <w:sz w:val="24"/>
                <w:szCs w:val="24"/>
                <w:lang w:eastAsia="zh-CN"/>
              </w:rPr>
              <w:t>得1分；</w:t>
            </w:r>
            <w:r>
              <w:rPr>
                <w:rFonts w:hint="eastAsia"/>
                <w:color w:val="auto"/>
                <w:sz w:val="24"/>
                <w:szCs w:val="24"/>
                <w:lang w:eastAsia="zh-CN"/>
              </w:rPr>
              <w:t>上述内容阐述不全面、未贴合项目实际情况的，每项</w:t>
            </w:r>
            <w:r>
              <w:rPr>
                <w:rFonts w:hint="eastAsia"/>
                <w:bCs/>
                <w:color w:val="auto"/>
                <w:sz w:val="24"/>
                <w:szCs w:val="24"/>
                <w:lang w:eastAsia="zh-CN"/>
              </w:rPr>
              <w:t>得0.5分</w:t>
            </w:r>
            <w:r>
              <w:rPr>
                <w:rFonts w:hint="eastAsia"/>
                <w:color w:val="auto"/>
                <w:sz w:val="24"/>
                <w:szCs w:val="24"/>
                <w:lang w:eastAsia="zh-CN"/>
              </w:rPr>
              <w:t>。</w:t>
            </w:r>
            <w:r>
              <w:rPr>
                <w:color w:val="auto"/>
                <w:sz w:val="24"/>
                <w:szCs w:val="24"/>
              </w:rPr>
              <w:t>最多得</w:t>
            </w:r>
            <w:r>
              <w:rPr>
                <w:rFonts w:hint="eastAsia"/>
                <w:color w:val="auto"/>
                <w:sz w:val="24"/>
                <w:szCs w:val="24"/>
                <w:lang w:eastAsia="zh-CN"/>
              </w:rPr>
              <w:t>8</w:t>
            </w:r>
            <w:r>
              <w:rPr>
                <w:color w:val="auto"/>
                <w:sz w:val="24"/>
                <w:szCs w:val="24"/>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4</w:t>
            </w:r>
          </w:p>
        </w:tc>
        <w:tc>
          <w:tcPr>
            <w:tcW w:w="1065"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 xml:space="preserve">突发事件应急保障措施 </w:t>
            </w:r>
          </w:p>
        </w:tc>
        <w:tc>
          <w:tcPr>
            <w:tcW w:w="828"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6分</w:t>
            </w:r>
          </w:p>
        </w:tc>
        <w:tc>
          <w:tcPr>
            <w:tcW w:w="6440" w:type="dxa"/>
            <w:vAlign w:val="center"/>
          </w:tcPr>
          <w:p>
            <w:pPr>
              <w:pStyle w:val="143"/>
              <w:spacing w:before="24" w:line="400" w:lineRule="exact"/>
              <w:ind w:left="0" w:right="33"/>
              <w:rPr>
                <w:rFonts w:hint="eastAsia"/>
                <w:color w:val="auto"/>
                <w:kern w:val="2"/>
                <w:sz w:val="24"/>
                <w:szCs w:val="24"/>
                <w:lang w:eastAsia="zh-CN"/>
              </w:rPr>
            </w:pPr>
            <w:r>
              <w:rPr>
                <w:rFonts w:hint="eastAsia"/>
                <w:color w:val="auto"/>
                <w:kern w:val="2"/>
                <w:sz w:val="24"/>
                <w:szCs w:val="24"/>
                <w:lang w:eastAsia="zh-CN"/>
              </w:rPr>
              <w:t>投标人提供的突发事件应急保障措施应包含但不限于以下内容：应急措施及应急服务响应时间、响应机制及准备工作、人员配合及应对措施等。</w:t>
            </w:r>
          </w:p>
          <w:p>
            <w:pPr>
              <w:pStyle w:val="143"/>
              <w:spacing w:before="24" w:line="400" w:lineRule="exact"/>
              <w:ind w:left="0" w:right="33"/>
              <w:rPr>
                <w:rFonts w:hint="eastAsia"/>
                <w:color w:val="auto"/>
                <w:kern w:val="2"/>
                <w:sz w:val="24"/>
                <w:szCs w:val="24"/>
                <w:lang w:eastAsia="zh-CN"/>
              </w:rPr>
            </w:pPr>
            <w:r>
              <w:rPr>
                <w:rFonts w:hint="eastAsia"/>
                <w:color w:val="auto"/>
                <w:sz w:val="24"/>
                <w:szCs w:val="24"/>
                <w:lang w:eastAsia="zh-CN"/>
              </w:rPr>
              <w:t>上述内容阐述全面、详尽且满足项目实际需要的，</w:t>
            </w:r>
            <w:r>
              <w:rPr>
                <w:rFonts w:hint="eastAsia"/>
                <w:bCs/>
                <w:color w:val="auto"/>
                <w:sz w:val="24"/>
                <w:szCs w:val="24"/>
                <w:lang w:eastAsia="zh-CN"/>
              </w:rPr>
              <w:t>得6分；</w:t>
            </w:r>
            <w:r>
              <w:rPr>
                <w:rFonts w:hint="eastAsia"/>
                <w:color w:val="auto"/>
                <w:sz w:val="24"/>
                <w:szCs w:val="24"/>
                <w:lang w:eastAsia="zh-CN"/>
              </w:rPr>
              <w:t>上述内容阐述基本全面、基本贴合项目实际情况的，</w:t>
            </w:r>
            <w:r>
              <w:rPr>
                <w:rFonts w:hint="eastAsia"/>
                <w:bCs/>
                <w:color w:val="auto"/>
                <w:sz w:val="24"/>
                <w:szCs w:val="24"/>
                <w:lang w:eastAsia="zh-CN"/>
              </w:rPr>
              <w:t>得3分；</w:t>
            </w:r>
            <w:r>
              <w:rPr>
                <w:rFonts w:hint="eastAsia"/>
                <w:color w:val="auto"/>
                <w:sz w:val="24"/>
                <w:szCs w:val="24"/>
                <w:lang w:eastAsia="zh-CN"/>
              </w:rPr>
              <w:t>上述内容阐述不全面、未贴合项目实际情况的，</w:t>
            </w:r>
            <w:r>
              <w:rPr>
                <w:rFonts w:hint="eastAsia"/>
                <w:bCs/>
                <w:color w:val="auto"/>
                <w:sz w:val="24"/>
                <w:szCs w:val="24"/>
                <w:lang w:eastAsia="zh-CN"/>
              </w:rPr>
              <w:t>得1分</w:t>
            </w:r>
            <w:r>
              <w:rPr>
                <w:rFonts w:hint="eastAsia"/>
                <w:color w:val="auto"/>
                <w:sz w:val="24"/>
                <w:szCs w:val="24"/>
                <w:lang w:eastAsia="zh-CN"/>
              </w:rPr>
              <w:t>。</w:t>
            </w:r>
            <w:r>
              <w:rPr>
                <w:color w:val="auto"/>
                <w:sz w:val="24"/>
                <w:szCs w:val="24"/>
                <w:lang w:eastAsia="zh-CN"/>
              </w:rPr>
              <w:t>未提供不得分</w:t>
            </w:r>
            <w:r>
              <w:rPr>
                <w:rFonts w:hint="eastAsia"/>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1" w:type="dxa"/>
            <w:gridSpan w:val="4"/>
          </w:tcPr>
          <w:p>
            <w:pPr>
              <w:spacing w:line="360" w:lineRule="auto"/>
              <w:rPr>
                <w:rFonts w:hint="eastAsia" w:ascii="宋体" w:hAnsi="宋体" w:cs="宋体"/>
                <w:b/>
                <w:bCs/>
                <w:color w:val="auto"/>
                <w:sz w:val="24"/>
              </w:rPr>
            </w:pPr>
            <w:r>
              <w:rPr>
                <w:rFonts w:hint="eastAsia" w:ascii="宋体" w:hAnsi="宋体" w:cs="宋体"/>
                <w:b/>
                <w:bCs/>
                <w:color w:val="auto"/>
                <w:sz w:val="24"/>
              </w:rPr>
              <w:t>三、商务分21分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065"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企业资信证明材料</w:t>
            </w:r>
            <w:r>
              <w:rPr>
                <w:rFonts w:ascii="宋体" w:hAnsi="宋体" w:cs="宋体"/>
                <w:color w:val="auto"/>
                <w:sz w:val="24"/>
              </w:rPr>
              <w:t xml:space="preserve"> </w:t>
            </w:r>
          </w:p>
        </w:tc>
        <w:tc>
          <w:tcPr>
            <w:tcW w:w="828"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6分</w:t>
            </w:r>
          </w:p>
        </w:tc>
        <w:tc>
          <w:tcPr>
            <w:tcW w:w="6440" w:type="dxa"/>
          </w:tcPr>
          <w:p>
            <w:pPr>
              <w:spacing w:line="360" w:lineRule="auto"/>
              <w:rPr>
                <w:rFonts w:hint="eastAsia" w:ascii="宋体" w:hAnsi="宋体" w:cs="宋体"/>
                <w:color w:val="auto"/>
                <w:sz w:val="24"/>
              </w:rPr>
            </w:pPr>
            <w:r>
              <w:rPr>
                <w:rFonts w:hint="eastAsia" w:ascii="宋体" w:hAnsi="宋体" w:cs="宋体"/>
                <w:color w:val="auto"/>
                <w:sz w:val="24"/>
              </w:rPr>
              <w:t>1、提供投标产品台式计算机具有节能、环境标志产品认证证书，得2分。</w:t>
            </w:r>
          </w:p>
          <w:p>
            <w:pPr>
              <w:spacing w:line="360" w:lineRule="auto"/>
              <w:rPr>
                <w:rFonts w:hint="eastAsia" w:ascii="宋体" w:hAnsi="宋体" w:cs="宋体"/>
                <w:color w:val="auto"/>
                <w:sz w:val="24"/>
              </w:rPr>
            </w:pPr>
            <w:r>
              <w:rPr>
                <w:rFonts w:hint="eastAsia" w:ascii="宋体" w:hAnsi="宋体" w:cs="宋体"/>
                <w:color w:val="auto"/>
                <w:sz w:val="24"/>
              </w:rPr>
              <w:t>2、提供投标产品交换机具有CQC产品认证证书，得2分。</w:t>
            </w:r>
          </w:p>
          <w:p>
            <w:pPr>
              <w:spacing w:line="360" w:lineRule="auto"/>
              <w:rPr>
                <w:rFonts w:hint="eastAsia" w:ascii="宋体" w:hAnsi="宋体" w:cs="宋体"/>
                <w:color w:val="auto"/>
                <w:sz w:val="24"/>
              </w:rPr>
            </w:pPr>
            <w:r>
              <w:rPr>
                <w:rFonts w:hint="eastAsia" w:ascii="宋体" w:hAnsi="宋体" w:cs="宋体"/>
                <w:color w:val="auto"/>
                <w:sz w:val="24"/>
              </w:rPr>
              <w:t>3、提供投标产品防静电活动地板具有环境标志产品认证证书，得2分</w:t>
            </w:r>
          </w:p>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trPr>
        <w:tc>
          <w:tcPr>
            <w:tcW w:w="828"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065"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 xml:space="preserve">售后服务方案 </w:t>
            </w:r>
          </w:p>
        </w:tc>
        <w:tc>
          <w:tcPr>
            <w:tcW w:w="828" w:type="dxa"/>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15分</w:t>
            </w:r>
          </w:p>
        </w:tc>
        <w:tc>
          <w:tcPr>
            <w:tcW w:w="6440" w:type="dxa"/>
          </w:tcPr>
          <w:p>
            <w:pPr>
              <w:spacing w:line="360" w:lineRule="auto"/>
              <w:rPr>
                <w:rFonts w:hint="eastAsia" w:ascii="宋体" w:hAnsi="宋体" w:cs="宋体"/>
                <w:color w:val="auto"/>
                <w:sz w:val="24"/>
              </w:rPr>
            </w:pPr>
            <w:r>
              <w:rPr>
                <w:rFonts w:hint="eastAsia" w:ascii="宋体" w:hAnsi="宋体" w:cs="宋体"/>
                <w:color w:val="auto"/>
                <w:sz w:val="24"/>
              </w:rPr>
              <w:t>针对本项目采购需求提供售后服务方案，包括但不限于：售后服务流程、服务体系、服务站点设立及人员配备、故障响应和处理办法、响应时间其他有关内容等；</w:t>
            </w:r>
          </w:p>
          <w:p>
            <w:pPr>
              <w:spacing w:line="360" w:lineRule="auto"/>
              <w:rPr>
                <w:rFonts w:hint="eastAsia" w:ascii="宋体" w:hAnsi="宋体" w:cs="宋体"/>
                <w:color w:val="auto"/>
                <w:sz w:val="24"/>
              </w:rPr>
            </w:pPr>
            <w:r>
              <w:rPr>
                <w:rFonts w:hint="eastAsia" w:ascii="宋体" w:hAnsi="宋体" w:cs="宋体"/>
                <w:color w:val="auto"/>
                <w:sz w:val="24"/>
              </w:rPr>
              <w:t>上述内容阐述全面、详尽且满足项目实际需要的，每项得3分；上述内容阐述基本全面、基本贴合项目实际情况的，每项得1.5分；上述内容阐述不全面、未贴合项目实际情况的，每项得0.5分。最多得15分，未提供不得分。</w:t>
            </w:r>
          </w:p>
        </w:tc>
      </w:tr>
      <w:bookmarkEnd w:id="31"/>
    </w:tbl>
    <w:p>
      <w:pPr>
        <w:rPr>
          <w:b/>
          <w:bCs/>
          <w:color w:val="auto"/>
        </w:rPr>
      </w:pPr>
    </w:p>
    <w:p>
      <w:pPr>
        <w:widowControl/>
        <w:wordWrap w:val="0"/>
        <w:spacing w:line="400" w:lineRule="exact"/>
        <w:jc w:val="left"/>
        <w:rPr>
          <w:rStyle w:val="86"/>
          <w:rFonts w:hint="eastAsia" w:ascii="宋体" w:hAnsi="宋体" w:cs="宋体"/>
          <w:b/>
          <w:color w:val="auto"/>
          <w:kern w:val="0"/>
          <w:szCs w:val="24"/>
        </w:rPr>
      </w:pPr>
    </w:p>
    <w:p>
      <w:pPr>
        <w:rPr>
          <w:b/>
          <w:bCs/>
          <w:color w:val="auto"/>
        </w:rPr>
      </w:pPr>
      <w:r>
        <w:rPr>
          <w:rFonts w:hint="eastAsia" w:ascii="宋体" w:hAnsi="宋体" w:cs="宋体"/>
          <w:b/>
          <w:bCs/>
          <w:color w:val="auto"/>
          <w:sz w:val="24"/>
        </w:rPr>
        <w:t>注：</w:t>
      </w:r>
      <w:r>
        <w:rPr>
          <w:rFonts w:hint="eastAsia" w:ascii="宋体" w:hAnsi="宋体" w:cs="宋体"/>
          <w:color w:val="auto"/>
          <w:sz w:val="24"/>
        </w:rPr>
        <w:t>以上各项具体内容应当满足招标人招标需求，专门针对本项目或适用于本项目特性的情形，具体内容分项描述完整，不缺少关键节点，不得套用其他项目方案，方案具体内容前后一致、涉及的规范及标准应当符合相关规定及要求。否则，不得分。</w:t>
      </w:r>
    </w:p>
    <w:p>
      <w:pPr>
        <w:widowControl/>
        <w:wordWrap w:val="0"/>
        <w:spacing w:line="400" w:lineRule="exact"/>
        <w:jc w:val="left"/>
        <w:rPr>
          <w:rStyle w:val="86"/>
          <w:rFonts w:hint="eastAsia" w:ascii="宋体" w:hAnsi="宋体" w:cs="宋体"/>
          <w:b/>
          <w:color w:val="auto"/>
          <w:kern w:val="0"/>
        </w:rPr>
      </w:pPr>
      <w:r>
        <w:rPr>
          <w:rStyle w:val="86"/>
          <w:rFonts w:hint="eastAsia" w:ascii="宋体" w:hAnsi="宋体" w:cs="宋体"/>
          <w:b/>
          <w:color w:val="auto"/>
          <w:kern w:val="0"/>
        </w:rPr>
        <w:t>3.得分的计算</w:t>
      </w:r>
    </w:p>
    <w:p>
      <w:pPr>
        <w:widowControl/>
        <w:wordWrap w:val="0"/>
        <w:spacing w:line="400" w:lineRule="exact"/>
        <w:jc w:val="left"/>
        <w:rPr>
          <w:rStyle w:val="86"/>
          <w:rFonts w:hint="eastAsia" w:ascii="宋体" w:hAnsi="宋体" w:cs="宋体"/>
          <w:color w:val="auto"/>
          <w:kern w:val="0"/>
        </w:rPr>
      </w:pPr>
      <w:r>
        <w:rPr>
          <w:rStyle w:val="86"/>
          <w:rFonts w:hint="eastAsia" w:ascii="宋体" w:hAnsi="宋体" w:cs="宋体"/>
          <w:color w:val="auto"/>
          <w:kern w:val="0"/>
        </w:rPr>
        <w:t>投标人综合得分＝技术标得分+商务标得分＋投标报价得分</w:t>
      </w:r>
    </w:p>
    <w:p>
      <w:pPr>
        <w:widowControl/>
        <w:wordWrap w:val="0"/>
        <w:spacing w:line="400" w:lineRule="exact"/>
        <w:jc w:val="left"/>
        <w:rPr>
          <w:rFonts w:hint="eastAsia" w:ascii="宋体" w:hAnsi="宋体" w:cs="宋体"/>
          <w:b/>
          <w:i/>
          <w:caps/>
          <w:color w:val="auto"/>
        </w:rPr>
      </w:pPr>
      <w:r>
        <w:rPr>
          <w:rStyle w:val="86"/>
          <w:rFonts w:hint="eastAsia" w:ascii="宋体" w:hAnsi="宋体" w:cs="宋体"/>
          <w:color w:val="auto"/>
          <w:kern w:val="0"/>
        </w:rPr>
        <w:t>投标人的最终得分：（1）评标委员会严格按本办法对投标人的技术标、综合标和商标评审汇总后，以全部评委所打分数的算术平均值即为该投标人的综合得分。（2）本办法计算按四舍五入均保留两位小数。</w:t>
      </w:r>
    </w:p>
    <w:p>
      <w:pPr>
        <w:wordWrap w:val="0"/>
        <w:spacing w:line="440" w:lineRule="exact"/>
        <w:ind w:firstLine="480" w:firstLineChars="200"/>
        <w:rPr>
          <w:rFonts w:hint="eastAsia" w:ascii="宋体" w:hAnsi="宋体"/>
          <w:b/>
          <w:bCs/>
          <w:color w:val="auto"/>
        </w:rPr>
      </w:pPr>
      <w:r>
        <w:rPr>
          <w:rFonts w:hint="eastAsia" w:ascii="宋体" w:hAnsi="宋体"/>
          <w:color w:val="auto"/>
          <w:sz w:val="24"/>
        </w:rPr>
        <w:t>注∶需要提供业绩、荣誉及相关证明材料的，在投标文件中须附扫描件，将业绩、荣誉及相关证明材料上传至驻马店市公共资源电子交易平台诚信库中，同时在“资格审查材料（不见面开标）”菜单下按标段挑选该标段投标所用审查材料，以供评标过程中评委查阅，评标时以电子投标文件及“资格审查材料（不见面开标）”菜单中选取的信息为准，两者必须一致，否则按无效处理。</w:t>
      </w:r>
    </w:p>
    <w:p>
      <w:pPr>
        <w:widowControl/>
        <w:wordWrap w:val="0"/>
        <w:spacing w:line="420" w:lineRule="exact"/>
        <w:jc w:val="center"/>
        <w:outlineLvl w:val="0"/>
        <w:rPr>
          <w:rFonts w:hint="eastAsia" w:ascii="宋体" w:hAnsi="宋体" w:cs="宋体"/>
          <w:b/>
          <w:color w:val="auto"/>
          <w:kern w:val="0"/>
          <w:sz w:val="32"/>
          <w:szCs w:val="32"/>
        </w:rPr>
      </w:pPr>
      <w:r>
        <w:rPr>
          <w:rFonts w:hint="eastAsia" w:ascii="宋体" w:hAnsi="宋体" w:cs="宋体"/>
          <w:b/>
          <w:color w:val="auto"/>
          <w:kern w:val="0"/>
          <w:sz w:val="32"/>
          <w:szCs w:val="32"/>
        </w:rPr>
        <w:br w:type="page"/>
      </w:r>
      <w:r>
        <w:rPr>
          <w:rFonts w:hint="eastAsia" w:ascii="宋体" w:hAnsi="宋体" w:cs="宋体"/>
          <w:b/>
          <w:color w:val="auto"/>
          <w:kern w:val="0"/>
          <w:sz w:val="32"/>
          <w:szCs w:val="32"/>
        </w:rPr>
        <w:t>第五章 政府采购合同（主要条款）</w:t>
      </w:r>
    </w:p>
    <w:p>
      <w:pPr>
        <w:widowControl/>
        <w:wordWrap w:val="0"/>
        <w:spacing w:line="420" w:lineRule="exact"/>
        <w:jc w:val="center"/>
        <w:rPr>
          <w:rFonts w:hint="eastAsia" w:ascii="宋体" w:hAnsi="宋体" w:cs="宋体"/>
          <w:b/>
          <w:color w:val="auto"/>
          <w:kern w:val="0"/>
          <w:sz w:val="24"/>
        </w:rPr>
      </w:pPr>
    </w:p>
    <w:p>
      <w:pPr>
        <w:wordWrap w:val="0"/>
        <w:spacing w:line="360" w:lineRule="auto"/>
        <w:ind w:firstLine="482" w:firstLineChars="200"/>
        <w:rPr>
          <w:rFonts w:hint="eastAsia" w:ascii="宋体" w:hAnsi="宋体" w:cs="宋体"/>
          <w:color w:val="auto"/>
          <w:sz w:val="24"/>
        </w:rPr>
      </w:pPr>
      <w:r>
        <w:rPr>
          <w:rFonts w:hint="eastAsia" w:ascii="宋体" w:hAnsi="宋体" w:cs="宋体"/>
          <w:b/>
          <w:bCs/>
          <w:color w:val="auto"/>
          <w:kern w:val="0"/>
          <w:sz w:val="24"/>
        </w:rPr>
        <w:t>（</w:t>
      </w:r>
      <w:r>
        <w:rPr>
          <w:rFonts w:hint="eastAsia" w:ascii="宋体" w:hAnsi="宋体" w:cs="宋体"/>
          <w:color w:val="auto"/>
          <w:sz w:val="24"/>
        </w:rPr>
        <w:t>招标人可根据采购项目的实际情况增减条款和内容）</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项目名称：               项目编号：</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甲方：（</w:t>
      </w:r>
      <w:r>
        <w:rPr>
          <w:rFonts w:hint="eastAsia" w:ascii="宋体" w:hAnsi="宋体" w:cs="宋体"/>
          <w:color w:val="auto"/>
          <w:sz w:val="24"/>
        </w:rPr>
        <w:t>招标人</w:t>
      </w:r>
      <w:r>
        <w:rPr>
          <w:rFonts w:hint="eastAsia" w:ascii="宋体" w:hAnsi="宋体" w:cs="宋体"/>
          <w:color w:val="auto"/>
          <w:kern w:val="0"/>
          <w:sz w:val="24"/>
        </w:rPr>
        <w:t>）         乙方：（中标人）</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甲、乙双方根据《中华人民共和国政府采购法》、《中华人民共和国民法典》等法律法规的规定，按照</w:t>
      </w:r>
      <w:r>
        <w:rPr>
          <w:rFonts w:hint="eastAsia" w:ascii="宋体" w:hAnsi="宋体" w:cs="宋体"/>
          <w:color w:val="auto"/>
          <w:kern w:val="0"/>
          <w:sz w:val="24"/>
          <w:u w:val="single"/>
        </w:rPr>
        <w:t xml:space="preserve">       </w:t>
      </w:r>
      <w:r>
        <w:rPr>
          <w:rFonts w:hint="eastAsia" w:ascii="宋体" w:hAnsi="宋体" w:cs="宋体"/>
          <w:color w:val="auto"/>
          <w:kern w:val="0"/>
          <w:sz w:val="24"/>
        </w:rPr>
        <w:t>（项目编号）的招标结果签订本合同。</w:t>
      </w:r>
    </w:p>
    <w:p>
      <w:pPr>
        <w:spacing w:line="360" w:lineRule="auto"/>
        <w:ind w:firstLine="482" w:firstLineChars="200"/>
        <w:rPr>
          <w:rFonts w:hint="eastAsia" w:ascii="宋体" w:hAnsi="宋体" w:cs="宋体"/>
          <w:b/>
          <w:color w:val="auto"/>
          <w:kern w:val="0"/>
          <w:sz w:val="24"/>
        </w:rPr>
      </w:pPr>
      <w:r>
        <w:rPr>
          <w:rFonts w:hint="eastAsia" w:ascii="宋体" w:hAnsi="宋体" w:cs="宋体"/>
          <w:b/>
          <w:color w:val="auto"/>
          <w:kern w:val="0"/>
          <w:sz w:val="24"/>
        </w:rPr>
        <w:t>1.货物内容</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1.1 货物名称：</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1.2 型号规格：</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1.3 技术参数：</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1.4 数量（单位）：</w:t>
      </w:r>
    </w:p>
    <w:p>
      <w:pPr>
        <w:spacing w:line="360" w:lineRule="auto"/>
        <w:ind w:firstLine="482" w:firstLineChars="200"/>
        <w:rPr>
          <w:rFonts w:hint="eastAsia" w:ascii="宋体" w:hAnsi="宋体" w:cs="宋体"/>
          <w:b/>
          <w:color w:val="auto"/>
          <w:kern w:val="0"/>
          <w:sz w:val="24"/>
        </w:rPr>
      </w:pPr>
      <w:r>
        <w:rPr>
          <w:rFonts w:hint="eastAsia" w:ascii="宋体" w:hAnsi="宋体" w:cs="宋体"/>
          <w:b/>
          <w:color w:val="auto"/>
          <w:kern w:val="0"/>
          <w:sz w:val="24"/>
        </w:rPr>
        <w:t>2.合同金额</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本合同金额为人民币（大写）：______元（￥______元）。</w:t>
      </w:r>
    </w:p>
    <w:p>
      <w:pPr>
        <w:spacing w:line="360" w:lineRule="auto"/>
        <w:ind w:firstLine="482" w:firstLineChars="200"/>
        <w:rPr>
          <w:rFonts w:hint="eastAsia" w:ascii="宋体" w:hAnsi="宋体" w:cs="宋体"/>
          <w:b/>
          <w:color w:val="auto"/>
          <w:kern w:val="0"/>
          <w:sz w:val="24"/>
        </w:rPr>
      </w:pPr>
      <w:r>
        <w:rPr>
          <w:rFonts w:hint="eastAsia" w:ascii="宋体" w:hAnsi="宋体" w:cs="宋体"/>
          <w:b/>
          <w:color w:val="auto"/>
          <w:kern w:val="0"/>
          <w:sz w:val="24"/>
        </w:rPr>
        <w:t>3.技术资料</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3.1乙方按招标文件规定的时间向甲方提供使用货物的有关技术资料。</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3.2 没有甲方事先书面同意，乙方不得将由甲方提供的有关合同或任何合同条文、规格、计划、图纸、样品或资料提供给与履行本合同无关的任何其他人。</w:t>
      </w:r>
    </w:p>
    <w:p>
      <w:pPr>
        <w:spacing w:line="360" w:lineRule="auto"/>
        <w:ind w:firstLine="482" w:firstLineChars="200"/>
        <w:rPr>
          <w:rFonts w:hint="eastAsia" w:ascii="宋体" w:hAnsi="宋体" w:cs="宋体"/>
          <w:b/>
          <w:color w:val="auto"/>
          <w:kern w:val="0"/>
          <w:sz w:val="24"/>
        </w:rPr>
      </w:pPr>
      <w:r>
        <w:rPr>
          <w:rFonts w:hint="eastAsia" w:ascii="宋体" w:hAnsi="宋体" w:cs="宋体"/>
          <w:b/>
          <w:color w:val="auto"/>
          <w:kern w:val="0"/>
          <w:sz w:val="24"/>
        </w:rPr>
        <w:t>4.知识产权</w:t>
      </w:r>
    </w:p>
    <w:p>
      <w:pPr>
        <w:spacing w:line="360" w:lineRule="auto"/>
        <w:ind w:firstLine="480" w:firstLineChars="200"/>
        <w:rPr>
          <w:rFonts w:hint="eastAsia" w:ascii="宋体" w:hAnsi="宋体" w:cs="宋体"/>
          <w:bCs/>
          <w:color w:val="auto"/>
          <w:kern w:val="0"/>
          <w:sz w:val="24"/>
        </w:rPr>
      </w:pPr>
      <w:r>
        <w:rPr>
          <w:rFonts w:hint="eastAsia" w:ascii="宋体" w:hAnsi="宋体" w:cs="宋体"/>
          <w:color w:val="auto"/>
          <w:kern w:val="0"/>
          <w:sz w:val="24"/>
        </w:rPr>
        <w:t>乙方保证所提供的货物或其任何一部分均不会侵犯任何第三方的知识产权</w:t>
      </w:r>
      <w:r>
        <w:rPr>
          <w:rFonts w:hint="eastAsia" w:ascii="宋体" w:hAnsi="宋体" w:cs="宋体"/>
          <w:bCs/>
          <w:color w:val="auto"/>
          <w:kern w:val="0"/>
          <w:sz w:val="24"/>
        </w:rPr>
        <w:t>。</w:t>
      </w:r>
    </w:p>
    <w:p>
      <w:pPr>
        <w:spacing w:line="360" w:lineRule="auto"/>
        <w:ind w:firstLine="482" w:firstLineChars="200"/>
        <w:rPr>
          <w:rFonts w:hint="eastAsia" w:ascii="宋体" w:hAnsi="宋体" w:cs="宋体"/>
          <w:b/>
          <w:color w:val="auto"/>
          <w:kern w:val="0"/>
          <w:sz w:val="24"/>
        </w:rPr>
      </w:pPr>
      <w:r>
        <w:rPr>
          <w:rFonts w:hint="eastAsia" w:ascii="宋体" w:hAnsi="宋体" w:cs="宋体"/>
          <w:b/>
          <w:color w:val="auto"/>
          <w:kern w:val="0"/>
          <w:sz w:val="24"/>
        </w:rPr>
        <w:t>5.产权担保</w:t>
      </w:r>
    </w:p>
    <w:p>
      <w:pPr>
        <w:spacing w:line="360" w:lineRule="auto"/>
        <w:ind w:firstLine="480" w:firstLineChars="200"/>
        <w:rPr>
          <w:rFonts w:hint="eastAsia" w:ascii="宋体" w:hAnsi="宋体" w:cs="宋体"/>
          <w:color w:val="auto"/>
          <w:kern w:val="0"/>
          <w:sz w:val="24"/>
          <w:u w:val="single"/>
        </w:rPr>
      </w:pPr>
      <w:r>
        <w:rPr>
          <w:rFonts w:hint="eastAsia" w:ascii="宋体" w:hAnsi="宋体" w:cs="宋体"/>
          <w:color w:val="auto"/>
          <w:kern w:val="0"/>
          <w:sz w:val="24"/>
        </w:rPr>
        <w:t>乙方保证所交付的货物的所有权完全属于乙方且无任何抵押、查封等产权瑕疵。</w:t>
      </w:r>
    </w:p>
    <w:p>
      <w:pPr>
        <w:spacing w:line="360" w:lineRule="auto"/>
        <w:ind w:firstLine="482" w:firstLineChars="200"/>
        <w:rPr>
          <w:rFonts w:hint="eastAsia" w:ascii="宋体" w:hAnsi="宋体" w:cs="宋体"/>
          <w:b/>
          <w:color w:val="auto"/>
          <w:kern w:val="0"/>
          <w:sz w:val="24"/>
        </w:rPr>
      </w:pPr>
      <w:r>
        <w:rPr>
          <w:rFonts w:hint="eastAsia" w:ascii="宋体" w:hAnsi="宋体" w:cs="宋体"/>
          <w:b/>
          <w:color w:val="auto"/>
          <w:kern w:val="0"/>
          <w:sz w:val="24"/>
        </w:rPr>
        <w:t>6.质量保证金（不收取）</w:t>
      </w:r>
    </w:p>
    <w:p>
      <w:pPr>
        <w:spacing w:line="360" w:lineRule="auto"/>
        <w:ind w:firstLine="482" w:firstLineChars="200"/>
        <w:rPr>
          <w:rFonts w:hint="eastAsia" w:ascii="宋体" w:hAnsi="宋体" w:cs="宋体"/>
          <w:b/>
          <w:color w:val="auto"/>
          <w:kern w:val="0"/>
          <w:sz w:val="24"/>
        </w:rPr>
      </w:pPr>
      <w:r>
        <w:rPr>
          <w:rFonts w:hint="eastAsia" w:ascii="宋体" w:hAnsi="宋体" w:cs="宋体"/>
          <w:b/>
          <w:color w:val="auto"/>
          <w:kern w:val="0"/>
          <w:sz w:val="24"/>
        </w:rPr>
        <w:t>7.转包或分包（不允许）</w:t>
      </w:r>
    </w:p>
    <w:p>
      <w:pPr>
        <w:spacing w:line="360" w:lineRule="auto"/>
        <w:ind w:firstLine="482" w:firstLineChars="200"/>
        <w:rPr>
          <w:rFonts w:hint="eastAsia" w:ascii="宋体" w:hAnsi="宋体" w:cs="宋体"/>
          <w:b/>
          <w:color w:val="auto"/>
          <w:kern w:val="0"/>
          <w:sz w:val="24"/>
        </w:rPr>
      </w:pPr>
      <w:r>
        <w:rPr>
          <w:rFonts w:hint="eastAsia" w:ascii="宋体" w:hAnsi="宋体" w:cs="宋体"/>
          <w:b/>
          <w:color w:val="auto"/>
          <w:kern w:val="0"/>
          <w:sz w:val="24"/>
        </w:rPr>
        <w:t>8.交货期、交货方式及交货地点</w:t>
      </w:r>
    </w:p>
    <w:p>
      <w:pPr>
        <w:spacing w:line="360" w:lineRule="auto"/>
        <w:ind w:firstLine="480" w:firstLineChars="200"/>
        <w:rPr>
          <w:rFonts w:hint="eastAsia" w:ascii="宋体" w:hAnsi="宋体" w:cs="宋体"/>
          <w:bCs/>
          <w:color w:val="auto"/>
          <w:kern w:val="0"/>
          <w:sz w:val="24"/>
        </w:rPr>
      </w:pPr>
      <w:r>
        <w:rPr>
          <w:rFonts w:hint="eastAsia" w:ascii="宋体" w:hAnsi="宋体" w:cs="宋体"/>
          <w:bCs/>
          <w:color w:val="auto"/>
          <w:kern w:val="0"/>
          <w:sz w:val="24"/>
        </w:rPr>
        <w:t>8.1 交货期：</w:t>
      </w:r>
    </w:p>
    <w:p>
      <w:pPr>
        <w:spacing w:line="360" w:lineRule="auto"/>
        <w:ind w:firstLine="480" w:firstLineChars="200"/>
        <w:rPr>
          <w:rFonts w:hint="eastAsia" w:ascii="宋体" w:hAnsi="宋体" w:cs="宋体"/>
          <w:bCs/>
          <w:color w:val="auto"/>
          <w:kern w:val="0"/>
          <w:sz w:val="24"/>
        </w:rPr>
      </w:pPr>
      <w:r>
        <w:rPr>
          <w:rFonts w:hint="eastAsia" w:ascii="宋体" w:hAnsi="宋体" w:cs="宋体"/>
          <w:bCs/>
          <w:color w:val="auto"/>
          <w:kern w:val="0"/>
          <w:sz w:val="24"/>
        </w:rPr>
        <w:t>8.2 交货方式：</w:t>
      </w:r>
    </w:p>
    <w:p>
      <w:pPr>
        <w:spacing w:line="360" w:lineRule="auto"/>
        <w:ind w:firstLine="480" w:firstLineChars="200"/>
        <w:rPr>
          <w:rFonts w:hint="eastAsia" w:ascii="宋体" w:hAnsi="宋体" w:cs="宋体"/>
          <w:bCs/>
          <w:color w:val="auto"/>
          <w:kern w:val="0"/>
          <w:sz w:val="24"/>
        </w:rPr>
      </w:pPr>
      <w:r>
        <w:rPr>
          <w:rFonts w:hint="eastAsia" w:ascii="宋体" w:hAnsi="宋体" w:cs="宋体"/>
          <w:bCs/>
          <w:color w:val="auto"/>
          <w:kern w:val="0"/>
          <w:sz w:val="24"/>
        </w:rPr>
        <w:t>8.3 交货地点：</w:t>
      </w:r>
    </w:p>
    <w:p>
      <w:pPr>
        <w:spacing w:line="360" w:lineRule="auto"/>
        <w:ind w:firstLine="482" w:firstLineChars="200"/>
        <w:rPr>
          <w:rFonts w:hint="eastAsia" w:ascii="宋体" w:hAnsi="宋体" w:cs="宋体"/>
          <w:b/>
          <w:color w:val="auto"/>
          <w:kern w:val="0"/>
          <w:sz w:val="24"/>
        </w:rPr>
      </w:pPr>
      <w:r>
        <w:rPr>
          <w:rFonts w:hint="eastAsia" w:ascii="宋体" w:hAnsi="宋体" w:cs="宋体"/>
          <w:b/>
          <w:color w:val="auto"/>
          <w:kern w:val="0"/>
          <w:sz w:val="24"/>
        </w:rPr>
        <w:t>9.货款支付</w:t>
      </w:r>
    </w:p>
    <w:p>
      <w:pPr>
        <w:spacing w:line="360" w:lineRule="auto"/>
        <w:ind w:firstLine="480" w:firstLineChars="200"/>
        <w:rPr>
          <w:rFonts w:hint="eastAsia" w:ascii="宋体" w:hAnsi="宋体" w:cs="宋体"/>
          <w:bCs/>
          <w:color w:val="auto"/>
          <w:kern w:val="0"/>
          <w:sz w:val="24"/>
        </w:rPr>
      </w:pPr>
      <w:r>
        <w:rPr>
          <w:rFonts w:hint="eastAsia" w:ascii="宋体" w:hAnsi="宋体" w:cs="宋体"/>
          <w:bCs/>
          <w:color w:val="auto"/>
          <w:kern w:val="0"/>
          <w:sz w:val="24"/>
        </w:rPr>
        <w:t>付款方式：</w:t>
      </w:r>
    </w:p>
    <w:p>
      <w:pPr>
        <w:spacing w:line="360" w:lineRule="auto"/>
        <w:ind w:firstLine="482" w:firstLineChars="200"/>
        <w:rPr>
          <w:rFonts w:hint="eastAsia" w:ascii="宋体" w:hAnsi="宋体" w:cs="宋体"/>
          <w:b/>
          <w:color w:val="auto"/>
          <w:kern w:val="0"/>
          <w:sz w:val="24"/>
        </w:rPr>
      </w:pPr>
      <w:r>
        <w:rPr>
          <w:rFonts w:hint="eastAsia" w:ascii="宋体" w:hAnsi="宋体" w:cs="宋体"/>
          <w:b/>
          <w:color w:val="auto"/>
          <w:kern w:val="0"/>
          <w:sz w:val="24"/>
        </w:rPr>
        <w:t>10.税费</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本合同执行中相关的一切税费均由乙方负担。</w:t>
      </w:r>
    </w:p>
    <w:p>
      <w:pPr>
        <w:spacing w:line="360" w:lineRule="auto"/>
        <w:ind w:firstLine="482" w:firstLineChars="200"/>
        <w:rPr>
          <w:rFonts w:hint="eastAsia" w:ascii="宋体" w:hAnsi="宋体" w:cs="宋体"/>
          <w:b/>
          <w:color w:val="auto"/>
          <w:kern w:val="0"/>
          <w:sz w:val="24"/>
        </w:rPr>
      </w:pPr>
      <w:r>
        <w:rPr>
          <w:rFonts w:hint="eastAsia" w:ascii="宋体" w:hAnsi="宋体" w:cs="宋体"/>
          <w:b/>
          <w:color w:val="auto"/>
          <w:kern w:val="0"/>
          <w:sz w:val="24"/>
        </w:rPr>
        <w:t>11.货物包装、发运及运输</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11.1 乙方在货物发运前对其进行满足运输距离、防潮、防震、防锈和防破损装卸等要求包装，以保证货物安全运达甲方指定地点。</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11.2 使用说明书、质量检验证明书、随配附件和工具以及清单一并附于货物内。</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11.3 乙方在货物发运手续办理完毕后24小时内或货到甲方48小时前通知甲方，以准备接货。</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11.4 货物在交付甲方前发生的风险均由乙方负责。</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11.5 货物在规定的交付期限内由乙方送达甲方指定的地点视为交付，乙方同时需通知甲方货物已送达。</w:t>
      </w:r>
    </w:p>
    <w:p>
      <w:pPr>
        <w:spacing w:line="360" w:lineRule="auto"/>
        <w:ind w:firstLine="482" w:firstLineChars="200"/>
        <w:rPr>
          <w:rFonts w:hint="eastAsia" w:ascii="宋体" w:hAnsi="宋体" w:cs="宋体"/>
          <w:b/>
          <w:color w:val="auto"/>
          <w:kern w:val="0"/>
          <w:sz w:val="24"/>
        </w:rPr>
      </w:pPr>
      <w:r>
        <w:rPr>
          <w:rFonts w:hint="eastAsia" w:ascii="宋体" w:hAnsi="宋体" w:cs="宋体"/>
          <w:b/>
          <w:color w:val="auto"/>
          <w:kern w:val="0"/>
          <w:sz w:val="24"/>
        </w:rPr>
        <w:t>12.质量保证及售后服务</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12.1 乙方提供的货物是全新、未使用过的，并完全符合强制性的国家技术质量规范和招标文件规定的质量、规格、性能和技术规范等的要求。</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12.2 乙方提供的货物经正确安装、正常运转和保养，在其使用寿命期内须具有符合质量要求和产品说明书的性能。在货物质量保证期之内，乙方须对由于设计、工艺或材料的缺陷而发生的任何不足或故障负责。</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12.3根据甲方按检验标准自己检验结果或委托有资质的相关质检机构的检验结果，发现货物的数量、质量、规格与合同或样品及样品小样不符；或者在质量保证期内，证实货物存在缺陷，包括潜在的缺陷或使用不符合要求的材料等，甲方应尽快以书面形式通知乙方。乙方在收到通知后</w:t>
      </w:r>
      <w:r>
        <w:rPr>
          <w:rFonts w:hint="eastAsia" w:ascii="宋体" w:hAnsi="宋体" w:cs="宋体"/>
          <w:color w:val="auto"/>
          <w:kern w:val="0"/>
          <w:sz w:val="24"/>
          <w:u w:val="single"/>
        </w:rPr>
        <w:t xml:space="preserve">    </w:t>
      </w:r>
      <w:r>
        <w:rPr>
          <w:rFonts w:hint="eastAsia" w:ascii="宋体" w:hAnsi="宋体" w:cs="宋体"/>
          <w:color w:val="auto"/>
          <w:kern w:val="0"/>
          <w:sz w:val="24"/>
        </w:rPr>
        <w:t>日内应免费维修或更换有缺陷的货物或部件。如果乙方在收到通知后</w:t>
      </w:r>
      <w:r>
        <w:rPr>
          <w:rFonts w:hint="eastAsia" w:ascii="宋体" w:hAnsi="宋体" w:cs="宋体"/>
          <w:color w:val="auto"/>
          <w:kern w:val="0"/>
          <w:sz w:val="24"/>
          <w:u w:val="single"/>
        </w:rPr>
        <w:t xml:space="preserve">    </w:t>
      </w:r>
      <w:r>
        <w:rPr>
          <w:rFonts w:hint="eastAsia" w:ascii="宋体" w:hAnsi="宋体" w:cs="宋体"/>
          <w:color w:val="auto"/>
          <w:kern w:val="0"/>
          <w:sz w:val="24"/>
        </w:rPr>
        <w:t>日内没有弥补缺陷，甲方可采取必要的补救措施，但由此引发的风险和费用将由乙方承担。</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12.4合同项下货物的质量保证期为自货物通过最终验收起</w:t>
      </w:r>
      <w:r>
        <w:rPr>
          <w:rFonts w:hint="eastAsia" w:ascii="宋体" w:hAnsi="宋体" w:cs="宋体"/>
          <w:color w:val="auto"/>
          <w:kern w:val="0"/>
          <w:sz w:val="24"/>
          <w:u w:val="single"/>
        </w:rPr>
        <w:t xml:space="preserve">   </w:t>
      </w:r>
      <w:r>
        <w:rPr>
          <w:rFonts w:hint="eastAsia" w:ascii="宋体" w:hAnsi="宋体" w:cs="宋体"/>
          <w:color w:val="auto"/>
          <w:kern w:val="0"/>
          <w:sz w:val="24"/>
        </w:rPr>
        <w:t>个月，在质保期内，因人为因素出现故障外，乙方对货物出现的质量及安全问题负责处理解决并承担一切费用。</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12.5合同项下货物免费保修期为质量保证期满后</w:t>
      </w:r>
      <w:r>
        <w:rPr>
          <w:rFonts w:hint="eastAsia" w:ascii="宋体" w:hAnsi="宋体" w:cs="宋体"/>
          <w:color w:val="auto"/>
          <w:kern w:val="0"/>
          <w:sz w:val="24"/>
          <w:u w:val="single"/>
        </w:rPr>
        <w:t xml:space="preserve">   </w:t>
      </w:r>
      <w:r>
        <w:rPr>
          <w:rFonts w:hint="eastAsia" w:ascii="宋体" w:hAnsi="宋体" w:cs="宋体"/>
          <w:color w:val="auto"/>
          <w:kern w:val="0"/>
          <w:sz w:val="24"/>
        </w:rPr>
        <w:t>个月，因人为因素出现的故障不在免费保修范围内。对超过保修期的货物终生维修，维修时只收部件成本费。</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12.6在使用过程中发生故障，乙方在接到甲方通知后在</w:t>
      </w:r>
      <w:r>
        <w:rPr>
          <w:rFonts w:hint="eastAsia" w:ascii="宋体" w:hAnsi="宋体" w:cs="宋体"/>
          <w:color w:val="auto"/>
          <w:kern w:val="0"/>
          <w:sz w:val="24"/>
          <w:u w:val="single"/>
        </w:rPr>
        <w:t xml:space="preserve">   </w:t>
      </w:r>
      <w:r>
        <w:rPr>
          <w:rFonts w:hint="eastAsia" w:ascii="宋体" w:hAnsi="宋体" w:cs="宋体"/>
          <w:color w:val="auto"/>
          <w:kern w:val="0"/>
          <w:sz w:val="24"/>
        </w:rPr>
        <w:t>小时内到达甲方现场，</w:t>
      </w:r>
      <w:r>
        <w:rPr>
          <w:rFonts w:hint="eastAsia" w:ascii="宋体" w:hAnsi="宋体" w:cs="宋体"/>
          <w:color w:val="auto"/>
          <w:kern w:val="0"/>
          <w:sz w:val="24"/>
          <w:u w:val="single"/>
        </w:rPr>
        <w:t xml:space="preserve">     </w:t>
      </w:r>
      <w:r>
        <w:rPr>
          <w:rFonts w:hint="eastAsia" w:ascii="宋体" w:hAnsi="宋体" w:cs="宋体"/>
          <w:color w:val="auto"/>
          <w:kern w:val="0"/>
          <w:sz w:val="24"/>
        </w:rPr>
        <w:t>小时内解除故障。</w:t>
      </w:r>
    </w:p>
    <w:p>
      <w:pPr>
        <w:spacing w:line="360" w:lineRule="auto"/>
        <w:ind w:firstLine="482" w:firstLineChars="200"/>
        <w:rPr>
          <w:rFonts w:hint="eastAsia" w:ascii="宋体" w:hAnsi="宋体" w:cs="宋体"/>
          <w:b/>
          <w:color w:val="auto"/>
          <w:kern w:val="0"/>
          <w:sz w:val="24"/>
        </w:rPr>
      </w:pPr>
      <w:r>
        <w:rPr>
          <w:rFonts w:hint="eastAsia" w:ascii="宋体" w:hAnsi="宋体" w:cs="宋体"/>
          <w:b/>
          <w:color w:val="auto"/>
          <w:kern w:val="0"/>
          <w:sz w:val="24"/>
        </w:rPr>
        <w:t>13.调试和验收</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13.1乙方交货前对产品作出全面检查和对验收文件进行整理，并列出清单，作为甲方收货验收和使用的技术条件依据，检验的结果应随货物交甲方。</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13.2货物运抵现场后，甲方依据招标文件上的技术规格要求和国家有关质量标准在3个工作日内组织初步验收，投标文件中需提供保证一次性通过验收的书面函作为投标文件的一部分，否则视同招标文件26.4.3条款响应偏离。制作验收备忘录，签署验收意见。初步验收不合格的不予签收。</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13.3 甲方对乙方提供的货物在使用前进行调试时，乙方负责安装并培训甲方的使用操作人员，并协助甲方一起调试，直到符合技术要求，甲方才做最终验收并签署验收意见。</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13.4 对大型或技术复杂的货物，甲方应邀请国家认可的专业检测机构参与初步验收及最终验收，并由其出具质量检测报告。</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13.5 验收时乙方必须在现场，验收完毕后作出验收结果报告。验收费用由乙方负责。</w:t>
      </w:r>
    </w:p>
    <w:p>
      <w:pPr>
        <w:spacing w:line="360" w:lineRule="auto"/>
        <w:ind w:firstLine="482" w:firstLineChars="200"/>
        <w:rPr>
          <w:rFonts w:hint="eastAsia" w:ascii="宋体" w:hAnsi="宋体" w:cs="宋体"/>
          <w:b/>
          <w:color w:val="auto"/>
          <w:kern w:val="0"/>
          <w:sz w:val="24"/>
        </w:rPr>
      </w:pPr>
      <w:r>
        <w:rPr>
          <w:rFonts w:hint="eastAsia" w:ascii="宋体" w:hAnsi="宋体" w:cs="宋体"/>
          <w:b/>
          <w:color w:val="auto"/>
          <w:kern w:val="0"/>
          <w:sz w:val="24"/>
        </w:rPr>
        <w:t>14.索赔</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14.1 如果货物的质量、规格、数量、重量等与合同</w:t>
      </w:r>
      <w:r>
        <w:rPr>
          <w:rFonts w:hint="eastAsia" w:hAnsi="宋体" w:cs="宋体"/>
          <w:color w:val="auto"/>
          <w:kern w:val="0"/>
          <w:sz w:val="24"/>
        </w:rPr>
        <w:t>或样品及样品小样</w:t>
      </w:r>
      <w:r>
        <w:rPr>
          <w:rFonts w:hint="eastAsia" w:ascii="宋体" w:hAnsi="宋体" w:cs="宋体"/>
          <w:color w:val="auto"/>
          <w:kern w:val="0"/>
          <w:sz w:val="24"/>
        </w:rPr>
        <w:t>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14.2 在根据合同第12条和第13条规定的检验期和质量保证期内，如果乙方对甲方提出的索赔负有责任，乙方应按照甲方同意的下列一种或多种方式解决索赔事宜：</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14.2.1 在法定的退货期内，甲方将货物款退还给乙方，乙方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14.2.2 根据货物低劣程度、损坏程度以及甲方所遭受损失的数额，经双方商定降低货物的价格，或由有权的部门评估，以降低后的价格或评估价格为准。</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14.2.3 用符合规格、质量和性能要求的新零件、部件或货物来更换有缺陷的部分或/和修补缺陷部分，乙方承担一切费用和风险并负担甲方所发生的一切直接费用。同时，乙方方应按合同第12条规定，相应延长修补或更换件的质量保证期。</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14.2.4 如果在甲方发出索赔通知后</w:t>
      </w:r>
      <w:r>
        <w:rPr>
          <w:rFonts w:hint="eastAsia" w:ascii="宋体" w:hAnsi="宋体" w:cs="宋体"/>
          <w:color w:val="auto"/>
          <w:kern w:val="0"/>
          <w:sz w:val="24"/>
          <w:u w:val="single"/>
        </w:rPr>
        <w:t xml:space="preserve">    </w:t>
      </w:r>
      <w:r>
        <w:rPr>
          <w:rFonts w:hint="eastAsia" w:ascii="宋体" w:hAnsi="宋体" w:cs="宋体"/>
          <w:color w:val="auto"/>
          <w:kern w:val="0"/>
          <w:sz w:val="24"/>
        </w:rPr>
        <w:t>日内，乙方未作答复，上述索赔应视为已被乙方接受。如乙方未能在甲方提出索赔通知后</w:t>
      </w:r>
      <w:r>
        <w:rPr>
          <w:rFonts w:hint="eastAsia" w:ascii="宋体" w:hAnsi="宋体" w:cs="宋体"/>
          <w:color w:val="auto"/>
          <w:kern w:val="0"/>
          <w:sz w:val="24"/>
          <w:u w:val="single"/>
        </w:rPr>
        <w:t xml:space="preserve">    </w:t>
      </w:r>
      <w:r>
        <w:rPr>
          <w:rFonts w:hint="eastAsia" w:ascii="宋体" w:hAnsi="宋体" w:cs="宋体"/>
          <w:color w:val="auto"/>
          <w:kern w:val="0"/>
          <w:sz w:val="24"/>
        </w:rPr>
        <w:t>日内或买方同意的更长时间内，按照本合同第14.2条规定的任何一种方法解决索赔事宜，甲方将从合同款中扣回索赔金额。如果这些金额不足以补偿索赔金额，甲方有权向乙方提出不足部分的补偿。</w:t>
      </w:r>
    </w:p>
    <w:p>
      <w:pPr>
        <w:spacing w:line="360" w:lineRule="auto"/>
        <w:ind w:firstLine="482" w:firstLineChars="200"/>
        <w:rPr>
          <w:rFonts w:hint="eastAsia" w:ascii="宋体" w:hAnsi="宋体" w:cs="宋体"/>
          <w:b/>
          <w:color w:val="auto"/>
          <w:kern w:val="0"/>
          <w:sz w:val="24"/>
        </w:rPr>
      </w:pPr>
      <w:r>
        <w:rPr>
          <w:rFonts w:hint="eastAsia" w:ascii="宋体" w:hAnsi="宋体" w:cs="宋体"/>
          <w:b/>
          <w:color w:val="auto"/>
          <w:kern w:val="0"/>
          <w:sz w:val="24"/>
        </w:rPr>
        <w:t>15.违约责任</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15.1 甲方无正当理由拒收货物的，甲方向乙方偿付拒收货款总值的百分之五违约金。</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15.2 甲方无故逾期验收和办理货款支付手续的,甲方按逾期付款总额每日万分之五向乙方支付违约金。</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15.3 乙方逾期交付货物的，乙方按逾期交货总额每日万分之五向甲方支付违约金。逾期超过约定日期10个工作日不能交货的，甲方有权选择同意延长交货期或解除本合同。甲方同意延长交货期的，延期交货的时间由双方别行确定。乙方仍按上述规定向甲方支付延期交货违约金。违约金由甲方从待付货款中扣除。乙方因逾期交货或因其他违约行为导致甲方解除合同的，乙方向甲方支付合同总值5%的违约金，如造成甲方损失超过违约金的，超出部分由乙方继续承担赔偿责任。</w:t>
      </w:r>
    </w:p>
    <w:p>
      <w:pPr>
        <w:spacing w:line="360" w:lineRule="auto"/>
        <w:ind w:firstLine="482" w:firstLineChars="200"/>
        <w:rPr>
          <w:rFonts w:hint="eastAsia" w:ascii="宋体" w:hAnsi="宋体" w:cs="宋体"/>
          <w:b/>
          <w:color w:val="auto"/>
          <w:kern w:val="0"/>
          <w:sz w:val="24"/>
        </w:rPr>
      </w:pPr>
      <w:r>
        <w:rPr>
          <w:rFonts w:hint="eastAsia" w:ascii="宋体" w:hAnsi="宋体" w:cs="宋体"/>
          <w:b/>
          <w:color w:val="auto"/>
          <w:kern w:val="0"/>
          <w:sz w:val="24"/>
        </w:rPr>
        <w:t>16.不可抗力事件处理</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16.2 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2" w:firstLineChars="200"/>
        <w:rPr>
          <w:rFonts w:hint="eastAsia" w:ascii="宋体" w:hAnsi="宋体" w:cs="宋体"/>
          <w:b/>
          <w:color w:val="auto"/>
          <w:kern w:val="0"/>
          <w:sz w:val="24"/>
        </w:rPr>
      </w:pPr>
      <w:r>
        <w:rPr>
          <w:rFonts w:hint="eastAsia" w:ascii="宋体" w:hAnsi="宋体" w:cs="宋体"/>
          <w:b/>
          <w:color w:val="auto"/>
          <w:kern w:val="0"/>
          <w:sz w:val="24"/>
        </w:rPr>
        <w:t>17.合同纠纷处理</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因本合同或与本合同有关的一切事项发生争议，由双方友好协商解决。协商不成的，任何一方均可选择以下方式解决：</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17.1 向甲方所在地仲裁委员会申请仲裁。</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17.2 向合同签订地人民法院提起诉讼。</w:t>
      </w:r>
    </w:p>
    <w:p>
      <w:pPr>
        <w:spacing w:line="360" w:lineRule="auto"/>
        <w:ind w:firstLine="482" w:firstLineChars="200"/>
        <w:rPr>
          <w:rFonts w:hint="eastAsia" w:ascii="宋体" w:hAnsi="宋体" w:cs="宋体"/>
          <w:b/>
          <w:color w:val="auto"/>
          <w:kern w:val="0"/>
          <w:sz w:val="24"/>
        </w:rPr>
      </w:pPr>
      <w:r>
        <w:rPr>
          <w:rFonts w:hint="eastAsia" w:ascii="宋体" w:hAnsi="宋体" w:cs="宋体"/>
          <w:b/>
          <w:color w:val="auto"/>
          <w:kern w:val="0"/>
          <w:sz w:val="24"/>
        </w:rPr>
        <w:t>18.违约解除合同</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18.1在乙方违约的情况下，甲方可向乙方发出书面通知，部分或全部终止合同，同时保留向对方追诉的权利。</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18.1.1 乙方未能在合同规定的限期或甲方同意延长的限期内提供全部或部分货物，按合同第15.3的规定可以解除合同的。</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18.1.2 乙方有转让和未经甲方同意的分包行为，按合同第7.3的规定可以解除合同的。</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18.1.3 乙方未能履行合同规定的其它主要义务的。</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18.1.4 在本合同履行过程中有腐败和欺诈行为的。</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18.2 在甲方根据上述第18.1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pPr>
        <w:spacing w:line="360" w:lineRule="auto"/>
        <w:ind w:firstLine="482" w:firstLineChars="200"/>
        <w:rPr>
          <w:rFonts w:hint="eastAsia" w:ascii="宋体" w:hAnsi="宋体" w:cs="宋体"/>
          <w:b/>
          <w:color w:val="auto"/>
          <w:kern w:val="0"/>
          <w:sz w:val="24"/>
        </w:rPr>
      </w:pPr>
      <w:r>
        <w:rPr>
          <w:rFonts w:hint="eastAsia" w:ascii="宋体" w:hAnsi="宋体" w:cs="宋体"/>
          <w:b/>
          <w:color w:val="auto"/>
          <w:kern w:val="0"/>
          <w:sz w:val="24"/>
        </w:rPr>
        <w:t>19.其他约定</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19.1 本采购项目的招标文件、中标供应商的投标文件以及相关的澄清确认函（如果有的话）均为本合同不可分割的一部分，与本合同具有同等法律效力。</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19.2 本合同未尽事宜，双方另行补充。</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19.3本合同正本一式</w:t>
      </w:r>
      <w:r>
        <w:rPr>
          <w:rFonts w:hint="eastAsia" w:ascii="宋体" w:hAnsi="宋体" w:cs="宋体"/>
          <w:color w:val="auto"/>
          <w:kern w:val="0"/>
          <w:sz w:val="24"/>
          <w:u w:val="single"/>
        </w:rPr>
        <w:t xml:space="preserve">   </w:t>
      </w:r>
      <w:r>
        <w:rPr>
          <w:rFonts w:hint="eastAsia" w:ascii="宋体" w:hAnsi="宋体" w:cs="宋体"/>
          <w:color w:val="auto"/>
          <w:kern w:val="0"/>
          <w:sz w:val="24"/>
        </w:rPr>
        <w:t>份，具有同等法律效力，甲、乙双方各执一份。自采购合同签订之日起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个工作日内，甲方按照有关规定将合同副本报同级财政部门备案。</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19.4 签定地点：</w:t>
      </w:r>
    </w:p>
    <w:p>
      <w:pPr>
        <w:pStyle w:val="11"/>
        <w:ind w:firstLine="240"/>
        <w:rPr>
          <w:rFonts w:hint="eastAsia" w:ascii="宋体" w:hAnsi="宋体" w:cs="宋体"/>
          <w:color w:val="auto"/>
          <w:kern w:val="0"/>
          <w:sz w:val="24"/>
        </w:rPr>
      </w:pPr>
    </w:p>
    <w:p>
      <w:pPr>
        <w:pStyle w:val="26"/>
        <w:ind w:firstLine="480"/>
        <w:rPr>
          <w:rFonts w:hint="eastAsia"/>
          <w:color w:val="auto"/>
        </w:rPr>
      </w:pPr>
    </w:p>
    <w:p>
      <w:pPr>
        <w:pStyle w:val="15"/>
        <w:rPr>
          <w:rFonts w:hint="eastAsia"/>
          <w:color w:val="auto"/>
        </w:rPr>
      </w:pP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甲    方：                    乙    方：</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单位地址：                    单位地址：</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法定代表人：                  法定代表人：</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委托代理人：                  委托代理人：</w:t>
      </w:r>
    </w:p>
    <w:p>
      <w:pPr>
        <w:spacing w:line="360" w:lineRule="auto"/>
        <w:ind w:firstLine="4080" w:firstLineChars="1700"/>
        <w:rPr>
          <w:rFonts w:hint="eastAsia" w:ascii="宋体" w:hAnsi="宋体" w:cs="宋体"/>
          <w:color w:val="auto"/>
          <w:kern w:val="0"/>
          <w:sz w:val="24"/>
        </w:rPr>
      </w:pPr>
      <w:r>
        <w:rPr>
          <w:rFonts w:hint="eastAsia" w:ascii="宋体" w:hAnsi="宋体" w:cs="宋体"/>
          <w:color w:val="auto"/>
          <w:kern w:val="0"/>
          <w:sz w:val="24"/>
        </w:rPr>
        <w:t>开户行:</w:t>
      </w:r>
    </w:p>
    <w:p>
      <w:pPr>
        <w:spacing w:line="360" w:lineRule="auto"/>
        <w:ind w:firstLine="4080" w:firstLineChars="1700"/>
        <w:rPr>
          <w:rFonts w:hint="eastAsia" w:ascii="宋体" w:hAnsi="宋体" w:cs="宋体"/>
          <w:color w:val="auto"/>
          <w:kern w:val="0"/>
          <w:sz w:val="24"/>
        </w:rPr>
      </w:pPr>
      <w:r>
        <w:rPr>
          <w:rFonts w:hint="eastAsia" w:ascii="宋体" w:hAnsi="宋体" w:cs="宋体"/>
          <w:color w:val="auto"/>
          <w:kern w:val="0"/>
          <w:sz w:val="24"/>
        </w:rPr>
        <w:t>账号:</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电    话：                    电    话：</w:t>
      </w:r>
    </w:p>
    <w:p>
      <w:pPr>
        <w:widowControl/>
        <w:wordWrap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签订日期：</w:t>
      </w:r>
      <w:r>
        <w:rPr>
          <w:rFonts w:hint="eastAsia" w:ascii="宋体" w:hAnsi="宋体" w:cs="宋体"/>
          <w:bCs/>
          <w:color w:val="auto"/>
          <w:kern w:val="0"/>
          <w:sz w:val="24"/>
        </w:rPr>
        <w:t xml:space="preserve"> </w:t>
      </w:r>
      <w:r>
        <w:rPr>
          <w:rFonts w:hint="eastAsia" w:ascii="宋体" w:hAnsi="宋体" w:cs="宋体"/>
          <w:color w:val="auto"/>
          <w:kern w:val="0"/>
          <w:sz w:val="24"/>
        </w:rPr>
        <w:t>年  月  日</w:t>
      </w:r>
    </w:p>
    <w:p>
      <w:pPr>
        <w:widowControl/>
        <w:wordWrap w:val="0"/>
        <w:spacing w:line="440" w:lineRule="exact"/>
        <w:jc w:val="center"/>
        <w:outlineLvl w:val="0"/>
        <w:rPr>
          <w:rFonts w:hint="eastAsia" w:ascii="宋体" w:hAnsi="宋体" w:cs="宋体"/>
          <w:b/>
          <w:color w:val="auto"/>
          <w:kern w:val="0"/>
          <w:sz w:val="32"/>
          <w:szCs w:val="32"/>
        </w:rPr>
      </w:pPr>
      <w:r>
        <w:rPr>
          <w:rFonts w:hint="eastAsia" w:ascii="宋体" w:hAnsi="宋体" w:cs="宋体"/>
          <w:b/>
          <w:color w:val="auto"/>
          <w:kern w:val="0"/>
          <w:sz w:val="32"/>
          <w:szCs w:val="32"/>
        </w:rPr>
        <w:br w:type="page"/>
      </w:r>
      <w:r>
        <w:rPr>
          <w:rFonts w:hint="eastAsia" w:ascii="宋体" w:hAnsi="宋体" w:cs="宋体"/>
          <w:b/>
          <w:color w:val="auto"/>
          <w:kern w:val="0"/>
          <w:sz w:val="32"/>
          <w:szCs w:val="32"/>
        </w:rPr>
        <w:t>第六章 附件--投标文件格式</w:t>
      </w:r>
    </w:p>
    <w:tbl>
      <w:tblPr>
        <w:tblStyle w:val="47"/>
        <w:tblpPr w:leftFromText="180" w:rightFromText="180" w:topFromText="100" w:bottomFromText="100" w:vertAnchor="text" w:horzAnchor="margin" w:tblpY="1270"/>
        <w:tblW w:w="8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8190" w:type="dxa"/>
            <w:tcBorders>
              <w:top w:val="single" w:color="auto" w:sz="4" w:space="0"/>
              <w:left w:val="single" w:color="auto" w:sz="4" w:space="0"/>
              <w:bottom w:val="single" w:color="auto" w:sz="4" w:space="0"/>
              <w:right w:val="single" w:color="auto" w:sz="4" w:space="0"/>
            </w:tcBorders>
          </w:tcPr>
          <w:p>
            <w:pPr>
              <w:wordWrap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注释： </w:t>
            </w:r>
          </w:p>
          <w:p>
            <w:pPr>
              <w:wordWrap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《投标文件格式》是投标人的部分投标文件格式和签订合同时所需文件的格式。投标人应按照这些格式文件制作投标文件。</w:t>
            </w:r>
          </w:p>
          <w:p>
            <w:pPr>
              <w:wordWrap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 </w:t>
            </w:r>
          </w:p>
        </w:tc>
      </w:tr>
    </w:tbl>
    <w:p>
      <w:pPr>
        <w:widowControl/>
        <w:wordWrap w:val="0"/>
        <w:spacing w:line="440" w:lineRule="exact"/>
        <w:jc w:val="left"/>
        <w:rPr>
          <w:rFonts w:hint="eastAsia" w:ascii="宋体" w:hAnsi="宋体" w:cs="宋体"/>
          <w:color w:val="auto"/>
          <w:kern w:val="0"/>
          <w:sz w:val="24"/>
        </w:rPr>
      </w:pPr>
    </w:p>
    <w:p>
      <w:pPr>
        <w:widowControl/>
        <w:wordWrap w:val="0"/>
        <w:snapToGrid w:val="0"/>
        <w:spacing w:line="440" w:lineRule="exact"/>
        <w:ind w:firstLine="562" w:firstLineChars="200"/>
        <w:jc w:val="center"/>
        <w:rPr>
          <w:rFonts w:hint="eastAsia" w:ascii="宋体" w:hAnsi="宋体" w:cs="宋体"/>
          <w:b/>
          <w:bCs/>
          <w:color w:val="auto"/>
          <w:kern w:val="0"/>
          <w:sz w:val="28"/>
          <w:szCs w:val="28"/>
        </w:rPr>
      </w:pPr>
      <w:r>
        <w:rPr>
          <w:rFonts w:hint="eastAsia" w:ascii="宋体" w:hAnsi="宋体" w:cs="宋体"/>
          <w:b/>
          <w:bCs/>
          <w:color w:val="auto"/>
          <w:kern w:val="0"/>
          <w:sz w:val="28"/>
          <w:szCs w:val="28"/>
        </w:rPr>
        <w:t>目    录</w:t>
      </w:r>
    </w:p>
    <w:p>
      <w:pPr>
        <w:widowControl/>
        <w:wordWrap w:val="0"/>
        <w:spacing w:line="44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 xml:space="preserve"> </w:t>
      </w:r>
    </w:p>
    <w:p>
      <w:pPr>
        <w:spacing w:line="360" w:lineRule="auto"/>
        <w:ind w:firstLine="480" w:firstLineChars="200"/>
        <w:outlineLvl w:val="0"/>
        <w:rPr>
          <w:rFonts w:hint="eastAsia" w:ascii="宋体" w:hAnsi="宋体" w:cs="宋体"/>
          <w:color w:val="auto"/>
          <w:kern w:val="0"/>
          <w:sz w:val="24"/>
        </w:rPr>
      </w:pPr>
      <w:r>
        <w:rPr>
          <w:rFonts w:hint="eastAsia" w:ascii="宋体" w:hAnsi="宋体" w:cs="宋体"/>
          <w:color w:val="auto"/>
          <w:kern w:val="0"/>
          <w:sz w:val="24"/>
        </w:rPr>
        <w:t>附件1 投标文件封面（格式）</w:t>
      </w:r>
    </w:p>
    <w:p>
      <w:pPr>
        <w:spacing w:line="360" w:lineRule="auto"/>
        <w:ind w:firstLine="480" w:firstLineChars="200"/>
        <w:outlineLvl w:val="0"/>
        <w:rPr>
          <w:rFonts w:hint="eastAsia" w:ascii="宋体" w:hAnsi="宋体" w:cs="宋体"/>
          <w:color w:val="auto"/>
          <w:kern w:val="0"/>
          <w:sz w:val="24"/>
        </w:rPr>
      </w:pPr>
      <w:r>
        <w:rPr>
          <w:rFonts w:hint="eastAsia" w:ascii="宋体" w:hAnsi="宋体" w:cs="宋体"/>
          <w:color w:val="auto"/>
          <w:kern w:val="0"/>
          <w:sz w:val="24"/>
        </w:rPr>
        <w:t>附件2 投标书（格式）</w:t>
      </w:r>
    </w:p>
    <w:p>
      <w:pPr>
        <w:spacing w:line="360" w:lineRule="auto"/>
        <w:ind w:firstLine="480" w:firstLineChars="200"/>
        <w:outlineLvl w:val="0"/>
        <w:rPr>
          <w:rFonts w:hint="eastAsia" w:ascii="宋体" w:hAnsi="宋体" w:cs="宋体"/>
          <w:color w:val="auto"/>
          <w:kern w:val="0"/>
          <w:sz w:val="24"/>
        </w:rPr>
      </w:pPr>
      <w:r>
        <w:rPr>
          <w:rFonts w:hint="eastAsia" w:ascii="宋体" w:hAnsi="宋体" w:cs="宋体"/>
          <w:color w:val="auto"/>
          <w:kern w:val="0"/>
          <w:sz w:val="24"/>
        </w:rPr>
        <w:t>附件3 开标一览表（格式）</w:t>
      </w:r>
    </w:p>
    <w:p>
      <w:pPr>
        <w:spacing w:line="360" w:lineRule="auto"/>
        <w:ind w:firstLine="480" w:firstLineChars="200"/>
        <w:outlineLvl w:val="0"/>
        <w:rPr>
          <w:rFonts w:hint="eastAsia" w:ascii="宋体" w:hAnsi="宋体" w:cs="宋体"/>
          <w:color w:val="auto"/>
          <w:kern w:val="0"/>
          <w:sz w:val="24"/>
        </w:rPr>
      </w:pPr>
      <w:r>
        <w:rPr>
          <w:rFonts w:hint="eastAsia" w:ascii="宋体" w:hAnsi="宋体" w:cs="宋体"/>
          <w:color w:val="auto"/>
          <w:kern w:val="0"/>
          <w:sz w:val="24"/>
        </w:rPr>
        <w:t>附件4 投标报价明细表（格式）</w:t>
      </w:r>
    </w:p>
    <w:p>
      <w:pPr>
        <w:spacing w:line="360" w:lineRule="auto"/>
        <w:ind w:firstLine="480" w:firstLineChars="200"/>
        <w:outlineLvl w:val="0"/>
        <w:rPr>
          <w:rFonts w:hint="eastAsia" w:ascii="宋体" w:hAnsi="宋体" w:cs="宋体"/>
          <w:color w:val="auto"/>
          <w:kern w:val="0"/>
          <w:sz w:val="24"/>
        </w:rPr>
      </w:pPr>
      <w:r>
        <w:rPr>
          <w:rFonts w:hint="eastAsia" w:ascii="宋体" w:hAnsi="宋体" w:cs="宋体"/>
          <w:color w:val="auto"/>
          <w:kern w:val="0"/>
          <w:sz w:val="24"/>
        </w:rPr>
        <w:t>附件5 供货范围清单</w:t>
      </w:r>
    </w:p>
    <w:p>
      <w:pPr>
        <w:spacing w:line="360" w:lineRule="auto"/>
        <w:ind w:firstLine="480" w:firstLineChars="200"/>
        <w:outlineLvl w:val="0"/>
        <w:rPr>
          <w:rFonts w:hint="eastAsia" w:ascii="宋体" w:hAnsi="宋体" w:cs="宋体"/>
          <w:color w:val="auto"/>
          <w:kern w:val="0"/>
          <w:sz w:val="24"/>
        </w:rPr>
      </w:pPr>
      <w:r>
        <w:rPr>
          <w:rFonts w:hint="eastAsia" w:ascii="宋体" w:hAnsi="宋体" w:cs="宋体"/>
          <w:color w:val="auto"/>
          <w:kern w:val="0"/>
          <w:sz w:val="24"/>
        </w:rPr>
        <w:t>附件6 技术响应表（格式）</w:t>
      </w:r>
    </w:p>
    <w:p>
      <w:pPr>
        <w:spacing w:line="360" w:lineRule="auto"/>
        <w:ind w:firstLine="480" w:firstLineChars="200"/>
        <w:outlineLvl w:val="0"/>
        <w:rPr>
          <w:rFonts w:hint="eastAsia" w:ascii="宋体" w:hAnsi="宋体" w:cs="宋体"/>
          <w:color w:val="auto"/>
          <w:kern w:val="0"/>
          <w:sz w:val="24"/>
        </w:rPr>
      </w:pPr>
      <w:r>
        <w:rPr>
          <w:rFonts w:hint="eastAsia" w:ascii="宋体" w:hAnsi="宋体" w:cs="宋体"/>
          <w:color w:val="auto"/>
          <w:kern w:val="0"/>
          <w:sz w:val="24"/>
        </w:rPr>
        <w:t>附件7 商务响应表（格式）</w:t>
      </w:r>
    </w:p>
    <w:p>
      <w:pPr>
        <w:spacing w:line="360" w:lineRule="auto"/>
        <w:ind w:firstLine="480" w:firstLineChars="200"/>
        <w:outlineLvl w:val="0"/>
        <w:rPr>
          <w:rFonts w:hint="eastAsia" w:ascii="宋体" w:hAnsi="宋体" w:cs="宋体"/>
          <w:color w:val="auto"/>
          <w:kern w:val="0"/>
          <w:sz w:val="24"/>
        </w:rPr>
      </w:pPr>
      <w:r>
        <w:rPr>
          <w:rFonts w:hint="eastAsia" w:ascii="宋体" w:hAnsi="宋体" w:cs="宋体"/>
          <w:color w:val="auto"/>
          <w:kern w:val="0"/>
          <w:sz w:val="24"/>
        </w:rPr>
        <w:t>附件8 法定代表人身份证明（格式）</w:t>
      </w:r>
    </w:p>
    <w:p>
      <w:pPr>
        <w:spacing w:line="360" w:lineRule="auto"/>
        <w:ind w:firstLine="480" w:firstLineChars="200"/>
        <w:outlineLvl w:val="0"/>
        <w:rPr>
          <w:rFonts w:hint="eastAsia" w:ascii="宋体" w:hAnsi="宋体" w:cs="宋体"/>
          <w:color w:val="auto"/>
          <w:kern w:val="0"/>
          <w:sz w:val="24"/>
        </w:rPr>
      </w:pPr>
      <w:r>
        <w:rPr>
          <w:rFonts w:hint="eastAsia" w:ascii="宋体" w:hAnsi="宋体" w:cs="宋体"/>
          <w:color w:val="auto"/>
          <w:kern w:val="0"/>
          <w:sz w:val="24"/>
        </w:rPr>
        <w:t>附件9</w:t>
      </w:r>
      <w:r>
        <w:rPr>
          <w:rFonts w:ascii="宋体" w:hAnsi="宋体" w:cs="宋体"/>
          <w:color w:val="auto"/>
          <w:kern w:val="0"/>
          <w:sz w:val="24"/>
        </w:rPr>
        <w:t xml:space="preserve"> </w:t>
      </w:r>
      <w:r>
        <w:rPr>
          <w:rFonts w:hint="eastAsia" w:ascii="宋体" w:hAnsi="宋体" w:cs="宋体"/>
          <w:color w:val="auto"/>
          <w:kern w:val="0"/>
          <w:sz w:val="24"/>
        </w:rPr>
        <w:t>法定代表人授权书（格式）</w:t>
      </w:r>
    </w:p>
    <w:p>
      <w:pPr>
        <w:spacing w:line="360" w:lineRule="auto"/>
        <w:ind w:firstLine="480" w:firstLineChars="200"/>
        <w:outlineLvl w:val="0"/>
        <w:rPr>
          <w:rFonts w:hint="eastAsia" w:ascii="宋体" w:hAnsi="宋体" w:cs="宋体"/>
          <w:color w:val="auto"/>
          <w:kern w:val="0"/>
          <w:sz w:val="24"/>
        </w:rPr>
      </w:pPr>
      <w:r>
        <w:rPr>
          <w:rFonts w:hint="eastAsia" w:ascii="宋体" w:hAnsi="宋体" w:cs="宋体"/>
          <w:color w:val="auto"/>
          <w:kern w:val="0"/>
          <w:sz w:val="24"/>
        </w:rPr>
        <w:t>附件10 证明文件</w:t>
      </w:r>
    </w:p>
    <w:p>
      <w:pPr>
        <w:spacing w:line="360" w:lineRule="auto"/>
        <w:ind w:firstLine="480" w:firstLineChars="200"/>
        <w:outlineLvl w:val="0"/>
        <w:rPr>
          <w:rFonts w:hint="eastAsia" w:ascii="宋体" w:hAnsi="宋体" w:cs="宋体"/>
          <w:color w:val="auto"/>
          <w:kern w:val="0"/>
          <w:sz w:val="24"/>
        </w:rPr>
      </w:pPr>
      <w:r>
        <w:rPr>
          <w:rFonts w:hint="eastAsia" w:ascii="宋体" w:hAnsi="宋体" w:cs="宋体"/>
          <w:color w:val="auto"/>
          <w:kern w:val="0"/>
          <w:sz w:val="24"/>
        </w:rPr>
        <w:t>附件11 抵制商业贿赂承诺（格式）</w:t>
      </w:r>
    </w:p>
    <w:p>
      <w:pPr>
        <w:widowControl/>
        <w:wordWrap w:val="0"/>
        <w:snapToGrid w:val="0"/>
        <w:spacing w:line="440" w:lineRule="exact"/>
        <w:ind w:firstLine="470" w:firstLineChars="196"/>
        <w:rPr>
          <w:rFonts w:hint="eastAsia" w:ascii="宋体" w:hAnsi="宋体" w:cs="宋体"/>
          <w:color w:val="auto"/>
          <w:kern w:val="0"/>
          <w:sz w:val="24"/>
        </w:rPr>
      </w:pPr>
    </w:p>
    <w:p>
      <w:pPr>
        <w:widowControl/>
        <w:wordWrap w:val="0"/>
        <w:snapToGrid w:val="0"/>
        <w:spacing w:line="440" w:lineRule="exact"/>
        <w:ind w:firstLine="470" w:firstLineChars="196"/>
        <w:rPr>
          <w:rFonts w:hint="eastAsia" w:ascii="宋体" w:hAnsi="宋体" w:cs="宋体"/>
          <w:color w:val="auto"/>
          <w:kern w:val="0"/>
          <w:sz w:val="24"/>
        </w:rPr>
      </w:pPr>
    </w:p>
    <w:p>
      <w:pPr>
        <w:widowControl/>
        <w:wordWrap w:val="0"/>
        <w:spacing w:line="440" w:lineRule="exact"/>
        <w:ind w:firstLine="480" w:firstLineChars="200"/>
        <w:jc w:val="left"/>
        <w:rPr>
          <w:rFonts w:hint="eastAsia" w:ascii="宋体" w:hAnsi="宋体" w:cs="宋体"/>
          <w:color w:val="auto"/>
          <w:kern w:val="0"/>
          <w:sz w:val="24"/>
        </w:rPr>
        <w:sectPr>
          <w:footerReference r:id="rId3" w:type="default"/>
          <w:pgSz w:w="11906" w:h="16838"/>
          <w:pgMar w:top="1440" w:right="1701" w:bottom="1440" w:left="1701" w:header="851" w:footer="992" w:gutter="0"/>
          <w:pgNumType w:fmt="numberInDash" w:start="1"/>
          <w:cols w:space="720" w:num="1"/>
          <w:docGrid w:type="lines" w:linePitch="312" w:charSpace="0"/>
        </w:sectPr>
      </w:pPr>
    </w:p>
    <w:p>
      <w:pPr>
        <w:wordWrap w:val="0"/>
        <w:spacing w:line="440" w:lineRule="exact"/>
        <w:outlineLvl w:val="0"/>
        <w:rPr>
          <w:rFonts w:hint="eastAsia" w:ascii="宋体" w:hAnsi="宋体" w:cs="宋体"/>
          <w:b/>
          <w:bCs/>
          <w:color w:val="auto"/>
          <w:kern w:val="0"/>
          <w:sz w:val="24"/>
        </w:rPr>
      </w:pPr>
      <w:r>
        <w:rPr>
          <w:rFonts w:hint="eastAsia" w:ascii="宋体" w:hAnsi="宋体" w:cs="宋体"/>
          <w:b/>
          <w:bCs/>
          <w:color w:val="auto"/>
          <w:kern w:val="0"/>
          <w:sz w:val="24"/>
        </w:rPr>
        <w:t xml:space="preserve">附件1                      </w:t>
      </w:r>
    </w:p>
    <w:p>
      <w:pPr>
        <w:wordWrap w:val="0"/>
        <w:spacing w:line="440" w:lineRule="exact"/>
        <w:jc w:val="center"/>
        <w:rPr>
          <w:rFonts w:hint="eastAsia" w:ascii="宋体" w:hAnsi="宋体" w:cs="宋体"/>
          <w:b/>
          <w:bCs/>
          <w:color w:val="auto"/>
          <w:kern w:val="0"/>
          <w:sz w:val="24"/>
        </w:rPr>
      </w:pPr>
      <w:r>
        <w:rPr>
          <w:rFonts w:hint="eastAsia" w:ascii="宋体" w:hAnsi="宋体" w:cs="宋体"/>
          <w:b/>
          <w:bCs/>
          <w:color w:val="auto"/>
          <w:kern w:val="0"/>
          <w:sz w:val="24"/>
        </w:rPr>
        <w:t>投标文件封面（格式）</w:t>
      </w:r>
    </w:p>
    <w:p>
      <w:pPr>
        <w:wordWrap w:val="0"/>
        <w:spacing w:line="440" w:lineRule="exact"/>
        <w:rPr>
          <w:rFonts w:hint="eastAsia" w:ascii="宋体" w:hAnsi="宋体" w:cs="宋体"/>
          <w:b/>
          <w:bCs/>
          <w:color w:val="auto"/>
          <w:kern w:val="0"/>
          <w:sz w:val="24"/>
        </w:rPr>
      </w:pPr>
      <w:r>
        <w:rPr>
          <w:rFonts w:hint="eastAsia" w:ascii="宋体" w:hAnsi="宋体" w:cs="宋体"/>
          <w:b/>
          <w:bCs/>
          <w:color w:val="auto"/>
          <w:kern w:val="0"/>
          <w:sz w:val="24"/>
        </w:rPr>
        <w:t xml:space="preserve"> </w:t>
      </w:r>
    </w:p>
    <w:p>
      <w:pPr>
        <w:wordWrap w:val="0"/>
        <w:spacing w:line="440" w:lineRule="exact"/>
        <w:jc w:val="center"/>
        <w:rPr>
          <w:rFonts w:hint="eastAsia" w:ascii="宋体" w:hAnsi="宋体" w:cs="宋体"/>
          <w:b/>
          <w:bCs/>
          <w:color w:val="auto"/>
          <w:kern w:val="0"/>
          <w:sz w:val="24"/>
        </w:rPr>
      </w:pPr>
    </w:p>
    <w:p>
      <w:pPr>
        <w:wordWrap w:val="0"/>
        <w:spacing w:line="440" w:lineRule="exact"/>
        <w:jc w:val="center"/>
        <w:rPr>
          <w:rFonts w:hint="eastAsia" w:ascii="宋体" w:hAnsi="宋体" w:cs="宋体"/>
          <w:b/>
          <w:bCs/>
          <w:color w:val="auto"/>
          <w:kern w:val="0"/>
          <w:sz w:val="24"/>
        </w:rPr>
      </w:pPr>
    </w:p>
    <w:p>
      <w:pPr>
        <w:wordWrap w:val="0"/>
        <w:spacing w:line="440" w:lineRule="exact"/>
        <w:jc w:val="center"/>
        <w:rPr>
          <w:rFonts w:hint="eastAsia" w:ascii="宋体" w:hAnsi="宋体" w:cs="宋体"/>
          <w:b/>
          <w:bCs/>
          <w:color w:val="auto"/>
          <w:kern w:val="0"/>
          <w:sz w:val="24"/>
        </w:rPr>
      </w:pPr>
      <w:r>
        <w:rPr>
          <w:rFonts w:hint="eastAsia" w:ascii="宋体" w:hAnsi="宋体" w:cs="宋体"/>
          <w:b/>
          <w:bCs/>
          <w:color w:val="auto"/>
          <w:kern w:val="0"/>
          <w:sz w:val="24"/>
        </w:rPr>
        <w:t>政府采购项目</w:t>
      </w:r>
    </w:p>
    <w:p>
      <w:pPr>
        <w:wordWrap w:val="0"/>
        <w:spacing w:line="440" w:lineRule="exact"/>
        <w:jc w:val="center"/>
        <w:rPr>
          <w:rFonts w:hint="eastAsia" w:ascii="宋体" w:hAnsi="宋体" w:cs="宋体"/>
          <w:b/>
          <w:bCs/>
          <w:color w:val="auto"/>
          <w:kern w:val="0"/>
          <w:sz w:val="24"/>
        </w:rPr>
      </w:pPr>
    </w:p>
    <w:p>
      <w:pPr>
        <w:wordWrap w:val="0"/>
        <w:spacing w:line="440" w:lineRule="exact"/>
        <w:jc w:val="center"/>
        <w:rPr>
          <w:rFonts w:hint="eastAsia" w:ascii="宋体" w:hAnsi="宋体" w:cs="宋体"/>
          <w:b/>
          <w:bCs/>
          <w:color w:val="auto"/>
          <w:kern w:val="0"/>
          <w:sz w:val="24"/>
        </w:rPr>
      </w:pPr>
    </w:p>
    <w:p>
      <w:pPr>
        <w:wordWrap w:val="0"/>
        <w:spacing w:line="440" w:lineRule="exact"/>
        <w:jc w:val="center"/>
        <w:rPr>
          <w:rFonts w:hint="eastAsia" w:ascii="宋体" w:hAnsi="宋体" w:cs="宋体"/>
          <w:b/>
          <w:bCs/>
          <w:color w:val="auto"/>
          <w:kern w:val="0"/>
          <w:sz w:val="24"/>
        </w:rPr>
      </w:pPr>
    </w:p>
    <w:p>
      <w:pPr>
        <w:wordWrap w:val="0"/>
        <w:spacing w:line="440" w:lineRule="exact"/>
        <w:jc w:val="center"/>
        <w:rPr>
          <w:rFonts w:hint="eastAsia" w:ascii="宋体" w:hAnsi="宋体" w:cs="宋体"/>
          <w:b/>
          <w:color w:val="auto"/>
          <w:kern w:val="0"/>
          <w:sz w:val="24"/>
        </w:rPr>
      </w:pPr>
      <w:r>
        <w:rPr>
          <w:rFonts w:hint="eastAsia" w:ascii="宋体" w:hAnsi="宋体" w:cs="宋体"/>
          <w:b/>
          <w:bCs/>
          <w:color w:val="auto"/>
          <w:kern w:val="0"/>
          <w:sz w:val="24"/>
        </w:rPr>
        <w:t>投 标 文 件</w:t>
      </w:r>
    </w:p>
    <w:p>
      <w:pPr>
        <w:widowControl/>
        <w:wordWrap w:val="0"/>
        <w:spacing w:line="440" w:lineRule="exact"/>
        <w:ind w:firstLine="482" w:firstLineChars="200"/>
        <w:jc w:val="center"/>
        <w:rPr>
          <w:rFonts w:hint="eastAsia" w:ascii="宋体" w:hAnsi="宋体" w:cs="宋体"/>
          <w:b/>
          <w:color w:val="auto"/>
          <w:kern w:val="0"/>
          <w:sz w:val="24"/>
        </w:rPr>
      </w:pPr>
      <w:r>
        <w:rPr>
          <w:rFonts w:hint="eastAsia" w:ascii="宋体" w:hAnsi="宋体" w:cs="宋体"/>
          <w:b/>
          <w:color w:val="auto"/>
          <w:kern w:val="0"/>
          <w:sz w:val="24"/>
        </w:rPr>
        <w:t xml:space="preserve"> </w:t>
      </w:r>
    </w:p>
    <w:p>
      <w:pPr>
        <w:widowControl/>
        <w:wordWrap w:val="0"/>
        <w:spacing w:line="440" w:lineRule="exact"/>
        <w:ind w:firstLine="482" w:firstLineChars="200"/>
        <w:jc w:val="center"/>
        <w:rPr>
          <w:rFonts w:hint="eastAsia" w:ascii="宋体" w:hAnsi="宋体" w:cs="宋体"/>
          <w:b/>
          <w:color w:val="auto"/>
          <w:kern w:val="0"/>
          <w:sz w:val="24"/>
        </w:rPr>
      </w:pPr>
      <w:r>
        <w:rPr>
          <w:rFonts w:hint="eastAsia" w:ascii="宋体" w:hAnsi="宋体" w:cs="宋体"/>
          <w:b/>
          <w:color w:val="auto"/>
          <w:kern w:val="0"/>
          <w:sz w:val="24"/>
        </w:rPr>
        <w:t xml:space="preserve"> </w:t>
      </w:r>
    </w:p>
    <w:p>
      <w:pPr>
        <w:wordWrap w:val="0"/>
        <w:spacing w:line="440" w:lineRule="exact"/>
        <w:jc w:val="center"/>
        <w:rPr>
          <w:rFonts w:hint="eastAsia" w:ascii="宋体" w:hAnsi="宋体" w:cs="宋体"/>
          <w:b/>
          <w:color w:val="auto"/>
          <w:kern w:val="0"/>
          <w:sz w:val="24"/>
        </w:rPr>
      </w:pPr>
      <w:r>
        <w:rPr>
          <w:rFonts w:hint="eastAsia" w:ascii="宋体" w:hAnsi="宋体" w:cs="宋体"/>
          <w:b/>
          <w:color w:val="auto"/>
          <w:kern w:val="0"/>
          <w:sz w:val="24"/>
        </w:rPr>
        <w:t xml:space="preserve"> </w:t>
      </w:r>
    </w:p>
    <w:p>
      <w:pPr>
        <w:widowControl/>
        <w:wordWrap w:val="0"/>
        <w:spacing w:line="440" w:lineRule="exact"/>
        <w:ind w:firstLine="482" w:firstLineChars="200"/>
        <w:jc w:val="center"/>
        <w:rPr>
          <w:rFonts w:hint="eastAsia" w:ascii="宋体" w:hAnsi="宋体" w:cs="宋体"/>
          <w:b/>
          <w:color w:val="auto"/>
          <w:kern w:val="0"/>
          <w:sz w:val="24"/>
        </w:rPr>
      </w:pPr>
      <w:r>
        <w:rPr>
          <w:rFonts w:hint="eastAsia" w:ascii="宋体" w:hAnsi="宋体" w:cs="宋体"/>
          <w:b/>
          <w:color w:val="auto"/>
          <w:kern w:val="0"/>
          <w:sz w:val="24"/>
        </w:rPr>
        <w:t xml:space="preserve"> </w:t>
      </w:r>
    </w:p>
    <w:p>
      <w:pPr>
        <w:widowControl/>
        <w:wordWrap w:val="0"/>
        <w:spacing w:line="440" w:lineRule="exact"/>
        <w:ind w:firstLine="482" w:firstLineChars="200"/>
        <w:jc w:val="center"/>
        <w:rPr>
          <w:rFonts w:hint="eastAsia" w:ascii="宋体" w:hAnsi="宋体" w:cs="宋体"/>
          <w:b/>
          <w:color w:val="auto"/>
          <w:kern w:val="0"/>
          <w:sz w:val="24"/>
        </w:rPr>
      </w:pPr>
      <w:r>
        <w:rPr>
          <w:rFonts w:hint="eastAsia" w:ascii="宋体" w:hAnsi="宋体" w:cs="宋体"/>
          <w:b/>
          <w:color w:val="auto"/>
          <w:kern w:val="0"/>
          <w:sz w:val="24"/>
        </w:rPr>
        <w:t xml:space="preserve"> </w:t>
      </w:r>
    </w:p>
    <w:p>
      <w:pPr>
        <w:widowControl/>
        <w:wordWrap w:val="0"/>
        <w:spacing w:line="440" w:lineRule="exact"/>
        <w:ind w:firstLine="482" w:firstLineChars="200"/>
        <w:jc w:val="center"/>
        <w:rPr>
          <w:rFonts w:hint="eastAsia" w:ascii="宋体" w:hAnsi="宋体" w:cs="宋体"/>
          <w:b/>
          <w:color w:val="auto"/>
          <w:kern w:val="0"/>
          <w:sz w:val="24"/>
        </w:rPr>
      </w:pPr>
      <w:r>
        <w:rPr>
          <w:rFonts w:hint="eastAsia" w:ascii="宋体" w:hAnsi="宋体" w:cs="宋体"/>
          <w:b/>
          <w:color w:val="auto"/>
          <w:kern w:val="0"/>
          <w:sz w:val="24"/>
        </w:rPr>
        <w:t xml:space="preserve"> </w:t>
      </w:r>
    </w:p>
    <w:p>
      <w:pPr>
        <w:widowControl/>
        <w:wordWrap w:val="0"/>
        <w:spacing w:line="440" w:lineRule="exact"/>
        <w:ind w:firstLine="482" w:firstLineChars="200"/>
        <w:jc w:val="center"/>
        <w:rPr>
          <w:rFonts w:hint="eastAsia" w:ascii="宋体" w:hAnsi="宋体" w:cs="宋体"/>
          <w:b/>
          <w:color w:val="auto"/>
          <w:kern w:val="0"/>
          <w:sz w:val="24"/>
        </w:rPr>
      </w:pPr>
      <w:r>
        <w:rPr>
          <w:rFonts w:hint="eastAsia" w:ascii="宋体" w:hAnsi="宋体" w:cs="宋体"/>
          <w:b/>
          <w:color w:val="auto"/>
          <w:kern w:val="0"/>
          <w:sz w:val="24"/>
        </w:rPr>
        <w:t xml:space="preserve"> </w:t>
      </w:r>
    </w:p>
    <w:p>
      <w:pPr>
        <w:widowControl/>
        <w:wordWrap w:val="0"/>
        <w:spacing w:line="440" w:lineRule="exact"/>
        <w:ind w:firstLine="1190" w:firstLineChars="494"/>
        <w:jc w:val="left"/>
        <w:rPr>
          <w:rFonts w:hint="eastAsia" w:ascii="宋体" w:hAnsi="宋体" w:cs="宋体"/>
          <w:b/>
          <w:bCs/>
          <w:color w:val="auto"/>
          <w:kern w:val="0"/>
          <w:sz w:val="24"/>
        </w:rPr>
      </w:pPr>
      <w:r>
        <w:rPr>
          <w:rFonts w:hint="eastAsia" w:ascii="宋体" w:hAnsi="宋体" w:cs="宋体"/>
          <w:b/>
          <w:bCs/>
          <w:color w:val="auto"/>
          <w:kern w:val="0"/>
          <w:sz w:val="24"/>
        </w:rPr>
        <w:t xml:space="preserve">项 目 名 称：               </w:t>
      </w:r>
    </w:p>
    <w:p>
      <w:pPr>
        <w:widowControl/>
        <w:wordWrap w:val="0"/>
        <w:spacing w:line="440" w:lineRule="exact"/>
        <w:ind w:firstLine="1190" w:firstLineChars="494"/>
        <w:jc w:val="left"/>
        <w:rPr>
          <w:rFonts w:hint="eastAsia" w:ascii="宋体" w:hAnsi="宋体" w:cs="宋体"/>
          <w:b/>
          <w:bCs/>
          <w:color w:val="auto"/>
          <w:kern w:val="0"/>
          <w:sz w:val="24"/>
        </w:rPr>
      </w:pPr>
    </w:p>
    <w:p>
      <w:pPr>
        <w:widowControl/>
        <w:wordWrap w:val="0"/>
        <w:spacing w:line="440" w:lineRule="exact"/>
        <w:ind w:firstLine="1190" w:firstLineChars="494"/>
        <w:jc w:val="left"/>
        <w:rPr>
          <w:rFonts w:hint="eastAsia" w:ascii="宋体" w:hAnsi="宋体" w:cs="宋体"/>
          <w:b/>
          <w:bCs/>
          <w:color w:val="auto"/>
          <w:kern w:val="0"/>
          <w:sz w:val="24"/>
        </w:rPr>
      </w:pPr>
      <w:r>
        <w:rPr>
          <w:rFonts w:hint="eastAsia" w:ascii="宋体" w:hAnsi="宋体" w:cs="宋体"/>
          <w:b/>
          <w:bCs/>
          <w:color w:val="auto"/>
          <w:kern w:val="0"/>
          <w:sz w:val="24"/>
        </w:rPr>
        <w:t>项 目 编 号：</w:t>
      </w:r>
    </w:p>
    <w:p>
      <w:pPr>
        <w:widowControl/>
        <w:wordWrap w:val="0"/>
        <w:spacing w:line="440" w:lineRule="exact"/>
        <w:ind w:firstLine="1190" w:firstLineChars="494"/>
        <w:jc w:val="left"/>
        <w:rPr>
          <w:rFonts w:hint="eastAsia" w:ascii="宋体" w:hAnsi="宋体" w:cs="宋体"/>
          <w:b/>
          <w:bCs/>
          <w:color w:val="auto"/>
          <w:kern w:val="0"/>
          <w:sz w:val="24"/>
        </w:rPr>
      </w:pPr>
    </w:p>
    <w:p>
      <w:pPr>
        <w:widowControl/>
        <w:wordWrap w:val="0"/>
        <w:spacing w:line="440" w:lineRule="exact"/>
        <w:ind w:firstLine="1190" w:firstLineChars="494"/>
        <w:jc w:val="left"/>
        <w:rPr>
          <w:rFonts w:hint="eastAsia" w:ascii="宋体" w:hAnsi="宋体" w:cs="宋体"/>
          <w:b/>
          <w:bCs/>
          <w:color w:val="auto"/>
          <w:kern w:val="0"/>
          <w:sz w:val="24"/>
        </w:rPr>
      </w:pPr>
      <w:r>
        <w:rPr>
          <w:rFonts w:hint="eastAsia" w:ascii="宋体" w:hAnsi="宋体" w:cs="宋体"/>
          <w:b/>
          <w:bCs/>
          <w:color w:val="auto"/>
          <w:kern w:val="0"/>
          <w:sz w:val="24"/>
        </w:rPr>
        <w:t xml:space="preserve">         </w:t>
      </w:r>
    </w:p>
    <w:p>
      <w:pPr>
        <w:widowControl/>
        <w:wordWrap w:val="0"/>
        <w:spacing w:line="440" w:lineRule="exact"/>
        <w:ind w:firstLine="482" w:firstLineChars="200"/>
        <w:jc w:val="left"/>
        <w:rPr>
          <w:rFonts w:hint="eastAsia" w:ascii="宋体" w:hAnsi="宋体" w:cs="宋体"/>
          <w:b/>
          <w:bCs/>
          <w:color w:val="auto"/>
          <w:kern w:val="0"/>
          <w:sz w:val="24"/>
        </w:rPr>
      </w:pPr>
      <w:r>
        <w:rPr>
          <w:rFonts w:hint="eastAsia" w:ascii="宋体" w:hAnsi="宋体" w:cs="宋体"/>
          <w:b/>
          <w:bCs/>
          <w:color w:val="auto"/>
          <w:kern w:val="0"/>
          <w:sz w:val="24"/>
        </w:rPr>
        <w:t xml:space="preserve"> </w:t>
      </w:r>
    </w:p>
    <w:p>
      <w:pPr>
        <w:widowControl/>
        <w:wordWrap w:val="0"/>
        <w:spacing w:line="440" w:lineRule="exact"/>
        <w:ind w:firstLine="482" w:firstLineChars="200"/>
        <w:jc w:val="left"/>
        <w:rPr>
          <w:rFonts w:hint="eastAsia" w:ascii="宋体" w:hAnsi="宋体" w:cs="宋体"/>
          <w:b/>
          <w:color w:val="auto"/>
          <w:kern w:val="0"/>
          <w:sz w:val="24"/>
        </w:rPr>
      </w:pPr>
      <w:r>
        <w:rPr>
          <w:rFonts w:hint="eastAsia" w:ascii="宋体" w:hAnsi="宋体" w:cs="宋体"/>
          <w:b/>
          <w:color w:val="auto"/>
          <w:kern w:val="0"/>
          <w:sz w:val="24"/>
        </w:rPr>
        <w:t xml:space="preserve"> </w:t>
      </w:r>
    </w:p>
    <w:p>
      <w:pPr>
        <w:widowControl/>
        <w:wordWrap w:val="0"/>
        <w:spacing w:line="440" w:lineRule="exact"/>
        <w:ind w:firstLine="482" w:firstLineChars="200"/>
        <w:jc w:val="left"/>
        <w:rPr>
          <w:rFonts w:hint="eastAsia" w:ascii="宋体" w:hAnsi="宋体" w:cs="宋体"/>
          <w:b/>
          <w:color w:val="auto"/>
          <w:kern w:val="0"/>
          <w:sz w:val="24"/>
        </w:rPr>
      </w:pPr>
      <w:r>
        <w:rPr>
          <w:rFonts w:hint="eastAsia" w:ascii="宋体" w:hAnsi="宋体" w:cs="宋体"/>
          <w:b/>
          <w:color w:val="auto"/>
          <w:kern w:val="0"/>
          <w:sz w:val="24"/>
        </w:rPr>
        <w:t xml:space="preserve"> </w:t>
      </w:r>
    </w:p>
    <w:p>
      <w:pPr>
        <w:widowControl/>
        <w:wordWrap w:val="0"/>
        <w:spacing w:line="440" w:lineRule="exact"/>
        <w:ind w:firstLine="482" w:firstLineChars="200"/>
        <w:jc w:val="left"/>
        <w:rPr>
          <w:rFonts w:hint="eastAsia" w:ascii="宋体" w:hAnsi="宋体" w:cs="宋体"/>
          <w:b/>
          <w:color w:val="auto"/>
          <w:kern w:val="0"/>
          <w:sz w:val="24"/>
        </w:rPr>
      </w:pPr>
      <w:r>
        <w:rPr>
          <w:rFonts w:hint="eastAsia" w:ascii="宋体" w:hAnsi="宋体" w:cs="宋体"/>
          <w:b/>
          <w:color w:val="auto"/>
          <w:kern w:val="0"/>
          <w:sz w:val="24"/>
        </w:rPr>
        <w:t xml:space="preserve">      法定代表人或委托代理人（签字或盖章）：</w:t>
      </w:r>
    </w:p>
    <w:p>
      <w:pPr>
        <w:widowControl/>
        <w:wordWrap w:val="0"/>
        <w:spacing w:line="440" w:lineRule="exact"/>
        <w:ind w:firstLine="1205" w:firstLineChars="500"/>
        <w:jc w:val="left"/>
        <w:rPr>
          <w:rFonts w:hint="eastAsia" w:ascii="宋体" w:hAnsi="宋体" w:cs="宋体"/>
          <w:b/>
          <w:bCs/>
          <w:color w:val="auto"/>
          <w:kern w:val="0"/>
          <w:sz w:val="24"/>
        </w:rPr>
      </w:pPr>
      <w:r>
        <w:rPr>
          <w:rFonts w:hint="eastAsia" w:ascii="宋体" w:hAnsi="宋体" w:cs="宋体"/>
          <w:b/>
          <w:bCs/>
          <w:color w:val="auto"/>
          <w:kern w:val="0"/>
          <w:sz w:val="24"/>
        </w:rPr>
        <w:t xml:space="preserve">投标人名称 ：       （全称并加盖公章）    </w:t>
      </w:r>
    </w:p>
    <w:p>
      <w:pPr>
        <w:widowControl/>
        <w:wordWrap w:val="0"/>
        <w:spacing w:line="440" w:lineRule="exact"/>
        <w:ind w:firstLine="1190" w:firstLineChars="494"/>
        <w:jc w:val="left"/>
        <w:rPr>
          <w:rFonts w:hint="eastAsia" w:ascii="宋体" w:hAnsi="宋体" w:cs="宋体"/>
          <w:b/>
          <w:color w:val="auto"/>
          <w:kern w:val="0"/>
          <w:sz w:val="24"/>
          <w:u w:val="single"/>
        </w:rPr>
      </w:pPr>
      <w:r>
        <w:rPr>
          <w:rFonts w:hint="eastAsia" w:ascii="宋体" w:hAnsi="宋体" w:cs="宋体"/>
          <w:b/>
          <w:bCs/>
          <w:color w:val="auto"/>
          <w:kern w:val="0"/>
          <w:sz w:val="24"/>
        </w:rPr>
        <w:t xml:space="preserve">日      期 ： </w:t>
      </w:r>
      <w:r>
        <w:rPr>
          <w:rFonts w:hint="eastAsia" w:ascii="宋体" w:hAnsi="宋体" w:cs="宋体"/>
          <w:b/>
          <w:bCs/>
          <w:color w:val="auto"/>
          <w:kern w:val="0"/>
          <w:sz w:val="24"/>
          <w:u w:val="single"/>
        </w:rPr>
        <w:t xml:space="preserve"> </w:t>
      </w:r>
      <w:r>
        <w:rPr>
          <w:rFonts w:hint="eastAsia" w:ascii="宋体" w:hAnsi="宋体" w:cs="宋体"/>
          <w:b/>
          <w:color w:val="auto"/>
          <w:kern w:val="0"/>
          <w:sz w:val="24"/>
          <w:u w:val="single"/>
        </w:rPr>
        <w:t xml:space="preserve">             </w:t>
      </w:r>
    </w:p>
    <w:p>
      <w:pPr>
        <w:widowControl/>
        <w:wordWrap w:val="0"/>
        <w:spacing w:line="440" w:lineRule="exact"/>
        <w:ind w:firstLine="482" w:firstLineChars="200"/>
        <w:jc w:val="left"/>
        <w:rPr>
          <w:rFonts w:hint="eastAsia" w:ascii="宋体" w:hAnsi="宋体" w:cs="宋体"/>
          <w:b/>
          <w:color w:val="auto"/>
          <w:kern w:val="0"/>
          <w:sz w:val="24"/>
        </w:rPr>
      </w:pPr>
      <w:r>
        <w:rPr>
          <w:rFonts w:hint="eastAsia" w:ascii="宋体" w:hAnsi="宋体" w:cs="宋体"/>
          <w:b/>
          <w:color w:val="auto"/>
          <w:kern w:val="0"/>
          <w:sz w:val="24"/>
        </w:rPr>
        <w:t xml:space="preserve"> </w:t>
      </w:r>
    </w:p>
    <w:p>
      <w:pPr>
        <w:widowControl/>
        <w:wordWrap w:val="0"/>
        <w:spacing w:line="440" w:lineRule="exact"/>
        <w:ind w:firstLine="482" w:firstLineChars="200"/>
        <w:jc w:val="left"/>
        <w:rPr>
          <w:rFonts w:hint="eastAsia" w:ascii="宋体" w:hAnsi="宋体" w:cs="宋体"/>
          <w:b/>
          <w:color w:val="auto"/>
          <w:kern w:val="0"/>
          <w:sz w:val="24"/>
        </w:rPr>
      </w:pPr>
      <w:r>
        <w:rPr>
          <w:rFonts w:hint="eastAsia" w:ascii="宋体" w:hAnsi="宋体" w:cs="宋体"/>
          <w:b/>
          <w:color w:val="auto"/>
          <w:kern w:val="0"/>
          <w:sz w:val="24"/>
        </w:rPr>
        <w:t xml:space="preserve"> </w:t>
      </w:r>
    </w:p>
    <w:p>
      <w:pPr>
        <w:wordWrap w:val="0"/>
        <w:spacing w:line="440" w:lineRule="exact"/>
        <w:rPr>
          <w:rFonts w:hint="eastAsia" w:ascii="宋体" w:hAnsi="宋体" w:cs="宋体"/>
          <w:b/>
          <w:bCs/>
          <w:color w:val="auto"/>
          <w:kern w:val="0"/>
          <w:sz w:val="24"/>
        </w:rPr>
        <w:sectPr>
          <w:footerReference r:id="rId4" w:type="default"/>
          <w:pgSz w:w="11906" w:h="16838"/>
          <w:pgMar w:top="1440" w:right="1800" w:bottom="1440" w:left="1800" w:header="851" w:footer="992" w:gutter="0"/>
          <w:pgNumType w:fmt="numberInDash"/>
          <w:cols w:space="720" w:num="1"/>
          <w:docGrid w:type="lines" w:linePitch="312" w:charSpace="0"/>
        </w:sectPr>
      </w:pPr>
    </w:p>
    <w:p>
      <w:pPr>
        <w:wordWrap w:val="0"/>
        <w:spacing w:line="440" w:lineRule="exact"/>
        <w:outlineLvl w:val="0"/>
        <w:rPr>
          <w:rFonts w:hint="eastAsia" w:ascii="宋体" w:hAnsi="宋体" w:cs="宋体"/>
          <w:b/>
          <w:bCs/>
          <w:color w:val="auto"/>
          <w:kern w:val="0"/>
          <w:sz w:val="24"/>
        </w:rPr>
      </w:pPr>
      <w:r>
        <w:rPr>
          <w:rFonts w:hint="eastAsia" w:ascii="宋体" w:hAnsi="宋体" w:cs="宋体"/>
          <w:b/>
          <w:bCs/>
          <w:color w:val="auto"/>
          <w:kern w:val="0"/>
          <w:sz w:val="24"/>
        </w:rPr>
        <w:t xml:space="preserve">附件2 </w:t>
      </w:r>
    </w:p>
    <w:p>
      <w:pPr>
        <w:wordWrap w:val="0"/>
        <w:spacing w:line="440" w:lineRule="exact"/>
        <w:jc w:val="center"/>
        <w:rPr>
          <w:rFonts w:hint="eastAsia" w:ascii="宋体" w:hAnsi="宋体" w:cs="宋体"/>
          <w:b/>
          <w:bCs/>
          <w:color w:val="auto"/>
          <w:kern w:val="0"/>
          <w:sz w:val="24"/>
        </w:rPr>
      </w:pPr>
      <w:r>
        <w:rPr>
          <w:rFonts w:hint="eastAsia" w:ascii="宋体" w:hAnsi="宋体" w:cs="宋体"/>
          <w:b/>
          <w:bCs/>
          <w:color w:val="auto"/>
          <w:kern w:val="0"/>
          <w:sz w:val="24"/>
        </w:rPr>
        <w:t>投  标  书（格式）</w:t>
      </w:r>
    </w:p>
    <w:p>
      <w:pPr>
        <w:widowControl/>
        <w:wordWrap w:val="0"/>
        <w:spacing w:line="440" w:lineRule="exact"/>
        <w:jc w:val="left"/>
        <w:rPr>
          <w:rFonts w:hint="eastAsia" w:ascii="宋体" w:hAnsi="宋体" w:cs="宋体"/>
          <w:color w:val="auto"/>
          <w:kern w:val="0"/>
          <w:sz w:val="24"/>
        </w:rPr>
      </w:pPr>
      <w:r>
        <w:rPr>
          <w:rFonts w:hint="eastAsia" w:ascii="宋体" w:hAnsi="宋体" w:cs="宋体"/>
          <w:color w:val="auto"/>
          <w:kern w:val="0"/>
          <w:sz w:val="24"/>
        </w:rPr>
        <w:t xml:space="preserve"> </w:t>
      </w:r>
    </w:p>
    <w:p>
      <w:pPr>
        <w:wordWrap w:val="0"/>
        <w:spacing w:line="440" w:lineRule="exact"/>
        <w:rPr>
          <w:rFonts w:hint="eastAsia" w:ascii="宋体" w:hAnsi="宋体" w:cs="宋体"/>
          <w:color w:val="auto"/>
          <w:kern w:val="0"/>
          <w:sz w:val="24"/>
        </w:rPr>
      </w:pPr>
      <w:r>
        <w:rPr>
          <w:rFonts w:hint="eastAsia" w:ascii="宋体" w:hAnsi="宋体" w:cs="宋体"/>
          <w:color w:val="auto"/>
          <w:kern w:val="0"/>
          <w:sz w:val="24"/>
        </w:rPr>
        <w:t>致：</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（招标人或代理机构名称）： </w:t>
      </w:r>
    </w:p>
    <w:p>
      <w:pPr>
        <w:wordWrap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_________（投标人名称）现委托</w:t>
      </w:r>
      <w:r>
        <w:rPr>
          <w:rFonts w:hint="eastAsia" w:ascii="宋体" w:hAnsi="宋体" w:cs="宋体"/>
          <w:color w:val="auto"/>
          <w:kern w:val="0"/>
          <w:sz w:val="24"/>
          <w:u w:val="single"/>
        </w:rPr>
        <w:t xml:space="preserve">          </w:t>
      </w:r>
      <w:r>
        <w:rPr>
          <w:rFonts w:hint="eastAsia" w:ascii="宋体" w:hAnsi="宋体" w:cs="宋体"/>
          <w:color w:val="auto"/>
          <w:kern w:val="0"/>
          <w:sz w:val="24"/>
        </w:rPr>
        <w:t>（姓名）为我方代理人，参加贵方组织的</w:t>
      </w:r>
      <w:r>
        <w:rPr>
          <w:rFonts w:hint="eastAsia" w:ascii="宋体" w:hAnsi="宋体" w:cs="宋体"/>
          <w:color w:val="auto"/>
          <w:kern w:val="0"/>
          <w:sz w:val="24"/>
          <w:u w:val="single"/>
        </w:rPr>
        <w:t xml:space="preserve">          </w:t>
      </w:r>
      <w:r>
        <w:rPr>
          <w:rFonts w:hint="eastAsia" w:ascii="宋体" w:hAnsi="宋体" w:cs="宋体"/>
          <w:color w:val="auto"/>
          <w:kern w:val="0"/>
          <w:sz w:val="24"/>
        </w:rPr>
        <w:t>项目（项目编号：</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____(标包号)</w:t>
      </w:r>
      <w:r>
        <w:rPr>
          <w:rFonts w:hint="eastAsia" w:ascii="宋体" w:hAnsi="宋体" w:cs="宋体"/>
          <w:color w:val="auto"/>
          <w:kern w:val="0"/>
          <w:sz w:val="24"/>
        </w:rPr>
        <w:t>的投标。现正式提交下述文件1份：</w:t>
      </w:r>
    </w:p>
    <w:p>
      <w:pPr>
        <w:wordWrap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1、开标一览表。</w:t>
      </w:r>
    </w:p>
    <w:p>
      <w:pPr>
        <w:wordWrap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2、投标报价明细表。</w:t>
      </w:r>
    </w:p>
    <w:p>
      <w:pPr>
        <w:wordWrap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3、供货范围清单。</w:t>
      </w:r>
    </w:p>
    <w:p>
      <w:pPr>
        <w:wordWrap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4、技术响应表。</w:t>
      </w:r>
    </w:p>
    <w:p>
      <w:pPr>
        <w:wordWrap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5、商务响应表。</w:t>
      </w:r>
    </w:p>
    <w:p>
      <w:pPr>
        <w:wordWrap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6、证明文件。</w:t>
      </w:r>
    </w:p>
    <w:p>
      <w:pPr>
        <w:wordWrap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7、抵制商业贿赂承诺。</w:t>
      </w:r>
    </w:p>
    <w:p>
      <w:pPr>
        <w:wordWrap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为便于贵方公正、择优地确定中标人及其投标产品和服务，我方就本次投标有关事项郑重声明并宣布同意如下：</w:t>
      </w:r>
    </w:p>
    <w:p>
      <w:pPr>
        <w:wordWrap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1、我方已详细审查全部招标文件，包括修改文件（如有的话）和有关附件，将自行承担因对全部招标文件理解不正确或误解而产生的相应后果。</w:t>
      </w:r>
    </w:p>
    <w:p>
      <w:pPr>
        <w:wordWrap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2、我方承诺在投标活动中提供的各种材料真实有效。</w:t>
      </w:r>
    </w:p>
    <w:p>
      <w:pPr>
        <w:wordWrap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3、我方同意在投标文件有效期内遵守本投标文件中的承诺且在此期限期满之前均具有约束力。如果我方中标，投标文件有效期与合同履行期相同。</w:t>
      </w:r>
    </w:p>
    <w:p>
      <w:pPr>
        <w:wordWrap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4、我方已详细审查全部招标文件，包括修改文件（如有的话）和有关附件，将自行承担因对全部招标文件理解不正确或误解而产生的相应后果。</w:t>
      </w:r>
    </w:p>
    <w:p>
      <w:pPr>
        <w:wordWrap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5、我方保证尊重评标委员会的评标结果，完全理解本招标项目最低投标价不作为中标的保证。</w:t>
      </w:r>
    </w:p>
    <w:p>
      <w:pPr>
        <w:wordWrap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6、我方理解并遵守招标文件的全部规定，接受招标文件中政府采购合同的全部条款且无任何异议。</w:t>
      </w:r>
    </w:p>
    <w:p>
      <w:pPr>
        <w:wordWrap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7、如果我方代表未按时参加开标的，视同放弃开标监督权利，认可开标结果。</w:t>
      </w:r>
    </w:p>
    <w:p>
      <w:pPr>
        <w:wordWrap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8、如果我方存在投标人须知第9.3项所述情况，同意被认定为在经营活动中有重大违法记录。</w:t>
      </w:r>
    </w:p>
    <w:p>
      <w:pPr>
        <w:wordWrap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9、如果发生投标人须知第19.3项所述情况，同意贵方不予退还我方投标保证金。</w:t>
      </w:r>
    </w:p>
    <w:p>
      <w:pPr>
        <w:wordWrap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10、如果发生投标人须知第26.4.1、26.4.3项所述情况，同意我方投标被作为无效投标处理。</w:t>
      </w:r>
    </w:p>
    <w:p>
      <w:pPr>
        <w:wordWrap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11、如果发生投标人须知第26.5项所述情况，同意评标委员会认定我方的行为属于串通投标的行为，并自愿接受监管部门的处罚。</w:t>
      </w:r>
    </w:p>
    <w:p>
      <w:pPr>
        <w:wordWrap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12、如果现场变更采购方式，我方同意在不改变招标需求、资质条件等情况下，按变更后的采购方式的规定程序进行采购。</w:t>
      </w:r>
    </w:p>
    <w:p>
      <w:pPr>
        <w:wordWrap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13、如果被确定为中标人，我方同意按招标文件的规定领取中标通知书并缴纳服务费。否则，视为我方中标后自动放弃中标资格，承担由此引起的一切后果。</w:t>
      </w:r>
    </w:p>
    <w:p>
      <w:pPr>
        <w:wordWrap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14、如果被确定为中标人，我方同意在领取中标通知书之日起</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日内，按照招标文件的规定与招标人签订采购合同。否则，视为我方中标后无正当理由不与招标人签订合同并承担相应法律责任。</w:t>
      </w:r>
    </w:p>
    <w:p>
      <w:pPr>
        <w:wordWrap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15、我方最近3年内的被公开披露或查处的违法违规行为有：         。</w:t>
      </w:r>
    </w:p>
    <w:p>
      <w:pPr>
        <w:wordWrap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16、以上事项如有虚假或隐瞒，我方愿意承担一切后果和责任。</w:t>
      </w:r>
    </w:p>
    <w:p>
      <w:pPr>
        <w:wordWrap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17、与本投标有关的一切正式往来通讯请寄（地址电话必须为最新并可以联系到）：</w:t>
      </w:r>
    </w:p>
    <w:p>
      <w:pPr>
        <w:wordWrap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    地址：              邮编：</w:t>
      </w:r>
    </w:p>
    <w:p>
      <w:pPr>
        <w:wordWrap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电话：              传真：</w:t>
      </w:r>
    </w:p>
    <w:p>
      <w:pPr>
        <w:wordWrap w:val="0"/>
        <w:spacing w:line="440" w:lineRule="exact"/>
        <w:ind w:firstLine="480" w:firstLineChars="200"/>
        <w:rPr>
          <w:rFonts w:hint="eastAsia" w:ascii="宋体" w:hAnsi="宋体" w:cs="宋体"/>
          <w:color w:val="auto"/>
          <w:kern w:val="0"/>
          <w:sz w:val="24"/>
        </w:rPr>
      </w:pPr>
    </w:p>
    <w:p>
      <w:pPr>
        <w:wordWrap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投标人代表（法定代表人或委托代理人）签字：                 </w:t>
      </w:r>
    </w:p>
    <w:p>
      <w:pPr>
        <w:wordWrap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投标人：                   全称并加盖公章）                                 </w:t>
      </w:r>
    </w:p>
    <w:p>
      <w:pPr>
        <w:wordWrap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年    月   日</w:t>
      </w:r>
    </w:p>
    <w:p>
      <w:pPr>
        <w:wordWrap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    </w:t>
      </w:r>
    </w:p>
    <w:p>
      <w:pPr>
        <w:wordWrap w:val="0"/>
        <w:spacing w:line="440" w:lineRule="exact"/>
        <w:ind w:firstLine="3960" w:firstLineChars="1650"/>
        <w:rPr>
          <w:rFonts w:hint="eastAsia" w:ascii="宋体" w:hAnsi="宋体" w:cs="宋体"/>
          <w:color w:val="auto"/>
          <w:kern w:val="0"/>
          <w:sz w:val="24"/>
        </w:rPr>
      </w:pPr>
    </w:p>
    <w:p>
      <w:pPr>
        <w:wordWrap w:val="0"/>
        <w:spacing w:line="440" w:lineRule="exact"/>
        <w:ind w:firstLine="3960" w:firstLineChars="1650"/>
        <w:rPr>
          <w:rFonts w:hint="eastAsia" w:ascii="宋体" w:hAnsi="宋体" w:cs="宋体"/>
          <w:color w:val="auto"/>
          <w:kern w:val="0"/>
          <w:sz w:val="24"/>
        </w:rPr>
      </w:pPr>
    </w:p>
    <w:p>
      <w:pPr>
        <w:pStyle w:val="3"/>
        <w:wordWrap w:val="0"/>
        <w:rPr>
          <w:rFonts w:hint="eastAsia" w:ascii="宋体" w:hAnsi="宋体" w:eastAsia="宋体" w:cs="宋体"/>
          <w:color w:val="auto"/>
          <w:kern w:val="0"/>
          <w:sz w:val="24"/>
          <w:szCs w:val="24"/>
        </w:rPr>
      </w:pPr>
    </w:p>
    <w:p>
      <w:pPr>
        <w:wordWrap w:val="0"/>
        <w:rPr>
          <w:rFonts w:hint="eastAsia" w:ascii="宋体" w:hAnsi="宋体" w:cs="宋体"/>
          <w:color w:val="auto"/>
          <w:kern w:val="0"/>
          <w:sz w:val="24"/>
        </w:rPr>
      </w:pPr>
    </w:p>
    <w:p>
      <w:pPr>
        <w:snapToGrid w:val="0"/>
        <w:spacing w:before="50" w:after="50"/>
        <w:jc w:val="center"/>
        <w:rPr>
          <w:rFonts w:hint="eastAsia" w:ascii="宋体" w:hAnsi="宋体" w:cs="宋体"/>
          <w:b/>
          <w:color w:val="auto"/>
          <w:kern w:val="0"/>
          <w:sz w:val="24"/>
        </w:rPr>
      </w:pPr>
    </w:p>
    <w:p>
      <w:pPr>
        <w:snapToGrid w:val="0"/>
        <w:spacing w:before="50" w:after="50"/>
        <w:jc w:val="center"/>
        <w:rPr>
          <w:rFonts w:hint="eastAsia" w:ascii="宋体" w:hAnsi="宋体" w:cs="宋体"/>
          <w:b/>
          <w:color w:val="auto"/>
          <w:kern w:val="0"/>
          <w:sz w:val="24"/>
        </w:rPr>
      </w:pPr>
    </w:p>
    <w:p>
      <w:pPr>
        <w:snapToGrid w:val="0"/>
        <w:spacing w:before="50" w:after="50"/>
        <w:jc w:val="center"/>
        <w:rPr>
          <w:rFonts w:hint="eastAsia" w:ascii="宋体" w:hAnsi="宋体" w:cs="宋体"/>
          <w:b/>
          <w:color w:val="auto"/>
          <w:kern w:val="0"/>
          <w:sz w:val="24"/>
        </w:rPr>
      </w:pPr>
    </w:p>
    <w:p>
      <w:pPr>
        <w:snapToGrid w:val="0"/>
        <w:spacing w:before="50" w:after="50"/>
        <w:jc w:val="left"/>
        <w:rPr>
          <w:rFonts w:hint="eastAsia" w:ascii="宋体" w:hAnsi="宋体" w:cs="宋体"/>
          <w:b/>
          <w:color w:val="auto"/>
          <w:kern w:val="0"/>
          <w:sz w:val="32"/>
          <w:szCs w:val="32"/>
        </w:rPr>
      </w:pPr>
      <w:r>
        <w:rPr>
          <w:rFonts w:hint="eastAsia" w:ascii="宋体" w:hAnsi="宋体" w:cs="宋体"/>
          <w:b/>
          <w:color w:val="auto"/>
          <w:kern w:val="0"/>
          <w:sz w:val="24"/>
        </w:rPr>
        <w:t xml:space="preserve">附件3                   </w:t>
      </w:r>
      <w:r>
        <w:rPr>
          <w:rFonts w:hint="eastAsia" w:ascii="宋体" w:hAnsi="宋体" w:cs="宋体"/>
          <w:b/>
          <w:color w:val="auto"/>
          <w:kern w:val="0"/>
          <w:sz w:val="32"/>
          <w:szCs w:val="32"/>
        </w:rPr>
        <w:t>开标一览表（格式）</w:t>
      </w:r>
    </w:p>
    <w:p>
      <w:pPr>
        <w:snapToGrid w:val="0"/>
        <w:spacing w:before="50" w:after="50"/>
        <w:jc w:val="left"/>
        <w:rPr>
          <w:rFonts w:hint="eastAsia" w:ascii="宋体" w:hAnsi="宋体" w:cs="宋体"/>
          <w:b/>
          <w:color w:val="auto"/>
          <w:kern w:val="0"/>
          <w:sz w:val="32"/>
          <w:szCs w:val="32"/>
        </w:rPr>
      </w:pPr>
    </w:p>
    <w:p>
      <w:pPr>
        <w:widowControl/>
        <w:wordWrap w:val="0"/>
        <w:snapToGrid w:val="0"/>
        <w:spacing w:before="50" w:after="50"/>
        <w:ind w:right="-817" w:rightChars="-389" w:firstLine="240" w:firstLineChars="100"/>
        <w:jc w:val="left"/>
        <w:rPr>
          <w:rFonts w:hint="eastAsia" w:ascii="宋体" w:hAnsi="宋体" w:cs="宋体"/>
          <w:color w:val="auto"/>
          <w:kern w:val="0"/>
          <w:sz w:val="24"/>
        </w:rPr>
      </w:pPr>
      <w:r>
        <w:rPr>
          <w:rFonts w:hint="eastAsia" w:cs="宋体"/>
          <w:color w:val="auto"/>
          <w:kern w:val="0"/>
          <w:sz w:val="24"/>
        </w:rPr>
        <w:t>项目编号：</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金额单位：人民币（元）</w:t>
      </w:r>
    </w:p>
    <w:p>
      <w:pPr>
        <w:widowControl/>
        <w:wordWrap w:val="0"/>
        <w:snapToGrid w:val="0"/>
        <w:spacing w:before="50" w:after="50"/>
        <w:ind w:right="-817" w:rightChars="-389" w:firstLine="240" w:firstLineChars="100"/>
        <w:jc w:val="left"/>
        <w:rPr>
          <w:rFonts w:hint="default" w:ascii="宋体" w:hAnsi="宋体" w:cs="宋体"/>
          <w:color w:val="auto"/>
          <w:kern w:val="0"/>
          <w:sz w:val="24"/>
          <w:lang w:val="en-US"/>
        </w:rPr>
      </w:pPr>
      <w:r>
        <w:rPr>
          <w:rFonts w:hint="eastAsia" w:ascii="宋体" w:hAnsi="宋体" w:cs="宋体"/>
          <w:b w:val="0"/>
          <w:bCs w:val="0"/>
          <w:color w:val="auto"/>
          <w:kern w:val="0"/>
          <w:sz w:val="24"/>
          <w:lang w:val="en-US" w:eastAsia="zh-CN"/>
        </w:rPr>
        <w:t>标 包 号:__</w:t>
      </w:r>
      <w:r>
        <w:rPr>
          <w:rFonts w:hint="eastAsia" w:ascii="宋体" w:hAnsi="宋体" w:cs="宋体"/>
          <w:color w:val="auto"/>
          <w:kern w:val="0"/>
          <w:sz w:val="24"/>
          <w:lang w:val="en-US" w:eastAsia="zh-CN"/>
        </w:rPr>
        <w:t>____________</w:t>
      </w:r>
    </w:p>
    <w:p>
      <w:pPr>
        <w:widowControl/>
        <w:wordWrap w:val="0"/>
        <w:snapToGrid w:val="0"/>
        <w:spacing w:before="50" w:after="50"/>
        <w:ind w:right="-817" w:rightChars="-389" w:firstLine="240" w:firstLineChars="100"/>
        <w:jc w:val="left"/>
        <w:rPr>
          <w:rFonts w:hint="eastAsia" w:ascii="宋体" w:hAnsi="宋体" w:cs="宋体"/>
          <w:color w:val="auto"/>
          <w:kern w:val="0"/>
          <w:sz w:val="24"/>
        </w:rPr>
      </w:pPr>
    </w:p>
    <w:tbl>
      <w:tblPr>
        <w:tblStyle w:val="47"/>
        <w:tblW w:w="9070" w:type="dxa"/>
        <w:tblInd w:w="13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480"/>
        <w:gridCol w:w="659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1" w:hRule="atLeast"/>
        </w:trPr>
        <w:tc>
          <w:tcPr>
            <w:tcW w:w="2480" w:type="dxa"/>
            <w:vAlign w:val="center"/>
          </w:tcPr>
          <w:p>
            <w:pPr>
              <w:pStyle w:val="164"/>
              <w:spacing w:line="440" w:lineRule="exact"/>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590" w:type="dxa"/>
            <w:vAlign w:val="center"/>
          </w:tcPr>
          <w:p>
            <w:pPr>
              <w:pStyle w:val="164"/>
              <w:spacing w:line="440" w:lineRule="exact"/>
              <w:ind w:firstLine="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1" w:hRule="atLeast"/>
        </w:trPr>
        <w:tc>
          <w:tcPr>
            <w:tcW w:w="2480" w:type="dxa"/>
            <w:vAlign w:val="center"/>
          </w:tcPr>
          <w:p>
            <w:pPr>
              <w:pStyle w:val="164"/>
              <w:spacing w:line="440" w:lineRule="exact"/>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供应商单位名称</w:t>
            </w:r>
          </w:p>
        </w:tc>
        <w:tc>
          <w:tcPr>
            <w:tcW w:w="6590" w:type="dxa"/>
            <w:vAlign w:val="center"/>
          </w:tcPr>
          <w:p>
            <w:pPr>
              <w:pStyle w:val="164"/>
              <w:spacing w:line="440" w:lineRule="exact"/>
              <w:ind w:firstLine="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1" w:hRule="atLeast"/>
        </w:trPr>
        <w:tc>
          <w:tcPr>
            <w:tcW w:w="2480" w:type="dxa"/>
            <w:tcBorders>
              <w:bottom w:val="single" w:color="auto" w:sz="4" w:space="0"/>
            </w:tcBorders>
            <w:vAlign w:val="center"/>
          </w:tcPr>
          <w:p>
            <w:pPr>
              <w:pStyle w:val="164"/>
              <w:spacing w:line="440" w:lineRule="exact"/>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投标总报价</w:t>
            </w:r>
          </w:p>
        </w:tc>
        <w:tc>
          <w:tcPr>
            <w:tcW w:w="6590" w:type="dxa"/>
            <w:tcBorders>
              <w:bottom w:val="single" w:color="auto" w:sz="4" w:space="0"/>
            </w:tcBorders>
            <w:vAlign w:val="center"/>
          </w:tcPr>
          <w:p>
            <w:pPr>
              <w:pStyle w:val="164"/>
              <w:spacing w:line="440" w:lineRule="exact"/>
              <w:ind w:firstLine="0"/>
              <w:rPr>
                <w:rFonts w:hint="eastAsia" w:ascii="宋体" w:hAnsi="宋体" w:eastAsia="宋体" w:cs="宋体"/>
                <w:color w:val="auto"/>
                <w:sz w:val="24"/>
                <w:szCs w:val="24"/>
              </w:rPr>
            </w:pPr>
            <w:r>
              <w:rPr>
                <w:rFonts w:hint="eastAsia" w:ascii="宋体" w:hAnsi="宋体" w:eastAsia="宋体" w:cs="宋体"/>
                <w:color w:val="auto"/>
                <w:sz w:val="24"/>
                <w:szCs w:val="24"/>
              </w:rPr>
              <w:t>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pStyle w:val="164"/>
              <w:spacing w:line="440" w:lineRule="exact"/>
              <w:ind w:firstLine="0"/>
              <w:rPr>
                <w:rFonts w:hint="eastAsia" w:ascii="宋体" w:hAnsi="宋体" w:eastAsia="宋体" w:cs="宋体"/>
                <w:color w:val="auto"/>
                <w:sz w:val="24"/>
                <w:szCs w:val="24"/>
              </w:rPr>
            </w:pPr>
            <w:r>
              <w:rPr>
                <w:rFonts w:hint="eastAsia" w:ascii="宋体" w:hAnsi="宋体" w:eastAsia="宋体" w:cs="宋体"/>
                <w:color w:val="auto"/>
                <w:sz w:val="24"/>
                <w:szCs w:val="24"/>
              </w:rPr>
              <w:t>小写：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1" w:hRule="atLeast"/>
        </w:trPr>
        <w:tc>
          <w:tcPr>
            <w:tcW w:w="2480" w:type="dxa"/>
            <w:vAlign w:val="center"/>
          </w:tcPr>
          <w:p>
            <w:pPr>
              <w:pStyle w:val="164"/>
              <w:spacing w:line="440" w:lineRule="exact"/>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质量标准</w:t>
            </w:r>
          </w:p>
        </w:tc>
        <w:tc>
          <w:tcPr>
            <w:tcW w:w="6590" w:type="dxa"/>
            <w:vAlign w:val="center"/>
          </w:tcPr>
          <w:p>
            <w:pPr>
              <w:pStyle w:val="164"/>
              <w:spacing w:line="440" w:lineRule="exact"/>
              <w:ind w:firstLine="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1" w:hRule="atLeast"/>
        </w:trPr>
        <w:tc>
          <w:tcPr>
            <w:tcW w:w="2480" w:type="dxa"/>
            <w:vAlign w:val="center"/>
          </w:tcPr>
          <w:p>
            <w:pPr>
              <w:pStyle w:val="164"/>
              <w:spacing w:line="440" w:lineRule="exact"/>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交货时间</w:t>
            </w:r>
          </w:p>
        </w:tc>
        <w:tc>
          <w:tcPr>
            <w:tcW w:w="6590" w:type="dxa"/>
            <w:vAlign w:val="center"/>
          </w:tcPr>
          <w:p>
            <w:pPr>
              <w:pStyle w:val="164"/>
              <w:spacing w:line="440" w:lineRule="exact"/>
              <w:ind w:firstLine="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21" w:hRule="atLeast"/>
        </w:trPr>
        <w:tc>
          <w:tcPr>
            <w:tcW w:w="2480" w:type="dxa"/>
            <w:vAlign w:val="center"/>
          </w:tcPr>
          <w:p>
            <w:pPr>
              <w:pStyle w:val="164"/>
              <w:spacing w:line="440" w:lineRule="exact"/>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投标有效期</w:t>
            </w:r>
          </w:p>
        </w:tc>
        <w:tc>
          <w:tcPr>
            <w:tcW w:w="6590" w:type="dxa"/>
            <w:vAlign w:val="center"/>
          </w:tcPr>
          <w:p>
            <w:pPr>
              <w:pStyle w:val="164"/>
              <w:spacing w:line="440" w:lineRule="exact"/>
              <w:ind w:firstLine="0"/>
              <w:rPr>
                <w:rFonts w:hint="eastAsia" w:ascii="宋体" w:hAnsi="宋体" w:eastAsia="宋体" w:cs="宋体"/>
                <w:snapToGrid w:val="0"/>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21" w:hRule="atLeast"/>
        </w:trPr>
        <w:tc>
          <w:tcPr>
            <w:tcW w:w="2480" w:type="dxa"/>
            <w:vAlign w:val="center"/>
          </w:tcPr>
          <w:p>
            <w:pPr>
              <w:pStyle w:val="164"/>
              <w:spacing w:line="440" w:lineRule="exact"/>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备      注</w:t>
            </w:r>
          </w:p>
        </w:tc>
        <w:tc>
          <w:tcPr>
            <w:tcW w:w="6590" w:type="dxa"/>
            <w:vAlign w:val="center"/>
          </w:tcPr>
          <w:p>
            <w:pPr>
              <w:pStyle w:val="164"/>
              <w:spacing w:line="440" w:lineRule="exact"/>
              <w:ind w:firstLine="0"/>
              <w:rPr>
                <w:rFonts w:hint="eastAsia" w:ascii="宋体" w:hAnsi="宋体" w:eastAsia="宋体" w:cs="宋体"/>
                <w:color w:val="auto"/>
                <w:sz w:val="24"/>
                <w:szCs w:val="24"/>
              </w:rPr>
            </w:pPr>
          </w:p>
        </w:tc>
      </w:tr>
    </w:tbl>
    <w:p>
      <w:pPr>
        <w:snapToGrid w:val="0"/>
        <w:spacing w:before="50" w:after="50" w:line="360" w:lineRule="auto"/>
        <w:jc w:val="left"/>
        <w:rPr>
          <w:rFonts w:hint="eastAsia" w:ascii="宋体" w:hAnsi="宋体" w:cs="宋体"/>
          <w:color w:val="auto"/>
          <w:kern w:val="0"/>
          <w:sz w:val="24"/>
        </w:rPr>
      </w:pPr>
      <w:r>
        <w:rPr>
          <w:rFonts w:hint="eastAsia" w:ascii="宋体" w:hAnsi="宋体" w:cs="宋体"/>
          <w:color w:val="auto"/>
          <w:kern w:val="0"/>
          <w:sz w:val="24"/>
        </w:rPr>
        <w:t xml:space="preserve"> </w:t>
      </w:r>
    </w:p>
    <w:p>
      <w:pPr>
        <w:spacing w:line="360" w:lineRule="auto"/>
        <w:ind w:firstLine="1800" w:firstLineChars="750"/>
        <w:jc w:val="left"/>
        <w:rPr>
          <w:rFonts w:hint="eastAsia" w:ascii="宋体" w:hAnsi="宋体" w:cs="宋体"/>
          <w:color w:val="auto"/>
          <w:kern w:val="0"/>
          <w:sz w:val="24"/>
        </w:rPr>
      </w:pPr>
      <w:r>
        <w:rPr>
          <w:rFonts w:hint="eastAsia" w:ascii="宋体" w:hAnsi="宋体" w:cs="宋体"/>
          <w:color w:val="auto"/>
          <w:kern w:val="0"/>
          <w:sz w:val="24"/>
        </w:rPr>
        <w:t xml:space="preserve">                 </w:t>
      </w:r>
    </w:p>
    <w:p>
      <w:pPr>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 xml:space="preserve">            供应商：</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（全称并加盖公章）                                               </w:t>
      </w:r>
    </w:p>
    <w:p>
      <w:pPr>
        <w:spacing w:line="360" w:lineRule="auto"/>
        <w:ind w:firstLine="4080" w:firstLineChars="1700"/>
        <w:jc w:val="left"/>
        <w:rPr>
          <w:rFonts w:hint="eastAsia" w:ascii="宋体" w:hAnsi="宋体" w:cs="宋体"/>
          <w:b/>
          <w:color w:val="auto"/>
          <w:kern w:val="0"/>
          <w:sz w:val="22"/>
        </w:rPr>
      </w:pPr>
      <w:r>
        <w:rPr>
          <w:rFonts w:hint="eastAsia" w:ascii="宋体" w:hAnsi="宋体" w:cs="宋体"/>
          <w:color w:val="auto"/>
          <w:kern w:val="0"/>
          <w:sz w:val="24"/>
        </w:rPr>
        <w:t xml:space="preserve"> 年    月    日</w:t>
      </w:r>
    </w:p>
    <w:p>
      <w:pPr>
        <w:widowControl/>
        <w:wordWrap w:val="0"/>
        <w:snapToGrid w:val="0"/>
        <w:spacing w:line="440" w:lineRule="exact"/>
        <w:jc w:val="left"/>
        <w:outlineLvl w:val="0"/>
        <w:rPr>
          <w:rFonts w:hint="eastAsia" w:ascii="宋体" w:hAnsi="宋体" w:cs="宋体"/>
          <w:b/>
          <w:color w:val="auto"/>
          <w:kern w:val="0"/>
          <w:sz w:val="24"/>
        </w:rPr>
      </w:pPr>
    </w:p>
    <w:p>
      <w:pPr>
        <w:widowControl/>
        <w:wordWrap w:val="0"/>
        <w:snapToGrid w:val="0"/>
        <w:spacing w:line="440" w:lineRule="exact"/>
        <w:jc w:val="left"/>
        <w:outlineLvl w:val="0"/>
        <w:rPr>
          <w:rFonts w:hint="eastAsia" w:ascii="宋体" w:hAnsi="宋体" w:cs="宋体"/>
          <w:b/>
          <w:color w:val="auto"/>
          <w:kern w:val="0"/>
          <w:sz w:val="24"/>
        </w:rPr>
      </w:pPr>
    </w:p>
    <w:p>
      <w:pPr>
        <w:widowControl/>
        <w:wordWrap w:val="0"/>
        <w:snapToGrid w:val="0"/>
        <w:spacing w:line="440" w:lineRule="exact"/>
        <w:jc w:val="left"/>
        <w:outlineLvl w:val="0"/>
        <w:rPr>
          <w:rFonts w:hint="eastAsia" w:ascii="宋体" w:hAnsi="宋体" w:cs="宋体"/>
          <w:b/>
          <w:color w:val="auto"/>
          <w:kern w:val="0"/>
          <w:sz w:val="24"/>
        </w:rPr>
      </w:pPr>
    </w:p>
    <w:p>
      <w:pPr>
        <w:widowControl/>
        <w:wordWrap w:val="0"/>
        <w:snapToGrid w:val="0"/>
        <w:spacing w:line="440" w:lineRule="exact"/>
        <w:jc w:val="left"/>
        <w:outlineLvl w:val="0"/>
        <w:rPr>
          <w:rFonts w:hint="eastAsia" w:ascii="宋体" w:hAnsi="宋体" w:cs="宋体"/>
          <w:b/>
          <w:color w:val="auto"/>
          <w:kern w:val="0"/>
          <w:sz w:val="24"/>
        </w:rPr>
      </w:pPr>
    </w:p>
    <w:p>
      <w:pPr>
        <w:widowControl/>
        <w:wordWrap w:val="0"/>
        <w:snapToGrid w:val="0"/>
        <w:spacing w:line="440" w:lineRule="exact"/>
        <w:jc w:val="left"/>
        <w:outlineLvl w:val="0"/>
        <w:rPr>
          <w:rFonts w:hint="eastAsia" w:ascii="宋体" w:hAnsi="宋体" w:cs="宋体"/>
          <w:b/>
          <w:color w:val="auto"/>
          <w:kern w:val="0"/>
          <w:sz w:val="24"/>
        </w:rPr>
      </w:pPr>
    </w:p>
    <w:p>
      <w:pPr>
        <w:widowControl/>
        <w:wordWrap w:val="0"/>
        <w:snapToGrid w:val="0"/>
        <w:spacing w:line="440" w:lineRule="exact"/>
        <w:jc w:val="left"/>
        <w:outlineLvl w:val="0"/>
        <w:rPr>
          <w:rFonts w:hint="eastAsia" w:ascii="宋体" w:hAnsi="宋体" w:cs="宋体"/>
          <w:b/>
          <w:color w:val="auto"/>
          <w:kern w:val="0"/>
          <w:sz w:val="24"/>
        </w:rPr>
      </w:pPr>
    </w:p>
    <w:p>
      <w:pPr>
        <w:widowControl/>
        <w:wordWrap w:val="0"/>
        <w:snapToGrid w:val="0"/>
        <w:spacing w:line="440" w:lineRule="exact"/>
        <w:jc w:val="left"/>
        <w:outlineLvl w:val="0"/>
        <w:rPr>
          <w:rFonts w:hint="eastAsia" w:ascii="宋体" w:hAnsi="宋体" w:cs="宋体"/>
          <w:b/>
          <w:color w:val="auto"/>
          <w:kern w:val="0"/>
          <w:sz w:val="24"/>
        </w:rPr>
      </w:pPr>
    </w:p>
    <w:p>
      <w:pPr>
        <w:widowControl/>
        <w:wordWrap w:val="0"/>
        <w:snapToGrid w:val="0"/>
        <w:spacing w:line="440" w:lineRule="exact"/>
        <w:jc w:val="left"/>
        <w:outlineLvl w:val="0"/>
        <w:rPr>
          <w:rFonts w:hint="eastAsia" w:ascii="宋体" w:hAnsi="宋体" w:cs="宋体"/>
          <w:b/>
          <w:color w:val="auto"/>
          <w:kern w:val="0"/>
          <w:sz w:val="36"/>
          <w:szCs w:val="36"/>
        </w:rPr>
      </w:pPr>
      <w:r>
        <w:rPr>
          <w:rFonts w:hint="eastAsia" w:ascii="宋体" w:hAnsi="宋体" w:cs="宋体"/>
          <w:b/>
          <w:color w:val="auto"/>
          <w:kern w:val="0"/>
          <w:sz w:val="24"/>
        </w:rPr>
        <w:t xml:space="preserve">附件4              </w:t>
      </w:r>
      <w:r>
        <w:rPr>
          <w:rFonts w:hint="eastAsia" w:ascii="宋体" w:hAnsi="宋体" w:cs="宋体"/>
          <w:b/>
          <w:color w:val="auto"/>
          <w:kern w:val="0"/>
          <w:sz w:val="36"/>
          <w:szCs w:val="36"/>
        </w:rPr>
        <w:t>投标报价明细表（格式）</w:t>
      </w:r>
    </w:p>
    <w:p>
      <w:pPr>
        <w:widowControl/>
        <w:snapToGrid w:val="0"/>
        <w:spacing w:before="50" w:after="50"/>
        <w:jc w:val="center"/>
        <w:rPr>
          <w:rFonts w:hint="eastAsia" w:ascii="宋体" w:hAnsi="宋体" w:cs="宋体"/>
          <w:b/>
          <w:color w:val="auto"/>
          <w:kern w:val="0"/>
          <w:sz w:val="36"/>
          <w:szCs w:val="36"/>
        </w:rPr>
      </w:pPr>
    </w:p>
    <w:p>
      <w:pPr>
        <w:widowControl/>
        <w:wordWrap w:val="0"/>
        <w:snapToGrid w:val="0"/>
        <w:spacing w:before="50" w:after="50"/>
        <w:ind w:left="-3" w:leftChars="-72" w:right="-817" w:rightChars="-389" w:hanging="148" w:hangingChars="62"/>
        <w:jc w:val="left"/>
        <w:rPr>
          <w:rFonts w:hint="eastAsia" w:ascii="宋体" w:hAnsi="宋体" w:cs="宋体"/>
          <w:color w:val="auto"/>
          <w:kern w:val="0"/>
          <w:sz w:val="24"/>
        </w:rPr>
      </w:pPr>
      <w:r>
        <w:rPr>
          <w:rFonts w:hint="eastAsia" w:cs="宋体"/>
          <w:color w:val="auto"/>
          <w:kern w:val="0"/>
          <w:sz w:val="24"/>
        </w:rPr>
        <w:t>项目编号：</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金额单位：人民币（元）</w:t>
      </w:r>
    </w:p>
    <w:p>
      <w:pPr>
        <w:widowControl/>
        <w:wordWrap w:val="0"/>
        <w:snapToGrid w:val="0"/>
        <w:spacing w:before="50" w:after="50"/>
        <w:ind w:right="-817" w:rightChars="-389"/>
        <w:jc w:val="left"/>
        <w:rPr>
          <w:rFonts w:hint="eastAsia" w:ascii="宋体" w:hAnsi="宋体" w:cs="宋体"/>
          <w:color w:val="auto"/>
          <w:kern w:val="0"/>
          <w:sz w:val="24"/>
        </w:rPr>
      </w:pPr>
      <w:r>
        <w:rPr>
          <w:rFonts w:hint="eastAsia" w:ascii="宋体" w:hAnsi="宋体" w:cs="宋体"/>
          <w:b w:val="0"/>
          <w:bCs w:val="0"/>
          <w:color w:val="auto"/>
          <w:kern w:val="0"/>
          <w:sz w:val="24"/>
          <w:lang w:val="en-US" w:eastAsia="zh-CN"/>
        </w:rPr>
        <w:t>标 包 号:__</w:t>
      </w:r>
      <w:r>
        <w:rPr>
          <w:rFonts w:hint="eastAsia" w:ascii="宋体" w:hAnsi="宋体" w:cs="宋体"/>
          <w:color w:val="auto"/>
          <w:kern w:val="0"/>
          <w:sz w:val="24"/>
          <w:lang w:val="en-US" w:eastAsia="zh-CN"/>
        </w:rPr>
        <w:t>____________</w:t>
      </w:r>
    </w:p>
    <w:tbl>
      <w:tblPr>
        <w:tblStyle w:val="47"/>
        <w:tblW w:w="900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60"/>
        <w:gridCol w:w="900"/>
        <w:gridCol w:w="1260"/>
        <w:gridCol w:w="1260"/>
        <w:gridCol w:w="1440"/>
        <w:gridCol w:w="90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4" w:hRule="atLeast"/>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kern w:val="0"/>
                <w:sz w:val="24"/>
              </w:rPr>
              <w:t>序号</w:t>
            </w:r>
          </w:p>
        </w:tc>
        <w:tc>
          <w:tcPr>
            <w:tcW w:w="126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kern w:val="0"/>
                <w:sz w:val="24"/>
              </w:rPr>
              <w:t>货物名称</w:t>
            </w:r>
          </w:p>
        </w:tc>
        <w:tc>
          <w:tcPr>
            <w:tcW w:w="900" w:type="dxa"/>
            <w:tcBorders>
              <w:top w:val="single" w:color="auto" w:sz="4" w:space="0"/>
              <w:left w:val="single" w:color="auto" w:sz="4" w:space="0"/>
              <w:bottom w:val="nil"/>
              <w:right w:val="single" w:color="auto" w:sz="4" w:space="0"/>
            </w:tcBorders>
            <w:vAlign w:val="center"/>
          </w:tcPr>
          <w:p>
            <w:pPr>
              <w:widowControl/>
              <w:snapToGrid w:val="0"/>
              <w:spacing w:before="50" w:after="50"/>
              <w:jc w:val="left"/>
              <w:rPr>
                <w:rFonts w:hint="eastAsia" w:ascii="宋体" w:hAnsi="宋体" w:cs="宋体"/>
                <w:color w:val="auto"/>
                <w:kern w:val="0"/>
                <w:sz w:val="24"/>
              </w:rPr>
            </w:pPr>
            <w:r>
              <w:rPr>
                <w:rFonts w:hint="eastAsia" w:ascii="宋体" w:hAnsi="宋体" w:cs="宋体"/>
                <w:color w:val="auto"/>
                <w:kern w:val="0"/>
                <w:sz w:val="24"/>
              </w:rPr>
              <w:t>品牌</w:t>
            </w:r>
          </w:p>
        </w:tc>
        <w:tc>
          <w:tcPr>
            <w:tcW w:w="126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kern w:val="0"/>
                <w:sz w:val="24"/>
              </w:rPr>
              <w:t>规格型号</w:t>
            </w:r>
          </w:p>
        </w:tc>
        <w:tc>
          <w:tcPr>
            <w:tcW w:w="126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原产地</w:t>
            </w:r>
          </w:p>
        </w:tc>
        <w:tc>
          <w:tcPr>
            <w:tcW w:w="14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kern w:val="0"/>
                <w:sz w:val="24"/>
              </w:rPr>
              <w:t>单位及数量</w:t>
            </w:r>
          </w:p>
        </w:tc>
        <w:tc>
          <w:tcPr>
            <w:tcW w:w="90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kern w:val="0"/>
                <w:sz w:val="24"/>
              </w:rPr>
              <w:t>单价</w:t>
            </w:r>
          </w:p>
        </w:tc>
        <w:tc>
          <w:tcPr>
            <w:tcW w:w="14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kern w:val="0"/>
                <w:sz w:val="24"/>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2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2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2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4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4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2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2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2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4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4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2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2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2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4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4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2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2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2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4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4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2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2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2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4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4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2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2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2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4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4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2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2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2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4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4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2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2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2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4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4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2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w:t>
            </w:r>
          </w:p>
        </w:tc>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2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2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4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4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4680" w:type="dxa"/>
            <w:gridSpan w:val="4"/>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left"/>
              <w:rPr>
                <w:rFonts w:hint="eastAsia" w:ascii="宋体" w:hAnsi="宋体" w:cs="宋体"/>
                <w:color w:val="auto"/>
                <w:spacing w:val="20"/>
                <w:kern w:val="0"/>
                <w:sz w:val="24"/>
              </w:rPr>
            </w:pPr>
            <w:r>
              <w:rPr>
                <w:rFonts w:hint="eastAsia" w:ascii="宋体" w:hAnsi="宋体" w:cs="宋体"/>
                <w:color w:val="auto"/>
                <w:spacing w:val="20"/>
                <w:kern w:val="0"/>
                <w:sz w:val="24"/>
              </w:rPr>
              <w:t>运输费、安装调试费、其他</w:t>
            </w:r>
          </w:p>
        </w:tc>
        <w:tc>
          <w:tcPr>
            <w:tcW w:w="14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c>
          <w:tcPr>
            <w:tcW w:w="14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hint="eastAsia" w:ascii="宋体" w:hAnsi="宋体" w:cs="宋体"/>
                <w:color w:val="auto"/>
                <w:spacing w:val="20"/>
                <w:kern w:val="0"/>
                <w:sz w:val="24"/>
              </w:rPr>
            </w:pPr>
            <w:r>
              <w:rPr>
                <w:rFonts w:hint="eastAsia" w:ascii="宋体" w:hAnsi="宋体" w:cs="宋体"/>
                <w:color w:val="auto"/>
                <w:spacing w:val="20"/>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560" w:type="dxa"/>
            <w:gridSpan w:val="7"/>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left"/>
              <w:rPr>
                <w:rFonts w:hint="eastAsia" w:ascii="宋体" w:hAnsi="宋体" w:cs="宋体"/>
                <w:color w:val="auto"/>
                <w:spacing w:val="20"/>
                <w:kern w:val="0"/>
                <w:sz w:val="24"/>
              </w:rPr>
            </w:pPr>
            <w:r>
              <w:rPr>
                <w:rFonts w:hint="eastAsia" w:ascii="宋体" w:hAnsi="宋体" w:cs="宋体"/>
                <w:color w:val="auto"/>
                <w:spacing w:val="20"/>
                <w:kern w:val="0"/>
                <w:sz w:val="24"/>
              </w:rPr>
              <w:t>投标总价(</w:t>
            </w:r>
            <w:r>
              <w:rPr>
                <w:rFonts w:hint="eastAsia" w:ascii="宋体" w:hAnsi="宋体" w:cs="宋体"/>
                <w:color w:val="auto"/>
                <w:kern w:val="0"/>
                <w:sz w:val="24"/>
              </w:rPr>
              <w:t>大写)：</w:t>
            </w:r>
          </w:p>
        </w:tc>
        <w:tc>
          <w:tcPr>
            <w:tcW w:w="14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left"/>
              <w:rPr>
                <w:rFonts w:hint="eastAsia" w:ascii="宋体" w:hAnsi="宋体" w:cs="宋体"/>
                <w:color w:val="auto"/>
                <w:spacing w:val="20"/>
                <w:kern w:val="0"/>
                <w:sz w:val="24"/>
              </w:rPr>
            </w:pPr>
            <w:r>
              <w:rPr>
                <w:rFonts w:hint="eastAsia" w:ascii="宋体" w:hAnsi="宋体" w:cs="宋体"/>
                <w:color w:val="auto"/>
                <w:kern w:val="0"/>
                <w:sz w:val="24"/>
              </w:rPr>
              <w:t>￥</w:t>
            </w:r>
            <w:r>
              <w:rPr>
                <w:rFonts w:hint="eastAsia" w:ascii="宋体" w:hAnsi="宋体" w:cs="宋体"/>
                <w:color w:val="auto"/>
                <w:kern w:val="0"/>
                <w:sz w:val="24"/>
                <w:u w:val="single"/>
              </w:rPr>
              <w:t xml:space="preserve">            </w:t>
            </w:r>
          </w:p>
        </w:tc>
      </w:tr>
    </w:tbl>
    <w:p>
      <w:pPr>
        <w:widowControl/>
        <w:tabs>
          <w:tab w:val="left" w:pos="1418"/>
        </w:tabs>
        <w:wordWrap w:val="0"/>
        <w:snapToGrid w:val="0"/>
        <w:spacing w:before="50" w:after="50" w:line="480" w:lineRule="auto"/>
        <w:ind w:left="1418" w:hanging="567"/>
        <w:jc w:val="center"/>
        <w:rPr>
          <w:rFonts w:hint="eastAsia" w:ascii="宋体" w:hAnsi="宋体" w:cs="宋体"/>
          <w:color w:val="auto"/>
          <w:spacing w:val="20"/>
          <w:kern w:val="0"/>
          <w:sz w:val="24"/>
          <w:u w:val="single"/>
        </w:rPr>
      </w:pPr>
      <w:r>
        <w:rPr>
          <w:rFonts w:hint="eastAsia" w:ascii="宋体" w:hAnsi="宋体" w:cs="宋体"/>
          <w:color w:val="auto"/>
          <w:spacing w:val="20"/>
          <w:kern w:val="0"/>
          <w:sz w:val="24"/>
        </w:rPr>
        <w:t xml:space="preserve"> </w:t>
      </w:r>
    </w:p>
    <w:p>
      <w:pPr>
        <w:widowControl/>
        <w:wordWrap w:val="0"/>
        <w:spacing w:line="460" w:lineRule="exact"/>
        <w:ind w:firstLine="1920" w:firstLineChars="800"/>
        <w:jc w:val="left"/>
        <w:rPr>
          <w:rFonts w:hint="eastAsia" w:ascii="宋体" w:hAnsi="宋体" w:cs="宋体"/>
          <w:color w:val="auto"/>
          <w:kern w:val="0"/>
          <w:sz w:val="24"/>
        </w:rPr>
      </w:pPr>
    </w:p>
    <w:p>
      <w:pPr>
        <w:widowControl/>
        <w:wordWrap w:val="0"/>
        <w:spacing w:line="460" w:lineRule="exact"/>
        <w:ind w:firstLine="1920" w:firstLineChars="800"/>
        <w:jc w:val="left"/>
        <w:rPr>
          <w:rFonts w:hint="eastAsia" w:ascii="宋体" w:hAnsi="宋体" w:cs="宋体"/>
          <w:b/>
          <w:color w:val="auto"/>
          <w:kern w:val="0"/>
          <w:sz w:val="24"/>
        </w:rPr>
      </w:pPr>
      <w:r>
        <w:rPr>
          <w:rFonts w:hint="eastAsia" w:ascii="宋体" w:hAnsi="宋体" w:cs="宋体"/>
          <w:color w:val="auto"/>
          <w:kern w:val="0"/>
          <w:sz w:val="24"/>
        </w:rPr>
        <w:t>投标人：</w:t>
      </w:r>
      <w:r>
        <w:rPr>
          <w:rFonts w:hint="eastAsia" w:ascii="宋体" w:hAnsi="宋体" w:cs="宋体"/>
          <w:color w:val="auto"/>
          <w:kern w:val="0"/>
          <w:sz w:val="24"/>
          <w:u w:val="single"/>
        </w:rPr>
        <w:t xml:space="preserve">             </w:t>
      </w:r>
      <w:r>
        <w:rPr>
          <w:rFonts w:hint="eastAsia" w:ascii="宋体" w:hAnsi="宋体" w:cs="宋体"/>
          <w:color w:val="auto"/>
          <w:kern w:val="0"/>
          <w:sz w:val="24"/>
        </w:rPr>
        <w:t>（全称并加盖公章）</w:t>
      </w:r>
    </w:p>
    <w:p>
      <w:pPr>
        <w:widowControl/>
        <w:wordWrap w:val="0"/>
        <w:spacing w:line="460" w:lineRule="exact"/>
        <w:ind w:firstLine="4920" w:firstLineChars="2050"/>
        <w:jc w:val="left"/>
        <w:rPr>
          <w:rFonts w:hint="eastAsia" w:ascii="宋体" w:hAnsi="宋体" w:cs="宋体"/>
          <w:color w:val="auto"/>
          <w:kern w:val="0"/>
          <w:sz w:val="24"/>
        </w:rPr>
      </w:pPr>
    </w:p>
    <w:p>
      <w:pPr>
        <w:wordWrap w:val="0"/>
        <w:snapToGrid w:val="0"/>
        <w:spacing w:line="460" w:lineRule="exact"/>
        <w:ind w:firstLine="3600" w:firstLineChars="1500"/>
        <w:jc w:val="left"/>
        <w:rPr>
          <w:rStyle w:val="86"/>
          <w:rFonts w:hint="eastAsia" w:ascii="宋体" w:hAnsi="宋体" w:cs="宋体"/>
          <w:color w:val="auto"/>
          <w:kern w:val="0"/>
          <w:szCs w:val="24"/>
        </w:rPr>
      </w:pPr>
      <w:r>
        <w:rPr>
          <w:rFonts w:hint="eastAsia" w:ascii="宋体" w:hAnsi="宋体" w:cs="宋体"/>
          <w:color w:val="auto"/>
          <w:kern w:val="0"/>
          <w:sz w:val="24"/>
        </w:rPr>
        <w:t>年    月    日</w:t>
      </w:r>
    </w:p>
    <w:p>
      <w:pPr>
        <w:wordWrap w:val="0"/>
        <w:snapToGrid w:val="0"/>
        <w:spacing w:line="460" w:lineRule="exact"/>
        <w:jc w:val="left"/>
        <w:rPr>
          <w:rStyle w:val="86"/>
          <w:rFonts w:hint="eastAsia" w:ascii="宋体" w:hAnsi="宋体" w:cs="宋体"/>
          <w:color w:val="auto"/>
          <w:kern w:val="0"/>
        </w:rPr>
      </w:pPr>
      <w:r>
        <w:rPr>
          <w:rStyle w:val="86"/>
          <w:rFonts w:hint="eastAsia" w:ascii="宋体" w:hAnsi="宋体" w:cs="宋体"/>
          <w:color w:val="auto"/>
          <w:kern w:val="0"/>
        </w:rPr>
        <w:t xml:space="preserve">  </w:t>
      </w:r>
    </w:p>
    <w:p>
      <w:pPr>
        <w:wordWrap w:val="0"/>
        <w:snapToGrid w:val="0"/>
        <w:spacing w:line="460" w:lineRule="exact"/>
        <w:jc w:val="left"/>
        <w:rPr>
          <w:rStyle w:val="86"/>
          <w:rFonts w:hint="eastAsia" w:ascii="宋体" w:hAnsi="宋体" w:cs="宋体"/>
          <w:color w:val="auto"/>
          <w:kern w:val="0"/>
        </w:rPr>
      </w:pPr>
    </w:p>
    <w:p>
      <w:pPr>
        <w:wordWrap w:val="0"/>
        <w:snapToGrid w:val="0"/>
        <w:spacing w:line="460" w:lineRule="exact"/>
        <w:jc w:val="left"/>
        <w:rPr>
          <w:rStyle w:val="86"/>
          <w:rFonts w:hint="eastAsia" w:ascii="宋体" w:hAnsi="宋体" w:cs="宋体"/>
          <w:color w:val="auto"/>
          <w:kern w:val="0"/>
        </w:rPr>
      </w:pPr>
    </w:p>
    <w:p>
      <w:pPr>
        <w:wordWrap w:val="0"/>
        <w:snapToGrid w:val="0"/>
        <w:spacing w:line="460" w:lineRule="exact"/>
        <w:jc w:val="left"/>
        <w:rPr>
          <w:rStyle w:val="86"/>
          <w:rFonts w:hint="eastAsia" w:ascii="宋体" w:hAnsi="宋体" w:cs="宋体"/>
          <w:color w:val="auto"/>
          <w:kern w:val="0"/>
        </w:rPr>
      </w:pPr>
    </w:p>
    <w:p>
      <w:pPr>
        <w:wordWrap w:val="0"/>
        <w:snapToGrid w:val="0"/>
        <w:spacing w:line="460" w:lineRule="exact"/>
        <w:jc w:val="left"/>
        <w:rPr>
          <w:rStyle w:val="86"/>
          <w:rFonts w:hint="eastAsia" w:ascii="宋体" w:hAnsi="宋体" w:cs="宋体"/>
          <w:color w:val="auto"/>
          <w:kern w:val="0"/>
        </w:rPr>
      </w:pPr>
    </w:p>
    <w:p>
      <w:pPr>
        <w:wordWrap w:val="0"/>
        <w:snapToGrid w:val="0"/>
        <w:spacing w:line="460" w:lineRule="exact"/>
        <w:jc w:val="left"/>
        <w:rPr>
          <w:rStyle w:val="86"/>
          <w:rFonts w:hint="eastAsia" w:ascii="宋体" w:hAnsi="宋体" w:cs="宋体"/>
          <w:color w:val="auto"/>
          <w:kern w:val="0"/>
        </w:rPr>
      </w:pPr>
    </w:p>
    <w:p>
      <w:pPr>
        <w:wordWrap w:val="0"/>
        <w:snapToGrid w:val="0"/>
        <w:spacing w:line="460" w:lineRule="exact"/>
        <w:jc w:val="left"/>
        <w:rPr>
          <w:rStyle w:val="86"/>
          <w:rFonts w:hint="eastAsia" w:ascii="宋体" w:hAnsi="宋体" w:cs="宋体"/>
          <w:color w:val="auto"/>
          <w:kern w:val="0"/>
        </w:rPr>
      </w:pPr>
    </w:p>
    <w:p>
      <w:pPr>
        <w:wordWrap w:val="0"/>
        <w:snapToGrid w:val="0"/>
        <w:spacing w:line="460" w:lineRule="exact"/>
        <w:jc w:val="left"/>
        <w:rPr>
          <w:rStyle w:val="86"/>
          <w:rFonts w:hint="eastAsia" w:ascii="宋体" w:hAnsi="宋体" w:cs="宋体"/>
          <w:color w:val="auto"/>
          <w:kern w:val="0"/>
        </w:rPr>
      </w:pPr>
    </w:p>
    <w:p>
      <w:pPr>
        <w:widowControl/>
        <w:snapToGrid w:val="0"/>
        <w:spacing w:before="50" w:after="50"/>
        <w:rPr>
          <w:rFonts w:hint="eastAsia" w:ascii="宋体" w:hAnsi="宋体" w:cs="宋体"/>
          <w:b/>
          <w:color w:val="auto"/>
          <w:kern w:val="0"/>
          <w:sz w:val="24"/>
        </w:rPr>
      </w:pPr>
      <w:r>
        <w:rPr>
          <w:rFonts w:hint="eastAsia" w:ascii="宋体" w:hAnsi="宋体" w:cs="宋体"/>
          <w:b/>
          <w:color w:val="auto"/>
          <w:kern w:val="0"/>
          <w:sz w:val="24"/>
        </w:rPr>
        <w:t>附件5</w:t>
      </w:r>
    </w:p>
    <w:p>
      <w:pPr>
        <w:widowControl/>
        <w:tabs>
          <w:tab w:val="left" w:pos="3390"/>
          <w:tab w:val="center" w:pos="4201"/>
        </w:tabs>
        <w:ind w:firstLine="723" w:firstLineChars="200"/>
        <w:jc w:val="center"/>
        <w:rPr>
          <w:rFonts w:hint="eastAsia" w:ascii="宋体" w:hAnsi="宋体" w:cs="宋体"/>
          <w:color w:val="auto"/>
          <w:kern w:val="0"/>
          <w:sz w:val="32"/>
          <w:szCs w:val="32"/>
        </w:rPr>
      </w:pPr>
      <w:r>
        <w:rPr>
          <w:rFonts w:hint="eastAsia" w:ascii="宋体" w:hAnsi="宋体" w:cs="宋体"/>
          <w:b/>
          <w:color w:val="auto"/>
          <w:kern w:val="0"/>
          <w:sz w:val="36"/>
          <w:szCs w:val="36"/>
        </w:rPr>
        <w:t>供货范围</w:t>
      </w:r>
      <w:r>
        <w:rPr>
          <w:rFonts w:hint="eastAsia" w:ascii="宋体" w:hAnsi="宋体" w:cs="宋体"/>
          <w:b/>
          <w:bCs/>
          <w:color w:val="auto"/>
          <w:kern w:val="0"/>
          <w:sz w:val="36"/>
          <w:szCs w:val="36"/>
        </w:rPr>
        <w:t>清单</w:t>
      </w:r>
      <w:r>
        <w:rPr>
          <w:rFonts w:hint="eastAsia" w:cs="宋体"/>
          <w:color w:val="auto"/>
          <w:kern w:val="0"/>
          <w:sz w:val="36"/>
          <w:szCs w:val="36"/>
        </w:rPr>
        <w:t>（格式自拟）</w:t>
      </w:r>
    </w:p>
    <w:p>
      <w:pPr>
        <w:widowControl/>
        <w:wordWrap w:val="0"/>
        <w:spacing w:line="46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 xml:space="preserve"> </w:t>
      </w:r>
    </w:p>
    <w:p>
      <w:pPr>
        <w:widowControl/>
        <w:wordWrap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说明：</w:t>
      </w:r>
    </w:p>
    <w:p>
      <w:pPr>
        <w:widowControl/>
        <w:wordWrap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本清单应列明组成货物的主要件和关键件的名称、数量、原产地及单价。</w:t>
      </w:r>
    </w:p>
    <w:p>
      <w:pPr>
        <w:widowControl/>
        <w:wordWrap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本清单应列明专用工具的名称、数量、原产地及单价（如果有的话）。</w:t>
      </w:r>
    </w:p>
    <w:p>
      <w:pPr>
        <w:widowControl/>
        <w:wordWrap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本清单应列明备品备件的名称、数量、原产地及单价（如果有的话）。</w:t>
      </w:r>
    </w:p>
    <w:p>
      <w:pPr>
        <w:wordWrap w:val="0"/>
        <w:snapToGrid w:val="0"/>
        <w:spacing w:line="460" w:lineRule="exact"/>
        <w:jc w:val="left"/>
        <w:rPr>
          <w:rStyle w:val="86"/>
          <w:rFonts w:hint="eastAsia" w:ascii="宋体" w:hAnsi="宋体" w:cs="宋体"/>
          <w:color w:val="auto"/>
          <w:kern w:val="0"/>
          <w:szCs w:val="24"/>
        </w:rPr>
      </w:pPr>
      <w:r>
        <w:rPr>
          <w:rStyle w:val="86"/>
          <w:rFonts w:hint="eastAsia" w:ascii="宋体" w:hAnsi="宋体" w:cs="宋体"/>
          <w:color w:val="auto"/>
          <w:kern w:val="0"/>
          <w:szCs w:val="24"/>
        </w:rPr>
        <w:t xml:space="preserve">              </w:t>
      </w:r>
    </w:p>
    <w:p>
      <w:pPr>
        <w:widowControl/>
        <w:wordWrap w:val="0"/>
        <w:snapToGrid w:val="0"/>
        <w:spacing w:line="440" w:lineRule="exact"/>
        <w:jc w:val="left"/>
        <w:rPr>
          <w:rFonts w:hint="eastAsia" w:ascii="宋体" w:hAnsi="宋体" w:cs="宋体"/>
          <w:b/>
          <w:color w:val="auto"/>
          <w:kern w:val="0"/>
          <w:sz w:val="24"/>
        </w:rPr>
        <w:sectPr>
          <w:pgSz w:w="11906" w:h="16838"/>
          <w:pgMar w:top="1440" w:right="1800" w:bottom="1440" w:left="1800" w:header="851" w:footer="992" w:gutter="0"/>
          <w:pgNumType w:fmt="numberInDash"/>
          <w:cols w:space="720" w:num="1"/>
          <w:docGrid w:type="lines" w:linePitch="312" w:charSpace="0"/>
        </w:sectPr>
      </w:pPr>
    </w:p>
    <w:p>
      <w:pPr>
        <w:widowControl/>
        <w:wordWrap w:val="0"/>
        <w:snapToGrid w:val="0"/>
        <w:spacing w:line="440" w:lineRule="exact"/>
        <w:jc w:val="left"/>
        <w:outlineLvl w:val="0"/>
        <w:rPr>
          <w:rFonts w:hint="eastAsia" w:ascii="宋体" w:hAnsi="宋体" w:cs="宋体"/>
          <w:b/>
          <w:color w:val="auto"/>
          <w:kern w:val="0"/>
          <w:sz w:val="24"/>
        </w:rPr>
      </w:pPr>
      <w:r>
        <w:rPr>
          <w:rFonts w:hint="eastAsia" w:ascii="宋体" w:hAnsi="宋体" w:cs="宋体"/>
          <w:b/>
          <w:color w:val="auto"/>
          <w:kern w:val="0"/>
          <w:sz w:val="24"/>
        </w:rPr>
        <w:t xml:space="preserve">附件6                  </w:t>
      </w:r>
    </w:p>
    <w:p>
      <w:pPr>
        <w:widowControl/>
        <w:wordWrap w:val="0"/>
        <w:snapToGrid w:val="0"/>
        <w:spacing w:line="440" w:lineRule="exact"/>
        <w:jc w:val="center"/>
        <w:rPr>
          <w:rStyle w:val="86"/>
          <w:rFonts w:hint="eastAsia" w:ascii="宋体" w:hAnsi="宋体" w:cs="宋体"/>
          <w:color w:val="auto"/>
          <w:kern w:val="0"/>
        </w:rPr>
      </w:pPr>
      <w:r>
        <w:rPr>
          <w:rStyle w:val="86"/>
          <w:rFonts w:hint="eastAsia" w:ascii="宋体" w:hAnsi="宋体" w:cs="宋体"/>
          <w:b/>
          <w:color w:val="auto"/>
          <w:kern w:val="0"/>
        </w:rPr>
        <w:t>技术响应表</w:t>
      </w:r>
      <w:r>
        <w:rPr>
          <w:rStyle w:val="86"/>
          <w:rFonts w:hint="eastAsia" w:ascii="宋体" w:hAnsi="宋体" w:cs="宋体"/>
          <w:color w:val="auto"/>
          <w:kern w:val="0"/>
        </w:rPr>
        <w:t>（格式）</w:t>
      </w:r>
    </w:p>
    <w:p>
      <w:pPr>
        <w:wordWrap w:val="0"/>
        <w:snapToGrid w:val="0"/>
        <w:spacing w:line="460" w:lineRule="exact"/>
        <w:jc w:val="left"/>
        <w:rPr>
          <w:rStyle w:val="86"/>
          <w:rFonts w:hint="eastAsia" w:ascii="宋体" w:hAnsi="宋体" w:cs="宋体"/>
          <w:b/>
          <w:color w:val="auto"/>
          <w:kern w:val="0"/>
        </w:rPr>
      </w:pPr>
      <w:r>
        <w:rPr>
          <w:rStyle w:val="86"/>
          <w:rFonts w:hint="eastAsia" w:ascii="宋体" w:hAnsi="宋体" w:cs="宋体"/>
          <w:color w:val="auto"/>
          <w:kern w:val="0"/>
        </w:rPr>
        <w:t>项目编号：</w:t>
      </w:r>
      <w:r>
        <w:rPr>
          <w:rStyle w:val="86"/>
          <w:rFonts w:hint="eastAsia" w:ascii="宋体" w:hAnsi="宋体" w:cs="宋体"/>
          <w:color w:val="auto"/>
          <w:kern w:val="0"/>
          <w:u w:val="single" w:color="000000"/>
        </w:rPr>
        <w:t xml:space="preserve">         </w:t>
      </w:r>
      <w:r>
        <w:rPr>
          <w:rStyle w:val="86"/>
          <w:rFonts w:hint="eastAsia" w:ascii="宋体" w:hAnsi="宋体" w:cs="宋体"/>
          <w:color w:val="auto"/>
          <w:kern w:val="0"/>
        </w:rPr>
        <w:t xml:space="preserve">        </w:t>
      </w:r>
      <w:r>
        <w:rPr>
          <w:rStyle w:val="86"/>
          <w:rFonts w:hint="eastAsia" w:ascii="宋体" w:hAnsi="宋体" w:cs="宋体"/>
          <w:color w:val="auto"/>
          <w:kern w:val="0"/>
          <w:lang w:val="en-US" w:eastAsia="zh-CN"/>
        </w:rPr>
        <w:t xml:space="preserve">      标包号</w:t>
      </w:r>
      <w:r>
        <w:rPr>
          <w:rStyle w:val="86"/>
          <w:rFonts w:hint="eastAsia" w:ascii="宋体" w:hAnsi="宋体" w:cs="宋体"/>
          <w:color w:val="auto"/>
          <w:kern w:val="0"/>
        </w:rPr>
        <w:t xml:space="preserve"> </w:t>
      </w:r>
      <w:r>
        <w:rPr>
          <w:rStyle w:val="86"/>
          <w:rFonts w:hint="eastAsia" w:ascii="宋体" w:hAnsi="宋体" w:cs="宋体"/>
          <w:color w:val="auto"/>
          <w:kern w:val="0"/>
          <w:lang w:eastAsia="zh-CN"/>
        </w:rPr>
        <w:t>：</w:t>
      </w:r>
      <w:r>
        <w:rPr>
          <w:rStyle w:val="86"/>
          <w:rFonts w:hint="eastAsia" w:ascii="宋体" w:hAnsi="宋体" w:cs="宋体"/>
          <w:color w:val="auto"/>
          <w:kern w:val="0"/>
          <w:u w:val="single"/>
        </w:rPr>
        <w:t xml:space="preserve">          </w:t>
      </w:r>
      <w:r>
        <w:rPr>
          <w:rStyle w:val="86"/>
          <w:rFonts w:hint="eastAsia" w:ascii="宋体" w:hAnsi="宋体" w:cs="宋体"/>
          <w:color w:val="auto"/>
          <w:kern w:val="0"/>
        </w:rPr>
        <w:t xml:space="preserve">         </w:t>
      </w:r>
    </w:p>
    <w:tbl>
      <w:tblPr>
        <w:tblStyle w:val="47"/>
        <w:tblW w:w="8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515"/>
        <w:gridCol w:w="2790"/>
        <w:gridCol w:w="2371"/>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1014" w:type="dxa"/>
            <w:tcBorders>
              <w:top w:val="single" w:color="auto" w:sz="4" w:space="0"/>
              <w:left w:val="single" w:color="auto" w:sz="4" w:space="0"/>
              <w:bottom w:val="single" w:color="auto" w:sz="4" w:space="0"/>
              <w:right w:val="single" w:color="auto" w:sz="4" w:space="0"/>
            </w:tcBorders>
            <w:vAlign w:val="center"/>
          </w:tcPr>
          <w:p>
            <w:pPr>
              <w:widowControl/>
              <w:wordWrap w:val="0"/>
              <w:spacing w:before="156" w:after="156" w:line="360" w:lineRule="auto"/>
              <w:jc w:val="center"/>
              <w:rPr>
                <w:rFonts w:hint="eastAsia" w:ascii="宋体" w:hAnsi="宋体"/>
                <w:color w:val="auto"/>
                <w:kern w:val="0"/>
                <w:sz w:val="24"/>
              </w:rPr>
            </w:pPr>
            <w:r>
              <w:rPr>
                <w:rFonts w:hint="eastAsia" w:ascii="宋体" w:hAnsi="宋体"/>
                <w:color w:val="auto"/>
                <w:kern w:val="0"/>
                <w:sz w:val="24"/>
              </w:rPr>
              <w:t>序号</w:t>
            </w:r>
          </w:p>
        </w:tc>
        <w:tc>
          <w:tcPr>
            <w:tcW w:w="1515" w:type="dxa"/>
            <w:tcBorders>
              <w:top w:val="single" w:color="auto" w:sz="4" w:space="0"/>
              <w:left w:val="nil"/>
              <w:bottom w:val="single" w:color="auto" w:sz="4" w:space="0"/>
              <w:right w:val="single" w:color="auto" w:sz="4" w:space="0"/>
            </w:tcBorders>
            <w:vAlign w:val="center"/>
          </w:tcPr>
          <w:p>
            <w:pPr>
              <w:widowControl/>
              <w:wordWrap w:val="0"/>
              <w:spacing w:before="156" w:after="156" w:line="360" w:lineRule="auto"/>
              <w:jc w:val="center"/>
              <w:rPr>
                <w:rFonts w:hint="eastAsia" w:ascii="宋体" w:hAnsi="宋体"/>
                <w:color w:val="auto"/>
                <w:kern w:val="0"/>
                <w:sz w:val="24"/>
              </w:rPr>
            </w:pPr>
            <w:r>
              <w:rPr>
                <w:rFonts w:hint="eastAsia" w:ascii="宋体" w:hAnsi="宋体"/>
                <w:color w:val="auto"/>
                <w:kern w:val="0"/>
                <w:sz w:val="24"/>
              </w:rPr>
              <w:t>货物名称</w:t>
            </w:r>
          </w:p>
        </w:tc>
        <w:tc>
          <w:tcPr>
            <w:tcW w:w="2790" w:type="dxa"/>
            <w:tcBorders>
              <w:top w:val="single" w:color="auto" w:sz="4" w:space="0"/>
              <w:left w:val="nil"/>
              <w:bottom w:val="single" w:color="auto" w:sz="4" w:space="0"/>
              <w:right w:val="single" w:color="auto" w:sz="4" w:space="0"/>
            </w:tcBorders>
            <w:vAlign w:val="center"/>
          </w:tcPr>
          <w:p>
            <w:pPr>
              <w:widowControl/>
              <w:wordWrap w:val="0"/>
              <w:spacing w:before="156" w:after="156" w:line="360" w:lineRule="auto"/>
              <w:ind w:firstLine="240" w:firstLineChars="100"/>
              <w:jc w:val="center"/>
              <w:rPr>
                <w:rFonts w:hint="eastAsia" w:ascii="宋体" w:hAnsi="宋体"/>
                <w:color w:val="auto"/>
                <w:kern w:val="0"/>
                <w:sz w:val="24"/>
              </w:rPr>
            </w:pPr>
            <w:r>
              <w:rPr>
                <w:rFonts w:hint="eastAsia" w:ascii="宋体" w:hAnsi="宋体"/>
                <w:color w:val="auto"/>
                <w:kern w:val="0"/>
                <w:sz w:val="24"/>
              </w:rPr>
              <w:t>招标文件要求</w:t>
            </w:r>
          </w:p>
        </w:tc>
        <w:tc>
          <w:tcPr>
            <w:tcW w:w="2371" w:type="dxa"/>
            <w:tcBorders>
              <w:top w:val="single" w:color="auto" w:sz="4" w:space="0"/>
              <w:left w:val="nil"/>
              <w:bottom w:val="single" w:color="auto" w:sz="4" w:space="0"/>
              <w:right w:val="single" w:color="auto" w:sz="4" w:space="0"/>
            </w:tcBorders>
            <w:vAlign w:val="center"/>
          </w:tcPr>
          <w:p>
            <w:pPr>
              <w:widowControl/>
              <w:wordWrap w:val="0"/>
              <w:spacing w:before="156" w:after="156" w:line="360" w:lineRule="auto"/>
              <w:jc w:val="center"/>
              <w:rPr>
                <w:rFonts w:hint="eastAsia" w:ascii="宋体" w:hAnsi="宋体"/>
                <w:color w:val="auto"/>
                <w:kern w:val="0"/>
                <w:sz w:val="24"/>
              </w:rPr>
            </w:pPr>
            <w:r>
              <w:rPr>
                <w:rFonts w:hint="eastAsia" w:ascii="宋体" w:hAnsi="宋体"/>
                <w:color w:val="auto"/>
                <w:kern w:val="0"/>
                <w:sz w:val="24"/>
              </w:rPr>
              <w:t>投标文件响应情况</w:t>
            </w:r>
          </w:p>
        </w:tc>
        <w:tc>
          <w:tcPr>
            <w:tcW w:w="1199" w:type="dxa"/>
            <w:tcBorders>
              <w:top w:val="single" w:color="auto" w:sz="4" w:space="0"/>
              <w:left w:val="nil"/>
              <w:bottom w:val="single" w:color="auto" w:sz="4" w:space="0"/>
              <w:right w:val="single" w:color="auto" w:sz="4" w:space="0"/>
            </w:tcBorders>
            <w:vAlign w:val="center"/>
          </w:tcPr>
          <w:p>
            <w:pPr>
              <w:widowControl/>
              <w:wordWrap w:val="0"/>
              <w:spacing w:before="156" w:after="156" w:line="360" w:lineRule="auto"/>
              <w:jc w:val="center"/>
              <w:rPr>
                <w:rFonts w:hint="eastAsia" w:ascii="宋体" w:hAnsi="宋体"/>
                <w:color w:val="auto"/>
                <w:kern w:val="0"/>
                <w:sz w:val="24"/>
              </w:rPr>
            </w:pPr>
            <w:r>
              <w:rPr>
                <w:rFonts w:hint="eastAsia" w:ascii="宋体" w:hAnsi="宋体"/>
                <w:color w:val="auto"/>
                <w:kern w:val="0"/>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8" w:hRule="atLeast"/>
        </w:trPr>
        <w:tc>
          <w:tcPr>
            <w:tcW w:w="1014" w:type="dxa"/>
            <w:tcBorders>
              <w:top w:val="single" w:color="auto" w:sz="4" w:space="0"/>
              <w:left w:val="single" w:color="auto" w:sz="4" w:space="0"/>
              <w:bottom w:val="single" w:color="auto" w:sz="4" w:space="0"/>
              <w:right w:val="single" w:color="auto" w:sz="4" w:space="0"/>
            </w:tcBorders>
            <w:vAlign w:val="center"/>
          </w:tcPr>
          <w:p>
            <w:pPr>
              <w:widowControl/>
              <w:wordWrap w:val="0"/>
              <w:spacing w:before="156" w:after="156" w:line="360" w:lineRule="auto"/>
              <w:jc w:val="center"/>
              <w:rPr>
                <w:rFonts w:hint="eastAsia" w:ascii="宋体" w:hAnsi="宋体"/>
                <w:color w:val="auto"/>
                <w:kern w:val="0"/>
                <w:sz w:val="24"/>
              </w:rPr>
            </w:pPr>
            <w:r>
              <w:rPr>
                <w:rFonts w:hint="eastAsia" w:ascii="宋体" w:hAnsi="宋体"/>
                <w:color w:val="auto"/>
                <w:kern w:val="0"/>
                <w:sz w:val="24"/>
              </w:rPr>
              <w:t>1</w:t>
            </w:r>
          </w:p>
        </w:tc>
        <w:tc>
          <w:tcPr>
            <w:tcW w:w="1515" w:type="dxa"/>
            <w:tcBorders>
              <w:top w:val="single" w:color="auto" w:sz="4" w:space="0"/>
              <w:left w:val="nil"/>
              <w:bottom w:val="single" w:color="auto" w:sz="4" w:space="0"/>
              <w:right w:val="single" w:color="auto" w:sz="4" w:space="0"/>
            </w:tcBorders>
            <w:vAlign w:val="center"/>
          </w:tcPr>
          <w:p>
            <w:pPr>
              <w:widowControl/>
              <w:wordWrap w:val="0"/>
              <w:spacing w:before="156" w:after="156" w:line="360" w:lineRule="auto"/>
              <w:jc w:val="center"/>
              <w:rPr>
                <w:rFonts w:hint="eastAsia" w:ascii="宋体" w:hAnsi="宋体"/>
                <w:color w:val="auto"/>
                <w:kern w:val="0"/>
                <w:sz w:val="24"/>
              </w:rPr>
            </w:pPr>
          </w:p>
        </w:tc>
        <w:tc>
          <w:tcPr>
            <w:tcW w:w="2790" w:type="dxa"/>
            <w:tcBorders>
              <w:top w:val="single" w:color="auto" w:sz="4" w:space="0"/>
              <w:left w:val="nil"/>
              <w:bottom w:val="single" w:color="auto" w:sz="4" w:space="0"/>
              <w:right w:val="single" w:color="auto" w:sz="4" w:space="0"/>
            </w:tcBorders>
          </w:tcPr>
          <w:p>
            <w:pPr>
              <w:wordWrap w:val="0"/>
              <w:spacing w:before="156" w:after="156" w:line="360" w:lineRule="auto"/>
              <w:jc w:val="left"/>
              <w:rPr>
                <w:rFonts w:hint="eastAsia" w:ascii="宋体" w:hAnsi="宋体"/>
                <w:color w:val="auto"/>
                <w:kern w:val="0"/>
                <w:sz w:val="24"/>
              </w:rPr>
            </w:pPr>
          </w:p>
        </w:tc>
        <w:tc>
          <w:tcPr>
            <w:tcW w:w="2371" w:type="dxa"/>
            <w:tcBorders>
              <w:top w:val="single" w:color="auto" w:sz="4" w:space="0"/>
              <w:left w:val="nil"/>
              <w:bottom w:val="single" w:color="auto" w:sz="4" w:space="0"/>
              <w:right w:val="single" w:color="auto" w:sz="4" w:space="0"/>
            </w:tcBorders>
          </w:tcPr>
          <w:p>
            <w:pPr>
              <w:wordWrap w:val="0"/>
              <w:spacing w:before="156" w:after="156" w:line="360" w:lineRule="auto"/>
              <w:jc w:val="left"/>
              <w:rPr>
                <w:rFonts w:hint="eastAsia" w:ascii="宋体" w:hAnsi="宋体"/>
                <w:color w:val="auto"/>
                <w:kern w:val="0"/>
                <w:sz w:val="24"/>
              </w:rPr>
            </w:pPr>
          </w:p>
        </w:tc>
        <w:tc>
          <w:tcPr>
            <w:tcW w:w="1199" w:type="dxa"/>
            <w:tcBorders>
              <w:top w:val="single" w:color="auto" w:sz="4" w:space="0"/>
              <w:left w:val="nil"/>
              <w:bottom w:val="single" w:color="auto" w:sz="4" w:space="0"/>
              <w:right w:val="single" w:color="auto" w:sz="4" w:space="0"/>
            </w:tcBorders>
          </w:tcPr>
          <w:p>
            <w:pPr>
              <w:widowControl/>
              <w:wordWrap w:val="0"/>
              <w:spacing w:before="156" w:after="156" w:line="360" w:lineRule="auto"/>
              <w:jc w:val="left"/>
              <w:rPr>
                <w:rFonts w:hint="eastAsia"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8" w:hRule="atLeast"/>
        </w:trPr>
        <w:tc>
          <w:tcPr>
            <w:tcW w:w="1014" w:type="dxa"/>
            <w:tcBorders>
              <w:top w:val="single" w:color="auto" w:sz="4" w:space="0"/>
              <w:left w:val="single" w:color="auto" w:sz="4" w:space="0"/>
              <w:bottom w:val="single" w:color="auto" w:sz="4" w:space="0"/>
              <w:right w:val="single" w:color="auto" w:sz="4" w:space="0"/>
            </w:tcBorders>
            <w:vAlign w:val="center"/>
          </w:tcPr>
          <w:p>
            <w:pPr>
              <w:widowControl/>
              <w:wordWrap w:val="0"/>
              <w:spacing w:before="156" w:after="156" w:line="360" w:lineRule="auto"/>
              <w:jc w:val="center"/>
              <w:rPr>
                <w:rFonts w:hint="eastAsia" w:ascii="宋体" w:hAnsi="宋体"/>
                <w:color w:val="auto"/>
                <w:kern w:val="0"/>
                <w:sz w:val="24"/>
              </w:rPr>
            </w:pPr>
            <w:r>
              <w:rPr>
                <w:rFonts w:hint="eastAsia" w:ascii="宋体" w:hAnsi="宋体"/>
                <w:color w:val="auto"/>
                <w:kern w:val="0"/>
                <w:sz w:val="24"/>
              </w:rPr>
              <w:t>2</w:t>
            </w:r>
          </w:p>
        </w:tc>
        <w:tc>
          <w:tcPr>
            <w:tcW w:w="1515" w:type="dxa"/>
            <w:tcBorders>
              <w:top w:val="single" w:color="auto" w:sz="4" w:space="0"/>
              <w:left w:val="nil"/>
              <w:bottom w:val="single" w:color="auto" w:sz="4" w:space="0"/>
              <w:right w:val="single" w:color="auto" w:sz="4" w:space="0"/>
            </w:tcBorders>
            <w:vAlign w:val="center"/>
          </w:tcPr>
          <w:p>
            <w:pPr>
              <w:widowControl/>
              <w:wordWrap w:val="0"/>
              <w:spacing w:before="156" w:after="156" w:line="360" w:lineRule="auto"/>
              <w:jc w:val="center"/>
              <w:rPr>
                <w:rFonts w:hint="eastAsia" w:ascii="宋体" w:hAnsi="宋体"/>
                <w:color w:val="auto"/>
                <w:kern w:val="0"/>
                <w:sz w:val="24"/>
              </w:rPr>
            </w:pPr>
          </w:p>
        </w:tc>
        <w:tc>
          <w:tcPr>
            <w:tcW w:w="2790" w:type="dxa"/>
            <w:tcBorders>
              <w:top w:val="single" w:color="auto" w:sz="4" w:space="0"/>
              <w:left w:val="nil"/>
              <w:bottom w:val="single" w:color="auto" w:sz="4" w:space="0"/>
              <w:right w:val="single" w:color="auto" w:sz="4" w:space="0"/>
            </w:tcBorders>
          </w:tcPr>
          <w:p>
            <w:pPr>
              <w:wordWrap w:val="0"/>
              <w:spacing w:before="156" w:after="156" w:line="360" w:lineRule="auto"/>
              <w:jc w:val="left"/>
              <w:rPr>
                <w:rFonts w:hint="eastAsia" w:ascii="宋体" w:hAnsi="宋体"/>
                <w:color w:val="auto"/>
                <w:kern w:val="0"/>
                <w:sz w:val="24"/>
              </w:rPr>
            </w:pPr>
          </w:p>
        </w:tc>
        <w:tc>
          <w:tcPr>
            <w:tcW w:w="2371" w:type="dxa"/>
            <w:tcBorders>
              <w:top w:val="single" w:color="auto" w:sz="4" w:space="0"/>
              <w:left w:val="nil"/>
              <w:bottom w:val="single" w:color="auto" w:sz="4" w:space="0"/>
              <w:right w:val="single" w:color="auto" w:sz="4" w:space="0"/>
            </w:tcBorders>
          </w:tcPr>
          <w:p>
            <w:pPr>
              <w:wordWrap w:val="0"/>
              <w:spacing w:before="156" w:after="156" w:line="360" w:lineRule="auto"/>
              <w:jc w:val="left"/>
              <w:rPr>
                <w:rFonts w:hint="eastAsia" w:ascii="宋体" w:hAnsi="宋体"/>
                <w:color w:val="auto"/>
                <w:kern w:val="0"/>
                <w:sz w:val="24"/>
              </w:rPr>
            </w:pPr>
          </w:p>
        </w:tc>
        <w:tc>
          <w:tcPr>
            <w:tcW w:w="1199" w:type="dxa"/>
            <w:tcBorders>
              <w:top w:val="single" w:color="auto" w:sz="4" w:space="0"/>
              <w:left w:val="nil"/>
              <w:bottom w:val="single" w:color="auto" w:sz="4" w:space="0"/>
              <w:right w:val="single" w:color="auto" w:sz="4" w:space="0"/>
            </w:tcBorders>
          </w:tcPr>
          <w:p>
            <w:pPr>
              <w:widowControl/>
              <w:wordWrap w:val="0"/>
              <w:spacing w:before="156" w:after="156" w:line="360" w:lineRule="auto"/>
              <w:jc w:val="left"/>
              <w:rPr>
                <w:rFonts w:hint="eastAsia"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8" w:hRule="atLeast"/>
        </w:trPr>
        <w:tc>
          <w:tcPr>
            <w:tcW w:w="1014" w:type="dxa"/>
            <w:tcBorders>
              <w:top w:val="single" w:color="auto" w:sz="4" w:space="0"/>
              <w:left w:val="single" w:color="auto" w:sz="4" w:space="0"/>
              <w:bottom w:val="single" w:color="auto" w:sz="4" w:space="0"/>
              <w:right w:val="single" w:color="auto" w:sz="4" w:space="0"/>
            </w:tcBorders>
            <w:vAlign w:val="center"/>
          </w:tcPr>
          <w:p>
            <w:pPr>
              <w:widowControl/>
              <w:wordWrap w:val="0"/>
              <w:spacing w:before="156" w:after="156" w:line="360" w:lineRule="auto"/>
              <w:jc w:val="center"/>
              <w:rPr>
                <w:rFonts w:hint="eastAsia" w:ascii="宋体" w:hAnsi="宋体"/>
                <w:color w:val="auto"/>
                <w:kern w:val="0"/>
                <w:sz w:val="24"/>
              </w:rPr>
            </w:pPr>
            <w:r>
              <w:rPr>
                <w:rFonts w:hint="eastAsia" w:ascii="宋体" w:hAnsi="宋体"/>
                <w:color w:val="auto"/>
                <w:kern w:val="0"/>
                <w:sz w:val="24"/>
              </w:rPr>
              <w:t>...</w:t>
            </w:r>
          </w:p>
        </w:tc>
        <w:tc>
          <w:tcPr>
            <w:tcW w:w="1515" w:type="dxa"/>
            <w:tcBorders>
              <w:top w:val="single" w:color="auto" w:sz="4" w:space="0"/>
              <w:left w:val="nil"/>
              <w:bottom w:val="single" w:color="auto" w:sz="4" w:space="0"/>
              <w:right w:val="single" w:color="auto" w:sz="4" w:space="0"/>
            </w:tcBorders>
            <w:vAlign w:val="center"/>
          </w:tcPr>
          <w:p>
            <w:pPr>
              <w:widowControl/>
              <w:wordWrap w:val="0"/>
              <w:spacing w:before="156" w:after="156" w:line="360" w:lineRule="auto"/>
              <w:jc w:val="center"/>
              <w:rPr>
                <w:rFonts w:hint="eastAsia" w:ascii="宋体" w:hAnsi="宋体"/>
                <w:color w:val="auto"/>
                <w:kern w:val="0"/>
                <w:sz w:val="24"/>
              </w:rPr>
            </w:pPr>
          </w:p>
        </w:tc>
        <w:tc>
          <w:tcPr>
            <w:tcW w:w="2790" w:type="dxa"/>
            <w:tcBorders>
              <w:top w:val="single" w:color="auto" w:sz="4" w:space="0"/>
              <w:left w:val="nil"/>
              <w:bottom w:val="single" w:color="auto" w:sz="4" w:space="0"/>
              <w:right w:val="single" w:color="auto" w:sz="4" w:space="0"/>
            </w:tcBorders>
          </w:tcPr>
          <w:p>
            <w:pPr>
              <w:wordWrap w:val="0"/>
              <w:spacing w:before="156" w:after="156" w:line="360" w:lineRule="auto"/>
              <w:jc w:val="left"/>
              <w:rPr>
                <w:rFonts w:hint="eastAsia" w:ascii="宋体" w:hAnsi="宋体"/>
                <w:color w:val="auto"/>
                <w:kern w:val="0"/>
                <w:sz w:val="24"/>
              </w:rPr>
            </w:pPr>
          </w:p>
        </w:tc>
        <w:tc>
          <w:tcPr>
            <w:tcW w:w="2371" w:type="dxa"/>
            <w:tcBorders>
              <w:top w:val="single" w:color="auto" w:sz="4" w:space="0"/>
              <w:left w:val="nil"/>
              <w:bottom w:val="single" w:color="auto" w:sz="4" w:space="0"/>
              <w:right w:val="single" w:color="auto" w:sz="4" w:space="0"/>
            </w:tcBorders>
          </w:tcPr>
          <w:p>
            <w:pPr>
              <w:wordWrap w:val="0"/>
              <w:spacing w:before="156" w:after="156" w:line="360" w:lineRule="auto"/>
              <w:jc w:val="left"/>
              <w:rPr>
                <w:rFonts w:hint="eastAsia" w:ascii="宋体" w:hAnsi="宋体"/>
                <w:color w:val="auto"/>
                <w:kern w:val="0"/>
                <w:sz w:val="24"/>
              </w:rPr>
            </w:pPr>
          </w:p>
        </w:tc>
        <w:tc>
          <w:tcPr>
            <w:tcW w:w="1199" w:type="dxa"/>
            <w:tcBorders>
              <w:top w:val="single" w:color="auto" w:sz="4" w:space="0"/>
              <w:left w:val="nil"/>
              <w:bottom w:val="single" w:color="auto" w:sz="4" w:space="0"/>
              <w:right w:val="single" w:color="auto" w:sz="4" w:space="0"/>
            </w:tcBorders>
          </w:tcPr>
          <w:p>
            <w:pPr>
              <w:widowControl/>
              <w:wordWrap w:val="0"/>
              <w:spacing w:before="156" w:after="156" w:line="360" w:lineRule="auto"/>
              <w:jc w:val="left"/>
              <w:rPr>
                <w:rFonts w:hint="eastAsia"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2529"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left"/>
              <w:outlineLvl w:val="0"/>
              <w:rPr>
                <w:rFonts w:hint="eastAsia" w:ascii="宋体" w:hAnsi="宋体" w:cs="宋体"/>
                <w:color w:val="auto"/>
                <w:kern w:val="0"/>
                <w:sz w:val="28"/>
                <w:szCs w:val="28"/>
              </w:rPr>
            </w:pPr>
            <w:r>
              <w:rPr>
                <w:rFonts w:ascii="宋体" w:hAnsi="宋体" w:cs="宋体"/>
                <w:color w:val="auto"/>
                <w:kern w:val="0"/>
                <w:sz w:val="28"/>
                <w:szCs w:val="28"/>
              </w:rPr>
              <w:t>质量标准</w:t>
            </w:r>
          </w:p>
        </w:tc>
        <w:tc>
          <w:tcPr>
            <w:tcW w:w="6360" w:type="dxa"/>
            <w:gridSpan w:val="3"/>
            <w:tcBorders>
              <w:top w:val="single" w:color="auto" w:sz="4" w:space="0"/>
              <w:left w:val="nil"/>
              <w:bottom w:val="single" w:color="auto" w:sz="4" w:space="0"/>
              <w:right w:val="single" w:color="auto" w:sz="4" w:space="0"/>
            </w:tcBorders>
            <w:vAlign w:val="center"/>
          </w:tcPr>
          <w:p>
            <w:pPr>
              <w:widowControl/>
              <w:wordWrap w:val="0"/>
              <w:snapToGrid w:val="0"/>
              <w:spacing w:line="360" w:lineRule="auto"/>
              <w:jc w:val="left"/>
              <w:outlineLvl w:val="0"/>
              <w:rPr>
                <w:rFonts w:hint="eastAsia" w:ascii="宋体" w:hAnsi="宋体"/>
                <w:color w:val="auto"/>
                <w:kern w:val="0"/>
                <w:sz w:val="24"/>
              </w:rPr>
            </w:pPr>
            <w:r>
              <w:rPr>
                <w:rFonts w:ascii="宋体" w:hAnsi="宋体" w:cs="宋体"/>
                <w:color w:val="auto"/>
                <w:kern w:val="0"/>
                <w:sz w:val="28"/>
                <w:szCs w:val="28"/>
              </w:rPr>
              <w:t xml:space="preserve">  </w:t>
            </w:r>
            <w:r>
              <w:rPr>
                <w:rFonts w:hint="eastAsia" w:ascii="宋体" w:hAnsi="宋体" w:cs="宋体"/>
                <w:color w:val="auto"/>
                <w:kern w:val="0"/>
                <w:sz w:val="28"/>
                <w:szCs w:val="28"/>
              </w:rPr>
              <w:t>（国家标准、行业标准、地区标准等）</w:t>
            </w:r>
          </w:p>
        </w:tc>
      </w:tr>
    </w:tbl>
    <w:p>
      <w:pPr>
        <w:wordWrap w:val="0"/>
        <w:spacing w:line="460" w:lineRule="exact"/>
        <w:jc w:val="left"/>
        <w:rPr>
          <w:rStyle w:val="86"/>
          <w:rFonts w:hint="eastAsia" w:ascii="宋体" w:hAnsi="宋体" w:cs="宋体"/>
          <w:bCs/>
          <w:color w:val="auto"/>
          <w:kern w:val="0"/>
        </w:rPr>
      </w:pPr>
    </w:p>
    <w:p>
      <w:pPr>
        <w:wordWrap w:val="0"/>
        <w:spacing w:line="460" w:lineRule="exact"/>
        <w:jc w:val="left"/>
        <w:rPr>
          <w:rStyle w:val="86"/>
          <w:rFonts w:hint="eastAsia" w:ascii="宋体" w:hAnsi="宋体" w:cs="宋体"/>
          <w:bCs/>
          <w:color w:val="auto"/>
          <w:kern w:val="0"/>
        </w:rPr>
      </w:pPr>
      <w:r>
        <w:rPr>
          <w:rStyle w:val="86"/>
          <w:rFonts w:hint="eastAsia" w:ascii="宋体" w:hAnsi="宋体" w:cs="宋体"/>
          <w:bCs/>
          <w:color w:val="auto"/>
          <w:kern w:val="0"/>
        </w:rPr>
        <w:t>注：投标人必须如实完整填写表格， “偏离情况”是指“正偏离”、“负偏离”或“无偏离”。</w:t>
      </w:r>
    </w:p>
    <w:p>
      <w:pPr>
        <w:wordWrap w:val="0"/>
        <w:spacing w:line="460" w:lineRule="exact"/>
        <w:ind w:firstLine="2898" w:firstLineChars="1150"/>
        <w:jc w:val="left"/>
        <w:rPr>
          <w:rStyle w:val="86"/>
          <w:rFonts w:hint="eastAsia" w:ascii="宋体" w:hAnsi="宋体" w:cs="宋体"/>
          <w:color w:val="auto"/>
          <w:kern w:val="0"/>
        </w:rPr>
      </w:pPr>
    </w:p>
    <w:p>
      <w:pPr>
        <w:wordWrap w:val="0"/>
        <w:spacing w:line="460" w:lineRule="exact"/>
        <w:ind w:firstLine="2898" w:firstLineChars="1150"/>
        <w:jc w:val="left"/>
        <w:rPr>
          <w:rStyle w:val="86"/>
          <w:rFonts w:hint="eastAsia" w:ascii="宋体" w:hAnsi="宋体" w:cs="宋体"/>
          <w:color w:val="auto"/>
          <w:kern w:val="0"/>
        </w:rPr>
      </w:pPr>
    </w:p>
    <w:p>
      <w:pPr>
        <w:wordWrap w:val="0"/>
        <w:spacing w:line="460" w:lineRule="exact"/>
        <w:ind w:firstLine="2898" w:firstLineChars="1150"/>
        <w:jc w:val="left"/>
        <w:rPr>
          <w:rStyle w:val="86"/>
          <w:rFonts w:hint="eastAsia" w:ascii="宋体" w:hAnsi="宋体" w:cs="宋体"/>
          <w:color w:val="auto"/>
          <w:kern w:val="0"/>
        </w:rPr>
      </w:pPr>
    </w:p>
    <w:p>
      <w:pPr>
        <w:wordWrap w:val="0"/>
        <w:spacing w:line="460" w:lineRule="exact"/>
        <w:ind w:left="2999" w:leftChars="1368" w:hanging="126" w:hangingChars="50"/>
        <w:jc w:val="left"/>
        <w:rPr>
          <w:rStyle w:val="86"/>
          <w:rFonts w:hint="eastAsia" w:ascii="宋体" w:hAnsi="宋体" w:cs="宋体"/>
          <w:color w:val="auto"/>
          <w:kern w:val="0"/>
        </w:rPr>
      </w:pPr>
      <w:r>
        <w:rPr>
          <w:rStyle w:val="86"/>
          <w:rFonts w:hint="eastAsia" w:ascii="宋体" w:hAnsi="宋体" w:cs="宋体"/>
          <w:color w:val="auto"/>
          <w:kern w:val="0"/>
        </w:rPr>
        <w:t xml:space="preserve">法定代表人或委托代理人（签字或盖章）： </w:t>
      </w:r>
    </w:p>
    <w:p>
      <w:pPr>
        <w:wordWrap w:val="0"/>
        <w:spacing w:line="460" w:lineRule="exact"/>
        <w:ind w:left="2999" w:leftChars="1368" w:hanging="126" w:hangingChars="50"/>
        <w:jc w:val="left"/>
        <w:rPr>
          <w:rStyle w:val="86"/>
          <w:rFonts w:hint="eastAsia" w:ascii="宋体" w:hAnsi="宋体" w:cs="宋体"/>
          <w:color w:val="auto"/>
          <w:kern w:val="0"/>
          <w:sz w:val="52"/>
          <w:szCs w:val="52"/>
        </w:rPr>
      </w:pPr>
      <w:r>
        <w:rPr>
          <w:rStyle w:val="86"/>
          <w:rFonts w:hint="eastAsia" w:ascii="宋体" w:hAnsi="宋体" w:cs="宋体"/>
          <w:color w:val="auto"/>
          <w:kern w:val="0"/>
        </w:rPr>
        <w:t>投标人：</w:t>
      </w:r>
      <w:r>
        <w:rPr>
          <w:rStyle w:val="86"/>
          <w:rFonts w:hint="eastAsia" w:ascii="宋体" w:hAnsi="宋体" w:cs="宋体"/>
          <w:color w:val="auto"/>
          <w:kern w:val="0"/>
          <w:u w:val="single" w:color="000000"/>
        </w:rPr>
        <w:t xml:space="preserve">                 </w:t>
      </w:r>
      <w:r>
        <w:rPr>
          <w:rStyle w:val="86"/>
          <w:rFonts w:hint="eastAsia" w:ascii="宋体" w:hAnsi="宋体" w:cs="宋体"/>
          <w:color w:val="auto"/>
          <w:kern w:val="0"/>
        </w:rPr>
        <w:t>（全称并加盖公章）</w:t>
      </w:r>
    </w:p>
    <w:p>
      <w:pPr>
        <w:wordWrap w:val="0"/>
        <w:spacing w:line="460" w:lineRule="exact"/>
        <w:ind w:firstLine="5040" w:firstLineChars="2000"/>
        <w:jc w:val="left"/>
        <w:rPr>
          <w:rStyle w:val="86"/>
          <w:rFonts w:hint="eastAsia" w:ascii="宋体" w:hAnsi="宋体" w:cs="宋体"/>
          <w:color w:val="auto"/>
          <w:kern w:val="0"/>
        </w:rPr>
      </w:pPr>
      <w:r>
        <w:rPr>
          <w:rStyle w:val="86"/>
          <w:rFonts w:hint="eastAsia" w:ascii="宋体" w:hAnsi="宋体" w:cs="宋体"/>
          <w:color w:val="auto"/>
          <w:kern w:val="0"/>
        </w:rPr>
        <w:t xml:space="preserve"> </w:t>
      </w:r>
      <w:r>
        <w:rPr>
          <w:rStyle w:val="86"/>
          <w:rFonts w:hint="eastAsia" w:ascii="宋体" w:hAnsi="宋体" w:cs="宋体"/>
          <w:bCs/>
          <w:color w:val="auto"/>
          <w:kern w:val="0"/>
        </w:rPr>
        <w:t xml:space="preserve"> </w:t>
      </w:r>
      <w:r>
        <w:rPr>
          <w:rStyle w:val="86"/>
          <w:rFonts w:hint="eastAsia" w:ascii="宋体" w:hAnsi="宋体" w:cs="宋体"/>
          <w:color w:val="auto"/>
          <w:kern w:val="0"/>
        </w:rPr>
        <w:t>年    月    日</w:t>
      </w:r>
    </w:p>
    <w:p>
      <w:pPr>
        <w:wordWrap w:val="0"/>
        <w:snapToGrid w:val="0"/>
        <w:spacing w:line="460" w:lineRule="exact"/>
        <w:jc w:val="left"/>
        <w:rPr>
          <w:rStyle w:val="86"/>
          <w:rFonts w:hint="eastAsia" w:ascii="宋体" w:hAnsi="宋体" w:cs="宋体"/>
          <w:b/>
          <w:color w:val="auto"/>
          <w:kern w:val="0"/>
        </w:rPr>
      </w:pPr>
    </w:p>
    <w:p>
      <w:pPr>
        <w:widowControl/>
        <w:wordWrap w:val="0"/>
        <w:snapToGrid w:val="0"/>
        <w:spacing w:line="440" w:lineRule="exact"/>
        <w:jc w:val="left"/>
        <w:rPr>
          <w:rFonts w:hint="eastAsia" w:ascii="宋体" w:hAnsi="宋体" w:cs="宋体"/>
          <w:b/>
          <w:color w:val="auto"/>
          <w:kern w:val="0"/>
          <w:sz w:val="24"/>
        </w:rPr>
      </w:pPr>
    </w:p>
    <w:p>
      <w:pPr>
        <w:pageBreakBefore/>
        <w:wordWrap w:val="0"/>
        <w:snapToGrid w:val="0"/>
        <w:spacing w:line="600" w:lineRule="exact"/>
        <w:jc w:val="left"/>
        <w:outlineLvl w:val="0"/>
        <w:rPr>
          <w:rStyle w:val="86"/>
          <w:rFonts w:hint="eastAsia" w:ascii="宋体" w:hAnsi="宋体" w:cs="宋体"/>
          <w:color w:val="auto"/>
          <w:kern w:val="0"/>
          <w:sz w:val="52"/>
          <w:szCs w:val="52"/>
        </w:rPr>
      </w:pPr>
      <w:r>
        <w:rPr>
          <w:rStyle w:val="86"/>
          <w:rFonts w:hint="eastAsia" w:ascii="宋体" w:hAnsi="宋体" w:cs="宋体"/>
          <w:b/>
          <w:color w:val="auto"/>
          <w:kern w:val="0"/>
        </w:rPr>
        <w:t xml:space="preserve">附件7 </w:t>
      </w:r>
      <w:r>
        <w:rPr>
          <w:rStyle w:val="86"/>
          <w:rFonts w:hint="eastAsia" w:ascii="宋体" w:hAnsi="宋体" w:cs="宋体"/>
          <w:b/>
          <w:color w:val="auto"/>
          <w:kern w:val="0"/>
          <w:sz w:val="32"/>
          <w:szCs w:val="32"/>
        </w:rPr>
        <w:t xml:space="preserve">              </w:t>
      </w:r>
      <w:r>
        <w:rPr>
          <w:rStyle w:val="86"/>
          <w:rFonts w:hint="eastAsia" w:ascii="宋体" w:hAnsi="宋体" w:cs="宋体"/>
          <w:b/>
          <w:color w:val="auto"/>
          <w:kern w:val="0"/>
        </w:rPr>
        <w:t>商务响应表</w:t>
      </w:r>
      <w:r>
        <w:rPr>
          <w:rStyle w:val="86"/>
          <w:rFonts w:hint="eastAsia" w:ascii="宋体" w:hAnsi="宋体" w:cs="宋体"/>
          <w:color w:val="auto"/>
          <w:kern w:val="0"/>
        </w:rPr>
        <w:t>（格式）</w:t>
      </w:r>
    </w:p>
    <w:p>
      <w:pPr>
        <w:wordWrap w:val="0"/>
        <w:snapToGrid w:val="0"/>
        <w:spacing w:line="600" w:lineRule="exact"/>
        <w:jc w:val="left"/>
        <w:rPr>
          <w:rStyle w:val="86"/>
          <w:rFonts w:hint="default" w:ascii="宋体" w:hAnsi="宋体" w:cs="宋体"/>
          <w:color w:val="auto"/>
          <w:kern w:val="0"/>
          <w:u w:val="single"/>
          <w:lang w:val="en-US" w:eastAsia="zh-CN"/>
        </w:rPr>
      </w:pPr>
      <w:r>
        <w:rPr>
          <w:rStyle w:val="86"/>
          <w:rFonts w:hint="eastAsia" w:ascii="宋体" w:hAnsi="宋体" w:cs="宋体"/>
          <w:color w:val="auto"/>
          <w:kern w:val="0"/>
        </w:rPr>
        <w:t>项目编号：</w:t>
      </w:r>
      <w:r>
        <w:rPr>
          <w:rStyle w:val="86"/>
          <w:rFonts w:hint="eastAsia" w:ascii="宋体" w:hAnsi="宋体" w:cs="宋体"/>
          <w:color w:val="auto"/>
          <w:kern w:val="0"/>
          <w:u w:val="single" w:color="000000"/>
        </w:rPr>
        <w:t xml:space="preserve">              </w:t>
      </w:r>
      <w:r>
        <w:rPr>
          <w:rStyle w:val="86"/>
          <w:rFonts w:hint="eastAsia" w:ascii="宋体" w:hAnsi="宋体" w:cs="宋体"/>
          <w:color w:val="auto"/>
          <w:kern w:val="0"/>
        </w:rPr>
        <w:t xml:space="preserve">   </w:t>
      </w:r>
      <w:r>
        <w:rPr>
          <w:rStyle w:val="86"/>
          <w:rFonts w:hint="eastAsia" w:ascii="宋体" w:hAnsi="宋体" w:cs="宋体"/>
          <w:color w:val="auto"/>
          <w:kern w:val="0"/>
          <w:lang w:val="en-US" w:eastAsia="zh-CN"/>
        </w:rPr>
        <w:t>标包号：</w:t>
      </w:r>
      <w:r>
        <w:rPr>
          <w:rStyle w:val="86"/>
          <w:rFonts w:hint="eastAsia" w:ascii="宋体" w:hAnsi="宋体" w:cs="宋体"/>
          <w:color w:val="auto"/>
          <w:kern w:val="0"/>
          <w:u w:val="single"/>
          <w:lang w:val="en-US" w:eastAsia="zh-CN"/>
        </w:rPr>
        <w:t xml:space="preserve">     </w:t>
      </w:r>
    </w:p>
    <w:tbl>
      <w:tblPr>
        <w:tblStyle w:val="47"/>
        <w:tblW w:w="8803" w:type="dxa"/>
        <w:tblInd w:w="-375" w:type="dxa"/>
        <w:shd w:val="clear" w:color="auto" w:fill="FFFFFF"/>
        <w:tblLayout w:type="fixed"/>
        <w:tblCellMar>
          <w:top w:w="0" w:type="dxa"/>
          <w:left w:w="0" w:type="dxa"/>
          <w:bottom w:w="0" w:type="dxa"/>
          <w:right w:w="0" w:type="dxa"/>
        </w:tblCellMar>
      </w:tblPr>
      <w:tblGrid>
        <w:gridCol w:w="1006"/>
        <w:gridCol w:w="1762"/>
        <w:gridCol w:w="2677"/>
        <w:gridCol w:w="1465"/>
        <w:gridCol w:w="1893"/>
      </w:tblGrid>
      <w:tr>
        <w:tblPrEx>
          <w:shd w:val="clear" w:color="auto" w:fill="FFFFFF"/>
          <w:tblLayout w:type="fixed"/>
          <w:tblCellMar>
            <w:top w:w="0" w:type="dxa"/>
            <w:left w:w="0" w:type="dxa"/>
            <w:bottom w:w="0" w:type="dxa"/>
            <w:right w:w="0" w:type="dxa"/>
          </w:tblCellMar>
        </w:tblPrEx>
        <w:trPr>
          <w:trHeight w:val="810" w:hRule="atLeast"/>
        </w:trPr>
        <w:tc>
          <w:tcPr>
            <w:tcW w:w="1006" w:type="dxa"/>
            <w:tcBorders>
              <w:top w:val="single" w:color="000000" w:sz="8" w:space="0"/>
              <w:left w:val="single" w:color="000000" w:sz="8" w:space="0"/>
              <w:bottom w:val="single" w:color="000000" w:sz="8" w:space="0"/>
              <w:right w:val="single" w:color="000000" w:sz="4" w:space="0"/>
            </w:tcBorders>
            <w:shd w:val="clear" w:color="auto" w:fill="FFFFFF"/>
            <w:vAlign w:val="center"/>
          </w:tcPr>
          <w:p>
            <w:pPr>
              <w:wordWrap w:val="0"/>
              <w:spacing w:line="460" w:lineRule="exact"/>
              <w:jc w:val="center"/>
              <w:rPr>
                <w:rStyle w:val="86"/>
                <w:rFonts w:hint="eastAsia" w:ascii="宋体" w:hAnsi="宋体" w:cs="宋体"/>
                <w:color w:val="auto"/>
                <w:kern w:val="0"/>
              </w:rPr>
            </w:pPr>
            <w:r>
              <w:rPr>
                <w:rStyle w:val="86"/>
                <w:rFonts w:hint="eastAsia" w:ascii="宋体" w:hAnsi="宋体" w:cs="宋体"/>
                <w:color w:val="auto"/>
                <w:kern w:val="0"/>
              </w:rPr>
              <w:t>序号</w:t>
            </w:r>
          </w:p>
        </w:tc>
        <w:tc>
          <w:tcPr>
            <w:tcW w:w="1762" w:type="dxa"/>
            <w:tcBorders>
              <w:top w:val="single" w:color="000000" w:sz="8" w:space="0"/>
              <w:left w:val="single" w:color="000000" w:sz="8" w:space="0"/>
              <w:bottom w:val="single" w:color="000000" w:sz="8" w:space="0"/>
              <w:right w:val="single" w:color="000000" w:sz="4" w:space="0"/>
            </w:tcBorders>
            <w:shd w:val="clear" w:color="auto" w:fill="FFFFFF"/>
            <w:vAlign w:val="center"/>
          </w:tcPr>
          <w:p>
            <w:pPr>
              <w:wordWrap w:val="0"/>
              <w:spacing w:line="460" w:lineRule="exact"/>
              <w:jc w:val="center"/>
              <w:rPr>
                <w:rStyle w:val="86"/>
                <w:rFonts w:hint="eastAsia" w:ascii="宋体" w:hAnsi="宋体" w:cs="宋体"/>
                <w:color w:val="auto"/>
                <w:kern w:val="0"/>
              </w:rPr>
            </w:pPr>
            <w:r>
              <w:rPr>
                <w:rStyle w:val="86"/>
                <w:rFonts w:hint="eastAsia" w:ascii="宋体" w:hAnsi="宋体" w:cs="宋体"/>
                <w:color w:val="auto"/>
                <w:kern w:val="0"/>
              </w:rPr>
              <w:t>项目名称</w:t>
            </w:r>
          </w:p>
        </w:tc>
        <w:tc>
          <w:tcPr>
            <w:tcW w:w="2677" w:type="dxa"/>
            <w:tcBorders>
              <w:top w:val="single" w:color="000000" w:sz="8" w:space="0"/>
              <w:left w:val="single" w:color="000000" w:sz="4" w:space="0"/>
              <w:bottom w:val="single" w:color="000000" w:sz="8" w:space="0"/>
              <w:right w:val="single" w:color="000000" w:sz="4" w:space="0"/>
            </w:tcBorders>
            <w:shd w:val="clear" w:color="auto" w:fill="FFFFFF"/>
            <w:vAlign w:val="center"/>
          </w:tcPr>
          <w:p>
            <w:pPr>
              <w:wordWrap w:val="0"/>
              <w:spacing w:line="460" w:lineRule="exact"/>
              <w:jc w:val="center"/>
              <w:rPr>
                <w:rStyle w:val="86"/>
                <w:rFonts w:hint="eastAsia" w:ascii="宋体" w:hAnsi="宋体" w:cs="宋体"/>
                <w:color w:val="auto"/>
                <w:kern w:val="0"/>
              </w:rPr>
            </w:pPr>
            <w:r>
              <w:rPr>
                <w:rStyle w:val="86"/>
                <w:rFonts w:hint="eastAsia" w:ascii="宋体" w:hAnsi="宋体" w:cs="宋体"/>
                <w:color w:val="auto"/>
                <w:kern w:val="0"/>
              </w:rPr>
              <w:t>招标文件要求</w:t>
            </w:r>
          </w:p>
        </w:tc>
        <w:tc>
          <w:tcPr>
            <w:tcW w:w="1465" w:type="dxa"/>
            <w:tcBorders>
              <w:top w:val="single" w:color="000000" w:sz="8" w:space="0"/>
              <w:left w:val="single" w:color="000000" w:sz="4" w:space="0"/>
              <w:bottom w:val="single" w:color="000000" w:sz="8" w:space="0"/>
              <w:right w:val="single" w:color="000000" w:sz="4" w:space="0"/>
            </w:tcBorders>
            <w:shd w:val="clear" w:color="auto" w:fill="FFFFFF"/>
            <w:vAlign w:val="center"/>
          </w:tcPr>
          <w:p>
            <w:pPr>
              <w:wordWrap w:val="0"/>
              <w:spacing w:line="460" w:lineRule="exact"/>
              <w:jc w:val="center"/>
              <w:rPr>
                <w:rStyle w:val="86"/>
                <w:rFonts w:hint="eastAsia" w:ascii="宋体" w:hAnsi="宋体" w:cs="宋体"/>
                <w:color w:val="auto"/>
                <w:kern w:val="0"/>
              </w:rPr>
            </w:pPr>
            <w:r>
              <w:rPr>
                <w:rStyle w:val="86"/>
                <w:rFonts w:hint="eastAsia" w:ascii="宋体" w:hAnsi="宋体" w:cs="宋体"/>
                <w:color w:val="auto"/>
                <w:kern w:val="0"/>
              </w:rPr>
              <w:t>响应情况</w:t>
            </w:r>
          </w:p>
        </w:tc>
        <w:tc>
          <w:tcPr>
            <w:tcW w:w="1893" w:type="dxa"/>
            <w:tcBorders>
              <w:top w:val="single" w:color="000000" w:sz="8" w:space="0"/>
              <w:left w:val="single" w:color="000000" w:sz="4" w:space="0"/>
              <w:bottom w:val="single" w:color="000000" w:sz="8" w:space="0"/>
              <w:right w:val="single" w:color="000000" w:sz="8" w:space="0"/>
            </w:tcBorders>
            <w:shd w:val="clear" w:color="auto" w:fill="FFFFFF"/>
            <w:vAlign w:val="center"/>
          </w:tcPr>
          <w:p>
            <w:pPr>
              <w:wordWrap w:val="0"/>
              <w:spacing w:line="460" w:lineRule="exact"/>
              <w:jc w:val="center"/>
              <w:rPr>
                <w:rStyle w:val="86"/>
                <w:rFonts w:hint="eastAsia" w:ascii="宋体" w:hAnsi="宋体" w:cs="宋体"/>
                <w:color w:val="auto"/>
                <w:kern w:val="0"/>
              </w:rPr>
            </w:pPr>
            <w:r>
              <w:rPr>
                <w:rStyle w:val="86"/>
                <w:rFonts w:hint="eastAsia" w:ascii="宋体" w:hAnsi="宋体" w:cs="宋体"/>
                <w:color w:val="auto"/>
                <w:kern w:val="0"/>
              </w:rPr>
              <w:t>投标人的承诺或说明</w:t>
            </w:r>
          </w:p>
        </w:tc>
      </w:tr>
      <w:tr>
        <w:tblPrEx>
          <w:shd w:val="clear" w:color="auto" w:fill="FFFFFF"/>
          <w:tblLayout w:type="fixed"/>
          <w:tblCellMar>
            <w:top w:w="0" w:type="dxa"/>
            <w:left w:w="0" w:type="dxa"/>
            <w:bottom w:w="0" w:type="dxa"/>
            <w:right w:w="0" w:type="dxa"/>
          </w:tblCellMar>
        </w:tblPrEx>
        <w:trPr>
          <w:trHeight w:val="810" w:hRule="atLeast"/>
        </w:trPr>
        <w:tc>
          <w:tcPr>
            <w:tcW w:w="1006" w:type="dxa"/>
            <w:tcBorders>
              <w:top w:val="single" w:color="000000" w:sz="8" w:space="0"/>
              <w:left w:val="single" w:color="000000" w:sz="8" w:space="0"/>
              <w:bottom w:val="single" w:color="000000" w:sz="8" w:space="0"/>
              <w:right w:val="single" w:color="000000" w:sz="4" w:space="0"/>
            </w:tcBorders>
            <w:shd w:val="clear" w:color="auto" w:fill="FFFFFF"/>
            <w:vAlign w:val="center"/>
          </w:tcPr>
          <w:p>
            <w:pPr>
              <w:widowControl/>
              <w:wordWrap w:val="0"/>
              <w:snapToGrid w:val="0"/>
              <w:spacing w:line="320" w:lineRule="exact"/>
              <w:jc w:val="left"/>
              <w:outlineLvl w:val="0"/>
              <w:rPr>
                <w:rStyle w:val="86"/>
                <w:rFonts w:hint="eastAsia" w:ascii="宋体" w:hAnsi="宋体" w:cs="宋体"/>
                <w:color w:val="auto"/>
                <w:kern w:val="0"/>
              </w:rPr>
            </w:pPr>
          </w:p>
        </w:tc>
        <w:tc>
          <w:tcPr>
            <w:tcW w:w="1762" w:type="dxa"/>
            <w:tcBorders>
              <w:top w:val="single" w:color="000000" w:sz="8" w:space="0"/>
              <w:left w:val="single" w:color="000000" w:sz="8" w:space="0"/>
              <w:bottom w:val="single" w:color="000000" w:sz="8" w:space="0"/>
              <w:right w:val="single" w:color="000000" w:sz="4" w:space="0"/>
            </w:tcBorders>
            <w:shd w:val="clear" w:color="auto" w:fill="FFFFFF"/>
          </w:tcPr>
          <w:p>
            <w:pPr>
              <w:widowControl/>
              <w:snapToGrid w:val="0"/>
              <w:spacing w:before="156" w:beforeLines="50" w:line="360" w:lineRule="exact"/>
              <w:jc w:val="center"/>
              <w:rPr>
                <w:rStyle w:val="86"/>
                <w:rFonts w:hint="eastAsia" w:ascii="宋体" w:hAnsi="宋体" w:cs="宋体"/>
                <w:color w:val="auto"/>
                <w:kern w:val="0"/>
                <w:szCs w:val="24"/>
              </w:rPr>
            </w:pPr>
          </w:p>
        </w:tc>
        <w:tc>
          <w:tcPr>
            <w:tcW w:w="2677" w:type="dxa"/>
            <w:tcBorders>
              <w:top w:val="single" w:color="000000" w:sz="8" w:space="0"/>
              <w:left w:val="single" w:color="000000" w:sz="4" w:space="0"/>
              <w:bottom w:val="single" w:color="000000" w:sz="8" w:space="0"/>
              <w:right w:val="single" w:color="000000" w:sz="4" w:space="0"/>
            </w:tcBorders>
            <w:shd w:val="clear" w:color="auto" w:fill="FFFFFF"/>
            <w:vAlign w:val="center"/>
          </w:tcPr>
          <w:p>
            <w:pPr>
              <w:wordWrap w:val="0"/>
              <w:spacing w:line="460" w:lineRule="exact"/>
              <w:jc w:val="left"/>
              <w:rPr>
                <w:rStyle w:val="86"/>
                <w:rFonts w:hint="eastAsia" w:ascii="宋体" w:hAnsi="宋体" w:cs="宋体"/>
                <w:color w:val="auto"/>
                <w:kern w:val="0"/>
              </w:rPr>
            </w:pPr>
          </w:p>
        </w:tc>
        <w:tc>
          <w:tcPr>
            <w:tcW w:w="1465" w:type="dxa"/>
            <w:tcBorders>
              <w:top w:val="single" w:color="000000" w:sz="8" w:space="0"/>
              <w:left w:val="single" w:color="000000" w:sz="4" w:space="0"/>
              <w:bottom w:val="single" w:color="000000" w:sz="8" w:space="0"/>
              <w:right w:val="single" w:color="000000" w:sz="4" w:space="0"/>
            </w:tcBorders>
            <w:shd w:val="clear" w:color="auto" w:fill="FFFFFF"/>
            <w:vAlign w:val="center"/>
          </w:tcPr>
          <w:p>
            <w:pPr>
              <w:wordWrap w:val="0"/>
              <w:spacing w:line="460" w:lineRule="exact"/>
              <w:jc w:val="left"/>
              <w:rPr>
                <w:rStyle w:val="86"/>
                <w:rFonts w:hint="eastAsia" w:ascii="宋体" w:hAnsi="宋体" w:cs="宋体"/>
                <w:color w:val="auto"/>
                <w:kern w:val="0"/>
              </w:rPr>
            </w:pPr>
          </w:p>
        </w:tc>
        <w:tc>
          <w:tcPr>
            <w:tcW w:w="1893" w:type="dxa"/>
            <w:tcBorders>
              <w:top w:val="single" w:color="000000" w:sz="8" w:space="0"/>
              <w:left w:val="single" w:color="000000" w:sz="4" w:space="0"/>
              <w:bottom w:val="single" w:color="000000" w:sz="8" w:space="0"/>
              <w:right w:val="single" w:color="000000" w:sz="8" w:space="0"/>
            </w:tcBorders>
            <w:shd w:val="clear" w:color="auto" w:fill="FFFFFF"/>
            <w:vAlign w:val="center"/>
          </w:tcPr>
          <w:p>
            <w:pPr>
              <w:wordWrap w:val="0"/>
              <w:spacing w:line="460" w:lineRule="exact"/>
              <w:jc w:val="left"/>
              <w:rPr>
                <w:rStyle w:val="86"/>
                <w:rFonts w:hint="eastAsia" w:ascii="宋体" w:hAnsi="宋体" w:cs="宋体"/>
                <w:color w:val="auto"/>
                <w:kern w:val="0"/>
              </w:rPr>
            </w:pPr>
          </w:p>
        </w:tc>
      </w:tr>
      <w:tr>
        <w:tblPrEx>
          <w:shd w:val="clear" w:color="auto" w:fill="FFFFFF"/>
          <w:tblLayout w:type="fixed"/>
          <w:tblCellMar>
            <w:top w:w="0" w:type="dxa"/>
            <w:left w:w="0" w:type="dxa"/>
            <w:bottom w:w="0" w:type="dxa"/>
            <w:right w:w="0" w:type="dxa"/>
          </w:tblCellMar>
        </w:tblPrEx>
        <w:trPr>
          <w:trHeight w:val="810" w:hRule="atLeast"/>
        </w:trPr>
        <w:tc>
          <w:tcPr>
            <w:tcW w:w="1006" w:type="dxa"/>
            <w:tcBorders>
              <w:top w:val="single" w:color="000000" w:sz="8" w:space="0"/>
              <w:left w:val="single" w:color="000000" w:sz="8" w:space="0"/>
              <w:bottom w:val="single" w:color="000000" w:sz="8" w:space="0"/>
              <w:right w:val="single" w:color="000000" w:sz="4" w:space="0"/>
            </w:tcBorders>
            <w:shd w:val="clear" w:color="auto" w:fill="FFFFFF"/>
            <w:vAlign w:val="center"/>
          </w:tcPr>
          <w:p>
            <w:pPr>
              <w:widowControl/>
              <w:wordWrap w:val="0"/>
              <w:snapToGrid w:val="0"/>
              <w:spacing w:line="360" w:lineRule="auto"/>
              <w:jc w:val="left"/>
              <w:rPr>
                <w:rStyle w:val="86"/>
                <w:rFonts w:hint="eastAsia" w:ascii="宋体" w:hAnsi="宋体" w:cs="宋体"/>
                <w:color w:val="auto"/>
                <w:kern w:val="0"/>
              </w:rPr>
            </w:pPr>
          </w:p>
        </w:tc>
        <w:tc>
          <w:tcPr>
            <w:tcW w:w="1762" w:type="dxa"/>
            <w:tcBorders>
              <w:top w:val="single" w:color="000000" w:sz="8" w:space="0"/>
              <w:left w:val="single" w:color="000000" w:sz="8" w:space="0"/>
              <w:bottom w:val="single" w:color="000000" w:sz="8" w:space="0"/>
              <w:right w:val="single" w:color="000000" w:sz="4" w:space="0"/>
            </w:tcBorders>
            <w:shd w:val="clear" w:color="auto" w:fill="FFFFFF"/>
          </w:tcPr>
          <w:p>
            <w:pPr>
              <w:widowControl/>
              <w:snapToGrid w:val="0"/>
              <w:spacing w:before="156" w:beforeLines="50" w:line="360" w:lineRule="exact"/>
              <w:jc w:val="center"/>
              <w:rPr>
                <w:rStyle w:val="86"/>
                <w:rFonts w:hint="eastAsia" w:ascii="宋体" w:hAnsi="宋体" w:cs="宋体"/>
                <w:color w:val="auto"/>
                <w:kern w:val="0"/>
                <w:szCs w:val="24"/>
              </w:rPr>
            </w:pPr>
          </w:p>
        </w:tc>
        <w:tc>
          <w:tcPr>
            <w:tcW w:w="2677" w:type="dxa"/>
            <w:tcBorders>
              <w:top w:val="single" w:color="000000" w:sz="8" w:space="0"/>
              <w:left w:val="single" w:color="000000" w:sz="4" w:space="0"/>
              <w:bottom w:val="single" w:color="000000" w:sz="8" w:space="0"/>
              <w:right w:val="single" w:color="000000" w:sz="4" w:space="0"/>
            </w:tcBorders>
            <w:shd w:val="clear" w:color="auto" w:fill="FFFFFF"/>
            <w:vAlign w:val="center"/>
          </w:tcPr>
          <w:p>
            <w:pPr>
              <w:wordWrap w:val="0"/>
              <w:spacing w:line="460" w:lineRule="exact"/>
              <w:jc w:val="left"/>
              <w:rPr>
                <w:rStyle w:val="86"/>
                <w:rFonts w:hint="eastAsia" w:ascii="宋体" w:hAnsi="宋体" w:cs="宋体"/>
                <w:color w:val="auto"/>
                <w:kern w:val="0"/>
              </w:rPr>
            </w:pPr>
          </w:p>
        </w:tc>
        <w:tc>
          <w:tcPr>
            <w:tcW w:w="1465" w:type="dxa"/>
            <w:tcBorders>
              <w:top w:val="single" w:color="000000" w:sz="8" w:space="0"/>
              <w:left w:val="single" w:color="000000" w:sz="4" w:space="0"/>
              <w:bottom w:val="single" w:color="000000" w:sz="8" w:space="0"/>
              <w:right w:val="single" w:color="000000" w:sz="4" w:space="0"/>
            </w:tcBorders>
            <w:shd w:val="clear" w:color="auto" w:fill="FFFFFF"/>
            <w:vAlign w:val="center"/>
          </w:tcPr>
          <w:p>
            <w:pPr>
              <w:wordWrap w:val="0"/>
              <w:spacing w:line="460" w:lineRule="exact"/>
              <w:jc w:val="left"/>
              <w:rPr>
                <w:rStyle w:val="86"/>
                <w:rFonts w:hint="eastAsia" w:ascii="宋体" w:hAnsi="宋体" w:cs="宋体"/>
                <w:color w:val="auto"/>
                <w:kern w:val="0"/>
              </w:rPr>
            </w:pPr>
          </w:p>
        </w:tc>
        <w:tc>
          <w:tcPr>
            <w:tcW w:w="1893" w:type="dxa"/>
            <w:tcBorders>
              <w:top w:val="single" w:color="000000" w:sz="8" w:space="0"/>
              <w:left w:val="single" w:color="000000" w:sz="4" w:space="0"/>
              <w:bottom w:val="single" w:color="000000" w:sz="8" w:space="0"/>
              <w:right w:val="single" w:color="000000" w:sz="8" w:space="0"/>
            </w:tcBorders>
            <w:shd w:val="clear" w:color="auto" w:fill="FFFFFF"/>
            <w:vAlign w:val="center"/>
          </w:tcPr>
          <w:p>
            <w:pPr>
              <w:wordWrap w:val="0"/>
              <w:spacing w:line="460" w:lineRule="exact"/>
              <w:jc w:val="left"/>
              <w:rPr>
                <w:rStyle w:val="86"/>
                <w:rFonts w:hint="eastAsia" w:ascii="宋体" w:hAnsi="宋体" w:cs="宋体"/>
                <w:color w:val="auto"/>
                <w:kern w:val="0"/>
              </w:rPr>
            </w:pPr>
          </w:p>
        </w:tc>
      </w:tr>
      <w:tr>
        <w:tblPrEx>
          <w:shd w:val="clear" w:color="auto" w:fill="FFFFFF"/>
          <w:tblLayout w:type="fixed"/>
          <w:tblCellMar>
            <w:top w:w="0" w:type="dxa"/>
            <w:left w:w="0" w:type="dxa"/>
            <w:bottom w:w="0" w:type="dxa"/>
            <w:right w:w="0" w:type="dxa"/>
          </w:tblCellMar>
        </w:tblPrEx>
        <w:trPr>
          <w:trHeight w:val="810" w:hRule="atLeast"/>
        </w:trPr>
        <w:tc>
          <w:tcPr>
            <w:tcW w:w="1006" w:type="dxa"/>
            <w:tcBorders>
              <w:top w:val="single" w:color="000000" w:sz="8" w:space="0"/>
              <w:left w:val="single" w:color="000000" w:sz="8" w:space="0"/>
              <w:bottom w:val="single" w:color="000000" w:sz="8" w:space="0"/>
              <w:right w:val="single" w:color="000000" w:sz="4" w:space="0"/>
            </w:tcBorders>
            <w:shd w:val="clear" w:color="auto" w:fill="FFFFFF"/>
            <w:vAlign w:val="center"/>
          </w:tcPr>
          <w:p>
            <w:pPr>
              <w:widowControl/>
              <w:wordWrap w:val="0"/>
              <w:snapToGrid w:val="0"/>
              <w:spacing w:line="360" w:lineRule="auto"/>
              <w:jc w:val="left"/>
              <w:rPr>
                <w:rFonts w:hint="eastAsia" w:ascii="宋体" w:hAnsi="宋体" w:cs="宋体"/>
                <w:color w:val="auto"/>
                <w:kern w:val="0"/>
                <w:sz w:val="24"/>
              </w:rPr>
            </w:pPr>
          </w:p>
        </w:tc>
        <w:tc>
          <w:tcPr>
            <w:tcW w:w="1762" w:type="dxa"/>
            <w:tcBorders>
              <w:top w:val="single" w:color="000000" w:sz="8" w:space="0"/>
              <w:left w:val="single" w:color="000000" w:sz="8" w:space="0"/>
              <w:bottom w:val="single" w:color="000000" w:sz="8" w:space="0"/>
              <w:right w:val="single" w:color="000000" w:sz="4" w:space="0"/>
            </w:tcBorders>
            <w:shd w:val="clear" w:color="auto" w:fill="FFFFFF"/>
          </w:tcPr>
          <w:p>
            <w:pPr>
              <w:widowControl/>
              <w:snapToGrid w:val="0"/>
              <w:spacing w:before="156" w:beforeLines="50" w:line="360" w:lineRule="exact"/>
              <w:jc w:val="center"/>
              <w:rPr>
                <w:rFonts w:hint="eastAsia" w:ascii="宋体" w:hAnsi="宋体" w:cs="宋体"/>
                <w:color w:val="auto"/>
                <w:kern w:val="0"/>
                <w:sz w:val="24"/>
              </w:rPr>
            </w:pPr>
          </w:p>
        </w:tc>
        <w:tc>
          <w:tcPr>
            <w:tcW w:w="2677" w:type="dxa"/>
            <w:tcBorders>
              <w:top w:val="single" w:color="000000" w:sz="8" w:space="0"/>
              <w:left w:val="single" w:color="000000" w:sz="4" w:space="0"/>
              <w:bottom w:val="single" w:color="000000" w:sz="8" w:space="0"/>
              <w:right w:val="single" w:color="000000" w:sz="4" w:space="0"/>
            </w:tcBorders>
            <w:shd w:val="clear" w:color="auto" w:fill="FFFFFF"/>
            <w:vAlign w:val="center"/>
          </w:tcPr>
          <w:p>
            <w:pPr>
              <w:wordWrap w:val="0"/>
              <w:spacing w:line="460" w:lineRule="exact"/>
              <w:jc w:val="left"/>
              <w:rPr>
                <w:rStyle w:val="86"/>
                <w:rFonts w:hint="eastAsia" w:ascii="宋体" w:hAnsi="宋体" w:cs="宋体"/>
                <w:color w:val="auto"/>
                <w:kern w:val="0"/>
              </w:rPr>
            </w:pPr>
          </w:p>
        </w:tc>
        <w:tc>
          <w:tcPr>
            <w:tcW w:w="1465" w:type="dxa"/>
            <w:tcBorders>
              <w:top w:val="single" w:color="000000" w:sz="8" w:space="0"/>
              <w:left w:val="single" w:color="000000" w:sz="4" w:space="0"/>
              <w:bottom w:val="single" w:color="000000" w:sz="8" w:space="0"/>
              <w:right w:val="single" w:color="000000" w:sz="4" w:space="0"/>
            </w:tcBorders>
            <w:shd w:val="clear" w:color="auto" w:fill="FFFFFF"/>
            <w:vAlign w:val="center"/>
          </w:tcPr>
          <w:p>
            <w:pPr>
              <w:wordWrap w:val="0"/>
              <w:spacing w:line="460" w:lineRule="exact"/>
              <w:jc w:val="left"/>
              <w:rPr>
                <w:rStyle w:val="86"/>
                <w:rFonts w:hint="eastAsia" w:ascii="宋体" w:hAnsi="宋体" w:cs="宋体"/>
                <w:color w:val="auto"/>
                <w:kern w:val="0"/>
              </w:rPr>
            </w:pPr>
          </w:p>
        </w:tc>
        <w:tc>
          <w:tcPr>
            <w:tcW w:w="1893" w:type="dxa"/>
            <w:tcBorders>
              <w:top w:val="single" w:color="000000" w:sz="8" w:space="0"/>
              <w:left w:val="single" w:color="000000" w:sz="4" w:space="0"/>
              <w:bottom w:val="single" w:color="000000" w:sz="8" w:space="0"/>
              <w:right w:val="single" w:color="000000" w:sz="8" w:space="0"/>
            </w:tcBorders>
            <w:shd w:val="clear" w:color="auto" w:fill="FFFFFF"/>
            <w:vAlign w:val="center"/>
          </w:tcPr>
          <w:p>
            <w:pPr>
              <w:wordWrap w:val="0"/>
              <w:spacing w:line="460" w:lineRule="exact"/>
              <w:jc w:val="left"/>
              <w:rPr>
                <w:rStyle w:val="86"/>
                <w:rFonts w:hint="eastAsia" w:ascii="宋体" w:hAnsi="宋体" w:cs="宋体"/>
                <w:color w:val="auto"/>
                <w:kern w:val="0"/>
              </w:rPr>
            </w:pPr>
          </w:p>
        </w:tc>
      </w:tr>
      <w:tr>
        <w:tblPrEx>
          <w:shd w:val="clear" w:color="auto" w:fill="FFFFFF"/>
          <w:tblLayout w:type="fixed"/>
          <w:tblCellMar>
            <w:top w:w="0" w:type="dxa"/>
            <w:left w:w="0" w:type="dxa"/>
            <w:bottom w:w="0" w:type="dxa"/>
            <w:right w:w="0" w:type="dxa"/>
          </w:tblCellMar>
        </w:tblPrEx>
        <w:trPr>
          <w:trHeight w:val="810" w:hRule="atLeast"/>
        </w:trPr>
        <w:tc>
          <w:tcPr>
            <w:tcW w:w="1006" w:type="dxa"/>
            <w:tcBorders>
              <w:top w:val="single" w:color="000000" w:sz="8" w:space="0"/>
              <w:left w:val="single" w:color="000000" w:sz="8" w:space="0"/>
              <w:bottom w:val="single" w:color="000000" w:sz="8" w:space="0"/>
              <w:right w:val="single" w:color="000000" w:sz="4" w:space="0"/>
            </w:tcBorders>
            <w:shd w:val="clear" w:color="auto" w:fill="FFFFFF"/>
            <w:vAlign w:val="center"/>
          </w:tcPr>
          <w:p>
            <w:pPr>
              <w:widowControl/>
              <w:wordWrap w:val="0"/>
              <w:snapToGrid w:val="0"/>
              <w:spacing w:line="360" w:lineRule="auto"/>
              <w:jc w:val="left"/>
              <w:rPr>
                <w:rFonts w:hint="eastAsia" w:ascii="宋体" w:hAnsi="宋体" w:cs="宋体"/>
                <w:color w:val="auto"/>
                <w:kern w:val="0"/>
                <w:sz w:val="24"/>
              </w:rPr>
            </w:pPr>
          </w:p>
        </w:tc>
        <w:tc>
          <w:tcPr>
            <w:tcW w:w="1762" w:type="dxa"/>
            <w:tcBorders>
              <w:top w:val="single" w:color="000000" w:sz="8" w:space="0"/>
              <w:left w:val="single" w:color="000000" w:sz="8" w:space="0"/>
              <w:bottom w:val="single" w:color="000000" w:sz="8" w:space="0"/>
              <w:right w:val="single" w:color="000000" w:sz="4" w:space="0"/>
            </w:tcBorders>
            <w:shd w:val="clear" w:color="auto" w:fill="FFFFFF"/>
          </w:tcPr>
          <w:p>
            <w:pPr>
              <w:widowControl/>
              <w:snapToGrid w:val="0"/>
              <w:spacing w:before="156" w:beforeLines="50" w:line="360" w:lineRule="exact"/>
              <w:jc w:val="center"/>
              <w:rPr>
                <w:rFonts w:hint="eastAsia" w:ascii="宋体" w:hAnsi="宋体" w:cs="宋体"/>
                <w:color w:val="auto"/>
                <w:kern w:val="0"/>
                <w:sz w:val="24"/>
              </w:rPr>
            </w:pPr>
          </w:p>
        </w:tc>
        <w:tc>
          <w:tcPr>
            <w:tcW w:w="2677" w:type="dxa"/>
            <w:tcBorders>
              <w:top w:val="single" w:color="000000" w:sz="8" w:space="0"/>
              <w:left w:val="single" w:color="000000" w:sz="4" w:space="0"/>
              <w:bottom w:val="single" w:color="000000" w:sz="8" w:space="0"/>
              <w:right w:val="single" w:color="000000" w:sz="4" w:space="0"/>
            </w:tcBorders>
            <w:shd w:val="clear" w:color="auto" w:fill="FFFFFF"/>
            <w:vAlign w:val="center"/>
          </w:tcPr>
          <w:p>
            <w:pPr>
              <w:wordWrap w:val="0"/>
              <w:spacing w:line="460" w:lineRule="exact"/>
              <w:jc w:val="left"/>
              <w:rPr>
                <w:rStyle w:val="86"/>
                <w:rFonts w:hint="eastAsia" w:ascii="宋体" w:hAnsi="宋体" w:cs="宋体"/>
                <w:color w:val="auto"/>
                <w:kern w:val="0"/>
              </w:rPr>
            </w:pPr>
          </w:p>
        </w:tc>
        <w:tc>
          <w:tcPr>
            <w:tcW w:w="1465" w:type="dxa"/>
            <w:tcBorders>
              <w:top w:val="single" w:color="000000" w:sz="8" w:space="0"/>
              <w:left w:val="single" w:color="000000" w:sz="4" w:space="0"/>
              <w:bottom w:val="single" w:color="000000" w:sz="8" w:space="0"/>
              <w:right w:val="single" w:color="000000" w:sz="4" w:space="0"/>
            </w:tcBorders>
            <w:shd w:val="clear" w:color="auto" w:fill="FFFFFF"/>
            <w:vAlign w:val="center"/>
          </w:tcPr>
          <w:p>
            <w:pPr>
              <w:wordWrap w:val="0"/>
              <w:spacing w:line="460" w:lineRule="exact"/>
              <w:jc w:val="left"/>
              <w:rPr>
                <w:rStyle w:val="86"/>
                <w:rFonts w:hint="eastAsia" w:ascii="宋体" w:hAnsi="宋体" w:cs="宋体"/>
                <w:color w:val="auto"/>
                <w:kern w:val="0"/>
              </w:rPr>
            </w:pPr>
          </w:p>
        </w:tc>
        <w:tc>
          <w:tcPr>
            <w:tcW w:w="1893" w:type="dxa"/>
            <w:tcBorders>
              <w:top w:val="single" w:color="000000" w:sz="8" w:space="0"/>
              <w:left w:val="single" w:color="000000" w:sz="4" w:space="0"/>
              <w:bottom w:val="single" w:color="000000" w:sz="8" w:space="0"/>
              <w:right w:val="single" w:color="000000" w:sz="8" w:space="0"/>
            </w:tcBorders>
            <w:shd w:val="clear" w:color="auto" w:fill="FFFFFF"/>
            <w:vAlign w:val="center"/>
          </w:tcPr>
          <w:p>
            <w:pPr>
              <w:wordWrap w:val="0"/>
              <w:spacing w:line="460" w:lineRule="exact"/>
              <w:jc w:val="left"/>
              <w:rPr>
                <w:rStyle w:val="86"/>
                <w:rFonts w:hint="eastAsia" w:ascii="宋体" w:hAnsi="宋体" w:cs="宋体"/>
                <w:color w:val="auto"/>
                <w:kern w:val="0"/>
              </w:rPr>
            </w:pPr>
          </w:p>
        </w:tc>
      </w:tr>
      <w:tr>
        <w:tblPrEx>
          <w:shd w:val="clear" w:color="auto" w:fill="FFFFFF"/>
          <w:tblLayout w:type="fixed"/>
          <w:tblCellMar>
            <w:top w:w="0" w:type="dxa"/>
            <w:left w:w="0" w:type="dxa"/>
            <w:bottom w:w="0" w:type="dxa"/>
            <w:right w:w="0" w:type="dxa"/>
          </w:tblCellMar>
        </w:tblPrEx>
        <w:trPr>
          <w:trHeight w:val="829" w:hRule="atLeast"/>
        </w:trPr>
        <w:tc>
          <w:tcPr>
            <w:tcW w:w="1006" w:type="dxa"/>
            <w:tcBorders>
              <w:top w:val="single" w:color="000000" w:sz="8" w:space="0"/>
              <w:left w:val="single" w:color="000000" w:sz="8" w:space="0"/>
              <w:bottom w:val="single" w:color="000000" w:sz="8" w:space="0"/>
              <w:right w:val="single" w:color="000000" w:sz="4" w:space="0"/>
            </w:tcBorders>
            <w:shd w:val="clear" w:color="auto" w:fill="FFFFFF"/>
            <w:vAlign w:val="center"/>
          </w:tcPr>
          <w:p>
            <w:pPr>
              <w:widowControl/>
              <w:wordWrap w:val="0"/>
              <w:snapToGrid w:val="0"/>
              <w:spacing w:line="360" w:lineRule="auto"/>
              <w:jc w:val="left"/>
              <w:rPr>
                <w:rFonts w:hint="eastAsia" w:ascii="宋体" w:hAnsi="宋体"/>
                <w:color w:val="auto"/>
                <w:kern w:val="0"/>
                <w:sz w:val="24"/>
              </w:rPr>
            </w:pPr>
          </w:p>
        </w:tc>
        <w:tc>
          <w:tcPr>
            <w:tcW w:w="1762" w:type="dxa"/>
            <w:tcBorders>
              <w:top w:val="single" w:color="000000" w:sz="8" w:space="0"/>
              <w:left w:val="single" w:color="000000" w:sz="8" w:space="0"/>
              <w:bottom w:val="single" w:color="000000" w:sz="8" w:space="0"/>
              <w:right w:val="single" w:color="000000" w:sz="4" w:space="0"/>
            </w:tcBorders>
            <w:shd w:val="clear" w:color="auto" w:fill="FFFFFF"/>
          </w:tcPr>
          <w:p>
            <w:pPr>
              <w:widowControl/>
              <w:snapToGrid w:val="0"/>
              <w:spacing w:before="156" w:beforeLines="50" w:line="360" w:lineRule="exact"/>
              <w:jc w:val="center"/>
              <w:rPr>
                <w:rFonts w:hint="eastAsia" w:ascii="宋体" w:hAnsi="宋体"/>
                <w:color w:val="auto"/>
                <w:kern w:val="0"/>
                <w:sz w:val="24"/>
              </w:rPr>
            </w:pPr>
          </w:p>
        </w:tc>
        <w:tc>
          <w:tcPr>
            <w:tcW w:w="2677" w:type="dxa"/>
            <w:tcBorders>
              <w:top w:val="single" w:color="000000" w:sz="8" w:space="0"/>
              <w:left w:val="single" w:color="000000" w:sz="4" w:space="0"/>
              <w:bottom w:val="single" w:color="000000" w:sz="8" w:space="0"/>
              <w:right w:val="single" w:color="000000" w:sz="4" w:space="0"/>
            </w:tcBorders>
            <w:shd w:val="clear" w:color="auto" w:fill="FFFFFF"/>
            <w:vAlign w:val="center"/>
          </w:tcPr>
          <w:p>
            <w:pPr>
              <w:wordWrap w:val="0"/>
              <w:spacing w:line="460" w:lineRule="exact"/>
              <w:jc w:val="left"/>
              <w:rPr>
                <w:rStyle w:val="86"/>
                <w:rFonts w:hint="eastAsia" w:ascii="宋体" w:hAnsi="宋体" w:cs="宋体"/>
                <w:color w:val="auto"/>
                <w:kern w:val="0"/>
              </w:rPr>
            </w:pPr>
          </w:p>
        </w:tc>
        <w:tc>
          <w:tcPr>
            <w:tcW w:w="1465" w:type="dxa"/>
            <w:tcBorders>
              <w:top w:val="single" w:color="000000" w:sz="8" w:space="0"/>
              <w:left w:val="single" w:color="000000" w:sz="4" w:space="0"/>
              <w:bottom w:val="single" w:color="000000" w:sz="8" w:space="0"/>
              <w:right w:val="single" w:color="000000" w:sz="4" w:space="0"/>
            </w:tcBorders>
            <w:shd w:val="clear" w:color="auto" w:fill="FFFFFF"/>
            <w:vAlign w:val="center"/>
          </w:tcPr>
          <w:p>
            <w:pPr>
              <w:wordWrap w:val="0"/>
              <w:spacing w:line="460" w:lineRule="exact"/>
              <w:jc w:val="left"/>
              <w:rPr>
                <w:rStyle w:val="86"/>
                <w:rFonts w:hint="eastAsia" w:ascii="宋体" w:hAnsi="宋体" w:cs="宋体"/>
                <w:color w:val="auto"/>
                <w:kern w:val="0"/>
              </w:rPr>
            </w:pPr>
          </w:p>
        </w:tc>
        <w:tc>
          <w:tcPr>
            <w:tcW w:w="1893" w:type="dxa"/>
            <w:tcBorders>
              <w:top w:val="single" w:color="000000" w:sz="8" w:space="0"/>
              <w:left w:val="single" w:color="000000" w:sz="4" w:space="0"/>
              <w:bottom w:val="single" w:color="000000" w:sz="8" w:space="0"/>
              <w:right w:val="single" w:color="000000" w:sz="8" w:space="0"/>
            </w:tcBorders>
            <w:shd w:val="clear" w:color="auto" w:fill="FFFFFF"/>
            <w:vAlign w:val="center"/>
          </w:tcPr>
          <w:p>
            <w:pPr>
              <w:wordWrap w:val="0"/>
              <w:spacing w:line="460" w:lineRule="exact"/>
              <w:jc w:val="left"/>
              <w:rPr>
                <w:rStyle w:val="86"/>
                <w:rFonts w:hint="eastAsia" w:ascii="宋体" w:hAnsi="宋体" w:cs="宋体"/>
                <w:color w:val="auto"/>
                <w:kern w:val="0"/>
              </w:rPr>
            </w:pPr>
          </w:p>
        </w:tc>
      </w:tr>
      <w:tr>
        <w:tblPrEx>
          <w:shd w:val="clear" w:color="auto" w:fill="FFFFFF"/>
          <w:tblLayout w:type="fixed"/>
          <w:tblCellMar>
            <w:top w:w="0" w:type="dxa"/>
            <w:left w:w="0" w:type="dxa"/>
            <w:bottom w:w="0" w:type="dxa"/>
            <w:right w:w="0" w:type="dxa"/>
          </w:tblCellMar>
        </w:tblPrEx>
        <w:trPr>
          <w:trHeight w:val="829" w:hRule="atLeast"/>
        </w:trPr>
        <w:tc>
          <w:tcPr>
            <w:tcW w:w="1006" w:type="dxa"/>
            <w:tcBorders>
              <w:top w:val="single" w:color="000000" w:sz="8" w:space="0"/>
              <w:left w:val="single" w:color="000000" w:sz="8" w:space="0"/>
              <w:bottom w:val="single" w:color="000000" w:sz="8" w:space="0"/>
              <w:right w:val="single" w:color="000000" w:sz="4" w:space="0"/>
            </w:tcBorders>
            <w:shd w:val="clear" w:color="auto" w:fill="FFFFFF"/>
            <w:vAlign w:val="center"/>
          </w:tcPr>
          <w:p>
            <w:pPr>
              <w:widowControl/>
              <w:wordWrap w:val="0"/>
              <w:snapToGrid w:val="0"/>
              <w:spacing w:line="360" w:lineRule="auto"/>
              <w:jc w:val="left"/>
              <w:rPr>
                <w:rFonts w:hint="eastAsia" w:ascii="宋体" w:hAnsi="宋体"/>
                <w:color w:val="auto"/>
                <w:kern w:val="0"/>
                <w:sz w:val="24"/>
              </w:rPr>
            </w:pPr>
          </w:p>
        </w:tc>
        <w:tc>
          <w:tcPr>
            <w:tcW w:w="1762" w:type="dxa"/>
            <w:tcBorders>
              <w:top w:val="single" w:color="000000" w:sz="8" w:space="0"/>
              <w:left w:val="single" w:color="000000" w:sz="8" w:space="0"/>
              <w:bottom w:val="single" w:color="000000" w:sz="8" w:space="0"/>
              <w:right w:val="single" w:color="000000" w:sz="4" w:space="0"/>
            </w:tcBorders>
            <w:shd w:val="clear" w:color="auto" w:fill="FFFFFF"/>
          </w:tcPr>
          <w:p>
            <w:pPr>
              <w:widowControl/>
              <w:snapToGrid w:val="0"/>
              <w:spacing w:before="156" w:beforeLines="50" w:line="360" w:lineRule="exact"/>
              <w:jc w:val="center"/>
              <w:rPr>
                <w:rFonts w:hint="eastAsia" w:ascii="宋体" w:hAnsi="宋体"/>
                <w:color w:val="auto"/>
                <w:kern w:val="0"/>
                <w:sz w:val="24"/>
              </w:rPr>
            </w:pPr>
          </w:p>
        </w:tc>
        <w:tc>
          <w:tcPr>
            <w:tcW w:w="2677" w:type="dxa"/>
            <w:tcBorders>
              <w:top w:val="single" w:color="000000" w:sz="8" w:space="0"/>
              <w:left w:val="single" w:color="000000" w:sz="4" w:space="0"/>
              <w:bottom w:val="single" w:color="000000" w:sz="8" w:space="0"/>
              <w:right w:val="single" w:color="000000" w:sz="4" w:space="0"/>
            </w:tcBorders>
            <w:shd w:val="clear" w:color="auto" w:fill="FFFFFF"/>
            <w:vAlign w:val="center"/>
          </w:tcPr>
          <w:p>
            <w:pPr>
              <w:wordWrap w:val="0"/>
              <w:spacing w:line="460" w:lineRule="exact"/>
              <w:jc w:val="left"/>
              <w:rPr>
                <w:rStyle w:val="86"/>
                <w:rFonts w:hint="eastAsia" w:ascii="宋体" w:hAnsi="宋体" w:cs="宋体"/>
                <w:color w:val="auto"/>
                <w:kern w:val="0"/>
              </w:rPr>
            </w:pPr>
          </w:p>
        </w:tc>
        <w:tc>
          <w:tcPr>
            <w:tcW w:w="1465" w:type="dxa"/>
            <w:tcBorders>
              <w:top w:val="single" w:color="000000" w:sz="8" w:space="0"/>
              <w:left w:val="single" w:color="000000" w:sz="4" w:space="0"/>
              <w:bottom w:val="single" w:color="000000" w:sz="8" w:space="0"/>
              <w:right w:val="single" w:color="000000" w:sz="4" w:space="0"/>
            </w:tcBorders>
            <w:shd w:val="clear" w:color="auto" w:fill="FFFFFF"/>
            <w:vAlign w:val="center"/>
          </w:tcPr>
          <w:p>
            <w:pPr>
              <w:wordWrap w:val="0"/>
              <w:spacing w:line="460" w:lineRule="exact"/>
              <w:jc w:val="left"/>
              <w:rPr>
                <w:rStyle w:val="86"/>
                <w:rFonts w:hint="eastAsia" w:ascii="宋体" w:hAnsi="宋体" w:cs="宋体"/>
                <w:color w:val="auto"/>
                <w:kern w:val="0"/>
              </w:rPr>
            </w:pPr>
          </w:p>
        </w:tc>
        <w:tc>
          <w:tcPr>
            <w:tcW w:w="1893" w:type="dxa"/>
            <w:tcBorders>
              <w:top w:val="single" w:color="000000" w:sz="8" w:space="0"/>
              <w:left w:val="single" w:color="000000" w:sz="4" w:space="0"/>
              <w:bottom w:val="single" w:color="000000" w:sz="8" w:space="0"/>
              <w:right w:val="single" w:color="000000" w:sz="8" w:space="0"/>
            </w:tcBorders>
            <w:shd w:val="clear" w:color="auto" w:fill="FFFFFF"/>
            <w:vAlign w:val="center"/>
          </w:tcPr>
          <w:p>
            <w:pPr>
              <w:wordWrap w:val="0"/>
              <w:spacing w:line="460" w:lineRule="exact"/>
              <w:jc w:val="left"/>
              <w:rPr>
                <w:rStyle w:val="86"/>
                <w:rFonts w:hint="eastAsia" w:ascii="宋体" w:hAnsi="宋体" w:cs="宋体"/>
                <w:color w:val="auto"/>
                <w:kern w:val="0"/>
              </w:rPr>
            </w:pPr>
          </w:p>
        </w:tc>
      </w:tr>
    </w:tbl>
    <w:p>
      <w:pPr>
        <w:wordWrap w:val="0"/>
        <w:spacing w:line="460" w:lineRule="exact"/>
        <w:jc w:val="left"/>
        <w:rPr>
          <w:rStyle w:val="86"/>
          <w:rFonts w:hint="eastAsia" w:ascii="宋体" w:hAnsi="宋体" w:cs="宋体"/>
          <w:color w:val="auto"/>
          <w:kern w:val="0"/>
          <w:u w:val="single" w:color="000000"/>
        </w:rPr>
      </w:pPr>
    </w:p>
    <w:p>
      <w:pPr>
        <w:wordWrap w:val="0"/>
        <w:snapToGrid w:val="0"/>
        <w:spacing w:line="460" w:lineRule="exact"/>
        <w:ind w:firstLine="2016" w:firstLineChars="800"/>
        <w:rPr>
          <w:rStyle w:val="86"/>
          <w:rFonts w:hint="eastAsia" w:ascii="宋体" w:hAnsi="宋体" w:cs="宋体"/>
          <w:color w:val="auto"/>
          <w:kern w:val="0"/>
          <w:u w:val="single" w:color="000000"/>
        </w:rPr>
      </w:pPr>
      <w:r>
        <w:rPr>
          <w:rStyle w:val="86"/>
          <w:rFonts w:hint="eastAsia" w:ascii="宋体" w:hAnsi="宋体" w:cs="宋体"/>
          <w:color w:val="auto"/>
          <w:kern w:val="0"/>
        </w:rPr>
        <w:t xml:space="preserve">法定代表人或委托代理人（签字或盖章）： </w:t>
      </w:r>
      <w:r>
        <w:rPr>
          <w:rStyle w:val="86"/>
          <w:rFonts w:hint="eastAsia" w:ascii="宋体" w:hAnsi="宋体" w:cs="宋体"/>
          <w:color w:val="auto"/>
          <w:kern w:val="0"/>
          <w:u w:val="single" w:color="000000"/>
        </w:rPr>
        <w:t xml:space="preserve">           </w:t>
      </w:r>
      <w:r>
        <w:rPr>
          <w:rStyle w:val="86"/>
          <w:rFonts w:hint="eastAsia" w:ascii="宋体" w:hAnsi="宋体" w:cs="宋体"/>
          <w:color w:val="auto"/>
          <w:kern w:val="0"/>
        </w:rPr>
        <w:t xml:space="preserve">               投标人：</w:t>
      </w:r>
      <w:r>
        <w:rPr>
          <w:rStyle w:val="86"/>
          <w:rFonts w:hint="eastAsia" w:ascii="宋体" w:hAnsi="宋体" w:cs="宋体"/>
          <w:color w:val="auto"/>
          <w:kern w:val="0"/>
          <w:u w:val="single" w:color="000000"/>
        </w:rPr>
        <w:t xml:space="preserve">                 </w:t>
      </w:r>
      <w:r>
        <w:rPr>
          <w:rStyle w:val="86"/>
          <w:rFonts w:hint="eastAsia" w:ascii="宋体" w:hAnsi="宋体" w:cs="宋体"/>
          <w:color w:val="auto"/>
          <w:kern w:val="0"/>
        </w:rPr>
        <w:t>（全称并加盖公章）</w:t>
      </w:r>
    </w:p>
    <w:p>
      <w:pPr>
        <w:wordWrap w:val="0"/>
        <w:snapToGrid w:val="0"/>
        <w:spacing w:line="460" w:lineRule="exact"/>
        <w:ind w:firstLine="420"/>
        <w:jc w:val="left"/>
        <w:rPr>
          <w:rStyle w:val="86"/>
          <w:rFonts w:hint="eastAsia" w:ascii="宋体" w:hAnsi="宋体" w:cs="宋体"/>
          <w:b/>
          <w:color w:val="auto"/>
          <w:kern w:val="0"/>
          <w:sz w:val="32"/>
          <w:szCs w:val="32"/>
        </w:rPr>
      </w:pPr>
      <w:r>
        <w:rPr>
          <w:rStyle w:val="86"/>
          <w:rFonts w:hint="eastAsia" w:ascii="宋体" w:hAnsi="宋体" w:cs="宋体"/>
          <w:b/>
          <w:color w:val="auto"/>
          <w:kern w:val="0"/>
          <w:sz w:val="32"/>
          <w:szCs w:val="32"/>
        </w:rPr>
        <w:t xml:space="preserve">                  </w:t>
      </w:r>
      <w:r>
        <w:rPr>
          <w:rStyle w:val="86"/>
          <w:rFonts w:hint="eastAsia" w:ascii="宋体" w:hAnsi="宋体" w:cs="宋体"/>
          <w:color w:val="auto"/>
          <w:kern w:val="0"/>
        </w:rPr>
        <w:t>年    月    日</w:t>
      </w:r>
    </w:p>
    <w:p>
      <w:pPr>
        <w:widowControl/>
        <w:wordWrap w:val="0"/>
        <w:snapToGrid w:val="0"/>
        <w:spacing w:line="440" w:lineRule="exact"/>
        <w:jc w:val="left"/>
        <w:rPr>
          <w:rFonts w:hint="eastAsia" w:ascii="宋体" w:hAnsi="宋体" w:cs="宋体"/>
          <w:b/>
          <w:color w:val="auto"/>
          <w:kern w:val="0"/>
          <w:sz w:val="24"/>
        </w:rPr>
      </w:pPr>
    </w:p>
    <w:p>
      <w:pPr>
        <w:widowControl/>
        <w:wordWrap w:val="0"/>
        <w:snapToGrid w:val="0"/>
        <w:spacing w:line="440" w:lineRule="exact"/>
        <w:jc w:val="left"/>
        <w:rPr>
          <w:rFonts w:hint="eastAsia" w:ascii="宋体" w:hAnsi="宋体" w:cs="宋体"/>
          <w:b/>
          <w:color w:val="auto"/>
          <w:kern w:val="0"/>
          <w:sz w:val="24"/>
        </w:rPr>
      </w:pPr>
    </w:p>
    <w:p>
      <w:pPr>
        <w:widowControl/>
        <w:wordWrap w:val="0"/>
        <w:snapToGrid w:val="0"/>
        <w:spacing w:line="440" w:lineRule="exact"/>
        <w:jc w:val="left"/>
        <w:rPr>
          <w:rFonts w:hint="eastAsia" w:ascii="宋体" w:hAnsi="宋体" w:cs="宋体"/>
          <w:b/>
          <w:color w:val="auto"/>
          <w:kern w:val="0"/>
          <w:sz w:val="24"/>
        </w:rPr>
      </w:pPr>
    </w:p>
    <w:p>
      <w:pPr>
        <w:pageBreakBefore/>
        <w:wordWrap w:val="0"/>
        <w:spacing w:line="460" w:lineRule="exact"/>
        <w:jc w:val="left"/>
        <w:outlineLvl w:val="0"/>
        <w:rPr>
          <w:rStyle w:val="86"/>
          <w:rFonts w:hint="eastAsia" w:ascii="宋体" w:hAnsi="宋体" w:cs="宋体"/>
          <w:color w:val="auto"/>
          <w:szCs w:val="21"/>
        </w:rPr>
      </w:pPr>
      <w:r>
        <w:rPr>
          <w:rStyle w:val="86"/>
          <w:rFonts w:hint="eastAsia" w:ascii="宋体" w:hAnsi="宋体" w:cs="宋体"/>
          <w:b/>
          <w:color w:val="auto"/>
          <w:kern w:val="0"/>
        </w:rPr>
        <w:t>附件8                   法定代表人身份证明</w:t>
      </w:r>
      <w:r>
        <w:rPr>
          <w:rStyle w:val="86"/>
          <w:rFonts w:hint="eastAsia" w:ascii="宋体" w:hAnsi="宋体" w:cs="宋体"/>
          <w:color w:val="auto"/>
          <w:kern w:val="0"/>
        </w:rPr>
        <w:t>（格式）</w:t>
      </w:r>
    </w:p>
    <w:p>
      <w:pPr>
        <w:wordWrap w:val="0"/>
        <w:spacing w:line="460" w:lineRule="exact"/>
        <w:rPr>
          <w:rStyle w:val="86"/>
          <w:rFonts w:hint="eastAsia" w:ascii="宋体" w:hAnsi="宋体" w:cs="宋体"/>
          <w:color w:val="auto"/>
        </w:rPr>
      </w:pPr>
    </w:p>
    <w:p>
      <w:pPr>
        <w:wordWrap w:val="0"/>
        <w:spacing w:line="460" w:lineRule="exact"/>
        <w:ind w:firstLine="504" w:firstLineChars="200"/>
        <w:rPr>
          <w:rStyle w:val="86"/>
          <w:rFonts w:hint="eastAsia" w:ascii="宋体" w:hAnsi="宋体" w:cs="宋体"/>
          <w:color w:val="auto"/>
        </w:rPr>
      </w:pPr>
      <w:r>
        <w:rPr>
          <w:rStyle w:val="86"/>
          <w:rFonts w:hint="eastAsia" w:ascii="宋体" w:hAnsi="宋体" w:cs="宋体"/>
          <w:color w:val="auto"/>
        </w:rPr>
        <w:t>投标人名称：</w:t>
      </w:r>
      <w:r>
        <w:rPr>
          <w:rStyle w:val="86"/>
          <w:rFonts w:hint="eastAsia" w:ascii="宋体" w:hAnsi="宋体" w:cs="宋体"/>
          <w:color w:val="auto"/>
          <w:u w:val="single" w:color="000000"/>
        </w:rPr>
        <w:t xml:space="preserve">                            </w:t>
      </w:r>
      <w:r>
        <w:rPr>
          <w:rStyle w:val="86"/>
          <w:rFonts w:hint="eastAsia" w:ascii="宋体" w:hAnsi="宋体" w:cs="宋体"/>
          <w:color w:val="auto"/>
        </w:rPr>
        <w:t xml:space="preserve"> </w:t>
      </w:r>
    </w:p>
    <w:p>
      <w:pPr>
        <w:wordWrap w:val="0"/>
        <w:spacing w:line="460" w:lineRule="exact"/>
        <w:ind w:firstLine="504" w:firstLineChars="200"/>
        <w:rPr>
          <w:rStyle w:val="86"/>
          <w:rFonts w:hint="eastAsia" w:ascii="宋体" w:hAnsi="宋体" w:cs="宋体"/>
          <w:color w:val="auto"/>
        </w:rPr>
      </w:pPr>
      <w:r>
        <w:rPr>
          <w:rStyle w:val="86"/>
          <w:rFonts w:hint="eastAsia" w:ascii="宋体" w:hAnsi="宋体" w:cs="宋体"/>
          <w:color w:val="auto"/>
        </w:rPr>
        <w:t>单位性质：</w:t>
      </w:r>
      <w:r>
        <w:rPr>
          <w:rStyle w:val="86"/>
          <w:rFonts w:hint="eastAsia" w:ascii="宋体" w:hAnsi="宋体" w:cs="宋体"/>
          <w:color w:val="auto"/>
          <w:u w:val="single" w:color="000000"/>
        </w:rPr>
        <w:t xml:space="preserve">                               </w:t>
      </w:r>
      <w:r>
        <w:rPr>
          <w:rStyle w:val="86"/>
          <w:rFonts w:hint="eastAsia" w:ascii="宋体" w:hAnsi="宋体" w:cs="宋体"/>
          <w:color w:val="auto"/>
        </w:rPr>
        <w:t xml:space="preserve"> </w:t>
      </w:r>
    </w:p>
    <w:p>
      <w:pPr>
        <w:wordWrap w:val="0"/>
        <w:spacing w:line="460" w:lineRule="exact"/>
        <w:ind w:firstLine="504" w:firstLineChars="200"/>
        <w:rPr>
          <w:rStyle w:val="86"/>
          <w:rFonts w:hint="eastAsia" w:ascii="宋体" w:hAnsi="宋体" w:cs="宋体"/>
          <w:color w:val="auto"/>
        </w:rPr>
      </w:pPr>
      <w:r>
        <w:rPr>
          <w:rStyle w:val="86"/>
          <w:rFonts w:hint="eastAsia" w:ascii="宋体" w:hAnsi="宋体" w:cs="宋体"/>
          <w:color w:val="auto"/>
        </w:rPr>
        <w:t>地   址：</w:t>
      </w:r>
      <w:r>
        <w:rPr>
          <w:rStyle w:val="86"/>
          <w:rFonts w:hint="eastAsia" w:ascii="宋体" w:hAnsi="宋体" w:cs="宋体"/>
          <w:color w:val="auto"/>
          <w:u w:val="single" w:color="000000"/>
        </w:rPr>
        <w:t xml:space="preserve">                                   </w:t>
      </w:r>
    </w:p>
    <w:p>
      <w:pPr>
        <w:wordWrap w:val="0"/>
        <w:spacing w:line="460" w:lineRule="exact"/>
        <w:ind w:firstLine="504" w:firstLineChars="200"/>
        <w:rPr>
          <w:rStyle w:val="86"/>
          <w:rFonts w:hint="eastAsia" w:ascii="宋体" w:hAnsi="宋体" w:cs="宋体"/>
          <w:color w:val="auto"/>
        </w:rPr>
      </w:pPr>
      <w:r>
        <w:rPr>
          <w:rStyle w:val="86"/>
          <w:rFonts w:hint="eastAsia" w:ascii="宋体" w:hAnsi="宋体" w:cs="宋体"/>
          <w:color w:val="auto"/>
        </w:rPr>
        <w:t>成立时间：</w:t>
      </w:r>
      <w:r>
        <w:rPr>
          <w:rStyle w:val="86"/>
          <w:rFonts w:hint="eastAsia" w:ascii="宋体" w:hAnsi="宋体" w:cs="宋体"/>
          <w:color w:val="auto"/>
          <w:u w:val="single" w:color="000000"/>
        </w:rPr>
        <w:t xml:space="preserve">         </w:t>
      </w:r>
      <w:r>
        <w:rPr>
          <w:rStyle w:val="86"/>
          <w:rFonts w:hint="eastAsia" w:ascii="宋体" w:hAnsi="宋体" w:cs="宋体"/>
          <w:color w:val="auto"/>
        </w:rPr>
        <w:t xml:space="preserve"> 年</w:t>
      </w:r>
      <w:r>
        <w:rPr>
          <w:rStyle w:val="86"/>
          <w:rFonts w:hint="eastAsia" w:ascii="宋体" w:hAnsi="宋体" w:cs="宋体"/>
          <w:color w:val="auto"/>
          <w:u w:val="single" w:color="000000"/>
        </w:rPr>
        <w:t xml:space="preserve">       </w:t>
      </w:r>
      <w:r>
        <w:rPr>
          <w:rStyle w:val="86"/>
          <w:rFonts w:hint="eastAsia" w:ascii="宋体" w:hAnsi="宋体" w:cs="宋体"/>
          <w:color w:val="auto"/>
        </w:rPr>
        <w:t xml:space="preserve"> 月</w:t>
      </w:r>
      <w:r>
        <w:rPr>
          <w:rStyle w:val="86"/>
          <w:rFonts w:hint="eastAsia" w:ascii="宋体" w:hAnsi="宋体" w:cs="宋体"/>
          <w:color w:val="auto"/>
          <w:u w:val="single" w:color="000000"/>
        </w:rPr>
        <w:t xml:space="preserve">       </w:t>
      </w:r>
      <w:r>
        <w:rPr>
          <w:rStyle w:val="86"/>
          <w:rFonts w:hint="eastAsia" w:ascii="宋体" w:hAnsi="宋体" w:cs="宋体"/>
          <w:color w:val="auto"/>
        </w:rPr>
        <w:t xml:space="preserve"> 日</w:t>
      </w:r>
    </w:p>
    <w:p>
      <w:pPr>
        <w:wordWrap w:val="0"/>
        <w:spacing w:line="460" w:lineRule="exact"/>
        <w:ind w:firstLine="504" w:firstLineChars="200"/>
        <w:rPr>
          <w:rStyle w:val="86"/>
          <w:rFonts w:hint="eastAsia" w:ascii="宋体" w:hAnsi="宋体" w:cs="宋体"/>
          <w:color w:val="auto"/>
        </w:rPr>
      </w:pPr>
      <w:r>
        <w:rPr>
          <w:rStyle w:val="86"/>
          <w:rFonts w:hint="eastAsia" w:ascii="宋体" w:hAnsi="宋体" w:cs="宋体"/>
          <w:color w:val="auto"/>
        </w:rPr>
        <w:t>经营期限：</w:t>
      </w:r>
      <w:r>
        <w:rPr>
          <w:rStyle w:val="86"/>
          <w:rFonts w:hint="eastAsia" w:ascii="宋体" w:hAnsi="宋体" w:cs="宋体"/>
          <w:color w:val="auto"/>
          <w:u w:val="single" w:color="000000"/>
        </w:rPr>
        <w:t xml:space="preserve">                               </w:t>
      </w:r>
    </w:p>
    <w:p>
      <w:pPr>
        <w:wordWrap w:val="0"/>
        <w:spacing w:line="460" w:lineRule="exact"/>
        <w:ind w:left="479" w:leftChars="228"/>
        <w:rPr>
          <w:rStyle w:val="86"/>
          <w:rFonts w:hint="eastAsia" w:ascii="宋体" w:hAnsi="宋体" w:cs="宋体"/>
          <w:color w:val="auto"/>
        </w:rPr>
      </w:pPr>
      <w:r>
        <w:rPr>
          <w:rStyle w:val="86"/>
          <w:rFonts w:hint="eastAsia" w:ascii="宋体" w:hAnsi="宋体" w:cs="宋体"/>
          <w:color w:val="auto"/>
        </w:rPr>
        <w:t>姓名：</w:t>
      </w:r>
      <w:r>
        <w:rPr>
          <w:rStyle w:val="86"/>
          <w:rFonts w:hint="eastAsia" w:ascii="宋体" w:hAnsi="宋体" w:cs="宋体"/>
          <w:color w:val="auto"/>
          <w:u w:val="single" w:color="000000"/>
        </w:rPr>
        <w:t xml:space="preserve">        </w:t>
      </w:r>
      <w:r>
        <w:rPr>
          <w:rStyle w:val="86"/>
          <w:rFonts w:hint="eastAsia" w:ascii="宋体" w:hAnsi="宋体" w:cs="宋体"/>
          <w:color w:val="auto"/>
        </w:rPr>
        <w:t xml:space="preserve"> 性别：</w:t>
      </w:r>
      <w:r>
        <w:rPr>
          <w:rStyle w:val="86"/>
          <w:rFonts w:hint="eastAsia" w:ascii="宋体" w:hAnsi="宋体" w:cs="宋体"/>
          <w:color w:val="auto"/>
          <w:u w:val="single" w:color="000000"/>
        </w:rPr>
        <w:t xml:space="preserve">         </w:t>
      </w:r>
      <w:r>
        <w:rPr>
          <w:rStyle w:val="86"/>
          <w:rFonts w:hint="eastAsia" w:ascii="宋体" w:hAnsi="宋体" w:cs="宋体"/>
          <w:color w:val="auto"/>
        </w:rPr>
        <w:t xml:space="preserve"> 年龄：</w:t>
      </w:r>
      <w:r>
        <w:rPr>
          <w:rStyle w:val="86"/>
          <w:rFonts w:hint="eastAsia" w:ascii="宋体" w:hAnsi="宋体" w:cs="宋体"/>
          <w:color w:val="auto"/>
          <w:u w:val="single" w:color="000000"/>
        </w:rPr>
        <w:t xml:space="preserve">        </w:t>
      </w:r>
      <w:r>
        <w:rPr>
          <w:rStyle w:val="86"/>
          <w:rFonts w:hint="eastAsia" w:ascii="宋体" w:hAnsi="宋体" w:cs="宋体"/>
          <w:color w:val="auto"/>
        </w:rPr>
        <w:t>职务：</w:t>
      </w:r>
      <w:r>
        <w:rPr>
          <w:rStyle w:val="86"/>
          <w:rFonts w:hint="eastAsia" w:ascii="宋体" w:hAnsi="宋体" w:cs="宋体"/>
          <w:color w:val="auto"/>
          <w:u w:val="single" w:color="000000"/>
        </w:rPr>
        <w:t xml:space="preserve">        </w:t>
      </w:r>
      <w:r>
        <w:rPr>
          <w:rStyle w:val="86"/>
          <w:rFonts w:hint="eastAsia" w:ascii="宋体" w:hAnsi="宋体" w:cs="宋体"/>
          <w:color w:val="auto"/>
        </w:rPr>
        <w:t>系</w:t>
      </w:r>
      <w:r>
        <w:rPr>
          <w:rStyle w:val="86"/>
          <w:rFonts w:hint="eastAsia" w:ascii="宋体" w:hAnsi="宋体" w:cs="宋体"/>
          <w:color w:val="auto"/>
          <w:u w:val="single" w:color="000000"/>
        </w:rPr>
        <w:t xml:space="preserve">                             </w:t>
      </w:r>
      <w:r>
        <w:rPr>
          <w:rStyle w:val="86"/>
          <w:rFonts w:hint="eastAsia" w:ascii="宋体" w:hAnsi="宋体" w:cs="宋体"/>
          <w:color w:val="auto"/>
        </w:rPr>
        <w:t>（投标人名称）的法定代表人。</w:t>
      </w:r>
    </w:p>
    <w:p>
      <w:pPr>
        <w:wordWrap w:val="0"/>
        <w:spacing w:line="460" w:lineRule="exact"/>
        <w:ind w:firstLine="504" w:firstLineChars="200"/>
        <w:rPr>
          <w:rStyle w:val="86"/>
          <w:rFonts w:hint="eastAsia" w:ascii="宋体" w:hAnsi="宋体" w:cs="宋体"/>
          <w:color w:val="auto"/>
        </w:rPr>
      </w:pPr>
      <w:r>
        <w:rPr>
          <w:rStyle w:val="86"/>
          <w:rFonts w:hint="eastAsia" w:ascii="宋体" w:hAnsi="宋体" w:cs="宋体"/>
          <w:color w:val="auto"/>
        </w:rPr>
        <w:t>特此证明。</w:t>
      </w:r>
    </w:p>
    <w:p>
      <w:pPr>
        <w:wordWrap w:val="0"/>
        <w:spacing w:line="460" w:lineRule="exact"/>
        <w:ind w:firstLine="1008" w:firstLineChars="400"/>
        <w:rPr>
          <w:rStyle w:val="86"/>
          <w:rFonts w:hint="eastAsia" w:ascii="宋体" w:hAnsi="宋体" w:cs="宋体"/>
          <w:color w:val="auto"/>
        </w:rPr>
      </w:pPr>
      <w:r>
        <w:rPr>
          <w:rStyle w:val="86"/>
          <w:rFonts w:hint="eastAsia" w:ascii="宋体" w:hAnsi="宋体" w:cs="宋体"/>
          <w:color w:val="auto"/>
        </w:rPr>
        <w:t>附：法定代表人身份证扫描件</w:t>
      </w:r>
    </w:p>
    <w:p>
      <w:pPr>
        <w:wordWrap w:val="0"/>
        <w:snapToGrid w:val="0"/>
        <w:spacing w:line="460" w:lineRule="exact"/>
        <w:rPr>
          <w:rStyle w:val="86"/>
          <w:rFonts w:hint="eastAsia" w:ascii="宋体" w:hAnsi="宋体" w:cs="宋体"/>
          <w:color w:val="auto"/>
        </w:rPr>
      </w:pPr>
    </w:p>
    <w:p>
      <w:pPr>
        <w:wordWrap w:val="0"/>
        <w:spacing w:line="460" w:lineRule="exact"/>
        <w:rPr>
          <w:rStyle w:val="86"/>
          <w:rFonts w:hint="eastAsia" w:ascii="宋体" w:hAnsi="宋体" w:cs="宋体"/>
          <w:color w:val="auto"/>
        </w:rPr>
      </w:pPr>
    </w:p>
    <w:p>
      <w:pPr>
        <w:wordWrap w:val="0"/>
        <w:spacing w:line="460" w:lineRule="exact"/>
        <w:rPr>
          <w:rStyle w:val="86"/>
          <w:rFonts w:hint="eastAsia" w:ascii="宋体" w:hAnsi="宋体" w:cs="宋体"/>
          <w:color w:val="auto"/>
        </w:rPr>
      </w:pPr>
    </w:p>
    <w:p>
      <w:pPr>
        <w:wordWrap w:val="0"/>
        <w:spacing w:line="460" w:lineRule="exact"/>
        <w:rPr>
          <w:rStyle w:val="86"/>
          <w:rFonts w:hint="eastAsia" w:ascii="宋体" w:hAnsi="宋体" w:cs="宋体"/>
          <w:color w:val="auto"/>
        </w:rPr>
      </w:pPr>
    </w:p>
    <w:p>
      <w:pPr>
        <w:wordWrap w:val="0"/>
        <w:spacing w:line="460" w:lineRule="exact"/>
        <w:rPr>
          <w:rStyle w:val="86"/>
          <w:rFonts w:hint="eastAsia" w:ascii="宋体" w:hAnsi="宋体" w:cs="宋体"/>
          <w:color w:val="auto"/>
        </w:rPr>
      </w:pPr>
    </w:p>
    <w:p>
      <w:pPr>
        <w:wordWrap w:val="0"/>
        <w:spacing w:line="460" w:lineRule="exact"/>
        <w:rPr>
          <w:rStyle w:val="86"/>
          <w:rFonts w:hint="eastAsia" w:ascii="宋体" w:hAnsi="宋体" w:cs="宋体"/>
          <w:color w:val="auto"/>
        </w:rPr>
      </w:pPr>
    </w:p>
    <w:p>
      <w:pPr>
        <w:wordWrap w:val="0"/>
        <w:spacing w:line="460" w:lineRule="exact"/>
        <w:rPr>
          <w:rStyle w:val="86"/>
          <w:rFonts w:hint="eastAsia" w:ascii="宋体" w:hAnsi="宋体" w:cs="宋体"/>
          <w:color w:val="auto"/>
        </w:rPr>
      </w:pPr>
    </w:p>
    <w:p>
      <w:pPr>
        <w:wordWrap w:val="0"/>
        <w:spacing w:line="460" w:lineRule="exact"/>
        <w:rPr>
          <w:rStyle w:val="86"/>
          <w:rFonts w:hint="eastAsia" w:ascii="宋体" w:hAnsi="宋体" w:cs="宋体"/>
          <w:color w:val="auto"/>
        </w:rPr>
      </w:pPr>
    </w:p>
    <w:p>
      <w:pPr>
        <w:wordWrap w:val="0"/>
        <w:spacing w:line="460" w:lineRule="exact"/>
        <w:rPr>
          <w:rStyle w:val="86"/>
          <w:rFonts w:hint="eastAsia" w:ascii="宋体" w:hAnsi="宋体" w:cs="宋体"/>
          <w:color w:val="auto"/>
        </w:rPr>
      </w:pPr>
      <w:r>
        <w:rPr>
          <w:rStyle w:val="86"/>
          <w:rFonts w:hint="eastAsia" w:ascii="宋体" w:hAnsi="宋体" w:cs="宋体"/>
          <w:color w:val="auto"/>
        </w:rPr>
        <w:t xml:space="preserve">                       投标人：</w:t>
      </w:r>
      <w:r>
        <w:rPr>
          <w:rStyle w:val="86"/>
          <w:rFonts w:hint="eastAsia" w:ascii="宋体" w:hAnsi="宋体" w:cs="宋体"/>
          <w:color w:val="auto"/>
          <w:u w:val="single" w:color="000000"/>
        </w:rPr>
        <w:t xml:space="preserve">                 </w:t>
      </w:r>
      <w:r>
        <w:rPr>
          <w:rStyle w:val="86"/>
          <w:rFonts w:hint="eastAsia" w:ascii="宋体" w:hAnsi="宋体" w:cs="宋体"/>
          <w:color w:val="auto"/>
        </w:rPr>
        <w:t>（</w:t>
      </w:r>
      <w:r>
        <w:rPr>
          <w:rStyle w:val="86"/>
          <w:rFonts w:hint="eastAsia" w:ascii="宋体" w:hAnsi="宋体" w:cs="宋体"/>
          <w:color w:val="auto"/>
          <w:kern w:val="0"/>
        </w:rPr>
        <w:t>全称并加盖公章</w:t>
      </w:r>
      <w:r>
        <w:rPr>
          <w:rStyle w:val="86"/>
          <w:rFonts w:hint="eastAsia" w:ascii="宋体" w:hAnsi="宋体" w:cs="宋体"/>
          <w:color w:val="auto"/>
        </w:rPr>
        <w:t>）</w:t>
      </w:r>
    </w:p>
    <w:p>
      <w:pPr>
        <w:wordWrap w:val="0"/>
        <w:spacing w:line="460" w:lineRule="exact"/>
        <w:rPr>
          <w:rStyle w:val="86"/>
          <w:rFonts w:hint="eastAsia" w:ascii="宋体" w:hAnsi="宋体" w:cs="宋体"/>
          <w:color w:val="auto"/>
        </w:rPr>
      </w:pPr>
      <w:r>
        <w:rPr>
          <w:rStyle w:val="86"/>
          <w:rFonts w:hint="eastAsia" w:ascii="宋体" w:hAnsi="宋体" w:cs="宋体"/>
          <w:color w:val="auto"/>
        </w:rPr>
        <w:t xml:space="preserve">                                年     月     日</w:t>
      </w:r>
    </w:p>
    <w:p>
      <w:pPr>
        <w:wordWrap w:val="0"/>
        <w:spacing w:line="460" w:lineRule="exact"/>
        <w:rPr>
          <w:rStyle w:val="86"/>
          <w:rFonts w:hint="eastAsia" w:ascii="宋体" w:hAnsi="宋体" w:cs="宋体"/>
          <w:color w:val="auto"/>
        </w:rPr>
      </w:pPr>
    </w:p>
    <w:p>
      <w:pPr>
        <w:wordWrap w:val="0"/>
        <w:spacing w:line="460" w:lineRule="exact"/>
        <w:rPr>
          <w:rStyle w:val="86"/>
          <w:rFonts w:hint="eastAsia" w:ascii="宋体" w:hAnsi="宋体" w:cs="宋体"/>
          <w:color w:val="auto"/>
        </w:rPr>
      </w:pPr>
    </w:p>
    <w:p>
      <w:pPr>
        <w:wordWrap w:val="0"/>
        <w:spacing w:line="460" w:lineRule="exact"/>
        <w:jc w:val="center"/>
        <w:rPr>
          <w:rStyle w:val="86"/>
          <w:rFonts w:hint="eastAsia" w:ascii="宋体" w:hAnsi="宋体" w:cs="宋体"/>
          <w:b/>
          <w:color w:val="auto"/>
        </w:rPr>
      </w:pPr>
    </w:p>
    <w:p>
      <w:pPr>
        <w:wordWrap w:val="0"/>
        <w:spacing w:line="460" w:lineRule="exact"/>
        <w:jc w:val="center"/>
        <w:rPr>
          <w:rStyle w:val="86"/>
          <w:rFonts w:hint="eastAsia" w:ascii="宋体" w:hAnsi="宋体" w:cs="宋体"/>
          <w:b/>
          <w:color w:val="auto"/>
        </w:rPr>
      </w:pPr>
    </w:p>
    <w:p>
      <w:pPr>
        <w:wordWrap w:val="0"/>
        <w:spacing w:line="460" w:lineRule="exact"/>
        <w:jc w:val="center"/>
        <w:rPr>
          <w:rStyle w:val="86"/>
          <w:rFonts w:hint="eastAsia" w:ascii="宋体" w:hAnsi="宋体" w:cs="宋体"/>
          <w:b/>
          <w:color w:val="auto"/>
        </w:rPr>
      </w:pPr>
    </w:p>
    <w:p>
      <w:pPr>
        <w:wordWrap w:val="0"/>
        <w:spacing w:line="460" w:lineRule="exact"/>
        <w:rPr>
          <w:rStyle w:val="86"/>
          <w:rFonts w:hint="eastAsia" w:ascii="宋体" w:hAnsi="宋体" w:cs="宋体"/>
          <w:b/>
          <w:color w:val="auto"/>
        </w:rPr>
      </w:pPr>
    </w:p>
    <w:p>
      <w:pPr>
        <w:pageBreakBefore/>
        <w:wordWrap w:val="0"/>
        <w:spacing w:line="460" w:lineRule="exact"/>
        <w:outlineLvl w:val="0"/>
        <w:rPr>
          <w:rStyle w:val="86"/>
          <w:rFonts w:hint="eastAsia" w:ascii="宋体" w:hAnsi="宋体" w:cs="宋体"/>
          <w:b/>
          <w:color w:val="auto"/>
        </w:rPr>
      </w:pPr>
      <w:r>
        <w:rPr>
          <w:rStyle w:val="86"/>
          <w:rFonts w:hint="eastAsia" w:ascii="宋体" w:hAnsi="宋体" w:cs="宋体"/>
          <w:b/>
          <w:color w:val="auto"/>
          <w:kern w:val="0"/>
        </w:rPr>
        <w:t>附件9                   法定代表人</w:t>
      </w:r>
      <w:r>
        <w:rPr>
          <w:rStyle w:val="86"/>
          <w:rFonts w:hint="eastAsia" w:ascii="宋体" w:hAnsi="宋体" w:cs="宋体"/>
          <w:b/>
          <w:color w:val="auto"/>
        </w:rPr>
        <w:t>授权书</w:t>
      </w:r>
    </w:p>
    <w:p>
      <w:pPr>
        <w:wordWrap w:val="0"/>
        <w:spacing w:line="460" w:lineRule="exact"/>
        <w:jc w:val="center"/>
        <w:rPr>
          <w:rStyle w:val="86"/>
          <w:rFonts w:hint="eastAsia" w:ascii="宋体" w:hAnsi="宋体" w:cs="宋体"/>
          <w:b/>
          <w:color w:val="auto"/>
        </w:rPr>
      </w:pPr>
    </w:p>
    <w:p>
      <w:pPr>
        <w:wordWrap w:val="0"/>
        <w:spacing w:line="460" w:lineRule="exact"/>
        <w:rPr>
          <w:rStyle w:val="86"/>
          <w:rFonts w:hint="eastAsia" w:ascii="宋体" w:hAnsi="宋体" w:cs="宋体"/>
          <w:b/>
          <w:bCs/>
          <w:color w:val="auto"/>
        </w:rPr>
      </w:pPr>
      <w:r>
        <w:rPr>
          <w:rStyle w:val="86"/>
          <w:rFonts w:hint="eastAsia" w:ascii="宋体" w:hAnsi="宋体" w:cs="宋体"/>
          <w:color w:val="auto"/>
        </w:rPr>
        <w:t>致</w:t>
      </w:r>
      <w:r>
        <w:rPr>
          <w:rStyle w:val="86"/>
          <w:rFonts w:hint="eastAsia" w:ascii="宋体" w:hAnsi="宋体" w:cs="宋体"/>
          <w:b/>
          <w:bCs/>
          <w:color w:val="auto"/>
        </w:rPr>
        <w:t>：</w:t>
      </w:r>
      <w:r>
        <w:rPr>
          <w:rStyle w:val="86"/>
          <w:rFonts w:hint="eastAsia" w:ascii="宋体" w:hAnsi="宋体" w:cs="宋体"/>
          <w:b/>
          <w:bCs/>
          <w:color w:val="auto"/>
          <w:u w:val="single" w:color="000000"/>
        </w:rPr>
        <w:t xml:space="preserve">               </w:t>
      </w:r>
      <w:r>
        <w:rPr>
          <w:rFonts w:hint="eastAsia" w:ascii="宋体" w:hAnsi="宋体" w:cs="宋体"/>
          <w:color w:val="auto"/>
          <w:kern w:val="0"/>
          <w:sz w:val="24"/>
        </w:rPr>
        <w:t>（代理机构名称）</w:t>
      </w:r>
      <w:r>
        <w:rPr>
          <w:rStyle w:val="86"/>
          <w:rFonts w:hint="eastAsia" w:ascii="宋体" w:hAnsi="宋体" w:cs="宋体"/>
          <w:b/>
          <w:bCs/>
          <w:color w:val="auto"/>
        </w:rPr>
        <w:t xml:space="preserve"> </w:t>
      </w:r>
    </w:p>
    <w:p>
      <w:pPr>
        <w:wordWrap w:val="0"/>
        <w:spacing w:line="460" w:lineRule="exact"/>
        <w:ind w:firstLine="504" w:firstLineChars="200"/>
        <w:rPr>
          <w:rStyle w:val="86"/>
          <w:rFonts w:hint="eastAsia" w:ascii="宋体" w:hAnsi="宋体" w:cs="宋体"/>
          <w:color w:val="auto"/>
        </w:rPr>
      </w:pPr>
      <w:r>
        <w:rPr>
          <w:rStyle w:val="86"/>
          <w:rFonts w:hint="eastAsia" w:ascii="宋体" w:hAnsi="宋体" w:cs="宋体"/>
          <w:color w:val="auto"/>
        </w:rPr>
        <w:t>我</w:t>
      </w:r>
      <w:r>
        <w:rPr>
          <w:rStyle w:val="86"/>
          <w:rFonts w:hint="eastAsia" w:ascii="宋体" w:hAnsi="宋体" w:cs="宋体"/>
          <w:color w:val="auto"/>
          <w:u w:val="single"/>
        </w:rPr>
        <w:t xml:space="preserve">      </w:t>
      </w:r>
      <w:r>
        <w:rPr>
          <w:rStyle w:val="86"/>
          <w:rFonts w:hint="eastAsia" w:ascii="宋体" w:hAnsi="宋体" w:cs="宋体"/>
          <w:color w:val="auto"/>
        </w:rPr>
        <w:t>（姓名）系</w:t>
      </w:r>
      <w:r>
        <w:rPr>
          <w:rStyle w:val="86"/>
          <w:rFonts w:hint="eastAsia" w:ascii="宋体" w:hAnsi="宋体" w:cs="宋体"/>
          <w:color w:val="auto"/>
          <w:u w:val="single"/>
        </w:rPr>
        <w:t xml:space="preserve">                </w:t>
      </w:r>
      <w:r>
        <w:rPr>
          <w:rStyle w:val="86"/>
          <w:rFonts w:hint="eastAsia" w:ascii="宋体" w:hAnsi="宋体" w:cs="宋体"/>
          <w:color w:val="auto"/>
        </w:rPr>
        <w:t>（投标人名称）的法定代表人，现委托</w:t>
      </w:r>
      <w:r>
        <w:rPr>
          <w:rStyle w:val="86"/>
          <w:rFonts w:hint="eastAsia" w:ascii="宋体" w:hAnsi="宋体" w:cs="宋体"/>
          <w:color w:val="auto"/>
          <w:u w:val="single"/>
        </w:rPr>
        <w:t xml:space="preserve">      </w:t>
      </w:r>
      <w:r>
        <w:rPr>
          <w:rStyle w:val="86"/>
          <w:rFonts w:hint="eastAsia" w:ascii="宋体" w:hAnsi="宋体" w:cs="宋体"/>
          <w:color w:val="auto"/>
        </w:rPr>
        <w:t>（姓名）为我方代理人。代理人根据本授权，以我方的名义参加</w:t>
      </w:r>
      <w:r>
        <w:rPr>
          <w:rStyle w:val="86"/>
          <w:rFonts w:hint="eastAsia" w:ascii="宋体" w:hAnsi="宋体" w:cs="宋体"/>
          <w:color w:val="auto"/>
          <w:u w:val="single"/>
        </w:rPr>
        <w:t xml:space="preserve">           </w:t>
      </w:r>
      <w:r>
        <w:rPr>
          <w:rStyle w:val="86"/>
          <w:rFonts w:hint="eastAsia" w:ascii="宋体" w:hAnsi="宋体" w:cs="宋体"/>
          <w:color w:val="auto"/>
        </w:rPr>
        <w:t>项目（项目编号：</w:t>
      </w:r>
      <w:r>
        <w:rPr>
          <w:rStyle w:val="86"/>
          <w:rFonts w:hint="eastAsia" w:ascii="宋体" w:hAnsi="宋体" w:cs="宋体"/>
          <w:color w:val="auto"/>
          <w:u w:val="single"/>
        </w:rPr>
        <w:t xml:space="preserve">       </w:t>
      </w:r>
      <w:r>
        <w:rPr>
          <w:rStyle w:val="86"/>
          <w:rFonts w:hint="eastAsia" w:ascii="宋体" w:hAnsi="宋体" w:cs="宋体"/>
          <w:color w:val="auto"/>
        </w:rPr>
        <w:t>）</w:t>
      </w:r>
      <w:r>
        <w:rPr>
          <w:rStyle w:val="86"/>
          <w:rFonts w:hint="eastAsia" w:ascii="宋体" w:hAnsi="宋体" w:cs="宋体"/>
          <w:color w:val="auto"/>
          <w:lang w:eastAsia="zh-CN"/>
        </w:rPr>
        <w:t>，</w:t>
      </w:r>
      <w:r>
        <w:rPr>
          <w:rStyle w:val="86"/>
          <w:rFonts w:hint="eastAsia" w:ascii="宋体" w:hAnsi="宋体" w:cs="宋体"/>
          <w:color w:val="auto"/>
          <w:u w:val="single"/>
          <w:lang w:val="en-US" w:eastAsia="zh-CN"/>
        </w:rPr>
        <w:t xml:space="preserve">        </w:t>
      </w:r>
      <w:r>
        <w:rPr>
          <w:rStyle w:val="86"/>
          <w:rFonts w:hint="eastAsia" w:ascii="宋体" w:hAnsi="宋体" w:cs="宋体"/>
          <w:color w:val="auto"/>
          <w:u w:val="none"/>
          <w:lang w:val="en-US" w:eastAsia="zh-CN"/>
        </w:rPr>
        <w:t>（标包号）</w:t>
      </w:r>
      <w:r>
        <w:rPr>
          <w:rStyle w:val="86"/>
          <w:rFonts w:hint="eastAsia" w:ascii="宋体" w:hAnsi="宋体" w:cs="宋体"/>
          <w:color w:val="auto"/>
        </w:rPr>
        <w:t>的投标活动，并代表我方全权办理针对上述项目的投标、开标、评标、签约等具体事务和签署相关文件。</w:t>
      </w:r>
    </w:p>
    <w:p>
      <w:pPr>
        <w:wordWrap w:val="0"/>
        <w:spacing w:line="460" w:lineRule="exact"/>
        <w:ind w:firstLine="504" w:firstLineChars="200"/>
        <w:rPr>
          <w:rStyle w:val="86"/>
          <w:rFonts w:hint="eastAsia" w:ascii="宋体" w:hAnsi="宋体" w:cs="宋体"/>
          <w:color w:val="auto"/>
        </w:rPr>
      </w:pPr>
      <w:r>
        <w:rPr>
          <w:rStyle w:val="86"/>
          <w:rFonts w:hint="eastAsia" w:ascii="宋体" w:hAnsi="宋体" w:cs="宋体"/>
          <w:color w:val="auto"/>
        </w:rPr>
        <w:t>我方对代理人的签名负全部责任。在撤销授权的书面通知以前，本授权书一直有效。代理人在授权书有效期内签署的所有文件不因授权的撤销而失效。</w:t>
      </w:r>
    </w:p>
    <w:p>
      <w:pPr>
        <w:wordWrap w:val="0"/>
        <w:spacing w:line="460" w:lineRule="exact"/>
        <w:ind w:firstLine="504" w:firstLineChars="200"/>
        <w:rPr>
          <w:rStyle w:val="86"/>
          <w:rFonts w:hint="eastAsia" w:ascii="宋体" w:hAnsi="宋体" w:cs="宋体"/>
          <w:color w:val="auto"/>
        </w:rPr>
      </w:pPr>
      <w:r>
        <w:rPr>
          <w:rStyle w:val="86"/>
          <w:rFonts w:hint="eastAsia" w:ascii="宋体" w:hAnsi="宋体" w:cs="宋体"/>
          <w:color w:val="auto"/>
        </w:rPr>
        <w:t>如果本次采购活动现场变更采购方式，本授权书有效。</w:t>
      </w:r>
    </w:p>
    <w:p>
      <w:pPr>
        <w:wordWrap w:val="0"/>
        <w:spacing w:line="460" w:lineRule="exact"/>
        <w:ind w:firstLine="504" w:firstLineChars="200"/>
        <w:rPr>
          <w:rStyle w:val="86"/>
          <w:rFonts w:hint="eastAsia" w:ascii="宋体" w:hAnsi="宋体" w:cs="宋体"/>
          <w:color w:val="auto"/>
        </w:rPr>
      </w:pPr>
      <w:r>
        <w:rPr>
          <w:rStyle w:val="86"/>
          <w:rFonts w:hint="eastAsia" w:ascii="宋体" w:hAnsi="宋体" w:cs="宋体"/>
          <w:color w:val="auto"/>
        </w:rPr>
        <w:t>代理人无转委托权。</w:t>
      </w:r>
    </w:p>
    <w:p>
      <w:pPr>
        <w:wordWrap w:val="0"/>
        <w:spacing w:line="460" w:lineRule="exact"/>
        <w:ind w:firstLine="504" w:firstLineChars="200"/>
        <w:rPr>
          <w:rStyle w:val="86"/>
          <w:rFonts w:hint="eastAsia" w:ascii="宋体" w:hAnsi="宋体" w:cs="宋体"/>
          <w:color w:val="auto"/>
        </w:rPr>
      </w:pPr>
      <w:r>
        <w:rPr>
          <w:rStyle w:val="86"/>
          <w:rFonts w:hint="eastAsia" w:ascii="宋体" w:hAnsi="宋体" w:cs="宋体"/>
          <w:color w:val="auto"/>
        </w:rPr>
        <w:t xml:space="preserve">委托期限：                           </w:t>
      </w:r>
    </w:p>
    <w:p>
      <w:pPr>
        <w:wordWrap w:val="0"/>
        <w:spacing w:line="460" w:lineRule="exact"/>
        <w:ind w:firstLine="504" w:firstLineChars="200"/>
        <w:rPr>
          <w:rStyle w:val="86"/>
          <w:rFonts w:hint="eastAsia" w:ascii="宋体" w:hAnsi="宋体" w:cs="宋体"/>
          <w:color w:val="auto"/>
        </w:rPr>
      </w:pPr>
      <w:r>
        <w:rPr>
          <w:rStyle w:val="86"/>
          <w:rFonts w:hint="eastAsia" w:ascii="宋体" w:hAnsi="宋体" w:cs="宋体"/>
          <w:color w:val="auto"/>
        </w:rPr>
        <w:t>委托代理人签名：         法定代表人签名：</w:t>
      </w:r>
    </w:p>
    <w:p>
      <w:pPr>
        <w:wordWrap w:val="0"/>
        <w:spacing w:line="460" w:lineRule="exact"/>
        <w:ind w:firstLine="504" w:firstLineChars="200"/>
        <w:rPr>
          <w:rStyle w:val="86"/>
          <w:rFonts w:hint="eastAsia" w:ascii="宋体" w:hAnsi="宋体" w:cs="宋体"/>
          <w:color w:val="auto"/>
        </w:rPr>
      </w:pPr>
      <w:r>
        <w:rPr>
          <w:rStyle w:val="86"/>
          <w:rFonts w:hint="eastAsia" w:ascii="宋体" w:hAnsi="宋体" w:cs="宋体"/>
          <w:color w:val="auto"/>
        </w:rPr>
        <w:t>职务：                   职务：</w:t>
      </w:r>
    </w:p>
    <w:p>
      <w:pPr>
        <w:wordWrap w:val="0"/>
        <w:spacing w:line="460" w:lineRule="exact"/>
        <w:ind w:firstLine="504" w:firstLineChars="200"/>
        <w:rPr>
          <w:rStyle w:val="86"/>
          <w:rFonts w:hint="eastAsia" w:ascii="宋体" w:hAnsi="宋体" w:cs="宋体"/>
          <w:color w:val="auto"/>
        </w:rPr>
      </w:pPr>
      <w:r>
        <w:rPr>
          <w:rStyle w:val="86"/>
          <w:rFonts w:hint="eastAsia" w:ascii="宋体" w:hAnsi="宋体" w:cs="宋体"/>
          <w:color w:val="auto"/>
        </w:rPr>
        <w:t>委托代理人身份证号码：</w:t>
      </w:r>
    </w:p>
    <w:p>
      <w:pPr>
        <w:wordWrap w:val="0"/>
        <w:spacing w:line="460" w:lineRule="exact"/>
        <w:rPr>
          <w:rStyle w:val="86"/>
          <w:rFonts w:hint="eastAsia" w:ascii="宋体" w:hAnsi="宋体" w:cs="宋体"/>
          <w:color w:val="auto"/>
        </w:rPr>
      </w:pPr>
    </w:p>
    <w:p>
      <w:pPr>
        <w:wordWrap w:val="0"/>
        <w:spacing w:line="460" w:lineRule="exact"/>
        <w:rPr>
          <w:rStyle w:val="86"/>
          <w:rFonts w:hint="eastAsia" w:ascii="宋体" w:hAnsi="宋体" w:cs="宋体"/>
          <w:color w:val="auto"/>
        </w:rPr>
      </w:pPr>
    </w:p>
    <w:p>
      <w:pPr>
        <w:wordWrap w:val="0"/>
        <w:spacing w:line="460" w:lineRule="exact"/>
        <w:rPr>
          <w:rStyle w:val="86"/>
          <w:rFonts w:hint="eastAsia" w:ascii="宋体" w:hAnsi="宋体" w:cs="宋体"/>
          <w:color w:val="auto"/>
          <w:szCs w:val="24"/>
        </w:rPr>
      </w:pPr>
    </w:p>
    <w:p>
      <w:pPr>
        <w:widowControl/>
        <w:wordWrap w:val="0"/>
        <w:spacing w:line="460" w:lineRule="exact"/>
        <w:ind w:firstLine="2400" w:firstLineChars="1000"/>
        <w:jc w:val="left"/>
        <w:rPr>
          <w:rFonts w:hint="eastAsia" w:ascii="宋体" w:hAnsi="宋体" w:cs="宋体"/>
          <w:color w:val="auto"/>
          <w:kern w:val="0"/>
          <w:sz w:val="24"/>
        </w:rPr>
      </w:pPr>
      <w:r>
        <w:rPr>
          <w:rFonts w:hint="eastAsia" w:ascii="宋体" w:hAnsi="宋体" w:cs="宋体"/>
          <w:color w:val="auto"/>
          <w:kern w:val="0"/>
          <w:sz w:val="24"/>
        </w:rPr>
        <w:t>投标人：</w:t>
      </w:r>
      <w:r>
        <w:rPr>
          <w:rFonts w:hint="eastAsia" w:ascii="宋体" w:hAnsi="宋体" w:cs="宋体"/>
          <w:color w:val="auto"/>
          <w:kern w:val="0"/>
          <w:sz w:val="24"/>
          <w:u w:val="single"/>
        </w:rPr>
        <w:t xml:space="preserve">                   </w:t>
      </w:r>
      <w:r>
        <w:rPr>
          <w:rFonts w:hint="eastAsia" w:ascii="宋体" w:hAnsi="宋体" w:cs="宋体"/>
          <w:color w:val="auto"/>
          <w:kern w:val="0"/>
          <w:sz w:val="24"/>
        </w:rPr>
        <w:t>（全称并加盖公章）</w:t>
      </w:r>
    </w:p>
    <w:p>
      <w:pPr>
        <w:widowControl/>
        <w:wordWrap w:val="0"/>
        <w:spacing w:line="46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 xml:space="preserve">                                 </w:t>
      </w:r>
    </w:p>
    <w:p>
      <w:pPr>
        <w:wordWrap w:val="0"/>
        <w:spacing w:line="460" w:lineRule="exact"/>
        <w:ind w:firstLine="4800" w:firstLineChars="2000"/>
        <w:rPr>
          <w:rStyle w:val="86"/>
          <w:rFonts w:hint="eastAsia" w:ascii="宋体" w:hAnsi="宋体" w:cs="宋体"/>
          <w:color w:val="auto"/>
          <w:szCs w:val="24"/>
        </w:rPr>
      </w:pPr>
      <w:r>
        <w:rPr>
          <w:rFonts w:hint="eastAsia" w:ascii="宋体" w:hAnsi="宋体" w:cs="宋体"/>
          <w:color w:val="auto"/>
          <w:kern w:val="0"/>
          <w:sz w:val="24"/>
        </w:rPr>
        <w:t>年    月    日</w:t>
      </w:r>
    </w:p>
    <w:p>
      <w:pPr>
        <w:wordWrap w:val="0"/>
        <w:spacing w:line="460" w:lineRule="exact"/>
        <w:ind w:firstLine="756" w:firstLineChars="300"/>
        <w:rPr>
          <w:rStyle w:val="86"/>
          <w:rFonts w:hint="eastAsia" w:ascii="宋体" w:hAnsi="宋体" w:cs="宋体"/>
          <w:color w:val="auto"/>
          <w:szCs w:val="24"/>
        </w:rPr>
      </w:pPr>
    </w:p>
    <w:p>
      <w:pPr>
        <w:wordWrap w:val="0"/>
        <w:spacing w:line="460" w:lineRule="exact"/>
        <w:ind w:firstLine="3780" w:firstLineChars="1500"/>
        <w:rPr>
          <w:rStyle w:val="86"/>
          <w:rFonts w:hint="eastAsia" w:ascii="宋体" w:hAnsi="宋体" w:cs="宋体"/>
          <w:color w:val="auto"/>
        </w:rPr>
      </w:pPr>
    </w:p>
    <w:p>
      <w:pPr>
        <w:wordWrap w:val="0"/>
        <w:spacing w:line="460" w:lineRule="exact"/>
        <w:ind w:firstLine="5165" w:firstLineChars="1550"/>
        <w:jc w:val="left"/>
        <w:rPr>
          <w:rStyle w:val="86"/>
          <w:rFonts w:hint="eastAsia" w:ascii="宋体" w:hAnsi="宋体" w:cs="宋体"/>
          <w:b/>
          <w:color w:val="auto"/>
          <w:kern w:val="0"/>
          <w:sz w:val="32"/>
          <w:szCs w:val="32"/>
        </w:rPr>
      </w:pPr>
    </w:p>
    <w:p>
      <w:pPr>
        <w:widowControl/>
        <w:wordWrap w:val="0"/>
        <w:snapToGrid w:val="0"/>
        <w:spacing w:line="440" w:lineRule="exact"/>
        <w:jc w:val="left"/>
        <w:outlineLvl w:val="0"/>
        <w:rPr>
          <w:rFonts w:hint="eastAsia" w:ascii="宋体" w:hAnsi="宋体" w:cs="宋体"/>
          <w:b/>
          <w:color w:val="auto"/>
          <w:kern w:val="0"/>
          <w:sz w:val="24"/>
        </w:rPr>
      </w:pPr>
      <w:r>
        <w:rPr>
          <w:rFonts w:hint="eastAsia" w:ascii="宋体" w:hAnsi="宋体" w:cs="宋体"/>
          <w:b/>
          <w:color w:val="auto"/>
          <w:kern w:val="0"/>
          <w:sz w:val="24"/>
        </w:rPr>
        <w:br w:type="page"/>
      </w:r>
      <w:r>
        <w:rPr>
          <w:rFonts w:hint="eastAsia" w:ascii="宋体" w:hAnsi="宋体" w:cs="宋体"/>
          <w:b/>
          <w:color w:val="auto"/>
          <w:kern w:val="0"/>
          <w:sz w:val="24"/>
        </w:rPr>
        <w:t>附件10                         证明文件</w:t>
      </w:r>
    </w:p>
    <w:p>
      <w:pPr>
        <w:widowControl/>
        <w:wordWrap w:val="0"/>
        <w:snapToGrid w:val="0"/>
        <w:spacing w:line="440" w:lineRule="exact"/>
        <w:jc w:val="center"/>
        <w:rPr>
          <w:rFonts w:hint="eastAsia" w:ascii="宋体" w:hAnsi="宋体" w:cs="宋体"/>
          <w:b/>
          <w:color w:val="auto"/>
          <w:sz w:val="24"/>
          <w:lang w:bidi="ar"/>
        </w:rPr>
      </w:pPr>
      <w:r>
        <w:rPr>
          <w:rFonts w:hint="eastAsia" w:ascii="宋体" w:hAnsi="宋体" w:cs="宋体"/>
          <w:b/>
          <w:color w:val="auto"/>
          <w:sz w:val="24"/>
          <w:lang w:bidi="ar"/>
        </w:rPr>
        <w:t>10.1驻马店市政府采购供应商信用承诺函</w:t>
      </w:r>
    </w:p>
    <w:p>
      <w:pPr>
        <w:wordWrap w:val="0"/>
        <w:spacing w:line="420" w:lineRule="exact"/>
        <w:rPr>
          <w:rFonts w:hint="eastAsia" w:ascii="宋体" w:hAnsi="宋体" w:cs="宋体"/>
          <w:color w:val="auto"/>
          <w:sz w:val="24"/>
        </w:rPr>
      </w:pPr>
      <w:r>
        <w:rPr>
          <w:rFonts w:hint="eastAsia" w:ascii="宋体" w:hAnsi="宋体" w:cs="宋体"/>
          <w:color w:val="auto"/>
          <w:sz w:val="24"/>
        </w:rPr>
        <w:t>致（招标人或政府代理机构）：</w:t>
      </w:r>
    </w:p>
    <w:p>
      <w:pPr>
        <w:wordWrap w:val="0"/>
        <w:spacing w:line="420" w:lineRule="exact"/>
        <w:ind w:firstLine="480" w:firstLineChars="200"/>
        <w:rPr>
          <w:rFonts w:hint="eastAsia" w:ascii="宋体" w:hAnsi="宋体" w:cs="宋体"/>
          <w:color w:val="auto"/>
          <w:sz w:val="24"/>
        </w:rPr>
      </w:pPr>
      <w:r>
        <w:rPr>
          <w:rFonts w:hint="eastAsia" w:ascii="宋体" w:hAnsi="宋体" w:cs="宋体"/>
          <w:color w:val="auto"/>
          <w:sz w:val="24"/>
        </w:rPr>
        <w:t>单位名称（自然人姓名）：       </w:t>
      </w:r>
    </w:p>
    <w:p>
      <w:pPr>
        <w:wordWrap w:val="0"/>
        <w:spacing w:line="420" w:lineRule="exact"/>
        <w:ind w:firstLine="480" w:firstLineChars="200"/>
        <w:rPr>
          <w:rFonts w:hint="eastAsia" w:ascii="宋体" w:hAnsi="宋体" w:cs="宋体"/>
          <w:color w:val="auto"/>
          <w:sz w:val="24"/>
        </w:rPr>
      </w:pPr>
      <w:r>
        <w:rPr>
          <w:rFonts w:hint="eastAsia" w:ascii="宋体" w:hAnsi="宋体" w:cs="宋体"/>
          <w:color w:val="auto"/>
          <w:sz w:val="24"/>
        </w:rPr>
        <w:t>统一社会信用代码（身份证号码）：    </w:t>
      </w:r>
    </w:p>
    <w:p>
      <w:pPr>
        <w:wordWrap w:val="0"/>
        <w:spacing w:line="420" w:lineRule="exact"/>
        <w:ind w:firstLine="480" w:firstLineChars="200"/>
        <w:rPr>
          <w:rFonts w:hint="eastAsia" w:ascii="宋体" w:hAnsi="宋体" w:cs="宋体"/>
          <w:color w:val="auto"/>
          <w:sz w:val="24"/>
        </w:rPr>
      </w:pPr>
      <w:r>
        <w:rPr>
          <w:rFonts w:hint="eastAsia" w:ascii="宋体" w:hAnsi="宋体" w:cs="宋体"/>
          <w:color w:val="auto"/>
          <w:sz w:val="24"/>
        </w:rPr>
        <w:t>法定代表人（负责人）：        </w:t>
      </w:r>
    </w:p>
    <w:p>
      <w:pPr>
        <w:wordWrap w:val="0"/>
        <w:spacing w:line="420" w:lineRule="exact"/>
        <w:ind w:firstLine="480" w:firstLineChars="200"/>
        <w:rPr>
          <w:rFonts w:hint="eastAsia" w:ascii="宋体" w:hAnsi="宋体" w:cs="宋体"/>
          <w:color w:val="auto"/>
          <w:sz w:val="24"/>
        </w:rPr>
      </w:pPr>
      <w:r>
        <w:rPr>
          <w:rFonts w:hint="eastAsia" w:ascii="宋体" w:hAnsi="宋体" w:cs="宋体"/>
          <w:color w:val="auto"/>
          <w:sz w:val="24"/>
        </w:rPr>
        <w:t>联系地址和电话：   </w:t>
      </w:r>
    </w:p>
    <w:p>
      <w:pPr>
        <w:wordWrap w:val="0"/>
        <w:spacing w:line="420" w:lineRule="exact"/>
        <w:ind w:firstLine="480" w:firstLineChars="200"/>
        <w:rPr>
          <w:rFonts w:hint="eastAsia" w:ascii="宋体" w:hAnsi="宋体" w:cs="宋体"/>
          <w:color w:val="auto"/>
          <w:sz w:val="24"/>
        </w:rPr>
      </w:pPr>
      <w:r>
        <w:rPr>
          <w:rFonts w:hint="eastAsia" w:ascii="宋体" w:hAnsi="宋体" w:cs="宋体"/>
          <w:color w:val="auto"/>
          <w:sz w:val="24"/>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pPr>
        <w:wordWrap w:val="0"/>
        <w:spacing w:line="420" w:lineRule="exact"/>
        <w:ind w:firstLine="480" w:firstLineChars="200"/>
        <w:rPr>
          <w:rFonts w:hint="eastAsia" w:ascii="宋体" w:hAnsi="宋体" w:cs="宋体"/>
          <w:color w:val="auto"/>
          <w:sz w:val="24"/>
        </w:rPr>
      </w:pPr>
      <w:r>
        <w:rPr>
          <w:rFonts w:hint="eastAsia" w:ascii="宋体" w:hAnsi="宋体" w:cs="宋体"/>
          <w:color w:val="auto"/>
          <w:sz w:val="24"/>
        </w:rPr>
        <w:t>（一）具有独立承担民事责任的能力；</w:t>
      </w:r>
    </w:p>
    <w:p>
      <w:pPr>
        <w:wordWrap w:val="0"/>
        <w:spacing w:line="420" w:lineRule="exact"/>
        <w:ind w:firstLine="480" w:firstLineChars="200"/>
        <w:rPr>
          <w:rFonts w:hint="eastAsia" w:ascii="宋体" w:hAnsi="宋体" w:cs="宋体"/>
          <w:color w:val="auto"/>
          <w:sz w:val="24"/>
        </w:rPr>
      </w:pPr>
      <w:r>
        <w:rPr>
          <w:rFonts w:hint="eastAsia" w:ascii="宋体" w:hAnsi="宋体" w:cs="宋体"/>
          <w:color w:val="auto"/>
          <w:sz w:val="24"/>
        </w:rPr>
        <w:t>（二）具有良好的商业信誉和健全的财务会计制度；</w:t>
      </w:r>
    </w:p>
    <w:p>
      <w:pPr>
        <w:wordWrap w:val="0"/>
        <w:spacing w:line="420" w:lineRule="exact"/>
        <w:ind w:firstLine="480" w:firstLineChars="200"/>
        <w:rPr>
          <w:rFonts w:hint="eastAsia" w:ascii="宋体" w:hAnsi="宋体" w:cs="宋体"/>
          <w:color w:val="auto"/>
          <w:sz w:val="24"/>
        </w:rPr>
      </w:pPr>
      <w:r>
        <w:rPr>
          <w:rFonts w:hint="eastAsia" w:ascii="宋体" w:hAnsi="宋体" w:cs="宋体"/>
          <w:color w:val="auto"/>
          <w:sz w:val="24"/>
        </w:rPr>
        <w:t>（三）具有履行合同所必需的设备和专业技术能力；</w:t>
      </w:r>
    </w:p>
    <w:p>
      <w:pPr>
        <w:wordWrap w:val="0"/>
        <w:spacing w:line="420" w:lineRule="exact"/>
        <w:ind w:firstLine="480" w:firstLineChars="200"/>
        <w:rPr>
          <w:rFonts w:hint="eastAsia" w:ascii="宋体" w:hAnsi="宋体" w:cs="宋体"/>
          <w:color w:val="auto"/>
          <w:sz w:val="24"/>
        </w:rPr>
      </w:pPr>
      <w:r>
        <w:rPr>
          <w:rFonts w:hint="eastAsia" w:ascii="宋体" w:hAnsi="宋体" w:cs="宋体"/>
          <w:color w:val="auto"/>
          <w:sz w:val="24"/>
        </w:rPr>
        <w:t>（四）有依法缴纳税收和社会保障资金的良好记录；</w:t>
      </w:r>
    </w:p>
    <w:p>
      <w:pPr>
        <w:wordWrap w:val="0"/>
        <w:spacing w:line="420" w:lineRule="exact"/>
        <w:ind w:firstLine="480" w:firstLineChars="200"/>
        <w:rPr>
          <w:rFonts w:hint="eastAsia" w:ascii="宋体" w:hAnsi="宋体" w:cs="宋体"/>
          <w:color w:val="auto"/>
          <w:sz w:val="24"/>
        </w:rPr>
      </w:pPr>
      <w:r>
        <w:rPr>
          <w:rFonts w:hint="eastAsia" w:ascii="宋体" w:hAnsi="宋体" w:cs="宋体"/>
          <w:color w:val="auto"/>
          <w:sz w:val="24"/>
        </w:rPr>
        <w:t>（五）参加政府采购活动前三年内，在经营活动中没有重大违法记录；</w:t>
      </w:r>
    </w:p>
    <w:p>
      <w:pPr>
        <w:wordWrap w:val="0"/>
        <w:spacing w:line="420" w:lineRule="exact"/>
        <w:ind w:firstLine="480" w:firstLineChars="200"/>
        <w:rPr>
          <w:rFonts w:hint="eastAsia" w:ascii="宋体" w:hAnsi="宋体" w:cs="宋体"/>
          <w:color w:val="auto"/>
          <w:sz w:val="24"/>
        </w:rPr>
      </w:pPr>
      <w:r>
        <w:rPr>
          <w:rFonts w:hint="eastAsia" w:ascii="宋体" w:hAnsi="宋体" w:cs="宋体"/>
          <w:color w:val="auto"/>
          <w:sz w:val="24"/>
        </w:rPr>
        <w:t>（六）未被列入严重失信主体名单、失信被执行人、税收违法黑名单、政府采购严重违法失信行为记录名单，未曾作出虚假承诺；</w:t>
      </w:r>
    </w:p>
    <w:p>
      <w:pPr>
        <w:wordWrap w:val="0"/>
        <w:spacing w:line="420" w:lineRule="exact"/>
        <w:ind w:firstLine="480" w:firstLineChars="200"/>
        <w:rPr>
          <w:rFonts w:hint="eastAsia" w:ascii="宋体" w:hAnsi="宋体" w:cs="宋体"/>
          <w:color w:val="auto"/>
          <w:sz w:val="24"/>
        </w:rPr>
      </w:pPr>
      <w:r>
        <w:rPr>
          <w:rFonts w:hint="eastAsia" w:ascii="宋体" w:hAnsi="宋体" w:cs="宋体"/>
          <w:color w:val="auto"/>
          <w:sz w:val="24"/>
        </w:rPr>
        <w:t>（七）符合法律、行政法规规定的其他条件。</w:t>
      </w:r>
    </w:p>
    <w:p>
      <w:pPr>
        <w:wordWrap w:val="0"/>
        <w:spacing w:line="420" w:lineRule="exact"/>
        <w:ind w:firstLine="480" w:firstLineChars="200"/>
        <w:rPr>
          <w:rFonts w:hint="eastAsia" w:ascii="宋体" w:hAnsi="宋体" w:cs="宋体"/>
          <w:color w:val="auto"/>
          <w:sz w:val="24"/>
        </w:rPr>
      </w:pPr>
      <w:r>
        <w:rPr>
          <w:rFonts w:hint="eastAsia" w:ascii="宋体" w:hAnsi="宋体" w:cs="宋体"/>
          <w:color w:val="auto"/>
          <w:sz w:val="24"/>
        </w:rPr>
        <w:t>我单位（本人）保证上述承诺事项的真实性，如有弄虚作假或其他违法违规行为，愿意承担一切法律责任，并承担因此所造成的一切损失。</w:t>
      </w:r>
    </w:p>
    <w:p>
      <w:pPr>
        <w:wordWrap w:val="0"/>
        <w:spacing w:line="420" w:lineRule="exact"/>
        <w:ind w:firstLine="3360" w:firstLineChars="1400"/>
        <w:rPr>
          <w:rFonts w:hint="eastAsia" w:ascii="宋体" w:hAnsi="宋体" w:cs="宋体"/>
          <w:color w:val="auto"/>
          <w:sz w:val="24"/>
        </w:rPr>
      </w:pPr>
    </w:p>
    <w:p>
      <w:pPr>
        <w:wordWrap w:val="0"/>
        <w:spacing w:line="420" w:lineRule="exact"/>
        <w:ind w:firstLine="3360" w:firstLineChars="1400"/>
        <w:rPr>
          <w:rFonts w:hint="eastAsia" w:ascii="宋体" w:hAnsi="宋体" w:cs="宋体"/>
          <w:color w:val="auto"/>
          <w:sz w:val="24"/>
        </w:rPr>
      </w:pPr>
      <w:r>
        <w:rPr>
          <w:rFonts w:hint="eastAsia" w:ascii="宋体" w:hAnsi="宋体" w:cs="宋体"/>
          <w:color w:val="auto"/>
          <w:sz w:val="24"/>
        </w:rPr>
        <w:t>供应商名称（盖章）：</w:t>
      </w:r>
    </w:p>
    <w:p>
      <w:pPr>
        <w:wordWrap w:val="0"/>
        <w:spacing w:line="420" w:lineRule="exact"/>
        <w:ind w:firstLine="480" w:firstLineChars="200"/>
        <w:rPr>
          <w:rFonts w:hint="eastAsia" w:ascii="宋体" w:hAnsi="宋体" w:cs="宋体"/>
          <w:color w:val="auto"/>
          <w:sz w:val="24"/>
        </w:rPr>
      </w:pPr>
      <w:r>
        <w:rPr>
          <w:rFonts w:hint="eastAsia" w:ascii="宋体" w:hAnsi="宋体" w:cs="宋体"/>
          <w:color w:val="auto"/>
          <w:sz w:val="24"/>
        </w:rPr>
        <w:t>法定代表人、负责人、自然人或授权代表(签字)：</w:t>
      </w:r>
    </w:p>
    <w:p>
      <w:pPr>
        <w:wordWrap w:val="0"/>
        <w:spacing w:line="420" w:lineRule="exact"/>
        <w:ind w:firstLine="480" w:firstLineChars="200"/>
        <w:rPr>
          <w:rFonts w:hint="eastAsia" w:ascii="宋体" w:hAnsi="宋体" w:cs="宋体"/>
          <w:color w:val="auto"/>
          <w:sz w:val="24"/>
        </w:rPr>
      </w:pPr>
      <w:r>
        <w:rPr>
          <w:rFonts w:hint="eastAsia" w:ascii="宋体" w:hAnsi="宋体" w:cs="宋体"/>
          <w:color w:val="auto"/>
          <w:sz w:val="24"/>
        </w:rPr>
        <w:t>日期：   年  月  日</w:t>
      </w:r>
    </w:p>
    <w:p>
      <w:pPr>
        <w:wordWrap w:val="0"/>
        <w:spacing w:line="420" w:lineRule="exact"/>
        <w:rPr>
          <w:rFonts w:hint="eastAsia" w:ascii="宋体" w:hAnsi="宋体" w:cs="宋体"/>
          <w:color w:val="auto"/>
          <w:sz w:val="24"/>
        </w:rPr>
      </w:pPr>
    </w:p>
    <w:p>
      <w:pPr>
        <w:wordWrap w:val="0"/>
        <w:spacing w:line="420" w:lineRule="exact"/>
        <w:rPr>
          <w:rFonts w:hint="eastAsia" w:ascii="宋体" w:hAnsi="宋体" w:cs="宋体"/>
          <w:color w:val="auto"/>
          <w:sz w:val="24"/>
        </w:rPr>
      </w:pPr>
    </w:p>
    <w:p>
      <w:pPr>
        <w:wordWrap w:val="0"/>
        <w:spacing w:line="420" w:lineRule="exact"/>
        <w:rPr>
          <w:rFonts w:hint="eastAsia" w:ascii="宋体" w:hAnsi="宋体" w:cs="宋体"/>
          <w:color w:val="auto"/>
          <w:sz w:val="24"/>
        </w:rPr>
      </w:pPr>
      <w:r>
        <w:rPr>
          <w:rFonts w:hint="eastAsia" w:ascii="宋体" w:hAnsi="宋体" w:cs="宋体"/>
          <w:color w:val="auto"/>
          <w:sz w:val="24"/>
        </w:rPr>
        <w:t>注：1.供应商须在投标文件中按此模板提供承诺函，未提供视为未实质性响应招标文件要求，按无效投标处理。</w:t>
      </w:r>
    </w:p>
    <w:p>
      <w:pPr>
        <w:widowControl/>
        <w:wordWrap w:val="0"/>
        <w:spacing w:line="420" w:lineRule="exact"/>
        <w:rPr>
          <w:rFonts w:hint="eastAsia" w:ascii="宋体" w:hAnsi="宋体" w:cs="宋体"/>
          <w:b/>
          <w:color w:val="auto"/>
          <w:kern w:val="0"/>
          <w:sz w:val="24"/>
          <w:lang w:bidi="ar"/>
        </w:rPr>
      </w:pPr>
      <w:r>
        <w:rPr>
          <w:rFonts w:hint="eastAsia" w:ascii="宋体" w:hAnsi="宋体" w:cs="宋体"/>
          <w:color w:val="auto"/>
          <w:sz w:val="24"/>
        </w:rPr>
        <w:t>2.供应商的法定代表人或者授权代表的签字或盖章应真实、有效，如由授权代表签字或盖章的，应提供“法定代表人授权书”。</w:t>
      </w:r>
    </w:p>
    <w:p>
      <w:pPr>
        <w:widowControl/>
        <w:wordWrap w:val="0"/>
        <w:spacing w:line="400" w:lineRule="exact"/>
        <w:jc w:val="left"/>
        <w:rPr>
          <w:rFonts w:hint="eastAsia" w:ascii="宋体" w:hAnsi="宋体" w:cs="宋体"/>
          <w:color w:val="auto"/>
          <w:kern w:val="0"/>
          <w:sz w:val="24"/>
          <w:lang w:bidi="ar"/>
        </w:rPr>
      </w:pPr>
      <w:r>
        <w:rPr>
          <w:rFonts w:hint="eastAsia" w:ascii="宋体" w:hAnsi="宋体" w:cs="宋体"/>
          <w:b/>
          <w:color w:val="auto"/>
          <w:kern w:val="0"/>
          <w:sz w:val="24"/>
          <w:lang w:bidi="ar"/>
        </w:rPr>
        <w:br w:type="page"/>
      </w:r>
      <w:r>
        <w:rPr>
          <w:rFonts w:hint="eastAsia" w:ascii="宋体" w:hAnsi="宋体" w:cs="宋体"/>
          <w:b/>
          <w:color w:val="auto"/>
          <w:kern w:val="0"/>
          <w:sz w:val="24"/>
          <w:lang w:bidi="ar"/>
        </w:rPr>
        <w:t>10.2</w:t>
      </w:r>
      <w:r>
        <w:rPr>
          <w:rFonts w:hint="eastAsia" w:ascii="宋体" w:hAnsi="宋体" w:cs="宋体"/>
          <w:b/>
          <w:color w:val="auto"/>
          <w:kern w:val="0"/>
          <w:sz w:val="24"/>
        </w:rPr>
        <w:t>评标办法中需要提供的证明材料</w:t>
      </w:r>
    </w:p>
    <w:p>
      <w:pPr>
        <w:widowControl/>
        <w:wordWrap w:val="0"/>
        <w:spacing w:line="400" w:lineRule="exact"/>
        <w:ind w:firstLine="3600" w:firstLineChars="1500"/>
        <w:jc w:val="left"/>
        <w:rPr>
          <w:rFonts w:hint="eastAsia" w:ascii="宋体" w:hAnsi="宋体" w:cs="宋体"/>
          <w:color w:val="auto"/>
          <w:kern w:val="0"/>
          <w:sz w:val="24"/>
          <w:lang w:bidi="ar"/>
        </w:rPr>
      </w:pPr>
    </w:p>
    <w:p>
      <w:pPr>
        <w:widowControl/>
        <w:wordWrap w:val="0"/>
        <w:spacing w:line="400" w:lineRule="exact"/>
        <w:ind w:firstLine="3600" w:firstLineChars="1500"/>
        <w:jc w:val="left"/>
        <w:rPr>
          <w:rFonts w:hint="eastAsia" w:ascii="宋体" w:hAnsi="宋体" w:cs="宋体"/>
          <w:color w:val="auto"/>
          <w:kern w:val="0"/>
          <w:sz w:val="24"/>
          <w:lang w:bidi="ar"/>
        </w:rPr>
      </w:pPr>
    </w:p>
    <w:p>
      <w:pPr>
        <w:widowControl/>
        <w:wordWrap w:val="0"/>
        <w:spacing w:line="400" w:lineRule="exact"/>
        <w:ind w:firstLine="3600" w:firstLineChars="1500"/>
        <w:jc w:val="left"/>
        <w:rPr>
          <w:rFonts w:hint="eastAsia" w:ascii="宋体" w:hAnsi="宋体" w:cs="宋体"/>
          <w:color w:val="auto"/>
          <w:kern w:val="0"/>
          <w:sz w:val="24"/>
          <w:lang w:bidi="ar"/>
        </w:rPr>
      </w:pPr>
    </w:p>
    <w:p>
      <w:pPr>
        <w:widowControl/>
        <w:wordWrap w:val="0"/>
        <w:spacing w:line="400" w:lineRule="exact"/>
        <w:ind w:firstLine="3600" w:firstLineChars="1500"/>
        <w:jc w:val="left"/>
        <w:rPr>
          <w:rFonts w:hint="eastAsia" w:ascii="宋体" w:hAnsi="宋体" w:cs="宋体"/>
          <w:color w:val="auto"/>
          <w:kern w:val="0"/>
          <w:sz w:val="24"/>
          <w:lang w:bidi="ar"/>
        </w:rPr>
      </w:pPr>
    </w:p>
    <w:p>
      <w:pPr>
        <w:widowControl/>
        <w:wordWrap w:val="0"/>
        <w:spacing w:line="400" w:lineRule="exact"/>
        <w:ind w:firstLine="3600" w:firstLineChars="1500"/>
        <w:jc w:val="left"/>
        <w:rPr>
          <w:rFonts w:hint="eastAsia" w:ascii="宋体" w:hAnsi="宋体" w:cs="宋体"/>
          <w:color w:val="auto"/>
          <w:kern w:val="0"/>
          <w:sz w:val="24"/>
          <w:lang w:bidi="ar"/>
        </w:rPr>
      </w:pPr>
    </w:p>
    <w:p>
      <w:pPr>
        <w:widowControl/>
        <w:wordWrap w:val="0"/>
        <w:spacing w:line="400" w:lineRule="exact"/>
        <w:ind w:firstLine="3600" w:firstLineChars="1500"/>
        <w:jc w:val="left"/>
        <w:rPr>
          <w:rFonts w:hint="eastAsia" w:ascii="宋体" w:hAnsi="宋体" w:cs="宋体"/>
          <w:color w:val="auto"/>
          <w:kern w:val="0"/>
          <w:sz w:val="24"/>
          <w:lang w:bidi="ar"/>
        </w:rPr>
      </w:pPr>
    </w:p>
    <w:p>
      <w:pPr>
        <w:widowControl/>
        <w:wordWrap w:val="0"/>
        <w:spacing w:line="400" w:lineRule="exact"/>
        <w:ind w:firstLine="3600" w:firstLineChars="1500"/>
        <w:jc w:val="left"/>
        <w:rPr>
          <w:rFonts w:hint="eastAsia" w:ascii="宋体" w:hAnsi="宋体" w:cs="宋体"/>
          <w:color w:val="auto"/>
          <w:kern w:val="0"/>
          <w:sz w:val="24"/>
          <w:lang w:bidi="ar"/>
        </w:rPr>
      </w:pPr>
    </w:p>
    <w:p>
      <w:pPr>
        <w:widowControl/>
        <w:wordWrap w:val="0"/>
        <w:spacing w:line="400" w:lineRule="exact"/>
        <w:ind w:firstLine="422" w:firstLineChars="200"/>
        <w:jc w:val="left"/>
        <w:rPr>
          <w:rFonts w:hint="eastAsia" w:ascii="宋体" w:hAnsi="宋体" w:cs="宋体"/>
          <w:b/>
          <w:color w:val="auto"/>
          <w:kern w:val="0"/>
          <w:sz w:val="24"/>
        </w:rPr>
      </w:pPr>
      <w:r>
        <w:rPr>
          <w:rFonts w:hint="eastAsia" w:hAnsi="宋体"/>
          <w:b/>
          <w:bCs/>
          <w:color w:val="auto"/>
        </w:rPr>
        <w:br w:type="page"/>
      </w:r>
      <w:r>
        <w:rPr>
          <w:rFonts w:hint="eastAsia" w:ascii="宋体" w:hAnsi="宋体" w:cs="宋体"/>
          <w:b/>
          <w:color w:val="auto"/>
          <w:kern w:val="0"/>
          <w:sz w:val="24"/>
        </w:rPr>
        <w:t>10.3投标人认为有必要提供的证明材料</w:t>
      </w:r>
    </w:p>
    <w:p>
      <w:pPr>
        <w:widowControl/>
        <w:wordWrap w:val="0"/>
        <w:spacing w:before="156" w:beforeLines="50" w:line="400" w:lineRule="exact"/>
        <w:ind w:firstLine="482" w:firstLineChars="200"/>
        <w:jc w:val="center"/>
        <w:rPr>
          <w:color w:val="auto"/>
        </w:rPr>
      </w:pPr>
      <w:r>
        <w:rPr>
          <w:rFonts w:hint="eastAsia" w:ascii="宋体" w:hAnsi="宋体" w:cs="宋体"/>
          <w:b/>
          <w:color w:val="auto"/>
          <w:kern w:val="0"/>
          <w:sz w:val="24"/>
          <w:lang w:bidi="ar"/>
        </w:rPr>
        <w:t>中小企业声明函（货物）（格式）</w:t>
      </w:r>
    </w:p>
    <w:p>
      <w:pPr>
        <w:widowControl/>
        <w:spacing w:line="360" w:lineRule="auto"/>
        <w:ind w:firstLine="480" w:firstLineChars="200"/>
        <w:jc w:val="left"/>
        <w:rPr>
          <w:rFonts w:hint="eastAsia" w:ascii="宋体" w:hAnsi="宋体" w:cs="宋体"/>
          <w:color w:val="auto"/>
          <w:kern w:val="0"/>
          <w:sz w:val="24"/>
          <w:lang w:bidi="ar"/>
        </w:rPr>
      </w:pPr>
      <w:r>
        <w:rPr>
          <w:rFonts w:hint="eastAsia" w:ascii="宋体" w:hAnsi="宋体" w:cs="宋体"/>
          <w:color w:val="auto"/>
          <w:kern w:val="0"/>
          <w:sz w:val="24"/>
          <w:lang w:bidi="ar"/>
        </w:rPr>
        <w:t>本公司（联合体）郑重声明，根据《政府采购促进中小企业发展管理办法》（财库﹝2020﹞46 号）的规定，本公司参加</w:t>
      </w:r>
      <w:r>
        <w:rPr>
          <w:rFonts w:hint="eastAsia" w:ascii="宋体" w:hAnsi="宋体" w:cs="宋体"/>
          <w:i/>
          <w:iCs/>
          <w:color w:val="auto"/>
          <w:kern w:val="0"/>
          <w:sz w:val="24"/>
          <w:u w:val="single"/>
          <w:lang w:bidi="ar"/>
        </w:rPr>
        <w:t xml:space="preserve">     </w:t>
      </w:r>
      <w:r>
        <w:rPr>
          <w:rFonts w:hint="eastAsia" w:ascii="宋体" w:hAnsi="宋体" w:cs="宋体"/>
          <w:color w:val="auto"/>
          <w:kern w:val="0"/>
          <w:sz w:val="24"/>
          <w:lang w:bidi="ar"/>
        </w:rPr>
        <w:t>的</w:t>
      </w:r>
      <w:r>
        <w:rPr>
          <w:rFonts w:hint="eastAsia" w:ascii="宋体" w:hAnsi="宋体" w:cs="宋体"/>
          <w:i/>
          <w:iCs/>
          <w:color w:val="auto"/>
          <w:kern w:val="0"/>
          <w:sz w:val="24"/>
          <w:u w:val="single"/>
          <w:lang w:bidi="ar"/>
        </w:rPr>
        <w:t xml:space="preserve">                   </w:t>
      </w:r>
      <w:r>
        <w:rPr>
          <w:rFonts w:hint="eastAsia" w:ascii="宋体" w:hAnsi="宋体" w:cs="宋体"/>
          <w:color w:val="auto"/>
          <w:kern w:val="0"/>
          <w:sz w:val="24"/>
          <w:lang w:bidi="ar"/>
        </w:rPr>
        <w:t xml:space="preserve">采购活动，提供的货物全部由符合政策要求的中小企业制造。相关企业（含联合体中的中小企业、签订分包意向协议的中小企业） </w:t>
      </w:r>
    </w:p>
    <w:p>
      <w:pPr>
        <w:widowControl/>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的具体情况如下： </w:t>
      </w:r>
    </w:p>
    <w:p>
      <w:pPr>
        <w:widowControl/>
        <w:spacing w:line="360" w:lineRule="auto"/>
        <w:ind w:firstLine="480" w:firstLineChars="200"/>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1. </w:t>
      </w:r>
      <w:r>
        <w:rPr>
          <w:rFonts w:hint="eastAsia" w:ascii="宋体" w:hAnsi="宋体" w:cs="宋体"/>
          <w:color w:val="auto"/>
          <w:kern w:val="0"/>
          <w:sz w:val="24"/>
          <w:u w:val="single"/>
          <w:lang w:bidi="ar"/>
        </w:rPr>
        <w:t xml:space="preserve">（标的名称） </w:t>
      </w:r>
      <w:r>
        <w:rPr>
          <w:rFonts w:hint="eastAsia" w:ascii="宋体" w:hAnsi="宋体" w:cs="宋体"/>
          <w:color w:val="auto"/>
          <w:kern w:val="0"/>
          <w:sz w:val="24"/>
          <w:lang w:bidi="ar"/>
        </w:rPr>
        <w:t>，属于</w:t>
      </w:r>
      <w:r>
        <w:rPr>
          <w:rFonts w:hint="eastAsia" w:ascii="宋体" w:hAnsi="宋体" w:cs="宋体"/>
          <w:color w:val="auto"/>
          <w:kern w:val="0"/>
          <w:sz w:val="24"/>
          <w:u w:val="single"/>
          <w:lang w:bidi="ar"/>
        </w:rPr>
        <w:t xml:space="preserve">（采购文件中明确的所属行业） </w:t>
      </w:r>
      <w:r>
        <w:rPr>
          <w:rFonts w:hint="eastAsia" w:ascii="宋体" w:hAnsi="宋体" w:cs="宋体"/>
          <w:color w:val="auto"/>
          <w:kern w:val="0"/>
          <w:sz w:val="24"/>
          <w:lang w:bidi="ar"/>
        </w:rPr>
        <w:t>行业；制造商为</w:t>
      </w:r>
      <w:r>
        <w:rPr>
          <w:rFonts w:hint="eastAsia" w:ascii="宋体" w:hAnsi="宋体" w:cs="宋体"/>
          <w:color w:val="auto"/>
          <w:kern w:val="0"/>
          <w:sz w:val="24"/>
          <w:u w:val="single"/>
          <w:lang w:bidi="ar"/>
        </w:rPr>
        <w:t>（企业名称）</w:t>
      </w:r>
      <w:r>
        <w:rPr>
          <w:rFonts w:hint="eastAsia" w:ascii="宋体" w:hAnsi="宋体" w:cs="宋体"/>
          <w:color w:val="auto"/>
          <w:kern w:val="0"/>
          <w:sz w:val="24"/>
          <w:lang w:bidi="ar"/>
        </w:rPr>
        <w:t>，从业人员</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人，营业收入为</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万元，资产总额为</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万元①，属于</w:t>
      </w:r>
      <w:r>
        <w:rPr>
          <w:rFonts w:hint="eastAsia" w:ascii="宋体" w:hAnsi="宋体" w:cs="宋体"/>
          <w:color w:val="auto"/>
          <w:kern w:val="0"/>
          <w:sz w:val="24"/>
          <w:u w:val="single"/>
          <w:lang w:bidi="ar"/>
        </w:rPr>
        <w:t>（中型企业、小 型企业、微型企业）</w:t>
      </w:r>
      <w:r>
        <w:rPr>
          <w:rFonts w:hint="eastAsia" w:ascii="宋体" w:hAnsi="宋体" w:cs="宋体"/>
          <w:color w:val="auto"/>
          <w:kern w:val="0"/>
          <w:sz w:val="24"/>
          <w:lang w:bidi="ar"/>
        </w:rPr>
        <w:t xml:space="preserve">； </w:t>
      </w:r>
    </w:p>
    <w:p>
      <w:pPr>
        <w:widowControl/>
        <w:spacing w:line="360" w:lineRule="auto"/>
        <w:ind w:firstLine="480" w:firstLineChars="200"/>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2. </w:t>
      </w:r>
      <w:r>
        <w:rPr>
          <w:rFonts w:hint="eastAsia" w:ascii="宋体" w:hAnsi="宋体" w:cs="宋体"/>
          <w:color w:val="auto"/>
          <w:kern w:val="0"/>
          <w:sz w:val="24"/>
          <w:u w:val="single"/>
          <w:lang w:bidi="ar"/>
        </w:rPr>
        <w:t xml:space="preserve">（标的名称） </w:t>
      </w:r>
      <w:r>
        <w:rPr>
          <w:rFonts w:hint="eastAsia" w:ascii="宋体" w:hAnsi="宋体" w:cs="宋体"/>
          <w:color w:val="auto"/>
          <w:kern w:val="0"/>
          <w:sz w:val="24"/>
          <w:lang w:bidi="ar"/>
        </w:rPr>
        <w:t>，属于</w:t>
      </w:r>
      <w:r>
        <w:rPr>
          <w:rFonts w:hint="eastAsia" w:ascii="宋体" w:hAnsi="宋体" w:cs="宋体"/>
          <w:color w:val="auto"/>
          <w:kern w:val="0"/>
          <w:sz w:val="24"/>
          <w:u w:val="single"/>
          <w:lang w:bidi="ar"/>
        </w:rPr>
        <w:t>（采购文件中明确的所属行业）</w:t>
      </w:r>
      <w:r>
        <w:rPr>
          <w:rFonts w:hint="eastAsia" w:ascii="宋体" w:hAnsi="宋体" w:cs="宋体"/>
          <w:color w:val="auto"/>
          <w:kern w:val="0"/>
          <w:sz w:val="24"/>
          <w:lang w:bidi="ar"/>
        </w:rPr>
        <w:t>行业；制造商为</w:t>
      </w:r>
      <w:r>
        <w:rPr>
          <w:rFonts w:hint="eastAsia" w:ascii="宋体" w:hAnsi="宋体" w:cs="宋体"/>
          <w:color w:val="auto"/>
          <w:kern w:val="0"/>
          <w:sz w:val="24"/>
          <w:u w:val="single"/>
          <w:lang w:bidi="ar"/>
        </w:rPr>
        <w:t>（企业名称），</w:t>
      </w:r>
      <w:r>
        <w:rPr>
          <w:rFonts w:hint="eastAsia" w:ascii="宋体" w:hAnsi="宋体" w:cs="宋体"/>
          <w:color w:val="auto"/>
          <w:kern w:val="0"/>
          <w:sz w:val="24"/>
          <w:lang w:bidi="ar"/>
        </w:rPr>
        <w:t>从业人员</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人，营业收入为</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万元，资产总额为</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万元，属于</w:t>
      </w:r>
      <w:r>
        <w:rPr>
          <w:rFonts w:hint="eastAsia" w:ascii="宋体" w:hAnsi="宋体" w:cs="宋体"/>
          <w:color w:val="auto"/>
          <w:kern w:val="0"/>
          <w:sz w:val="24"/>
          <w:u w:val="single"/>
          <w:lang w:bidi="ar"/>
        </w:rPr>
        <w:t>（中型企业、小型企业、微型企业）</w:t>
      </w:r>
      <w:r>
        <w:rPr>
          <w:rFonts w:hint="eastAsia" w:ascii="宋体" w:hAnsi="宋体" w:cs="宋体"/>
          <w:color w:val="auto"/>
          <w:kern w:val="0"/>
          <w:sz w:val="24"/>
          <w:lang w:bidi="ar"/>
        </w:rPr>
        <w:t xml:space="preserve">； </w:t>
      </w:r>
    </w:p>
    <w:p>
      <w:pPr>
        <w:widowControl/>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w:t>
      </w:r>
    </w:p>
    <w:p>
      <w:pPr>
        <w:widowControl/>
        <w:spacing w:line="360" w:lineRule="auto"/>
        <w:ind w:firstLine="480" w:firstLineChars="200"/>
        <w:jc w:val="left"/>
        <w:rPr>
          <w:rFonts w:hint="eastAsia" w:ascii="宋体" w:hAnsi="宋体" w:cs="宋体"/>
          <w:color w:val="auto"/>
          <w:kern w:val="0"/>
          <w:sz w:val="24"/>
          <w:lang w:bidi="ar"/>
        </w:rPr>
      </w:pPr>
      <w:r>
        <w:rPr>
          <w:rFonts w:hint="eastAsia" w:ascii="宋体" w:hAnsi="宋体" w:cs="宋体"/>
          <w:color w:val="auto"/>
          <w:kern w:val="0"/>
          <w:sz w:val="24"/>
          <w:lang w:bidi="ar"/>
        </w:rPr>
        <w:t>以上企业，不属于大企业的分支机构，不存在控股股东为大企业的情形，也不存在与大企业的负责人为同一人的情 形。</w:t>
      </w:r>
    </w:p>
    <w:p>
      <w:pPr>
        <w:widowControl/>
        <w:spacing w:line="360" w:lineRule="auto"/>
        <w:ind w:firstLine="480" w:firstLineChars="200"/>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本企业对上述声明内容的真实性负责。如有虚假，将依法承担相应责任。 </w:t>
      </w:r>
    </w:p>
    <w:p>
      <w:pPr>
        <w:widowControl/>
        <w:spacing w:line="360" w:lineRule="auto"/>
        <w:jc w:val="left"/>
        <w:rPr>
          <w:rFonts w:hint="eastAsia" w:ascii="宋体" w:hAnsi="宋体" w:cs="宋体"/>
          <w:color w:val="auto"/>
          <w:kern w:val="0"/>
          <w:sz w:val="24"/>
          <w:lang w:bidi="ar"/>
        </w:rPr>
      </w:pPr>
    </w:p>
    <w:p>
      <w:pPr>
        <w:widowControl/>
        <w:spacing w:line="360" w:lineRule="auto"/>
        <w:ind w:firstLine="6240" w:firstLineChars="2600"/>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企业名称（盖章）： </w:t>
      </w:r>
    </w:p>
    <w:p>
      <w:pPr>
        <w:widowControl/>
        <w:spacing w:line="360" w:lineRule="auto"/>
        <w:ind w:firstLine="6240" w:firstLineChars="2600"/>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日 期： </w:t>
      </w:r>
    </w:p>
    <w:p>
      <w:pPr>
        <w:widowControl/>
        <w:spacing w:line="360" w:lineRule="auto"/>
        <w:jc w:val="left"/>
        <w:rPr>
          <w:rFonts w:hint="eastAsia" w:ascii="宋体" w:hAnsi="宋体" w:cs="宋体"/>
          <w:color w:val="auto"/>
          <w:kern w:val="0"/>
          <w:sz w:val="24"/>
          <w:lang w:bidi="ar"/>
        </w:rPr>
      </w:pPr>
    </w:p>
    <w:p>
      <w:pPr>
        <w:widowControl/>
        <w:spacing w:line="360" w:lineRule="auto"/>
        <w:jc w:val="left"/>
        <w:rPr>
          <w:rFonts w:hint="eastAsia" w:ascii="宋体" w:hAnsi="宋体" w:cs="宋体"/>
          <w:color w:val="auto"/>
          <w:kern w:val="0"/>
          <w:sz w:val="24"/>
          <w:lang w:bidi="ar"/>
        </w:rPr>
      </w:pPr>
      <w:r>
        <w:rPr>
          <w:rFonts w:hint="eastAsia" w:ascii="宋体" w:hAnsi="宋体" w:cs="宋体"/>
          <w:color w:val="auto"/>
          <w:kern w:val="0"/>
          <w:sz w:val="24"/>
          <w:lang w:bidi="ar"/>
        </w:rPr>
        <w:t>注：①从业人员、营业收入、资产总额填报上一年度数据，无上一年度数据的新成立企业可不填报。</w:t>
      </w:r>
    </w:p>
    <w:p>
      <w:pPr>
        <w:widowControl/>
        <w:spacing w:line="360" w:lineRule="auto"/>
        <w:ind w:firstLine="480" w:firstLineChars="200"/>
        <w:jc w:val="left"/>
        <w:rPr>
          <w:rFonts w:hint="eastAsia" w:ascii="宋体" w:hAnsi="宋体" w:cs="宋体"/>
          <w:color w:val="auto"/>
          <w:kern w:val="0"/>
          <w:sz w:val="24"/>
          <w:lang w:bidi="ar"/>
        </w:rPr>
      </w:pPr>
      <w:r>
        <w:rPr>
          <w:rFonts w:hint="eastAsia"/>
          <w:color w:val="auto"/>
          <w:sz w:val="24"/>
        </w:rPr>
        <w:t>②</w:t>
      </w:r>
      <w:r>
        <w:rPr>
          <w:rFonts w:hint="eastAsia" w:ascii="宋体" w:hAnsi="宋体" w:cs="宋体"/>
          <w:color w:val="auto"/>
          <w:kern w:val="0"/>
          <w:sz w:val="24"/>
          <w:lang w:bidi="ar"/>
        </w:rPr>
        <w:t>供应商提供的货物既有中小企业制造货物，也有大型企业制造货物的，不享受本办法规定的中小企业扶持政策。</w:t>
      </w:r>
    </w:p>
    <w:p>
      <w:pPr>
        <w:widowControl/>
        <w:spacing w:line="360" w:lineRule="auto"/>
        <w:ind w:firstLine="480" w:firstLineChars="200"/>
        <w:jc w:val="left"/>
        <w:rPr>
          <w:rFonts w:hint="eastAsia" w:ascii="宋体" w:hAnsi="宋体" w:cs="宋体"/>
          <w:color w:val="auto"/>
          <w:kern w:val="0"/>
          <w:sz w:val="24"/>
          <w:lang w:bidi="ar"/>
        </w:rPr>
      </w:pPr>
      <w:r>
        <w:rPr>
          <w:rFonts w:hint="eastAsia"/>
          <w:color w:val="auto"/>
          <w:sz w:val="24"/>
        </w:rPr>
        <w:t>③</w:t>
      </w:r>
      <w:r>
        <w:rPr>
          <w:rFonts w:hint="eastAsia" w:ascii="宋体" w:hAnsi="宋体" w:cs="宋体"/>
          <w:color w:val="auto"/>
          <w:kern w:val="0"/>
          <w:sz w:val="24"/>
          <w:lang w:bidi="ar"/>
        </w:rPr>
        <w:t>在政府采购活动中，供应商提供的货物由中小企业制造，即货物由中小企业生产且使用该中小企业商号或者注册商标的，才能享受享受政府采购促进中小企业发展管理办法规定的中小企业扶持政策。</w:t>
      </w:r>
    </w:p>
    <w:p>
      <w:pPr>
        <w:widowControl/>
        <w:wordWrap w:val="0"/>
        <w:spacing w:line="500" w:lineRule="atLeast"/>
        <w:ind w:firstLine="3614" w:firstLineChars="1500"/>
        <w:jc w:val="left"/>
        <w:rPr>
          <w:rFonts w:hint="eastAsia" w:ascii="宋体" w:hAnsi="宋体" w:cs="宋体"/>
          <w:b/>
          <w:color w:val="auto"/>
          <w:kern w:val="0"/>
          <w:sz w:val="24"/>
        </w:rPr>
      </w:pPr>
    </w:p>
    <w:p>
      <w:pPr>
        <w:widowControl/>
        <w:wordWrap w:val="0"/>
        <w:spacing w:line="360" w:lineRule="auto"/>
        <w:jc w:val="left"/>
        <w:rPr>
          <w:rFonts w:hint="eastAsia" w:ascii="宋体" w:hAnsi="宋体" w:cs="宋体"/>
          <w:color w:val="auto"/>
          <w:kern w:val="0"/>
          <w:sz w:val="24"/>
        </w:rPr>
      </w:pPr>
      <w:r>
        <w:rPr>
          <w:rFonts w:hint="eastAsia" w:ascii="宋体" w:hAnsi="宋体" w:cs="宋体"/>
          <w:b/>
          <w:color w:val="auto"/>
          <w:kern w:val="0"/>
          <w:sz w:val="24"/>
        </w:rPr>
        <w:br w:type="page"/>
      </w:r>
      <w:r>
        <w:rPr>
          <w:rFonts w:hint="eastAsia" w:ascii="宋体" w:hAnsi="宋体" w:cs="宋体"/>
          <w:b/>
          <w:color w:val="auto"/>
          <w:kern w:val="0"/>
          <w:sz w:val="24"/>
        </w:rPr>
        <w:t>10.4残疾人福利性单位声明函（格式）</w:t>
      </w:r>
    </w:p>
    <w:p>
      <w:pPr>
        <w:widowControl/>
        <w:wordWrap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kern w:val="0"/>
          <w:sz w:val="24"/>
          <w:u w:val="single"/>
        </w:rPr>
        <w:t xml:space="preserve">     </w:t>
      </w:r>
      <w:r>
        <w:rPr>
          <w:rFonts w:hint="eastAsia" w:ascii="宋体" w:hAnsi="宋体" w:cs="宋体"/>
          <w:color w:val="auto"/>
          <w:kern w:val="0"/>
          <w:sz w:val="24"/>
        </w:rPr>
        <w:t>单位的</w:t>
      </w:r>
      <w:r>
        <w:rPr>
          <w:rFonts w:hint="eastAsia" w:ascii="宋体" w:hAnsi="宋体" w:cs="宋体"/>
          <w:color w:val="auto"/>
          <w:kern w:val="0"/>
          <w:sz w:val="24"/>
          <w:u w:val="single"/>
        </w:rPr>
        <w:t xml:space="preserve">      </w:t>
      </w:r>
      <w:r>
        <w:rPr>
          <w:rFonts w:hint="eastAsia" w:ascii="宋体" w:hAnsi="宋体" w:cs="宋体"/>
          <w:color w:val="auto"/>
          <w:kern w:val="0"/>
          <w:sz w:val="24"/>
        </w:rPr>
        <w:t>项目采购活动提供本单位制造的货物（由本单位承担工程/提供服务），或者提供其他残疾人福利性单位制造的货物（不包括使用非残疾人福利性单位注册商标的货物）。</w:t>
      </w:r>
    </w:p>
    <w:p>
      <w:pPr>
        <w:widowControl/>
        <w:wordWrap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本单位对上述声明的真实性负责。如有虚假，将依法承担相应责任。</w:t>
      </w:r>
    </w:p>
    <w:p>
      <w:pPr>
        <w:widowControl/>
        <w:wordWrap w:val="0"/>
        <w:spacing w:line="360" w:lineRule="auto"/>
        <w:ind w:firstLine="4920" w:firstLineChars="2050"/>
        <w:jc w:val="left"/>
        <w:rPr>
          <w:rFonts w:hint="eastAsia" w:ascii="宋体" w:hAnsi="宋体" w:cs="宋体"/>
          <w:color w:val="auto"/>
          <w:kern w:val="0"/>
          <w:sz w:val="24"/>
        </w:rPr>
      </w:pPr>
    </w:p>
    <w:p>
      <w:pPr>
        <w:widowControl/>
        <w:wordWrap w:val="0"/>
        <w:spacing w:line="360" w:lineRule="auto"/>
        <w:ind w:firstLine="2280" w:firstLineChars="950"/>
        <w:jc w:val="left"/>
        <w:rPr>
          <w:rFonts w:hint="eastAsia" w:ascii="宋体" w:hAnsi="宋体" w:cs="宋体"/>
          <w:color w:val="auto"/>
          <w:kern w:val="0"/>
          <w:sz w:val="24"/>
        </w:rPr>
      </w:pPr>
      <w:r>
        <w:rPr>
          <w:rFonts w:hint="eastAsia" w:ascii="宋体" w:hAnsi="宋体" w:cs="宋体"/>
          <w:color w:val="auto"/>
          <w:kern w:val="0"/>
          <w:sz w:val="24"/>
        </w:rPr>
        <w:t>投标人：</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（全称并加盖公章）  </w:t>
      </w:r>
    </w:p>
    <w:p>
      <w:pPr>
        <w:widowControl/>
        <w:wordWrap w:val="0"/>
        <w:spacing w:line="500" w:lineRule="atLeast"/>
        <w:ind w:firstLine="2880" w:firstLineChars="1200"/>
        <w:jc w:val="left"/>
        <w:rPr>
          <w:rFonts w:hint="eastAsia" w:ascii="宋体" w:hAnsi="宋体" w:cs="宋体"/>
          <w:b/>
          <w:bCs/>
          <w:color w:val="auto"/>
          <w:kern w:val="0"/>
          <w:sz w:val="24"/>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cs="宋体"/>
          <w:color w:val="auto"/>
          <w:kern w:val="0"/>
          <w:sz w:val="24"/>
        </w:rPr>
        <w:t>年   月    日</w:t>
      </w:r>
      <w:r>
        <w:rPr>
          <w:rFonts w:hint="eastAsia" w:ascii="宋体" w:hAnsi="宋体" w:cs="宋体"/>
          <w:b/>
          <w:bCs/>
          <w:color w:val="auto"/>
          <w:kern w:val="0"/>
          <w:sz w:val="24"/>
        </w:rPr>
        <w:br w:type="page"/>
      </w:r>
      <w:r>
        <w:rPr>
          <w:rFonts w:hint="eastAsia" w:ascii="宋体" w:hAnsi="宋体" w:cs="宋体"/>
          <w:b/>
          <w:bCs/>
          <w:color w:val="auto"/>
          <w:kern w:val="0"/>
          <w:sz w:val="24"/>
        </w:rPr>
        <w:t>10.5投标人认为有必要提供的其他证明材料</w:t>
      </w:r>
    </w:p>
    <w:p>
      <w:pPr>
        <w:widowControl/>
        <w:wordWrap w:val="0"/>
        <w:spacing w:line="500" w:lineRule="atLeast"/>
        <w:jc w:val="left"/>
        <w:outlineLvl w:val="0"/>
        <w:rPr>
          <w:rFonts w:hint="eastAsia" w:ascii="宋体" w:hAnsi="宋体" w:cs="宋体"/>
          <w:color w:val="auto"/>
          <w:kern w:val="0"/>
          <w:sz w:val="24"/>
        </w:rPr>
      </w:pPr>
      <w:r>
        <w:rPr>
          <w:rFonts w:hint="eastAsia" w:ascii="宋体" w:hAnsi="宋体" w:cs="宋体"/>
          <w:b/>
          <w:bCs/>
          <w:color w:val="auto"/>
          <w:kern w:val="0"/>
          <w:sz w:val="24"/>
        </w:rPr>
        <w:t>附件11              投标人自觉抵制政府采购领域</w:t>
      </w:r>
    </w:p>
    <w:p>
      <w:pPr>
        <w:widowControl/>
        <w:wordWrap w:val="0"/>
        <w:spacing w:line="500" w:lineRule="atLeast"/>
        <w:ind w:firstLine="2951"/>
        <w:jc w:val="left"/>
        <w:rPr>
          <w:rFonts w:hint="eastAsia" w:ascii="宋体" w:hAnsi="宋体" w:cs="宋体"/>
          <w:color w:val="auto"/>
          <w:kern w:val="0"/>
          <w:sz w:val="24"/>
        </w:rPr>
      </w:pPr>
      <w:r>
        <w:rPr>
          <w:rFonts w:hint="eastAsia" w:ascii="宋体" w:hAnsi="宋体" w:cs="宋体"/>
          <w:b/>
          <w:bCs/>
          <w:color w:val="auto"/>
          <w:kern w:val="0"/>
          <w:sz w:val="24"/>
        </w:rPr>
        <w:t xml:space="preserve"> 商业贿赂行为承诺书</w:t>
      </w:r>
    </w:p>
    <w:p>
      <w:pPr>
        <w:widowControl/>
        <w:wordWrap w:val="0"/>
        <w:spacing w:line="400" w:lineRule="exact"/>
        <w:jc w:val="left"/>
        <w:rPr>
          <w:rFonts w:hint="eastAsia" w:ascii="宋体" w:hAnsi="宋体" w:cs="宋体"/>
          <w:color w:val="auto"/>
          <w:kern w:val="0"/>
          <w:sz w:val="24"/>
        </w:rPr>
      </w:pPr>
      <w:r>
        <w:rPr>
          <w:rFonts w:hint="eastAsia" w:ascii="宋体" w:hAnsi="宋体" w:cs="宋体"/>
          <w:color w:val="auto"/>
          <w:kern w:val="0"/>
          <w:sz w:val="24"/>
        </w:rPr>
        <w:t>致：</w:t>
      </w:r>
      <w:r>
        <w:rPr>
          <w:rFonts w:hint="eastAsia" w:ascii="宋体" w:hAnsi="宋体" w:cs="宋体"/>
          <w:color w:val="auto"/>
          <w:kern w:val="0"/>
          <w:sz w:val="24"/>
          <w:u w:val="single"/>
        </w:rPr>
        <w:t xml:space="preserve"> </w:t>
      </w:r>
      <w:r>
        <w:rPr>
          <w:rFonts w:hint="eastAsia" w:ascii="Calibri" w:hAnsi="Calibri" w:cs="宋体"/>
          <w:color w:val="auto"/>
          <w:kern w:val="0"/>
          <w:sz w:val="24"/>
          <w:u w:val="single"/>
        </w:rPr>
        <w:t xml:space="preserve">        </w:t>
      </w:r>
      <w:r>
        <w:rPr>
          <w:rFonts w:hint="eastAsia" w:ascii="宋体" w:hAnsi="宋体" w:cs="宋体"/>
          <w:color w:val="auto"/>
          <w:kern w:val="0"/>
          <w:sz w:val="24"/>
        </w:rPr>
        <w:t>（代理机构名称）</w:t>
      </w:r>
      <w:r>
        <w:rPr>
          <w:rFonts w:ascii="Calibri" w:hAnsi="Calibri" w:cs="宋体"/>
          <w:color w:val="auto"/>
          <w:kern w:val="0"/>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w:t>
      </w:r>
    </w:p>
    <w:p>
      <w:pPr>
        <w:widowControl/>
        <w:wordWrap w:val="0"/>
        <w:spacing w:line="500" w:lineRule="atLeast"/>
        <w:ind w:firstLine="480"/>
        <w:jc w:val="left"/>
        <w:rPr>
          <w:rFonts w:hint="eastAsia" w:ascii="宋体" w:hAnsi="宋体" w:cs="宋体"/>
          <w:color w:val="auto"/>
          <w:kern w:val="0"/>
          <w:sz w:val="24"/>
        </w:rPr>
      </w:pPr>
      <w:r>
        <w:rPr>
          <w:rFonts w:hint="eastAsia" w:ascii="宋体" w:hAnsi="宋体" w:cs="宋体"/>
          <w:color w:val="auto"/>
          <w:kern w:val="0"/>
          <w:sz w:val="24"/>
        </w:rPr>
        <w:t>为进一步规范政府采购行为，营造公平竞争的政府采购市场环境，维护政府采购制度良好声誉，在参与贵单位组织的竞争性招标活动中，我方庄重承诺：</w:t>
      </w:r>
    </w:p>
    <w:p>
      <w:pPr>
        <w:widowControl/>
        <w:wordWrap w:val="0"/>
        <w:spacing w:line="500" w:lineRule="atLeast"/>
        <w:ind w:firstLine="480"/>
        <w:jc w:val="left"/>
        <w:rPr>
          <w:rFonts w:hint="eastAsia" w:ascii="宋体" w:hAnsi="宋体" w:cs="宋体"/>
          <w:color w:val="auto"/>
          <w:kern w:val="0"/>
          <w:sz w:val="24"/>
        </w:rPr>
      </w:pPr>
      <w:r>
        <w:rPr>
          <w:rFonts w:hint="eastAsia" w:ascii="宋体" w:hAnsi="宋体" w:cs="宋体"/>
          <w:color w:val="auto"/>
          <w:kern w:val="0"/>
          <w:sz w:val="24"/>
        </w:rPr>
        <w:t>一、依法参与竞争性招标活动，遵纪守法，诚信经营，公平竞争。</w:t>
      </w:r>
    </w:p>
    <w:p>
      <w:pPr>
        <w:widowControl/>
        <w:wordWrap w:val="0"/>
        <w:spacing w:line="500" w:lineRule="atLeast"/>
        <w:ind w:firstLine="480"/>
        <w:jc w:val="left"/>
        <w:rPr>
          <w:rFonts w:hint="eastAsia" w:ascii="宋体" w:hAnsi="宋体" w:cs="宋体"/>
          <w:color w:val="auto"/>
          <w:kern w:val="0"/>
          <w:sz w:val="24"/>
        </w:rPr>
      </w:pPr>
      <w:r>
        <w:rPr>
          <w:rFonts w:hint="eastAsia" w:ascii="宋体" w:hAnsi="宋体" w:cs="宋体"/>
          <w:color w:val="auto"/>
          <w:kern w:val="0"/>
          <w:sz w:val="24"/>
        </w:rPr>
        <w:t>二、不向招标人、代理机构和招标小组成员提供任何形式的商业贿赂，对索取或接受商业贿赂的单位和个人，及时向财政部门和纪检监察机关举报。</w:t>
      </w:r>
    </w:p>
    <w:p>
      <w:pPr>
        <w:widowControl/>
        <w:wordWrap w:val="0"/>
        <w:spacing w:line="500" w:lineRule="atLeast"/>
        <w:ind w:firstLine="480"/>
        <w:jc w:val="left"/>
        <w:rPr>
          <w:rFonts w:hint="eastAsia" w:ascii="宋体" w:hAnsi="宋体" w:cs="宋体"/>
          <w:color w:val="auto"/>
          <w:kern w:val="0"/>
          <w:sz w:val="24"/>
        </w:rPr>
      </w:pPr>
      <w:r>
        <w:rPr>
          <w:rFonts w:hint="eastAsia" w:ascii="宋体" w:hAnsi="宋体" w:cs="宋体"/>
          <w:color w:val="auto"/>
          <w:kern w:val="0"/>
          <w:sz w:val="24"/>
        </w:rPr>
        <w:t>三、不以提供虚假资质文件等形式参与竞争性招标活动，不以虚假材料谋取中标。</w:t>
      </w:r>
    </w:p>
    <w:p>
      <w:pPr>
        <w:widowControl/>
        <w:wordWrap w:val="0"/>
        <w:spacing w:line="500" w:lineRule="atLeast"/>
        <w:ind w:firstLine="480"/>
        <w:jc w:val="left"/>
        <w:rPr>
          <w:rFonts w:hint="eastAsia" w:ascii="宋体" w:hAnsi="宋体" w:cs="宋体"/>
          <w:color w:val="auto"/>
          <w:kern w:val="0"/>
          <w:sz w:val="24"/>
        </w:rPr>
      </w:pPr>
      <w:r>
        <w:rPr>
          <w:rFonts w:hint="eastAsia" w:ascii="宋体" w:hAnsi="宋体" w:cs="宋体"/>
          <w:color w:val="auto"/>
          <w:kern w:val="0"/>
          <w:sz w:val="24"/>
        </w:rPr>
        <w:t>四、不采取不正当手段诋毁、排挤其它投标人，与其它参与竞争性招标活动的投标人保持良性的竞争关系。</w:t>
      </w:r>
    </w:p>
    <w:p>
      <w:pPr>
        <w:widowControl/>
        <w:wordWrap w:val="0"/>
        <w:spacing w:line="500" w:lineRule="atLeast"/>
        <w:ind w:firstLine="480"/>
        <w:jc w:val="left"/>
        <w:rPr>
          <w:rFonts w:hint="eastAsia" w:ascii="宋体" w:hAnsi="宋体" w:cs="宋体"/>
          <w:color w:val="auto"/>
          <w:kern w:val="0"/>
          <w:sz w:val="24"/>
        </w:rPr>
      </w:pPr>
      <w:r>
        <w:rPr>
          <w:rFonts w:hint="eastAsia" w:ascii="宋体" w:hAnsi="宋体" w:cs="宋体"/>
          <w:color w:val="auto"/>
          <w:kern w:val="0"/>
          <w:sz w:val="24"/>
        </w:rPr>
        <w:t>五、不与招标人、代理机构和招标小组成员恶意串通，积极维护国家利益、社会公共利益和招标人的合法权益。</w:t>
      </w:r>
    </w:p>
    <w:p>
      <w:pPr>
        <w:widowControl/>
        <w:wordWrap w:val="0"/>
        <w:spacing w:line="500" w:lineRule="atLeast"/>
        <w:ind w:firstLine="480"/>
        <w:jc w:val="left"/>
        <w:rPr>
          <w:rFonts w:hint="eastAsia" w:ascii="宋体" w:hAnsi="宋体" w:cs="宋体"/>
          <w:color w:val="auto"/>
          <w:kern w:val="0"/>
          <w:sz w:val="24"/>
        </w:rPr>
      </w:pPr>
      <w:r>
        <w:rPr>
          <w:rFonts w:hint="eastAsia" w:ascii="宋体" w:hAnsi="宋体" w:cs="宋体"/>
          <w:color w:val="auto"/>
          <w:kern w:val="0"/>
          <w:sz w:val="24"/>
        </w:rPr>
        <w:t>六、严格履行政府采购合同约定义务，不在政府采购合同执行过程中采取降低质量或标准、减少数量、拖延交付时间等方式损害招标人的利益，并自觉承担违约责任。</w:t>
      </w:r>
    </w:p>
    <w:p>
      <w:pPr>
        <w:widowControl/>
        <w:wordWrap w:val="0"/>
        <w:spacing w:line="500" w:lineRule="atLeast"/>
        <w:ind w:firstLine="480"/>
        <w:jc w:val="left"/>
        <w:rPr>
          <w:rFonts w:hint="eastAsia" w:ascii="宋体" w:hAnsi="宋体" w:cs="宋体"/>
          <w:color w:val="auto"/>
          <w:kern w:val="0"/>
          <w:sz w:val="24"/>
        </w:rPr>
      </w:pPr>
      <w:r>
        <w:rPr>
          <w:rFonts w:hint="eastAsia" w:ascii="宋体" w:hAnsi="宋体" w:cs="宋体"/>
          <w:color w:val="auto"/>
          <w:kern w:val="0"/>
          <w:sz w:val="24"/>
        </w:rPr>
        <w:t>七、自觉接受并积极配合相关监督部门实施的监督检查，如实反映情况，及时提供有关证明材料。</w:t>
      </w:r>
    </w:p>
    <w:p>
      <w:pPr>
        <w:wordWrap w:val="0"/>
        <w:spacing w:line="460" w:lineRule="exact"/>
        <w:jc w:val="left"/>
        <w:rPr>
          <w:rFonts w:hint="eastAsia" w:ascii="宋体" w:hAnsi="宋体" w:cs="宋体"/>
          <w:b/>
          <w:color w:val="auto"/>
          <w:kern w:val="0"/>
          <w:sz w:val="24"/>
        </w:rPr>
      </w:pPr>
      <w:r>
        <w:rPr>
          <w:rFonts w:hint="eastAsia" w:ascii="宋体" w:hAnsi="宋体" w:cs="宋体"/>
          <w:color w:val="auto"/>
          <w:kern w:val="0"/>
          <w:sz w:val="24"/>
        </w:rPr>
        <w:t xml:space="preserve">        </w:t>
      </w:r>
    </w:p>
    <w:p>
      <w:pPr>
        <w:widowControl/>
        <w:wordWrap w:val="0"/>
        <w:spacing w:line="500" w:lineRule="atLeast"/>
        <w:ind w:firstLine="480"/>
        <w:jc w:val="left"/>
        <w:rPr>
          <w:rFonts w:hint="eastAsia" w:ascii="宋体" w:hAnsi="宋体" w:cs="宋体"/>
          <w:color w:val="auto"/>
          <w:kern w:val="0"/>
          <w:sz w:val="24"/>
        </w:rPr>
      </w:pPr>
    </w:p>
    <w:p>
      <w:pPr>
        <w:widowControl/>
        <w:wordWrap w:val="0"/>
        <w:spacing w:line="500" w:lineRule="atLeast"/>
        <w:ind w:firstLine="480"/>
        <w:jc w:val="left"/>
        <w:rPr>
          <w:rFonts w:hint="eastAsia" w:ascii="宋体" w:hAnsi="宋体" w:cs="宋体"/>
          <w:color w:val="auto"/>
          <w:kern w:val="0"/>
          <w:sz w:val="24"/>
        </w:rPr>
      </w:pPr>
      <w:r>
        <w:rPr>
          <w:rFonts w:hint="eastAsia" w:ascii="宋体" w:hAnsi="宋体" w:cs="宋体"/>
          <w:color w:val="auto"/>
          <w:kern w:val="0"/>
          <w:sz w:val="24"/>
        </w:rPr>
        <w:t xml:space="preserve">          法定代表人或委托代理人（签字或盖章）：</w:t>
      </w:r>
      <w:r>
        <w:rPr>
          <w:rFonts w:hint="eastAsia" w:ascii="宋体" w:hAnsi="宋体" w:cs="宋体"/>
          <w:color w:val="auto"/>
          <w:kern w:val="0"/>
          <w:sz w:val="24"/>
          <w:u w:val="single"/>
        </w:rPr>
        <w:t xml:space="preserve">                </w:t>
      </w:r>
    </w:p>
    <w:p>
      <w:pPr>
        <w:widowControl/>
        <w:wordWrap w:val="0"/>
        <w:spacing w:line="500" w:lineRule="atLeast"/>
        <w:ind w:firstLine="480"/>
        <w:jc w:val="left"/>
        <w:rPr>
          <w:rFonts w:hint="eastAsia" w:ascii="宋体" w:hAnsi="宋体" w:cs="宋体"/>
          <w:color w:val="auto"/>
          <w:kern w:val="0"/>
          <w:sz w:val="24"/>
        </w:rPr>
      </w:pPr>
      <w:r>
        <w:rPr>
          <w:rFonts w:hint="eastAsia" w:ascii="宋体" w:hAnsi="宋体" w:cs="宋体"/>
          <w:color w:val="auto"/>
          <w:kern w:val="0"/>
          <w:sz w:val="24"/>
        </w:rPr>
        <w:t xml:space="preserve">          投标人：</w:t>
      </w:r>
      <w:r>
        <w:rPr>
          <w:rFonts w:hint="eastAsia" w:ascii="宋体" w:hAnsi="宋体" w:cs="宋体"/>
          <w:color w:val="auto"/>
          <w:kern w:val="0"/>
          <w:sz w:val="24"/>
          <w:u w:val="single"/>
        </w:rPr>
        <w:t xml:space="preserve">                </w:t>
      </w:r>
      <w:r>
        <w:rPr>
          <w:rFonts w:hint="eastAsia" w:ascii="宋体" w:hAnsi="宋体" w:cs="宋体"/>
          <w:color w:val="auto"/>
          <w:kern w:val="0"/>
          <w:sz w:val="24"/>
        </w:rPr>
        <w:t>（全称并加盖公章）</w:t>
      </w:r>
    </w:p>
    <w:p>
      <w:pPr>
        <w:widowControl/>
        <w:wordWrap w:val="0"/>
        <w:spacing w:line="500" w:lineRule="atLeast"/>
        <w:jc w:val="left"/>
        <w:rPr>
          <w:rFonts w:hint="eastAsia" w:ascii="宋体" w:hAnsi="宋体" w:cs="宋体"/>
          <w:color w:val="auto"/>
          <w:kern w:val="0"/>
          <w:sz w:val="24"/>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cs="宋体"/>
          <w:color w:val="auto"/>
          <w:kern w:val="0"/>
          <w:sz w:val="24"/>
        </w:rPr>
        <w:t xml:space="preserve">                      年    月    日</w:t>
      </w:r>
    </w:p>
    <w:p>
      <w:pPr>
        <w:pStyle w:val="2"/>
        <w:jc w:val="center"/>
        <w:rPr>
          <w:rFonts w:hint="eastAsia"/>
          <w:color w:val="auto"/>
          <w:sz w:val="28"/>
          <w:szCs w:val="28"/>
        </w:rPr>
      </w:pPr>
      <w:r>
        <w:rPr>
          <w:rFonts w:hint="eastAsia"/>
          <w:color w:val="auto"/>
          <w:sz w:val="32"/>
          <w:szCs w:val="32"/>
        </w:rPr>
        <w:t>第七章 政府采购合同融资政策告知函</w:t>
      </w:r>
    </w:p>
    <w:p>
      <w:pPr>
        <w:jc w:val="center"/>
        <w:outlineLvl w:val="1"/>
        <w:rPr>
          <w:b/>
          <w:bCs/>
          <w:color w:val="auto"/>
          <w:sz w:val="32"/>
          <w:szCs w:val="32"/>
        </w:rPr>
      </w:pPr>
      <w:r>
        <w:rPr>
          <w:rFonts w:hint="eastAsia"/>
          <w:b/>
          <w:bCs/>
          <w:color w:val="auto"/>
          <w:sz w:val="32"/>
          <w:szCs w:val="32"/>
        </w:rPr>
        <w:t>政府采购合同融资政策告知函</w:t>
      </w:r>
    </w:p>
    <w:p>
      <w:pPr>
        <w:spacing w:line="360" w:lineRule="auto"/>
        <w:rPr>
          <w:color w:val="auto"/>
          <w:sz w:val="24"/>
        </w:rPr>
      </w:pPr>
      <w:r>
        <w:rPr>
          <w:rFonts w:hint="eastAsia"/>
          <w:color w:val="auto"/>
          <w:sz w:val="24"/>
        </w:rPr>
        <w:t>各投标人：</w:t>
      </w:r>
    </w:p>
    <w:p>
      <w:pPr>
        <w:spacing w:line="360" w:lineRule="auto"/>
        <w:ind w:firstLine="480" w:firstLineChars="200"/>
        <w:rPr>
          <w:color w:val="auto"/>
          <w:sz w:val="24"/>
        </w:rPr>
      </w:pPr>
      <w:r>
        <w:rPr>
          <w:rFonts w:hint="eastAsia"/>
          <w:color w:val="auto"/>
          <w:sz w:val="24"/>
        </w:rPr>
        <w:t>欢迎贵公司参与驻马店市政府采购活动!</w:t>
      </w:r>
    </w:p>
    <w:p>
      <w:pPr>
        <w:spacing w:line="360" w:lineRule="auto"/>
        <w:ind w:firstLine="480" w:firstLineChars="200"/>
        <w:rPr>
          <w:color w:val="auto"/>
          <w:sz w:val="24"/>
        </w:rPr>
      </w:pPr>
      <w:r>
        <w:rPr>
          <w:rFonts w:hint="eastAsia"/>
          <w:color w:val="auto"/>
          <w:sz w:val="24"/>
        </w:rPr>
        <w:t>政府采购合同融资是河南省财政厅支持中小微企业发展，针对参与政府采购活动的供应商融资难、融资贵问题推出的一项融资政策。贵公司若成为本次政府采购项目的中标人，可持政府采购合同向金融机构申请贷款，无需抵押、担保。融资机构根据《关于印发深入推进政府采购合同融资工作实施方案的通知》（驻财购〔2020〕32号），按照双方自愿的原则提供便捷、优惠的贷款服务。</w:t>
      </w:r>
    </w:p>
    <w:p>
      <w:pPr>
        <w:spacing w:line="360" w:lineRule="auto"/>
        <w:ind w:firstLine="480" w:firstLineChars="200"/>
        <w:rPr>
          <w:color w:val="auto"/>
          <w:sz w:val="24"/>
        </w:rPr>
      </w:pPr>
      <w:r>
        <w:rPr>
          <w:rFonts w:hint="eastAsia"/>
          <w:color w:val="auto"/>
          <w:sz w:val="24"/>
        </w:rPr>
        <w:t>贷款渠道和提供贷款的金融机构如下：</w:t>
      </w:r>
    </w:p>
    <w:p>
      <w:pPr>
        <w:widowControl/>
        <w:snapToGrid w:val="0"/>
        <w:spacing w:line="460" w:lineRule="exact"/>
        <w:jc w:val="center"/>
        <w:outlineLvl w:val="1"/>
        <w:rPr>
          <w:rFonts w:hint="eastAsia" w:ascii="宋体" w:hAnsi="宋体" w:cs="宋体"/>
          <w:b/>
          <w:color w:val="auto"/>
          <w:kern w:val="0"/>
          <w:sz w:val="28"/>
          <w:szCs w:val="28"/>
        </w:rPr>
      </w:pPr>
      <w:r>
        <w:rPr>
          <w:rFonts w:hint="eastAsia" w:ascii="宋体" w:hAnsi="宋体" w:cs="宋体"/>
          <w:b/>
          <w:color w:val="auto"/>
          <w:kern w:val="0"/>
          <w:sz w:val="28"/>
          <w:szCs w:val="28"/>
        </w:rPr>
        <w:t>驻马店市政府采购合同融资金融机构联系方式</w:t>
      </w:r>
    </w:p>
    <w:p>
      <w:pPr>
        <w:spacing w:line="360" w:lineRule="auto"/>
        <w:outlineLvl w:val="1"/>
        <w:rPr>
          <w:color w:val="auto"/>
          <w:sz w:val="24"/>
        </w:rPr>
      </w:pPr>
      <w:r>
        <w:rPr>
          <w:color w:val="auto"/>
          <w:sz w:val="24"/>
        </w:rPr>
        <w:t>1</w:t>
      </w:r>
      <w:r>
        <w:rPr>
          <w:rFonts w:hint="eastAsia"/>
          <w:color w:val="auto"/>
          <w:sz w:val="24"/>
        </w:rPr>
        <w:t>、上海浦东发展银行信阳分行</w:t>
      </w:r>
    </w:p>
    <w:p>
      <w:pPr>
        <w:spacing w:line="360" w:lineRule="auto"/>
        <w:rPr>
          <w:color w:val="auto"/>
          <w:sz w:val="24"/>
        </w:rPr>
      </w:pPr>
      <w:r>
        <w:rPr>
          <w:rFonts w:hint="eastAsia"/>
          <w:color w:val="auto"/>
          <w:sz w:val="24"/>
        </w:rPr>
        <w:t>联系人：曾涛</w:t>
      </w:r>
      <w:r>
        <w:rPr>
          <w:color w:val="auto"/>
          <w:sz w:val="24"/>
        </w:rPr>
        <w:t>  18203766999  </w:t>
      </w:r>
    </w:p>
    <w:p>
      <w:pPr>
        <w:spacing w:line="360" w:lineRule="auto"/>
        <w:rPr>
          <w:color w:val="auto"/>
          <w:sz w:val="24"/>
        </w:rPr>
      </w:pPr>
      <w:r>
        <w:rPr>
          <w:rFonts w:hint="eastAsia"/>
          <w:color w:val="auto"/>
          <w:sz w:val="24"/>
        </w:rPr>
        <w:t>地址：信阳市羊山新区新六大街北段九阳大厦一号楼</w:t>
      </w:r>
    </w:p>
    <w:p>
      <w:pPr>
        <w:spacing w:line="360" w:lineRule="auto"/>
        <w:outlineLvl w:val="1"/>
        <w:rPr>
          <w:color w:val="auto"/>
          <w:sz w:val="24"/>
        </w:rPr>
      </w:pPr>
      <w:r>
        <w:rPr>
          <w:color w:val="auto"/>
          <w:sz w:val="24"/>
        </w:rPr>
        <w:t>2</w:t>
      </w:r>
      <w:r>
        <w:rPr>
          <w:rFonts w:hint="eastAsia"/>
          <w:color w:val="auto"/>
          <w:sz w:val="24"/>
        </w:rPr>
        <w:t>、中原银行驻马店分行公司业务七部</w:t>
      </w:r>
    </w:p>
    <w:p>
      <w:pPr>
        <w:spacing w:line="360" w:lineRule="auto"/>
        <w:rPr>
          <w:color w:val="auto"/>
          <w:sz w:val="24"/>
        </w:rPr>
      </w:pPr>
      <w:r>
        <w:rPr>
          <w:rFonts w:hint="eastAsia"/>
          <w:color w:val="auto"/>
          <w:sz w:val="24"/>
        </w:rPr>
        <w:t>联系人：王磊</w:t>
      </w:r>
    </w:p>
    <w:p>
      <w:pPr>
        <w:spacing w:line="360" w:lineRule="auto"/>
        <w:rPr>
          <w:color w:val="auto"/>
          <w:sz w:val="24"/>
        </w:rPr>
      </w:pPr>
      <w:r>
        <w:rPr>
          <w:rFonts w:hint="eastAsia"/>
          <w:color w:val="auto"/>
          <w:sz w:val="24"/>
        </w:rPr>
        <w:t>联系电话：</w:t>
      </w:r>
      <w:r>
        <w:rPr>
          <w:color w:val="auto"/>
          <w:sz w:val="24"/>
        </w:rPr>
        <w:t>13783327708</w:t>
      </w:r>
    </w:p>
    <w:p>
      <w:pPr>
        <w:spacing w:line="360" w:lineRule="auto"/>
        <w:rPr>
          <w:color w:val="auto"/>
          <w:sz w:val="24"/>
        </w:rPr>
      </w:pPr>
      <w:r>
        <w:rPr>
          <w:rFonts w:hint="eastAsia"/>
          <w:color w:val="auto"/>
          <w:sz w:val="24"/>
        </w:rPr>
        <w:t>地址：驻马店市驿城区文明路</w:t>
      </w:r>
      <w:r>
        <w:rPr>
          <w:color w:val="auto"/>
          <w:sz w:val="24"/>
        </w:rPr>
        <w:t>168</w:t>
      </w:r>
      <w:r>
        <w:rPr>
          <w:rFonts w:hint="eastAsia"/>
          <w:color w:val="auto"/>
          <w:sz w:val="24"/>
        </w:rPr>
        <w:t>号（天龙大酒店对面）</w:t>
      </w:r>
    </w:p>
    <w:p>
      <w:pPr>
        <w:spacing w:line="360" w:lineRule="auto"/>
        <w:outlineLvl w:val="1"/>
        <w:rPr>
          <w:color w:val="auto"/>
          <w:sz w:val="24"/>
        </w:rPr>
      </w:pPr>
      <w:r>
        <w:rPr>
          <w:color w:val="auto"/>
          <w:sz w:val="24"/>
        </w:rPr>
        <w:t>3</w:t>
      </w:r>
      <w:r>
        <w:rPr>
          <w:rFonts w:hint="eastAsia"/>
          <w:color w:val="auto"/>
          <w:sz w:val="24"/>
        </w:rPr>
        <w:t>、</w:t>
      </w:r>
      <w:r>
        <w:rPr>
          <w:color w:val="auto"/>
          <w:sz w:val="24"/>
        </w:rPr>
        <w:t> </w:t>
      </w:r>
      <w:r>
        <w:rPr>
          <w:rFonts w:hint="eastAsia"/>
          <w:color w:val="auto"/>
          <w:sz w:val="24"/>
        </w:rPr>
        <w:t>郑州银行驻马店分行</w:t>
      </w:r>
      <w:r>
        <w:rPr>
          <w:color w:val="auto"/>
          <w:sz w:val="24"/>
        </w:rPr>
        <w:t xml:space="preserve"> </w:t>
      </w:r>
    </w:p>
    <w:p>
      <w:pPr>
        <w:spacing w:line="360" w:lineRule="auto"/>
        <w:rPr>
          <w:color w:val="auto"/>
          <w:sz w:val="24"/>
        </w:rPr>
      </w:pPr>
      <w:r>
        <w:rPr>
          <w:rFonts w:hint="eastAsia"/>
          <w:color w:val="auto"/>
          <w:sz w:val="24"/>
        </w:rPr>
        <w:t>联系人：禹阳</w:t>
      </w:r>
    </w:p>
    <w:p>
      <w:pPr>
        <w:spacing w:line="360" w:lineRule="auto"/>
        <w:rPr>
          <w:color w:val="auto"/>
          <w:sz w:val="24"/>
        </w:rPr>
      </w:pPr>
      <w:r>
        <w:rPr>
          <w:rFonts w:hint="eastAsia"/>
          <w:color w:val="auto"/>
          <w:sz w:val="24"/>
        </w:rPr>
        <w:t>联系电话：</w:t>
      </w:r>
      <w:r>
        <w:rPr>
          <w:color w:val="auto"/>
          <w:sz w:val="24"/>
        </w:rPr>
        <w:t>15103825000</w:t>
      </w:r>
    </w:p>
    <w:p>
      <w:pPr>
        <w:spacing w:line="360" w:lineRule="auto"/>
        <w:rPr>
          <w:color w:val="auto"/>
          <w:sz w:val="24"/>
        </w:rPr>
      </w:pPr>
      <w:r>
        <w:rPr>
          <w:rFonts w:hint="eastAsia"/>
          <w:color w:val="auto"/>
          <w:sz w:val="24"/>
        </w:rPr>
        <w:t>地址：河南省驻马店市置地大道与天中山大道交叉口西南角</w:t>
      </w:r>
    </w:p>
    <w:p>
      <w:pPr>
        <w:spacing w:line="360" w:lineRule="auto"/>
        <w:outlineLvl w:val="1"/>
        <w:rPr>
          <w:color w:val="auto"/>
          <w:sz w:val="24"/>
        </w:rPr>
      </w:pPr>
      <w:r>
        <w:rPr>
          <w:color w:val="auto"/>
          <w:sz w:val="24"/>
        </w:rPr>
        <w:t>4</w:t>
      </w:r>
      <w:r>
        <w:rPr>
          <w:rFonts w:hint="eastAsia"/>
          <w:color w:val="auto"/>
          <w:sz w:val="24"/>
        </w:rPr>
        <w:t>、驻马店农村商业银行股份有限公司</w:t>
      </w:r>
    </w:p>
    <w:p>
      <w:pPr>
        <w:spacing w:line="360" w:lineRule="auto"/>
        <w:rPr>
          <w:color w:val="auto"/>
          <w:sz w:val="24"/>
        </w:rPr>
      </w:pPr>
      <w:r>
        <w:rPr>
          <w:rFonts w:hint="eastAsia"/>
          <w:color w:val="auto"/>
          <w:sz w:val="24"/>
        </w:rPr>
        <w:t>联系人：鄢川源</w:t>
      </w:r>
      <w:r>
        <w:rPr>
          <w:color w:val="auto"/>
          <w:sz w:val="24"/>
        </w:rPr>
        <w:t xml:space="preserve">  15136590288   3699502</w:t>
      </w:r>
    </w:p>
    <w:p>
      <w:pPr>
        <w:spacing w:line="360" w:lineRule="auto"/>
        <w:rPr>
          <w:color w:val="auto"/>
          <w:sz w:val="24"/>
        </w:rPr>
      </w:pPr>
      <w:r>
        <w:rPr>
          <w:rFonts w:hint="eastAsia"/>
          <w:color w:val="auto"/>
          <w:sz w:val="24"/>
        </w:rPr>
        <w:t>周莉娟</w:t>
      </w:r>
      <w:r>
        <w:rPr>
          <w:color w:val="auto"/>
          <w:sz w:val="24"/>
        </w:rPr>
        <w:t xml:space="preserve">  15290172878  3618869</w:t>
      </w:r>
    </w:p>
    <w:p>
      <w:pPr>
        <w:spacing w:line="360" w:lineRule="auto"/>
        <w:rPr>
          <w:color w:val="auto"/>
          <w:sz w:val="24"/>
        </w:rPr>
      </w:pPr>
      <w:r>
        <w:rPr>
          <w:rFonts w:hint="eastAsia"/>
          <w:color w:val="auto"/>
          <w:sz w:val="24"/>
        </w:rPr>
        <w:t>地址：驻马店市驿城区文化路</w:t>
      </w:r>
      <w:r>
        <w:rPr>
          <w:color w:val="auto"/>
          <w:sz w:val="24"/>
        </w:rPr>
        <w:t>360</w:t>
      </w:r>
      <w:r>
        <w:rPr>
          <w:rFonts w:hint="eastAsia"/>
          <w:color w:val="auto"/>
          <w:sz w:val="24"/>
        </w:rPr>
        <w:t>号</w:t>
      </w:r>
    </w:p>
    <w:p>
      <w:pPr>
        <w:spacing w:line="360" w:lineRule="auto"/>
        <w:outlineLvl w:val="1"/>
        <w:rPr>
          <w:color w:val="auto"/>
          <w:sz w:val="24"/>
        </w:rPr>
      </w:pPr>
      <w:r>
        <w:rPr>
          <w:color w:val="auto"/>
          <w:sz w:val="24"/>
        </w:rPr>
        <w:t>5</w:t>
      </w:r>
      <w:r>
        <w:rPr>
          <w:rFonts w:hint="eastAsia"/>
          <w:color w:val="auto"/>
          <w:sz w:val="24"/>
        </w:rPr>
        <w:t>、中国银行股份有限公司驻马店分行营业部</w:t>
      </w:r>
    </w:p>
    <w:p>
      <w:pPr>
        <w:spacing w:line="360" w:lineRule="auto"/>
        <w:rPr>
          <w:color w:val="auto"/>
          <w:sz w:val="24"/>
        </w:rPr>
      </w:pPr>
      <w:r>
        <w:rPr>
          <w:rFonts w:hint="eastAsia"/>
          <w:color w:val="auto"/>
          <w:sz w:val="24"/>
        </w:rPr>
        <w:t>联系人：罗浩</w:t>
      </w:r>
      <w:r>
        <w:rPr>
          <w:color w:val="auto"/>
          <w:sz w:val="24"/>
        </w:rPr>
        <w:t> </w:t>
      </w:r>
      <w:r>
        <w:rPr>
          <w:rFonts w:hint="eastAsia"/>
          <w:color w:val="auto"/>
          <w:sz w:val="24"/>
        </w:rPr>
        <w:t>手机号</w:t>
      </w:r>
      <w:r>
        <w:rPr>
          <w:color w:val="auto"/>
          <w:sz w:val="24"/>
        </w:rPr>
        <w:t>15239620736</w:t>
      </w:r>
    </w:p>
    <w:p>
      <w:pPr>
        <w:spacing w:line="360" w:lineRule="auto"/>
        <w:rPr>
          <w:color w:val="auto"/>
          <w:sz w:val="24"/>
        </w:rPr>
      </w:pPr>
      <w:r>
        <w:rPr>
          <w:rFonts w:hint="eastAsia"/>
          <w:color w:val="auto"/>
          <w:sz w:val="24"/>
        </w:rPr>
        <w:t>刘杰</w:t>
      </w:r>
      <w:r>
        <w:rPr>
          <w:color w:val="auto"/>
          <w:sz w:val="24"/>
        </w:rPr>
        <w:t> </w:t>
      </w:r>
      <w:r>
        <w:rPr>
          <w:rFonts w:hint="eastAsia"/>
          <w:color w:val="auto"/>
          <w:sz w:val="24"/>
        </w:rPr>
        <w:t>手机号</w:t>
      </w:r>
      <w:r>
        <w:rPr>
          <w:color w:val="auto"/>
          <w:sz w:val="24"/>
        </w:rPr>
        <w:t>16639631991</w:t>
      </w:r>
    </w:p>
    <w:p>
      <w:pPr>
        <w:spacing w:line="360" w:lineRule="auto"/>
        <w:rPr>
          <w:color w:val="auto"/>
          <w:sz w:val="24"/>
        </w:rPr>
      </w:pPr>
      <w:r>
        <w:rPr>
          <w:rFonts w:hint="eastAsia"/>
          <w:color w:val="auto"/>
          <w:sz w:val="24"/>
        </w:rPr>
        <w:t>地址：驻马店市文明路</w:t>
      </w:r>
      <w:r>
        <w:rPr>
          <w:color w:val="auto"/>
          <w:sz w:val="24"/>
        </w:rPr>
        <w:t>188</w:t>
      </w:r>
      <w:r>
        <w:rPr>
          <w:rFonts w:hint="eastAsia"/>
          <w:color w:val="auto"/>
          <w:sz w:val="24"/>
        </w:rPr>
        <w:t>号</w:t>
      </w:r>
    </w:p>
    <w:p>
      <w:pPr>
        <w:spacing w:line="360" w:lineRule="auto"/>
        <w:outlineLvl w:val="1"/>
        <w:rPr>
          <w:color w:val="auto"/>
          <w:sz w:val="24"/>
        </w:rPr>
      </w:pPr>
      <w:r>
        <w:rPr>
          <w:color w:val="auto"/>
          <w:sz w:val="24"/>
        </w:rPr>
        <w:t>6</w:t>
      </w:r>
      <w:r>
        <w:rPr>
          <w:rFonts w:hint="eastAsia"/>
          <w:color w:val="auto"/>
          <w:sz w:val="24"/>
        </w:rPr>
        <w:t>、中信银行股份有限公司郑州东明路支行</w:t>
      </w:r>
    </w:p>
    <w:p>
      <w:pPr>
        <w:spacing w:line="360" w:lineRule="auto"/>
        <w:rPr>
          <w:color w:val="auto"/>
          <w:sz w:val="24"/>
        </w:rPr>
      </w:pPr>
      <w:r>
        <w:rPr>
          <w:rFonts w:hint="eastAsia"/>
          <w:color w:val="auto"/>
          <w:sz w:val="24"/>
        </w:rPr>
        <w:t>联系人：李阿萃</w:t>
      </w:r>
      <w:r>
        <w:rPr>
          <w:color w:val="auto"/>
          <w:sz w:val="24"/>
        </w:rPr>
        <w:t xml:space="preserve">  18638139933</w:t>
      </w:r>
    </w:p>
    <w:p>
      <w:pPr>
        <w:spacing w:line="360" w:lineRule="auto"/>
        <w:rPr>
          <w:color w:val="auto"/>
          <w:sz w:val="24"/>
        </w:rPr>
      </w:pPr>
      <w:r>
        <w:rPr>
          <w:rFonts w:hint="eastAsia"/>
          <w:color w:val="auto"/>
          <w:sz w:val="24"/>
        </w:rPr>
        <w:t>地址：郑州市东明路与东风路交叉口</w:t>
      </w:r>
    </w:p>
    <w:p>
      <w:pPr>
        <w:spacing w:line="360" w:lineRule="auto"/>
        <w:outlineLvl w:val="1"/>
        <w:rPr>
          <w:color w:val="auto"/>
          <w:sz w:val="24"/>
        </w:rPr>
      </w:pPr>
      <w:r>
        <w:rPr>
          <w:color w:val="auto"/>
          <w:sz w:val="24"/>
        </w:rPr>
        <w:t>7</w:t>
      </w:r>
      <w:r>
        <w:rPr>
          <w:rFonts w:hint="eastAsia"/>
          <w:color w:val="auto"/>
          <w:sz w:val="24"/>
        </w:rPr>
        <w:t>、中国建设银行股份有限公司驻马店分行</w:t>
      </w:r>
    </w:p>
    <w:p>
      <w:pPr>
        <w:spacing w:line="360" w:lineRule="auto"/>
        <w:rPr>
          <w:color w:val="auto"/>
          <w:sz w:val="24"/>
        </w:rPr>
      </w:pPr>
      <w:r>
        <w:rPr>
          <w:rFonts w:hint="eastAsia"/>
          <w:color w:val="auto"/>
          <w:sz w:val="24"/>
        </w:rPr>
        <w:t>联系人：崔颖</w:t>
      </w:r>
      <w:r>
        <w:rPr>
          <w:color w:val="auto"/>
          <w:sz w:val="24"/>
        </w:rPr>
        <w:t>13303968688 </w:t>
      </w:r>
    </w:p>
    <w:p>
      <w:pPr>
        <w:spacing w:line="360" w:lineRule="auto"/>
        <w:rPr>
          <w:color w:val="auto"/>
          <w:sz w:val="24"/>
        </w:rPr>
      </w:pPr>
      <w:r>
        <w:rPr>
          <w:rFonts w:hint="eastAsia"/>
          <w:color w:val="auto"/>
          <w:sz w:val="24"/>
        </w:rPr>
        <w:t>地址：驻马店市交通路</w:t>
      </w:r>
      <w:r>
        <w:rPr>
          <w:color w:val="auto"/>
          <w:sz w:val="24"/>
        </w:rPr>
        <w:t>998</w:t>
      </w:r>
      <w:r>
        <w:rPr>
          <w:rFonts w:hint="eastAsia"/>
          <w:color w:val="auto"/>
          <w:sz w:val="24"/>
        </w:rPr>
        <w:t>号</w:t>
      </w:r>
    </w:p>
    <w:p>
      <w:pPr>
        <w:spacing w:line="360" w:lineRule="auto"/>
        <w:outlineLvl w:val="1"/>
        <w:rPr>
          <w:color w:val="auto"/>
          <w:sz w:val="24"/>
        </w:rPr>
      </w:pPr>
      <w:r>
        <w:rPr>
          <w:color w:val="auto"/>
          <w:sz w:val="24"/>
        </w:rPr>
        <w:t>8</w:t>
      </w:r>
      <w:r>
        <w:rPr>
          <w:rFonts w:hint="eastAsia"/>
          <w:color w:val="auto"/>
          <w:sz w:val="24"/>
        </w:rPr>
        <w:t>、洛阳银行股份有限公司驻马店分行</w:t>
      </w:r>
    </w:p>
    <w:p>
      <w:pPr>
        <w:spacing w:line="360" w:lineRule="auto"/>
        <w:rPr>
          <w:color w:val="auto"/>
          <w:sz w:val="24"/>
        </w:rPr>
      </w:pPr>
      <w:r>
        <w:rPr>
          <w:rFonts w:hint="eastAsia"/>
          <w:color w:val="auto"/>
          <w:sz w:val="24"/>
        </w:rPr>
        <w:t>联系人：马晨旭</w:t>
      </w:r>
      <w:r>
        <w:rPr>
          <w:color w:val="auto"/>
          <w:sz w:val="24"/>
        </w:rPr>
        <w:t>  13526371627</w:t>
      </w:r>
    </w:p>
    <w:p>
      <w:pPr>
        <w:spacing w:line="360" w:lineRule="auto"/>
        <w:rPr>
          <w:color w:val="auto"/>
          <w:sz w:val="24"/>
        </w:rPr>
      </w:pPr>
      <w:r>
        <w:rPr>
          <w:rFonts w:hint="eastAsia"/>
          <w:color w:val="auto"/>
          <w:sz w:val="24"/>
        </w:rPr>
        <w:t>地址：驿城区文明大道与天中山大道交汇处汇金大厦</w:t>
      </w:r>
    </w:p>
    <w:p>
      <w:pPr>
        <w:spacing w:line="360" w:lineRule="auto"/>
        <w:outlineLvl w:val="1"/>
        <w:rPr>
          <w:color w:val="auto"/>
          <w:sz w:val="24"/>
        </w:rPr>
      </w:pPr>
      <w:r>
        <w:rPr>
          <w:color w:val="auto"/>
          <w:sz w:val="24"/>
        </w:rPr>
        <w:t>9</w:t>
      </w:r>
      <w:r>
        <w:rPr>
          <w:rFonts w:hint="eastAsia"/>
          <w:color w:val="auto"/>
          <w:sz w:val="24"/>
        </w:rPr>
        <w:t>、中国邮政储蓄银行股份有限公司驻马店市分行</w:t>
      </w:r>
    </w:p>
    <w:p>
      <w:pPr>
        <w:spacing w:line="360" w:lineRule="auto"/>
        <w:rPr>
          <w:color w:val="auto"/>
          <w:sz w:val="24"/>
        </w:rPr>
      </w:pPr>
      <w:r>
        <w:rPr>
          <w:rFonts w:hint="eastAsia"/>
          <w:color w:val="auto"/>
          <w:sz w:val="24"/>
        </w:rPr>
        <w:t>联系人：胥永伟</w:t>
      </w:r>
      <w:r>
        <w:rPr>
          <w:color w:val="auto"/>
          <w:sz w:val="24"/>
        </w:rPr>
        <w:t>13526391116</w:t>
      </w:r>
    </w:p>
    <w:p>
      <w:pPr>
        <w:spacing w:line="360" w:lineRule="auto"/>
        <w:rPr>
          <w:color w:val="auto"/>
          <w:sz w:val="24"/>
        </w:rPr>
      </w:pPr>
      <w:r>
        <w:rPr>
          <w:rFonts w:hint="eastAsia"/>
          <w:color w:val="auto"/>
          <w:sz w:val="24"/>
        </w:rPr>
        <w:t>地址：驻马店市解放大道与文明大道交叉口</w:t>
      </w:r>
    </w:p>
    <w:p>
      <w:pPr>
        <w:spacing w:line="360" w:lineRule="auto"/>
        <w:outlineLvl w:val="1"/>
        <w:rPr>
          <w:color w:val="auto"/>
          <w:sz w:val="24"/>
        </w:rPr>
      </w:pPr>
      <w:r>
        <w:rPr>
          <w:color w:val="auto"/>
          <w:sz w:val="24"/>
        </w:rPr>
        <w:t>10</w:t>
      </w:r>
      <w:r>
        <w:rPr>
          <w:rFonts w:hint="eastAsia"/>
          <w:color w:val="auto"/>
          <w:sz w:val="24"/>
        </w:rPr>
        <w:t>、兴业银行股份有限公司驻马店分行</w:t>
      </w:r>
    </w:p>
    <w:p>
      <w:pPr>
        <w:spacing w:line="360" w:lineRule="auto"/>
        <w:rPr>
          <w:color w:val="auto"/>
          <w:sz w:val="24"/>
        </w:rPr>
      </w:pPr>
      <w:r>
        <w:rPr>
          <w:rFonts w:hint="eastAsia"/>
          <w:color w:val="auto"/>
          <w:sz w:val="24"/>
        </w:rPr>
        <w:t>联系人：张辰羽</w:t>
      </w:r>
      <w:r>
        <w:rPr>
          <w:color w:val="auto"/>
          <w:sz w:val="24"/>
        </w:rPr>
        <w:t>  15236302066</w:t>
      </w:r>
    </w:p>
    <w:p>
      <w:pPr>
        <w:spacing w:line="360" w:lineRule="auto"/>
        <w:rPr>
          <w:color w:val="auto"/>
          <w:sz w:val="24"/>
        </w:rPr>
      </w:pPr>
      <w:r>
        <w:rPr>
          <w:rFonts w:hint="eastAsia"/>
          <w:color w:val="auto"/>
          <w:sz w:val="24"/>
        </w:rPr>
        <w:t>地址：驿城区骏马路与开源大道交叉口</w:t>
      </w:r>
    </w:p>
    <w:p>
      <w:pPr>
        <w:spacing w:line="360" w:lineRule="auto"/>
        <w:outlineLvl w:val="1"/>
        <w:rPr>
          <w:color w:val="auto"/>
          <w:sz w:val="24"/>
        </w:rPr>
      </w:pPr>
      <w:r>
        <w:rPr>
          <w:color w:val="auto"/>
          <w:sz w:val="24"/>
        </w:rPr>
        <w:t>11</w:t>
      </w:r>
      <w:r>
        <w:rPr>
          <w:rFonts w:hint="eastAsia"/>
          <w:color w:val="auto"/>
          <w:sz w:val="24"/>
        </w:rPr>
        <w:t>、中国农业银行股份有限公司驻马店分行</w:t>
      </w:r>
    </w:p>
    <w:p>
      <w:pPr>
        <w:spacing w:line="360" w:lineRule="auto"/>
        <w:rPr>
          <w:color w:val="auto"/>
          <w:sz w:val="24"/>
        </w:rPr>
      </w:pPr>
      <w:r>
        <w:rPr>
          <w:rFonts w:hint="eastAsia"/>
          <w:color w:val="auto"/>
          <w:sz w:val="24"/>
        </w:rPr>
        <w:t>联系人：赵晨光</w:t>
      </w:r>
      <w:r>
        <w:rPr>
          <w:color w:val="auto"/>
          <w:sz w:val="24"/>
        </w:rPr>
        <w:t>13939637700</w:t>
      </w:r>
    </w:p>
    <w:p>
      <w:pPr>
        <w:spacing w:line="360" w:lineRule="auto"/>
        <w:rPr>
          <w:color w:val="auto"/>
        </w:rPr>
      </w:pPr>
      <w:r>
        <w:rPr>
          <w:rFonts w:hint="eastAsia"/>
          <w:color w:val="auto"/>
          <w:sz w:val="24"/>
        </w:rPr>
        <w:t>地址：驻马店市解放大道西段</w:t>
      </w:r>
      <w:r>
        <w:rPr>
          <w:color w:val="auto"/>
          <w:sz w:val="28"/>
          <w:szCs w:val="28"/>
        </w:rPr>
        <w:t>599</w:t>
      </w:r>
      <w:r>
        <w:rPr>
          <w:rFonts w:hint="eastAsia"/>
          <w:color w:val="auto"/>
          <w:sz w:val="28"/>
          <w:szCs w:val="28"/>
        </w:rPr>
        <w:t>号</w:t>
      </w:r>
    </w:p>
    <w:p>
      <w:pPr>
        <w:wordWrap w:val="0"/>
        <w:rPr>
          <w:color w:val="auto"/>
        </w:rPr>
      </w:pPr>
    </w:p>
    <w:p>
      <w:pPr>
        <w:rPr>
          <w:color w:val="auto"/>
        </w:rPr>
      </w:pPr>
    </w:p>
    <w:sectPr>
      <w:footerReference r:id="rId8" w:type="first"/>
      <w:headerReference r:id="rId5" w:type="default"/>
      <w:footerReference r:id="rId6" w:type="default"/>
      <w:footerReference r:id="rId7" w:type="even"/>
      <w:pgSz w:w="11906" w:h="16838"/>
      <w:pgMar w:top="1440" w:right="1800" w:bottom="1440" w:left="1800"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926939009"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pPr>
                            <w:pStyle w:val="60"/>
                          </w:pPr>
                          <w:r>
                            <w:fldChar w:fldCharType="begin"/>
                          </w:r>
                          <w:r>
                            <w:instrText xml:space="preserve"> PAGE  \* MERGEFORMAT </w:instrText>
                          </w:r>
                          <w:r>
                            <w:fldChar w:fldCharType="separate"/>
                          </w:r>
                          <w:r>
                            <w:t>- 1 -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qRS7NAAAAADAQAADwAAAAAAAAABACAAAAAiAAAAZHJzL2Rvd25yZXYueG1sUEsBAhQAFAAAAAgA&#10;h07iQPr45RD0AQAAvAMAAA4AAAAAAAAAAQAgAAAAHwEAAGRycy9lMm9Eb2MueG1sUEsFBgAAAAAG&#10;AAYAWQEAAIUFAAAAAA==&#10;">
              <v:fill on="f" focussize="0,0"/>
              <v:stroke on="f"/>
              <v:imagedata o:title=""/>
              <o:lock v:ext="edit" aspectratio="f"/>
              <v:textbox inset="0mm,0mm,0mm,0mm" style="mso-fit-shape-to-text:t;">
                <w:txbxContent>
                  <w:p>
                    <w:pPr>
                      <w:pStyle w:val="6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47650" cy="131445"/>
              <wp:effectExtent l="0" t="0" r="0" b="0"/>
              <wp:wrapNone/>
              <wp:docPr id="139600483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pPr>
                            <w:pStyle w:val="60"/>
                          </w:pPr>
                          <w:r>
                            <w:fldChar w:fldCharType="begin"/>
                          </w:r>
                          <w:r>
                            <w:instrText xml:space="preserve"> PAGE  \* MERGEFORMAT </w:instrText>
                          </w:r>
                          <w:r>
                            <w:fldChar w:fldCharType="separate"/>
                          </w:r>
                          <w:r>
                            <w:t>- 48 -</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19.5pt;mso-position-horizontal:center;mso-position-horizontal-relative:margin;mso-wrap-style:none;z-index:251662336;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7FI4NAAAAADAQAADwAAAAAAAAABACAAAAAiAAAAZHJzL2Rvd25yZXYueG1sUEsBAhQAFAAA&#10;AAgAh07iQK683733AQAAvQMAAA4AAAAAAAAAAQAgAAAAHwEAAGRycy9lMm9Eb2MueG1sUEsFBgAA&#10;AAAGAAYAWQEAAIgFAAAAAA==&#10;">
              <v:fill on="f" focussize="0,0"/>
              <v:stroke on="f"/>
              <v:imagedata o:title=""/>
              <o:lock v:ext="edit" aspectratio="f"/>
              <v:textbox inset="0mm,0mm,0mm,0mm" style="mso-fit-shape-to-text:t;">
                <w:txbxContent>
                  <w:p>
                    <w:pPr>
                      <w:pStyle w:val="60"/>
                    </w:pPr>
                    <w:r>
                      <w:fldChar w:fldCharType="begin"/>
                    </w:r>
                    <w:r>
                      <w:instrText xml:space="preserve"> PAGE  \* MERGEFORMAT </w:instrText>
                    </w:r>
                    <w:r>
                      <w:fldChar w:fldCharType="separate"/>
                    </w:r>
                    <w:r>
                      <w:t>- 48 -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47650" cy="131445"/>
              <wp:effectExtent l="0" t="0" r="0" b="0"/>
              <wp:wrapNone/>
              <wp:docPr id="1151024607"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a:effectLst/>
                    </wps:spPr>
                    <wps:txbx>
                      <w:txbxContent>
                        <w:p>
                          <w:pPr>
                            <w:pStyle w:val="60"/>
                          </w:pPr>
                          <w:r>
                            <w:fldChar w:fldCharType="begin"/>
                          </w:r>
                          <w:r>
                            <w:instrText xml:space="preserve"> PAGE  \* MERGEFORMAT </w:instrText>
                          </w:r>
                          <w:r>
                            <w:fldChar w:fldCharType="separate"/>
                          </w:r>
                          <w:r>
                            <w:t>- 1 -</w:t>
                          </w:r>
                          <w: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19.5pt;mso-position-horizontal:center;mso-position-horizontal-relative:margin;mso-wrap-style:none;z-index:251661312;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sUjg0AAAAAMBAAAPAAAAAAAAAAEAIAAAACIAAABkcnMvZG93bnJldi54bWxQSwEC&#10;FAAUAAAACACHTuJA0Et4uvwBAADLAwAADgAAAAAAAAABACAAAAAfAQAAZHJzL2Uyb0RvYy54bWxQ&#10;SwUGAAAAAAYABgBZAQAAjQUAAAAA&#10;">
              <v:fill on="f" focussize="0,0"/>
              <v:stroke on="f"/>
              <v:imagedata o:title=""/>
              <o:lock v:ext="edit" aspectratio="f"/>
              <v:textbox inset="0mm,0mm,0mm,0mm" style="mso-fit-shape-to-text:t;">
                <w:txbxContent>
                  <w:p>
                    <w:pPr>
                      <w:pStyle w:val="6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rPr>
        <w:rStyle w:val="35"/>
      </w:rPr>
    </w:pPr>
    <w:r>
      <w:fldChar w:fldCharType="begin"/>
    </w:r>
    <w:r>
      <w:rPr>
        <w:rStyle w:val="35"/>
      </w:rPr>
      <w:instrText xml:space="preserve">PAGE  </w:instrText>
    </w:r>
    <w:r>
      <w:fldChar w:fldCharType="end"/>
    </w:r>
  </w:p>
  <w:p>
    <w:pPr>
      <w:pStyle w:val="2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576114488"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pPr>
                            <w:pStyle w:val="60"/>
                          </w:pPr>
                          <w:r>
                            <w:fldChar w:fldCharType="begin"/>
                          </w:r>
                          <w:r>
                            <w:instrText xml:space="preserve"> PAGE  \* MERGEFORMAT </w:instrText>
                          </w:r>
                          <w:r>
                            <w:fldChar w:fldCharType="separate"/>
                          </w:r>
                          <w:r>
                            <w:t>- 72 -</w:t>
                          </w:r>
                          <w: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sUjg0AAAAAMBAAAPAAAAAAAAAAEAIAAAACIAAABkcnMvZG93bnJldi54bWxQSwECFAAUAAAA&#10;CACHTuJAdI11vfYBAAC8AwAADgAAAAAAAAABACAAAAAfAQAAZHJzL2Uyb0RvYy54bWxQSwUGAAAA&#10;AAYABgBZAQAAhwUAAAAA&#10;">
              <v:fill on="f" focussize="0,0"/>
              <v:stroke on="f"/>
              <v:imagedata o:title=""/>
              <o:lock v:ext="edit" aspectratio="f"/>
              <v:textbox inset="0mm,0mm,0mm,0mm" style="mso-fit-shape-to-text:t;">
                <w:txbxContent>
                  <w:p>
                    <w:pPr>
                      <w:pStyle w:val="60"/>
                    </w:pPr>
                    <w:r>
                      <w:fldChar w:fldCharType="begin"/>
                    </w:r>
                    <w:r>
                      <w:instrText xml:space="preserve"> PAGE  \* MERGEFORMAT </w:instrText>
                    </w:r>
                    <w:r>
                      <w:fldChar w:fldCharType="separate"/>
                    </w:r>
                    <w:r>
                      <w:t>- 72 -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tentative="0">
      <w:start w:val="1"/>
      <w:numFmt w:val="decimal"/>
      <w:pStyle w:val="14"/>
      <w:lvlText w:val="%1."/>
      <w:lvlJc w:val="left"/>
      <w:pPr>
        <w:tabs>
          <w:tab w:val="left" w:pos="1353"/>
        </w:tabs>
        <w:ind w:left="1353" w:hanging="360"/>
      </w:pPr>
    </w:lvl>
  </w:abstractNum>
  <w:abstractNum w:abstractNumId="1">
    <w:nsid w:val="2B0A53FC"/>
    <w:multiLevelType w:val="multilevel"/>
    <w:tmpl w:val="2B0A53FC"/>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45CC5258"/>
    <w:multiLevelType w:val="singleLevel"/>
    <w:tmpl w:val="45CC5258"/>
    <w:lvl w:ilvl="0" w:tentative="0">
      <w:start w:val="1"/>
      <w:numFmt w:val="decimal"/>
      <w:lvlText w:val="%1."/>
      <w:lvlJc w:val="left"/>
      <w:pPr>
        <w:tabs>
          <w:tab w:val="left" w:pos="312"/>
        </w:tabs>
      </w:pPr>
    </w:lvl>
  </w:abstractNum>
  <w:abstractNum w:abstractNumId="3">
    <w:nsid w:val="57F6376F"/>
    <w:multiLevelType w:val="multilevel"/>
    <w:tmpl w:val="57F6376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7DE321CC"/>
    <w:multiLevelType w:val="singleLevel"/>
    <w:tmpl w:val="7DE321CC"/>
    <w:lvl w:ilvl="0" w:tentative="0">
      <w:start w:val="1"/>
      <w:numFmt w:val="lowerLetter"/>
      <w:suff w:val="space"/>
      <w:lvlText w:val="%1)"/>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BE9"/>
    <w:rsid w:val="0002193B"/>
    <w:rsid w:val="00050A05"/>
    <w:rsid w:val="00093D59"/>
    <w:rsid w:val="000A4FE5"/>
    <w:rsid w:val="000B3A3B"/>
    <w:rsid w:val="000C610D"/>
    <w:rsid w:val="000F0272"/>
    <w:rsid w:val="000F2842"/>
    <w:rsid w:val="00102E57"/>
    <w:rsid w:val="001135F5"/>
    <w:rsid w:val="00116BE9"/>
    <w:rsid w:val="00124D0E"/>
    <w:rsid w:val="001376E2"/>
    <w:rsid w:val="00191212"/>
    <w:rsid w:val="001B64B6"/>
    <w:rsid w:val="001B6A73"/>
    <w:rsid w:val="001E0EE7"/>
    <w:rsid w:val="002002CC"/>
    <w:rsid w:val="00212E70"/>
    <w:rsid w:val="00276BB9"/>
    <w:rsid w:val="0028441F"/>
    <w:rsid w:val="00296515"/>
    <w:rsid w:val="00303251"/>
    <w:rsid w:val="00392EBE"/>
    <w:rsid w:val="003B49DC"/>
    <w:rsid w:val="004067FE"/>
    <w:rsid w:val="0044363A"/>
    <w:rsid w:val="004C18B8"/>
    <w:rsid w:val="004E7E02"/>
    <w:rsid w:val="005556E4"/>
    <w:rsid w:val="0056761C"/>
    <w:rsid w:val="00571592"/>
    <w:rsid w:val="00597781"/>
    <w:rsid w:val="005B0E39"/>
    <w:rsid w:val="005C088A"/>
    <w:rsid w:val="005C0A44"/>
    <w:rsid w:val="005C32E7"/>
    <w:rsid w:val="005D7490"/>
    <w:rsid w:val="00697584"/>
    <w:rsid w:val="006A7285"/>
    <w:rsid w:val="007039D6"/>
    <w:rsid w:val="00760D0C"/>
    <w:rsid w:val="007657FA"/>
    <w:rsid w:val="00765BE2"/>
    <w:rsid w:val="00784DFA"/>
    <w:rsid w:val="007A33CB"/>
    <w:rsid w:val="007D7677"/>
    <w:rsid w:val="00804D0C"/>
    <w:rsid w:val="0081247A"/>
    <w:rsid w:val="00864D66"/>
    <w:rsid w:val="008867BE"/>
    <w:rsid w:val="008A486E"/>
    <w:rsid w:val="008F28B7"/>
    <w:rsid w:val="00920B66"/>
    <w:rsid w:val="009328B7"/>
    <w:rsid w:val="00957A18"/>
    <w:rsid w:val="009B7771"/>
    <w:rsid w:val="009F35F9"/>
    <w:rsid w:val="00A065C5"/>
    <w:rsid w:val="00A3372C"/>
    <w:rsid w:val="00AA533F"/>
    <w:rsid w:val="00AB32F6"/>
    <w:rsid w:val="00AF4661"/>
    <w:rsid w:val="00B26E1D"/>
    <w:rsid w:val="00BB477A"/>
    <w:rsid w:val="00BE368D"/>
    <w:rsid w:val="00C1271C"/>
    <w:rsid w:val="00C34AC8"/>
    <w:rsid w:val="00C518CD"/>
    <w:rsid w:val="00C5269B"/>
    <w:rsid w:val="00C6543B"/>
    <w:rsid w:val="00C80732"/>
    <w:rsid w:val="00C80F34"/>
    <w:rsid w:val="00CA5130"/>
    <w:rsid w:val="00CD41F0"/>
    <w:rsid w:val="00D13CC9"/>
    <w:rsid w:val="00D40E3E"/>
    <w:rsid w:val="00D579F9"/>
    <w:rsid w:val="00D875F8"/>
    <w:rsid w:val="00D93738"/>
    <w:rsid w:val="00D97377"/>
    <w:rsid w:val="00E05B57"/>
    <w:rsid w:val="00E2295D"/>
    <w:rsid w:val="00E45817"/>
    <w:rsid w:val="00E938E4"/>
    <w:rsid w:val="00ED5108"/>
    <w:rsid w:val="00EE555C"/>
    <w:rsid w:val="00EF074A"/>
    <w:rsid w:val="00F14FCE"/>
    <w:rsid w:val="00F5511B"/>
    <w:rsid w:val="00FA2B60"/>
    <w:rsid w:val="00FD1A13"/>
    <w:rsid w:val="01D408F4"/>
    <w:rsid w:val="03174F3D"/>
    <w:rsid w:val="06577432"/>
    <w:rsid w:val="09304F1E"/>
    <w:rsid w:val="0A14667A"/>
    <w:rsid w:val="0AEF6E72"/>
    <w:rsid w:val="0B332B30"/>
    <w:rsid w:val="0DD405FA"/>
    <w:rsid w:val="0EFE3455"/>
    <w:rsid w:val="0F532D2B"/>
    <w:rsid w:val="11FF19BD"/>
    <w:rsid w:val="13755ED0"/>
    <w:rsid w:val="169E17A5"/>
    <w:rsid w:val="17E4768B"/>
    <w:rsid w:val="20AA343C"/>
    <w:rsid w:val="25AE12D9"/>
    <w:rsid w:val="267A11BB"/>
    <w:rsid w:val="28924EE2"/>
    <w:rsid w:val="2CE11F94"/>
    <w:rsid w:val="2F2E708D"/>
    <w:rsid w:val="2F5E167A"/>
    <w:rsid w:val="30185CCC"/>
    <w:rsid w:val="302A3C52"/>
    <w:rsid w:val="32BD6955"/>
    <w:rsid w:val="353F6F4C"/>
    <w:rsid w:val="3544699F"/>
    <w:rsid w:val="38CA5FD2"/>
    <w:rsid w:val="398C3287"/>
    <w:rsid w:val="3C027831"/>
    <w:rsid w:val="40EA453E"/>
    <w:rsid w:val="45F12DF0"/>
    <w:rsid w:val="47121491"/>
    <w:rsid w:val="47FA196B"/>
    <w:rsid w:val="485633DE"/>
    <w:rsid w:val="49D7054F"/>
    <w:rsid w:val="4D924EB8"/>
    <w:rsid w:val="524D7600"/>
    <w:rsid w:val="57453287"/>
    <w:rsid w:val="5BC87CF7"/>
    <w:rsid w:val="5E40369E"/>
    <w:rsid w:val="613E71BD"/>
    <w:rsid w:val="63013FE9"/>
    <w:rsid w:val="64033FC2"/>
    <w:rsid w:val="65BC6B1F"/>
    <w:rsid w:val="66215782"/>
    <w:rsid w:val="66A15D14"/>
    <w:rsid w:val="69654D1D"/>
    <w:rsid w:val="6D77157D"/>
    <w:rsid w:val="6E276AFF"/>
    <w:rsid w:val="6FDB2A20"/>
    <w:rsid w:val="706472C4"/>
    <w:rsid w:val="70BF2BEC"/>
    <w:rsid w:val="76ED4E96"/>
    <w:rsid w:val="785D14EB"/>
    <w:rsid w:val="78A774AA"/>
    <w:rsid w:val="7C482A62"/>
    <w:rsid w:val="7E924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paragraph" w:styleId="2">
    <w:name w:val="heading 1"/>
    <w:basedOn w:val="1"/>
    <w:next w:val="1"/>
    <w:link w:val="49"/>
    <w:qFormat/>
    <w:uiPriority w:val="0"/>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50"/>
    <w:unhideWhenUsed/>
    <w:qFormat/>
    <w:uiPriority w:val="0"/>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51"/>
    <w:unhideWhenUsed/>
    <w:qFormat/>
    <w:uiPriority w:val="0"/>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52"/>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53"/>
    <w:unhideWhenUsed/>
    <w:qFormat/>
    <w:uiPriority w:val="0"/>
    <w:pPr>
      <w:keepNext/>
      <w:keepLines/>
      <w:spacing w:before="80" w:after="40"/>
      <w:outlineLvl w:val="4"/>
    </w:pPr>
    <w:rPr>
      <w:rFonts w:cstheme="majorBidi"/>
      <w:color w:val="104862" w:themeColor="accent1" w:themeShade="BF"/>
      <w:sz w:val="24"/>
    </w:rPr>
  </w:style>
  <w:style w:type="paragraph" w:styleId="7">
    <w:name w:val="heading 6"/>
    <w:basedOn w:val="1"/>
    <w:next w:val="1"/>
    <w:link w:val="54"/>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55"/>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56"/>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57"/>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33">
    <w:name w:val="Default Paragraph Font"/>
    <w:semiHidden/>
    <w:unhideWhenUsed/>
    <w:qFormat/>
    <w:uiPriority w:val="1"/>
  </w:style>
  <w:style w:type="table" w:default="1" w:styleId="47">
    <w:name w:val="Normal Table"/>
    <w:semiHidden/>
    <w:unhideWhenUsed/>
    <w:qFormat/>
    <w:uiPriority w:val="99"/>
    <w:tblPr>
      <w:tblLayout w:type="fixed"/>
      <w:tblCellMar>
        <w:top w:w="0" w:type="dxa"/>
        <w:left w:w="108" w:type="dxa"/>
        <w:bottom w:w="0" w:type="dxa"/>
        <w:right w:w="108" w:type="dxa"/>
      </w:tblCellMar>
    </w:tblPr>
  </w:style>
  <w:style w:type="paragraph" w:styleId="11">
    <w:name w:val="Body Text First Indent"/>
    <w:basedOn w:val="12"/>
    <w:next w:val="1"/>
    <w:link w:val="78"/>
    <w:qFormat/>
    <w:uiPriority w:val="0"/>
    <w:pPr>
      <w:tabs>
        <w:tab w:val="left" w:pos="180"/>
      </w:tabs>
      <w:ind w:firstLine="420" w:firstLineChars="100"/>
    </w:pPr>
  </w:style>
  <w:style w:type="paragraph" w:styleId="12">
    <w:name w:val="Body Text"/>
    <w:basedOn w:val="1"/>
    <w:next w:val="13"/>
    <w:link w:val="70"/>
    <w:qFormat/>
    <w:uiPriority w:val="0"/>
    <w:pPr>
      <w:spacing w:after="120"/>
    </w:pPr>
  </w:style>
  <w:style w:type="paragraph" w:styleId="13">
    <w:name w:val="Body Text 2"/>
    <w:basedOn w:val="1"/>
    <w:next w:val="12"/>
    <w:link w:val="69"/>
    <w:qFormat/>
    <w:uiPriority w:val="0"/>
    <w:pPr>
      <w:spacing w:after="120" w:line="480" w:lineRule="auto"/>
    </w:pPr>
  </w:style>
  <w:style w:type="paragraph" w:styleId="14">
    <w:name w:val="List Number"/>
    <w:basedOn w:val="1"/>
    <w:qFormat/>
    <w:uiPriority w:val="0"/>
    <w:pPr>
      <w:widowControl/>
      <w:numPr>
        <w:ilvl w:val="0"/>
        <w:numId w:val="1"/>
      </w:numPr>
      <w:spacing w:before="100" w:beforeAutospacing="1" w:after="100" w:afterAutospacing="1"/>
      <w:ind w:left="0" w:firstLine="0"/>
      <w:jc w:val="left"/>
    </w:pPr>
    <w:rPr>
      <w:rFonts w:ascii="宋体" w:hAnsi="宋体" w:cs="宋体"/>
      <w:kern w:val="0"/>
      <w:sz w:val="24"/>
    </w:rPr>
  </w:style>
  <w:style w:type="paragraph" w:styleId="15">
    <w:name w:val="Normal Indent"/>
    <w:basedOn w:val="1"/>
    <w:next w:val="13"/>
    <w:qFormat/>
    <w:uiPriority w:val="0"/>
    <w:pPr>
      <w:widowControl/>
      <w:spacing w:before="100" w:beforeAutospacing="1" w:after="100" w:afterAutospacing="1"/>
      <w:jc w:val="left"/>
    </w:pPr>
    <w:rPr>
      <w:rFonts w:ascii="宋体" w:hAnsi="宋体" w:cs="宋体"/>
      <w:kern w:val="0"/>
      <w:sz w:val="24"/>
    </w:rPr>
  </w:style>
  <w:style w:type="paragraph" w:styleId="16">
    <w:name w:val="Body Text 3"/>
    <w:basedOn w:val="1"/>
    <w:link w:val="71"/>
    <w:qFormat/>
    <w:uiPriority w:val="0"/>
    <w:pPr>
      <w:widowControl/>
      <w:spacing w:before="100" w:beforeAutospacing="1" w:after="100" w:afterAutospacing="1"/>
      <w:jc w:val="left"/>
    </w:pPr>
    <w:rPr>
      <w:rFonts w:ascii="宋体" w:hAnsi="宋体" w:cs="宋体"/>
      <w:kern w:val="0"/>
      <w:sz w:val="24"/>
    </w:rPr>
  </w:style>
  <w:style w:type="paragraph" w:styleId="17">
    <w:name w:val="Body Text Indent"/>
    <w:basedOn w:val="1"/>
    <w:next w:val="1"/>
    <w:link w:val="72"/>
    <w:qFormat/>
    <w:uiPriority w:val="0"/>
    <w:pPr>
      <w:widowControl/>
      <w:spacing w:before="100" w:beforeAutospacing="1" w:after="100" w:afterAutospacing="1"/>
      <w:jc w:val="left"/>
    </w:pPr>
    <w:rPr>
      <w:rFonts w:ascii="宋体" w:hAnsi="宋体" w:cs="宋体"/>
      <w:kern w:val="0"/>
      <w:sz w:val="24"/>
    </w:rPr>
  </w:style>
  <w:style w:type="paragraph" w:styleId="18">
    <w:name w:val="List 2"/>
    <w:basedOn w:val="1"/>
    <w:qFormat/>
    <w:uiPriority w:val="0"/>
    <w:pPr>
      <w:widowControl/>
      <w:spacing w:before="100" w:beforeAutospacing="1" w:after="100" w:afterAutospacing="1"/>
      <w:jc w:val="left"/>
    </w:pPr>
    <w:rPr>
      <w:rFonts w:ascii="宋体" w:hAnsi="宋体" w:cs="宋体"/>
      <w:kern w:val="0"/>
      <w:sz w:val="24"/>
    </w:rPr>
  </w:style>
  <w:style w:type="paragraph" w:styleId="19">
    <w:name w:val="index 4"/>
    <w:basedOn w:val="1"/>
    <w:next w:val="1"/>
    <w:unhideWhenUsed/>
    <w:qFormat/>
    <w:uiPriority w:val="99"/>
    <w:rPr>
      <w:sz w:val="24"/>
    </w:rPr>
  </w:style>
  <w:style w:type="paragraph" w:styleId="20">
    <w:name w:val="Plain Text"/>
    <w:basedOn w:val="1"/>
    <w:next w:val="12"/>
    <w:link w:val="73"/>
    <w:qFormat/>
    <w:uiPriority w:val="0"/>
    <w:pPr>
      <w:widowControl/>
      <w:spacing w:before="100" w:beforeAutospacing="1" w:after="100" w:afterAutospacing="1"/>
      <w:jc w:val="left"/>
    </w:pPr>
    <w:rPr>
      <w:rFonts w:ascii="宋体" w:hAnsi="宋体" w:cs="宋体"/>
      <w:kern w:val="0"/>
      <w:sz w:val="24"/>
    </w:rPr>
  </w:style>
  <w:style w:type="paragraph" w:styleId="21">
    <w:name w:val="Date"/>
    <w:basedOn w:val="1"/>
    <w:next w:val="1"/>
    <w:link w:val="74"/>
    <w:qFormat/>
    <w:uiPriority w:val="0"/>
    <w:pPr>
      <w:ind w:left="2500" w:leftChars="2500"/>
    </w:pPr>
    <w:rPr>
      <w:kern w:val="0"/>
      <w:sz w:val="24"/>
      <w:szCs w:val="20"/>
    </w:rPr>
  </w:style>
  <w:style w:type="paragraph" w:styleId="22">
    <w:name w:val="Body Text Indent 2"/>
    <w:basedOn w:val="1"/>
    <w:link w:val="75"/>
    <w:unhideWhenUsed/>
    <w:qFormat/>
    <w:uiPriority w:val="99"/>
    <w:pPr>
      <w:spacing w:after="120" w:line="480" w:lineRule="auto"/>
      <w:ind w:left="420" w:leftChars="200"/>
    </w:pPr>
  </w:style>
  <w:style w:type="paragraph" w:styleId="23">
    <w:name w:val="Balloon Text"/>
    <w:basedOn w:val="1"/>
    <w:link w:val="76"/>
    <w:qFormat/>
    <w:uiPriority w:val="0"/>
    <w:rPr>
      <w:sz w:val="18"/>
      <w:szCs w:val="18"/>
    </w:rPr>
  </w:style>
  <w:style w:type="paragraph" w:styleId="24">
    <w:name w:val="footer"/>
    <w:basedOn w:val="1"/>
    <w:link w:val="68"/>
    <w:unhideWhenUsed/>
    <w:qFormat/>
    <w:uiPriority w:val="0"/>
    <w:pPr>
      <w:tabs>
        <w:tab w:val="center" w:pos="4153"/>
        <w:tab w:val="right" w:pos="8306"/>
      </w:tabs>
      <w:snapToGrid w:val="0"/>
    </w:pPr>
    <w:rPr>
      <w:sz w:val="18"/>
      <w:szCs w:val="18"/>
    </w:rPr>
  </w:style>
  <w:style w:type="paragraph" w:styleId="25">
    <w:name w:val="envelope return"/>
    <w:basedOn w:val="1"/>
    <w:unhideWhenUsed/>
    <w:qFormat/>
    <w:uiPriority w:val="99"/>
    <w:pPr>
      <w:snapToGrid w:val="0"/>
    </w:pPr>
    <w:rPr>
      <w:rFonts w:hint="eastAsia" w:ascii="Arial" w:hAnsi="Arial"/>
      <w:sz w:val="24"/>
    </w:rPr>
  </w:style>
  <w:style w:type="paragraph" w:styleId="26">
    <w:name w:val="Body Text First Indent 2"/>
    <w:basedOn w:val="17"/>
    <w:next w:val="15"/>
    <w:link w:val="79"/>
    <w:qFormat/>
    <w:uiPriority w:val="0"/>
    <w:pPr>
      <w:tabs>
        <w:tab w:val="left" w:pos="945"/>
        <w:tab w:val="left" w:pos="1155"/>
      </w:tabs>
      <w:ind w:left="420" w:leftChars="200" w:firstLine="420" w:firstLineChars="200"/>
    </w:pPr>
  </w:style>
  <w:style w:type="paragraph" w:styleId="27">
    <w:name w:val="header"/>
    <w:basedOn w:val="1"/>
    <w:link w:val="67"/>
    <w:unhideWhenUsed/>
    <w:qFormat/>
    <w:uiPriority w:val="0"/>
    <w:pPr>
      <w:tabs>
        <w:tab w:val="center" w:pos="4153"/>
        <w:tab w:val="right" w:pos="8306"/>
      </w:tabs>
      <w:snapToGrid w:val="0"/>
      <w:jc w:val="center"/>
    </w:pPr>
    <w:rPr>
      <w:sz w:val="18"/>
      <w:szCs w:val="18"/>
    </w:rPr>
  </w:style>
  <w:style w:type="paragraph" w:styleId="28">
    <w:name w:val="toc 1"/>
    <w:basedOn w:val="1"/>
    <w:next w:val="1"/>
    <w:semiHidden/>
    <w:qFormat/>
    <w:uiPriority w:val="0"/>
  </w:style>
  <w:style w:type="paragraph" w:styleId="29">
    <w:name w:val="Subtitle"/>
    <w:basedOn w:val="1"/>
    <w:next w:val="1"/>
    <w:link w:val="59"/>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HTML Preformatted"/>
    <w:basedOn w:val="1"/>
    <w:link w:val="7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2">
    <w:name w:val="Title"/>
    <w:basedOn w:val="1"/>
    <w:next w:val="1"/>
    <w:link w:val="58"/>
    <w:qFormat/>
    <w:uiPriority w:val="0"/>
    <w:pPr>
      <w:spacing w:after="80"/>
      <w:contextualSpacing/>
      <w:jc w:val="center"/>
    </w:pPr>
    <w:rPr>
      <w:rFonts w:asciiTheme="majorHAnsi" w:hAnsiTheme="majorHAnsi" w:eastAsiaTheme="majorEastAsia" w:cstheme="majorBidi"/>
      <w:spacing w:val="-10"/>
      <w:kern w:val="28"/>
      <w:sz w:val="56"/>
      <w:szCs w:val="56"/>
    </w:rPr>
  </w:style>
  <w:style w:type="character" w:styleId="34">
    <w:name w:val="Strong"/>
    <w:qFormat/>
    <w:uiPriority w:val="22"/>
    <w:rPr>
      <w:b/>
      <w:bCs/>
    </w:rPr>
  </w:style>
  <w:style w:type="character" w:styleId="35">
    <w:name w:val="page number"/>
    <w:qFormat/>
    <w:uiPriority w:val="0"/>
  </w:style>
  <w:style w:type="character" w:styleId="36">
    <w:name w:val="FollowedHyperlink"/>
    <w:qFormat/>
    <w:uiPriority w:val="0"/>
    <w:rPr>
      <w:color w:val="000000"/>
      <w:u w:val="none"/>
    </w:rPr>
  </w:style>
  <w:style w:type="character" w:styleId="37">
    <w:name w:val="Emphasis"/>
    <w:qFormat/>
    <w:uiPriority w:val="0"/>
  </w:style>
  <w:style w:type="character" w:styleId="38">
    <w:name w:val="HTML Definition"/>
    <w:qFormat/>
    <w:uiPriority w:val="0"/>
  </w:style>
  <w:style w:type="character" w:styleId="39">
    <w:name w:val="HTML Typewriter"/>
    <w:qFormat/>
    <w:uiPriority w:val="0"/>
    <w:rPr>
      <w:rFonts w:hint="default" w:ascii="monospace" w:hAnsi="monospace" w:eastAsia="monospace" w:cs="monospace"/>
      <w:sz w:val="20"/>
    </w:rPr>
  </w:style>
  <w:style w:type="character" w:styleId="40">
    <w:name w:val="HTML Acronym"/>
    <w:qFormat/>
    <w:uiPriority w:val="0"/>
  </w:style>
  <w:style w:type="character" w:styleId="41">
    <w:name w:val="HTML Variable"/>
    <w:uiPriority w:val="0"/>
  </w:style>
  <w:style w:type="character" w:styleId="42">
    <w:name w:val="Hyperlink"/>
    <w:qFormat/>
    <w:uiPriority w:val="0"/>
    <w:rPr>
      <w:color w:val="000000"/>
      <w:u w:val="none"/>
    </w:rPr>
  </w:style>
  <w:style w:type="character" w:styleId="43">
    <w:name w:val="HTML Code"/>
    <w:uiPriority w:val="0"/>
    <w:rPr>
      <w:rFonts w:ascii="monospace" w:hAnsi="monospace" w:eastAsia="monospace" w:cs="monospace"/>
      <w:sz w:val="20"/>
    </w:rPr>
  </w:style>
  <w:style w:type="character" w:styleId="44">
    <w:name w:val="HTML Cite"/>
    <w:qFormat/>
    <w:uiPriority w:val="0"/>
  </w:style>
  <w:style w:type="character" w:styleId="45">
    <w:name w:val="HTML Keyboard"/>
    <w:qFormat/>
    <w:uiPriority w:val="0"/>
    <w:rPr>
      <w:rFonts w:hint="default" w:ascii="monospace" w:hAnsi="monospace" w:eastAsia="monospace" w:cs="monospace"/>
      <w:sz w:val="20"/>
    </w:rPr>
  </w:style>
  <w:style w:type="character" w:styleId="46">
    <w:name w:val="HTML Sample"/>
    <w:uiPriority w:val="0"/>
    <w:rPr>
      <w:rFonts w:hint="default" w:ascii="monospace" w:hAnsi="monospace" w:eastAsia="monospace" w:cs="monospace"/>
    </w:rPr>
  </w:style>
  <w:style w:type="table" w:styleId="48">
    <w:name w:val="Table Grid"/>
    <w:basedOn w:val="47"/>
    <w:uiPriority w:val="0"/>
    <w:pPr>
      <w:spacing w:after="0" w:line="240" w:lineRule="auto"/>
    </w:pPr>
    <w:rPr>
      <w:rFonts w:ascii="Times New Roman" w:hAnsi="Times New Roman" w:eastAsia="Times New Roman"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9">
    <w:name w:val="标题 1 字符"/>
    <w:basedOn w:val="33"/>
    <w:link w:val="2"/>
    <w:qFormat/>
    <w:uiPriority w:val="9"/>
    <w:rPr>
      <w:rFonts w:asciiTheme="majorHAnsi" w:hAnsiTheme="majorHAnsi" w:eastAsiaTheme="majorEastAsia" w:cstheme="majorBidi"/>
      <w:color w:val="104862" w:themeColor="accent1" w:themeShade="BF"/>
      <w:sz w:val="48"/>
      <w:szCs w:val="48"/>
    </w:rPr>
  </w:style>
  <w:style w:type="character" w:customStyle="1" w:styleId="50">
    <w:name w:val="标题 2 字符"/>
    <w:basedOn w:val="33"/>
    <w:link w:val="3"/>
    <w:semiHidden/>
    <w:uiPriority w:val="9"/>
    <w:rPr>
      <w:rFonts w:asciiTheme="majorHAnsi" w:hAnsiTheme="majorHAnsi" w:eastAsiaTheme="majorEastAsia" w:cstheme="majorBidi"/>
      <w:color w:val="104862" w:themeColor="accent1" w:themeShade="BF"/>
      <w:sz w:val="40"/>
      <w:szCs w:val="40"/>
    </w:rPr>
  </w:style>
  <w:style w:type="character" w:customStyle="1" w:styleId="51">
    <w:name w:val="标题 3 字符"/>
    <w:basedOn w:val="33"/>
    <w:link w:val="4"/>
    <w:semiHidden/>
    <w:uiPriority w:val="9"/>
    <w:rPr>
      <w:rFonts w:asciiTheme="majorHAnsi" w:hAnsiTheme="majorHAnsi" w:eastAsiaTheme="majorEastAsia" w:cstheme="majorBidi"/>
      <w:color w:val="104862" w:themeColor="accent1" w:themeShade="BF"/>
      <w:sz w:val="32"/>
      <w:szCs w:val="32"/>
    </w:rPr>
  </w:style>
  <w:style w:type="character" w:customStyle="1" w:styleId="52">
    <w:name w:val="标题 4 字符"/>
    <w:basedOn w:val="33"/>
    <w:link w:val="5"/>
    <w:semiHidden/>
    <w:uiPriority w:val="9"/>
    <w:rPr>
      <w:rFonts w:cstheme="majorBidi"/>
      <w:color w:val="104862" w:themeColor="accent1" w:themeShade="BF"/>
      <w:sz w:val="28"/>
      <w:szCs w:val="28"/>
    </w:rPr>
  </w:style>
  <w:style w:type="character" w:customStyle="1" w:styleId="53">
    <w:name w:val="标题 5 字符"/>
    <w:basedOn w:val="33"/>
    <w:link w:val="6"/>
    <w:semiHidden/>
    <w:uiPriority w:val="9"/>
    <w:rPr>
      <w:rFonts w:cstheme="majorBidi"/>
      <w:color w:val="104862" w:themeColor="accent1" w:themeShade="BF"/>
      <w:sz w:val="24"/>
    </w:rPr>
  </w:style>
  <w:style w:type="character" w:customStyle="1" w:styleId="54">
    <w:name w:val="标题 6 字符"/>
    <w:basedOn w:val="33"/>
    <w:link w:val="7"/>
    <w:semiHidden/>
    <w:qFormat/>
    <w:uiPriority w:val="9"/>
    <w:rPr>
      <w:rFonts w:cstheme="majorBidi"/>
      <w:b/>
      <w:bCs/>
      <w:color w:val="104862" w:themeColor="accent1" w:themeShade="BF"/>
    </w:rPr>
  </w:style>
  <w:style w:type="character" w:customStyle="1" w:styleId="55">
    <w:name w:val="标题 7 字符"/>
    <w:basedOn w:val="33"/>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56">
    <w:name w:val="标题 8 字符"/>
    <w:basedOn w:val="33"/>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57">
    <w:name w:val="标题 9 字符"/>
    <w:basedOn w:val="33"/>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58">
    <w:name w:val="标题 字符"/>
    <w:basedOn w:val="33"/>
    <w:link w:val="32"/>
    <w:uiPriority w:val="10"/>
    <w:rPr>
      <w:rFonts w:asciiTheme="majorHAnsi" w:hAnsiTheme="majorHAnsi" w:eastAsiaTheme="majorEastAsia" w:cstheme="majorBidi"/>
      <w:spacing w:val="-10"/>
      <w:kern w:val="28"/>
      <w:sz w:val="56"/>
      <w:szCs w:val="56"/>
    </w:rPr>
  </w:style>
  <w:style w:type="character" w:customStyle="1" w:styleId="59">
    <w:name w:val="副标题 字符"/>
    <w:basedOn w:val="33"/>
    <w:link w:val="29"/>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60">
    <w:name w:val="Quote"/>
    <w:basedOn w:val="1"/>
    <w:next w:val="1"/>
    <w:link w:val="6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61">
    <w:name w:val="引用 字符"/>
    <w:basedOn w:val="33"/>
    <w:link w:val="60"/>
    <w:qFormat/>
    <w:uiPriority w:val="29"/>
    <w:rPr>
      <w:i/>
      <w:iCs/>
      <w:color w:val="404040" w:themeColor="text1" w:themeTint="BF"/>
      <w14:textFill>
        <w14:solidFill>
          <w14:schemeClr w14:val="tx1">
            <w14:lumMod w14:val="75000"/>
            <w14:lumOff w14:val="25000"/>
          </w14:schemeClr>
        </w14:solidFill>
      </w14:textFill>
    </w:rPr>
  </w:style>
  <w:style w:type="paragraph" w:styleId="62">
    <w:name w:val="List Paragraph"/>
    <w:basedOn w:val="1"/>
    <w:qFormat/>
    <w:uiPriority w:val="34"/>
    <w:pPr>
      <w:ind w:left="720"/>
      <w:contextualSpacing/>
    </w:pPr>
  </w:style>
  <w:style w:type="character" w:customStyle="1" w:styleId="63">
    <w:name w:val="Intense Emphasis"/>
    <w:basedOn w:val="33"/>
    <w:qFormat/>
    <w:uiPriority w:val="21"/>
    <w:rPr>
      <w:i/>
      <w:iCs/>
      <w:color w:val="104862" w:themeColor="accent1" w:themeShade="BF"/>
    </w:rPr>
  </w:style>
  <w:style w:type="paragraph" w:styleId="64">
    <w:name w:val="Intense Quote"/>
    <w:basedOn w:val="1"/>
    <w:next w:val="1"/>
    <w:link w:val="6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65">
    <w:name w:val="明显引用 字符"/>
    <w:basedOn w:val="33"/>
    <w:link w:val="64"/>
    <w:qFormat/>
    <w:uiPriority w:val="30"/>
    <w:rPr>
      <w:i/>
      <w:iCs/>
      <w:color w:val="104862" w:themeColor="accent1" w:themeShade="BF"/>
    </w:rPr>
  </w:style>
  <w:style w:type="character" w:customStyle="1" w:styleId="66">
    <w:name w:val="Intense Reference"/>
    <w:basedOn w:val="33"/>
    <w:qFormat/>
    <w:uiPriority w:val="32"/>
    <w:rPr>
      <w:b/>
      <w:bCs/>
      <w:smallCaps/>
      <w:color w:val="104862" w:themeColor="accent1" w:themeShade="BF"/>
      <w:spacing w:val="5"/>
    </w:rPr>
  </w:style>
  <w:style w:type="character" w:customStyle="1" w:styleId="67">
    <w:name w:val="页眉 字符"/>
    <w:basedOn w:val="33"/>
    <w:link w:val="27"/>
    <w:qFormat/>
    <w:uiPriority w:val="99"/>
    <w:rPr>
      <w:sz w:val="18"/>
      <w:szCs w:val="18"/>
    </w:rPr>
  </w:style>
  <w:style w:type="character" w:customStyle="1" w:styleId="68">
    <w:name w:val="页脚 字符"/>
    <w:basedOn w:val="33"/>
    <w:link w:val="24"/>
    <w:qFormat/>
    <w:uiPriority w:val="99"/>
    <w:rPr>
      <w:sz w:val="18"/>
      <w:szCs w:val="18"/>
    </w:rPr>
  </w:style>
  <w:style w:type="character" w:customStyle="1" w:styleId="69">
    <w:name w:val="正文文本 2 字符"/>
    <w:basedOn w:val="33"/>
    <w:link w:val="13"/>
    <w:uiPriority w:val="0"/>
    <w:rPr>
      <w:rFonts w:ascii="Times New Roman" w:hAnsi="Times New Roman" w:eastAsia="宋体" w:cs="Times New Roman"/>
      <w:sz w:val="21"/>
      <w14:ligatures w14:val="none"/>
    </w:rPr>
  </w:style>
  <w:style w:type="character" w:customStyle="1" w:styleId="70">
    <w:name w:val="正文文本 字符"/>
    <w:basedOn w:val="33"/>
    <w:link w:val="12"/>
    <w:qFormat/>
    <w:uiPriority w:val="0"/>
    <w:rPr>
      <w:rFonts w:ascii="Times New Roman" w:hAnsi="Times New Roman" w:eastAsia="宋体" w:cs="Times New Roman"/>
      <w:sz w:val="21"/>
      <w14:ligatures w14:val="none"/>
    </w:rPr>
  </w:style>
  <w:style w:type="character" w:customStyle="1" w:styleId="71">
    <w:name w:val="正文文本 3 字符"/>
    <w:basedOn w:val="33"/>
    <w:link w:val="16"/>
    <w:uiPriority w:val="0"/>
    <w:rPr>
      <w:rFonts w:ascii="宋体" w:hAnsi="宋体" w:eastAsia="宋体" w:cs="宋体"/>
      <w:kern w:val="0"/>
      <w:sz w:val="24"/>
      <w14:ligatures w14:val="none"/>
    </w:rPr>
  </w:style>
  <w:style w:type="character" w:customStyle="1" w:styleId="72">
    <w:name w:val="正文文本缩进 字符"/>
    <w:basedOn w:val="33"/>
    <w:link w:val="17"/>
    <w:qFormat/>
    <w:uiPriority w:val="0"/>
    <w:rPr>
      <w:rFonts w:ascii="宋体" w:hAnsi="宋体" w:eastAsia="宋体" w:cs="宋体"/>
      <w:kern w:val="0"/>
      <w:sz w:val="24"/>
      <w14:ligatures w14:val="none"/>
    </w:rPr>
  </w:style>
  <w:style w:type="character" w:customStyle="1" w:styleId="73">
    <w:name w:val="纯文本 字符"/>
    <w:basedOn w:val="33"/>
    <w:link w:val="20"/>
    <w:uiPriority w:val="0"/>
    <w:rPr>
      <w:rFonts w:ascii="宋体" w:hAnsi="宋体" w:eastAsia="宋体" w:cs="宋体"/>
      <w:kern w:val="0"/>
      <w:sz w:val="24"/>
      <w14:ligatures w14:val="none"/>
    </w:rPr>
  </w:style>
  <w:style w:type="character" w:customStyle="1" w:styleId="74">
    <w:name w:val="日期 字符"/>
    <w:basedOn w:val="33"/>
    <w:link w:val="21"/>
    <w:uiPriority w:val="0"/>
    <w:rPr>
      <w:rFonts w:ascii="Times New Roman" w:hAnsi="Times New Roman" w:eastAsia="宋体" w:cs="Times New Roman"/>
      <w:kern w:val="0"/>
      <w:sz w:val="24"/>
      <w:szCs w:val="20"/>
      <w14:ligatures w14:val="none"/>
    </w:rPr>
  </w:style>
  <w:style w:type="character" w:customStyle="1" w:styleId="75">
    <w:name w:val="正文文本缩进 2 字符"/>
    <w:basedOn w:val="33"/>
    <w:link w:val="22"/>
    <w:qFormat/>
    <w:uiPriority w:val="99"/>
    <w:rPr>
      <w:rFonts w:ascii="Times New Roman" w:hAnsi="Times New Roman" w:eastAsia="宋体" w:cs="Times New Roman"/>
      <w:sz w:val="21"/>
      <w14:ligatures w14:val="none"/>
    </w:rPr>
  </w:style>
  <w:style w:type="character" w:customStyle="1" w:styleId="76">
    <w:name w:val="批注框文本 字符"/>
    <w:basedOn w:val="33"/>
    <w:link w:val="23"/>
    <w:qFormat/>
    <w:uiPriority w:val="0"/>
    <w:rPr>
      <w:rFonts w:ascii="Times New Roman" w:hAnsi="Times New Roman" w:eastAsia="宋体" w:cs="Times New Roman"/>
      <w:sz w:val="18"/>
      <w:szCs w:val="18"/>
      <w14:ligatures w14:val="none"/>
    </w:rPr>
  </w:style>
  <w:style w:type="character" w:customStyle="1" w:styleId="77">
    <w:name w:val="HTML 预设格式 字符"/>
    <w:basedOn w:val="33"/>
    <w:link w:val="30"/>
    <w:qFormat/>
    <w:uiPriority w:val="0"/>
    <w:rPr>
      <w:rFonts w:ascii="宋体" w:hAnsi="宋体" w:eastAsia="宋体" w:cs="Times New Roman"/>
      <w:kern w:val="0"/>
      <w:sz w:val="24"/>
      <w14:ligatures w14:val="none"/>
    </w:rPr>
  </w:style>
  <w:style w:type="character" w:customStyle="1" w:styleId="78">
    <w:name w:val="正文文本首行缩进 字符"/>
    <w:basedOn w:val="70"/>
    <w:link w:val="11"/>
    <w:qFormat/>
    <w:uiPriority w:val="0"/>
    <w:rPr>
      <w:rFonts w:ascii="Times New Roman" w:hAnsi="Times New Roman" w:eastAsia="宋体" w:cs="Times New Roman"/>
      <w:sz w:val="21"/>
      <w14:ligatures w14:val="none"/>
    </w:rPr>
  </w:style>
  <w:style w:type="character" w:customStyle="1" w:styleId="79">
    <w:name w:val="正文文本首行缩进 2 字符"/>
    <w:basedOn w:val="72"/>
    <w:link w:val="26"/>
    <w:qFormat/>
    <w:uiPriority w:val="0"/>
    <w:rPr>
      <w:rFonts w:ascii="宋体" w:hAnsi="宋体" w:eastAsia="宋体" w:cs="宋体"/>
      <w:kern w:val="0"/>
      <w:sz w:val="24"/>
      <w14:ligatures w14:val="none"/>
    </w:rPr>
  </w:style>
  <w:style w:type="character" w:customStyle="1" w:styleId="80">
    <w:name w:val="font11"/>
    <w:qFormat/>
    <w:uiPriority w:val="0"/>
    <w:rPr>
      <w:rFonts w:hint="eastAsia" w:ascii="仿宋" w:hAnsi="仿宋" w:eastAsia="仿宋" w:cs="仿宋"/>
      <w:color w:val="000000"/>
      <w:sz w:val="24"/>
      <w:szCs w:val="24"/>
      <w:u w:val="none"/>
    </w:rPr>
  </w:style>
  <w:style w:type="character" w:customStyle="1" w:styleId="81">
    <w:name w:val="selected"/>
    <w:qFormat/>
    <w:uiPriority w:val="0"/>
    <w:rPr>
      <w:shd w:val="clear" w:color="auto" w:fill="B00006"/>
    </w:rPr>
  </w:style>
  <w:style w:type="character" w:customStyle="1" w:styleId="82">
    <w:name w:val="gpa"/>
    <w:qFormat/>
    <w:uiPriority w:val="0"/>
    <w:rPr>
      <w:rFonts w:ascii="Arial" w:hAnsi="Arial" w:cs="Arial"/>
      <w:sz w:val="15"/>
      <w:szCs w:val="15"/>
    </w:rPr>
  </w:style>
  <w:style w:type="character" w:customStyle="1" w:styleId="83">
    <w:name w:val="first-child"/>
    <w:qFormat/>
    <w:uiPriority w:val="0"/>
    <w:rPr>
      <w:color w:val="1F3149"/>
      <w:sz w:val="24"/>
      <w:szCs w:val="24"/>
    </w:rPr>
  </w:style>
  <w:style w:type="character" w:customStyle="1" w:styleId="84">
    <w:name w:val="icon_ds1"/>
    <w:qFormat/>
    <w:uiPriority w:val="0"/>
  </w:style>
  <w:style w:type="character" w:customStyle="1" w:styleId="85">
    <w:name w:val="displayarti"/>
    <w:qFormat/>
    <w:uiPriority w:val="0"/>
    <w:rPr>
      <w:color w:val="FFFFFF"/>
      <w:shd w:val="clear" w:color="auto" w:fill="A00000"/>
    </w:rPr>
  </w:style>
  <w:style w:type="character" w:customStyle="1" w:styleId="86">
    <w:name w:val="NormalCharacter"/>
    <w:link w:val="87"/>
    <w:qFormat/>
    <w:uiPriority w:val="0"/>
    <w:rPr>
      <w:rFonts w:ascii="Tahoma" w:hAnsi="Tahoma" w:eastAsia="宋体"/>
      <w:spacing w:val="6"/>
      <w:sz w:val="24"/>
      <w:szCs w:val="20"/>
    </w:rPr>
  </w:style>
  <w:style w:type="paragraph" w:customStyle="1" w:styleId="87">
    <w:name w:val="UserStyle_1"/>
    <w:basedOn w:val="1"/>
    <w:link w:val="86"/>
    <w:qFormat/>
    <w:uiPriority w:val="0"/>
    <w:pPr>
      <w:tabs>
        <w:tab w:val="right" w:pos="-2120"/>
      </w:tabs>
      <w:snapToGrid w:val="0"/>
      <w:textAlignment w:val="baseline"/>
    </w:pPr>
    <w:rPr>
      <w:rFonts w:ascii="Tahoma" w:hAnsi="Tahoma" w:cstheme="minorBidi"/>
      <w:spacing w:val="6"/>
      <w:sz w:val="24"/>
      <w:szCs w:val="20"/>
      <w14:ligatures w14:val="standardContextual"/>
    </w:rPr>
  </w:style>
  <w:style w:type="character" w:customStyle="1" w:styleId="88">
    <w:name w:val="icon_gys"/>
    <w:qFormat/>
    <w:uiPriority w:val="0"/>
    <w:rPr>
      <w:sz w:val="21"/>
      <w:szCs w:val="21"/>
    </w:rPr>
  </w:style>
  <w:style w:type="character" w:customStyle="1" w:styleId="89">
    <w:name w:val="font21"/>
    <w:qFormat/>
    <w:uiPriority w:val="0"/>
    <w:rPr>
      <w:rFonts w:hint="eastAsia" w:ascii="宋体" w:hAnsi="宋体" w:eastAsia="宋体" w:cs="宋体"/>
      <w:color w:val="000000"/>
      <w:sz w:val="24"/>
      <w:szCs w:val="24"/>
      <w:u w:val="none"/>
    </w:rPr>
  </w:style>
  <w:style w:type="character" w:customStyle="1" w:styleId="90">
    <w:name w:val="icon_ds"/>
    <w:qFormat/>
    <w:uiPriority w:val="0"/>
    <w:rPr>
      <w:sz w:val="21"/>
      <w:szCs w:val="21"/>
    </w:rPr>
  </w:style>
  <w:style w:type="character" w:customStyle="1" w:styleId="91">
    <w:name w:val="fr"/>
    <w:qFormat/>
    <w:uiPriority w:val="0"/>
  </w:style>
  <w:style w:type="character" w:customStyle="1" w:styleId="92">
    <w:name w:val="xiadan"/>
    <w:qFormat/>
    <w:uiPriority w:val="0"/>
    <w:rPr>
      <w:shd w:val="clear" w:color="auto" w:fill="E4393C"/>
    </w:rPr>
  </w:style>
  <w:style w:type="character" w:customStyle="1" w:styleId="93">
    <w:name w:val="first-child1"/>
    <w:qFormat/>
    <w:uiPriority w:val="0"/>
    <w:rPr>
      <w:color w:val="1F3149"/>
      <w:sz w:val="24"/>
      <w:szCs w:val="24"/>
    </w:rPr>
  </w:style>
  <w:style w:type="paragraph" w:customStyle="1" w:styleId="94">
    <w:name w:val="td-left"/>
    <w:basedOn w:val="1"/>
    <w:qFormat/>
    <w:uiPriority w:val="0"/>
    <w:pPr>
      <w:widowControl/>
      <w:pBdr>
        <w:left w:val="dotted" w:color="CCCCCC" w:sz="6" w:space="0"/>
        <w:right w:val="dotted" w:color="CCCCCC" w:sz="6" w:space="0"/>
      </w:pBdr>
      <w:spacing w:before="100" w:beforeAutospacing="1" w:after="100" w:afterAutospacing="1"/>
      <w:jc w:val="left"/>
    </w:pPr>
    <w:rPr>
      <w:rFonts w:ascii="宋体" w:hAnsi="宋体" w:cs="宋体"/>
      <w:kern w:val="0"/>
      <w:sz w:val="24"/>
    </w:rPr>
  </w:style>
  <w:style w:type="paragraph" w:customStyle="1" w:styleId="95">
    <w:name w:val="text2"/>
    <w:basedOn w:val="1"/>
    <w:qFormat/>
    <w:uiPriority w:val="0"/>
    <w:pPr>
      <w:widowControl/>
      <w:spacing w:before="100" w:beforeAutospacing="1" w:after="100" w:afterAutospacing="1"/>
      <w:jc w:val="left"/>
    </w:pPr>
    <w:rPr>
      <w:rFonts w:ascii="宋体" w:hAnsi="宋体" w:cs="宋体"/>
      <w:color w:val="FFFFFF"/>
      <w:kern w:val="0"/>
      <w:sz w:val="18"/>
      <w:szCs w:val="18"/>
    </w:rPr>
  </w:style>
  <w:style w:type="paragraph" w:customStyle="1" w:styleId="96">
    <w:name w:val="td-top"/>
    <w:basedOn w:val="1"/>
    <w:qFormat/>
    <w:uiPriority w:val="0"/>
    <w:pPr>
      <w:widowControl/>
      <w:pBdr>
        <w:top w:val="dotted" w:color="0000FF" w:sz="6" w:space="0"/>
      </w:pBdr>
      <w:spacing w:before="100" w:beforeAutospacing="1" w:after="100" w:afterAutospacing="1"/>
      <w:jc w:val="left"/>
    </w:pPr>
    <w:rPr>
      <w:rFonts w:ascii="宋体" w:hAnsi="宋体" w:cs="宋体"/>
      <w:kern w:val="0"/>
      <w:sz w:val="18"/>
      <w:szCs w:val="18"/>
    </w:rPr>
  </w:style>
  <w:style w:type="paragraph" w:customStyle="1" w:styleId="97">
    <w:name w:val="纯文本1"/>
    <w:basedOn w:val="1"/>
    <w:qFormat/>
    <w:uiPriority w:val="99"/>
    <w:rPr>
      <w:rFonts w:ascii="宋体" w:hAnsi="Courier New"/>
      <w:szCs w:val="21"/>
    </w:rPr>
  </w:style>
  <w:style w:type="paragraph" w:customStyle="1" w:styleId="98">
    <w:name w:val="Default"/>
    <w:basedOn w:val="20"/>
    <w:next w:val="1"/>
    <w:qFormat/>
    <w:uiPriority w:val="0"/>
    <w:pPr>
      <w:widowControl w:val="0"/>
      <w:autoSpaceDE w:val="0"/>
      <w:autoSpaceDN w:val="0"/>
      <w:adjustRightInd w:val="0"/>
    </w:pPr>
    <w:rPr>
      <w:color w:val="000000"/>
    </w:rPr>
  </w:style>
  <w:style w:type="paragraph" w:customStyle="1" w:styleId="99">
    <w:name w:val="plain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menu"/>
    <w:basedOn w:val="1"/>
    <w:qFormat/>
    <w:uiPriority w:val="0"/>
    <w:pPr>
      <w:widowControl/>
      <w:spacing w:before="100" w:beforeAutospacing="1" w:after="100" w:afterAutospacing="1"/>
      <w:jc w:val="left"/>
    </w:pPr>
    <w:rPr>
      <w:rFonts w:ascii="宋体" w:hAnsi="宋体" w:cs="宋体"/>
      <w:b/>
      <w:bCs/>
      <w:color w:val="FFFFFF"/>
      <w:kern w:val="0"/>
      <w:szCs w:val="21"/>
    </w:rPr>
  </w:style>
  <w:style w:type="paragraph" w:customStyle="1" w:styleId="101">
    <w:name w:val="style4"/>
    <w:basedOn w:val="1"/>
    <w:next w:val="102"/>
    <w:unhideWhenUsed/>
    <w:qFormat/>
    <w:uiPriority w:val="0"/>
    <w:pPr>
      <w:widowControl/>
      <w:spacing w:beforeAutospacing="1" w:afterAutospacing="1"/>
      <w:jc w:val="left"/>
    </w:pPr>
    <w:rPr>
      <w:rFonts w:hint="eastAsia" w:ascii="宋体" w:hAnsi="宋体"/>
      <w:kern w:val="0"/>
      <w:sz w:val="18"/>
    </w:rPr>
  </w:style>
  <w:style w:type="paragraph" w:customStyle="1" w:styleId="102">
    <w:name w:val="2"/>
    <w:next w:val="1"/>
    <w:unhideWhenUsed/>
    <w:qFormat/>
    <w:uiPriority w:val="0"/>
    <w:pPr>
      <w:widowControl w:val="0"/>
      <w:spacing w:after="0" w:line="240" w:lineRule="auto"/>
      <w:jc w:val="both"/>
    </w:pPr>
    <w:rPr>
      <w:rFonts w:ascii="Times New Roman" w:hAnsi="Times New Roman" w:eastAsia="宋体" w:cs="Times New Roman"/>
      <w:kern w:val="0"/>
      <w:sz w:val="21"/>
      <w:szCs w:val="20"/>
      <w:lang w:val="en-US" w:eastAsia="zh-CN" w:bidi="ar-SA"/>
      <w14:ligatures w14:val="none"/>
    </w:rPr>
  </w:style>
  <w:style w:type="paragraph" w:customStyle="1" w:styleId="103">
    <w:name w:val="title-4"/>
    <w:basedOn w:val="1"/>
    <w:qFormat/>
    <w:uiPriority w:val="0"/>
    <w:pPr>
      <w:widowControl/>
      <w:spacing w:before="100" w:beforeAutospacing="1" w:after="100" w:afterAutospacing="1"/>
      <w:jc w:val="left"/>
    </w:pPr>
    <w:rPr>
      <w:rFonts w:ascii="宋体" w:hAnsi="宋体" w:cs="宋体"/>
      <w:color w:val="095498"/>
      <w:kern w:val="0"/>
      <w:sz w:val="18"/>
      <w:szCs w:val="18"/>
    </w:rPr>
  </w:style>
  <w:style w:type="paragraph" w:customStyle="1" w:styleId="104">
    <w:name w:val="BodyText2"/>
    <w:basedOn w:val="1"/>
    <w:qFormat/>
    <w:uiPriority w:val="0"/>
    <w:pPr>
      <w:spacing w:after="120" w:line="480" w:lineRule="auto"/>
    </w:pPr>
  </w:style>
  <w:style w:type="paragraph" w:customStyle="1" w:styleId="105">
    <w:name w:val="style3"/>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06">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107">
    <w:name w:val="style1"/>
    <w:basedOn w:val="1"/>
    <w:qFormat/>
    <w:uiPriority w:val="0"/>
    <w:pPr>
      <w:widowControl/>
      <w:spacing w:before="100" w:beforeAutospacing="1" w:after="100" w:afterAutospacing="1"/>
      <w:jc w:val="left"/>
    </w:pPr>
    <w:rPr>
      <w:rFonts w:ascii="宋体" w:hAnsi="宋体" w:cs="宋体"/>
      <w:b/>
      <w:bCs/>
      <w:color w:val="FF3300"/>
      <w:kern w:val="0"/>
      <w:szCs w:val="21"/>
    </w:rPr>
  </w:style>
  <w:style w:type="paragraph" w:customStyle="1" w:styleId="108">
    <w:name w:val="shadow1"/>
    <w:basedOn w:val="1"/>
    <w:qFormat/>
    <w:uiPriority w:val="0"/>
    <w:pPr>
      <w:widowControl/>
      <w:jc w:val="left"/>
    </w:pPr>
    <w:rPr>
      <w:rFonts w:ascii="宋体" w:hAnsi="宋体" w:cs="宋体"/>
      <w:b/>
      <w:bCs/>
      <w:color w:val="0048AA"/>
      <w:kern w:val="0"/>
      <w:sz w:val="24"/>
    </w:rPr>
  </w:style>
  <w:style w:type="paragraph" w:customStyle="1" w:styleId="109">
    <w:name w:val="sec2"/>
    <w:basedOn w:val="1"/>
    <w:qFormat/>
    <w:uiPriority w:val="0"/>
    <w:pPr>
      <w:widowControl/>
      <w:pBdr>
        <w:top w:val="single" w:color="C5E1FE" w:sz="6" w:space="0"/>
        <w:left w:val="single" w:color="C5E1FE" w:sz="6" w:space="0"/>
        <w:right w:val="single" w:color="C5E1FE" w:sz="6" w:space="0"/>
      </w:pBdr>
      <w:spacing w:before="100" w:beforeAutospacing="1" w:after="100" w:afterAutospacing="1"/>
      <w:jc w:val="left"/>
    </w:pPr>
    <w:rPr>
      <w:rFonts w:ascii="宋体" w:hAnsi="宋体" w:cs="宋体"/>
      <w:b/>
      <w:bCs/>
      <w:color w:val="247ED1"/>
      <w:kern w:val="0"/>
      <w:szCs w:val="21"/>
    </w:rPr>
  </w:style>
  <w:style w:type="paragraph" w:customStyle="1" w:styleId="110">
    <w:name w:val="wwz"/>
    <w:basedOn w:val="1"/>
    <w:qFormat/>
    <w:uiPriority w:val="0"/>
    <w:pPr>
      <w:widowControl/>
      <w:spacing w:before="100" w:beforeAutospacing="1" w:after="100" w:afterAutospacing="1"/>
      <w:jc w:val="left"/>
    </w:pPr>
    <w:rPr>
      <w:rFonts w:ascii="宋体" w:hAnsi="宋体" w:cs="宋体"/>
      <w:b/>
      <w:bCs/>
      <w:color w:val="FFFFFF"/>
      <w:kern w:val="0"/>
      <w:szCs w:val="21"/>
    </w:rPr>
  </w:style>
  <w:style w:type="paragraph" w:customStyle="1" w:styleId="111">
    <w:name w:val="ki"/>
    <w:basedOn w:val="1"/>
    <w:qFormat/>
    <w:uiPriority w:val="0"/>
    <w:pPr>
      <w:widowControl/>
      <w:spacing w:before="100" w:beforeAutospacing="1" w:after="100" w:afterAutospacing="1"/>
      <w:jc w:val="left"/>
    </w:pPr>
    <w:rPr>
      <w:rFonts w:ascii="宋体" w:hAnsi="宋体" w:cs="宋体"/>
      <w:b/>
      <w:bCs/>
      <w:color w:val="FF6600"/>
      <w:kern w:val="0"/>
      <w:sz w:val="24"/>
    </w:rPr>
  </w:style>
  <w:style w:type="paragraph" w:customStyle="1" w:styleId="112">
    <w:name w:val="td-left-2"/>
    <w:basedOn w:val="1"/>
    <w:qFormat/>
    <w:uiPriority w:val="0"/>
    <w:pPr>
      <w:widowControl/>
      <w:pBdr>
        <w:left w:val="dotted" w:color="FF0000" w:sz="6" w:space="0"/>
      </w:pBdr>
      <w:spacing w:before="100" w:beforeAutospacing="1" w:after="100" w:afterAutospacing="1"/>
      <w:jc w:val="left"/>
    </w:pPr>
    <w:rPr>
      <w:rFonts w:ascii="宋体" w:hAnsi="宋体" w:cs="宋体"/>
      <w:kern w:val="0"/>
      <w:sz w:val="24"/>
    </w:rPr>
  </w:style>
  <w:style w:type="paragraph" w:customStyle="1" w:styleId="113">
    <w:name w:val="st_tdcss"/>
    <w:basedOn w:val="1"/>
    <w:qFormat/>
    <w:uiPriority w:val="0"/>
    <w:pPr>
      <w:widowControl/>
      <w:jc w:val="left"/>
    </w:pPr>
    <w:rPr>
      <w:rFonts w:ascii="宋体" w:hAnsi="宋体" w:cs="宋体"/>
      <w:kern w:val="0"/>
      <w:sz w:val="24"/>
    </w:rPr>
  </w:style>
  <w:style w:type="paragraph" w:customStyle="1" w:styleId="114">
    <w:name w:val="表内文字居左"/>
    <w:qFormat/>
    <w:uiPriority w:val="0"/>
    <w:pPr>
      <w:widowControl w:val="0"/>
      <w:adjustRightInd w:val="0"/>
      <w:snapToGrid w:val="0"/>
      <w:spacing w:after="0" w:line="240" w:lineRule="auto"/>
      <w:jc w:val="both"/>
    </w:pPr>
    <w:rPr>
      <w:rFonts w:ascii="Times New Roman" w:hAnsi="Times New Roman" w:eastAsia="宋体" w:cs="Times New Roman"/>
      <w:kern w:val="2"/>
      <w:sz w:val="24"/>
      <w:szCs w:val="24"/>
      <w:lang w:val="en-US" w:eastAsia="zh-CN" w:bidi="ar-SA"/>
      <w14:ligatures w14:val="none"/>
    </w:rPr>
  </w:style>
  <w:style w:type="paragraph" w:customStyle="1" w:styleId="115">
    <w:name w:val="menu2"/>
    <w:basedOn w:val="1"/>
    <w:qFormat/>
    <w:uiPriority w:val="0"/>
    <w:pPr>
      <w:widowControl/>
      <w:spacing w:before="100" w:beforeAutospacing="1" w:after="100" w:afterAutospacing="1"/>
      <w:jc w:val="left"/>
    </w:pPr>
    <w:rPr>
      <w:rFonts w:ascii="宋体" w:hAnsi="宋体" w:cs="宋体"/>
      <w:b/>
      <w:bCs/>
      <w:color w:val="247ED1"/>
      <w:kern w:val="0"/>
      <w:szCs w:val="21"/>
    </w:rPr>
  </w:style>
  <w:style w:type="paragraph" w:customStyle="1" w:styleId="116">
    <w:name w:val="表格文字"/>
    <w:basedOn w:val="1"/>
    <w:qFormat/>
    <w:uiPriority w:val="0"/>
    <w:pPr>
      <w:spacing w:line="280" w:lineRule="exact"/>
      <w:jc w:val="left"/>
    </w:pPr>
  </w:style>
  <w:style w:type="paragraph" w:customStyle="1" w:styleId="117">
    <w:name w:val="td4"/>
    <w:basedOn w:val="1"/>
    <w:qFormat/>
    <w:uiPriority w:val="0"/>
    <w:pPr>
      <w:widowControl/>
      <w:spacing w:before="100" w:beforeAutospacing="1" w:after="100" w:afterAutospacing="1"/>
      <w:jc w:val="left"/>
    </w:pPr>
    <w:rPr>
      <w:rFonts w:ascii="宋体" w:hAnsi="宋体" w:cs="宋体"/>
      <w:kern w:val="0"/>
      <w:sz w:val="24"/>
    </w:rPr>
  </w:style>
  <w:style w:type="paragraph" w:customStyle="1" w:styleId="118">
    <w:name w:val="BodyText"/>
    <w:basedOn w:val="1"/>
    <w:next w:val="104"/>
    <w:qFormat/>
    <w:uiPriority w:val="0"/>
    <w:pPr>
      <w:spacing w:after="120"/>
    </w:pPr>
  </w:style>
  <w:style w:type="paragraph" w:customStyle="1" w:styleId="119">
    <w:name w:val="td-botton-2"/>
    <w:basedOn w:val="1"/>
    <w:qFormat/>
    <w:uiPriority w:val="0"/>
    <w:pPr>
      <w:widowControl/>
      <w:pBdr>
        <w:bottom w:val="dotted" w:color="FF0000" w:sz="6" w:space="0"/>
      </w:pBdr>
      <w:spacing w:before="100" w:beforeAutospacing="1" w:after="100" w:afterAutospacing="1"/>
      <w:jc w:val="left"/>
    </w:pPr>
    <w:rPr>
      <w:rFonts w:ascii="宋体" w:hAnsi="宋体" w:cs="宋体"/>
      <w:kern w:val="0"/>
      <w:sz w:val="24"/>
    </w:rPr>
  </w:style>
  <w:style w:type="paragraph" w:customStyle="1" w:styleId="120">
    <w:name w:val="xl72"/>
    <w:basedOn w:val="1"/>
    <w:next w:val="21"/>
    <w:qFormat/>
    <w:uiPriority w:val="0"/>
    <w:pPr>
      <w:widowControl/>
      <w:shd w:val="clear" w:color="FFFFFF" w:fill="FFFFFF"/>
      <w:spacing w:before="280" w:after="280"/>
      <w:jc w:val="right"/>
    </w:pPr>
    <w:rPr>
      <w:rFonts w:ascii="宋体"/>
      <w:kern w:val="0"/>
      <w:sz w:val="24"/>
    </w:rPr>
  </w:style>
  <w:style w:type="paragraph" w:customStyle="1" w:styleId="121">
    <w:name w:val="a0"/>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
    <w:name w:val="Char Char10 Char Char Char Char"/>
    <w:basedOn w:val="1"/>
    <w:next w:val="123"/>
    <w:qFormat/>
    <w:uiPriority w:val="0"/>
    <w:rPr>
      <w:rFonts w:ascii="Calibri" w:hAnsi="Calibri"/>
      <w:kern w:val="0"/>
    </w:rPr>
  </w:style>
  <w:style w:type="paragraph" w:customStyle="1" w:styleId="123">
    <w:name w:val="xl87"/>
    <w:basedOn w:val="1"/>
    <w:next w:val="120"/>
    <w:qFormat/>
    <w:uiPriority w:val="0"/>
    <w:pPr>
      <w:widowControl/>
      <w:shd w:val="clear" w:color="FFFFFF" w:fill="FFFFFF"/>
      <w:spacing w:before="280" w:after="280"/>
      <w:jc w:val="right"/>
    </w:pPr>
    <w:rPr>
      <w:rFonts w:ascii="宋体"/>
      <w:kern w:val="0"/>
      <w:sz w:val="24"/>
    </w:rPr>
  </w:style>
  <w:style w:type="paragraph" w:customStyle="1" w:styleId="124">
    <w:name w:val="title-3"/>
    <w:basedOn w:val="1"/>
    <w:qFormat/>
    <w:uiPriority w:val="0"/>
    <w:pPr>
      <w:widowControl/>
      <w:spacing w:before="100" w:beforeAutospacing="1" w:after="100" w:afterAutospacing="1"/>
      <w:jc w:val="left"/>
    </w:pPr>
    <w:rPr>
      <w:rFonts w:ascii="宋体" w:hAnsi="宋体" w:cs="宋体"/>
      <w:b/>
      <w:bCs/>
      <w:color w:val="474747"/>
      <w:kern w:val="0"/>
      <w:sz w:val="18"/>
      <w:szCs w:val="18"/>
    </w:rPr>
  </w:style>
  <w:style w:type="paragraph" w:customStyle="1" w:styleId="125">
    <w:name w:val="title-1"/>
    <w:basedOn w:val="1"/>
    <w:qFormat/>
    <w:uiPriority w:val="0"/>
    <w:pPr>
      <w:widowControl/>
      <w:spacing w:before="100" w:beforeAutospacing="1" w:after="100" w:afterAutospacing="1"/>
      <w:jc w:val="left"/>
    </w:pPr>
    <w:rPr>
      <w:rFonts w:ascii="宋体" w:hAnsi="宋体" w:cs="宋体"/>
      <w:b/>
      <w:bCs/>
      <w:color w:val="0A3886"/>
      <w:kern w:val="0"/>
      <w:sz w:val="18"/>
      <w:szCs w:val="18"/>
    </w:rPr>
  </w:style>
  <w:style w:type="paragraph" w:customStyle="1" w:styleId="126">
    <w:name w:val="td3"/>
    <w:basedOn w:val="1"/>
    <w:qFormat/>
    <w:uiPriority w:val="0"/>
    <w:pPr>
      <w:widowControl/>
      <w:spacing w:before="100" w:beforeAutospacing="1" w:after="100" w:afterAutospacing="1"/>
      <w:jc w:val="left"/>
    </w:pPr>
    <w:rPr>
      <w:rFonts w:ascii="宋体" w:hAnsi="宋体" w:cs="宋体"/>
      <w:kern w:val="0"/>
      <w:sz w:val="24"/>
    </w:rPr>
  </w:style>
  <w:style w:type="paragraph" w:customStyle="1" w:styleId="127">
    <w:name w:val="！正文"/>
    <w:basedOn w:val="1"/>
    <w:qFormat/>
    <w:uiPriority w:val="0"/>
    <w:pPr>
      <w:spacing w:afterLines="50" w:line="400" w:lineRule="exact"/>
      <w:ind w:right="210" w:firstLine="420" w:firstLineChars="200"/>
    </w:pPr>
    <w:rPr>
      <w:rFonts w:ascii="宋体" w:hAnsi="宋体" w:eastAsia="仿宋_GB2312"/>
      <w:kern w:val="0"/>
      <w:sz w:val="24"/>
    </w:rPr>
  </w:style>
  <w:style w:type="paragraph" w:customStyle="1" w:styleId="128">
    <w:name w:val="text3"/>
    <w:basedOn w:val="1"/>
    <w:qFormat/>
    <w:uiPriority w:val="0"/>
    <w:pPr>
      <w:widowControl/>
      <w:spacing w:before="100" w:beforeAutospacing="1" w:after="100" w:afterAutospacing="1" w:line="408" w:lineRule="auto"/>
      <w:jc w:val="left"/>
    </w:pPr>
    <w:rPr>
      <w:rFonts w:ascii="宋体" w:hAnsi="宋体" w:cs="宋体"/>
      <w:color w:val="000000"/>
      <w:kern w:val="0"/>
      <w:sz w:val="18"/>
      <w:szCs w:val="18"/>
    </w:rPr>
  </w:style>
  <w:style w:type="paragraph" w:customStyle="1" w:styleId="129">
    <w:name w:val="3"/>
    <w:basedOn w:val="1"/>
    <w:qFormat/>
    <w:uiPriority w:val="0"/>
    <w:pPr>
      <w:widowControl/>
      <w:spacing w:before="100" w:beforeAutospacing="1" w:after="100" w:afterAutospacing="1"/>
      <w:jc w:val="left"/>
    </w:pPr>
    <w:rPr>
      <w:rFonts w:ascii="宋体" w:hAnsi="宋体" w:cs="宋体"/>
      <w:kern w:val="0"/>
      <w:sz w:val="24"/>
    </w:rPr>
  </w:style>
  <w:style w:type="paragraph" w:customStyle="1" w:styleId="130">
    <w:name w:val="sec1"/>
    <w:basedOn w:val="1"/>
    <w:qFormat/>
    <w:uiPriority w:val="0"/>
    <w:pPr>
      <w:widowControl/>
      <w:spacing w:before="100" w:beforeAutospacing="1" w:after="100" w:afterAutospacing="1"/>
      <w:jc w:val="left"/>
    </w:pPr>
    <w:rPr>
      <w:rFonts w:ascii="宋体" w:hAnsi="宋体" w:cs="宋体"/>
      <w:b/>
      <w:bCs/>
      <w:color w:val="247ED1"/>
      <w:kern w:val="0"/>
      <w:szCs w:val="21"/>
    </w:rPr>
  </w:style>
  <w:style w:type="paragraph" w:customStyle="1" w:styleId="131">
    <w:name w:val="p"/>
    <w:basedOn w:val="1"/>
    <w:qFormat/>
    <w:uiPriority w:val="0"/>
    <w:pPr>
      <w:widowControl/>
      <w:spacing w:line="432" w:lineRule="auto"/>
      <w:jc w:val="left"/>
    </w:pPr>
    <w:rPr>
      <w:rFonts w:ascii="宋体" w:hAnsi="宋体" w:cs="宋体"/>
      <w:kern w:val="0"/>
      <w:sz w:val="24"/>
    </w:rPr>
  </w:style>
  <w:style w:type="paragraph" w:customStyle="1" w:styleId="132">
    <w:name w:val="BodyText1I"/>
    <w:basedOn w:val="118"/>
    <w:qFormat/>
    <w:uiPriority w:val="99"/>
    <w:pPr>
      <w:ind w:firstLine="420" w:firstLineChars="100"/>
    </w:pPr>
  </w:style>
  <w:style w:type="paragraph" w:customStyle="1" w:styleId="133">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4">
    <w:name w:val="td1"/>
    <w:basedOn w:val="1"/>
    <w:qFormat/>
    <w:uiPriority w:val="0"/>
    <w:pPr>
      <w:widowControl/>
      <w:pBdr>
        <w:top w:val="single" w:color="003399" w:sz="6" w:space="0"/>
        <w:left w:val="single" w:color="003399" w:sz="6" w:space="0"/>
        <w:bottom w:val="single" w:color="003399" w:sz="6" w:space="0"/>
        <w:right w:val="single" w:color="003399" w:sz="6" w:space="0"/>
      </w:pBdr>
      <w:spacing w:before="100" w:beforeAutospacing="1" w:after="100" w:afterAutospacing="1"/>
      <w:jc w:val="left"/>
    </w:pPr>
    <w:rPr>
      <w:rFonts w:ascii="宋体" w:hAnsi="宋体" w:cs="宋体"/>
      <w:kern w:val="0"/>
      <w:sz w:val="18"/>
      <w:szCs w:val="18"/>
    </w:rPr>
  </w:style>
  <w:style w:type="paragraph" w:customStyle="1" w:styleId="135">
    <w:name w:val="正文格式"/>
    <w:qFormat/>
    <w:uiPriority w:val="0"/>
    <w:pPr>
      <w:spacing w:beforeLines="50" w:after="0" w:afterLines="50" w:line="360" w:lineRule="auto"/>
      <w:ind w:firstLine="480" w:firstLineChars="200"/>
    </w:pPr>
    <w:rPr>
      <w:rFonts w:ascii="Calibri" w:hAnsi="Calibri" w:eastAsia="宋体" w:cs="Times New Roman"/>
      <w:kern w:val="2"/>
      <w:sz w:val="24"/>
      <w:szCs w:val="22"/>
      <w:lang w:val="en-US" w:eastAsia="zh-CN" w:bidi="ar-SA"/>
      <w14:ligatures w14:val="none"/>
    </w:rPr>
  </w:style>
  <w:style w:type="paragraph" w:customStyle="1" w:styleId="136">
    <w:name w:val="标题 51"/>
    <w:basedOn w:val="1"/>
    <w:qFormat/>
    <w:uiPriority w:val="1"/>
    <w:pPr>
      <w:autoSpaceDE w:val="0"/>
      <w:autoSpaceDN w:val="0"/>
      <w:ind w:left="1274" w:hanging="634"/>
      <w:jc w:val="left"/>
      <w:outlineLvl w:val="5"/>
    </w:pPr>
    <w:rPr>
      <w:rFonts w:ascii="宋体" w:hAnsi="宋体" w:cs="宋体"/>
      <w:b/>
      <w:bCs/>
      <w:kern w:val="0"/>
      <w:szCs w:val="21"/>
      <w:lang w:val="zh-CN" w:bidi="zh-CN"/>
    </w:rPr>
  </w:style>
  <w:style w:type="paragraph" w:customStyle="1" w:styleId="137">
    <w:name w:val="td-b"/>
    <w:basedOn w:val="1"/>
    <w:qFormat/>
    <w:uiPriority w:val="0"/>
    <w:pPr>
      <w:widowControl/>
      <w:pBdr>
        <w:left w:val="single" w:color="9DC9EC" w:sz="6" w:space="0"/>
        <w:bottom w:val="single" w:color="9DC9EC" w:sz="6" w:space="0"/>
        <w:right w:val="single" w:color="9DC9EC" w:sz="6" w:space="0"/>
      </w:pBdr>
      <w:spacing w:before="100" w:beforeAutospacing="1" w:after="100" w:afterAutospacing="1"/>
      <w:jc w:val="left"/>
    </w:pPr>
    <w:rPr>
      <w:rFonts w:ascii="宋体" w:hAnsi="宋体" w:cs="宋体"/>
      <w:kern w:val="0"/>
      <w:sz w:val="24"/>
    </w:rPr>
  </w:style>
  <w:style w:type="paragraph" w:customStyle="1" w:styleId="138">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39">
    <w:name w:val="td-top-2"/>
    <w:basedOn w:val="1"/>
    <w:qFormat/>
    <w:uiPriority w:val="0"/>
    <w:pPr>
      <w:widowControl/>
      <w:pBdr>
        <w:top w:val="dotted" w:color="0000FF" w:sz="6" w:space="0"/>
      </w:pBdr>
      <w:spacing w:before="100" w:beforeAutospacing="1" w:after="100" w:afterAutospacing="1"/>
      <w:jc w:val="left"/>
    </w:pPr>
    <w:rPr>
      <w:rFonts w:ascii="宋体" w:hAnsi="宋体" w:cs="宋体"/>
      <w:kern w:val="0"/>
      <w:sz w:val="24"/>
    </w:rPr>
  </w:style>
  <w:style w:type="paragraph" w:customStyle="1" w:styleId="140">
    <w:name w:val="tableborer"/>
    <w:basedOn w:val="1"/>
    <w:qFormat/>
    <w:uiPriority w:val="0"/>
    <w:pPr>
      <w:widowControl/>
      <w:pBdr>
        <w:top w:val="dotted" w:color="EEEEEE" w:sz="6" w:space="0"/>
        <w:left w:val="dotted" w:color="EEEEEE" w:sz="6" w:space="0"/>
        <w:bottom w:val="dotted" w:color="EEEEEE" w:sz="6" w:space="0"/>
        <w:right w:val="dotted" w:color="EEEEEE" w:sz="6" w:space="0"/>
      </w:pBdr>
      <w:spacing w:before="100" w:beforeAutospacing="1" w:after="100" w:afterAutospacing="1"/>
      <w:jc w:val="left"/>
    </w:pPr>
    <w:rPr>
      <w:rFonts w:ascii="宋体" w:hAnsi="宋体" w:cs="宋体"/>
      <w:kern w:val="0"/>
      <w:sz w:val="24"/>
    </w:rPr>
  </w:style>
  <w:style w:type="paragraph" w:customStyle="1" w:styleId="141">
    <w:name w:val="st_divcss"/>
    <w:basedOn w:val="1"/>
    <w:qFormat/>
    <w:uiPriority w:val="0"/>
    <w:pPr>
      <w:widowControl/>
      <w:jc w:val="left"/>
    </w:pPr>
    <w:rPr>
      <w:rFonts w:ascii="宋体" w:hAnsi="宋体" w:cs="宋体"/>
      <w:kern w:val="0"/>
      <w:sz w:val="24"/>
    </w:rPr>
  </w:style>
  <w:style w:type="paragraph" w:customStyle="1" w:styleId="142">
    <w:name w:val="td-botton"/>
    <w:basedOn w:val="1"/>
    <w:qFormat/>
    <w:uiPriority w:val="0"/>
    <w:pPr>
      <w:widowControl/>
      <w:pBdr>
        <w:bottom w:val="dotted" w:color="999999" w:sz="6" w:space="0"/>
      </w:pBdr>
      <w:spacing w:before="100" w:beforeAutospacing="1" w:after="100" w:afterAutospacing="1"/>
      <w:jc w:val="left"/>
    </w:pPr>
    <w:rPr>
      <w:rFonts w:ascii="宋体" w:hAnsi="宋体" w:cs="宋体"/>
      <w:kern w:val="0"/>
      <w:sz w:val="24"/>
    </w:rPr>
  </w:style>
  <w:style w:type="paragraph" w:customStyle="1" w:styleId="143">
    <w:name w:val="Table Paragraph"/>
    <w:basedOn w:val="1"/>
    <w:qFormat/>
    <w:uiPriority w:val="1"/>
    <w:pPr>
      <w:ind w:left="103"/>
      <w:jc w:val="left"/>
    </w:pPr>
    <w:rPr>
      <w:rFonts w:ascii="宋体" w:hAnsi="宋体" w:cs="宋体"/>
      <w:kern w:val="0"/>
      <w:sz w:val="22"/>
      <w:szCs w:val="22"/>
      <w:lang w:eastAsia="en-US"/>
    </w:rPr>
  </w:style>
  <w:style w:type="paragraph" w:customStyle="1" w:styleId="144">
    <w:name w:val="st_tbcss"/>
    <w:basedOn w:val="1"/>
    <w:qFormat/>
    <w:uiPriority w:val="0"/>
    <w:pPr>
      <w:widowControl/>
      <w:jc w:val="left"/>
    </w:pPr>
    <w:rPr>
      <w:rFonts w:ascii="宋体" w:hAnsi="宋体" w:cs="宋体"/>
      <w:kern w:val="0"/>
      <w:sz w:val="24"/>
    </w:rPr>
  </w:style>
  <w:style w:type="paragraph" w:customStyle="1" w:styleId="145">
    <w:name w:val="tableborer-2"/>
    <w:basedOn w:val="1"/>
    <w:qFormat/>
    <w:uiPriority w:val="0"/>
    <w:pPr>
      <w:widowControl/>
      <w:pBdr>
        <w:right w:val="single" w:color="109BF8" w:sz="6" w:space="0"/>
      </w:pBdr>
      <w:spacing w:before="100" w:beforeAutospacing="1" w:after="100" w:afterAutospacing="1"/>
      <w:jc w:val="left"/>
    </w:pPr>
    <w:rPr>
      <w:rFonts w:ascii="宋体" w:hAnsi="宋体" w:cs="宋体"/>
      <w:kern w:val="0"/>
      <w:sz w:val="24"/>
    </w:rPr>
  </w:style>
  <w:style w:type="paragraph" w:customStyle="1" w:styleId="146">
    <w:name w:val="shadow"/>
    <w:basedOn w:val="1"/>
    <w:qFormat/>
    <w:uiPriority w:val="0"/>
    <w:pPr>
      <w:widowControl/>
      <w:jc w:val="left"/>
    </w:pPr>
    <w:rPr>
      <w:rFonts w:ascii="宋体" w:hAnsi="宋体" w:cs="宋体"/>
      <w:color w:val="FFFFFF"/>
      <w:kern w:val="0"/>
      <w:sz w:val="24"/>
    </w:rPr>
  </w:style>
  <w:style w:type="paragraph" w:customStyle="1" w:styleId="147">
    <w:name w:val="td-right"/>
    <w:basedOn w:val="1"/>
    <w:qFormat/>
    <w:uiPriority w:val="0"/>
    <w:pPr>
      <w:widowControl/>
      <w:pBdr>
        <w:right w:val="dotted" w:color="999999" w:sz="6" w:space="0"/>
      </w:pBdr>
      <w:spacing w:before="100" w:beforeAutospacing="1" w:after="100" w:afterAutospacing="1"/>
      <w:jc w:val="left"/>
    </w:pPr>
    <w:rPr>
      <w:rFonts w:ascii="宋体" w:hAnsi="宋体" w:cs="宋体"/>
      <w:kern w:val="0"/>
      <w:sz w:val="24"/>
    </w:rPr>
  </w:style>
  <w:style w:type="paragraph" w:customStyle="1" w:styleId="148">
    <w:name w:val="title-2"/>
    <w:basedOn w:val="1"/>
    <w:qFormat/>
    <w:uiPriority w:val="0"/>
    <w:pPr>
      <w:widowControl/>
      <w:spacing w:before="100" w:beforeAutospacing="1" w:after="100" w:afterAutospacing="1" w:line="288" w:lineRule="auto"/>
      <w:jc w:val="left"/>
    </w:pPr>
    <w:rPr>
      <w:rFonts w:ascii="宋体" w:hAnsi="宋体" w:cs="宋体"/>
      <w:b/>
      <w:bCs/>
      <w:color w:val="FFFFFF"/>
      <w:kern w:val="0"/>
      <w:sz w:val="18"/>
      <w:szCs w:val="18"/>
    </w:rPr>
  </w:style>
  <w:style w:type="paragraph" w:customStyle="1" w:styleId="149">
    <w:name w:val="td-right-2"/>
    <w:basedOn w:val="1"/>
    <w:qFormat/>
    <w:uiPriority w:val="0"/>
    <w:pPr>
      <w:widowControl/>
      <w:pBdr>
        <w:right w:val="dotted" w:color="0000FF" w:sz="6" w:space="0"/>
      </w:pBdr>
      <w:spacing w:before="100" w:beforeAutospacing="1" w:after="100" w:afterAutospacing="1"/>
      <w:jc w:val="left"/>
    </w:pPr>
    <w:rPr>
      <w:rFonts w:ascii="宋体" w:hAnsi="宋体" w:cs="宋体"/>
      <w:kern w:val="0"/>
      <w:sz w:val="24"/>
    </w:rPr>
  </w:style>
  <w:style w:type="paragraph" w:customStyle="1" w:styleId="150">
    <w:name w:val="td2"/>
    <w:basedOn w:val="1"/>
    <w:qFormat/>
    <w:uiPriority w:val="0"/>
    <w:pPr>
      <w:widowControl/>
      <w:pBdr>
        <w:top w:val="single" w:color="FF9900" w:sz="6" w:space="0"/>
      </w:pBdr>
      <w:spacing w:before="100" w:beforeAutospacing="1" w:after="100" w:afterAutospacing="1"/>
      <w:jc w:val="left"/>
    </w:pPr>
    <w:rPr>
      <w:rFonts w:ascii="宋体" w:hAnsi="宋体" w:cs="宋体"/>
      <w:kern w:val="0"/>
      <w:sz w:val="24"/>
    </w:rPr>
  </w:style>
  <w:style w:type="paragraph" w:customStyle="1" w:styleId="151">
    <w:name w:val="UserStyle_0"/>
    <w:qFormat/>
    <w:uiPriority w:val="0"/>
    <w:pPr>
      <w:spacing w:after="0" w:line="240" w:lineRule="auto"/>
      <w:textAlignment w:val="baseline"/>
    </w:pPr>
    <w:rPr>
      <w:rFonts w:ascii="黑体" w:hAnsi="Times New Roman" w:eastAsia="黑体" w:cs="Times New Roman"/>
      <w:color w:val="000000"/>
      <w:kern w:val="0"/>
      <w:sz w:val="24"/>
      <w:szCs w:val="24"/>
      <w:lang w:val="en-US" w:eastAsia="zh-CN" w:bidi="ar-SA"/>
      <w14:ligatures w14:val="none"/>
    </w:rPr>
  </w:style>
  <w:style w:type="paragraph" w:customStyle="1" w:styleId="152">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3">
    <w:name w:val="st_ftcss"/>
    <w:basedOn w:val="1"/>
    <w:qFormat/>
    <w:uiPriority w:val="0"/>
    <w:pPr>
      <w:widowControl/>
      <w:jc w:val="left"/>
    </w:pPr>
    <w:rPr>
      <w:rFonts w:ascii="宋体" w:hAnsi="宋体" w:cs="宋体"/>
      <w:kern w:val="0"/>
      <w:sz w:val="24"/>
    </w:rPr>
  </w:style>
  <w:style w:type="paragraph" w:customStyle="1" w:styleId="154">
    <w:name w:val="text4"/>
    <w:basedOn w:val="1"/>
    <w:qFormat/>
    <w:uiPriority w:val="0"/>
    <w:pPr>
      <w:widowControl/>
      <w:spacing w:before="100" w:beforeAutospacing="1" w:after="100" w:afterAutospacing="1"/>
      <w:jc w:val="left"/>
    </w:pPr>
    <w:rPr>
      <w:rFonts w:ascii="宋体" w:hAnsi="宋体" w:cs="宋体"/>
      <w:color w:val="FF0000"/>
      <w:kern w:val="0"/>
      <w:sz w:val="18"/>
      <w:szCs w:val="18"/>
    </w:rPr>
  </w:style>
  <w:style w:type="paragraph" w:customStyle="1" w:styleId="155">
    <w:name w:val="scroll-1"/>
    <w:basedOn w:val="1"/>
    <w:qFormat/>
    <w:uiPriority w:val="0"/>
    <w:pPr>
      <w:widowControl/>
      <w:spacing w:before="100" w:beforeAutospacing="1" w:after="100" w:afterAutospacing="1" w:line="312" w:lineRule="auto"/>
      <w:jc w:val="left"/>
    </w:pPr>
    <w:rPr>
      <w:rFonts w:ascii="宋体" w:hAnsi="宋体" w:cs="宋体"/>
      <w:color w:val="FF3333"/>
      <w:kern w:val="0"/>
      <w:sz w:val="18"/>
      <w:szCs w:val="18"/>
    </w:rPr>
  </w:style>
  <w:style w:type="paragraph" w:customStyle="1" w:styleId="156">
    <w:name w:val="input-pass"/>
    <w:basedOn w:val="1"/>
    <w:qFormat/>
    <w:uiPriority w:val="0"/>
    <w:pPr>
      <w:widowControl/>
      <w:pBdr>
        <w:top w:val="single" w:color="auto" w:sz="6" w:space="0"/>
        <w:left w:val="single" w:color="auto" w:sz="6" w:space="0"/>
        <w:bottom w:val="single" w:color="auto" w:sz="6" w:space="0"/>
        <w:right w:val="single" w:color="auto" w:sz="6" w:space="0"/>
      </w:pBdr>
      <w:spacing w:before="100" w:beforeAutospacing="1" w:after="100" w:afterAutospacing="1"/>
      <w:jc w:val="left"/>
    </w:pPr>
    <w:rPr>
      <w:rFonts w:ascii="宋体" w:hAnsi="宋体" w:cs="宋体"/>
      <w:kern w:val="0"/>
      <w:sz w:val="18"/>
      <w:szCs w:val="18"/>
    </w:rPr>
  </w:style>
  <w:style w:type="paragraph" w:customStyle="1" w:styleId="157">
    <w:name w:val="text1"/>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58">
    <w:name w:val="button"/>
    <w:basedOn w:val="1"/>
    <w:qFormat/>
    <w:uiPriority w:val="0"/>
    <w:pPr>
      <w:widowControl/>
      <w:pBdr>
        <w:top w:val="single" w:color="FFFFFF" w:sz="36" w:space="0"/>
        <w:left w:val="single" w:color="FFFFFF" w:sz="2" w:space="0"/>
        <w:bottom w:val="single" w:color="FFFFFF" w:sz="36" w:space="0"/>
        <w:right w:val="single" w:color="FFFFFF" w:sz="48" w:space="0"/>
      </w:pBdr>
      <w:shd w:val="clear" w:color="auto" w:fill="3269C4"/>
      <w:spacing w:before="90" w:after="90"/>
      <w:ind w:left="90" w:right="90"/>
      <w:jc w:val="left"/>
    </w:pPr>
    <w:rPr>
      <w:rFonts w:ascii="宋体" w:hAnsi="宋体" w:cs="宋体"/>
      <w:color w:val="FFFFFF"/>
      <w:kern w:val="0"/>
      <w:sz w:val="18"/>
      <w:szCs w:val="18"/>
    </w:rPr>
  </w:style>
  <w:style w:type="paragraph" w:styleId="159">
    <w:name w:val="No Spacing"/>
    <w:qFormat/>
    <w:uiPriority w:val="0"/>
    <w:pPr>
      <w:widowControl w:val="0"/>
      <w:spacing w:after="0" w:line="240" w:lineRule="auto"/>
      <w:jc w:val="both"/>
    </w:pPr>
    <w:rPr>
      <w:rFonts w:ascii="Calibri" w:hAnsi="Calibri" w:eastAsia="宋体" w:cs="Times New Roman"/>
      <w:kern w:val="2"/>
      <w:sz w:val="21"/>
      <w:szCs w:val="22"/>
      <w:lang w:val="en-US" w:eastAsia="zh-CN" w:bidi="ar-SA"/>
      <w14:ligatures w14:val="none"/>
    </w:rPr>
  </w:style>
  <w:style w:type="paragraph" w:customStyle="1" w:styleId="160">
    <w:name w:val="正文1"/>
    <w:basedOn w:val="1"/>
    <w:qFormat/>
    <w:uiPriority w:val="0"/>
    <w:pPr>
      <w:spacing w:line="360" w:lineRule="auto"/>
      <w:ind w:firstLine="560" w:firstLineChars="200"/>
    </w:pPr>
    <w:rPr>
      <w:rFonts w:eastAsia="仿宋_GB2312"/>
      <w:color w:val="000000"/>
      <w:sz w:val="28"/>
      <w:szCs w:val="28"/>
    </w:rPr>
  </w:style>
  <w:style w:type="table" w:customStyle="1" w:styleId="161">
    <w:name w:val="网格型1"/>
    <w:basedOn w:val="47"/>
    <w:qFormat/>
    <w:uiPriority w:val="0"/>
    <w:pPr>
      <w:widowControl w:val="0"/>
      <w:spacing w:after="0" w:line="240" w:lineRule="auto"/>
      <w:jc w:val="both"/>
    </w:pPr>
    <w:rPr>
      <w:rFonts w:ascii="Times New Roman" w:hAnsi="Times New Roman" w:eastAsia="Times New Roman"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2">
    <w:name w:val="Table Normal"/>
    <w:unhideWhenUsed/>
    <w:qFormat/>
    <w:uiPriority w:val="0"/>
    <w:pPr>
      <w:spacing w:after="0" w:line="240" w:lineRule="auto"/>
    </w:pPr>
    <w:rPr>
      <w:rFonts w:ascii="Times New Roman" w:hAnsi="Times New Roman" w:eastAsia="宋体" w:cs="Times New Roman"/>
      <w:kern w:val="0"/>
      <w:sz w:val="20"/>
      <w:szCs w:val="20"/>
      <w14:ligatures w14:val="none"/>
    </w:rPr>
    <w:tblPr>
      <w:tblLayout w:type="fixed"/>
      <w:tblCellMar>
        <w:top w:w="0" w:type="dxa"/>
        <w:left w:w="0" w:type="dxa"/>
        <w:bottom w:w="0" w:type="dxa"/>
        <w:right w:w="0" w:type="dxa"/>
      </w:tblCellMar>
    </w:tblPr>
  </w:style>
  <w:style w:type="paragraph" w:customStyle="1" w:styleId="163">
    <w:name w:val="无间隔1"/>
    <w:qFormat/>
    <w:uiPriority w:val="0"/>
    <w:pPr>
      <w:widowControl w:val="0"/>
      <w:spacing w:after="0" w:line="240" w:lineRule="auto"/>
      <w:jc w:val="both"/>
    </w:pPr>
    <w:rPr>
      <w:rFonts w:ascii="Calibri" w:hAnsi="Calibri" w:eastAsia="宋体" w:cs="Times New Roman"/>
      <w:kern w:val="2"/>
      <w:sz w:val="21"/>
      <w:szCs w:val="22"/>
      <w:lang w:val="en-US" w:eastAsia="zh-CN" w:bidi="ar-SA"/>
      <w14:ligatures w14:val="none"/>
    </w:rPr>
  </w:style>
  <w:style w:type="paragraph" w:customStyle="1" w:styleId="164">
    <w:name w:val="文档正文"/>
    <w:basedOn w:val="1"/>
    <w:qFormat/>
    <w:uiPriority w:val="0"/>
    <w:pPr>
      <w:widowControl/>
      <w:adjustRightInd w:val="0"/>
      <w:spacing w:line="480" w:lineRule="atLeast"/>
      <w:ind w:firstLine="567"/>
      <w:textAlignment w:val="baseline"/>
    </w:pPr>
    <w:rPr>
      <w:rFonts w:ascii="仿宋_GB2312" w:hAnsi="Calibri" w:eastAsia="仿宋_GB2312"/>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6110</Words>
  <Characters>7066</Characters>
  <Lines>1541</Lines>
  <Paragraphs>1379</Paragraphs>
  <TotalTime>45</TotalTime>
  <ScaleCrop>false</ScaleCrop>
  <LinksUpToDate>false</LinksUpToDate>
  <CharactersWithSpaces>7517</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2025-07-02T10:22:00Z</dcterms:created>
  <dc:creator>18939671658@189.cn</dc:creator>
  <cp:lastModifiedBy>NTKO</cp:lastModifiedBy>
  <dcterms:modified xsi:type="dcterms:W3CDTF">2025-07-17T03:30:46Z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eyJoZGlkIjoiMzhhYzBmNmY5MDU1NTgwMGQzN2JlNDIyMGNiODhkMjEiLCJ1c2VySWQiOiI0MjU1MzY2ODUifQ==</vt:lpwstr>
  </property>
  <property fmtid="{D5CDD505-2E9C-101B-9397-08002B2CF9AE}" pid="3" name="KSOProductBuildVer">
    <vt:lpwstr>2052-10.8.2.6613</vt:lpwstr>
  </property>
  <property fmtid="{D5CDD505-2E9C-101B-9397-08002B2CF9AE}" pid="4" name="ICV">
    <vt:lpwstr>9D2E2A84663F4279923A14E8061ECAD2_12</vt:lpwstr>
  </property>
</Properties>
</file>