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9E42D1">
      <w:pPr>
        <w:rPr>
          <w:rFonts w:hint="eastAsia" w:ascii="宋体" w:hAnsi="宋体" w:eastAsia="宋体" w:cs="宋体"/>
          <w:i w:val="0"/>
          <w:iCs w:val="0"/>
          <w:caps w:val="0"/>
          <w:color w:val="000000"/>
          <w:spacing w:val="0"/>
          <w:sz w:val="28"/>
          <w:szCs w:val="28"/>
          <w:lang w:val="en-US" w:eastAsia="zh-CN"/>
        </w:rPr>
      </w:pPr>
      <w:r>
        <w:rPr>
          <w:rFonts w:hint="eastAsia" w:ascii="宋体" w:hAnsi="宋体" w:eastAsia="宋体" w:cs="宋体"/>
          <w:i w:val="0"/>
          <w:iCs w:val="0"/>
          <w:caps w:val="0"/>
          <w:color w:val="000000"/>
          <w:spacing w:val="0"/>
          <w:sz w:val="28"/>
          <w:szCs w:val="28"/>
          <w:lang w:val="en-US" w:eastAsia="zh-CN"/>
        </w:rPr>
        <w:t>供应商排名</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25"/>
        <w:gridCol w:w="2532"/>
        <w:gridCol w:w="1655"/>
        <w:gridCol w:w="1705"/>
        <w:gridCol w:w="1705"/>
      </w:tblGrid>
      <w:tr w14:paraId="0DDC4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5" w:type="dxa"/>
            <w:vAlign w:val="center"/>
          </w:tcPr>
          <w:p w14:paraId="07DEF49B">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序号</w:t>
            </w:r>
          </w:p>
        </w:tc>
        <w:tc>
          <w:tcPr>
            <w:tcW w:w="2532" w:type="dxa"/>
            <w:vAlign w:val="center"/>
          </w:tcPr>
          <w:p w14:paraId="00BE325C">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供应商名称</w:t>
            </w:r>
          </w:p>
        </w:tc>
        <w:tc>
          <w:tcPr>
            <w:tcW w:w="1655" w:type="dxa"/>
            <w:vAlign w:val="center"/>
          </w:tcPr>
          <w:p w14:paraId="4F53FF2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cs="宋体"/>
                <w:sz w:val="21"/>
                <w:szCs w:val="21"/>
                <w:vertAlign w:val="baseline"/>
                <w:lang w:val="en-US" w:eastAsia="zh-CN"/>
              </w:rPr>
              <w:t>最终报价（元）</w:t>
            </w:r>
          </w:p>
        </w:tc>
        <w:tc>
          <w:tcPr>
            <w:tcW w:w="1705" w:type="dxa"/>
            <w:vAlign w:val="center"/>
          </w:tcPr>
          <w:p w14:paraId="5B1DB2CC">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cs="宋体"/>
                <w:sz w:val="21"/>
                <w:szCs w:val="21"/>
                <w:vertAlign w:val="baseline"/>
                <w:lang w:val="en-US" w:eastAsia="zh-CN"/>
              </w:rPr>
              <w:t>最终评定价（元）</w:t>
            </w:r>
          </w:p>
        </w:tc>
        <w:tc>
          <w:tcPr>
            <w:tcW w:w="1705" w:type="dxa"/>
            <w:vAlign w:val="center"/>
          </w:tcPr>
          <w:p w14:paraId="336A2C8C">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排名</w:t>
            </w:r>
          </w:p>
        </w:tc>
      </w:tr>
      <w:tr w14:paraId="7FE1B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5" w:type="dxa"/>
            <w:vAlign w:val="center"/>
          </w:tcPr>
          <w:p w14:paraId="709D3E30">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cs="宋体"/>
                <w:sz w:val="21"/>
                <w:szCs w:val="21"/>
                <w:vertAlign w:val="baseline"/>
                <w:lang w:val="en-US" w:eastAsia="zh-CN"/>
              </w:rPr>
              <w:t>1</w:t>
            </w:r>
          </w:p>
        </w:tc>
        <w:tc>
          <w:tcPr>
            <w:tcW w:w="2532" w:type="dxa"/>
            <w:vAlign w:val="center"/>
          </w:tcPr>
          <w:p w14:paraId="2438150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南阳春意农业科技有限公司</w:t>
            </w:r>
          </w:p>
        </w:tc>
        <w:tc>
          <w:tcPr>
            <w:tcW w:w="1655" w:type="dxa"/>
            <w:vAlign w:val="center"/>
          </w:tcPr>
          <w:p w14:paraId="70454CE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1935100.00</w:t>
            </w:r>
          </w:p>
        </w:tc>
        <w:tc>
          <w:tcPr>
            <w:tcW w:w="1705" w:type="dxa"/>
            <w:vAlign w:val="center"/>
          </w:tcPr>
          <w:p w14:paraId="63EBAB1F">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1935100.00</w:t>
            </w:r>
          </w:p>
        </w:tc>
        <w:tc>
          <w:tcPr>
            <w:tcW w:w="1705" w:type="dxa"/>
            <w:vAlign w:val="center"/>
          </w:tcPr>
          <w:p w14:paraId="31D07C81">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第二成交候选供应商</w:t>
            </w:r>
          </w:p>
        </w:tc>
      </w:tr>
      <w:tr w14:paraId="76CD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5" w:type="dxa"/>
            <w:vAlign w:val="center"/>
          </w:tcPr>
          <w:p w14:paraId="50CD7B3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cs="宋体"/>
                <w:sz w:val="21"/>
                <w:szCs w:val="21"/>
                <w:vertAlign w:val="baseline"/>
                <w:lang w:val="en-US" w:eastAsia="zh-CN"/>
              </w:rPr>
              <w:t>2</w:t>
            </w:r>
          </w:p>
        </w:tc>
        <w:tc>
          <w:tcPr>
            <w:tcW w:w="2532" w:type="dxa"/>
            <w:vAlign w:val="center"/>
          </w:tcPr>
          <w:p w14:paraId="4B787C57">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河南九凌无人机科技有限公司</w:t>
            </w:r>
          </w:p>
        </w:tc>
        <w:tc>
          <w:tcPr>
            <w:tcW w:w="1655" w:type="dxa"/>
            <w:vAlign w:val="center"/>
          </w:tcPr>
          <w:p w14:paraId="1AE8C04F">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1936500.0</w:t>
            </w:r>
            <w:r>
              <w:rPr>
                <w:rFonts w:hint="eastAsia" w:ascii="宋体" w:cs="宋体"/>
                <w:sz w:val="21"/>
                <w:szCs w:val="21"/>
                <w:vertAlign w:val="baseline"/>
                <w:lang w:val="en-US" w:eastAsia="zh-CN"/>
              </w:rPr>
              <w:t>0</w:t>
            </w:r>
          </w:p>
        </w:tc>
        <w:tc>
          <w:tcPr>
            <w:tcW w:w="1705" w:type="dxa"/>
            <w:vAlign w:val="center"/>
          </w:tcPr>
          <w:p w14:paraId="4C339200">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1936500.0</w:t>
            </w:r>
            <w:r>
              <w:rPr>
                <w:rFonts w:hint="eastAsia" w:ascii="宋体" w:cs="宋体"/>
                <w:sz w:val="21"/>
                <w:szCs w:val="21"/>
                <w:vertAlign w:val="baseline"/>
                <w:lang w:val="en-US" w:eastAsia="zh-CN"/>
              </w:rPr>
              <w:t>0</w:t>
            </w:r>
          </w:p>
        </w:tc>
        <w:tc>
          <w:tcPr>
            <w:tcW w:w="1705" w:type="dxa"/>
            <w:vAlign w:val="center"/>
          </w:tcPr>
          <w:p w14:paraId="11414CB1">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第三成交候选供应商</w:t>
            </w:r>
          </w:p>
        </w:tc>
      </w:tr>
      <w:tr w14:paraId="7B681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25" w:type="dxa"/>
            <w:vAlign w:val="center"/>
          </w:tcPr>
          <w:p w14:paraId="05A89C4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cs="宋体"/>
                <w:sz w:val="21"/>
                <w:szCs w:val="21"/>
                <w:vertAlign w:val="baseline"/>
                <w:lang w:val="en-US" w:eastAsia="zh-CN"/>
              </w:rPr>
              <w:t>3</w:t>
            </w:r>
          </w:p>
        </w:tc>
        <w:tc>
          <w:tcPr>
            <w:tcW w:w="2532" w:type="dxa"/>
            <w:vAlign w:val="center"/>
          </w:tcPr>
          <w:p w14:paraId="21B2CF4F">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山东泉晟农业发展有限责任公司</w:t>
            </w:r>
          </w:p>
        </w:tc>
        <w:tc>
          <w:tcPr>
            <w:tcW w:w="1655" w:type="dxa"/>
            <w:vAlign w:val="center"/>
          </w:tcPr>
          <w:p w14:paraId="3EC29090">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1938950.0</w:t>
            </w:r>
            <w:r>
              <w:rPr>
                <w:rFonts w:hint="eastAsia" w:ascii="宋体" w:cs="宋体"/>
                <w:sz w:val="21"/>
                <w:szCs w:val="21"/>
                <w:vertAlign w:val="baseline"/>
                <w:lang w:val="en-US" w:eastAsia="zh-CN"/>
              </w:rPr>
              <w:t>0</w:t>
            </w:r>
          </w:p>
        </w:tc>
        <w:tc>
          <w:tcPr>
            <w:tcW w:w="1705" w:type="dxa"/>
            <w:vAlign w:val="center"/>
          </w:tcPr>
          <w:p w14:paraId="49B5E2B6">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r>
              <w:rPr>
                <w:rFonts w:hint="eastAsia" w:ascii="宋体" w:eastAsia="宋体" w:cs="宋体"/>
                <w:sz w:val="21"/>
                <w:szCs w:val="21"/>
                <w:vertAlign w:val="baseline"/>
                <w:lang w:val="en-US" w:eastAsia="zh-CN"/>
              </w:rPr>
              <w:t>1938950.0</w:t>
            </w:r>
            <w:r>
              <w:rPr>
                <w:rFonts w:hint="eastAsia" w:ascii="宋体" w:cs="宋体"/>
                <w:sz w:val="21"/>
                <w:szCs w:val="21"/>
                <w:vertAlign w:val="baseline"/>
                <w:lang w:val="en-US" w:eastAsia="zh-CN"/>
              </w:rPr>
              <w:t>0</w:t>
            </w:r>
          </w:p>
        </w:tc>
        <w:tc>
          <w:tcPr>
            <w:tcW w:w="1705" w:type="dxa"/>
            <w:vAlign w:val="center"/>
          </w:tcPr>
          <w:p w14:paraId="53EB45DD">
            <w:pPr>
              <w:pStyle w:val="7"/>
              <w:spacing w:line="360" w:lineRule="auto"/>
              <w:ind w:left="0" w:leftChars="0" w:firstLine="0" w:firstLineChars="0"/>
              <w:jc w:val="center"/>
              <w:rPr>
                <w:rFonts w:hint="default" w:ascii="宋体" w:hAnsi="宋体" w:eastAsia="宋体" w:cs="宋体"/>
                <w:i w:val="0"/>
                <w:iCs w:val="0"/>
                <w:caps w:val="0"/>
                <w:color w:val="000000"/>
                <w:spacing w:val="0"/>
                <w:sz w:val="21"/>
                <w:szCs w:val="21"/>
                <w:vertAlign w:val="baseline"/>
                <w:lang w:val="en-US" w:eastAsia="zh-CN"/>
              </w:rPr>
            </w:pPr>
          </w:p>
        </w:tc>
      </w:tr>
    </w:tbl>
    <w:p w14:paraId="096EB31D">
      <w:pPr>
        <w:rPr>
          <w:rFonts w:hint="eastAsia" w:ascii="宋体" w:hAnsi="宋体" w:eastAsia="宋体" w:cs="宋体"/>
          <w:i w:val="0"/>
          <w:iCs w:val="0"/>
          <w:caps w:val="0"/>
          <w:color w:val="000000"/>
          <w:spacing w:val="0"/>
          <w:sz w:val="28"/>
          <w:szCs w:val="28"/>
        </w:rPr>
      </w:pPr>
      <w:bookmarkStart w:id="0" w:name="_GoBack"/>
      <w:r>
        <w:rPr>
          <w:rFonts w:hint="eastAsia" w:ascii="宋体" w:hAnsi="宋体" w:eastAsia="宋体" w:cs="宋体"/>
          <w:i w:val="0"/>
          <w:iCs w:val="0"/>
          <w:caps w:val="0"/>
          <w:color w:val="000000"/>
          <w:spacing w:val="0"/>
          <w:sz w:val="28"/>
          <w:szCs w:val="28"/>
        </w:rPr>
        <w:t>无效文件情况</w:t>
      </w:r>
    </w:p>
    <w:bookmarkEnd w:id="0"/>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96"/>
        <w:gridCol w:w="1092"/>
        <w:gridCol w:w="4344"/>
        <w:gridCol w:w="1021"/>
      </w:tblGrid>
      <w:tr w14:paraId="19ED5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480E16F5">
            <w:pPr>
              <w:pStyle w:val="7"/>
              <w:spacing w:line="360" w:lineRule="auto"/>
              <w:ind w:left="0" w:leftChars="0" w:firstLine="0" w:firstLineChars="0"/>
              <w:jc w:val="center"/>
              <w:rPr>
                <w:rFonts w:hint="default" w:ascii="宋体" w:hAnsi="宋体" w:eastAsia="宋体" w:cs="宋体"/>
                <w:color w:val="auto"/>
                <w:sz w:val="21"/>
                <w:szCs w:val="21"/>
                <w:highlight w:val="none"/>
                <w:vertAlign w:val="baseline"/>
                <w:lang w:val="en-US" w:eastAsia="zh-CN"/>
              </w:rPr>
            </w:pPr>
            <w:r>
              <w:rPr>
                <w:rFonts w:hint="eastAsia" w:ascii="宋体" w:eastAsia="宋体" w:cs="宋体"/>
                <w:sz w:val="21"/>
                <w:szCs w:val="21"/>
                <w:vertAlign w:val="baseline"/>
                <w:lang w:val="en-US" w:eastAsia="zh-CN"/>
              </w:rPr>
              <w:t>序号</w:t>
            </w:r>
          </w:p>
        </w:tc>
        <w:tc>
          <w:tcPr>
            <w:tcW w:w="1296" w:type="dxa"/>
            <w:vAlign w:val="center"/>
          </w:tcPr>
          <w:p w14:paraId="7C507857">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单位名称</w:t>
            </w:r>
          </w:p>
        </w:tc>
        <w:tc>
          <w:tcPr>
            <w:tcW w:w="1092" w:type="dxa"/>
            <w:vAlign w:val="center"/>
          </w:tcPr>
          <w:p w14:paraId="6FD949CF">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废标节点</w:t>
            </w:r>
          </w:p>
        </w:tc>
        <w:tc>
          <w:tcPr>
            <w:tcW w:w="4344" w:type="dxa"/>
            <w:vAlign w:val="center"/>
          </w:tcPr>
          <w:p w14:paraId="61B51A68">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废标原因</w:t>
            </w:r>
          </w:p>
        </w:tc>
        <w:tc>
          <w:tcPr>
            <w:tcW w:w="1021" w:type="dxa"/>
            <w:vAlign w:val="center"/>
          </w:tcPr>
          <w:p w14:paraId="3BA89BC2">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备注</w:t>
            </w:r>
          </w:p>
        </w:tc>
      </w:tr>
      <w:tr w14:paraId="1A68D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1B42B472">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1</w:t>
            </w:r>
          </w:p>
        </w:tc>
        <w:tc>
          <w:tcPr>
            <w:tcW w:w="1296" w:type="dxa"/>
            <w:vAlign w:val="center"/>
          </w:tcPr>
          <w:p w14:paraId="718730E7">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鹤壁市腾跃农业科技有限公司</w:t>
            </w:r>
          </w:p>
        </w:tc>
        <w:tc>
          <w:tcPr>
            <w:tcW w:w="1092" w:type="dxa"/>
            <w:vAlign w:val="center"/>
          </w:tcPr>
          <w:p w14:paraId="66741F32">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符合性检查</w:t>
            </w:r>
          </w:p>
        </w:tc>
        <w:tc>
          <w:tcPr>
            <w:tcW w:w="4344" w:type="dxa"/>
            <w:shd w:val="clear" w:color="auto" w:fill="auto"/>
            <w:vAlign w:val="center"/>
          </w:tcPr>
          <w:p w14:paraId="7A0BD30F">
            <w:pPr>
              <w:keepNext w:val="0"/>
              <w:keepLines w:val="0"/>
              <w:widowControl/>
              <w:suppressLineNumbers w:val="0"/>
              <w:jc w:val="left"/>
              <w:rPr>
                <w:rFonts w:hint="default" w:ascii="宋体" w:hAnsi="Calibri" w:eastAsia="宋体" w:cs="宋体"/>
                <w:kern w:val="0"/>
                <w:sz w:val="21"/>
                <w:szCs w:val="21"/>
                <w:vertAlign w:val="baseline"/>
                <w:lang w:val="en-US" w:eastAsia="zh-CN" w:bidi="ar-SA"/>
              </w:rPr>
            </w:pPr>
            <w:r>
              <w:rPr>
                <w:rFonts w:hint="eastAsia" w:ascii="宋体" w:hAnsi="宋体" w:eastAsia="宋体" w:cs="宋体"/>
                <w:color w:val="000000"/>
                <w:kern w:val="0"/>
                <w:sz w:val="21"/>
                <w:szCs w:val="21"/>
                <w:lang w:val="en-US" w:eastAsia="zh-CN" w:bidi="ar"/>
              </w:rPr>
              <w:t>①贵公司资格审查材料未上传诚信库。 ②贵公司竞争性谈判响应文件未按规定格式填写中小企业声明函，不满足招标文件 20.6 相关格式要求。 ③贵公司竞争性谈判响应文件提供的供货方案分项描述与项目需求不一致，出现防虫网、诱虫设备等。依据招标文件 26.2.2（9）未实质性响应采购文件。</w:t>
            </w:r>
          </w:p>
        </w:tc>
        <w:tc>
          <w:tcPr>
            <w:tcW w:w="1021" w:type="dxa"/>
            <w:vAlign w:val="center"/>
          </w:tcPr>
          <w:p w14:paraId="61134FC4">
            <w:pPr>
              <w:pStyle w:val="7"/>
              <w:spacing w:line="360" w:lineRule="auto"/>
              <w:ind w:left="0" w:leftChars="0" w:firstLine="0" w:firstLineChars="0"/>
              <w:jc w:val="center"/>
              <w:rPr>
                <w:rFonts w:hint="default" w:ascii="宋体" w:eastAsia="宋体" w:cs="宋体"/>
                <w:sz w:val="21"/>
                <w:szCs w:val="21"/>
                <w:vertAlign w:val="baseline"/>
                <w:lang w:val="en-US" w:eastAsia="zh-CN"/>
              </w:rPr>
            </w:pPr>
          </w:p>
        </w:tc>
      </w:tr>
      <w:tr w14:paraId="0DFC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vAlign w:val="center"/>
          </w:tcPr>
          <w:p w14:paraId="684D4FD7">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2</w:t>
            </w:r>
          </w:p>
        </w:tc>
        <w:tc>
          <w:tcPr>
            <w:tcW w:w="1296" w:type="dxa"/>
            <w:vAlign w:val="center"/>
          </w:tcPr>
          <w:p w14:paraId="67C77336">
            <w:pPr>
              <w:pStyle w:val="7"/>
              <w:spacing w:line="360" w:lineRule="auto"/>
              <w:ind w:left="0" w:leftChars="0" w:firstLine="0" w:firstLineChars="0"/>
              <w:jc w:val="center"/>
              <w:rPr>
                <w:rFonts w:hint="eastAsia"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洛阳立青科技有限公司</w:t>
            </w:r>
          </w:p>
          <w:p w14:paraId="6009180F">
            <w:pPr>
              <w:pStyle w:val="7"/>
              <w:spacing w:line="360" w:lineRule="auto"/>
              <w:ind w:left="0" w:leftChars="0" w:firstLine="0" w:firstLineChars="0"/>
              <w:jc w:val="center"/>
              <w:rPr>
                <w:rFonts w:hint="eastAsia" w:ascii="宋体" w:eastAsia="宋体" w:cs="宋体"/>
                <w:sz w:val="21"/>
                <w:szCs w:val="21"/>
                <w:vertAlign w:val="baseline"/>
                <w:lang w:val="en-US" w:eastAsia="zh-CN"/>
              </w:rPr>
            </w:pPr>
          </w:p>
        </w:tc>
        <w:tc>
          <w:tcPr>
            <w:tcW w:w="1092" w:type="dxa"/>
            <w:vAlign w:val="center"/>
          </w:tcPr>
          <w:p w14:paraId="75E109AE">
            <w:pPr>
              <w:pStyle w:val="7"/>
              <w:spacing w:line="360" w:lineRule="auto"/>
              <w:ind w:left="0" w:leftChars="0" w:firstLine="0" w:firstLineChars="0"/>
              <w:jc w:val="center"/>
              <w:rPr>
                <w:rFonts w:hint="default" w:ascii="宋体" w:eastAsia="宋体" w:cs="宋体"/>
                <w:sz w:val="21"/>
                <w:szCs w:val="21"/>
                <w:vertAlign w:val="baseline"/>
                <w:lang w:val="en-US" w:eastAsia="zh-CN"/>
              </w:rPr>
            </w:pPr>
            <w:r>
              <w:rPr>
                <w:rFonts w:hint="eastAsia" w:ascii="宋体" w:eastAsia="宋体" w:cs="宋体"/>
                <w:sz w:val="21"/>
                <w:szCs w:val="21"/>
                <w:vertAlign w:val="baseline"/>
                <w:lang w:val="en-US" w:eastAsia="zh-CN"/>
              </w:rPr>
              <w:t>符合性检查</w:t>
            </w:r>
          </w:p>
        </w:tc>
        <w:tc>
          <w:tcPr>
            <w:tcW w:w="4344" w:type="dxa"/>
            <w:shd w:val="clear" w:color="auto" w:fill="auto"/>
            <w:vAlign w:val="center"/>
          </w:tcPr>
          <w:p w14:paraId="40BDABC2">
            <w:pPr>
              <w:keepNext w:val="0"/>
              <w:keepLines w:val="0"/>
              <w:widowControl/>
              <w:suppressLineNumbers w:val="0"/>
              <w:jc w:val="left"/>
              <w:rPr>
                <w:rFonts w:hint="default" w:ascii="宋体" w:hAnsi="Calibri" w:eastAsia="宋体" w:cs="宋体"/>
                <w:kern w:val="0"/>
                <w:sz w:val="21"/>
                <w:szCs w:val="21"/>
                <w:vertAlign w:val="baseline"/>
                <w:lang w:val="en-US" w:eastAsia="zh-CN" w:bidi="ar-SA"/>
              </w:rPr>
            </w:pPr>
            <w:r>
              <w:rPr>
                <w:rFonts w:hint="eastAsia" w:ascii="宋体" w:hAnsi="宋体" w:eastAsia="宋体" w:cs="宋体"/>
                <w:color w:val="000000"/>
                <w:kern w:val="0"/>
                <w:sz w:val="21"/>
                <w:szCs w:val="21"/>
                <w:lang w:val="en-US" w:eastAsia="zh-CN" w:bidi="ar"/>
              </w:rPr>
              <w:t>贵公司竞争性谈判响应文件提供的供货方案分项描述不具体，针对项目特点不满足采购需求。依据招标文件 26.2.2（9）未实质性响应采购文件。</w:t>
            </w:r>
          </w:p>
        </w:tc>
        <w:tc>
          <w:tcPr>
            <w:tcW w:w="1021" w:type="dxa"/>
            <w:vAlign w:val="center"/>
          </w:tcPr>
          <w:p w14:paraId="3478999F">
            <w:pPr>
              <w:pStyle w:val="7"/>
              <w:spacing w:line="360" w:lineRule="auto"/>
              <w:ind w:left="0" w:leftChars="0" w:firstLine="0" w:firstLineChars="0"/>
              <w:jc w:val="center"/>
              <w:rPr>
                <w:rFonts w:hint="default" w:ascii="宋体" w:eastAsia="宋体" w:cs="宋体"/>
                <w:sz w:val="21"/>
                <w:szCs w:val="21"/>
                <w:vertAlign w:val="baseline"/>
                <w:lang w:val="en-US" w:eastAsia="zh-CN"/>
              </w:rPr>
            </w:pPr>
          </w:p>
        </w:tc>
      </w:tr>
    </w:tbl>
    <w:p w14:paraId="4606A885">
      <w:pPr>
        <w:rPr>
          <w:rFonts w:hint="default" w:ascii="微软雅黑" w:hAnsi="微软雅黑" w:eastAsia="微软雅黑" w:cs="微软雅黑"/>
          <w:i w:val="0"/>
          <w:iCs w:val="0"/>
          <w:caps w:val="0"/>
          <w:color w:val="000000"/>
          <w:spacing w:val="0"/>
          <w:sz w:val="27"/>
          <w:szCs w:val="27"/>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NhNzEzNDliZDZjMzJlMmQzYWZhYWE2MDhiN2YzZTcifQ=="/>
  </w:docVars>
  <w:rsids>
    <w:rsidRoot w:val="375811B6"/>
    <w:rsid w:val="00E645F8"/>
    <w:rsid w:val="00ED3430"/>
    <w:rsid w:val="02353A89"/>
    <w:rsid w:val="02F76F90"/>
    <w:rsid w:val="03DD5458"/>
    <w:rsid w:val="093323A4"/>
    <w:rsid w:val="093F7BFA"/>
    <w:rsid w:val="0C3C77C2"/>
    <w:rsid w:val="0D6B035F"/>
    <w:rsid w:val="0E3F3599"/>
    <w:rsid w:val="0EC8358F"/>
    <w:rsid w:val="135D47A6"/>
    <w:rsid w:val="1497287A"/>
    <w:rsid w:val="17696C25"/>
    <w:rsid w:val="1E11074A"/>
    <w:rsid w:val="1E2C7696"/>
    <w:rsid w:val="1FF22B62"/>
    <w:rsid w:val="206D3F96"/>
    <w:rsid w:val="23137077"/>
    <w:rsid w:val="2F68699C"/>
    <w:rsid w:val="31E22A36"/>
    <w:rsid w:val="31E57E30"/>
    <w:rsid w:val="322E7784"/>
    <w:rsid w:val="323F6E92"/>
    <w:rsid w:val="328E2276"/>
    <w:rsid w:val="34CE2DFE"/>
    <w:rsid w:val="35281589"/>
    <w:rsid w:val="353A0493"/>
    <w:rsid w:val="375811B6"/>
    <w:rsid w:val="3BED44B1"/>
    <w:rsid w:val="404C3770"/>
    <w:rsid w:val="41511D19"/>
    <w:rsid w:val="436B1341"/>
    <w:rsid w:val="459409DA"/>
    <w:rsid w:val="482D08CB"/>
    <w:rsid w:val="482F0DC1"/>
    <w:rsid w:val="4A5751EC"/>
    <w:rsid w:val="4CB16E35"/>
    <w:rsid w:val="4FAE58AE"/>
    <w:rsid w:val="511931FB"/>
    <w:rsid w:val="52C8137C"/>
    <w:rsid w:val="55C71477"/>
    <w:rsid w:val="57582A89"/>
    <w:rsid w:val="5EFA693D"/>
    <w:rsid w:val="61050FC1"/>
    <w:rsid w:val="617A5F38"/>
    <w:rsid w:val="64A62BA0"/>
    <w:rsid w:val="65493C57"/>
    <w:rsid w:val="67534CE7"/>
    <w:rsid w:val="6FBC69C8"/>
    <w:rsid w:val="75162514"/>
    <w:rsid w:val="77E54CD2"/>
    <w:rsid w:val="785D5F3F"/>
    <w:rsid w:val="7B2A7C2F"/>
    <w:rsid w:val="7B5D0004"/>
    <w:rsid w:val="7E0E5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9"/>
    <w:pPr>
      <w:keepNext/>
      <w:keepLines/>
      <w:spacing w:before="260" w:after="260" w:line="416" w:lineRule="auto"/>
      <w:outlineLvl w:val="1"/>
    </w:pPr>
    <w:rPr>
      <w:rFonts w:ascii="Arial" w:hAnsi="Arial" w:eastAsia="黑体"/>
      <w:b/>
      <w:bCs/>
      <w:kern w:val="0"/>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rPr>
      <w:kern w:val="0"/>
      <w:sz w:val="20"/>
    </w:rPr>
  </w:style>
  <w:style w:type="paragraph" w:customStyle="1" w:styleId="4">
    <w:name w:val="Default"/>
    <w:basedOn w:val="5"/>
    <w:next w:val="1"/>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Plain Text"/>
    <w:basedOn w:val="1"/>
    <w:next w:val="3"/>
    <w:qFormat/>
    <w:uiPriority w:val="0"/>
    <w:pPr>
      <w:widowControl/>
      <w:spacing w:before="100" w:beforeAutospacing="1" w:after="100" w:afterAutospacing="1"/>
      <w:jc w:val="left"/>
    </w:pPr>
    <w:rPr>
      <w:rFonts w:ascii="宋体" w:hAnsi="宋体" w:cs="宋体"/>
      <w:kern w:val="0"/>
      <w:sz w:val="24"/>
    </w:rPr>
  </w:style>
  <w:style w:type="paragraph" w:styleId="6">
    <w:name w:val="Body Text Indent"/>
    <w:basedOn w:val="1"/>
    <w:qFormat/>
    <w:uiPriority w:val="99"/>
    <w:pPr>
      <w:ind w:left="360" w:firstLine="473"/>
    </w:pPr>
    <w:rPr>
      <w:rFonts w:ascii="宋体" w:hAnsi="宋体"/>
      <w:kern w:val="0"/>
      <w:sz w:val="24"/>
      <w:szCs w:val="20"/>
    </w:rPr>
  </w:style>
  <w:style w:type="paragraph" w:styleId="7">
    <w:name w:val="Body Text First Indent"/>
    <w:basedOn w:val="3"/>
    <w:next w:val="8"/>
    <w:qFormat/>
    <w:uiPriority w:val="99"/>
    <w:pPr>
      <w:spacing w:after="0" w:line="360" w:lineRule="auto"/>
      <w:ind w:firstLine="420" w:firstLineChars="100"/>
    </w:pPr>
    <w:rPr>
      <w:szCs w:val="21"/>
    </w:rPr>
  </w:style>
  <w:style w:type="paragraph" w:styleId="8">
    <w:name w:val="Body Text First Indent 2"/>
    <w:basedOn w:val="6"/>
    <w:qFormat/>
    <w:uiPriority w:val="99"/>
    <w:pPr>
      <w:spacing w:after="120"/>
      <w:ind w:left="0" w:firstLine="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333333"/>
      <w:u w:val="none"/>
    </w:rPr>
  </w:style>
  <w:style w:type="character" w:styleId="13">
    <w:name w:val="Hyperlink"/>
    <w:basedOn w:val="11"/>
    <w:qFormat/>
    <w:uiPriority w:val="0"/>
    <w:rPr>
      <w:color w:val="333333"/>
      <w:u w:val="none"/>
    </w:rPr>
  </w:style>
  <w:style w:type="character" w:customStyle="1" w:styleId="14">
    <w:name w:val="toolbarlabel2"/>
    <w:basedOn w:val="11"/>
    <w:qFormat/>
    <w:uiPriority w:val="0"/>
  </w:style>
  <w:style w:type="character" w:customStyle="1" w:styleId="15">
    <w:name w:val="toolbarlabel"/>
    <w:basedOn w:val="11"/>
    <w:qFormat/>
    <w:uiPriority w:val="0"/>
    <w:rPr>
      <w:color w:val="333333"/>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90</Words>
  <Characters>144</Characters>
  <Lines>0</Lines>
  <Paragraphs>0</Paragraphs>
  <TotalTime>2</TotalTime>
  <ScaleCrop>false</ScaleCrop>
  <LinksUpToDate>false</LinksUpToDate>
  <CharactersWithSpaces>144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2024-09-06T10:41:00Z</dcterms:created>
  <dc:creator>L ～～</dc:creator>
  <cp:lastModifiedBy>NTKO</cp:lastModifiedBy>
  <cp:lastPrinted>2025-08-29T08:12:00Z</cp:lastPrinted>
  <dcterms:modified xsi:type="dcterms:W3CDTF">2025-09-12T07:22:25Z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A82C14769B0F401B9EC1D9606D47758B_13</vt:lpwstr>
  </property>
  <property fmtid="{D5CDD505-2E9C-101B-9397-08002B2CF9AE}" pid="4" name="KSOTemplateDocerSaveRecord">
    <vt:lpwstr>eyJoZGlkIjoiZTA4YzVjMWM3OTNkZDdkOTRiM2YwNGM1NzRiNjM2NDIiLCJ1c2VySWQiOiI0NTY5MjI1ODEifQ==</vt:lpwstr>
  </property>
</Properties>
</file>