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9BC33">
      <w:pPr>
        <w:pStyle w:val="2"/>
        <w:ind w:firstLine="1325" w:firstLineChars="3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项目事前绩效评估报告</w:t>
      </w:r>
    </w:p>
    <w:p w14:paraId="594F7318">
      <w:pPr>
        <w:pStyle w:val="3"/>
        <w:numPr>
          <w:ilvl w:val="0"/>
          <w:numId w:val="0"/>
        </w:numPr>
        <w:spacing w:before="111"/>
        <w:ind w:firstLine="640" w:firstLineChars="200"/>
        <w:rPr>
          <w:rFonts w:hint="eastAsia" w:ascii="黑体" w:hAnsi="黑体" w:eastAsia="黑体" w:cs="黑体"/>
          <w:sz w:val="32"/>
          <w:szCs w:val="32"/>
          <w:lang w:val="zh-CN" w:eastAsia="zh-CN" w:bidi="zh-CN"/>
        </w:rPr>
      </w:pPr>
    </w:p>
    <w:p w14:paraId="75A2C8A9">
      <w:pPr>
        <w:pStyle w:val="3"/>
        <w:numPr>
          <w:ilvl w:val="0"/>
          <w:numId w:val="0"/>
        </w:numPr>
        <w:spacing w:before="111"/>
        <w:ind w:firstLine="640" w:firstLineChars="200"/>
        <w:rPr>
          <w:rFonts w:hint="eastAsia" w:ascii="黑体" w:hAnsi="黑体" w:eastAsia="黑体" w:cs="黑体"/>
          <w:sz w:val="32"/>
          <w:szCs w:val="32"/>
        </w:rPr>
      </w:pPr>
      <w:r>
        <w:rPr>
          <w:rFonts w:hint="eastAsia" w:ascii="黑体" w:hAnsi="黑体" w:eastAsia="黑体" w:cs="黑体"/>
          <w:sz w:val="32"/>
          <w:szCs w:val="32"/>
          <w:lang w:val="zh-CN" w:eastAsia="zh-CN" w:bidi="zh-CN"/>
        </w:rPr>
        <w:t>一、</w:t>
      </w:r>
      <w:r>
        <w:rPr>
          <w:rFonts w:hint="eastAsia" w:ascii="黑体" w:hAnsi="黑体" w:eastAsia="黑体" w:cs="黑体"/>
          <w:sz w:val="32"/>
          <w:szCs w:val="32"/>
        </w:rPr>
        <w:t>项目基本情况</w:t>
      </w:r>
    </w:p>
    <w:p w14:paraId="0D3639FE">
      <w:pPr>
        <w:pStyle w:val="3"/>
        <w:spacing w:before="111"/>
        <w:ind w:firstLine="304" w:firstLineChars="100"/>
        <w:rPr>
          <w:rFonts w:hint="eastAsia" w:ascii="楷体_GB2312" w:hAnsi="楷体_GB2312" w:eastAsia="楷体_GB2312" w:cs="楷体_GB2312"/>
          <w:w w:val="95"/>
          <w:sz w:val="32"/>
          <w:szCs w:val="32"/>
        </w:rPr>
      </w:pPr>
      <w:r>
        <w:rPr>
          <w:rFonts w:hint="eastAsia" w:ascii="楷体_GB2312" w:hAnsi="楷体_GB2312" w:eastAsia="楷体_GB2312" w:cs="楷体_GB2312"/>
          <w:w w:val="95"/>
          <w:sz w:val="32"/>
          <w:szCs w:val="32"/>
        </w:rPr>
        <w:t>（一）立项背景及依据</w:t>
      </w:r>
    </w:p>
    <w:p w14:paraId="3E33AC9E">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中共中央办公厅、国务院办公厅《关于进一步加强非物质文化遗产保护工作的意见》指出推动非遗融入国民教育体系：鼓励将非物质文化遗产内容贯穿国民教育始终，鼓励建设国家级非物质文化遗产代表性项目特色中小学传承基地和职业院校实践基地。</w:t>
      </w:r>
    </w:p>
    <w:p w14:paraId="57E8325A">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我校艺术与设计学院长期以来高度重视学生的艺术实践教育，然而当前在硬件设施上面临明显短板：</w:t>
      </w:r>
    </w:p>
    <w:p w14:paraId="1C92632F">
      <w:pPr>
        <w:pStyle w:val="3"/>
        <w:numPr>
          <w:numId w:val="0"/>
        </w:numPr>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 xml:space="preserve">1、特色教学空间缺失 </w:t>
      </w:r>
    </w:p>
    <w:p w14:paraId="485D4F59">
      <w:pPr>
        <w:pStyle w:val="3"/>
        <w:numPr>
          <w:ilvl w:val="0"/>
          <w:numId w:val="0"/>
        </w:numPr>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目前，学校缺乏一个能够集中展示学生艺术创作成果、并能有效开展剪纸、戏曲等特色艺术课程教学的专用场地。现有普通教室功能单一，无法满足沉浸式、场景化教学的需要，制约了教学效果的深度提升。</w:t>
      </w:r>
    </w:p>
    <w:p w14:paraId="518CCB01">
      <w:pPr>
        <w:pStyle w:val="3"/>
        <w:numPr>
          <w:numId w:val="0"/>
        </w:numPr>
        <w:spacing w:before="111"/>
        <w:ind w:left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2、文化育人功能不足</w:t>
      </w:r>
    </w:p>
    <w:p w14:paraId="70401EC7">
      <w:pPr>
        <w:pStyle w:val="3"/>
        <w:numPr>
          <w:ilvl w:val="0"/>
          <w:numId w:val="0"/>
        </w:numPr>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校园环境是“无声的课堂”，对学生的审美熏陶和职业认同感培养至关重要。学校目前缺乏一个能彰显幼师特色、浓缩传统文化精髓的标志性文化空间，校园文化的凝聚力和感染力有待进一步加强。</w:t>
      </w:r>
    </w:p>
    <w:p w14:paraId="19A89661">
      <w:pPr>
        <w:pStyle w:val="3"/>
        <w:numPr>
          <w:numId w:val="0"/>
        </w:numPr>
        <w:spacing w:before="111"/>
        <w:ind w:left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3、实践教学平台局限</w:t>
      </w:r>
    </w:p>
    <w:p w14:paraId="1C655E0C">
      <w:pPr>
        <w:pStyle w:val="3"/>
        <w:numPr>
          <w:ilvl w:val="0"/>
          <w:numId w:val="0"/>
        </w:numPr>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艺术教育，尤其是面向幼师的培养，强调“知行合一”。学生需要一个从创作、展示到模拟教学的完整实践链条。现有条件的局限，使得学生难以获得高质量的教学情境体验，影响了其未来岗位的适应能力和创新能力的培养。</w:t>
      </w:r>
    </w:p>
    <w:p w14:paraId="4A2DDDF4">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在此背景下，启动“非遗工作室”装修改造项目，整合建设艺术长廊、剪纸教室和戏曲展厅，不仅是改善办学条件的迫切需要，更是学校顺应时代发展、提升核心竞争力的战略抉择。</w:t>
      </w:r>
    </w:p>
    <w:p w14:paraId="31DFC285">
      <w:pPr>
        <w:pStyle w:val="3"/>
        <w:spacing w:before="111"/>
        <w:ind w:firstLine="304" w:firstLineChars="100"/>
        <w:rPr>
          <w:rFonts w:hint="default" w:ascii="楷体_GB2312" w:hAnsi="楷体_GB2312" w:eastAsia="楷体_GB2312" w:cs="楷体_GB2312"/>
          <w:w w:val="95"/>
          <w:sz w:val="32"/>
          <w:szCs w:val="32"/>
          <w:lang w:val="en-US" w:eastAsia="zh-CN"/>
        </w:rPr>
      </w:pPr>
      <w:r>
        <w:rPr>
          <w:rFonts w:hint="eastAsia" w:ascii="楷体_GB2312" w:hAnsi="楷体_GB2312" w:eastAsia="楷体_GB2312" w:cs="楷体_GB2312"/>
          <w:w w:val="95"/>
          <w:sz w:val="32"/>
          <w:szCs w:val="32"/>
          <w:lang w:val="en-US" w:eastAsia="zh-CN"/>
        </w:rPr>
        <w:t xml:space="preserve"> 项目立项依据主要内容如下:</w:t>
      </w:r>
    </w:p>
    <w:p w14:paraId="26A931A4">
      <w:pPr>
        <w:pStyle w:val="3"/>
        <w:numPr>
          <w:numId w:val="0"/>
        </w:numPr>
        <w:spacing w:before="111"/>
        <w:ind w:left="608" w:leftChars="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1、政策法规依据</w:t>
      </w:r>
    </w:p>
    <w:p w14:paraId="07624485">
      <w:pPr>
        <w:pStyle w:val="3"/>
        <w:numPr>
          <w:numId w:val="0"/>
        </w:numPr>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符合《普通高等学校本科专业类教学质量国家标准》（音乐与舞蹈学类、美术学类）中“专业实践能力”“文化传承创新”的培养目标，契合学校“十四五”规划中“强化艺术与设计学院专业特色”的发展战略。</w:t>
      </w:r>
    </w:p>
    <w:p w14:paraId="5F9BA604">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本项目与我校“十四五”发展规划中明确的“打造艺术教育特色，强化校园文化内涵建设”的战略目标高度契合，是落实学校顶层设计的具体行动。</w:t>
      </w:r>
    </w:p>
    <w:p w14:paraId="620DAFBC">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2、行业需求依据：当前，优质的学前教育资源是社会关注的焦点。具备良好艺术素养、能够熟练组织和引导幼儿进行艺术体验与传统文化启蒙活动的教师，已成为各类幼儿园争相聘请的紧缺人才。本项目的建设将极大增强我校毕业生在就业市场的核心竞争力。</w:t>
      </w:r>
    </w:p>
    <w:p w14:paraId="52485120">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传统文化传承的使命：剪纸和戏曲是中华优秀传统文化的瑰宝，也是最易于被幼儿感知和体验的艺术形式。在幼师培养阶段强化此类内容，是从源头上培养文化传承者的关键举措，对于坚定文化自信、培育民族精神具有深远意义。</w:t>
      </w:r>
    </w:p>
    <w:p w14:paraId="497CE7DF">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3、现实发展依据：补齐硬件短板，提升教学质量： 项目建设将彻底改变学校艺术教育“有课程、无阵地”的现状，为师生提供一个专业化、高标准的教学与实践环境，直接提升剪纸、戏曲等特色课程的教学质量与学生的实操技能。</w:t>
      </w:r>
    </w:p>
    <w:p w14:paraId="6F888F90">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打造文化名片，营造育人氛围： 一个集展示、教学、体验于一体的艺术教育中心，将成为学校最具特色的文化地标。它不仅能够展示办学成果，更能通过环境浸润，潜移默化地培养学生的审美情趣、职业自豪感和文化认同感。</w:t>
      </w:r>
    </w:p>
    <w:p w14:paraId="6AFF0B3D">
      <w:pPr>
        <w:pStyle w:val="3"/>
        <w:spacing w:before="111"/>
        <w:ind w:firstLine="608" w:firstLineChars="200"/>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搭建交流窗口，扩大社会影响： 该中心建成后，可作为学校对外开放、交流互动的平台，向生源基地、合作幼儿园及社会各界展示我校的办学特色与实力，提升学校的社会声誉和影响力。</w:t>
      </w:r>
    </w:p>
    <w:p w14:paraId="731F2ECD">
      <w:pPr>
        <w:pStyle w:val="3"/>
        <w:numPr>
          <w:ilvl w:val="0"/>
          <w:numId w:val="0"/>
        </w:numPr>
        <w:spacing w:before="108"/>
        <w:ind w:firstLine="608" w:firstLineChars="200"/>
        <w:rPr>
          <w:rFonts w:hint="eastAsia" w:ascii="黑体" w:hAnsi="黑体" w:eastAsia="黑体" w:cs="黑体"/>
          <w:w w:val="95"/>
          <w:sz w:val="32"/>
          <w:szCs w:val="32"/>
        </w:rPr>
      </w:pPr>
      <w:r>
        <w:rPr>
          <w:rFonts w:hint="eastAsia" w:ascii="黑体" w:hAnsi="黑体" w:eastAsia="黑体" w:cs="黑体"/>
          <w:w w:val="95"/>
          <w:sz w:val="32"/>
          <w:szCs w:val="32"/>
        </w:rPr>
        <w:t>二、 项目具体内容</w:t>
      </w:r>
    </w:p>
    <w:p w14:paraId="01A99BBB">
      <w:pPr>
        <w:pStyle w:val="3"/>
        <w:numPr>
          <w:ilvl w:val="0"/>
          <w:numId w:val="0"/>
        </w:numPr>
        <w:spacing w:before="108"/>
        <w:ind w:firstLine="304" w:firstLineChars="100"/>
        <w:rPr>
          <w:rFonts w:hint="eastAsia" w:ascii="楷体_GB2312" w:hAnsi="楷体_GB2312" w:eastAsia="楷体_GB2312" w:cs="楷体_GB2312"/>
          <w:w w:val="95"/>
          <w:sz w:val="32"/>
          <w:szCs w:val="32"/>
        </w:rPr>
      </w:pPr>
      <w:r>
        <w:rPr>
          <w:rFonts w:hint="eastAsia" w:ascii="楷体_GB2312" w:hAnsi="楷体_GB2312" w:eastAsia="楷体_GB2312" w:cs="楷体_GB2312"/>
          <w:w w:val="95"/>
          <w:sz w:val="32"/>
          <w:szCs w:val="32"/>
          <w:lang w:eastAsia="zh-CN"/>
        </w:rPr>
        <w:t>（</w:t>
      </w:r>
      <w:r>
        <w:rPr>
          <w:rFonts w:hint="eastAsia" w:ascii="楷体_GB2312" w:hAnsi="楷体_GB2312" w:eastAsia="楷体_GB2312" w:cs="楷体_GB2312"/>
          <w:w w:val="95"/>
          <w:sz w:val="32"/>
          <w:szCs w:val="32"/>
          <w:lang w:val="en-US" w:eastAsia="zh-CN"/>
        </w:rPr>
        <w:t>一</w:t>
      </w:r>
      <w:r>
        <w:rPr>
          <w:rFonts w:hint="eastAsia" w:ascii="楷体_GB2312" w:hAnsi="楷体_GB2312" w:eastAsia="楷体_GB2312" w:cs="楷体_GB2312"/>
          <w:w w:val="95"/>
          <w:sz w:val="32"/>
          <w:szCs w:val="32"/>
          <w:lang w:eastAsia="zh-CN"/>
        </w:rPr>
        <w:t>）</w:t>
      </w:r>
      <w:r>
        <w:rPr>
          <w:rFonts w:hint="eastAsia" w:ascii="楷体_GB2312" w:hAnsi="楷体_GB2312" w:eastAsia="楷体_GB2312" w:cs="楷体_GB2312"/>
          <w:w w:val="95"/>
          <w:sz w:val="32"/>
          <w:szCs w:val="32"/>
        </w:rPr>
        <w:t xml:space="preserve"> 项目范围</w:t>
      </w:r>
    </w:p>
    <w:p w14:paraId="0960C12D">
      <w:pPr>
        <w:pStyle w:val="3"/>
        <w:numPr>
          <w:ilvl w:val="0"/>
          <w:numId w:val="0"/>
        </w:numPr>
        <w:spacing w:before="108"/>
        <w:rPr>
          <w:rFonts w:hint="eastAsia" w:ascii="仿宋_GB2312" w:hAnsi="仿宋_GB2312" w:eastAsia="仿宋_GB2312" w:cs="仿宋_GB2312"/>
          <w:w w:val="95"/>
          <w:sz w:val="32"/>
          <w:szCs w:val="32"/>
        </w:rPr>
      </w:pPr>
    </w:p>
    <w:p w14:paraId="0719F70F">
      <w:pPr>
        <w:pStyle w:val="3"/>
        <w:numPr>
          <w:ilvl w:val="0"/>
          <w:numId w:val="0"/>
        </w:numPr>
        <w:spacing w:before="108"/>
        <w:rPr>
          <w:rFonts w:hint="eastAsia" w:ascii="仿宋_GB2312" w:hAnsi="仿宋_GB2312" w:eastAsia="仿宋_GB2312" w:cs="仿宋_GB2312"/>
          <w:w w:val="95"/>
          <w:sz w:val="32"/>
          <w:szCs w:val="32"/>
        </w:rPr>
      </w:pPr>
    </w:p>
    <w:p w14:paraId="7AF6E186">
      <w:pPr>
        <w:pStyle w:val="3"/>
        <w:numPr>
          <w:ilvl w:val="0"/>
          <w:numId w:val="0"/>
        </w:numPr>
        <w:spacing w:before="108"/>
        <w:rPr>
          <w:rFonts w:hint="eastAsia" w:ascii="仿宋_GB2312" w:hAnsi="仿宋_GB2312" w:eastAsia="仿宋_GB2312" w:cs="仿宋_GB2312"/>
          <w:w w:val="95"/>
          <w:sz w:val="32"/>
          <w:szCs w:val="32"/>
        </w:rPr>
      </w:pPr>
    </w:p>
    <w:p w14:paraId="5C5598B2">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本项目将围绕三个核心功能区展开，具体建设内容如下：</w:t>
      </w:r>
    </w:p>
    <w:p w14:paraId="6F092178">
      <w:pPr>
        <w:pStyle w:val="3"/>
        <w:numPr>
          <w:ilvl w:val="0"/>
          <w:numId w:val="0"/>
        </w:numPr>
        <w:spacing w:before="108"/>
        <w:ind w:firstLine="304" w:firstLineChars="100"/>
        <w:rPr>
          <w:rFonts w:hint="eastAsia" w:ascii="楷体_GB2312" w:hAnsi="楷体_GB2312" w:eastAsia="楷体_GB2312" w:cs="楷体_GB2312"/>
          <w:w w:val="95"/>
          <w:sz w:val="32"/>
          <w:szCs w:val="32"/>
        </w:rPr>
      </w:pPr>
      <w:r>
        <w:rPr>
          <w:rFonts w:hint="eastAsia" w:ascii="楷体_GB2312" w:hAnsi="楷体_GB2312" w:eastAsia="楷体_GB2312" w:cs="楷体_GB2312"/>
          <w:w w:val="95"/>
          <w:sz w:val="32"/>
          <w:szCs w:val="32"/>
        </w:rPr>
        <w:t>（一）艺术长廊</w:t>
      </w:r>
    </w:p>
    <w:p w14:paraId="0C09196F">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1、</w:t>
      </w:r>
      <w:r>
        <w:rPr>
          <w:rFonts w:hint="eastAsia" w:ascii="仿宋_GB2312" w:hAnsi="仿宋_GB2312" w:eastAsia="仿宋_GB2312" w:cs="仿宋_GB2312"/>
          <w:w w:val="95"/>
          <w:sz w:val="32"/>
          <w:szCs w:val="32"/>
        </w:rPr>
        <w:t>空间改造：对长廊墙面进行整体处理</w:t>
      </w:r>
      <w:r>
        <w:rPr>
          <w:rFonts w:hint="eastAsia" w:ascii="仿宋_GB2312" w:hAnsi="仿宋_GB2312" w:eastAsia="仿宋_GB2312" w:cs="仿宋_GB2312"/>
          <w:w w:val="95"/>
          <w:sz w:val="32"/>
          <w:szCs w:val="32"/>
          <w:lang w:eastAsia="zh-CN"/>
        </w:rPr>
        <w:t>；</w:t>
      </w:r>
      <w:bookmarkStart w:id="0" w:name="OLE_LINK1"/>
      <w:r>
        <w:rPr>
          <w:rFonts w:hint="eastAsia" w:ascii="仿宋_GB2312" w:hAnsi="仿宋_GB2312" w:eastAsia="仿宋_GB2312" w:cs="仿宋_GB2312"/>
          <w:w w:val="95"/>
          <w:sz w:val="32"/>
          <w:szCs w:val="32"/>
        </w:rPr>
        <w:t>铺设静音、耐磨地面材料（</w:t>
      </w:r>
      <w:r>
        <w:rPr>
          <w:rFonts w:hint="eastAsia" w:ascii="仿宋_GB2312" w:hAnsi="仿宋_GB2312" w:eastAsia="仿宋_GB2312" w:cs="仿宋_GB2312"/>
          <w:w w:val="95"/>
          <w:sz w:val="32"/>
          <w:szCs w:val="32"/>
          <w:lang w:val="en-US" w:eastAsia="zh-CN"/>
        </w:rPr>
        <w:t>同质透心型</w:t>
      </w:r>
      <w:r>
        <w:rPr>
          <w:rFonts w:hint="eastAsia" w:ascii="仿宋_GB2312" w:hAnsi="仿宋_GB2312" w:eastAsia="仿宋_GB2312" w:cs="仿宋_GB2312"/>
          <w:w w:val="95"/>
          <w:sz w:val="32"/>
          <w:szCs w:val="32"/>
        </w:rPr>
        <w:t>地板）。</w:t>
      </w:r>
      <w:bookmarkEnd w:id="0"/>
      <w:r>
        <w:rPr>
          <w:rFonts w:hint="eastAsia" w:ascii="仿宋_GB2312" w:hAnsi="仿宋_GB2312" w:eastAsia="仿宋_GB2312" w:cs="仿宋_GB2312"/>
          <w:w w:val="95"/>
          <w:sz w:val="32"/>
          <w:szCs w:val="32"/>
        </w:rPr>
        <w:t>吊顶安装嵌入式灯具与预设轨道，为重点展区提供灵活照明。</w:t>
      </w:r>
    </w:p>
    <w:p w14:paraId="6D0C857E">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2、</w:t>
      </w:r>
      <w:r>
        <w:rPr>
          <w:rFonts w:hint="eastAsia" w:ascii="仿宋_GB2312" w:hAnsi="仿宋_GB2312" w:eastAsia="仿宋_GB2312" w:cs="仿宋_GB2312"/>
          <w:w w:val="95"/>
          <w:sz w:val="32"/>
          <w:szCs w:val="32"/>
        </w:rPr>
        <w:t>展陈系统：设置多个立体展柜，用于陈列立体手工作品、陶艺等易损艺术品。安装</w:t>
      </w:r>
      <w:r>
        <w:rPr>
          <w:rFonts w:hint="eastAsia" w:ascii="仿宋_GB2312" w:hAnsi="仿宋_GB2312" w:eastAsia="仿宋_GB2312" w:cs="仿宋_GB2312"/>
          <w:w w:val="95"/>
          <w:sz w:val="32"/>
          <w:szCs w:val="32"/>
          <w:lang w:val="en-US" w:eastAsia="zh-CN"/>
        </w:rPr>
        <w:t>推拉活动展板</w:t>
      </w:r>
      <w:r>
        <w:rPr>
          <w:rFonts w:hint="eastAsia" w:ascii="仿宋_GB2312" w:hAnsi="仿宋_GB2312" w:eastAsia="仿宋_GB2312" w:cs="仿宋_GB2312"/>
          <w:w w:val="95"/>
          <w:sz w:val="32"/>
          <w:szCs w:val="32"/>
        </w:rPr>
        <w:t>，用于展示学生的作品。设置作品信息标签卡槽，呈现作品名称、作者、班级等信息。</w:t>
      </w:r>
    </w:p>
    <w:p w14:paraId="7B22ADB1">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3、</w:t>
      </w:r>
      <w:r>
        <w:rPr>
          <w:rFonts w:hint="eastAsia" w:ascii="仿宋_GB2312" w:hAnsi="仿宋_GB2312" w:eastAsia="仿宋_GB2312" w:cs="仿宋_GB2312"/>
          <w:w w:val="95"/>
          <w:sz w:val="32"/>
          <w:szCs w:val="32"/>
        </w:rPr>
        <w:t>环境营造：设计统一的视觉导视系统，包括区域标识、主题介绍等。灯光以高显色性射灯为主，确保艺术作品色彩真实还原。</w:t>
      </w:r>
    </w:p>
    <w:p w14:paraId="4E16B566">
      <w:pPr>
        <w:pStyle w:val="3"/>
        <w:numPr>
          <w:ilvl w:val="0"/>
          <w:numId w:val="0"/>
        </w:numPr>
        <w:spacing w:before="108"/>
        <w:ind w:firstLine="304" w:firstLineChars="100"/>
        <w:rPr>
          <w:rFonts w:hint="eastAsia" w:ascii="楷体_GB2312" w:hAnsi="楷体_GB2312" w:eastAsia="楷体_GB2312" w:cs="楷体_GB2312"/>
          <w:w w:val="95"/>
          <w:sz w:val="32"/>
          <w:szCs w:val="32"/>
        </w:rPr>
      </w:pPr>
      <w:r>
        <w:rPr>
          <w:rFonts w:hint="eastAsia" w:ascii="楷体_GB2312" w:hAnsi="楷体_GB2312" w:eastAsia="楷体_GB2312" w:cs="楷体_GB2312"/>
          <w:w w:val="95"/>
          <w:sz w:val="32"/>
          <w:szCs w:val="32"/>
        </w:rPr>
        <w:t>（二）剪纸教室</w:t>
      </w:r>
    </w:p>
    <w:p w14:paraId="7ED87262">
      <w:pPr>
        <w:pStyle w:val="3"/>
        <w:numPr>
          <w:ilvl w:val="0"/>
          <w:numId w:val="0"/>
        </w:numPr>
        <w:spacing w:before="108"/>
        <w:ind w:firstLine="608" w:firstLineChars="200"/>
        <w:rPr>
          <w:rFonts w:hint="eastAsia" w:ascii="仿宋_GB2312" w:hAnsi="仿宋_GB2312" w:eastAsia="仿宋_GB2312" w:cs="仿宋_GB2312"/>
          <w:w w:val="95"/>
          <w:sz w:val="32"/>
          <w:szCs w:val="32"/>
          <w:lang w:eastAsia="zh-CN"/>
        </w:rPr>
      </w:pPr>
      <w:r>
        <w:rPr>
          <w:rFonts w:hint="eastAsia" w:ascii="仿宋_GB2312" w:hAnsi="仿宋_GB2312" w:eastAsia="仿宋_GB2312" w:cs="仿宋_GB2312"/>
          <w:w w:val="95"/>
          <w:sz w:val="32"/>
          <w:szCs w:val="32"/>
          <w:lang w:val="en-US" w:eastAsia="zh-CN"/>
        </w:rPr>
        <w:t>1、</w:t>
      </w:r>
      <w:r>
        <w:rPr>
          <w:rFonts w:hint="eastAsia" w:ascii="仿宋_GB2312" w:hAnsi="仿宋_GB2312" w:eastAsia="仿宋_GB2312" w:cs="仿宋_GB2312"/>
          <w:w w:val="95"/>
          <w:sz w:val="32"/>
          <w:szCs w:val="32"/>
        </w:rPr>
        <w:t>空间改造：营造明亮、整洁、宁静的教学环境。铺设静音、耐磨地面材料（</w:t>
      </w:r>
      <w:r>
        <w:rPr>
          <w:rFonts w:hint="eastAsia" w:ascii="仿宋_GB2312" w:hAnsi="仿宋_GB2312" w:eastAsia="仿宋_GB2312" w:cs="仿宋_GB2312"/>
          <w:w w:val="95"/>
          <w:sz w:val="32"/>
          <w:szCs w:val="32"/>
          <w:lang w:val="en-US" w:eastAsia="zh-CN"/>
        </w:rPr>
        <w:t>同质透心型</w:t>
      </w:r>
      <w:r>
        <w:rPr>
          <w:rFonts w:hint="eastAsia" w:ascii="仿宋_GB2312" w:hAnsi="仿宋_GB2312" w:eastAsia="仿宋_GB2312" w:cs="仿宋_GB2312"/>
          <w:w w:val="95"/>
          <w:sz w:val="32"/>
          <w:szCs w:val="32"/>
        </w:rPr>
        <w:t>地板）</w:t>
      </w:r>
      <w:r>
        <w:rPr>
          <w:rFonts w:hint="eastAsia" w:ascii="仿宋_GB2312" w:hAnsi="仿宋_GB2312" w:eastAsia="仿宋_GB2312" w:cs="仿宋_GB2312"/>
          <w:w w:val="95"/>
          <w:sz w:val="32"/>
          <w:szCs w:val="32"/>
          <w:lang w:eastAsia="zh-CN"/>
        </w:rPr>
        <w:t>。</w:t>
      </w:r>
    </w:p>
    <w:p w14:paraId="172CD9DA">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2、</w:t>
      </w:r>
      <w:r>
        <w:rPr>
          <w:rFonts w:hint="eastAsia" w:ascii="仿宋_GB2312" w:hAnsi="仿宋_GB2312" w:eastAsia="仿宋_GB2312" w:cs="仿宋_GB2312"/>
          <w:w w:val="95"/>
          <w:sz w:val="32"/>
          <w:szCs w:val="32"/>
        </w:rPr>
        <w:t>功能配置：定制</w:t>
      </w:r>
      <w:r>
        <w:rPr>
          <w:rFonts w:hint="eastAsia" w:ascii="仿宋_GB2312" w:hAnsi="仿宋_GB2312" w:eastAsia="仿宋_GB2312" w:cs="仿宋_GB2312"/>
          <w:w w:val="95"/>
          <w:sz w:val="32"/>
          <w:szCs w:val="32"/>
          <w:lang w:val="en-US" w:eastAsia="zh-CN"/>
        </w:rPr>
        <w:t>组合桌椅，</w:t>
      </w:r>
      <w:r>
        <w:rPr>
          <w:rFonts w:hint="eastAsia" w:ascii="仿宋_GB2312" w:hAnsi="仿宋_GB2312" w:eastAsia="仿宋_GB2312" w:cs="仿宋_GB2312"/>
          <w:w w:val="95"/>
          <w:sz w:val="32"/>
          <w:szCs w:val="32"/>
        </w:rPr>
        <w:t>确保每位学生有充足的操作空间。</w:t>
      </w:r>
    </w:p>
    <w:p w14:paraId="54CCA8FF">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3、</w:t>
      </w:r>
      <w:r>
        <w:rPr>
          <w:rFonts w:hint="eastAsia" w:ascii="仿宋_GB2312" w:hAnsi="仿宋_GB2312" w:eastAsia="仿宋_GB2312" w:cs="仿宋_GB2312"/>
          <w:w w:val="95"/>
          <w:sz w:val="32"/>
          <w:szCs w:val="32"/>
        </w:rPr>
        <w:t>作品展示区：墙面设置</w:t>
      </w:r>
      <w:r>
        <w:rPr>
          <w:rFonts w:hint="eastAsia" w:ascii="仿宋_GB2312" w:hAnsi="仿宋_GB2312" w:eastAsia="仿宋_GB2312" w:cs="仿宋_GB2312"/>
          <w:w w:val="95"/>
          <w:sz w:val="32"/>
          <w:szCs w:val="32"/>
          <w:lang w:val="en-US" w:eastAsia="zh-CN"/>
        </w:rPr>
        <w:t>木格栅</w:t>
      </w:r>
      <w:r>
        <w:rPr>
          <w:rFonts w:hint="eastAsia" w:ascii="仿宋_GB2312" w:hAnsi="仿宋_GB2312" w:eastAsia="仿宋_GB2312" w:cs="仿宋_GB2312"/>
          <w:w w:val="95"/>
          <w:sz w:val="32"/>
          <w:szCs w:val="32"/>
        </w:rPr>
        <w:t>板，用于随手粘贴、展示半成品或小型作品。</w:t>
      </w:r>
    </w:p>
    <w:p w14:paraId="6936CC4A">
      <w:pPr>
        <w:pStyle w:val="3"/>
        <w:numPr>
          <w:ilvl w:val="0"/>
          <w:numId w:val="0"/>
        </w:numPr>
        <w:spacing w:before="108"/>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   </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 xml:space="preserve"> </w:t>
      </w:r>
      <w:r>
        <w:rPr>
          <w:rFonts w:hint="eastAsia" w:ascii="仿宋_GB2312" w:hAnsi="仿宋_GB2312" w:eastAsia="仿宋_GB2312" w:cs="仿宋_GB2312"/>
          <w:w w:val="95"/>
          <w:sz w:val="32"/>
          <w:szCs w:val="32"/>
          <w:lang w:val="en-US" w:eastAsia="zh-CN"/>
        </w:rPr>
        <w:t>4、</w:t>
      </w:r>
      <w:r>
        <w:rPr>
          <w:rFonts w:hint="eastAsia" w:ascii="仿宋_GB2312" w:hAnsi="仿宋_GB2312" w:eastAsia="仿宋_GB2312" w:cs="仿宋_GB2312"/>
          <w:w w:val="95"/>
          <w:sz w:val="32"/>
          <w:szCs w:val="32"/>
        </w:rPr>
        <w:t>教学设备：配备多媒体</w:t>
      </w:r>
      <w:r>
        <w:rPr>
          <w:rFonts w:hint="eastAsia" w:ascii="仿宋_GB2312" w:hAnsi="仿宋_GB2312" w:eastAsia="仿宋_GB2312" w:cs="仿宋_GB2312"/>
          <w:w w:val="95"/>
          <w:sz w:val="32"/>
          <w:szCs w:val="32"/>
          <w:lang w:val="en-US" w:eastAsia="zh-CN"/>
        </w:rPr>
        <w:t>显示屏</w:t>
      </w:r>
      <w:r>
        <w:rPr>
          <w:rFonts w:hint="eastAsia" w:ascii="仿宋_GB2312" w:hAnsi="仿宋_GB2312" w:eastAsia="仿宋_GB2312" w:cs="仿宋_GB2312"/>
          <w:w w:val="95"/>
          <w:sz w:val="32"/>
          <w:szCs w:val="32"/>
        </w:rPr>
        <w:t>，方便教师进行精细操作的演示。</w:t>
      </w:r>
    </w:p>
    <w:p w14:paraId="5CBC8AA7">
      <w:pPr>
        <w:pStyle w:val="3"/>
        <w:numPr>
          <w:ilvl w:val="0"/>
          <w:numId w:val="0"/>
        </w:numPr>
        <w:spacing w:before="108"/>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 </w:t>
      </w:r>
      <w:r>
        <w:rPr>
          <w:rFonts w:hint="eastAsia" w:ascii="楷体_GB2312" w:hAnsi="楷体_GB2312" w:eastAsia="楷体_GB2312" w:cs="楷体_GB2312"/>
          <w:w w:val="95"/>
          <w:sz w:val="32"/>
          <w:szCs w:val="32"/>
        </w:rPr>
        <w:t xml:space="preserve"> （三）戏曲展厅</w:t>
      </w:r>
    </w:p>
    <w:p w14:paraId="27561848">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1、</w:t>
      </w:r>
      <w:r>
        <w:rPr>
          <w:rFonts w:hint="eastAsia" w:ascii="仿宋_GB2312" w:hAnsi="仿宋_GB2312" w:eastAsia="仿宋_GB2312" w:cs="仿宋_GB2312"/>
          <w:w w:val="95"/>
          <w:sz w:val="32"/>
          <w:szCs w:val="32"/>
        </w:rPr>
        <w:t>空间改造：通过色彩、造型和灯光，营造具有中国传统戏曲文化氛围的空间。设计</w:t>
      </w:r>
      <w:r>
        <w:rPr>
          <w:rFonts w:hint="eastAsia" w:ascii="仿宋_GB2312" w:hAnsi="仿宋_GB2312" w:eastAsia="仿宋_GB2312" w:cs="仿宋_GB2312"/>
          <w:w w:val="95"/>
          <w:sz w:val="32"/>
          <w:szCs w:val="32"/>
          <w:lang w:val="en-US" w:eastAsia="zh-CN"/>
        </w:rPr>
        <w:t>大</w:t>
      </w:r>
      <w:r>
        <w:rPr>
          <w:rFonts w:hint="eastAsia" w:ascii="仿宋_GB2312" w:hAnsi="仿宋_GB2312" w:eastAsia="仿宋_GB2312" w:cs="仿宋_GB2312"/>
          <w:w w:val="95"/>
          <w:sz w:val="32"/>
          <w:szCs w:val="32"/>
        </w:rPr>
        <w:t>型</w:t>
      </w:r>
      <w:r>
        <w:rPr>
          <w:rFonts w:hint="eastAsia" w:ascii="仿宋_GB2312" w:hAnsi="仿宋_GB2312" w:eastAsia="仿宋_GB2312" w:cs="仿宋_GB2312"/>
          <w:w w:val="95"/>
          <w:sz w:val="32"/>
          <w:szCs w:val="32"/>
          <w:lang w:val="en-US" w:eastAsia="zh-CN"/>
        </w:rPr>
        <w:t>显示屏</w:t>
      </w:r>
      <w:r>
        <w:rPr>
          <w:rFonts w:hint="eastAsia" w:ascii="仿宋_GB2312" w:hAnsi="仿宋_GB2312" w:eastAsia="仿宋_GB2312" w:cs="仿宋_GB2312"/>
          <w:w w:val="95"/>
          <w:sz w:val="32"/>
          <w:szCs w:val="32"/>
        </w:rPr>
        <w:t>，用于情境模拟与表演体验。</w:t>
      </w:r>
    </w:p>
    <w:p w14:paraId="22A59498">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2、</w:t>
      </w:r>
      <w:r>
        <w:rPr>
          <w:rFonts w:hint="eastAsia" w:ascii="仿宋_GB2312" w:hAnsi="仿宋_GB2312" w:eastAsia="仿宋_GB2312" w:cs="仿宋_GB2312"/>
          <w:w w:val="95"/>
          <w:sz w:val="32"/>
          <w:szCs w:val="32"/>
        </w:rPr>
        <w:t>展陈系统</w:t>
      </w:r>
    </w:p>
    <w:p w14:paraId="5FBA71CB">
      <w:pPr>
        <w:pStyle w:val="3"/>
        <w:numPr>
          <w:ilvl w:val="0"/>
          <w:numId w:val="0"/>
        </w:numPr>
        <w:spacing w:before="108"/>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 </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文化墙：制作图文并茂的展板，系统介绍中国戏曲（特别是本地剧种）的基础知识、行当、名家等。</w:t>
      </w:r>
    </w:p>
    <w:p w14:paraId="5F905C0B">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实物展柜：定制独立展柜，用于安全、精美地陈列戏曲服饰（如蟒、靠、帔）、头饰（如翎子、凤冠）、脸谱模型及乐器。</w:t>
      </w:r>
    </w:p>
    <w:p w14:paraId="7B2AA377">
      <w:pPr>
        <w:pStyle w:val="3"/>
        <w:numPr>
          <w:ilvl w:val="0"/>
          <w:numId w:val="0"/>
        </w:numPr>
        <w:spacing w:before="108"/>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 xml:space="preserve"> </w:t>
      </w:r>
      <w:r>
        <w:rPr>
          <w:rFonts w:hint="eastAsia" w:ascii="仿宋_GB2312" w:hAnsi="仿宋_GB2312" w:eastAsia="仿宋_GB2312" w:cs="仿宋_GB2312"/>
          <w:w w:val="95"/>
          <w:sz w:val="32"/>
          <w:szCs w:val="32"/>
          <w:lang w:val="en-US" w:eastAsia="zh-CN"/>
        </w:rPr>
        <w:t xml:space="preserve">  </w:t>
      </w:r>
      <w:r>
        <w:rPr>
          <w:rFonts w:hint="eastAsia" w:ascii="仿宋_GB2312" w:hAnsi="仿宋_GB2312" w:eastAsia="仿宋_GB2312" w:cs="仿宋_GB2312"/>
          <w:w w:val="95"/>
          <w:sz w:val="32"/>
          <w:szCs w:val="32"/>
        </w:rPr>
        <w:t>音视频体验区：设置视听角，配备耳机、显示屏，循环播放经典戏曲选段、教学视频或学生表演录像。</w:t>
      </w:r>
    </w:p>
    <w:p w14:paraId="256D026F">
      <w:pPr>
        <w:pStyle w:val="3"/>
        <w:numPr>
          <w:ilvl w:val="0"/>
          <w:numId w:val="0"/>
        </w:numPr>
        <w:spacing w:before="108"/>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val="en-US" w:eastAsia="zh-CN"/>
        </w:rPr>
        <w:t>3、</w:t>
      </w:r>
      <w:r>
        <w:rPr>
          <w:rFonts w:hint="eastAsia" w:ascii="仿宋_GB2312" w:hAnsi="仿宋_GB2312" w:eastAsia="仿宋_GB2312" w:cs="仿宋_GB2312"/>
          <w:w w:val="95"/>
          <w:sz w:val="32"/>
          <w:szCs w:val="32"/>
        </w:rPr>
        <w:t>互动体验：设置“</w:t>
      </w:r>
      <w:r>
        <w:rPr>
          <w:rFonts w:hint="eastAsia" w:ascii="仿宋_GB2312" w:hAnsi="仿宋_GB2312" w:eastAsia="仿宋_GB2312" w:cs="仿宋_GB2312"/>
          <w:w w:val="95"/>
          <w:sz w:val="32"/>
          <w:szCs w:val="32"/>
          <w:lang w:val="en-US" w:eastAsia="zh-CN"/>
        </w:rPr>
        <w:t>AI换装</w:t>
      </w:r>
      <w:r>
        <w:rPr>
          <w:rFonts w:hint="eastAsia" w:ascii="仿宋_GB2312" w:hAnsi="仿宋_GB2312" w:eastAsia="仿宋_GB2312" w:cs="仿宋_GB2312"/>
          <w:w w:val="95"/>
          <w:sz w:val="32"/>
          <w:szCs w:val="32"/>
        </w:rPr>
        <w:t>区”，配备安全的仿制戏曲服饰和道具（如水袖、马鞭），增强参观的趣味性和体验感。</w:t>
      </w:r>
    </w:p>
    <w:p w14:paraId="643F7DA2">
      <w:pPr>
        <w:pStyle w:val="3"/>
        <w:numPr>
          <w:ilvl w:val="0"/>
          <w:numId w:val="0"/>
        </w:numPr>
        <w:spacing w:before="108"/>
        <w:rPr>
          <w:rFonts w:hint="eastAsia" w:ascii="黑体" w:hAnsi="黑体" w:eastAsia="黑体" w:cs="黑体"/>
          <w:sz w:val="32"/>
          <w:szCs w:val="32"/>
        </w:rPr>
      </w:pPr>
      <w:r>
        <w:rPr>
          <w:rFonts w:hint="eastAsia" w:ascii="仿宋_GB2312" w:hAnsi="仿宋_GB2312" w:eastAsia="仿宋_GB2312" w:cs="仿宋_GB2312"/>
          <w:w w:val="95"/>
          <w:sz w:val="32"/>
          <w:szCs w:val="32"/>
        </w:rPr>
        <w:t xml:space="preserve">   </w:t>
      </w:r>
      <w:r>
        <w:rPr>
          <w:rFonts w:hint="eastAsia" w:ascii="黑体" w:hAnsi="黑体" w:eastAsia="黑体" w:cs="黑体"/>
          <w:sz w:val="32"/>
          <w:szCs w:val="32"/>
          <w:lang w:val="zh-CN" w:eastAsia="zh-CN" w:bidi="zh-CN"/>
        </w:rPr>
        <w:t>三、</w:t>
      </w:r>
      <w:r>
        <w:rPr>
          <w:rFonts w:hint="eastAsia" w:ascii="黑体" w:hAnsi="黑体" w:eastAsia="黑体" w:cs="黑体"/>
          <w:sz w:val="32"/>
          <w:szCs w:val="32"/>
        </w:rPr>
        <w:t>预算资金来源及构成</w:t>
      </w:r>
    </w:p>
    <w:p w14:paraId="18ADD21A">
      <w:pPr>
        <w:pStyle w:val="3"/>
        <w:numPr>
          <w:ilvl w:val="0"/>
          <w:numId w:val="0"/>
        </w:numPr>
        <w:spacing w:before="111"/>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预算资金来源</w:t>
      </w:r>
    </w:p>
    <w:p w14:paraId="4917ED45">
      <w:pPr>
        <w:pStyle w:val="3"/>
        <w:numPr>
          <w:ilvl w:val="0"/>
          <w:numId w:val="0"/>
        </w:numPr>
        <w:spacing w:before="1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本项目总投资预算为人民币 </w:t>
      </w:r>
      <w:bookmarkStart w:id="1" w:name="OLE_LINK4"/>
      <w:r>
        <w:rPr>
          <w:rFonts w:hint="eastAsia" w:ascii="仿宋_GB2312" w:hAnsi="仿宋_GB2312" w:eastAsia="仿宋_GB2312" w:cs="仿宋_GB2312"/>
          <w:sz w:val="32"/>
          <w:szCs w:val="32"/>
          <w:lang w:val="en-US" w:eastAsia="zh-CN"/>
        </w:rPr>
        <w:t>1086908.66</w:t>
      </w:r>
      <w:r>
        <w:rPr>
          <w:rFonts w:hint="eastAsia" w:ascii="仿宋_GB2312" w:hAnsi="仿宋_GB2312" w:eastAsia="仿宋_GB2312" w:cs="仿宋_GB2312"/>
          <w:sz w:val="32"/>
          <w:szCs w:val="32"/>
        </w:rPr>
        <w:t>元</w:t>
      </w:r>
      <w:bookmarkEnd w:id="1"/>
      <w:r>
        <w:rPr>
          <w:rFonts w:hint="eastAsia" w:ascii="仿宋_GB2312" w:hAnsi="仿宋_GB2312" w:eastAsia="仿宋_GB2312" w:cs="仿宋_GB2312"/>
          <w:sz w:val="32"/>
          <w:szCs w:val="32"/>
          <w:lang w:eastAsia="zh-CN"/>
        </w:rPr>
        <w:t>。</w:t>
      </w:r>
    </w:p>
    <w:p w14:paraId="5E0ECF99">
      <w:pPr>
        <w:pStyle w:val="3"/>
        <w:numPr>
          <w:ilvl w:val="0"/>
          <w:numId w:val="0"/>
        </w:numPr>
        <w:spacing w:before="1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资金性质：财政性资金。</w:t>
      </w:r>
    </w:p>
    <w:p w14:paraId="5F639A46">
      <w:pPr>
        <w:pStyle w:val="3"/>
        <w:numPr>
          <w:ilvl w:val="0"/>
          <w:numId w:val="0"/>
        </w:numPr>
        <w:spacing w:before="1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合法性说明：该资金渠道符合国家及地方财政资金管理的相关规定，已纳入学校/主管部门的年度预算规划或专项项目库。资金用途明确为改善办学条件、支持特色学科发展，与本项目的建设目标完全一致。</w:t>
      </w:r>
    </w:p>
    <w:p w14:paraId="7EA67F13">
      <w:pPr>
        <w:pStyle w:val="3"/>
        <w:numPr>
          <w:ilvl w:val="0"/>
          <w:numId w:val="0"/>
        </w:numPr>
        <w:spacing w:before="1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保障程度：资金来源稳定、可靠，能够确保项目按计划顺利实施，不存在资金缺口或融资风险。</w:t>
      </w:r>
    </w:p>
    <w:p w14:paraId="79D1504D">
      <w:pPr>
        <w:pStyle w:val="3"/>
        <w:numPr>
          <w:ilvl w:val="0"/>
          <w:numId w:val="0"/>
        </w:numPr>
        <w:spacing w:before="111"/>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 xml:space="preserve"> 预算资金构成</w:t>
      </w:r>
    </w:p>
    <w:p w14:paraId="2532EECB">
      <w:pPr>
        <w:pStyle w:val="3"/>
        <w:numPr>
          <w:ilvl w:val="0"/>
          <w:numId w:val="0"/>
        </w:numPr>
        <w:spacing w:before="1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根据项目建设内容和实际需求，总预算按功能区域和费用类型进行细化分解，具体构成如下：</w:t>
      </w:r>
    </w:p>
    <w:p w14:paraId="68FA4319">
      <w:pPr>
        <w:pStyle w:val="3"/>
        <w:numPr>
          <w:ilvl w:val="0"/>
          <w:numId w:val="0"/>
        </w:numPr>
        <w:spacing w:before="111"/>
        <w:rPr>
          <w:rFonts w:hint="eastAsia" w:ascii="仿宋_GB2312" w:hAnsi="仿宋_GB2312" w:eastAsia="仿宋_GB2312" w:cs="仿宋_GB2312"/>
          <w:sz w:val="3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159"/>
        <w:gridCol w:w="2378"/>
        <w:gridCol w:w="1817"/>
        <w:gridCol w:w="1404"/>
      </w:tblGrid>
      <w:tr w14:paraId="3ED2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67C4CFA7">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706" w:type="dxa"/>
          </w:tcPr>
          <w:p w14:paraId="17517CF1">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支出内容</w:t>
            </w:r>
          </w:p>
        </w:tc>
        <w:tc>
          <w:tcPr>
            <w:tcW w:w="3016" w:type="dxa"/>
          </w:tcPr>
          <w:p w14:paraId="46DBC69E">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详细说明</w:t>
            </w:r>
          </w:p>
        </w:tc>
        <w:tc>
          <w:tcPr>
            <w:tcW w:w="1884" w:type="dxa"/>
          </w:tcPr>
          <w:p w14:paraId="53230CD8">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预算金额（元）</w:t>
            </w:r>
          </w:p>
        </w:tc>
        <w:tc>
          <w:tcPr>
            <w:tcW w:w="1499" w:type="dxa"/>
          </w:tcPr>
          <w:p w14:paraId="388372F8">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占比</w:t>
            </w:r>
          </w:p>
        </w:tc>
      </w:tr>
      <w:tr w14:paraId="28B5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2D7AABE0">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2706" w:type="dxa"/>
          </w:tcPr>
          <w:p w14:paraId="1C4B123E">
            <w:pPr>
              <w:pStyle w:val="3"/>
              <w:numPr>
                <w:ilvl w:val="0"/>
                <w:numId w:val="0"/>
              </w:numPr>
              <w:spacing w:before="111"/>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艺术长廊装修改造及展陈</w:t>
            </w:r>
          </w:p>
        </w:tc>
        <w:tc>
          <w:tcPr>
            <w:tcW w:w="3016" w:type="dxa"/>
          </w:tcPr>
          <w:p w14:paraId="365518FC">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p>
        </w:tc>
        <w:tc>
          <w:tcPr>
            <w:tcW w:w="1884" w:type="dxa"/>
          </w:tcPr>
          <w:p w14:paraId="4F49535A">
            <w:pPr>
              <w:pStyle w:val="3"/>
              <w:numPr>
                <w:ilvl w:val="0"/>
                <w:numId w:val="0"/>
              </w:numPr>
              <w:spacing w:before="111"/>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177924.37</w:t>
            </w:r>
          </w:p>
        </w:tc>
        <w:tc>
          <w:tcPr>
            <w:tcW w:w="1499" w:type="dxa"/>
          </w:tcPr>
          <w:p w14:paraId="6071E39C">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16.37%</w:t>
            </w:r>
          </w:p>
        </w:tc>
      </w:tr>
      <w:tr w14:paraId="30F6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61" w:type="dxa"/>
          </w:tcPr>
          <w:p w14:paraId="39B43520">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p>
        </w:tc>
        <w:tc>
          <w:tcPr>
            <w:tcW w:w="2706" w:type="dxa"/>
          </w:tcPr>
          <w:p w14:paraId="7BAAA939">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1.1基础装修工程</w:t>
            </w:r>
          </w:p>
        </w:tc>
        <w:tc>
          <w:tcPr>
            <w:tcW w:w="3016" w:type="dxa"/>
          </w:tcPr>
          <w:p w14:paraId="5270C5EF">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天花吊顶、墙面处理、电路改造等</w:t>
            </w:r>
          </w:p>
        </w:tc>
        <w:tc>
          <w:tcPr>
            <w:tcW w:w="1884" w:type="dxa"/>
          </w:tcPr>
          <w:p w14:paraId="6888A1D3">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115977.85</w:t>
            </w:r>
          </w:p>
        </w:tc>
        <w:tc>
          <w:tcPr>
            <w:tcW w:w="1499" w:type="dxa"/>
          </w:tcPr>
          <w:p w14:paraId="33B54F3E">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10.67%</w:t>
            </w:r>
          </w:p>
        </w:tc>
      </w:tr>
      <w:tr w14:paraId="42A2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61" w:type="dxa"/>
          </w:tcPr>
          <w:p w14:paraId="719E1680">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p>
        </w:tc>
        <w:tc>
          <w:tcPr>
            <w:tcW w:w="2706" w:type="dxa"/>
          </w:tcPr>
          <w:p w14:paraId="3E7D0847">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rPr>
              <w:t xml:space="preserve">1.2 </w:t>
            </w:r>
            <w:r>
              <w:rPr>
                <w:rFonts w:hint="eastAsia" w:ascii="仿宋_GB2312" w:hAnsi="仿宋_GB2312" w:eastAsia="仿宋_GB2312" w:cs="仿宋_GB2312"/>
                <w:sz w:val="32"/>
                <w:szCs w:val="32"/>
                <w:vertAlign w:val="baseline"/>
                <w:lang w:val="en-US" w:eastAsia="zh-CN"/>
              </w:rPr>
              <w:t>货物采购</w:t>
            </w:r>
          </w:p>
        </w:tc>
        <w:tc>
          <w:tcPr>
            <w:tcW w:w="3016" w:type="dxa"/>
          </w:tcPr>
          <w:p w14:paraId="78D30513">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定制展柜、推拉展板、灯光及安装</w:t>
            </w:r>
          </w:p>
        </w:tc>
        <w:tc>
          <w:tcPr>
            <w:tcW w:w="1884" w:type="dxa"/>
          </w:tcPr>
          <w:p w14:paraId="2FF1AD04">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61946.5</w:t>
            </w:r>
          </w:p>
        </w:tc>
        <w:tc>
          <w:tcPr>
            <w:tcW w:w="1499" w:type="dxa"/>
          </w:tcPr>
          <w:p w14:paraId="49DA1E79">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5.7%</w:t>
            </w:r>
          </w:p>
        </w:tc>
      </w:tr>
      <w:tr w14:paraId="7D17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0ACFF2D0">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2706" w:type="dxa"/>
          </w:tcPr>
          <w:p w14:paraId="5A3A0FA1">
            <w:pPr>
              <w:pStyle w:val="3"/>
              <w:numPr>
                <w:ilvl w:val="0"/>
                <w:numId w:val="0"/>
              </w:numPr>
              <w:spacing w:before="111"/>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剪纸教室装修改造及设备</w:t>
            </w:r>
          </w:p>
        </w:tc>
        <w:tc>
          <w:tcPr>
            <w:tcW w:w="3016" w:type="dxa"/>
          </w:tcPr>
          <w:p w14:paraId="62BC7D8D">
            <w:pPr>
              <w:pStyle w:val="3"/>
              <w:numPr>
                <w:ilvl w:val="0"/>
                <w:numId w:val="0"/>
              </w:numPr>
              <w:spacing w:before="111"/>
              <w:jc w:val="both"/>
              <w:rPr>
                <w:rFonts w:hint="eastAsia" w:ascii="仿宋_GB2312" w:hAnsi="仿宋_GB2312" w:eastAsia="仿宋_GB2312" w:cs="仿宋_GB2312"/>
                <w:sz w:val="32"/>
                <w:szCs w:val="32"/>
                <w:vertAlign w:val="baseline"/>
              </w:rPr>
            </w:pPr>
          </w:p>
        </w:tc>
        <w:tc>
          <w:tcPr>
            <w:tcW w:w="1884" w:type="dxa"/>
          </w:tcPr>
          <w:p w14:paraId="762F5558">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363320.24</w:t>
            </w:r>
          </w:p>
        </w:tc>
        <w:tc>
          <w:tcPr>
            <w:tcW w:w="1499" w:type="dxa"/>
          </w:tcPr>
          <w:p w14:paraId="084D08D2">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33.43%</w:t>
            </w:r>
          </w:p>
        </w:tc>
      </w:tr>
      <w:tr w14:paraId="437C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25A2F40B">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p>
        </w:tc>
        <w:tc>
          <w:tcPr>
            <w:tcW w:w="2706" w:type="dxa"/>
          </w:tcPr>
          <w:p w14:paraId="3D744F70">
            <w:pPr>
              <w:pStyle w:val="3"/>
              <w:numPr>
                <w:ilvl w:val="0"/>
                <w:numId w:val="0"/>
              </w:numPr>
              <w:spacing w:before="111"/>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2.1 基础装修工程</w:t>
            </w:r>
          </w:p>
        </w:tc>
        <w:tc>
          <w:tcPr>
            <w:tcW w:w="3016" w:type="dxa"/>
          </w:tcPr>
          <w:p w14:paraId="2A828E73">
            <w:pPr>
              <w:pStyle w:val="3"/>
              <w:numPr>
                <w:ilvl w:val="0"/>
                <w:numId w:val="0"/>
              </w:numPr>
              <w:spacing w:before="111"/>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val="en-US" w:eastAsia="zh-CN"/>
              </w:rPr>
              <w:t>天花吊顶、墙面处理、电路改造、展柜等</w:t>
            </w:r>
          </w:p>
        </w:tc>
        <w:tc>
          <w:tcPr>
            <w:tcW w:w="1884" w:type="dxa"/>
          </w:tcPr>
          <w:p w14:paraId="7B18F3B9">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166672.9</w:t>
            </w:r>
          </w:p>
        </w:tc>
        <w:tc>
          <w:tcPr>
            <w:tcW w:w="1499" w:type="dxa"/>
          </w:tcPr>
          <w:p w14:paraId="5360CC95">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15.33</w:t>
            </w:r>
          </w:p>
        </w:tc>
      </w:tr>
      <w:tr w14:paraId="05B3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12164998">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p>
        </w:tc>
        <w:tc>
          <w:tcPr>
            <w:tcW w:w="2706" w:type="dxa"/>
          </w:tcPr>
          <w:p w14:paraId="62DD698E">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bookmarkStart w:id="2" w:name="OLE_LINK2"/>
            <w:r>
              <w:rPr>
                <w:rFonts w:hint="eastAsia" w:ascii="仿宋_GB2312" w:hAnsi="仿宋_GB2312" w:eastAsia="仿宋_GB2312" w:cs="仿宋_GB2312"/>
                <w:sz w:val="32"/>
                <w:szCs w:val="32"/>
                <w:vertAlign w:val="baseline"/>
                <w:lang w:val="en-US" w:eastAsia="zh-CN"/>
              </w:rPr>
              <w:t>2货物采购</w:t>
            </w:r>
            <w:bookmarkEnd w:id="2"/>
          </w:p>
        </w:tc>
        <w:tc>
          <w:tcPr>
            <w:tcW w:w="3016" w:type="dxa"/>
          </w:tcPr>
          <w:p w14:paraId="1C915D19">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多媒体设备、组合桌椅、全息投影等</w:t>
            </w:r>
          </w:p>
        </w:tc>
        <w:tc>
          <w:tcPr>
            <w:tcW w:w="1884" w:type="dxa"/>
          </w:tcPr>
          <w:p w14:paraId="16221779">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196647.3</w:t>
            </w:r>
          </w:p>
        </w:tc>
        <w:tc>
          <w:tcPr>
            <w:tcW w:w="1499" w:type="dxa"/>
          </w:tcPr>
          <w:p w14:paraId="58852FAF">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18.1</w:t>
            </w:r>
          </w:p>
        </w:tc>
      </w:tr>
      <w:tr w14:paraId="25F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61" w:type="dxa"/>
          </w:tcPr>
          <w:p w14:paraId="3CE7E12F">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2706" w:type="dxa"/>
          </w:tcPr>
          <w:p w14:paraId="20441BE7">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rPr>
              <w:t>戏曲展厅装修改造及</w:t>
            </w:r>
            <w:r>
              <w:rPr>
                <w:rFonts w:hint="eastAsia" w:ascii="仿宋_GB2312" w:hAnsi="仿宋_GB2312" w:eastAsia="仿宋_GB2312" w:cs="仿宋_GB2312"/>
                <w:sz w:val="32"/>
                <w:szCs w:val="32"/>
                <w:vertAlign w:val="baseline"/>
                <w:lang w:val="en-US" w:eastAsia="zh-CN"/>
              </w:rPr>
              <w:t>设备</w:t>
            </w:r>
          </w:p>
        </w:tc>
        <w:tc>
          <w:tcPr>
            <w:tcW w:w="3016" w:type="dxa"/>
          </w:tcPr>
          <w:p w14:paraId="74703B28">
            <w:pPr>
              <w:pStyle w:val="3"/>
              <w:numPr>
                <w:ilvl w:val="0"/>
                <w:numId w:val="0"/>
              </w:numPr>
              <w:spacing w:before="111"/>
              <w:jc w:val="both"/>
              <w:rPr>
                <w:rFonts w:hint="eastAsia" w:ascii="仿宋_GB2312" w:hAnsi="仿宋_GB2312" w:eastAsia="仿宋_GB2312" w:cs="仿宋_GB2312"/>
                <w:sz w:val="32"/>
                <w:szCs w:val="32"/>
                <w:vertAlign w:val="baseline"/>
              </w:rPr>
            </w:pPr>
          </w:p>
        </w:tc>
        <w:tc>
          <w:tcPr>
            <w:tcW w:w="1884" w:type="dxa"/>
          </w:tcPr>
          <w:p w14:paraId="4F256B2C">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503211.5</w:t>
            </w:r>
          </w:p>
        </w:tc>
        <w:tc>
          <w:tcPr>
            <w:tcW w:w="1499" w:type="dxa"/>
          </w:tcPr>
          <w:p w14:paraId="27FCD0B4">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46.3%</w:t>
            </w:r>
          </w:p>
        </w:tc>
      </w:tr>
      <w:tr w14:paraId="65DC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7B68BD1A">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p>
        </w:tc>
        <w:tc>
          <w:tcPr>
            <w:tcW w:w="2706" w:type="dxa"/>
          </w:tcPr>
          <w:p w14:paraId="12FB2AAA">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3.1基础装修工程</w:t>
            </w:r>
          </w:p>
        </w:tc>
        <w:tc>
          <w:tcPr>
            <w:tcW w:w="3016" w:type="dxa"/>
          </w:tcPr>
          <w:p w14:paraId="4B8E27FB">
            <w:pPr>
              <w:pStyle w:val="3"/>
              <w:numPr>
                <w:ilvl w:val="0"/>
                <w:numId w:val="0"/>
              </w:numPr>
              <w:spacing w:before="111"/>
              <w:jc w:val="both"/>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eastAsia="zh-CN"/>
              </w:rPr>
              <w:t>天花吊顶、墙面处理、电路改造、主题文化墙、道具陈列等</w:t>
            </w:r>
          </w:p>
        </w:tc>
        <w:tc>
          <w:tcPr>
            <w:tcW w:w="1884" w:type="dxa"/>
          </w:tcPr>
          <w:p w14:paraId="1DA8C610">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185804.9</w:t>
            </w:r>
          </w:p>
        </w:tc>
        <w:tc>
          <w:tcPr>
            <w:tcW w:w="1499" w:type="dxa"/>
          </w:tcPr>
          <w:p w14:paraId="7F7569B1">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17.1</w:t>
            </w:r>
          </w:p>
        </w:tc>
      </w:tr>
      <w:tr w14:paraId="3393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79DEA90A">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p>
        </w:tc>
        <w:tc>
          <w:tcPr>
            <w:tcW w:w="2706" w:type="dxa"/>
          </w:tcPr>
          <w:p w14:paraId="5FE2CC1D">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3.2货物采购</w:t>
            </w:r>
          </w:p>
        </w:tc>
        <w:tc>
          <w:tcPr>
            <w:tcW w:w="3016" w:type="dxa"/>
          </w:tcPr>
          <w:p w14:paraId="5F343BB2">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多媒体设备、音响、电脑、3D打印机、AI换装、AI数字人等</w:t>
            </w:r>
          </w:p>
        </w:tc>
        <w:tc>
          <w:tcPr>
            <w:tcW w:w="1884" w:type="dxa"/>
          </w:tcPr>
          <w:p w14:paraId="612B12CB">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317406.6</w:t>
            </w:r>
          </w:p>
        </w:tc>
        <w:tc>
          <w:tcPr>
            <w:tcW w:w="1499" w:type="dxa"/>
          </w:tcPr>
          <w:p w14:paraId="6E5E8715">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29.2</w:t>
            </w:r>
          </w:p>
        </w:tc>
      </w:tr>
      <w:tr w14:paraId="78FB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199B0C64">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2706" w:type="dxa"/>
          </w:tcPr>
          <w:p w14:paraId="20D9C180">
            <w:pPr>
              <w:pStyle w:val="3"/>
              <w:numPr>
                <w:ilvl w:val="0"/>
                <w:numId w:val="0"/>
              </w:numPr>
              <w:spacing w:before="111"/>
              <w:jc w:val="both"/>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项目管理与不可预见费</w:t>
            </w:r>
          </w:p>
        </w:tc>
        <w:tc>
          <w:tcPr>
            <w:tcW w:w="3016" w:type="dxa"/>
          </w:tcPr>
          <w:p w14:paraId="2FE7561A">
            <w:pPr>
              <w:pStyle w:val="3"/>
              <w:numPr>
                <w:ilvl w:val="0"/>
                <w:numId w:val="0"/>
              </w:numPr>
              <w:spacing w:before="111"/>
              <w:jc w:val="both"/>
              <w:rPr>
                <w:rFonts w:hint="eastAsia" w:ascii="仿宋_GB2312" w:hAnsi="仿宋_GB2312" w:eastAsia="仿宋_GB2312" w:cs="仿宋_GB2312"/>
                <w:sz w:val="32"/>
                <w:szCs w:val="32"/>
                <w:vertAlign w:val="baseline"/>
              </w:rPr>
            </w:pPr>
          </w:p>
        </w:tc>
        <w:tc>
          <w:tcPr>
            <w:tcW w:w="1884" w:type="dxa"/>
          </w:tcPr>
          <w:p w14:paraId="0ABE47D6">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42452.55</w:t>
            </w:r>
          </w:p>
        </w:tc>
        <w:tc>
          <w:tcPr>
            <w:tcW w:w="1499" w:type="dxa"/>
          </w:tcPr>
          <w:p w14:paraId="103C3BE6">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3.9%</w:t>
            </w:r>
          </w:p>
        </w:tc>
      </w:tr>
      <w:tr w14:paraId="7149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 w:type="dxa"/>
          </w:tcPr>
          <w:p w14:paraId="7622087A">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p>
        </w:tc>
        <w:tc>
          <w:tcPr>
            <w:tcW w:w="2706" w:type="dxa"/>
          </w:tcPr>
          <w:p w14:paraId="794B78EE">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4.1项目设计与监理 项目前期方案深化设计费、第三方工程监理费。</w:t>
            </w:r>
          </w:p>
        </w:tc>
        <w:tc>
          <w:tcPr>
            <w:tcW w:w="3016" w:type="dxa"/>
          </w:tcPr>
          <w:p w14:paraId="19EB9259">
            <w:pPr>
              <w:pStyle w:val="3"/>
              <w:numPr>
                <w:ilvl w:val="0"/>
                <w:numId w:val="0"/>
              </w:numPr>
              <w:spacing w:before="111"/>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项目前期深化设计费、第三方监理费、用于应对施工过程中可能出现的零星工程、材料价格波动等未知情况。</w:t>
            </w:r>
          </w:p>
        </w:tc>
        <w:tc>
          <w:tcPr>
            <w:tcW w:w="1884" w:type="dxa"/>
          </w:tcPr>
          <w:p w14:paraId="0E335452">
            <w:pPr>
              <w:pStyle w:val="3"/>
              <w:numPr>
                <w:ilvl w:val="0"/>
                <w:numId w:val="0"/>
              </w:numPr>
              <w:spacing w:before="111"/>
              <w:jc w:val="center"/>
              <w:rPr>
                <w:rFonts w:hint="eastAsia" w:ascii="仿宋_GB2312" w:hAnsi="仿宋_GB2312" w:eastAsia="仿宋_GB2312" w:cs="仿宋_GB2312"/>
                <w:sz w:val="32"/>
                <w:szCs w:val="32"/>
                <w:vertAlign w:val="baseline"/>
              </w:rPr>
            </w:pPr>
          </w:p>
        </w:tc>
        <w:tc>
          <w:tcPr>
            <w:tcW w:w="1499" w:type="dxa"/>
          </w:tcPr>
          <w:p w14:paraId="60BE2DC9">
            <w:pPr>
              <w:pStyle w:val="3"/>
              <w:numPr>
                <w:ilvl w:val="0"/>
                <w:numId w:val="0"/>
              </w:numPr>
              <w:spacing w:before="111"/>
              <w:jc w:val="center"/>
              <w:rPr>
                <w:rFonts w:hint="eastAsia" w:ascii="仿宋_GB2312" w:hAnsi="仿宋_GB2312" w:eastAsia="仿宋_GB2312" w:cs="仿宋_GB2312"/>
                <w:sz w:val="32"/>
                <w:szCs w:val="32"/>
                <w:vertAlign w:val="baseline"/>
              </w:rPr>
            </w:pPr>
          </w:p>
        </w:tc>
      </w:tr>
      <w:tr w14:paraId="3284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61" w:type="dxa"/>
          </w:tcPr>
          <w:p w14:paraId="527F6FDD">
            <w:pPr>
              <w:pStyle w:val="3"/>
              <w:numPr>
                <w:ilvl w:val="0"/>
                <w:numId w:val="0"/>
              </w:numPr>
              <w:spacing w:before="111"/>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总计</w:t>
            </w:r>
          </w:p>
        </w:tc>
        <w:tc>
          <w:tcPr>
            <w:tcW w:w="2706" w:type="dxa"/>
          </w:tcPr>
          <w:p w14:paraId="65E340C4">
            <w:pPr>
              <w:pStyle w:val="3"/>
              <w:numPr>
                <w:ilvl w:val="0"/>
                <w:numId w:val="0"/>
              </w:numPr>
              <w:spacing w:before="111"/>
              <w:jc w:val="both"/>
              <w:rPr>
                <w:rFonts w:hint="eastAsia" w:ascii="仿宋_GB2312" w:hAnsi="仿宋_GB2312" w:eastAsia="仿宋_GB2312" w:cs="仿宋_GB2312"/>
                <w:sz w:val="32"/>
                <w:szCs w:val="32"/>
                <w:vertAlign w:val="baseline"/>
              </w:rPr>
            </w:pPr>
          </w:p>
        </w:tc>
        <w:tc>
          <w:tcPr>
            <w:tcW w:w="3016" w:type="dxa"/>
          </w:tcPr>
          <w:p w14:paraId="51AE4B02">
            <w:pPr>
              <w:pStyle w:val="3"/>
              <w:numPr>
                <w:ilvl w:val="0"/>
                <w:numId w:val="0"/>
              </w:numPr>
              <w:spacing w:before="111"/>
              <w:jc w:val="both"/>
              <w:rPr>
                <w:rFonts w:hint="eastAsia" w:ascii="仿宋_GB2312" w:hAnsi="仿宋_GB2312" w:eastAsia="仿宋_GB2312" w:cs="仿宋_GB2312"/>
                <w:sz w:val="32"/>
                <w:szCs w:val="32"/>
                <w:vertAlign w:val="baseline"/>
              </w:rPr>
            </w:pPr>
          </w:p>
        </w:tc>
        <w:tc>
          <w:tcPr>
            <w:tcW w:w="1884" w:type="dxa"/>
          </w:tcPr>
          <w:p w14:paraId="5DA5CD2C">
            <w:pPr>
              <w:pStyle w:val="3"/>
              <w:numPr>
                <w:ilvl w:val="0"/>
                <w:numId w:val="0"/>
              </w:numPr>
              <w:spacing w:before="111"/>
              <w:jc w:val="center"/>
              <w:rPr>
                <w:rFonts w:hint="eastAsia" w:ascii="仿宋_GB2312" w:hAnsi="仿宋_GB2312" w:eastAsia="仿宋_GB2312" w:cs="仿宋_GB2312"/>
                <w:sz w:val="32"/>
                <w:szCs w:val="32"/>
                <w:vertAlign w:val="baseline"/>
              </w:rPr>
            </w:pPr>
          </w:p>
        </w:tc>
        <w:tc>
          <w:tcPr>
            <w:tcW w:w="1499" w:type="dxa"/>
          </w:tcPr>
          <w:p w14:paraId="4652A72D">
            <w:pPr>
              <w:pStyle w:val="3"/>
              <w:numPr>
                <w:ilvl w:val="0"/>
                <w:numId w:val="0"/>
              </w:numPr>
              <w:spacing w:before="111"/>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100%</w:t>
            </w:r>
          </w:p>
        </w:tc>
      </w:tr>
    </w:tbl>
    <w:p w14:paraId="54089897">
      <w:pPr>
        <w:pStyle w:val="3"/>
        <w:numPr>
          <w:ilvl w:val="0"/>
          <w:numId w:val="0"/>
        </w:numPr>
        <w:pBdr>
          <w:top w:val="none" w:color="auto" w:sz="0" w:space="0"/>
          <w:left w:val="none" w:color="auto" w:sz="0" w:space="0"/>
          <w:bottom w:val="none" w:color="auto" w:sz="0" w:space="0"/>
          <w:right w:val="none" w:color="auto" w:sz="0" w:space="0"/>
        </w:pBdr>
        <w:spacing w:before="111"/>
        <w:rPr>
          <w:rFonts w:hint="eastAsia" w:ascii="仿宋_GB2312" w:hAnsi="仿宋_GB2312" w:eastAsia="仿宋_GB2312" w:cs="仿宋_GB2312"/>
          <w:sz w:val="32"/>
          <w:szCs w:val="32"/>
        </w:rPr>
      </w:pPr>
    </w:p>
    <w:p w14:paraId="73ADDBEE">
      <w:pPr>
        <w:pStyle w:val="3"/>
        <w:numPr>
          <w:ilvl w:val="0"/>
          <w:numId w:val="0"/>
        </w:numPr>
        <w:spacing w:before="111"/>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bidi="zh-CN"/>
        </w:rPr>
        <w:t>四、</w:t>
      </w:r>
      <w:r>
        <w:rPr>
          <w:rFonts w:hint="eastAsia" w:ascii="黑体" w:hAnsi="黑体" w:eastAsia="黑体" w:cs="黑体"/>
          <w:sz w:val="32"/>
          <w:szCs w:val="32"/>
        </w:rPr>
        <w:t>评估方式和方法</w:t>
      </w:r>
    </w:p>
    <w:p w14:paraId="51402E0A">
      <w:pPr>
        <w:pStyle w:val="3"/>
        <w:spacing w:before="111"/>
        <w:ind w:firstLine="320" w:firstLineChars="1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（一）评估程序</w:t>
      </w:r>
    </w:p>
    <w:p w14:paraId="632754EC">
      <w:pPr>
        <w:pStyle w:val="3"/>
        <w:spacing w:before="111"/>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1、成立</w:t>
      </w:r>
      <w:bookmarkStart w:id="3" w:name="OLE_LINK3"/>
      <w:r>
        <w:rPr>
          <w:rFonts w:hint="eastAsia" w:ascii="仿宋_GB2312" w:hAnsi="仿宋_GB2312" w:eastAsia="仿宋_GB2312" w:cs="仿宋_GB2312"/>
          <w:sz w:val="32"/>
          <w:szCs w:val="32"/>
          <w:lang w:val="en-US" w:eastAsia="zh-CN"/>
        </w:rPr>
        <w:t>评估</w:t>
      </w:r>
      <w:bookmarkEnd w:id="3"/>
      <w:r>
        <w:rPr>
          <w:rFonts w:hint="eastAsia" w:ascii="仿宋_GB2312" w:hAnsi="仿宋_GB2312" w:eastAsia="仿宋_GB2312" w:cs="仿宋_GB2312"/>
          <w:sz w:val="32"/>
          <w:szCs w:val="32"/>
          <w:lang w:val="en-US" w:eastAsia="zh-CN"/>
        </w:rPr>
        <w:t>工作组；</w:t>
      </w:r>
    </w:p>
    <w:p w14:paraId="113DDBE9">
      <w:pPr>
        <w:pStyle w:val="3"/>
        <w:spacing w:before="111"/>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2、制定评估方案；</w:t>
      </w:r>
    </w:p>
    <w:p w14:paraId="5EB354EF">
      <w:pPr>
        <w:pStyle w:val="3"/>
        <w:spacing w:before="111"/>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3、收集与分析资料全面审阅项目材料；</w:t>
      </w:r>
    </w:p>
    <w:p w14:paraId="28EF30E4">
      <w:pPr>
        <w:pStyle w:val="3"/>
        <w:spacing w:before="111"/>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4、实地调研与访谈核实情况与需求；</w:t>
      </w:r>
    </w:p>
    <w:p w14:paraId="1B557F81">
      <w:pPr>
        <w:pStyle w:val="3"/>
        <w:spacing w:before="111"/>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5、综合论证与评判多维度打分；</w:t>
      </w:r>
    </w:p>
    <w:p w14:paraId="01C02685">
      <w:pPr>
        <w:pStyle w:val="3"/>
        <w:spacing w:before="111"/>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6、撰写评估报告形成结论与建议；</w:t>
      </w:r>
    </w:p>
    <w:p w14:paraId="33327766">
      <w:pPr>
        <w:pStyle w:val="3"/>
        <w:spacing w:before="111"/>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7、提交报告与归档完成评估。</w:t>
      </w:r>
    </w:p>
    <w:p w14:paraId="415166B0">
      <w:pPr>
        <w:pStyle w:val="3"/>
        <w:spacing w:before="111"/>
        <w:rPr>
          <w:rFonts w:hint="eastAsia" w:ascii="仿宋_GB2312" w:hAnsi="仿宋_GB2312" w:eastAsia="仿宋_GB2312" w:cs="仿宋_GB2312"/>
          <w:sz w:val="32"/>
          <w:szCs w:val="32"/>
          <w:lang w:val="en-US" w:eastAsia="zh-CN"/>
        </w:rPr>
      </w:pPr>
    </w:p>
    <w:p w14:paraId="079BBA76">
      <w:pPr>
        <w:pStyle w:val="3"/>
        <w:numPr>
          <w:ilvl w:val="0"/>
          <w:numId w:val="0"/>
        </w:numPr>
        <w:spacing w:before="108"/>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bidi="zh-CN"/>
        </w:rPr>
        <w:t>（二）</w:t>
      </w:r>
      <w:r>
        <w:rPr>
          <w:rFonts w:hint="eastAsia" w:ascii="仿宋_GB2312" w:hAnsi="仿宋_GB2312" w:eastAsia="仿宋_GB2312" w:cs="仿宋_GB2312"/>
          <w:sz w:val="32"/>
          <w:szCs w:val="32"/>
        </w:rPr>
        <w:t>评估方法</w:t>
      </w:r>
    </w:p>
    <w:p w14:paraId="34387670">
      <w:pPr>
        <w:pStyle w:val="3"/>
        <w:numPr>
          <w:ilvl w:val="0"/>
          <w:numId w:val="0"/>
        </w:numPr>
        <w:spacing w:before="111"/>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为确保评估的客观性和深度，本次评估将采用以下方式组合进行：</w:t>
      </w:r>
    </w:p>
    <w:p w14:paraId="10311F83">
      <w:pPr>
        <w:pStyle w:val="3"/>
        <w:numPr>
          <w:numId w:val="0"/>
        </w:numPr>
        <w:spacing w:before="111"/>
        <w:ind w:leftChars="20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文献审阅法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14:paraId="4BA4FF04">
      <w:pPr>
        <w:pStyle w:val="3"/>
        <w:numPr>
          <w:ilvl w:val="0"/>
          <w:numId w:val="0"/>
        </w:numPr>
        <w:spacing w:before="1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系统分析项目申报书、预算明细、设计方案、政策依据等文件。核查立项依据的充分性、预算编制的科学性、方案设计的合理性。</w:t>
      </w:r>
    </w:p>
    <w:p w14:paraId="3F6F0129">
      <w:pPr>
        <w:pStyle w:val="3"/>
        <w:numPr>
          <w:ilvl w:val="0"/>
          <w:numId w:val="0"/>
        </w:numPr>
        <w:spacing w:before="111"/>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比较分析法 </w:t>
      </w:r>
      <w:r>
        <w:rPr>
          <w:rFonts w:hint="eastAsia" w:ascii="仿宋_GB2312" w:hAnsi="仿宋_GB2312" w:eastAsia="仿宋_GB2312" w:cs="仿宋_GB2312"/>
          <w:sz w:val="32"/>
          <w:szCs w:val="32"/>
          <w:lang w:val="en-US" w:eastAsia="zh-CN"/>
        </w:rPr>
        <w:t xml:space="preserve"> </w:t>
      </w:r>
    </w:p>
    <w:p w14:paraId="65025B40">
      <w:pPr>
        <w:pStyle w:val="3"/>
        <w:numPr>
          <w:ilvl w:val="0"/>
          <w:numId w:val="0"/>
        </w:numPr>
        <w:spacing w:before="111"/>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与学校原有艺术教学条件对比。参考同类院校类似项目的成本与效果。凸显项目建设的增量价值和改进程度，判断预算的经济性。</w:t>
      </w:r>
    </w:p>
    <w:p w14:paraId="6467CA6A">
      <w:pPr>
        <w:pStyle w:val="3"/>
        <w:numPr>
          <w:ilvl w:val="0"/>
          <w:numId w:val="0"/>
        </w:numPr>
        <w:spacing w:before="111"/>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实地调研法 </w:t>
      </w:r>
    </w:p>
    <w:p w14:paraId="660CA78F">
      <w:pPr>
        <w:pStyle w:val="3"/>
        <w:numPr>
          <w:ilvl w:val="0"/>
          <w:numId w:val="0"/>
        </w:numPr>
        <w:spacing w:before="111"/>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评估组亲赴现场，测量、记录场地现状，拍摄影像资料。 直观验证项目建设的现实基础，发现设计方案中可能存在的与现场不符的问题。</w:t>
      </w:r>
    </w:p>
    <w:p w14:paraId="3B7C8ABF">
      <w:pPr>
        <w:pStyle w:val="3"/>
        <w:numPr>
          <w:ilvl w:val="0"/>
          <w:numId w:val="0"/>
        </w:numPr>
        <w:spacing w:before="111"/>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专家评议法 </w:t>
      </w:r>
      <w:r>
        <w:rPr>
          <w:rFonts w:hint="eastAsia" w:ascii="仿宋_GB2312" w:hAnsi="仿宋_GB2312" w:eastAsia="仿宋_GB2312" w:cs="仿宋_GB2312"/>
          <w:sz w:val="32"/>
          <w:szCs w:val="32"/>
          <w:lang w:val="en-US" w:eastAsia="zh-CN"/>
        </w:rPr>
        <w:t xml:space="preserve">  </w:t>
      </w:r>
    </w:p>
    <w:p w14:paraId="4A1554F7">
      <w:pPr>
        <w:pStyle w:val="3"/>
        <w:numPr>
          <w:ilvl w:val="0"/>
          <w:numId w:val="0"/>
        </w:numPr>
        <w:spacing w:before="111"/>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邀请教育装备、室内设计、财务审计领域的专家，召开评审会。 借助外部专业智慧，对技术方案、预算构成和绩效目标进行权威把关。</w:t>
      </w:r>
    </w:p>
    <w:p w14:paraId="3AA2639C">
      <w:pPr>
        <w:pStyle w:val="3"/>
        <w:numPr>
          <w:ilvl w:val="0"/>
          <w:numId w:val="0"/>
        </w:numPr>
        <w:spacing w:before="111"/>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访谈与问卷调查法 </w:t>
      </w:r>
      <w:r>
        <w:rPr>
          <w:rFonts w:hint="eastAsia" w:ascii="仿宋_GB2312" w:hAnsi="仿宋_GB2312" w:eastAsia="仿宋_GB2312" w:cs="仿宋_GB2312"/>
          <w:sz w:val="32"/>
          <w:szCs w:val="32"/>
          <w:lang w:val="en-US" w:eastAsia="zh-CN"/>
        </w:rPr>
        <w:t xml:space="preserve"> </w:t>
      </w:r>
    </w:p>
    <w:p w14:paraId="533A0FD1">
      <w:pPr>
        <w:pStyle w:val="3"/>
        <w:numPr>
          <w:ilvl w:val="0"/>
          <w:numId w:val="0"/>
        </w:numPr>
        <w:spacing w:before="111"/>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访谈：与项目负责人、艺术教师深度交流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问卷：向潜在使用学生发放短卷，了解其需求和期待。获取来自最终用户的第一手信息，确保项目内容与真实需求相匹配，为“师生满意度”指标提供预测依据。</w:t>
      </w:r>
    </w:p>
    <w:p w14:paraId="76F64C25">
      <w:pPr>
        <w:pStyle w:val="3"/>
        <w:numPr>
          <w:ilvl w:val="0"/>
          <w:numId w:val="0"/>
        </w:numPr>
        <w:spacing w:before="111"/>
        <w:ind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因素分析法 </w:t>
      </w:r>
      <w:r>
        <w:rPr>
          <w:rFonts w:hint="eastAsia" w:ascii="仿宋_GB2312" w:hAnsi="仿宋_GB2312" w:eastAsia="仿宋_GB2312" w:cs="仿宋_GB2312"/>
          <w:sz w:val="32"/>
          <w:szCs w:val="32"/>
          <w:lang w:val="en-US" w:eastAsia="zh-CN"/>
        </w:rPr>
        <w:t xml:space="preserve">  </w:t>
      </w:r>
    </w:p>
    <w:p w14:paraId="399A114A">
      <w:pPr>
        <w:pStyle w:val="3"/>
        <w:numPr>
          <w:ilvl w:val="0"/>
          <w:numId w:val="0"/>
        </w:numPr>
        <w:spacing w:before="111"/>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系统分析影响项目目标实现的各种内外部因素（如政策变化、市场物价波动、组织协调难度等）。</w:t>
      </w:r>
      <w:bookmarkStart w:id="4" w:name="_GoBack"/>
      <w:bookmarkEnd w:id="4"/>
      <w:r>
        <w:rPr>
          <w:rFonts w:hint="eastAsia" w:ascii="仿宋_GB2312" w:hAnsi="仿宋_GB2312" w:eastAsia="仿宋_GB2312" w:cs="仿宋_GB2312"/>
          <w:sz w:val="32"/>
          <w:szCs w:val="32"/>
        </w:rPr>
        <w:t>全面识别风险，并对项目的可行性和可持续性做出更综合的判断。</w:t>
      </w:r>
    </w:p>
    <w:p w14:paraId="7B2B1893">
      <w:pPr>
        <w:pStyle w:val="3"/>
        <w:numPr>
          <w:ilvl w:val="0"/>
          <w:numId w:val="0"/>
        </w:numPr>
        <w:spacing w:before="108"/>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bidi="zh-CN"/>
        </w:rPr>
        <w:t>五、</w:t>
      </w:r>
      <w:r>
        <w:rPr>
          <w:rFonts w:hint="eastAsia" w:ascii="黑体" w:hAnsi="黑体" w:eastAsia="黑体" w:cs="黑体"/>
          <w:sz w:val="32"/>
          <w:szCs w:val="32"/>
        </w:rPr>
        <w:t>中长期目标</w:t>
      </w:r>
    </w:p>
    <w:p w14:paraId="00254A3F">
      <w:pPr>
        <w:pStyle w:val="3"/>
        <w:spacing w:before="10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本项目立足于当前，着眼于未来，其中长期目标如下：</w:t>
      </w:r>
    </w:p>
    <w:p w14:paraId="02FDC70B">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（一）</w:t>
      </w:r>
      <w:r>
        <w:rPr>
          <w:rFonts w:hint="eastAsia" w:ascii="仿宋_GB2312" w:hAnsi="仿宋_GB2312" w:eastAsia="仿宋_GB2312" w:cs="仿宋_GB2312"/>
          <w:sz w:val="32"/>
          <w:szCs w:val="32"/>
        </w:rPr>
        <w:t>中期目标（未来1-3年）</w:t>
      </w:r>
    </w:p>
    <w:p w14:paraId="46914D86">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建成标志性平台：成功将艺术教育中心打造为学校的文化地标和名片，成为校内艺术教学、作品展示、文化交流的核心平台。</w:t>
      </w:r>
    </w:p>
    <w:p w14:paraId="0D1328C1">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深化教学应用：全面融入人才培养方案，支撑至少3-5门特色艺术课程的高质量开展，开发出基于该空间的系列实践教学项目。</w:t>
      </w:r>
    </w:p>
    <w:p w14:paraId="2359FF63">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扩大社会影响：年均接待校外参观、交流、研学活动不少于20批次，成为展示本校幼师培养特色和区域传统文化教育成果的重要窗口。</w:t>
      </w:r>
    </w:p>
    <w:p w14:paraId="79B97D8B">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培育文化品牌：形成“剪纸工坊”、“</w:t>
      </w:r>
      <w:r>
        <w:rPr>
          <w:rFonts w:hint="eastAsia" w:ascii="仿宋_GB2312" w:hAnsi="仿宋_GB2312" w:eastAsia="仿宋_GB2312" w:cs="仿宋_GB2312"/>
          <w:sz w:val="32"/>
          <w:szCs w:val="32"/>
          <w:lang w:val="en-US" w:eastAsia="zh-CN"/>
        </w:rPr>
        <w:t>非遗展示</w:t>
      </w:r>
      <w:r>
        <w:rPr>
          <w:rFonts w:hint="eastAsia" w:ascii="仿宋_GB2312" w:hAnsi="仿宋_GB2312" w:eastAsia="仿宋_GB2312" w:cs="仿宋_GB2312"/>
          <w:sz w:val="32"/>
          <w:szCs w:val="32"/>
        </w:rPr>
        <w:t>”等具有一定知名度的校园文化品牌活动。</w:t>
      </w:r>
    </w:p>
    <w:p w14:paraId="0B5C4395">
      <w:pPr>
        <w:pStyle w:val="3"/>
        <w:spacing w:before="108"/>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长期目标（未来3-5年及以上）</w:t>
      </w:r>
    </w:p>
    <w:p w14:paraId="3CC37C39">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成为区域典范：建设成为所在地区幼师院校中艺术教育与文化传承相结合的典范基地，发挥辐射引领作用。</w:t>
      </w:r>
    </w:p>
    <w:p w14:paraId="46B6AC34">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实现成果转化：依托中心产出的优秀学生作品和教学案例，能够转化为可推广的幼儿艺术教育资源包，服务更广大的幼儿园一线教学。</w:t>
      </w:r>
    </w:p>
    <w:p w14:paraId="7C104705">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赋能终身发展：通过该环境的熏陶，显著提升在校生的艺术鉴赏力、创造力和文化自信，为其成长为高素质、善启蒙的幼儿教师奠定坚实基础。</w:t>
      </w:r>
    </w:p>
    <w:p w14:paraId="03F876D2">
      <w:pPr>
        <w:pStyle w:val="3"/>
        <w:numPr>
          <w:ilvl w:val="0"/>
          <w:numId w:val="0"/>
        </w:numPr>
        <w:spacing w:before="111"/>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bidi="zh-CN"/>
        </w:rPr>
        <w:t>六</w:t>
      </w:r>
      <w:r>
        <w:rPr>
          <w:rFonts w:hint="eastAsia" w:ascii="黑体" w:hAnsi="黑体" w:eastAsia="黑体" w:cs="黑体"/>
          <w:sz w:val="32"/>
          <w:szCs w:val="32"/>
          <w:lang w:val="zh-CN" w:eastAsia="zh-CN" w:bidi="zh-CN"/>
        </w:rPr>
        <w:t>、</w:t>
      </w:r>
      <w:r>
        <w:rPr>
          <w:rFonts w:hint="eastAsia" w:ascii="黑体" w:hAnsi="黑体" w:eastAsia="黑体" w:cs="黑体"/>
          <w:sz w:val="32"/>
          <w:szCs w:val="32"/>
        </w:rPr>
        <w:t>评估结论</w:t>
      </w:r>
    </w:p>
    <w:p w14:paraId="2F812548">
      <w:pPr>
        <w:pStyle w:val="3"/>
        <w:spacing w:before="111"/>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（一）项目总体结论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总体结论：建议批准立项。</w:t>
      </w:r>
    </w:p>
    <w:p w14:paraId="4F4F13A3">
      <w:pPr>
        <w:pStyle w:val="3"/>
        <w:spacing w:before="11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主要理由：该项目紧扣幼师培养特色，立项必要性强，实施可行性高，绩效目标明确，预算经济合理。</w:t>
      </w:r>
    </w:p>
    <w:p w14:paraId="667EA6FB">
      <w:pPr>
        <w:pStyle w:val="3"/>
        <w:numPr>
          <w:ilvl w:val="0"/>
          <w:numId w:val="1"/>
        </w:numPr>
        <w:spacing w:before="108"/>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存在的问题</w:t>
      </w:r>
    </w:p>
    <w:p w14:paraId="026A9B8F">
      <w:pPr>
        <w:pStyle w:val="3"/>
        <w:numPr>
          <w:numId w:val="0"/>
        </w:numPr>
        <w:spacing w:before="108"/>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工期紧张与教学秩序冲突</w:t>
      </w:r>
    </w:p>
    <w:p w14:paraId="592D7111">
      <w:pPr>
        <w:pStyle w:val="3"/>
        <w:spacing w:before="10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问题描述：项目计划在</w:t>
      </w:r>
      <w:r>
        <w:rPr>
          <w:rFonts w:hint="eastAsia" w:ascii="仿宋_GB2312" w:hAnsi="仿宋_GB2312" w:eastAsia="仿宋_GB2312" w:cs="仿宋_GB2312"/>
          <w:sz w:val="32"/>
          <w:szCs w:val="32"/>
          <w:lang w:val="en-US" w:eastAsia="zh-CN"/>
        </w:rPr>
        <w:t>两个月内完工</w:t>
      </w:r>
      <w:r>
        <w:rPr>
          <w:rFonts w:hint="eastAsia" w:ascii="仿宋_GB2312" w:hAnsi="仿宋_GB2312" w:eastAsia="仿宋_GB2312" w:cs="仿宋_GB2312"/>
          <w:sz w:val="32"/>
          <w:szCs w:val="32"/>
        </w:rPr>
        <w:t>，工期极为紧张。任何环节的延误（如招标、材料供应）都可能导致项目无法</w:t>
      </w:r>
      <w:r>
        <w:rPr>
          <w:rFonts w:hint="eastAsia" w:ascii="仿宋_GB2312" w:hAnsi="仿宋_GB2312" w:eastAsia="仿宋_GB2312" w:cs="仿宋_GB2312"/>
          <w:sz w:val="32"/>
          <w:szCs w:val="32"/>
          <w:lang w:val="en-US" w:eastAsia="zh-CN"/>
        </w:rPr>
        <w:t>在计划期内</w:t>
      </w:r>
      <w:r>
        <w:rPr>
          <w:rFonts w:hint="eastAsia" w:ascii="仿宋_GB2312" w:hAnsi="仿宋_GB2312" w:eastAsia="仿宋_GB2312" w:cs="仿宋_GB2312"/>
          <w:sz w:val="32"/>
          <w:szCs w:val="32"/>
        </w:rPr>
        <w:t>完工，严重影响正常教学秩序。</w:t>
      </w:r>
    </w:p>
    <w:p w14:paraId="73085F85">
      <w:pPr>
        <w:pStyle w:val="3"/>
        <w:spacing w:before="108"/>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具体表现：工期极为紧张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施工人员协调，工作日内施工影响教学等。</w:t>
      </w:r>
    </w:p>
    <w:p w14:paraId="7171C09B">
      <w:pPr>
        <w:pStyle w:val="3"/>
        <w:numPr>
          <w:ilvl w:val="0"/>
          <w:numId w:val="0"/>
        </w:numPr>
        <w:spacing w:before="111"/>
        <w:ind w:left="0" w:leftChars="0"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bidi="zh-CN"/>
        </w:rPr>
        <w:t>（三）</w:t>
      </w:r>
      <w:r>
        <w:rPr>
          <w:rFonts w:hint="eastAsia" w:ascii="仿宋_GB2312" w:hAnsi="仿宋_GB2312" w:eastAsia="仿宋_GB2312" w:cs="仿宋_GB2312"/>
          <w:sz w:val="32"/>
          <w:szCs w:val="32"/>
        </w:rPr>
        <w:t>相关建议</w:t>
      </w:r>
    </w:p>
    <w:p w14:paraId="0B0D1265">
      <w:pPr>
        <w:pStyle w:val="3"/>
        <w:numPr>
          <w:ilvl w:val="0"/>
          <w:numId w:val="0"/>
        </w:numPr>
        <w:spacing w:before="111"/>
        <w:ind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在设计中应突出“幼儿”和“师范”特色，避免华而不实。</w:t>
      </w:r>
    </w:p>
    <w:p w14:paraId="390652B9">
      <w:pPr>
        <w:pStyle w:val="3"/>
        <w:numPr>
          <w:ilvl w:val="0"/>
          <w:numId w:val="0"/>
        </w:numPr>
        <w:spacing w:before="111"/>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建议在招标文件中明确装修材料的环保标准，必须符合国家强制标准，确保师生健康。</w:t>
      </w:r>
    </w:p>
    <w:p w14:paraId="689F5558">
      <w:pPr>
        <w:pStyle w:val="3"/>
        <w:numPr>
          <w:ilvl w:val="0"/>
          <w:numId w:val="0"/>
        </w:numPr>
        <w:spacing w:before="111"/>
        <w:ind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建议项目竣工后，同步制定艺术中心的管理使用办法，确保其高效利用。</w:t>
      </w:r>
    </w:p>
    <w:p w14:paraId="78424409">
      <w:pPr>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20F7F6-803C-4E2F-BA7A-1D0482612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8CCA061-2ED8-4B16-8B67-F6AFB3ABBA07}"/>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2010600010101010101"/>
    <w:charset w:val="86"/>
    <w:family w:val="auto"/>
    <w:pitch w:val="default"/>
    <w:sig w:usb0="00000001" w:usb1="080E0000" w:usb2="00000000" w:usb3="00000000" w:csb0="00040000" w:csb1="00000000"/>
    <w:embedRegular r:id="rId3" w:fontKey="{283A8CA1-7477-4F7C-A980-CE0657AC0B38}"/>
  </w:font>
  <w:font w:name="楷体_GB2312">
    <w:panose1 w:val="02010609030101010101"/>
    <w:charset w:val="86"/>
    <w:family w:val="auto"/>
    <w:pitch w:val="default"/>
    <w:sig w:usb0="00000001" w:usb1="080E0000" w:usb2="00000000" w:usb3="00000000" w:csb0="00040000" w:csb1="00000000"/>
    <w:embedRegular r:id="rId4" w:fontKey="{11401963-A139-4635-B0A6-722722B434C7}"/>
  </w:font>
  <w:font w:name="仿宋_GB2312">
    <w:panose1 w:val="02010609030101010101"/>
    <w:charset w:val="86"/>
    <w:family w:val="auto"/>
    <w:pitch w:val="default"/>
    <w:sig w:usb0="00000001" w:usb1="080E0000" w:usb2="00000000" w:usb3="00000000" w:csb0="00040000" w:csb1="00000000"/>
    <w:embedRegular r:id="rId5" w:fontKey="{203F1C2A-35F4-4774-8722-888A6A173F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FB7B">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3FD7D"/>
    <w:multiLevelType w:val="singleLevel"/>
    <w:tmpl w:val="0CE3FD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lMmNiODg1ZmZlMmFhYjRiMTIzOWNjZDM1YmVlYmYifQ=="/>
  </w:docVars>
  <w:rsids>
    <w:rsidRoot w:val="010A42F5"/>
    <w:rsid w:val="001F32AF"/>
    <w:rsid w:val="003E7E87"/>
    <w:rsid w:val="003F2FC8"/>
    <w:rsid w:val="00482A66"/>
    <w:rsid w:val="004C42BF"/>
    <w:rsid w:val="00555890"/>
    <w:rsid w:val="009C09F3"/>
    <w:rsid w:val="00BC6420"/>
    <w:rsid w:val="00CE4283"/>
    <w:rsid w:val="00DB6953"/>
    <w:rsid w:val="010A42F5"/>
    <w:rsid w:val="03B86609"/>
    <w:rsid w:val="09741E0C"/>
    <w:rsid w:val="0E68163F"/>
    <w:rsid w:val="1ED62538"/>
    <w:rsid w:val="259049AF"/>
    <w:rsid w:val="265C2DD7"/>
    <w:rsid w:val="291B48C7"/>
    <w:rsid w:val="2BAA2F9B"/>
    <w:rsid w:val="37135E97"/>
    <w:rsid w:val="46F3167F"/>
    <w:rsid w:val="48AA54D8"/>
    <w:rsid w:val="48B82169"/>
    <w:rsid w:val="616834F0"/>
    <w:rsid w:val="65613C57"/>
    <w:rsid w:val="733C1EAE"/>
    <w:rsid w:val="74D85A56"/>
    <w:rsid w:val="7DD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spacing w:line="720" w:lineRule="exact"/>
      <w:ind w:left="782" w:right="582"/>
      <w:jc w:val="center"/>
      <w:outlineLvl w:val="0"/>
    </w:pPr>
    <w:rPr>
      <w:rFonts w:ascii="Microsoft JhengHei" w:hAnsi="Microsoft JhengHei" w:eastAsia="Microsoft JhengHei" w:cs="Microsoft JhengHei"/>
      <w:b/>
      <w:bCs/>
      <w:sz w:val="44"/>
      <w:szCs w:val="44"/>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9"/>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basedOn w:val="8"/>
    <w:link w:val="4"/>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3749</Words>
  <Characters>3929</Characters>
  <Lines>1</Lines>
  <Paragraphs>1</Paragraphs>
  <TotalTime>57</TotalTime>
  <ScaleCrop>false</ScaleCrop>
  <LinksUpToDate>false</LinksUpToDate>
  <CharactersWithSpaces>4052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2025-10-15T03:02:00Z</dcterms:created>
  <dc:creator>郭文英</dc:creator>
  <cp:lastModifiedBy>吴洁</cp:lastModifiedBy>
  <cp:lastPrinted>2025-10-31T07:19:00Z</cp:lastPrinted>
  <dcterms:modified xsi:type="dcterms:W3CDTF">2025-10-31T07:53:19Z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C1E4B1CD945F444B8A2D63EB484632EB_13</vt:lpwstr>
  </property>
  <property fmtid="{D5CDD505-2E9C-101B-9397-08002B2CF9AE}" pid="4" name="KSOTemplateDocerSaveRecord">
    <vt:lpwstr>eyJoZGlkIjoiYWRlYzNkYTNlNDlhZmIwMDA1OGY3ZTYxNGI1MjA1MTUiLCJ1c2VySWQiOiIxNjAyNTU5MTIzIn0=</vt:lpwstr>
  </property>
</Properties>
</file>