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70E90">
      <w:pPr>
        <w:pageBreakBefore/>
        <w:widowControl/>
        <w:shd w:val="clear" w:color="auto" w:fill="FFFFFF"/>
        <w:spacing w:line="360" w:lineRule="auto"/>
        <w:jc w:val="center"/>
        <w:outlineLvl w:val="0"/>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驻马店市公安局2025年高速公路智能卡口维保项目</w:t>
      </w:r>
      <w:r>
        <w:rPr>
          <w:rFonts w:hint="eastAsia" w:ascii="黑体" w:hAnsi="宋体" w:eastAsia="黑体" w:cs="宋体"/>
          <w:b/>
          <w:bCs/>
          <w:color w:val="auto"/>
          <w:kern w:val="0"/>
          <w:sz w:val="32"/>
          <w:szCs w:val="32"/>
          <w:highlight w:val="none"/>
          <w:lang w:val="en-US" w:eastAsia="zh-CN"/>
        </w:rPr>
        <w:t xml:space="preserve">      </w:t>
      </w:r>
      <w:bookmarkStart w:id="34" w:name="_GoBack"/>
      <w:bookmarkEnd w:id="34"/>
      <w:r>
        <w:rPr>
          <w:rFonts w:hint="eastAsia" w:ascii="黑体" w:hAnsi="宋体" w:eastAsia="黑体" w:cs="宋体"/>
          <w:b/>
          <w:bCs/>
          <w:color w:val="auto"/>
          <w:kern w:val="0"/>
          <w:sz w:val="32"/>
          <w:szCs w:val="32"/>
          <w:highlight w:val="none"/>
        </w:rPr>
        <w:t>竞争性磋商公告</w:t>
      </w:r>
    </w:p>
    <w:p w14:paraId="51C4BF76">
      <w:pPr>
        <w:rPr>
          <w:color w:val="auto"/>
          <w:highlight w:val="none"/>
        </w:rPr>
      </w:pPr>
    </w:p>
    <w:p w14:paraId="3F1BB044">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color w:val="auto"/>
          <w:sz w:val="24"/>
          <w:highlight w:val="none"/>
        </w:rPr>
      </w:pPr>
      <w:r>
        <w:rPr>
          <w:rFonts w:hint="eastAsia" w:ascii="宋体" w:hAnsi="宋体" w:cs="宋体"/>
          <w:color w:val="auto"/>
          <w:sz w:val="24"/>
          <w:highlight w:val="none"/>
        </w:rPr>
        <w:t>项目概况</w:t>
      </w:r>
    </w:p>
    <w:p w14:paraId="3702212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驻马店市公安局2025年高速公路智能卡口维保项目的潜在供应商应在驻马店市公共资源交易中心网站</w:t>
      </w:r>
      <w:r>
        <w:rPr>
          <w:rFonts w:hint="eastAsia" w:ascii="宋体" w:hAnsi="宋体" w:cs="宋体"/>
          <w:color w:val="auto"/>
          <w:sz w:val="24"/>
          <w:highlight w:val="none"/>
          <w:u w:val="single"/>
        </w:rPr>
        <w:t>https://ggzy.zhumadian.gov.cn/TPFront/）</w:t>
      </w:r>
      <w:r>
        <w:rPr>
          <w:rFonts w:hint="eastAsia" w:ascii="宋体" w:hAnsi="宋体" w:cs="宋体"/>
          <w:color w:val="auto"/>
          <w:sz w:val="24"/>
          <w:highlight w:val="none"/>
        </w:rPr>
        <w:t>获取采购文件，并于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2025</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u w:val="single"/>
        </w:rPr>
        <w:t>年</w:t>
      </w:r>
      <w:r>
        <w:rPr>
          <w:rFonts w:hint="eastAsia" w:ascii="宋体" w:hAnsi="宋体" w:cs="宋体"/>
          <w:bCs/>
          <w:color w:val="auto"/>
          <w:sz w:val="24"/>
          <w:highlight w:val="none"/>
          <w:u w:val="single"/>
          <w:lang w:val="en-US" w:eastAsia="zh-CN"/>
        </w:rPr>
        <w:t>12</w:t>
      </w:r>
      <w:r>
        <w:rPr>
          <w:rFonts w:hint="eastAsia" w:ascii="宋体" w:hAnsi="宋体" w:cs="宋体"/>
          <w:bCs/>
          <w:color w:val="auto"/>
          <w:sz w:val="24"/>
          <w:highlight w:val="none"/>
          <w:u w:val="single"/>
        </w:rPr>
        <w:t>月</w:t>
      </w:r>
      <w:r>
        <w:rPr>
          <w:rFonts w:hint="eastAsia" w:ascii="宋体" w:hAnsi="宋体" w:cs="宋体"/>
          <w:bCs/>
          <w:color w:val="auto"/>
          <w:sz w:val="24"/>
          <w:highlight w:val="none"/>
          <w:u w:val="single"/>
          <w:lang w:val="en-US" w:eastAsia="zh-CN"/>
        </w:rPr>
        <w:t>15</w:t>
      </w:r>
      <w:r>
        <w:rPr>
          <w:rFonts w:hint="eastAsia" w:ascii="宋体" w:hAnsi="宋体" w:cs="宋体"/>
          <w:bCs/>
          <w:color w:val="auto"/>
          <w:sz w:val="24"/>
          <w:highlight w:val="none"/>
          <w:u w:val="single"/>
        </w:rPr>
        <w:t>日</w:t>
      </w:r>
      <w:r>
        <w:rPr>
          <w:rFonts w:hint="eastAsia" w:ascii="宋体" w:hAnsi="宋体" w:cs="宋体"/>
          <w:bCs/>
          <w:color w:val="auto"/>
          <w:sz w:val="24"/>
          <w:highlight w:val="none"/>
          <w:u w:val="single"/>
          <w:lang w:val="en-US" w:eastAsia="zh-CN"/>
        </w:rPr>
        <w:t>9</w:t>
      </w:r>
      <w:r>
        <w:rPr>
          <w:rFonts w:hint="eastAsia" w:ascii="宋体" w:hAnsi="宋体" w:cs="宋体"/>
          <w:bCs/>
          <w:color w:val="auto"/>
          <w:sz w:val="24"/>
          <w:highlight w:val="none"/>
          <w:u w:val="single"/>
        </w:rPr>
        <w:t>点00分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63D0525E">
      <w:pPr>
        <w:spacing w:line="360" w:lineRule="auto"/>
        <w:rPr>
          <w:rFonts w:hint="eastAsia" w:ascii="宋体" w:hAnsi="宋体" w:cs="宋体"/>
          <w:b/>
          <w:bCs/>
          <w:color w:val="auto"/>
          <w:sz w:val="24"/>
          <w:highlight w:val="none"/>
        </w:rPr>
      </w:pPr>
      <w:bookmarkStart w:id="0" w:name="_Toc35393629"/>
      <w:bookmarkStart w:id="1" w:name="_Toc28359089"/>
      <w:bookmarkStart w:id="2" w:name="_Toc35393798"/>
      <w:bookmarkStart w:id="3" w:name="_Toc28359012"/>
      <w:r>
        <w:rPr>
          <w:rFonts w:hint="eastAsia" w:ascii="宋体" w:hAnsi="宋体" w:cs="宋体"/>
          <w:b/>
          <w:bCs/>
          <w:color w:val="auto"/>
          <w:sz w:val="24"/>
          <w:highlight w:val="none"/>
        </w:rPr>
        <w:t>一、项目基本情况</w:t>
      </w:r>
      <w:bookmarkEnd w:id="0"/>
      <w:bookmarkEnd w:id="1"/>
      <w:bookmarkEnd w:id="2"/>
      <w:bookmarkEnd w:id="3"/>
    </w:p>
    <w:p w14:paraId="6935183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1、项目编号：驻政采购-2025-12-2</w:t>
      </w:r>
    </w:p>
    <w:p w14:paraId="68DD95D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2、项目名称：</w:t>
      </w:r>
      <w:r>
        <w:rPr>
          <w:rFonts w:hint="eastAsia" w:ascii="宋体" w:hAnsi="宋体" w:cs="宋体"/>
          <w:color w:val="auto"/>
          <w:spacing w:val="-1"/>
          <w:sz w:val="24"/>
          <w:highlight w:val="none"/>
        </w:rPr>
        <w:t>驻马店市公安局2025年高速公路智能卡口维保项目</w:t>
      </w:r>
    </w:p>
    <w:p w14:paraId="07E12C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3、采购方式：竞争性磋商；</w:t>
      </w:r>
    </w:p>
    <w:p w14:paraId="5F76DD3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4、预算金额：763009.00元   最高限价：763009.00元</w:t>
      </w:r>
    </w:p>
    <w:tbl>
      <w:tblPr>
        <w:tblStyle w:val="2"/>
        <w:tblW w:w="0" w:type="auto"/>
        <w:tblInd w:w="0" w:type="dxa"/>
        <w:tblLayout w:type="fixed"/>
        <w:tblCellMar>
          <w:top w:w="15" w:type="dxa"/>
          <w:left w:w="15" w:type="dxa"/>
          <w:bottom w:w="15" w:type="dxa"/>
          <w:right w:w="15" w:type="dxa"/>
        </w:tblCellMar>
      </w:tblPr>
      <w:tblGrid>
        <w:gridCol w:w="8300"/>
        <w:gridCol w:w="20"/>
      </w:tblGrid>
      <w:tr w14:paraId="516F12B9">
        <w:tblPrEx>
          <w:tblCellMar>
            <w:top w:w="15" w:type="dxa"/>
            <w:left w:w="15" w:type="dxa"/>
            <w:bottom w:w="15" w:type="dxa"/>
            <w:right w:w="15" w:type="dxa"/>
          </w:tblCellMar>
        </w:tblPrEx>
        <w:trPr>
          <w:trHeight w:val="2242" w:hRule="atLeast"/>
        </w:trPr>
        <w:tc>
          <w:tcPr>
            <w:tcW w:w="8300" w:type="dxa"/>
            <w:noWrap w:val="0"/>
            <w:tcMar>
              <w:top w:w="0" w:type="dxa"/>
              <w:left w:w="0" w:type="dxa"/>
              <w:bottom w:w="0" w:type="dxa"/>
              <w:right w:w="0" w:type="dxa"/>
            </w:tcMar>
            <w:vAlign w:val="center"/>
          </w:tcPr>
          <w:tbl>
            <w:tblPr>
              <w:tblStyle w:val="2"/>
              <w:tblW w:w="0" w:type="auto"/>
              <w:tblInd w:w="0" w:type="dxa"/>
              <w:tblLayout w:type="fixed"/>
              <w:tblCellMar>
                <w:top w:w="15" w:type="dxa"/>
                <w:left w:w="15" w:type="dxa"/>
                <w:bottom w:w="15" w:type="dxa"/>
                <w:right w:w="15" w:type="dxa"/>
              </w:tblCellMar>
            </w:tblPr>
            <w:tblGrid>
              <w:gridCol w:w="8300"/>
            </w:tblGrid>
            <w:tr w14:paraId="616405B0">
              <w:tblPrEx>
                <w:tblCellMar>
                  <w:top w:w="15" w:type="dxa"/>
                  <w:left w:w="15" w:type="dxa"/>
                  <w:bottom w:w="15" w:type="dxa"/>
                  <w:right w:w="15" w:type="dxa"/>
                </w:tblCellMar>
              </w:tblPrEx>
              <w:tc>
                <w:tcPr>
                  <w:tcW w:w="8300" w:type="dxa"/>
                  <w:noWrap w:val="0"/>
                  <w:tcMar>
                    <w:top w:w="0" w:type="dxa"/>
                    <w:left w:w="0" w:type="dxa"/>
                    <w:bottom w:w="0" w:type="dxa"/>
                    <w:right w:w="0" w:type="dxa"/>
                  </w:tcMar>
                  <w:vAlign w:val="center"/>
                </w:tcPr>
                <w:tbl>
                  <w:tblPr>
                    <w:tblStyle w:val="2"/>
                    <w:tblW w:w="0" w:type="auto"/>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0" w:type="dxa"/>
                      <w:bottom w:w="0" w:type="dxa"/>
                      <w:right w:w="0" w:type="dxa"/>
                    </w:tblCellMar>
                  </w:tblPr>
                  <w:tblGrid>
                    <w:gridCol w:w="378"/>
                    <w:gridCol w:w="1207"/>
                    <w:gridCol w:w="2414"/>
                    <w:gridCol w:w="2361"/>
                    <w:gridCol w:w="2257"/>
                  </w:tblGrid>
                  <w:tr w14:paraId="46077FA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192" w:hRule="atLeast"/>
                    </w:trPr>
                    <w:tc>
                      <w:tcPr>
                        <w:tcW w:w="378" w:type="dxa"/>
                        <w:tcBorders>
                          <w:bottom w:val="single" w:color="auto" w:sz="4" w:space="0"/>
                          <w:right w:val="single" w:color="auto" w:sz="4" w:space="0"/>
                        </w:tcBorders>
                        <w:noWrap w:val="0"/>
                        <w:vAlign w:val="center"/>
                      </w:tcPr>
                      <w:p w14:paraId="051F7EB8">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207" w:type="dxa"/>
                        <w:tcBorders>
                          <w:left w:val="single" w:color="auto" w:sz="4" w:space="0"/>
                          <w:bottom w:val="single" w:color="auto" w:sz="4" w:space="0"/>
                          <w:right w:val="single" w:color="auto" w:sz="4" w:space="0"/>
                        </w:tcBorders>
                        <w:noWrap w:val="0"/>
                        <w:vAlign w:val="center"/>
                      </w:tcPr>
                      <w:p w14:paraId="74D62A39">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包号</w:t>
                        </w:r>
                      </w:p>
                    </w:tc>
                    <w:tc>
                      <w:tcPr>
                        <w:tcW w:w="2414" w:type="dxa"/>
                        <w:tcBorders>
                          <w:left w:val="single" w:color="auto" w:sz="4" w:space="0"/>
                          <w:bottom w:val="single" w:color="auto" w:sz="4" w:space="0"/>
                          <w:right w:val="single" w:color="auto" w:sz="4" w:space="0"/>
                        </w:tcBorders>
                        <w:noWrap w:val="0"/>
                        <w:vAlign w:val="center"/>
                      </w:tcPr>
                      <w:p w14:paraId="11FC27B2">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包名称</w:t>
                        </w:r>
                      </w:p>
                    </w:tc>
                    <w:tc>
                      <w:tcPr>
                        <w:tcW w:w="2361" w:type="dxa"/>
                        <w:tcBorders>
                          <w:left w:val="single" w:color="auto" w:sz="4" w:space="0"/>
                          <w:bottom w:val="single" w:color="auto" w:sz="4" w:space="0"/>
                          <w:right w:val="single" w:color="auto" w:sz="4" w:space="0"/>
                        </w:tcBorders>
                        <w:noWrap w:val="0"/>
                        <w:vAlign w:val="center"/>
                      </w:tcPr>
                      <w:p w14:paraId="52185019">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包预算（元）</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08A32930">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包最高限价（元）</w:t>
                        </w:r>
                      </w:p>
                    </w:tc>
                  </w:tr>
                  <w:tr w14:paraId="60FE1F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1060" w:hRule="atLeast"/>
                    </w:trPr>
                    <w:tc>
                      <w:tcPr>
                        <w:tcW w:w="378" w:type="dxa"/>
                        <w:tcBorders>
                          <w:top w:val="single" w:color="auto" w:sz="4" w:space="0"/>
                          <w:right w:val="single" w:color="auto" w:sz="4" w:space="0"/>
                        </w:tcBorders>
                        <w:noWrap w:val="0"/>
                        <w:vAlign w:val="center"/>
                      </w:tcPr>
                      <w:p w14:paraId="4474C728">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207" w:type="dxa"/>
                        <w:tcBorders>
                          <w:top w:val="single" w:color="auto" w:sz="4" w:space="0"/>
                          <w:left w:val="single" w:color="auto" w:sz="4" w:space="0"/>
                          <w:right w:val="single" w:color="auto" w:sz="4" w:space="0"/>
                        </w:tcBorders>
                        <w:noWrap w:val="0"/>
                        <w:vAlign w:val="center"/>
                      </w:tcPr>
                      <w:p w14:paraId="230CC750">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驻政采购-2025-12-2 A</w:t>
                        </w:r>
                      </w:p>
                    </w:tc>
                    <w:tc>
                      <w:tcPr>
                        <w:tcW w:w="2414" w:type="dxa"/>
                        <w:tcBorders>
                          <w:top w:val="single" w:color="auto" w:sz="4" w:space="0"/>
                          <w:left w:val="single" w:color="auto" w:sz="4" w:space="0"/>
                          <w:right w:val="single" w:color="auto" w:sz="4" w:space="0"/>
                        </w:tcBorders>
                        <w:noWrap w:val="0"/>
                        <w:vAlign w:val="center"/>
                      </w:tcPr>
                      <w:p w14:paraId="7CCC68DE">
                        <w:pPr>
                          <w:spacing w:line="18" w:lineRule="atLeast"/>
                          <w:jc w:val="center"/>
                          <w:rPr>
                            <w:rFonts w:hint="eastAsia" w:ascii="宋体" w:hAnsi="宋体" w:cs="宋体"/>
                            <w:color w:val="auto"/>
                            <w:sz w:val="24"/>
                            <w:highlight w:val="none"/>
                          </w:rPr>
                        </w:pPr>
                        <w:r>
                          <w:rPr>
                            <w:rFonts w:hint="eastAsia" w:ascii="宋体" w:hAnsi="宋体" w:cs="宋体"/>
                            <w:color w:val="auto"/>
                            <w:spacing w:val="-1"/>
                            <w:sz w:val="24"/>
                            <w:highlight w:val="none"/>
                          </w:rPr>
                          <w:t xml:space="preserve">驻马店市公安局2025年高速公路智能卡口维保项目A包 </w:t>
                        </w:r>
                      </w:p>
                    </w:tc>
                    <w:tc>
                      <w:tcPr>
                        <w:tcW w:w="2361" w:type="dxa"/>
                        <w:tcBorders>
                          <w:top w:val="single" w:color="auto" w:sz="4" w:space="0"/>
                          <w:left w:val="single" w:color="auto" w:sz="4" w:space="0"/>
                          <w:right w:val="single" w:color="auto" w:sz="4" w:space="0"/>
                        </w:tcBorders>
                        <w:noWrap w:val="0"/>
                        <w:vAlign w:val="center"/>
                      </w:tcPr>
                      <w:p w14:paraId="7CAD0BCA">
                        <w:pPr>
                          <w:spacing w:line="18" w:lineRule="atLeast"/>
                          <w:jc w:val="center"/>
                          <w:rPr>
                            <w:rFonts w:hint="eastAsia" w:ascii="宋体" w:hAnsi="宋体" w:cs="宋体"/>
                            <w:color w:val="auto"/>
                            <w:sz w:val="24"/>
                            <w:highlight w:val="none"/>
                          </w:rPr>
                        </w:pPr>
                        <w:r>
                          <w:rPr>
                            <w:rFonts w:hint="eastAsia" w:ascii="宋体" w:hAnsi="宋体" w:cs="宋体"/>
                            <w:color w:val="auto"/>
                            <w:spacing w:val="-4"/>
                            <w:sz w:val="24"/>
                            <w:highlight w:val="none"/>
                          </w:rPr>
                          <w:t>763009</w:t>
                        </w:r>
                        <w:r>
                          <w:rPr>
                            <w:rFonts w:ascii="宋体" w:hAnsi="宋体" w:cs="宋体"/>
                            <w:color w:val="auto"/>
                            <w:spacing w:val="-4"/>
                            <w:sz w:val="24"/>
                            <w:highlight w:val="none"/>
                          </w:rPr>
                          <w:t>.00</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56C11617">
                        <w:pPr>
                          <w:spacing w:line="18" w:lineRule="atLeast"/>
                          <w:jc w:val="center"/>
                          <w:rPr>
                            <w:rFonts w:hint="eastAsia" w:ascii="宋体" w:hAnsi="宋体" w:cs="宋体"/>
                            <w:color w:val="auto"/>
                            <w:sz w:val="24"/>
                            <w:highlight w:val="none"/>
                          </w:rPr>
                        </w:pPr>
                        <w:r>
                          <w:rPr>
                            <w:rFonts w:hint="eastAsia" w:ascii="宋体" w:hAnsi="宋体" w:cs="宋体"/>
                            <w:color w:val="auto"/>
                            <w:sz w:val="24"/>
                            <w:highlight w:val="none"/>
                          </w:rPr>
                          <w:t>763009.00</w:t>
                        </w:r>
                      </w:p>
                    </w:tc>
                  </w:tr>
                </w:tbl>
                <w:p w14:paraId="1832A798">
                  <w:pPr>
                    <w:spacing w:line="18" w:lineRule="atLeast"/>
                    <w:jc w:val="center"/>
                    <w:rPr>
                      <w:rFonts w:hint="eastAsia" w:ascii="微软雅黑" w:hAnsi="微软雅黑" w:eastAsia="微软雅黑" w:cs="微软雅黑"/>
                      <w:color w:val="auto"/>
                      <w:highlight w:val="none"/>
                    </w:rPr>
                  </w:pPr>
                </w:p>
              </w:tc>
            </w:tr>
          </w:tbl>
          <w:p w14:paraId="5E95BB76">
            <w:pPr>
              <w:spacing w:line="18" w:lineRule="atLeast"/>
              <w:jc w:val="center"/>
              <w:rPr>
                <w:rFonts w:hint="eastAsia" w:ascii="微软雅黑" w:hAnsi="微软雅黑" w:eastAsia="微软雅黑" w:cs="微软雅黑"/>
                <w:color w:val="auto"/>
                <w:highlight w:val="none"/>
              </w:rPr>
            </w:pPr>
          </w:p>
        </w:tc>
        <w:tc>
          <w:tcPr>
            <w:tcW w:w="6" w:type="dxa"/>
            <w:noWrap w:val="0"/>
            <w:tcMar>
              <w:top w:w="0" w:type="dxa"/>
              <w:left w:w="0" w:type="dxa"/>
              <w:bottom w:w="0" w:type="dxa"/>
              <w:right w:w="0" w:type="dxa"/>
            </w:tcMar>
            <w:vAlign w:val="center"/>
          </w:tcPr>
          <w:p w14:paraId="15457176">
            <w:pPr>
              <w:spacing w:line="18" w:lineRule="atLeast"/>
              <w:jc w:val="center"/>
              <w:rPr>
                <w:rFonts w:hint="eastAsia" w:ascii="微软雅黑" w:hAnsi="微软雅黑" w:eastAsia="微软雅黑" w:cs="微软雅黑"/>
                <w:color w:val="auto"/>
                <w:highlight w:val="none"/>
              </w:rPr>
            </w:pPr>
          </w:p>
        </w:tc>
      </w:tr>
    </w:tbl>
    <w:p w14:paraId="7723B10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5、采购需求：（包括但不限于标的的名称、数量、简要技术需求或服务要求等）采购高速公路智能卡口维保、部分设备配件更换等服务，详见磋商文件采购需求。</w:t>
      </w:r>
    </w:p>
    <w:p w14:paraId="0A8B053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6、合同履行期限：合同签订之日起一年</w:t>
      </w:r>
    </w:p>
    <w:p w14:paraId="26D295B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7、本项目是否接受联合体：否</w:t>
      </w:r>
    </w:p>
    <w:p w14:paraId="088A8EA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8、是否接受进口产品：否</w:t>
      </w:r>
    </w:p>
    <w:p w14:paraId="70CA7FD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9、是否专门面向中小企业：否</w:t>
      </w:r>
    </w:p>
    <w:p w14:paraId="52D7C06D">
      <w:pPr>
        <w:numPr>
          <w:ilvl w:val="0"/>
          <w:numId w:val="1"/>
        </w:numPr>
        <w:spacing w:line="360" w:lineRule="auto"/>
        <w:rPr>
          <w:rFonts w:hint="eastAsia" w:ascii="宋体" w:hAnsi="宋体" w:cs="宋体"/>
          <w:b/>
          <w:bCs/>
          <w:color w:val="auto"/>
          <w:sz w:val="24"/>
          <w:highlight w:val="none"/>
        </w:rPr>
      </w:pPr>
      <w:bookmarkStart w:id="4" w:name="_Toc28359013"/>
      <w:bookmarkStart w:id="5" w:name="_Toc35393630"/>
      <w:bookmarkStart w:id="6" w:name="_Toc35393799"/>
      <w:bookmarkStart w:id="7" w:name="_Toc28359090"/>
      <w:r>
        <w:rPr>
          <w:rFonts w:hint="eastAsia" w:ascii="宋体" w:hAnsi="宋体" w:cs="宋体"/>
          <w:b/>
          <w:bCs/>
          <w:color w:val="auto"/>
          <w:sz w:val="24"/>
          <w:highlight w:val="none"/>
        </w:rPr>
        <w:t>申请人的资格要求</w:t>
      </w:r>
      <w:bookmarkEnd w:id="4"/>
      <w:bookmarkEnd w:id="5"/>
      <w:bookmarkEnd w:id="6"/>
      <w:bookmarkEnd w:id="7"/>
    </w:p>
    <w:p w14:paraId="3D17BEF4">
      <w:pPr>
        <w:spacing w:line="360" w:lineRule="auto"/>
        <w:ind w:firstLine="480" w:firstLineChars="200"/>
        <w:rPr>
          <w:rFonts w:hint="eastAsia" w:ascii="宋体" w:hAnsi="宋体" w:cs="宋体"/>
          <w:color w:val="auto"/>
          <w:sz w:val="24"/>
          <w:highlight w:val="none"/>
        </w:rPr>
      </w:pPr>
      <w:bookmarkStart w:id="8" w:name="_Toc28359014"/>
      <w:bookmarkStart w:id="9" w:name="_Toc28359091"/>
      <w:r>
        <w:rPr>
          <w:rFonts w:hint="eastAsia" w:ascii="宋体" w:hAnsi="宋体" w:cs="宋体"/>
          <w:color w:val="auto"/>
          <w:sz w:val="24"/>
          <w:highlight w:val="none"/>
        </w:rPr>
        <w:t>1、满足《中华人民共和国政府采购法》第二十二条规定；</w:t>
      </w:r>
    </w:p>
    <w:p w14:paraId="22DBB28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2、落实政府采购政策需满足的资格要求：本项目落实促进中小企业发展/监狱/残疾人福利性企业发展等政府采购政策；落实《政府采购促进中小企业发展管理办法》财库【2020】46号文件规定；</w:t>
      </w:r>
    </w:p>
    <w:p w14:paraId="0319F8F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5775E116">
      <w:pPr>
        <w:spacing w:line="360" w:lineRule="auto"/>
        <w:ind w:firstLine="540"/>
        <w:rPr>
          <w:rFonts w:eastAsia="新宋体"/>
          <w:color w:val="auto"/>
          <w:sz w:val="24"/>
          <w:highlight w:val="none"/>
        </w:rPr>
      </w:pPr>
      <w:bookmarkStart w:id="10" w:name="_Toc35393631"/>
      <w:bookmarkStart w:id="11" w:name="_Toc35393800"/>
      <w:r>
        <w:rPr>
          <w:rFonts w:hint="eastAsia" w:eastAsia="新宋体"/>
          <w:color w:val="auto"/>
          <w:sz w:val="24"/>
          <w:highlight w:val="none"/>
        </w:rPr>
        <w:t>3.1根据《关于在政府采购活动中查询及使用信用记录有关问题的通知》(财库[2016]125 号)的规定，对列入失信被执行人、重大税收违法失信主体、政府采购严重违法失信行为记录名单的投标人，拒绝参与本项目政府采购活动【查询渠道 ：“ 信用中国 ”网站 ( www.creditchina.gov.cn ) 、中国政府采购网(www.ccgp.gov.cn)】(提供查询网页截图并加盖单位公章，查询日期需在本项目发布公告日期后)。</w:t>
      </w:r>
    </w:p>
    <w:p w14:paraId="03355F54">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三、获取采购文件</w:t>
      </w:r>
      <w:bookmarkEnd w:id="8"/>
      <w:bookmarkEnd w:id="9"/>
      <w:bookmarkEnd w:id="10"/>
      <w:bookmarkEnd w:id="11"/>
    </w:p>
    <w:p w14:paraId="03465B87">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日至</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日，每天上午08:00至12:00，下午12:00至17：30（北京时间，法定节假日除外 ）；</w:t>
      </w:r>
    </w:p>
    <w:p w14:paraId="03CE405E">
      <w:pPr>
        <w:spacing w:line="360" w:lineRule="auto"/>
        <w:ind w:firstLine="540"/>
        <w:rPr>
          <w:rFonts w:hint="eastAsia" w:ascii="宋体" w:hAnsi="宋体" w:cs="宋体"/>
          <w:color w:val="auto"/>
          <w:sz w:val="24"/>
          <w:highlight w:val="none"/>
          <w:u w:val="single"/>
        </w:rPr>
      </w:pPr>
      <w:r>
        <w:rPr>
          <w:rFonts w:hint="eastAsia" w:ascii="宋体" w:hAnsi="宋体" w:cs="宋体"/>
          <w:color w:val="auto"/>
          <w:sz w:val="24"/>
          <w:highlight w:val="none"/>
        </w:rPr>
        <w:t>2.地点：驻马店市公共资源交易平台网站（https://ggzy.zhumadian.gov.cn/）；</w:t>
      </w:r>
    </w:p>
    <w:p w14:paraId="654AB0BE">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3.方式：凭CA密钥登录会员系统并按网上提示下载竞争性磋商文件及资料（详见交易平台网站下载中心栏目里操作手册）；</w:t>
      </w:r>
    </w:p>
    <w:p w14:paraId="0A5F3BBF">
      <w:pPr>
        <w:spacing w:line="360" w:lineRule="auto"/>
        <w:ind w:firstLine="540"/>
        <w:rPr>
          <w:rFonts w:hint="eastAsia" w:ascii="宋体" w:hAnsi="宋体" w:cs="宋体"/>
          <w:color w:val="auto"/>
          <w:sz w:val="24"/>
          <w:highlight w:val="none"/>
        </w:rPr>
      </w:pPr>
      <w:r>
        <w:rPr>
          <w:rFonts w:hint="eastAsia" w:ascii="宋体" w:hAnsi="宋体" w:cs="宋体"/>
          <w:color w:val="auto"/>
          <w:sz w:val="24"/>
          <w:highlight w:val="none"/>
        </w:rPr>
        <w:t>4.售价：0元。</w:t>
      </w:r>
    </w:p>
    <w:p w14:paraId="7300D5CA">
      <w:pPr>
        <w:spacing w:line="360" w:lineRule="auto"/>
        <w:rPr>
          <w:rFonts w:hint="eastAsia" w:ascii="宋体" w:hAnsi="宋体" w:cs="宋体"/>
          <w:b/>
          <w:bCs/>
          <w:color w:val="auto"/>
          <w:sz w:val="24"/>
          <w:highlight w:val="none"/>
        </w:rPr>
      </w:pPr>
      <w:bookmarkStart w:id="12" w:name="_Toc28359015"/>
      <w:bookmarkStart w:id="13" w:name="_Toc35393632"/>
      <w:bookmarkStart w:id="14" w:name="_Toc35393801"/>
      <w:bookmarkStart w:id="15" w:name="_Toc28359092"/>
      <w:r>
        <w:rPr>
          <w:rFonts w:hint="eastAsia" w:ascii="宋体" w:hAnsi="宋体" w:cs="宋体"/>
          <w:b/>
          <w:bCs/>
          <w:color w:val="auto"/>
          <w:sz w:val="24"/>
          <w:highlight w:val="none"/>
        </w:rPr>
        <w:t>四、响应文件提交</w:t>
      </w:r>
      <w:bookmarkEnd w:id="12"/>
      <w:bookmarkEnd w:id="13"/>
      <w:bookmarkEnd w:id="14"/>
      <w:bookmarkEnd w:id="15"/>
    </w:p>
    <w:p w14:paraId="4D805D40">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1.截止时间：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点00分（北京时间）</w:t>
      </w:r>
    </w:p>
    <w:p w14:paraId="25D83519">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2.地点：驻马店市公共资源交易平台网站。</w:t>
      </w:r>
    </w:p>
    <w:p w14:paraId="1A94FEEF">
      <w:pPr>
        <w:spacing w:line="360" w:lineRule="auto"/>
        <w:rPr>
          <w:rFonts w:hint="eastAsia" w:ascii="宋体" w:hAnsi="宋体" w:cs="宋体"/>
          <w:b/>
          <w:bCs/>
          <w:color w:val="auto"/>
          <w:sz w:val="24"/>
          <w:highlight w:val="none"/>
        </w:rPr>
      </w:pPr>
      <w:bookmarkStart w:id="16" w:name="_Toc35393633"/>
      <w:bookmarkStart w:id="17" w:name="_Toc35393802"/>
      <w:bookmarkStart w:id="18" w:name="_Toc28359093"/>
      <w:bookmarkStart w:id="19" w:name="_Toc28359016"/>
      <w:r>
        <w:rPr>
          <w:rFonts w:hint="eastAsia" w:ascii="宋体" w:hAnsi="宋体" w:cs="宋体"/>
          <w:b/>
          <w:bCs/>
          <w:color w:val="auto"/>
          <w:sz w:val="24"/>
          <w:highlight w:val="none"/>
        </w:rPr>
        <w:t>五、开启</w:t>
      </w:r>
      <w:bookmarkEnd w:id="16"/>
      <w:bookmarkEnd w:id="17"/>
      <w:bookmarkEnd w:id="18"/>
      <w:bookmarkEnd w:id="19"/>
    </w:p>
    <w:p w14:paraId="7121CFD2">
      <w:pPr>
        <w:spacing w:line="360"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1.时间：</w:t>
      </w: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点00分（北京时间）</w:t>
      </w:r>
    </w:p>
    <w:p w14:paraId="03D6331B">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2.地点：驻马店市</w:t>
      </w:r>
      <w:r>
        <w:rPr>
          <w:rFonts w:hint="eastAsia" w:ascii="宋体" w:hAnsi="宋体" w:cs="宋体"/>
          <w:color w:val="auto"/>
          <w:kern w:val="0"/>
          <w:sz w:val="24"/>
          <w:highlight w:val="none"/>
        </w:rPr>
        <w:t>公共资源交易中心不见面开标厅</w:t>
      </w:r>
      <w:bookmarkStart w:id="20" w:name="_Toc28359017"/>
      <w:bookmarkStart w:id="21" w:name="_Toc35393803"/>
      <w:bookmarkStart w:id="22" w:name="_Toc28359094"/>
      <w:bookmarkStart w:id="23" w:name="_Toc35393634"/>
    </w:p>
    <w:p w14:paraId="495300DB">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六、</w:t>
      </w:r>
      <w:bookmarkEnd w:id="20"/>
      <w:bookmarkEnd w:id="21"/>
      <w:bookmarkEnd w:id="22"/>
      <w:bookmarkEnd w:id="23"/>
      <w:r>
        <w:rPr>
          <w:rFonts w:hint="eastAsia" w:ascii="宋体" w:hAnsi="宋体" w:cs="宋体"/>
          <w:b/>
          <w:bCs/>
          <w:color w:val="auto"/>
          <w:sz w:val="24"/>
          <w:highlight w:val="none"/>
        </w:rPr>
        <w:t>发布公告的媒介及公告期限</w:t>
      </w:r>
    </w:p>
    <w:p w14:paraId="485CABE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本次公告在《河南省政府采购网》、《驻马店市公共资源交易平台》上发布，公告期限为五个工作日。</w:t>
      </w:r>
    </w:p>
    <w:p w14:paraId="40EC7005">
      <w:pPr>
        <w:spacing w:line="360" w:lineRule="auto"/>
        <w:rPr>
          <w:rFonts w:hint="eastAsia" w:ascii="宋体" w:hAnsi="宋体" w:cs="宋体"/>
          <w:b/>
          <w:bCs/>
          <w:color w:val="auto"/>
          <w:sz w:val="24"/>
          <w:highlight w:val="none"/>
        </w:rPr>
      </w:pPr>
      <w:bookmarkStart w:id="24" w:name="_Toc35393804"/>
      <w:bookmarkStart w:id="25" w:name="_Toc35393635"/>
      <w:r>
        <w:rPr>
          <w:rFonts w:hint="eastAsia" w:ascii="宋体" w:hAnsi="宋体" w:cs="宋体"/>
          <w:b/>
          <w:bCs/>
          <w:color w:val="auto"/>
          <w:sz w:val="24"/>
          <w:highlight w:val="none"/>
        </w:rPr>
        <w:t>七、其他补充事宜</w:t>
      </w:r>
      <w:bookmarkEnd w:id="24"/>
      <w:bookmarkEnd w:id="25"/>
    </w:p>
    <w:p w14:paraId="4C36C56A">
      <w:pPr>
        <w:spacing w:line="360" w:lineRule="auto"/>
        <w:ind w:firstLine="480" w:firstLineChars="200"/>
        <w:rPr>
          <w:rFonts w:hint="eastAsia" w:ascii="宋体" w:hAnsi="宋体" w:cs="宋体"/>
          <w:bCs/>
          <w:color w:val="auto"/>
          <w:sz w:val="24"/>
          <w:highlight w:val="none"/>
        </w:rPr>
      </w:pPr>
      <w:bookmarkStart w:id="26" w:name="_Toc35393636"/>
      <w:bookmarkStart w:id="27" w:name="_Toc35393805"/>
      <w:bookmarkStart w:id="28" w:name="_Toc28359018"/>
      <w:bookmarkStart w:id="29" w:name="_Toc28359095"/>
      <w:r>
        <w:rPr>
          <w:rFonts w:hint="eastAsia" w:ascii="宋体" w:hAnsi="宋体" w:cs="宋体"/>
          <w:bCs/>
          <w:color w:val="auto"/>
          <w:sz w:val="24"/>
          <w:highlight w:val="none"/>
        </w:rPr>
        <w:t>1.本项目使用远程不见面交易的模式。供应商应于提交响应文件截止时间前将加密电子响应文件(.zmdtf格式)在驻马店市公共资源交易中心电子交易平台加密上传，逾期上传其响应将被拒绝。</w:t>
      </w:r>
      <w:r>
        <w:rPr>
          <w:rFonts w:hint="eastAsia" w:ascii="宋体" w:hAnsi="宋体" w:cs="宋体"/>
          <w:bCs/>
          <w:color w:val="auto"/>
          <w:sz w:val="24"/>
          <w:highlight w:val="none"/>
        </w:rPr>
        <w:br w:type="textWrapping"/>
      </w:r>
      <w:r>
        <w:rPr>
          <w:rFonts w:hint="eastAsia" w:ascii="宋体" w:hAnsi="宋体" w:cs="宋体"/>
          <w:bCs/>
          <w:color w:val="auto"/>
          <w:sz w:val="24"/>
          <w:highlight w:val="none"/>
        </w:rPr>
        <w:t xml:space="preserve">    2.供应商注册:供应商首先通过“驻马店市公共资源交易中心（http://ggzy.zhumadian.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r>
        <w:rPr>
          <w:rFonts w:hint="eastAsia" w:ascii="宋体" w:hAnsi="宋体" w:cs="宋体"/>
          <w:bCs/>
          <w:color w:val="auto"/>
          <w:sz w:val="24"/>
          <w:highlight w:val="none"/>
        </w:rPr>
        <w:br w:type="textWrapping"/>
      </w:r>
      <w:r>
        <w:rPr>
          <w:rFonts w:hint="eastAsia" w:ascii="宋体" w:hAnsi="宋体" w:cs="宋体"/>
          <w:bCs/>
          <w:color w:val="auto"/>
          <w:sz w:val="24"/>
          <w:highlight w:val="none"/>
        </w:rPr>
        <w:t xml:space="preserve">    3.采购文件下载: 凡有意参加采购活动者，登录“驻马店市公共资源交易中心（http://ggzy.zhumadian.gov.cn/）”网站，凭领取的企业身份认证锁（CA密钥）登录系统进行网上免费下载采购文件。</w:t>
      </w:r>
    </w:p>
    <w:p w14:paraId="69090552">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26"/>
      <w:bookmarkEnd w:id="27"/>
      <w:bookmarkEnd w:id="28"/>
      <w:bookmarkEnd w:id="29"/>
    </w:p>
    <w:p w14:paraId="32D1DE4F">
      <w:pPr>
        <w:spacing w:line="360" w:lineRule="auto"/>
        <w:ind w:firstLine="480" w:firstLineChars="200"/>
        <w:rPr>
          <w:rFonts w:hint="eastAsia" w:ascii="宋体" w:hAnsi="宋体" w:cs="宋体"/>
          <w:color w:val="auto"/>
          <w:sz w:val="24"/>
          <w:highlight w:val="none"/>
        </w:rPr>
      </w:pPr>
      <w:bookmarkStart w:id="30" w:name="_Toc28359019"/>
      <w:bookmarkStart w:id="31" w:name="_Toc28359096"/>
      <w:bookmarkStart w:id="32" w:name="_Toc35393806"/>
      <w:bookmarkStart w:id="33" w:name="_Toc35393637"/>
      <w:r>
        <w:rPr>
          <w:rFonts w:hint="eastAsia" w:ascii="宋体" w:hAnsi="宋体" w:cs="宋体"/>
          <w:color w:val="auto"/>
          <w:sz w:val="24"/>
          <w:highlight w:val="none"/>
        </w:rPr>
        <w:t>1.采购人信息</w:t>
      </w:r>
      <w:bookmarkEnd w:id="30"/>
      <w:bookmarkEnd w:id="31"/>
      <w:bookmarkEnd w:id="32"/>
      <w:bookmarkEnd w:id="33"/>
    </w:p>
    <w:p w14:paraId="69CACA4D">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名称：驻马店市公安局</w:t>
      </w:r>
    </w:p>
    <w:p w14:paraId="085B14ED">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地址：驻马店市金水路48号</w:t>
      </w:r>
    </w:p>
    <w:p w14:paraId="552B6F74">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 xml:space="preserve">联 系 人：邢先生        </w:t>
      </w:r>
    </w:p>
    <w:p w14:paraId="1A38EA28">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联系电话：18639678996</w:t>
      </w:r>
    </w:p>
    <w:p w14:paraId="294CDE08">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2.采购代理机构信息</w:t>
      </w:r>
    </w:p>
    <w:p w14:paraId="6AD00C20">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名称：诚辉工程管理有限公司</w:t>
      </w:r>
    </w:p>
    <w:p w14:paraId="5894CAA7">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 xml:space="preserve">办公地址：郑州高新区西三环路283号10幢9层44号 </w:t>
      </w:r>
    </w:p>
    <w:p w14:paraId="2A032417">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联系人：赵先生</w:t>
      </w:r>
    </w:p>
    <w:p w14:paraId="72F612D0">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电   话：18037376334</w:t>
      </w:r>
    </w:p>
    <w:p w14:paraId="20560C5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3.项目联系方式</w:t>
      </w:r>
    </w:p>
    <w:p w14:paraId="454410A3">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联系人：赵先生</w:t>
      </w:r>
    </w:p>
    <w:p w14:paraId="0000CE4C">
      <w:pPr>
        <w:spacing w:line="360" w:lineRule="auto"/>
        <w:ind w:firstLine="720" w:firstLineChars="300"/>
        <w:rPr>
          <w:rFonts w:ascii="宋体" w:hAnsi="宋体" w:cs="宋体"/>
          <w:color w:val="auto"/>
          <w:sz w:val="24"/>
          <w:highlight w:val="none"/>
        </w:rPr>
      </w:pPr>
      <w:r>
        <w:rPr>
          <w:rFonts w:ascii="宋体" w:hAnsi="宋体" w:cs="宋体"/>
          <w:color w:val="auto"/>
          <w:sz w:val="24"/>
          <w:highlight w:val="none"/>
        </w:rPr>
        <w:t>电   话：18037376334</w:t>
      </w:r>
    </w:p>
    <w:p w14:paraId="32C366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A6D64"/>
    <w:multiLevelType w:val="singleLevel"/>
    <w:tmpl w:val="2BCA6D6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C262F"/>
    <w:rsid w:val="5A2C2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2025-12-02T09:17:00Z</dcterms:created>
  <dc:creator>闭月羞花</dc:creator>
  <cp:lastModifiedBy>闭月羞花</cp:lastModifiedBy>
  <dcterms:modified xsi:type="dcterms:W3CDTF">2025-12-02T09:18:05Z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47019E4CED3D47DFBE6896D1B161D8F7_11</vt:lpwstr>
  </property>
  <property fmtid="{D5CDD505-2E9C-101B-9397-08002B2CF9AE}" pid="4" name="KSOTemplateDocerSaveRecord">
    <vt:lpwstr>eyJoZGlkIjoiZmJhM2M5MDk0Y2MzOWQwYjAzZmZjMWNjMTlhNDA4YTgiLCJ1c2VySWQiOiIxMTU3MDY3OTgxIn0=</vt:lpwstr>
  </property>
</Properties>
</file>