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8F052">
      <w:pPr>
        <w:widowControl/>
        <w:snapToGrid w:val="0"/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4"/>
        </w:rPr>
        <w:t>一、商务要求</w:t>
      </w:r>
      <w:r>
        <w:rPr>
          <w:rFonts w:hint="eastAsia" w:asciiTheme="minorEastAsia" w:hAnsiTheme="minorEastAsia" w:eastAsiaTheme="minorEastAsia" w:cstheme="minorEastAsia"/>
          <w:szCs w:val="24"/>
        </w:rPr>
        <w:t xml:space="preserve"> </w:t>
      </w:r>
    </w:p>
    <w:p w14:paraId="6CDE2A83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1. 交付的时间和地点</w:t>
      </w:r>
    </w:p>
    <w:p w14:paraId="7B286727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交货期：接采购人通知之日起</w:t>
      </w:r>
      <w:r>
        <w:rPr>
          <w:rFonts w:hint="eastAsia" w:asciiTheme="minorEastAsia" w:hAnsiTheme="minorEastAsia" w:eastAsiaTheme="minorEastAsia" w:cstheme="minorEastAsia"/>
          <w:szCs w:val="24"/>
          <w:highlight w:val="none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个日历天内完成交货及安装调试</w:t>
      </w:r>
    </w:p>
    <w:p w14:paraId="502F1571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交货地点：采购人指定地点</w:t>
      </w:r>
    </w:p>
    <w:p w14:paraId="62FCA0AD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质量标准：符合相关的国家标准、行业标准和专业标准</w:t>
      </w:r>
    </w:p>
    <w:p w14:paraId="27197946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2.包装和运输：须满足《关于印发〈商品包装政府采购需求标准（试行）〉〈快递包装政府采购需求标准（试行）〉的通知》（财办库﹝2020﹞123号））</w:t>
      </w:r>
    </w:p>
    <w:p w14:paraId="1B3FDC42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3.质保期：</w:t>
      </w:r>
      <w:r>
        <w:rPr>
          <w:rFonts w:hint="eastAsia" w:asciiTheme="minorEastAsia" w:hAnsiTheme="minorEastAsia" w:eastAsiaTheme="minorEastAsia" w:cstheme="minorEastAsia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年</w:t>
      </w:r>
    </w:p>
    <w:p w14:paraId="3FEDB50E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4.履约验收：符合招标文件和投标文件的要求，满足国家、行业及采购人验收标准。</w:t>
      </w:r>
    </w:p>
    <w:p w14:paraId="11FA5DBA">
      <w:pPr>
        <w:widowControl/>
        <w:snapToGrid w:val="0"/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4"/>
        </w:rPr>
        <w:t>二、技术要求</w:t>
      </w:r>
      <w:r>
        <w:rPr>
          <w:rFonts w:hint="eastAsia" w:asciiTheme="minorEastAsia" w:hAnsiTheme="minorEastAsia" w:eastAsiaTheme="minorEastAsia" w:cstheme="minorEastAsia"/>
          <w:szCs w:val="24"/>
        </w:rPr>
        <w:t xml:space="preserve"> </w:t>
      </w:r>
    </w:p>
    <w:p w14:paraId="0F9B4EDF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1.设备制造工艺、稳定性内容完整、描述详细，符合本项目的采购需求；</w:t>
      </w:r>
    </w:p>
    <w:p w14:paraId="08740368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2.供货方案，包括但不限于实施计划、工作流程、供货措施内容完整、描述详细，符合本项目的采购需求；</w:t>
      </w:r>
    </w:p>
    <w:p w14:paraId="39989BD3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3.设备安装调试、试运行测试、运行维护，内容完整、描述详细，符合本项目的采购需求；</w:t>
      </w:r>
    </w:p>
    <w:p w14:paraId="08DA0A71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4.备品备件保障措施考虑周全、高效、可行，符合本项目的采购需求。</w:t>
      </w:r>
    </w:p>
    <w:p w14:paraId="0C8C4EA1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5.售后服务方案内容、售后服务人员配备、售后服务计划、故障响应时间、售后服务设备，内容完整、描述详细，符合本项目的采购需求；</w:t>
      </w:r>
    </w:p>
    <w:p w14:paraId="78831568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6.质保期内保证措施，包括但不限于发生质量问题的应对措施、突发状况发生后的改进措施内容完整、描述详细，符合本项目的采购需求；</w:t>
      </w:r>
    </w:p>
    <w:p w14:paraId="3805727D">
      <w:pPr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4"/>
          <w:lang w:val="en-US" w:eastAsia="zh-CN"/>
        </w:rPr>
        <w:t>三、核心产品</w:t>
      </w:r>
    </w:p>
    <w:p w14:paraId="2B3B1E7D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4"/>
          <w:u w:val="single"/>
          <w:lang w:val="en-US" w:eastAsia="zh-CN"/>
        </w:rPr>
        <w:t>麻醉工作站</w:t>
      </w:r>
      <w:r>
        <w:rPr>
          <w:rFonts w:hint="eastAsia" w:asciiTheme="minorEastAsia" w:hAnsiTheme="minorEastAsia" w:eastAsiaTheme="minorEastAsia" w:cstheme="minorEastAsia"/>
          <w:szCs w:val="24"/>
          <w:lang w:val="en-US" w:eastAsia="zh-CN"/>
        </w:rPr>
        <w:t>为本项目核心产品。</w:t>
      </w:r>
    </w:p>
    <w:p w14:paraId="06B21DEB">
      <w:pP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17A7F8B2">
      <w:pPr>
        <w:spacing w:line="360" w:lineRule="auto"/>
        <w:ind w:firstLine="562" w:firstLineChars="200"/>
        <w:jc w:val="center"/>
        <w:rPr>
          <w:rFonts w:hint="default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（一）、麻醉工作站</w:t>
      </w:r>
    </w:p>
    <w:p w14:paraId="6BE35773">
      <w:pPr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高档麻醉工作站参数</w:t>
      </w:r>
    </w:p>
    <w:p w14:paraId="282EA4D1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1.基本要求</w:t>
      </w:r>
    </w:p>
    <w:p w14:paraId="3EBFF997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1.1 适用于新生儿、儿童、成人吸入式麻醉及呼吸管理(以注册证为准)；</w:t>
      </w:r>
    </w:p>
    <w:p w14:paraId="2552A544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1.2 通过NMPA认证；</w:t>
      </w:r>
    </w:p>
    <w:p w14:paraId="1A54767E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1.3 机架:带推车，前扶手，三个大抽屉，中央脚刹。</w:t>
      </w:r>
    </w:p>
    <w:p w14:paraId="65D54772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2.气源</w:t>
      </w:r>
    </w:p>
    <w:p w14:paraId="40296401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2.1具有氧气、空气气源接口；</w:t>
      </w:r>
    </w:p>
    <w:p w14:paraId="1F7F5B36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2.2具备气源压力实时监测，并在麻醉机上显示。</w:t>
      </w:r>
    </w:p>
    <w:p w14:paraId="2FE52D67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3.流量计</w:t>
      </w:r>
    </w:p>
    <w:p w14:paraId="33262DA6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3.1配备电子流量计，可自动计算并实时显示新鲜气体的氧浓度、总流量。</w:t>
      </w:r>
    </w:p>
    <w:p w14:paraId="5C36ADFD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4.挥发罐</w:t>
      </w:r>
    </w:p>
    <w:p w14:paraId="019C6143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4.1 配备2个挥发罐位，配备一个与主机同品牌原装七氟醚挥发罐(非OEM产品，以产品注册证为准)，可选配升级地氟醚挥发罐；</w:t>
      </w:r>
    </w:p>
    <w:p w14:paraId="2C47D4BB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4.2 开机自检流程中包含挥发罐测试功能。</w:t>
      </w:r>
    </w:p>
    <w:p w14:paraId="7A95A61D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5.呼吸回路</w:t>
      </w:r>
    </w:p>
    <w:p w14:paraId="6C730C67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5.1所有回路模块不用任何工具可以拆卸、安装，且所有呼吸回路部件可耐受134℃高温高压消毒，避免院内交叉感染；</w:t>
      </w:r>
    </w:p>
    <w:p w14:paraId="4C7BDF29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5.2 配备二氧化碳旁路功能，支持术中更换钠石灰；</w:t>
      </w:r>
    </w:p>
    <w:p w14:paraId="14D80119">
      <w:pPr>
        <w:spacing w:line="360" w:lineRule="auto"/>
        <w:ind w:firstLine="420" w:firstLineChars="200"/>
        <w:rPr>
          <w:rFonts w:hint="default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5.3 二氧化碳吸收罐，容积≥1500ml。</w:t>
      </w:r>
    </w:p>
    <w:p w14:paraId="18130681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6.呼吸机</w:t>
      </w:r>
    </w:p>
    <w:p w14:paraId="01825B14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6.1气动电控呼吸机，上升式风箱，可以直接观察病人实际呼吸状态，保证安全；</w:t>
      </w:r>
    </w:p>
    <w:p w14:paraId="0002A79C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6.2 配备15英寸外置式彩色触摸显示屏幕，方便多角度调节、观察;具备备用物理按键，可手动可调；</w:t>
      </w:r>
    </w:p>
    <w:p w14:paraId="3A08A97F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6.3 用户可根据需要选择全自检或部分自检功能，也可无限次跳过自检，快速开始手术；</w:t>
      </w:r>
    </w:p>
    <w:p w14:paraId="0CF9A361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6.4 配备全面的通气模式:容量控制模式VCV、压力控制模式PCV，压力控制容量保证模式(PCV-VG)、同步间歇指令模式(压力、容量)(SIMV PCV、SIMV VCV)带窒息保护的压力支持通气模式；</w:t>
      </w:r>
    </w:p>
    <w:p w14:paraId="3738C60C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6.5 具备麻醉药物和新鲜气体使用量实时显示和统计功能，便于精确计算手术成本；</w:t>
      </w:r>
    </w:p>
    <w:p w14:paraId="381F0198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6.6 配备肺复张程序功能，支持术中执行单次膨肺和PEEP递增循环法等肺复张的临床决策，并通过肺顺应性趋势图对治疗效果量化；</w:t>
      </w:r>
    </w:p>
    <w:p w14:paraId="4A066040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6.7 配备目标氧浓度指针功能，精确的显示维持所设的吸入氧浓度的最低氧气流量值，保证低流量用氧安全。</w:t>
      </w:r>
    </w:p>
    <w:p w14:paraId="044CC6B3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7.数字和波形监测</w:t>
      </w:r>
    </w:p>
    <w:p w14:paraId="397DCC28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7.1配备模块化的气体监测功能，模块支持热插拔，可监测呼末二氧化碳、麻醉气体、氧浓度(顺磁氧方式)、MAC值等。</w:t>
      </w:r>
    </w:p>
    <w:p w14:paraId="50BC25C5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8.互联互通功能</w:t>
      </w:r>
    </w:p>
    <w:p w14:paraId="37633DAC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8.1 具备通信协议，提供端口与主流手麻系统进行对接；</w:t>
      </w:r>
    </w:p>
    <w:p w14:paraId="50FE0190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8.2 具备VGA或HDMI等接口,便于视频输出演示、教学使用。</w:t>
      </w:r>
    </w:p>
    <w:p w14:paraId="76ECC094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9.病人全面监测</w:t>
      </w:r>
    </w:p>
    <w:p w14:paraId="27FAC1BF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9.1配备高端插件监护仪，不小于15英寸彩色电容触摸显示器，支持手势操作；</w:t>
      </w:r>
    </w:p>
    <w:p w14:paraId="79B3DD37">
      <w:pPr>
        <w:numPr>
          <w:ilvl w:val="1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9.2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监测参数包括:心电、血氧饱和度、无创血压、呼吸、脉率、双通道体温、双通道有创血压、电子肌松、麻醉深度等监测参数，可升级气体、心排量等监测；</w:t>
      </w:r>
    </w:p>
    <w:p w14:paraId="4AD8CDD5">
      <w:pPr>
        <w:numPr>
          <w:ilvl w:val="1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9.3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有创压力监测可同时监测、同屏同时显示收缩压变异率(SPV)和脉压变异率(PPV)；</w:t>
      </w:r>
    </w:p>
    <w:p w14:paraId="0348BA6F">
      <w:pPr>
        <w:numPr>
          <w:ilvl w:val="1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9.4 具有同步多导联心律失常分析，可同时对最多4道ECG心电导联进行分析；</w:t>
      </w:r>
    </w:p>
    <w:p w14:paraId="3ABD5568">
      <w:pPr>
        <w:numPr>
          <w:ilvl w:val="1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9.5 具备麻醉指示视图分屏，综合反馈惠者麻醉状态，指导麻醉用药；</w:t>
      </w:r>
    </w:p>
    <w:p w14:paraId="057A5015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9.6可连接同一品牌监护仪，麻醉机监测信息可在监护仪上显示，支持与监护仪进行信息传输，配备数据处理软件，支持麻醉数据导出处理。</w:t>
      </w:r>
      <w:bookmarkStart w:id="0" w:name="_GoBack"/>
      <w:bookmarkEnd w:id="0"/>
    </w:p>
    <w:p w14:paraId="24E6C0E4">
      <w:pP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28CCB53A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便携式彩色多普勒超声诊断系统</w:t>
      </w:r>
    </w:p>
    <w:p w14:paraId="47DE87A8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1、便携式彩色多普勒超声波诊断系统技术规格及概述：</w:t>
      </w:r>
    </w:p>
    <w:p w14:paraId="1A784100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1.1. ≥21英寸高分辨率彩色液晶显示器；</w:t>
      </w:r>
    </w:p>
    <w:p w14:paraId="60809593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1.2. 主机内置≥3个可激活探头接口；</w:t>
      </w:r>
    </w:p>
    <w:p w14:paraId="70E285CE"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1.3. 主机内置≥4个USB 3.0接口；</w:t>
      </w:r>
    </w:p>
    <w:p w14:paraId="36E82C60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1.4. 二维灰阶模式；</w:t>
      </w:r>
    </w:p>
    <w:p w14:paraId="6294872D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1.5. 彩色多普勒成像:包括彩色、能量、方向能量多普勒模式；</w:t>
      </w:r>
    </w:p>
    <w:p w14:paraId="682B56C6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1.6. 频谱多普勒成像:脉冲多普勒、高脉冲重复频率、连续波多普勒</w:t>
      </w:r>
    </w:p>
    <w:p w14:paraId="5C80B43D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1.7. 支持选配造影成像及定量分析(提供注册证明文件)；</w:t>
      </w:r>
    </w:p>
    <w:p w14:paraId="27CDBD88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1.8. 支持选配 IMT(提供注册证明文件)；</w:t>
      </w:r>
    </w:p>
    <w:p w14:paraId="1D6CEBAD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1.9. 扩展成像(要求凸阵、线阵可用)；</w:t>
      </w:r>
    </w:p>
    <w:p w14:paraId="4B63498A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1.10. 实时双幅对比成像；</w:t>
      </w:r>
    </w:p>
    <w:p w14:paraId="77068E76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1.11. 支持全屏放大，≥2档可调</w:t>
      </w:r>
    </w:p>
    <w:p w14:paraId="02199DC9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1.12. 智能血流跟踪,自动识别血管ROI框位置及角度，自动调整取样位置/取样角度</w:t>
      </w:r>
    </w:p>
    <w:p w14:paraId="1DD6D837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1.13. 支持选配宽景成像,提供更大的扫描视野(提供注册证明文件)；</w:t>
      </w:r>
    </w:p>
    <w:p w14:paraId="0ED54FB0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1.14. 穿刺针增强技术，自动偏转声束,实时增强穿刺针显影,支持线阵和凸阵探头；</w:t>
      </w:r>
    </w:p>
    <w:p w14:paraId="46E82CCC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1.15. ≥142种体位图；</w:t>
      </w:r>
    </w:p>
    <w:p w14:paraId="476E99B4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1.16. 内置超声教学软件,解剖图谱,标准的超声图像,扫查位置参考图，以及扫查技巧图文解析，覆盖多学科应用。</w:t>
      </w:r>
    </w:p>
    <w:p w14:paraId="653AB47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2、测量/分析和报告</w:t>
      </w:r>
    </w:p>
    <w:p w14:paraId="5E4563B7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2.1.常规测量、自动测量,支持频谱自动测量；</w:t>
      </w:r>
    </w:p>
    <w:p w14:paraId="49FC9CB6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2.2.全科测量包。</w:t>
      </w:r>
    </w:p>
    <w:p w14:paraId="5FC997C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3、电影回放和原始数据处理</w:t>
      </w:r>
    </w:p>
    <w:p w14:paraId="601474CD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3.1.支持电影回放；</w:t>
      </w:r>
    </w:p>
    <w:p w14:paraId="2BCBE3F3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3.2.支持向后存储和向前存储，时间长度可预置(向后:最大时间480s;向前:120s)。</w:t>
      </w:r>
    </w:p>
    <w:p w14:paraId="32B6316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4、检查存储和管理</w:t>
      </w:r>
    </w:p>
    <w:p w14:paraId="13889CC3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4.1.检查存储:</w:t>
      </w:r>
    </w:p>
    <w:p w14:paraId="64CD8822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≥250GB SSD硬盘；</w:t>
      </w:r>
    </w:p>
    <w:p w14:paraId="4581BF2A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4.2.检查管理:</w:t>
      </w:r>
    </w:p>
    <w:p w14:paraId="143C3913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iStation 专用于病人信息管理。</w:t>
      </w:r>
    </w:p>
    <w:p w14:paraId="3A0DECE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5、连通性要求</w:t>
      </w:r>
    </w:p>
    <w:p w14:paraId="6AAB63E2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5.1.支持网络连接:有线网络/无线网络。</w:t>
      </w:r>
    </w:p>
    <w:p w14:paraId="3FF7336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6、安全和认证:</w:t>
      </w:r>
    </w:p>
    <w:p w14:paraId="523FE35B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经 SFDA认证。</w:t>
      </w:r>
    </w:p>
    <w:p w14:paraId="188DE66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7、探头规格</w:t>
      </w:r>
    </w:p>
    <w:p w14:paraId="3D765EF0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7.1.可选配探头类型:凸阵、线阵、相控阵；</w:t>
      </w:r>
    </w:p>
    <w:p w14:paraId="1349CE02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7.2.探头频率:</w:t>
      </w:r>
    </w:p>
    <w:p w14:paraId="488A81B2">
      <w:pPr>
        <w:numPr>
          <w:ilvl w:val="0"/>
          <w:numId w:val="0"/>
        </w:numPr>
        <w:spacing w:line="360" w:lineRule="auto"/>
        <w:ind w:firstLine="840" w:firstLineChars="4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频率带宽 1.1-20Mz(依赖不同探头)；</w:t>
      </w:r>
    </w:p>
    <w:p w14:paraId="4E67D7FF">
      <w:pPr>
        <w:numPr>
          <w:ilvl w:val="0"/>
          <w:numId w:val="0"/>
        </w:numPr>
        <w:spacing w:line="360" w:lineRule="auto"/>
        <w:ind w:firstLine="840" w:firstLineChars="4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振元:最大有效振元数≥192振元；</w:t>
      </w:r>
    </w:p>
    <w:p w14:paraId="147E52B4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7.3.凸阵探头频率范围:1.0-5.0MHz；</w:t>
      </w:r>
    </w:p>
    <w:p w14:paraId="0763F298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7.4.线阵探头频率范围:3-11MHz。</w:t>
      </w:r>
    </w:p>
    <w:p w14:paraId="187EB2B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8、系统输入和输出</w:t>
      </w:r>
    </w:p>
    <w:p w14:paraId="5D7CF162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8.1.HDMI:1个；</w:t>
      </w:r>
    </w:p>
    <w:p w14:paraId="63727260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8.2.USB:4个，USB 3.0</w:t>
      </w:r>
    </w:p>
    <w:p w14:paraId="187F7819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8.3.网口:1个</w:t>
      </w:r>
    </w:p>
    <w:p w14:paraId="5414F22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9、外设和附件</w:t>
      </w:r>
    </w:p>
    <w:p w14:paraId="06452578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9.1、台车、自动电源卷线器、支持机器防盗锁控制。</w:t>
      </w:r>
    </w:p>
    <w:p w14:paraId="55356E3E">
      <w:pP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36164B24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（三）全自动染色封片一体机招标参数</w:t>
      </w:r>
    </w:p>
    <w:p w14:paraId="2CFC51E0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</w:pPr>
    </w:p>
    <w:p w14:paraId="18D5E1B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可对冰冻切片、常规组织切片及细胞涂片等进行染色+盖片的流水线设备</w:t>
      </w:r>
    </w:p>
    <w:p w14:paraId="1598F42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2、长度≤1米，体积小，可适应各种场地环境。</w:t>
      </w:r>
    </w:p>
    <w:p w14:paraId="7B56362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3、染色和盖片在一台设备内完成，方便快捷，稳定可靠。</w:t>
      </w:r>
    </w:p>
    <w:p w14:paraId="4E9CD06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4、站点数量≥27个，包括上载站点≥1个，试剂站点≥18个，水洗站点≥4个(可根据客户需求设定为试剂缸)，烤缸≥3个，≥1个转运位。</w:t>
      </w:r>
    </w:p>
    <w:p w14:paraId="7869B36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5、具有智能恒温功能试剂站点≥6个，温度范围为室温至 99℃可调。</w:t>
      </w:r>
    </w:p>
    <w:p w14:paraId="6FE4BD3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6、加热试剂缸采用水浴加热模式，水温上下恒定。</w:t>
      </w:r>
    </w:p>
    <w:p w14:paraId="2BF1922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7、加热试剂缸具备液位监测功能，可自动补水和排水功能，保持液位恒定。</w:t>
      </w:r>
    </w:p>
    <w:p w14:paraId="404CCA2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8、可编辑程序数量≥200套，每套程序可设置≥200个步骤。</w:t>
      </w:r>
    </w:p>
    <w:p w14:paraId="2522A63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9、每个步骤设置时间:1秒-23时59分59秒。</w:t>
      </w:r>
    </w:p>
    <w:p w14:paraId="56420E6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10、触摸屏:全中文、彩色触摸屏，染色过程实时、图像化显示。</w:t>
      </w:r>
    </w:p>
    <w:p w14:paraId="337BBDE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11、染色机内具有原厂配套独立试剂缸盖与染色站点数量相同。</w:t>
      </w:r>
    </w:p>
    <w:p w14:paraId="38A2C24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12、试剂缸容积≤350ml，节约试剂。</w:t>
      </w:r>
    </w:p>
    <w:p w14:paraId="640F06B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13、玻片架容量:≤20片/架，保证湿封效果。</w:t>
      </w:r>
    </w:p>
    <w:p w14:paraId="622C124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14、具备质量控制功能，实时记录每天工作量。</w:t>
      </w:r>
    </w:p>
    <w:p w14:paraId="7BE3B02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15、盖片速度≥800片/小时。</w:t>
      </w:r>
    </w:p>
    <w:p w14:paraId="61DB14C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16、可根据标本类型选择相应的盖片程序，具备≥6个快捷盖片程序。</w:t>
      </w:r>
    </w:p>
    <w:p w14:paraId="0E421E0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17、远程智能监控:具有远程报警、远程监控功能，可以通过网页、微信小程序、APP三个方式进行监控，实时了解设备运行状态。</w:t>
      </w:r>
    </w:p>
    <w:p w14:paraId="0612301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18、USB接口:便于数据的输入和追溯，可下载1个月内实验数据。</w:t>
      </w:r>
    </w:p>
    <w:p w14:paraId="7A69F40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19、无需标识，配置交换简便易行，环保措施具有活性炭过滤器。</w:t>
      </w:r>
    </w:p>
    <w:p w14:paraId="7C4B2C68">
      <w:pP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412E1E56"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（四）可视软性喉镜</w:t>
      </w:r>
    </w:p>
    <w:p w14:paraId="65AB444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可视软性喉镜技术要求:</w:t>
      </w:r>
    </w:p>
    <w:p w14:paraId="744CF20A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整机由机身软管和显示器两部分组成，整机具有拍照录像、数据存取、显示器有线视频输出，兼容av输出、吸痰、给药、吹氧、活检等功能；</w:t>
      </w:r>
    </w:p>
    <w:p w14:paraId="6B689F35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2、显示屏:≥3.5寸LCD 高清全视角触摸显示屏，可选配高清大显示屏；</w:t>
      </w:r>
    </w:p>
    <w:p w14:paraId="2AB6C475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3、摄像景深:2-50mm；</w:t>
      </w:r>
    </w:p>
    <w:p w14:paraId="4BFC307F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4、软镜插入管外径≥4.2mm，工作管道内径≥2.0mm;软镜插入管外径≥3.3m，工作管道内径≥1.2mm；</w:t>
      </w:r>
    </w:p>
    <w:p w14:paraId="4DB395B5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5、负压吸引按键可完全拆卸分体消毒，符合院感要求；</w:t>
      </w:r>
    </w:p>
    <w:p w14:paraId="02F27EC1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6、插入管有效工作长度≥600mm；</w:t>
      </w:r>
    </w:p>
    <w:p w14:paraId="056BFB27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7、插入管软管前端弯曲角度:向上弯曲≥180°，向下弯曲≥130°；</w:t>
      </w:r>
    </w:p>
    <w:p w14:paraId="5481D189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8、显示屏幕上下旋转角度≥0-150°，左右旋转角度&gt;270°；</w:t>
      </w:r>
    </w:p>
    <w:p w14:paraId="259AC4F9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9、电池:2400mAh聚合物电池，连续工作时间≥4小时，充电时间≤4小时；</w:t>
      </w:r>
    </w:p>
    <w:p w14:paraId="6418328A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10、操作系统、软件系统终身免费升级。</w:t>
      </w:r>
    </w:p>
    <w:p w14:paraId="42AB25A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可视喉镜技术要求:</w:t>
      </w:r>
    </w:p>
    <w:p w14:paraId="521F5DF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一、显示主机</w:t>
      </w:r>
    </w:p>
    <w:p w14:paraId="4534DD2A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1、显示主机可无缝兼容视频喉镜、硬管手柄、电子支气管镜。</w:t>
      </w:r>
    </w:p>
    <w:p w14:paraId="22AEAD03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2、屏幕:采用≥3.2寸广角高亮显示屏。</w:t>
      </w:r>
    </w:p>
    <w:p w14:paraId="17E6832C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3、显示主机与手柄连接方式:采用航空金属接头，可一键带电插拔，无需旋转。</w:t>
      </w:r>
    </w:p>
    <w:p w14:paraId="2715942C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4、可一键拍照、录像、录音，可录制有声视频，并在主机上直接阅读、回放。</w:t>
      </w:r>
    </w:p>
    <w:p w14:paraId="1324B98A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5、显示器能上下0度~130°转动，左右0°~270°转动。</w:t>
      </w:r>
    </w:p>
    <w:p w14:paraId="480C126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二、窥视手柄</w:t>
      </w:r>
    </w:p>
    <w:p w14:paraId="1E8644C6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1、同一手柄可满足婴幼儿、小儿、成人、特殊体型患者的插管需求。</w:t>
      </w:r>
    </w:p>
    <w:p w14:paraId="094C7832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2、手柄滑竿采用304不锈钢材质，可承重90KG拉力。</w:t>
      </w:r>
    </w:p>
    <w:p w14:paraId="0EE8F680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、具备耐磨、防跌落、防泼洒性能，以满足特殊抢救环境使用。</w:t>
      </w:r>
    </w:p>
    <w:p w14:paraId="4C043D71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、手柄可采用低温等离子,环氧乙烷等消毒灭菌方式。</w:t>
      </w:r>
    </w:p>
    <w:p w14:paraId="3C54006E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、可升级搭配工作站高清大屏显示，支持无线连接，实现影像实时远程传输，利于临床案例分享及教学。</w:t>
      </w:r>
    </w:p>
    <w:p w14:paraId="1E24EEC4"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、可升级搭配工作站高清大屏显示，支持两个插管工具同时连接成像，方便临床应对不同气道情况，提升插管成功率。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52CEC"/>
    <w:rsid w:val="06314D1E"/>
    <w:rsid w:val="1DD52CEC"/>
    <w:rsid w:val="3E355072"/>
    <w:rsid w:val="3E831D63"/>
    <w:rsid w:val="3FC670AB"/>
    <w:rsid w:val="4A3411EA"/>
    <w:rsid w:val="4ED47BEB"/>
    <w:rsid w:val="5BB11EDB"/>
    <w:rsid w:val="65381A47"/>
    <w:rsid w:val="753D63FD"/>
    <w:rsid w:val="796E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heading 1"/>
    <w:basedOn w:val="1"/>
    <w:next w:val="1"/>
    <w:qFormat/>
    <w:uiPriority w:val="0"/>
    <w:pPr>
      <w:keepNext/>
      <w:keepLines/>
      <w:autoSpaceDE w:val="0"/>
      <w:autoSpaceDN w:val="0"/>
      <w:spacing w:before="340" w:beforeLines="0" w:beforeAutospacing="0" w:after="330" w:afterLines="0" w:afterAutospacing="0" w:line="240" w:lineRule="auto"/>
      <w:jc w:val="center"/>
      <w:outlineLvl w:val="0"/>
    </w:pPr>
    <w:rPr>
      <w:rFonts w:eastAsia="宋体" w:cs="Times New Roman" w:asciiTheme="minorAscii" w:hAnsiTheme="minorAscii"/>
      <w:b/>
      <w:kern w:val="44"/>
      <w:sz w:val="44"/>
      <w:szCs w:val="22"/>
    </w:rPr>
  </w:style>
  <w:style w:type="paragraph" w:styleId="12">
    <w:name w:val="heading 2"/>
    <w:basedOn w:val="1"/>
    <w:next w:val="1"/>
    <w:link w:val="18"/>
    <w:semiHidden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宋体" w:hAnsi="宋体" w:eastAsia="宋体" w:cs="宋体"/>
      <w:b/>
      <w:bCs/>
      <w:sz w:val="44"/>
      <w:szCs w:val="24"/>
      <w:highlight w:val="none"/>
      <w:shd w:val="clear" w:color="auto" w:fill="auto"/>
      <w:lang w:bidi="en-US"/>
    </w:rPr>
  </w:style>
  <w:style w:type="paragraph" w:styleId="1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b/>
      <w:sz w:val="32"/>
    </w:rPr>
  </w:style>
  <w:style w:type="paragraph" w:styleId="14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jc w:val="center"/>
      <w:outlineLvl w:val="5"/>
    </w:pPr>
    <w:rPr>
      <w:rFonts w:ascii="Arial" w:hAnsi="Arial" w:eastAsia="宋体" w:cs="Arial"/>
      <w:b/>
      <w:snapToGrid w:val="0"/>
      <w:color w:val="000000"/>
      <w:kern w:val="0"/>
      <w:sz w:val="24"/>
      <w:szCs w:val="21"/>
      <w:lang w:eastAsia="en-US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7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next w:val="4"/>
    <w:qFormat/>
    <w:uiPriority w:val="0"/>
    <w:rPr>
      <w:rFonts w:ascii="宋体" w:hAnsi="Courier New" w:cs="Courier New"/>
      <w:szCs w:val="21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style4"/>
    <w:basedOn w:val="1"/>
    <w:next w:val="6"/>
    <w:qFormat/>
    <w:uiPriority w:val="0"/>
    <w:pPr>
      <w:spacing w:before="280" w:beforeLines="0" w:after="280" w:afterLines="0"/>
    </w:pPr>
    <w:rPr>
      <w:sz w:val="18"/>
    </w:r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7">
    <w:name w:val="大标题"/>
    <w:basedOn w:val="1"/>
    <w:next w:val="8"/>
    <w:autoRedefine/>
    <w:qFormat/>
    <w:uiPriority w:val="0"/>
    <w:pPr>
      <w:jc w:val="center"/>
    </w:pPr>
    <w:rPr>
      <w:rFonts w:ascii="Arial" w:hAnsi="Arial" w:eastAsia="宋体"/>
      <w:b/>
      <w:sz w:val="28"/>
      <w:szCs w:val="24"/>
    </w:rPr>
  </w:style>
  <w:style w:type="paragraph" w:styleId="8">
    <w:name w:val="Body Text First Indent 2"/>
    <w:basedOn w:val="9"/>
    <w:next w:val="1"/>
    <w:qFormat/>
    <w:uiPriority w:val="0"/>
    <w:pPr>
      <w:ind w:firstLine="420" w:firstLineChars="200"/>
    </w:pPr>
    <w:rPr>
      <w:rFonts w:eastAsia="宋体"/>
    </w:rPr>
  </w:style>
  <w:style w:type="paragraph" w:styleId="9">
    <w:name w:val="Body Text Indent"/>
    <w:basedOn w:val="1"/>
    <w:next w:val="10"/>
    <w:qFormat/>
    <w:uiPriority w:val="0"/>
    <w:pPr>
      <w:spacing w:after="120"/>
      <w:ind w:left="420" w:leftChars="200"/>
    </w:p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15">
    <w:name w:val="annotation text"/>
    <w:basedOn w:val="1"/>
    <w:semiHidden/>
    <w:qFormat/>
    <w:uiPriority w:val="99"/>
    <w:pPr>
      <w:jc w:val="left"/>
    </w:pPr>
  </w:style>
  <w:style w:type="character" w:customStyle="1" w:styleId="18">
    <w:name w:val="标题 2 Char"/>
    <w:link w:val="12"/>
    <w:qFormat/>
    <w:uiPriority w:val="0"/>
    <w:rPr>
      <w:rFonts w:ascii="宋体" w:hAnsi="宋体" w:eastAsia="宋体" w:cs="宋体"/>
      <w:b/>
      <w:bCs/>
      <w:kern w:val="2"/>
      <w:sz w:val="44"/>
      <w:szCs w:val="24"/>
      <w:highlight w:val="none"/>
      <w:shd w:val="clear" w:color="auto" w:fill="auto"/>
      <w:lang w:val="en-US" w:eastAsia="zh-CN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3470</Words>
  <Characters>3882</Characters>
  <Lines>0</Lines>
  <Paragraphs>0</Paragraphs>
  <TotalTime>0</TotalTime>
  <ScaleCrop>false</ScaleCrop>
  <LinksUpToDate>false</LinksUpToDate>
  <CharactersWithSpaces>3929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2025-10-30T09:23:00Z</dcterms:created>
  <dc:creator>╰LY F╯</dc:creator>
  <cp:lastModifiedBy>╰LY F╯</cp:lastModifiedBy>
  <dcterms:modified xsi:type="dcterms:W3CDTF">2025-11-05T03:05:08Z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421F1AFF1C1D4C538199B1EEA5B09805_11</vt:lpwstr>
  </property>
  <property fmtid="{D5CDD505-2E9C-101B-9397-08002B2CF9AE}" pid="4" name="KSOTemplateDocerSaveRecord">
    <vt:lpwstr>eyJoZGlkIjoiZGJmM2RmMmMyYjEwOWY0Mjc0ODI1NGZlNmNhMTU0OTciLCJ1c2VySWQiOiIyMzY3NTM3MjIifQ==</vt:lpwstr>
  </property>
</Properties>
</file>