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C509F">
      <w:pPr>
        <w:adjustRightInd w:val="0"/>
        <w:spacing w:before="240" w:after="60" w:line="420" w:lineRule="atLeast"/>
        <w:jc w:val="center"/>
        <w:outlineLvl w:val="0"/>
        <w:rPr>
          <w:rFonts w:hint="eastAsia" w:ascii="Arial" w:hAnsi="Arial"/>
          <w:b/>
          <w:kern w:val="0"/>
          <w:sz w:val="32"/>
          <w:szCs w:val="20"/>
        </w:rPr>
      </w:pPr>
      <w:bookmarkStart w:id="0" w:name="_Toc17643"/>
      <w:bookmarkStart w:id="1" w:name="_Toc2946"/>
      <w:bookmarkStart w:id="2" w:name="_Toc246996984"/>
      <w:bookmarkStart w:id="3" w:name="_Toc247085756"/>
      <w:bookmarkStart w:id="4" w:name="_Toc179632616"/>
      <w:bookmarkStart w:id="5" w:name="_Toc246996241"/>
      <w:bookmarkStart w:id="6" w:name="_Toc152045598"/>
      <w:bookmarkStart w:id="7" w:name="_Toc152042375"/>
      <w:bookmarkStart w:id="8" w:name="_Toc5498"/>
      <w:bookmarkStart w:id="9" w:name="_Toc31661"/>
      <w:bookmarkStart w:id="10" w:name="_Toc144974565"/>
      <w:bookmarkStart w:id="11" w:name="_Toc26929"/>
      <w:r>
        <w:rPr>
          <w:rFonts w:hint="eastAsia" w:ascii="Arial" w:hAnsi="Arial"/>
          <w:b/>
          <w:kern w:val="0"/>
          <w:sz w:val="32"/>
          <w:szCs w:val="20"/>
        </w:rPr>
        <w:t>第三章</w:t>
      </w:r>
      <w:r>
        <w:rPr>
          <w:rFonts w:ascii="Arial" w:hAnsi="Arial"/>
          <w:b/>
          <w:kern w:val="0"/>
          <w:sz w:val="32"/>
          <w:szCs w:val="20"/>
        </w:rPr>
        <w:t xml:space="preserve"> </w:t>
      </w:r>
      <w:r>
        <w:rPr>
          <w:rFonts w:hint="eastAsia" w:ascii="Arial" w:hAnsi="Arial"/>
          <w:b/>
          <w:kern w:val="0"/>
          <w:sz w:val="32"/>
          <w:szCs w:val="20"/>
        </w:rPr>
        <w:t>评标办法（综合评分法）</w:t>
      </w:r>
      <w:bookmarkEnd w:id="0"/>
      <w:bookmarkEnd w:id="1"/>
      <w:bookmarkEnd w:id="2"/>
      <w:bookmarkEnd w:id="3"/>
      <w:bookmarkEnd w:id="4"/>
      <w:bookmarkEnd w:id="5"/>
      <w:bookmarkEnd w:id="6"/>
      <w:bookmarkEnd w:id="7"/>
      <w:bookmarkEnd w:id="8"/>
      <w:bookmarkEnd w:id="9"/>
      <w:bookmarkEnd w:id="10"/>
    </w:p>
    <w:p w14:paraId="52B0139B">
      <w:pPr>
        <w:keepNext/>
        <w:keepLines/>
        <w:spacing w:before="280" w:after="290"/>
        <w:jc w:val="center"/>
        <w:outlineLvl w:val="3"/>
        <w:rPr>
          <w:rFonts w:ascii="Cambria" w:hAnsi="Cambria"/>
          <w:b/>
          <w:bCs/>
          <w:kern w:val="0"/>
          <w:sz w:val="28"/>
          <w:szCs w:val="28"/>
        </w:rPr>
      </w:pPr>
      <w:bookmarkStart w:id="12" w:name="_Toc6681"/>
      <w:bookmarkStart w:id="13" w:name="_Toc81321247"/>
      <w:bookmarkStart w:id="14" w:name="_Toc179632617"/>
      <w:bookmarkStart w:id="15" w:name="_Toc247085757"/>
      <w:bookmarkStart w:id="16" w:name="_Toc152042376"/>
      <w:bookmarkStart w:id="17" w:name="_Toc246996242"/>
      <w:bookmarkStart w:id="18" w:name="_Toc13866"/>
      <w:bookmarkStart w:id="19" w:name="_Toc152045599"/>
      <w:bookmarkStart w:id="20" w:name="_Toc57369433"/>
      <w:bookmarkStart w:id="21" w:name="_Toc144974566"/>
      <w:bookmarkStart w:id="22" w:name="_Toc15331"/>
      <w:bookmarkStart w:id="23" w:name="_Toc12818"/>
      <w:bookmarkStart w:id="24" w:name="_Toc3142"/>
      <w:bookmarkStart w:id="25" w:name="_Toc6466"/>
      <w:bookmarkStart w:id="26" w:name="_Toc138181431"/>
      <w:bookmarkStart w:id="27" w:name="_Toc246996985"/>
      <w:r>
        <w:rPr>
          <w:rFonts w:hint="eastAsia" w:ascii="Cambria" w:hAnsi="Cambria"/>
          <w:b/>
          <w:bCs/>
          <w:kern w:val="0"/>
          <w:sz w:val="28"/>
          <w:szCs w:val="28"/>
        </w:rPr>
        <w:t>评标办法前附表</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tbl>
      <w:tblPr>
        <w:tblStyle w:val="1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29"/>
        <w:gridCol w:w="1328"/>
        <w:gridCol w:w="372"/>
        <w:gridCol w:w="1284"/>
        <w:gridCol w:w="1490"/>
        <w:gridCol w:w="2889"/>
      </w:tblGrid>
      <w:tr w14:paraId="794B1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9" w:type="dxa"/>
            <w:gridSpan w:val="2"/>
            <w:tcBorders>
              <w:top w:val="single" w:color="auto" w:sz="4" w:space="0"/>
              <w:left w:val="single" w:color="auto" w:sz="4" w:space="0"/>
              <w:bottom w:val="single" w:color="auto" w:sz="4" w:space="0"/>
              <w:right w:val="single" w:color="auto" w:sz="4" w:space="0"/>
            </w:tcBorders>
            <w:noWrap w:val="0"/>
            <w:vAlign w:val="center"/>
          </w:tcPr>
          <w:p w14:paraId="3F7E631D">
            <w:pPr>
              <w:spacing w:line="400" w:lineRule="exact"/>
              <w:jc w:val="center"/>
              <w:rPr>
                <w:rFonts w:ascii="宋体" w:hAnsi="宋体"/>
                <w:b/>
                <w:color w:val="000000"/>
                <w:szCs w:val="21"/>
              </w:rPr>
            </w:pPr>
            <w:r>
              <w:rPr>
                <w:rFonts w:hint="eastAsia" w:ascii="宋体" w:hAnsi="宋体"/>
                <w:b/>
                <w:color w:val="000000"/>
                <w:szCs w:val="21"/>
              </w:rPr>
              <w:t>条款号</w:t>
            </w: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3816B475">
            <w:pPr>
              <w:spacing w:line="400" w:lineRule="exact"/>
              <w:jc w:val="center"/>
              <w:rPr>
                <w:rFonts w:ascii="宋体" w:hAnsi="宋体"/>
                <w:b/>
                <w:color w:val="000000"/>
                <w:szCs w:val="21"/>
              </w:rPr>
            </w:pPr>
            <w:r>
              <w:rPr>
                <w:rFonts w:hint="eastAsia" w:ascii="宋体" w:hAnsi="宋体"/>
                <w:b/>
                <w:color w:val="000000"/>
                <w:szCs w:val="21"/>
              </w:rPr>
              <w:t>评审因素</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43207DCF">
            <w:pPr>
              <w:spacing w:line="400" w:lineRule="exact"/>
              <w:jc w:val="center"/>
              <w:rPr>
                <w:rFonts w:ascii="宋体" w:hAnsi="宋体"/>
                <w:b/>
                <w:color w:val="000000"/>
                <w:szCs w:val="21"/>
              </w:rPr>
            </w:pPr>
            <w:r>
              <w:rPr>
                <w:rFonts w:hint="eastAsia" w:ascii="宋体" w:hAnsi="宋体"/>
                <w:b/>
                <w:color w:val="000000"/>
                <w:szCs w:val="21"/>
              </w:rPr>
              <w:t>评审标准</w:t>
            </w:r>
          </w:p>
        </w:tc>
      </w:tr>
      <w:tr w14:paraId="2A4A2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07C79B2A">
            <w:pPr>
              <w:spacing w:line="400" w:lineRule="exact"/>
              <w:jc w:val="center"/>
              <w:rPr>
                <w:rFonts w:ascii="宋体" w:hAnsi="宋体"/>
                <w:color w:val="000000"/>
                <w:szCs w:val="21"/>
              </w:rPr>
            </w:pPr>
            <w:r>
              <w:rPr>
                <w:rFonts w:hint="eastAsia" w:ascii="宋体" w:hAnsi="宋体"/>
                <w:color w:val="000000"/>
                <w:szCs w:val="21"/>
              </w:rPr>
              <w:t>1</w:t>
            </w:r>
          </w:p>
        </w:tc>
        <w:tc>
          <w:tcPr>
            <w:tcW w:w="1129" w:type="dxa"/>
            <w:tcBorders>
              <w:top w:val="single" w:color="auto" w:sz="4" w:space="0"/>
              <w:left w:val="nil"/>
              <w:bottom w:val="single" w:color="auto" w:sz="4" w:space="0"/>
              <w:right w:val="single" w:color="auto" w:sz="4" w:space="0"/>
            </w:tcBorders>
            <w:noWrap w:val="0"/>
            <w:vAlign w:val="center"/>
          </w:tcPr>
          <w:p w14:paraId="7949F33E">
            <w:pPr>
              <w:spacing w:line="400" w:lineRule="exact"/>
              <w:jc w:val="center"/>
              <w:rPr>
                <w:rFonts w:ascii="宋体" w:hAnsi="宋体"/>
                <w:color w:val="000000"/>
                <w:szCs w:val="21"/>
              </w:rPr>
            </w:pPr>
            <w:r>
              <w:rPr>
                <w:rFonts w:hint="eastAsia" w:ascii="宋体" w:hAnsi="宋体"/>
                <w:color w:val="000000"/>
                <w:szCs w:val="21"/>
              </w:rPr>
              <w:t>资格审查</w:t>
            </w: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5269A8CD">
            <w:pPr>
              <w:spacing w:line="400" w:lineRule="exact"/>
              <w:jc w:val="center"/>
              <w:rPr>
                <w:rFonts w:ascii="宋体" w:hAnsi="宋体"/>
                <w:color w:val="000000"/>
                <w:szCs w:val="21"/>
              </w:rPr>
            </w:pPr>
            <w:r>
              <w:rPr>
                <w:rFonts w:hint="eastAsia" w:ascii="宋体" w:hAnsi="宋体"/>
                <w:color w:val="000000"/>
                <w:szCs w:val="21"/>
              </w:rPr>
              <w:t>投标人资格要求</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78060C39">
            <w:pPr>
              <w:spacing w:line="400" w:lineRule="exact"/>
              <w:ind w:left="-107" w:leftChars="-51"/>
              <w:jc w:val="center"/>
              <w:rPr>
                <w:rFonts w:ascii="宋体" w:hAnsi="宋体"/>
                <w:color w:val="000000"/>
                <w:szCs w:val="21"/>
              </w:rPr>
            </w:pPr>
            <w:r>
              <w:rPr>
                <w:rFonts w:hint="eastAsia" w:ascii="宋体" w:hAnsi="宋体"/>
                <w:color w:val="000000"/>
                <w:szCs w:val="21"/>
              </w:rPr>
              <w:t>符合第二章</w:t>
            </w:r>
            <w:r>
              <w:rPr>
                <w:rFonts w:ascii="宋体" w:hAnsi="宋体"/>
                <w:color w:val="000000"/>
                <w:szCs w:val="21"/>
              </w:rPr>
              <w:t>“</w:t>
            </w:r>
            <w:r>
              <w:rPr>
                <w:rFonts w:hint="eastAsia" w:ascii="宋体" w:hAnsi="宋体"/>
                <w:color w:val="000000"/>
                <w:szCs w:val="21"/>
              </w:rPr>
              <w:t>投标人须知</w:t>
            </w:r>
            <w:r>
              <w:rPr>
                <w:rFonts w:ascii="宋体" w:hAnsi="宋体"/>
                <w:color w:val="000000"/>
                <w:szCs w:val="21"/>
              </w:rPr>
              <w:t>”</w:t>
            </w:r>
            <w:r>
              <w:rPr>
                <w:rFonts w:hint="eastAsia" w:ascii="宋体" w:hAnsi="宋体"/>
                <w:color w:val="000000"/>
                <w:szCs w:val="21"/>
              </w:rPr>
              <w:t>第</w:t>
            </w:r>
            <w:r>
              <w:rPr>
                <w:rFonts w:ascii="宋体" w:hAnsi="宋体"/>
                <w:color w:val="000000"/>
                <w:szCs w:val="21"/>
              </w:rPr>
              <w:t>1.4</w:t>
            </w:r>
            <w:r>
              <w:rPr>
                <w:rFonts w:hint="eastAsia" w:ascii="宋体" w:hAnsi="宋体"/>
                <w:color w:val="000000"/>
                <w:szCs w:val="21"/>
              </w:rPr>
              <w:t>项规定</w:t>
            </w:r>
          </w:p>
        </w:tc>
      </w:tr>
      <w:tr w14:paraId="4F02E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342" w:type="dxa"/>
            <w:gridSpan w:val="7"/>
            <w:tcBorders>
              <w:top w:val="single" w:color="auto" w:sz="4" w:space="0"/>
              <w:left w:val="single" w:color="auto" w:sz="4" w:space="0"/>
              <w:bottom w:val="single" w:color="auto" w:sz="4" w:space="0"/>
              <w:right w:val="single" w:color="auto" w:sz="4" w:space="0"/>
            </w:tcBorders>
            <w:noWrap w:val="0"/>
            <w:vAlign w:val="center"/>
          </w:tcPr>
          <w:p w14:paraId="0C38EDF6">
            <w:pPr>
              <w:spacing w:line="400" w:lineRule="exact"/>
              <w:ind w:left="-107" w:leftChars="-51"/>
              <w:jc w:val="center"/>
              <w:rPr>
                <w:rFonts w:hint="eastAsia" w:ascii="宋体" w:hAnsi="宋体"/>
                <w:color w:val="000000"/>
                <w:szCs w:val="21"/>
              </w:rPr>
            </w:pPr>
            <w:r>
              <w:rPr>
                <w:rFonts w:hint="eastAsia" w:ascii="宋体" w:hAnsi="宋体"/>
                <w:color w:val="000000"/>
                <w:szCs w:val="21"/>
              </w:rPr>
              <w:t>注：开标结束后，由采购人或采购代理机构对投标人的资格进行审查。</w:t>
            </w:r>
          </w:p>
        </w:tc>
      </w:tr>
      <w:tr w14:paraId="475B5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restart"/>
            <w:tcBorders>
              <w:top w:val="single" w:color="auto" w:sz="4" w:space="0"/>
              <w:left w:val="single" w:color="auto" w:sz="4" w:space="0"/>
              <w:right w:val="single" w:color="auto" w:sz="4" w:space="0"/>
            </w:tcBorders>
            <w:noWrap w:val="0"/>
            <w:vAlign w:val="center"/>
          </w:tcPr>
          <w:p w14:paraId="1D893F37">
            <w:pPr>
              <w:spacing w:line="400" w:lineRule="exact"/>
              <w:jc w:val="center"/>
              <w:rPr>
                <w:rFonts w:ascii="宋体" w:hAnsi="宋体"/>
                <w:color w:val="000000"/>
                <w:szCs w:val="21"/>
              </w:rPr>
            </w:pPr>
            <w:r>
              <w:rPr>
                <w:rFonts w:hint="eastAsia" w:ascii="宋体" w:hAnsi="宋体"/>
                <w:color w:val="000000"/>
                <w:szCs w:val="21"/>
              </w:rPr>
              <w:t>2</w:t>
            </w:r>
          </w:p>
        </w:tc>
        <w:tc>
          <w:tcPr>
            <w:tcW w:w="1129" w:type="dxa"/>
            <w:vMerge w:val="restart"/>
            <w:tcBorders>
              <w:top w:val="single" w:color="auto" w:sz="4" w:space="0"/>
              <w:left w:val="nil"/>
              <w:right w:val="single" w:color="auto" w:sz="4" w:space="0"/>
            </w:tcBorders>
            <w:noWrap w:val="0"/>
            <w:vAlign w:val="center"/>
          </w:tcPr>
          <w:p w14:paraId="09910A56">
            <w:pPr>
              <w:spacing w:line="400" w:lineRule="exact"/>
              <w:jc w:val="center"/>
              <w:rPr>
                <w:rFonts w:ascii="宋体" w:hAnsi="宋体"/>
                <w:color w:val="000000"/>
                <w:szCs w:val="21"/>
              </w:rPr>
            </w:pPr>
            <w:r>
              <w:rPr>
                <w:rFonts w:hint="eastAsia" w:ascii="宋体" w:hAnsi="宋体"/>
                <w:color w:val="000000"/>
                <w:szCs w:val="21"/>
              </w:rPr>
              <w:t>符合性</w:t>
            </w:r>
          </w:p>
          <w:p w14:paraId="5749CE96">
            <w:pPr>
              <w:spacing w:line="400" w:lineRule="exact"/>
              <w:jc w:val="center"/>
              <w:rPr>
                <w:rFonts w:ascii="宋体" w:hAnsi="宋体"/>
                <w:color w:val="000000"/>
                <w:szCs w:val="21"/>
              </w:rPr>
            </w:pPr>
            <w:r>
              <w:rPr>
                <w:rFonts w:hint="eastAsia" w:ascii="宋体" w:hAnsi="宋体"/>
                <w:color w:val="000000"/>
                <w:szCs w:val="21"/>
              </w:rPr>
              <w:t>评审</w:t>
            </w: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33A2CEE1">
            <w:pPr>
              <w:spacing w:line="400" w:lineRule="exact"/>
              <w:jc w:val="center"/>
              <w:rPr>
                <w:rFonts w:ascii="宋体" w:hAnsi="宋体"/>
                <w:color w:val="000000"/>
                <w:szCs w:val="21"/>
              </w:rPr>
            </w:pPr>
            <w:r>
              <w:rPr>
                <w:rFonts w:hint="eastAsia" w:ascii="宋体" w:hAnsi="宋体"/>
                <w:color w:val="000000"/>
                <w:szCs w:val="21"/>
              </w:rPr>
              <w:t>投标报价</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7724A1A2">
            <w:pPr>
              <w:spacing w:line="400" w:lineRule="exact"/>
              <w:rPr>
                <w:rFonts w:ascii="宋体" w:hAnsi="宋体"/>
                <w:color w:val="000000"/>
                <w:szCs w:val="21"/>
              </w:rPr>
            </w:pPr>
            <w:r>
              <w:rPr>
                <w:rFonts w:hint="eastAsia" w:ascii="宋体" w:hAnsi="宋体"/>
                <w:color w:val="000000"/>
                <w:szCs w:val="21"/>
              </w:rPr>
              <w:t>符合第二章“投标人须知”第3.2.2项规定</w:t>
            </w:r>
          </w:p>
        </w:tc>
      </w:tr>
      <w:tr w14:paraId="28B13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left w:val="single" w:color="auto" w:sz="4" w:space="0"/>
              <w:right w:val="single" w:color="auto" w:sz="4" w:space="0"/>
            </w:tcBorders>
            <w:noWrap w:val="0"/>
            <w:vAlign w:val="center"/>
          </w:tcPr>
          <w:p w14:paraId="7BC27CA9">
            <w:pPr>
              <w:widowControl/>
              <w:jc w:val="left"/>
              <w:rPr>
                <w:rFonts w:ascii="宋体" w:hAnsi="宋体"/>
                <w:color w:val="000000"/>
                <w:szCs w:val="21"/>
              </w:rPr>
            </w:pPr>
          </w:p>
        </w:tc>
        <w:tc>
          <w:tcPr>
            <w:tcW w:w="1129" w:type="dxa"/>
            <w:vMerge w:val="continue"/>
            <w:tcBorders>
              <w:left w:val="nil"/>
              <w:right w:val="single" w:color="auto" w:sz="4" w:space="0"/>
            </w:tcBorders>
            <w:noWrap w:val="0"/>
            <w:vAlign w:val="center"/>
          </w:tcPr>
          <w:p w14:paraId="715C9550">
            <w:pPr>
              <w:widowControl/>
              <w:jc w:val="left"/>
              <w:rPr>
                <w:rFonts w:ascii="宋体" w:hAnsi="宋体"/>
                <w:color w:val="000000"/>
                <w:szCs w:val="21"/>
              </w:rPr>
            </w:pP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462E6FCC">
            <w:pPr>
              <w:spacing w:line="400" w:lineRule="exact"/>
              <w:jc w:val="center"/>
              <w:rPr>
                <w:rFonts w:ascii="宋体" w:hAnsi="宋体"/>
                <w:color w:val="000000"/>
                <w:szCs w:val="21"/>
              </w:rPr>
            </w:pPr>
            <w:r>
              <w:rPr>
                <w:rFonts w:hint="eastAsia" w:ascii="宋体" w:hAnsi="宋体"/>
                <w:color w:val="000000"/>
                <w:szCs w:val="21"/>
              </w:rPr>
              <w:t>投标内容</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51190BE6">
            <w:pPr>
              <w:spacing w:line="400" w:lineRule="exact"/>
              <w:rPr>
                <w:rFonts w:ascii="宋体" w:hAnsi="宋体"/>
                <w:color w:val="000000"/>
                <w:szCs w:val="21"/>
              </w:rPr>
            </w:pPr>
            <w:r>
              <w:rPr>
                <w:rFonts w:hint="eastAsia" w:ascii="宋体" w:hAnsi="宋体"/>
                <w:color w:val="000000"/>
                <w:szCs w:val="21"/>
              </w:rPr>
              <w:t>符合第二章“投标人须知”第1.3.1项规定</w:t>
            </w:r>
          </w:p>
        </w:tc>
      </w:tr>
      <w:tr w14:paraId="094A0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left w:val="single" w:color="auto" w:sz="4" w:space="0"/>
              <w:right w:val="single" w:color="auto" w:sz="4" w:space="0"/>
            </w:tcBorders>
            <w:noWrap w:val="0"/>
            <w:vAlign w:val="center"/>
          </w:tcPr>
          <w:p w14:paraId="7D2069D4">
            <w:pPr>
              <w:widowControl/>
              <w:jc w:val="left"/>
              <w:rPr>
                <w:rFonts w:ascii="宋体" w:hAnsi="宋体"/>
                <w:color w:val="000000"/>
                <w:szCs w:val="21"/>
              </w:rPr>
            </w:pPr>
          </w:p>
        </w:tc>
        <w:tc>
          <w:tcPr>
            <w:tcW w:w="1129" w:type="dxa"/>
            <w:vMerge w:val="continue"/>
            <w:tcBorders>
              <w:left w:val="nil"/>
              <w:right w:val="single" w:color="auto" w:sz="4" w:space="0"/>
            </w:tcBorders>
            <w:noWrap w:val="0"/>
            <w:vAlign w:val="center"/>
          </w:tcPr>
          <w:p w14:paraId="1171CD81">
            <w:pPr>
              <w:widowControl/>
              <w:jc w:val="left"/>
              <w:rPr>
                <w:rFonts w:ascii="宋体" w:hAnsi="宋体"/>
                <w:color w:val="000000"/>
                <w:szCs w:val="21"/>
              </w:rPr>
            </w:pP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3DA9DECD">
            <w:pPr>
              <w:spacing w:line="400" w:lineRule="exact"/>
              <w:jc w:val="center"/>
              <w:rPr>
                <w:rFonts w:hint="eastAsia" w:ascii="宋体" w:hAnsi="宋体"/>
                <w:color w:val="000000"/>
                <w:szCs w:val="21"/>
              </w:rPr>
            </w:pPr>
            <w:r>
              <w:rPr>
                <w:rFonts w:hint="eastAsia" w:ascii="宋体" w:hAnsi="宋体"/>
                <w:color w:val="000000"/>
                <w:szCs w:val="21"/>
              </w:rPr>
              <w:t>质量</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3ECBC943">
            <w:pPr>
              <w:spacing w:line="400" w:lineRule="exact"/>
              <w:rPr>
                <w:rFonts w:hint="eastAsia" w:ascii="宋体" w:hAnsi="宋体"/>
                <w:color w:val="000000"/>
                <w:szCs w:val="21"/>
              </w:rPr>
            </w:pPr>
            <w:r>
              <w:rPr>
                <w:rFonts w:hint="eastAsia" w:ascii="宋体" w:hAnsi="宋体"/>
                <w:color w:val="000000"/>
                <w:szCs w:val="21"/>
              </w:rPr>
              <w:t>符合第二章“投标人须知”第1.3.2项规定</w:t>
            </w:r>
          </w:p>
        </w:tc>
      </w:tr>
      <w:tr w14:paraId="7F92E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left w:val="single" w:color="auto" w:sz="4" w:space="0"/>
              <w:right w:val="single" w:color="auto" w:sz="4" w:space="0"/>
            </w:tcBorders>
            <w:noWrap w:val="0"/>
            <w:vAlign w:val="center"/>
          </w:tcPr>
          <w:p w14:paraId="42674A78">
            <w:pPr>
              <w:widowControl/>
              <w:jc w:val="left"/>
              <w:rPr>
                <w:rFonts w:ascii="宋体" w:hAnsi="宋体"/>
                <w:color w:val="000000"/>
                <w:szCs w:val="21"/>
              </w:rPr>
            </w:pPr>
          </w:p>
        </w:tc>
        <w:tc>
          <w:tcPr>
            <w:tcW w:w="1129" w:type="dxa"/>
            <w:vMerge w:val="continue"/>
            <w:tcBorders>
              <w:left w:val="nil"/>
              <w:right w:val="single" w:color="auto" w:sz="4" w:space="0"/>
            </w:tcBorders>
            <w:noWrap w:val="0"/>
            <w:vAlign w:val="center"/>
          </w:tcPr>
          <w:p w14:paraId="5C23EE46">
            <w:pPr>
              <w:widowControl/>
              <w:jc w:val="left"/>
              <w:rPr>
                <w:rFonts w:ascii="宋体" w:hAnsi="宋体"/>
                <w:color w:val="000000"/>
                <w:szCs w:val="21"/>
              </w:rPr>
            </w:pP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729C3CEF">
            <w:pPr>
              <w:spacing w:line="400" w:lineRule="exact"/>
              <w:jc w:val="center"/>
              <w:rPr>
                <w:rFonts w:hint="eastAsia" w:ascii="宋体" w:hAnsi="宋体"/>
                <w:color w:val="000000"/>
                <w:szCs w:val="21"/>
              </w:rPr>
            </w:pPr>
            <w:r>
              <w:rPr>
                <w:rFonts w:hint="eastAsia" w:ascii="Times New Roman" w:hAnsi="Times New Roman"/>
                <w:szCs w:val="22"/>
              </w:rPr>
              <w:t>交货及安装调试期</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3DEC1E4F">
            <w:pPr>
              <w:spacing w:line="400" w:lineRule="exact"/>
              <w:rPr>
                <w:rFonts w:ascii="宋体" w:hAnsi="宋体"/>
                <w:color w:val="000000"/>
                <w:szCs w:val="21"/>
              </w:rPr>
            </w:pPr>
            <w:r>
              <w:rPr>
                <w:rFonts w:hint="eastAsia" w:ascii="宋体" w:hAnsi="宋体"/>
                <w:color w:val="000000"/>
                <w:szCs w:val="21"/>
              </w:rPr>
              <w:t>符合第二章“投标人须知”第1.3.3项规定</w:t>
            </w:r>
          </w:p>
        </w:tc>
      </w:tr>
      <w:tr w14:paraId="26374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left w:val="single" w:color="auto" w:sz="4" w:space="0"/>
              <w:right w:val="single" w:color="auto" w:sz="4" w:space="0"/>
            </w:tcBorders>
            <w:noWrap w:val="0"/>
            <w:vAlign w:val="center"/>
          </w:tcPr>
          <w:p w14:paraId="3B029028">
            <w:pPr>
              <w:widowControl/>
              <w:jc w:val="left"/>
              <w:rPr>
                <w:rFonts w:ascii="宋体" w:hAnsi="宋体"/>
                <w:color w:val="000000"/>
                <w:szCs w:val="21"/>
              </w:rPr>
            </w:pPr>
          </w:p>
        </w:tc>
        <w:tc>
          <w:tcPr>
            <w:tcW w:w="1129" w:type="dxa"/>
            <w:vMerge w:val="continue"/>
            <w:tcBorders>
              <w:left w:val="nil"/>
              <w:right w:val="single" w:color="auto" w:sz="4" w:space="0"/>
            </w:tcBorders>
            <w:noWrap w:val="0"/>
            <w:vAlign w:val="center"/>
          </w:tcPr>
          <w:p w14:paraId="082E27D9">
            <w:pPr>
              <w:widowControl/>
              <w:jc w:val="left"/>
              <w:rPr>
                <w:rFonts w:ascii="宋体" w:hAnsi="宋体"/>
                <w:color w:val="000000"/>
                <w:szCs w:val="21"/>
              </w:rPr>
            </w:pP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291EB62E">
            <w:pPr>
              <w:spacing w:line="400" w:lineRule="exact"/>
              <w:jc w:val="center"/>
              <w:rPr>
                <w:rFonts w:hint="eastAsia" w:ascii="宋体" w:hAnsi="宋体"/>
                <w:color w:val="000000"/>
                <w:szCs w:val="21"/>
              </w:rPr>
            </w:pPr>
            <w:r>
              <w:rPr>
                <w:rFonts w:hint="eastAsia" w:ascii="宋体" w:hAnsi="宋体"/>
                <w:color w:val="000000"/>
                <w:szCs w:val="21"/>
              </w:rPr>
              <w:t>交货地点</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251A6587">
            <w:pPr>
              <w:spacing w:line="400" w:lineRule="exact"/>
              <w:rPr>
                <w:rFonts w:hint="eastAsia" w:ascii="宋体" w:hAnsi="宋体"/>
                <w:color w:val="000000"/>
                <w:szCs w:val="21"/>
              </w:rPr>
            </w:pPr>
            <w:r>
              <w:rPr>
                <w:rFonts w:hint="eastAsia" w:ascii="宋体" w:hAnsi="宋体"/>
                <w:color w:val="000000"/>
                <w:szCs w:val="21"/>
              </w:rPr>
              <w:t>符合第二章“投标人须知”第1.3.4项规定</w:t>
            </w:r>
          </w:p>
        </w:tc>
      </w:tr>
      <w:tr w14:paraId="5D8E6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left w:val="single" w:color="auto" w:sz="4" w:space="0"/>
              <w:right w:val="single" w:color="auto" w:sz="4" w:space="0"/>
            </w:tcBorders>
            <w:noWrap w:val="0"/>
            <w:vAlign w:val="center"/>
          </w:tcPr>
          <w:p w14:paraId="27F43FA4">
            <w:pPr>
              <w:widowControl/>
              <w:jc w:val="left"/>
              <w:rPr>
                <w:rFonts w:ascii="宋体" w:hAnsi="宋体"/>
                <w:color w:val="000000"/>
                <w:szCs w:val="21"/>
              </w:rPr>
            </w:pPr>
          </w:p>
        </w:tc>
        <w:tc>
          <w:tcPr>
            <w:tcW w:w="1129" w:type="dxa"/>
            <w:vMerge w:val="continue"/>
            <w:tcBorders>
              <w:left w:val="nil"/>
              <w:right w:val="single" w:color="auto" w:sz="4" w:space="0"/>
            </w:tcBorders>
            <w:noWrap w:val="0"/>
            <w:vAlign w:val="center"/>
          </w:tcPr>
          <w:p w14:paraId="686F891F">
            <w:pPr>
              <w:widowControl/>
              <w:jc w:val="left"/>
              <w:rPr>
                <w:rFonts w:ascii="宋体" w:hAnsi="宋体"/>
                <w:color w:val="000000"/>
                <w:szCs w:val="21"/>
              </w:rPr>
            </w:pP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5F13B334">
            <w:pPr>
              <w:spacing w:line="400" w:lineRule="exact"/>
              <w:jc w:val="center"/>
              <w:rPr>
                <w:rFonts w:hint="eastAsia" w:ascii="宋体" w:hAnsi="宋体"/>
                <w:color w:val="000000"/>
                <w:szCs w:val="21"/>
              </w:rPr>
            </w:pPr>
            <w:r>
              <w:rPr>
                <w:rFonts w:hint="eastAsia" w:ascii="宋体" w:hAnsi="宋体"/>
                <w:color w:val="000000"/>
                <w:szCs w:val="21"/>
              </w:rPr>
              <w:t>质保期</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7D4F9F6A">
            <w:pPr>
              <w:spacing w:line="400" w:lineRule="exact"/>
              <w:rPr>
                <w:rFonts w:hint="eastAsia" w:ascii="宋体" w:hAnsi="宋体"/>
                <w:color w:val="000000"/>
                <w:szCs w:val="21"/>
              </w:rPr>
            </w:pPr>
            <w:r>
              <w:rPr>
                <w:rFonts w:hint="eastAsia" w:ascii="宋体" w:hAnsi="宋体"/>
                <w:color w:val="000000"/>
                <w:szCs w:val="21"/>
              </w:rPr>
              <w:t>符合第二章“投标人须知”第1.3.5项规定</w:t>
            </w:r>
          </w:p>
        </w:tc>
      </w:tr>
      <w:tr w14:paraId="40342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left w:val="single" w:color="auto" w:sz="4" w:space="0"/>
              <w:right w:val="single" w:color="auto" w:sz="4" w:space="0"/>
            </w:tcBorders>
            <w:noWrap w:val="0"/>
            <w:vAlign w:val="center"/>
          </w:tcPr>
          <w:p w14:paraId="0E457832">
            <w:pPr>
              <w:widowControl/>
              <w:jc w:val="left"/>
              <w:rPr>
                <w:rFonts w:ascii="宋体" w:hAnsi="宋体"/>
                <w:color w:val="000000"/>
                <w:szCs w:val="21"/>
              </w:rPr>
            </w:pPr>
          </w:p>
        </w:tc>
        <w:tc>
          <w:tcPr>
            <w:tcW w:w="1129" w:type="dxa"/>
            <w:vMerge w:val="continue"/>
            <w:tcBorders>
              <w:left w:val="nil"/>
              <w:right w:val="single" w:color="auto" w:sz="4" w:space="0"/>
            </w:tcBorders>
            <w:noWrap w:val="0"/>
            <w:vAlign w:val="center"/>
          </w:tcPr>
          <w:p w14:paraId="7A04631E">
            <w:pPr>
              <w:widowControl/>
              <w:jc w:val="left"/>
              <w:rPr>
                <w:rFonts w:ascii="宋体" w:hAnsi="宋体"/>
                <w:color w:val="000000"/>
                <w:szCs w:val="21"/>
              </w:rPr>
            </w:pP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55A683AA">
            <w:pPr>
              <w:spacing w:line="400" w:lineRule="exact"/>
              <w:jc w:val="center"/>
              <w:rPr>
                <w:rFonts w:hint="eastAsia" w:ascii="宋体" w:hAnsi="宋体"/>
                <w:color w:val="000000"/>
                <w:szCs w:val="21"/>
              </w:rPr>
            </w:pPr>
            <w:r>
              <w:rPr>
                <w:rFonts w:hint="eastAsia" w:ascii="宋体" w:hAnsi="宋体"/>
                <w:color w:val="000000"/>
                <w:szCs w:val="21"/>
              </w:rPr>
              <w:t>付款方式</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61F8B542">
            <w:pPr>
              <w:spacing w:line="400" w:lineRule="exact"/>
              <w:rPr>
                <w:rFonts w:hint="eastAsia" w:ascii="宋体" w:hAnsi="宋体"/>
                <w:color w:val="000000"/>
                <w:szCs w:val="21"/>
              </w:rPr>
            </w:pPr>
            <w:r>
              <w:rPr>
                <w:rFonts w:hint="eastAsia" w:ascii="宋体" w:hAnsi="宋体"/>
                <w:color w:val="000000"/>
                <w:szCs w:val="21"/>
              </w:rPr>
              <w:t>符合第二章“投标人须知”第1.3.6项规定</w:t>
            </w:r>
          </w:p>
        </w:tc>
      </w:tr>
      <w:tr w14:paraId="1D1B0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left w:val="single" w:color="auto" w:sz="4" w:space="0"/>
              <w:right w:val="single" w:color="auto" w:sz="4" w:space="0"/>
            </w:tcBorders>
            <w:noWrap w:val="0"/>
            <w:vAlign w:val="center"/>
          </w:tcPr>
          <w:p w14:paraId="24FC3625">
            <w:pPr>
              <w:widowControl/>
              <w:jc w:val="left"/>
              <w:rPr>
                <w:rFonts w:ascii="宋体" w:hAnsi="宋体"/>
                <w:color w:val="000000"/>
                <w:szCs w:val="21"/>
              </w:rPr>
            </w:pPr>
          </w:p>
        </w:tc>
        <w:tc>
          <w:tcPr>
            <w:tcW w:w="1129" w:type="dxa"/>
            <w:vMerge w:val="continue"/>
            <w:tcBorders>
              <w:left w:val="nil"/>
              <w:right w:val="single" w:color="auto" w:sz="4" w:space="0"/>
            </w:tcBorders>
            <w:noWrap w:val="0"/>
            <w:vAlign w:val="center"/>
          </w:tcPr>
          <w:p w14:paraId="5E4C90C7">
            <w:pPr>
              <w:widowControl/>
              <w:jc w:val="left"/>
              <w:rPr>
                <w:rFonts w:ascii="宋体" w:hAnsi="宋体"/>
                <w:color w:val="000000"/>
                <w:szCs w:val="21"/>
              </w:rPr>
            </w:pP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63EAD68F">
            <w:pPr>
              <w:spacing w:line="400" w:lineRule="exact"/>
              <w:jc w:val="center"/>
              <w:rPr>
                <w:rFonts w:ascii="宋体" w:hAnsi="宋体"/>
                <w:color w:val="000000"/>
                <w:szCs w:val="21"/>
              </w:rPr>
            </w:pPr>
            <w:r>
              <w:rPr>
                <w:rFonts w:hint="eastAsia" w:ascii="宋体" w:hAnsi="宋体"/>
                <w:color w:val="000000"/>
                <w:szCs w:val="21"/>
              </w:rPr>
              <w:t>投标有效期</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1EB54721">
            <w:pPr>
              <w:spacing w:line="400" w:lineRule="exact"/>
              <w:rPr>
                <w:rFonts w:ascii="宋体" w:hAnsi="宋体"/>
                <w:color w:val="000000"/>
                <w:szCs w:val="21"/>
              </w:rPr>
            </w:pPr>
            <w:r>
              <w:rPr>
                <w:rFonts w:hint="eastAsia" w:ascii="宋体" w:hAnsi="宋体"/>
                <w:color w:val="000000"/>
                <w:szCs w:val="21"/>
              </w:rPr>
              <w:t>符合第二章“投标人须知”第3.3.1项规定</w:t>
            </w:r>
          </w:p>
        </w:tc>
      </w:tr>
      <w:tr w14:paraId="0AD3C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left w:val="single" w:color="auto" w:sz="4" w:space="0"/>
              <w:right w:val="single" w:color="auto" w:sz="4" w:space="0"/>
            </w:tcBorders>
            <w:noWrap w:val="0"/>
            <w:vAlign w:val="center"/>
          </w:tcPr>
          <w:p w14:paraId="73479424">
            <w:pPr>
              <w:widowControl/>
              <w:jc w:val="left"/>
              <w:rPr>
                <w:rFonts w:ascii="宋体" w:hAnsi="宋体"/>
                <w:color w:val="000000"/>
                <w:szCs w:val="21"/>
              </w:rPr>
            </w:pPr>
          </w:p>
        </w:tc>
        <w:tc>
          <w:tcPr>
            <w:tcW w:w="1129" w:type="dxa"/>
            <w:vMerge w:val="continue"/>
            <w:tcBorders>
              <w:left w:val="nil"/>
              <w:right w:val="single" w:color="auto" w:sz="4" w:space="0"/>
            </w:tcBorders>
            <w:noWrap w:val="0"/>
            <w:vAlign w:val="center"/>
          </w:tcPr>
          <w:p w14:paraId="4CF2E0EF">
            <w:pPr>
              <w:widowControl/>
              <w:jc w:val="left"/>
              <w:rPr>
                <w:rFonts w:ascii="宋体" w:hAnsi="宋体"/>
                <w:color w:val="000000"/>
                <w:szCs w:val="21"/>
              </w:rPr>
            </w:pP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1E7D2C63">
            <w:pPr>
              <w:spacing w:line="400" w:lineRule="exact"/>
              <w:jc w:val="center"/>
              <w:rPr>
                <w:rFonts w:hint="eastAsia" w:ascii="宋体" w:hAnsi="宋体"/>
                <w:color w:val="000000"/>
                <w:szCs w:val="21"/>
              </w:rPr>
            </w:pPr>
            <w:r>
              <w:rPr>
                <w:rFonts w:hint="eastAsia" w:ascii="宋体" w:hAnsi="宋体"/>
                <w:color w:val="000000"/>
                <w:szCs w:val="21"/>
              </w:rPr>
              <w:t>签字盖章</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26D1444C">
            <w:pPr>
              <w:spacing w:line="400" w:lineRule="exact"/>
              <w:rPr>
                <w:rFonts w:ascii="宋体" w:hAnsi="宋体"/>
                <w:color w:val="000000"/>
                <w:szCs w:val="21"/>
              </w:rPr>
            </w:pPr>
            <w:r>
              <w:rPr>
                <w:rFonts w:hint="eastAsia" w:ascii="宋体" w:hAnsi="宋体"/>
                <w:color w:val="000000"/>
                <w:szCs w:val="21"/>
              </w:rPr>
              <w:t>符合招标文件要求</w:t>
            </w:r>
          </w:p>
        </w:tc>
      </w:tr>
      <w:tr w14:paraId="5AAD0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left w:val="single" w:color="auto" w:sz="4" w:space="0"/>
              <w:bottom w:val="nil"/>
              <w:right w:val="single" w:color="auto" w:sz="4" w:space="0"/>
            </w:tcBorders>
            <w:noWrap w:val="0"/>
            <w:vAlign w:val="center"/>
          </w:tcPr>
          <w:p w14:paraId="13C9E3AE">
            <w:pPr>
              <w:widowControl/>
              <w:jc w:val="left"/>
              <w:rPr>
                <w:rFonts w:ascii="宋体" w:hAnsi="宋体"/>
                <w:color w:val="000000"/>
                <w:szCs w:val="21"/>
              </w:rPr>
            </w:pPr>
          </w:p>
        </w:tc>
        <w:tc>
          <w:tcPr>
            <w:tcW w:w="1129" w:type="dxa"/>
            <w:vMerge w:val="continue"/>
            <w:tcBorders>
              <w:left w:val="nil"/>
              <w:bottom w:val="nil"/>
              <w:right w:val="single" w:color="auto" w:sz="4" w:space="0"/>
            </w:tcBorders>
            <w:noWrap w:val="0"/>
            <w:vAlign w:val="center"/>
          </w:tcPr>
          <w:p w14:paraId="059F8B3E">
            <w:pPr>
              <w:widowControl/>
              <w:jc w:val="left"/>
              <w:rPr>
                <w:rFonts w:ascii="宋体" w:hAnsi="宋体"/>
                <w:color w:val="000000"/>
                <w:szCs w:val="21"/>
              </w:rPr>
            </w:pP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0F504AC7">
            <w:pPr>
              <w:spacing w:line="400" w:lineRule="exact"/>
              <w:jc w:val="center"/>
              <w:rPr>
                <w:rFonts w:ascii="宋体" w:hAnsi="宋体"/>
                <w:color w:val="000000"/>
                <w:szCs w:val="21"/>
              </w:rPr>
            </w:pPr>
            <w:r>
              <w:rPr>
                <w:rFonts w:hint="eastAsia" w:ascii="宋体" w:hAnsi="宋体"/>
                <w:color w:val="000000"/>
                <w:szCs w:val="21"/>
              </w:rPr>
              <w:t>其他实质性要求</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391AD4BE">
            <w:pPr>
              <w:spacing w:line="400" w:lineRule="exact"/>
              <w:rPr>
                <w:rFonts w:ascii="宋体" w:hAnsi="宋体"/>
                <w:color w:val="000000"/>
                <w:szCs w:val="21"/>
              </w:rPr>
            </w:pPr>
            <w:r>
              <w:rPr>
                <w:rFonts w:hint="eastAsia" w:ascii="宋体" w:hAnsi="宋体"/>
                <w:color w:val="000000"/>
                <w:szCs w:val="21"/>
              </w:rPr>
              <w:t>符合法律、法规和招标文件中规定的其他实质性要求</w:t>
            </w:r>
          </w:p>
        </w:tc>
      </w:tr>
      <w:tr w14:paraId="2AC0B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79" w:type="dxa"/>
            <w:gridSpan w:val="2"/>
            <w:tcBorders>
              <w:top w:val="single" w:color="auto" w:sz="4" w:space="0"/>
              <w:left w:val="single" w:color="auto" w:sz="4" w:space="0"/>
              <w:bottom w:val="single" w:color="auto" w:sz="4" w:space="0"/>
              <w:right w:val="single" w:color="auto" w:sz="4" w:space="0"/>
            </w:tcBorders>
            <w:noWrap w:val="0"/>
            <w:vAlign w:val="center"/>
          </w:tcPr>
          <w:p w14:paraId="21C0F1FD">
            <w:pPr>
              <w:spacing w:line="400" w:lineRule="exact"/>
              <w:jc w:val="center"/>
              <w:rPr>
                <w:rFonts w:ascii="宋体" w:hAnsi="宋体"/>
                <w:b/>
                <w:color w:val="000000"/>
                <w:szCs w:val="21"/>
              </w:rPr>
            </w:pPr>
            <w:r>
              <w:rPr>
                <w:rFonts w:hint="eastAsia" w:ascii="宋体" w:hAnsi="宋体"/>
                <w:b/>
                <w:color w:val="000000"/>
                <w:szCs w:val="21"/>
              </w:rPr>
              <w:t>条款号</w:t>
            </w: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61335DB6">
            <w:pPr>
              <w:spacing w:line="400" w:lineRule="exact"/>
              <w:jc w:val="center"/>
              <w:rPr>
                <w:rFonts w:ascii="宋体" w:hAnsi="宋体"/>
                <w:b/>
                <w:color w:val="000000"/>
                <w:szCs w:val="21"/>
              </w:rPr>
            </w:pPr>
            <w:r>
              <w:rPr>
                <w:rFonts w:hint="eastAsia" w:ascii="宋体" w:hAnsi="宋体"/>
                <w:b/>
                <w:color w:val="000000"/>
                <w:szCs w:val="21"/>
              </w:rPr>
              <w:t>条款内容</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7E5ED138">
            <w:pPr>
              <w:spacing w:line="400" w:lineRule="exact"/>
              <w:jc w:val="center"/>
              <w:rPr>
                <w:rFonts w:ascii="宋体" w:hAnsi="宋体"/>
                <w:b/>
                <w:color w:val="000000"/>
                <w:szCs w:val="21"/>
              </w:rPr>
            </w:pPr>
            <w:r>
              <w:rPr>
                <w:rFonts w:hint="eastAsia" w:ascii="宋体" w:hAnsi="宋体"/>
                <w:b/>
                <w:color w:val="000000"/>
                <w:szCs w:val="21"/>
              </w:rPr>
              <w:t>编列内容</w:t>
            </w:r>
          </w:p>
        </w:tc>
      </w:tr>
      <w:tr w14:paraId="0866D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79" w:type="dxa"/>
            <w:gridSpan w:val="2"/>
            <w:tcBorders>
              <w:top w:val="nil"/>
              <w:left w:val="single" w:color="auto" w:sz="4" w:space="0"/>
              <w:bottom w:val="single" w:color="auto" w:sz="4" w:space="0"/>
              <w:right w:val="single" w:color="auto" w:sz="4" w:space="0"/>
            </w:tcBorders>
            <w:noWrap w:val="0"/>
            <w:vAlign w:val="center"/>
          </w:tcPr>
          <w:p w14:paraId="061E25FB">
            <w:pPr>
              <w:spacing w:line="400" w:lineRule="exact"/>
              <w:jc w:val="center"/>
              <w:rPr>
                <w:rFonts w:ascii="宋体" w:hAnsi="宋体"/>
                <w:color w:val="000000"/>
                <w:szCs w:val="21"/>
              </w:rPr>
            </w:pPr>
            <w:r>
              <w:rPr>
                <w:rFonts w:hint="eastAsia" w:ascii="宋体" w:hAnsi="宋体"/>
                <w:color w:val="000000"/>
                <w:szCs w:val="21"/>
              </w:rPr>
              <w:t>3</w:t>
            </w:r>
          </w:p>
        </w:tc>
        <w:tc>
          <w:tcPr>
            <w:tcW w:w="2984" w:type="dxa"/>
            <w:gridSpan w:val="3"/>
            <w:tcBorders>
              <w:top w:val="single" w:color="auto" w:sz="4" w:space="0"/>
              <w:left w:val="single" w:color="auto" w:sz="4" w:space="0"/>
              <w:bottom w:val="single" w:color="auto" w:sz="4" w:space="0"/>
              <w:right w:val="single" w:color="auto" w:sz="4" w:space="0"/>
            </w:tcBorders>
            <w:noWrap w:val="0"/>
            <w:vAlign w:val="center"/>
          </w:tcPr>
          <w:p w14:paraId="4A3FC041">
            <w:pPr>
              <w:spacing w:line="400" w:lineRule="exact"/>
              <w:jc w:val="center"/>
              <w:rPr>
                <w:rFonts w:ascii="宋体" w:hAnsi="宋体"/>
                <w:color w:val="000000"/>
                <w:szCs w:val="21"/>
              </w:rPr>
            </w:pPr>
            <w:r>
              <w:rPr>
                <w:rFonts w:hint="eastAsia" w:ascii="宋体" w:hAnsi="宋体"/>
                <w:color w:val="000000"/>
                <w:szCs w:val="21"/>
              </w:rPr>
              <w:t>分值构成</w:t>
            </w:r>
          </w:p>
          <w:p w14:paraId="47AC0CFA">
            <w:pPr>
              <w:spacing w:line="400" w:lineRule="exact"/>
              <w:jc w:val="center"/>
              <w:rPr>
                <w:rFonts w:ascii="宋体" w:hAnsi="宋体"/>
                <w:color w:val="000000"/>
                <w:szCs w:val="21"/>
              </w:rPr>
            </w:pPr>
            <w:r>
              <w:rPr>
                <w:rFonts w:hint="eastAsia" w:ascii="宋体" w:hAnsi="宋体"/>
                <w:color w:val="000000"/>
                <w:szCs w:val="21"/>
              </w:rPr>
              <w:t>(总分100分)</w:t>
            </w:r>
          </w:p>
        </w:tc>
        <w:tc>
          <w:tcPr>
            <w:tcW w:w="4379" w:type="dxa"/>
            <w:gridSpan w:val="2"/>
            <w:tcBorders>
              <w:top w:val="single" w:color="auto" w:sz="4" w:space="0"/>
              <w:left w:val="single" w:color="auto" w:sz="4" w:space="0"/>
              <w:bottom w:val="single" w:color="auto" w:sz="4" w:space="0"/>
              <w:right w:val="single" w:color="auto" w:sz="4" w:space="0"/>
            </w:tcBorders>
            <w:noWrap w:val="0"/>
            <w:vAlign w:val="center"/>
          </w:tcPr>
          <w:p w14:paraId="34D10E7D">
            <w:pPr>
              <w:spacing w:line="400" w:lineRule="exact"/>
              <w:rPr>
                <w:rFonts w:ascii="宋体" w:hAnsi="宋体"/>
                <w:color w:val="000000"/>
                <w:szCs w:val="21"/>
              </w:rPr>
            </w:pPr>
            <w:r>
              <w:rPr>
                <w:rFonts w:hint="eastAsia" w:ascii="宋体" w:hAnsi="宋体"/>
                <w:color w:val="000000"/>
                <w:szCs w:val="21"/>
              </w:rPr>
              <w:t>投标报价：30分</w:t>
            </w:r>
          </w:p>
          <w:p w14:paraId="1EA92D5B">
            <w:pPr>
              <w:spacing w:line="400" w:lineRule="exact"/>
              <w:rPr>
                <w:rFonts w:hint="eastAsia" w:ascii="宋体" w:hAnsi="宋体"/>
                <w:color w:val="000000"/>
                <w:szCs w:val="21"/>
              </w:rPr>
            </w:pPr>
            <w:r>
              <w:rPr>
                <w:rFonts w:hint="eastAsia" w:ascii="宋体" w:hAnsi="宋体"/>
                <w:color w:val="000000"/>
                <w:szCs w:val="21"/>
              </w:rPr>
              <w:t>技术标部分：60分</w:t>
            </w:r>
          </w:p>
          <w:p w14:paraId="3662B468">
            <w:pPr>
              <w:spacing w:line="400" w:lineRule="exact"/>
              <w:rPr>
                <w:rFonts w:ascii="宋体" w:hAnsi="宋体"/>
                <w:color w:val="000000"/>
                <w:szCs w:val="21"/>
              </w:rPr>
            </w:pPr>
            <w:r>
              <w:rPr>
                <w:rFonts w:hint="eastAsia" w:ascii="宋体" w:hAnsi="宋体"/>
                <w:color w:val="000000"/>
                <w:szCs w:val="21"/>
              </w:rPr>
              <w:t>商务标部分：10分</w:t>
            </w:r>
          </w:p>
        </w:tc>
      </w:tr>
      <w:tr w14:paraId="5646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50" w:type="dxa"/>
            <w:noWrap w:val="0"/>
            <w:vAlign w:val="top"/>
          </w:tcPr>
          <w:p w14:paraId="4CD79D6F">
            <w:pPr>
              <w:spacing w:line="360" w:lineRule="auto"/>
              <w:jc w:val="center"/>
              <w:rPr>
                <w:rFonts w:hint="eastAsia" w:ascii="宋体" w:hAnsi="宋体"/>
                <w:b/>
                <w:szCs w:val="21"/>
              </w:rPr>
            </w:pPr>
          </w:p>
        </w:tc>
        <w:tc>
          <w:tcPr>
            <w:tcW w:w="2829" w:type="dxa"/>
            <w:gridSpan w:val="3"/>
            <w:noWrap w:val="0"/>
            <w:vAlign w:val="center"/>
          </w:tcPr>
          <w:p w14:paraId="6D380181">
            <w:pPr>
              <w:spacing w:line="360" w:lineRule="auto"/>
              <w:jc w:val="center"/>
              <w:rPr>
                <w:rFonts w:ascii="宋体" w:hAnsi="宋体"/>
                <w:szCs w:val="21"/>
              </w:rPr>
            </w:pPr>
            <w:r>
              <w:rPr>
                <w:rFonts w:hint="eastAsia" w:ascii="宋体" w:hAnsi="宋体"/>
                <w:b/>
                <w:szCs w:val="21"/>
              </w:rPr>
              <w:t>条款号</w:t>
            </w:r>
          </w:p>
        </w:tc>
        <w:tc>
          <w:tcPr>
            <w:tcW w:w="2774" w:type="dxa"/>
            <w:gridSpan w:val="2"/>
            <w:noWrap w:val="0"/>
            <w:vAlign w:val="center"/>
          </w:tcPr>
          <w:p w14:paraId="3FFD66EA">
            <w:pPr>
              <w:spacing w:line="360" w:lineRule="auto"/>
              <w:jc w:val="center"/>
              <w:rPr>
                <w:rFonts w:ascii="宋体" w:hAnsi="宋体"/>
                <w:b/>
                <w:szCs w:val="21"/>
              </w:rPr>
            </w:pPr>
            <w:r>
              <w:rPr>
                <w:rFonts w:hint="eastAsia" w:ascii="宋体" w:hAnsi="宋体"/>
                <w:b/>
                <w:szCs w:val="21"/>
              </w:rPr>
              <w:t>评审因素</w:t>
            </w:r>
          </w:p>
        </w:tc>
        <w:tc>
          <w:tcPr>
            <w:tcW w:w="2889" w:type="dxa"/>
            <w:noWrap w:val="0"/>
            <w:vAlign w:val="center"/>
          </w:tcPr>
          <w:p w14:paraId="7BCF749B">
            <w:pPr>
              <w:spacing w:line="360" w:lineRule="auto"/>
              <w:jc w:val="center"/>
              <w:rPr>
                <w:rFonts w:ascii="宋体" w:hAnsi="宋体"/>
                <w:b/>
                <w:szCs w:val="21"/>
              </w:rPr>
            </w:pPr>
            <w:r>
              <w:rPr>
                <w:rFonts w:hint="eastAsia" w:ascii="宋体" w:hAnsi="宋体"/>
                <w:b/>
                <w:szCs w:val="21"/>
              </w:rPr>
              <w:t>评审标准</w:t>
            </w:r>
          </w:p>
        </w:tc>
      </w:tr>
      <w:tr w14:paraId="3CD8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50" w:type="dxa"/>
            <w:noWrap w:val="0"/>
            <w:vAlign w:val="center"/>
          </w:tcPr>
          <w:p w14:paraId="2BB5DA9F">
            <w:pPr>
              <w:spacing w:line="360" w:lineRule="auto"/>
              <w:jc w:val="center"/>
              <w:rPr>
                <w:rFonts w:ascii="宋体" w:hAnsi="宋体"/>
                <w:szCs w:val="21"/>
              </w:rPr>
            </w:pPr>
            <w:r>
              <w:rPr>
                <w:rFonts w:hint="eastAsia" w:ascii="宋体" w:hAnsi="宋体"/>
                <w:szCs w:val="21"/>
              </w:rPr>
              <w:t>3.1</w:t>
            </w:r>
          </w:p>
        </w:tc>
        <w:tc>
          <w:tcPr>
            <w:tcW w:w="1129" w:type="dxa"/>
            <w:noWrap w:val="0"/>
            <w:vAlign w:val="center"/>
          </w:tcPr>
          <w:p w14:paraId="5E42B926">
            <w:pPr>
              <w:spacing w:line="360" w:lineRule="auto"/>
              <w:jc w:val="center"/>
              <w:rPr>
                <w:rFonts w:hint="eastAsia" w:ascii="宋体" w:hAnsi="宋体"/>
                <w:b/>
                <w:szCs w:val="21"/>
              </w:rPr>
            </w:pPr>
            <w:r>
              <w:rPr>
                <w:rFonts w:hint="eastAsia" w:ascii="宋体" w:hAnsi="宋体"/>
                <w:b/>
                <w:szCs w:val="21"/>
              </w:rPr>
              <w:t>投标</w:t>
            </w:r>
          </w:p>
          <w:p w14:paraId="310971DA">
            <w:pPr>
              <w:spacing w:line="360" w:lineRule="auto"/>
              <w:jc w:val="center"/>
              <w:rPr>
                <w:rFonts w:hint="eastAsia" w:ascii="宋体" w:hAnsi="宋体"/>
                <w:b/>
                <w:szCs w:val="21"/>
              </w:rPr>
            </w:pPr>
            <w:r>
              <w:rPr>
                <w:rFonts w:hint="eastAsia" w:ascii="宋体" w:hAnsi="宋体"/>
                <w:b/>
                <w:szCs w:val="21"/>
              </w:rPr>
              <w:t xml:space="preserve">报价  </w:t>
            </w:r>
          </w:p>
          <w:p w14:paraId="7CC3551F">
            <w:pPr>
              <w:spacing w:line="360" w:lineRule="auto"/>
              <w:jc w:val="center"/>
              <w:rPr>
                <w:rFonts w:hint="eastAsia" w:ascii="宋体" w:hAnsi="宋体"/>
                <w:b/>
                <w:szCs w:val="21"/>
              </w:rPr>
            </w:pPr>
            <w:r>
              <w:rPr>
                <w:rFonts w:hint="eastAsia" w:ascii="宋体" w:hAnsi="宋体"/>
                <w:b/>
                <w:szCs w:val="21"/>
              </w:rPr>
              <w:t>（30分）</w:t>
            </w:r>
          </w:p>
        </w:tc>
        <w:tc>
          <w:tcPr>
            <w:tcW w:w="7363" w:type="dxa"/>
            <w:gridSpan w:val="5"/>
            <w:noWrap w:val="0"/>
            <w:vAlign w:val="center"/>
          </w:tcPr>
          <w:p w14:paraId="0813CEE7">
            <w:pPr>
              <w:widowControl/>
              <w:spacing w:line="360" w:lineRule="auto"/>
              <w:jc w:val="left"/>
              <w:rPr>
                <w:rFonts w:ascii="宋体" w:hAnsi="宋体" w:cs="宋体"/>
                <w:szCs w:val="21"/>
              </w:rPr>
            </w:pPr>
            <w:r>
              <w:rPr>
                <w:rFonts w:hint="eastAsia" w:ascii="宋体" w:hAnsi="宋体" w:cs="宋体"/>
                <w:szCs w:val="21"/>
              </w:rPr>
              <w:t>（1）评标基准价：综合评分法中的价格分统一采用低价优先法计算，即满足招标文件要求且投标报价最低的为评标基准价。</w:t>
            </w:r>
          </w:p>
          <w:p w14:paraId="46167AAB">
            <w:pPr>
              <w:widowControl/>
              <w:spacing w:line="360" w:lineRule="auto"/>
              <w:jc w:val="left"/>
              <w:rPr>
                <w:rFonts w:ascii="宋体" w:hAnsi="宋体" w:cs="宋体"/>
                <w:szCs w:val="21"/>
              </w:rPr>
            </w:pPr>
            <w:r>
              <w:rPr>
                <w:rFonts w:hint="eastAsia" w:ascii="宋体" w:hAnsi="宋体" w:cs="宋体"/>
                <w:szCs w:val="21"/>
              </w:rPr>
              <w:t>（2）投标报价等于评标基准价的其价格分为满分30分。</w:t>
            </w:r>
          </w:p>
          <w:p w14:paraId="58B5E1C8">
            <w:pPr>
              <w:widowControl/>
              <w:spacing w:line="360" w:lineRule="auto"/>
              <w:jc w:val="left"/>
              <w:rPr>
                <w:rFonts w:ascii="宋体" w:hAnsi="宋体" w:cs="宋体"/>
                <w:szCs w:val="21"/>
              </w:rPr>
            </w:pPr>
            <w:r>
              <w:rPr>
                <w:rFonts w:hint="eastAsia" w:ascii="宋体" w:hAnsi="宋体" w:cs="宋体"/>
                <w:szCs w:val="21"/>
              </w:rPr>
              <w:t>其他投标人的投标报价得分按照下列公式计算：</w:t>
            </w:r>
          </w:p>
          <w:p w14:paraId="50EA0DD9">
            <w:pPr>
              <w:widowControl/>
              <w:spacing w:line="360" w:lineRule="auto"/>
              <w:jc w:val="left"/>
              <w:rPr>
                <w:rFonts w:ascii="宋体" w:hAnsi="宋体" w:cs="宋体"/>
                <w:szCs w:val="21"/>
              </w:rPr>
            </w:pPr>
            <w:r>
              <w:rPr>
                <w:rFonts w:hint="eastAsia" w:ascii="宋体" w:hAnsi="宋体" w:cs="宋体"/>
                <w:szCs w:val="21"/>
              </w:rPr>
              <w:t>投标报价得分=（评标基准价/投标报价）×30%×100</w:t>
            </w:r>
          </w:p>
          <w:p w14:paraId="06019917">
            <w:pPr>
              <w:spacing w:line="420" w:lineRule="exact"/>
              <w:rPr>
                <w:rFonts w:hint="eastAsia" w:ascii="宋体" w:hAnsi="宋体" w:cs="宋体"/>
                <w:b/>
                <w:color w:val="auto"/>
                <w:sz w:val="20"/>
                <w:szCs w:val="20"/>
                <w:lang w:val="en-US" w:eastAsia="zh-CN"/>
              </w:rPr>
            </w:pPr>
            <w:r>
              <w:rPr>
                <w:rFonts w:ascii="宋体" w:hAnsi="宋体" w:cs="宋体"/>
                <w:b/>
                <w:sz w:val="20"/>
                <w:szCs w:val="20"/>
              </w:rPr>
              <w:t>注：</w:t>
            </w:r>
            <w:bookmarkStart w:id="28" w:name="_Toc5495"/>
            <w:bookmarkStart w:id="29" w:name="_Toc210"/>
            <w:bookmarkStart w:id="30" w:name="_Toc29767"/>
            <w:r>
              <w:rPr>
                <w:rFonts w:hint="eastAsia" w:ascii="宋体" w:hAnsi="宋体" w:cs="宋体"/>
                <w:b/>
                <w:color w:val="auto"/>
                <w:sz w:val="20"/>
                <w:szCs w:val="20"/>
                <w:lang w:val="en-US" w:eastAsia="zh-CN"/>
              </w:rPr>
              <w:t>1、投标报价超过最高投标限价按无效投标处理。</w:t>
            </w:r>
          </w:p>
          <w:p w14:paraId="54F548C3">
            <w:pPr>
              <w:pStyle w:val="2"/>
              <w:rPr>
                <w:rFonts w:hint="eastAsia" w:ascii="宋体" w:hAnsi="宋体" w:eastAsia="宋体" w:cs="宋体"/>
                <w:b/>
                <w:kern w:val="2"/>
                <w:sz w:val="20"/>
                <w:szCs w:val="20"/>
                <w:lang w:val="en-US" w:eastAsia="zh-CN" w:bidi="ar-SA"/>
              </w:rPr>
            </w:pPr>
            <w:r>
              <w:rPr>
                <w:rFonts w:hint="eastAsia" w:ascii="宋体" w:hAnsi="宋体" w:eastAsia="宋体" w:cs="宋体"/>
                <w:b/>
                <w:kern w:val="2"/>
                <w:sz w:val="20"/>
                <w:szCs w:val="20"/>
                <w:lang w:val="en-US" w:eastAsia="zh-CN" w:bidi="ar-SA"/>
              </w:rPr>
              <w:t>2、评审时给予小型或微型企业10%的价格扣除优惠，用扣除后的价格参与评审。供应商须提供中小企业声明函，否则不予认可（小型、微型企业提供中型企业制造的货物的，视同为中型企业）。</w:t>
            </w:r>
          </w:p>
          <w:bookmarkEnd w:id="28"/>
          <w:bookmarkEnd w:id="29"/>
          <w:bookmarkEnd w:id="30"/>
          <w:p w14:paraId="5B3B6869">
            <w:pPr>
              <w:numPr>
                <w:ilvl w:val="0"/>
                <w:numId w:val="0"/>
              </w:numPr>
              <w:spacing w:line="360" w:lineRule="auto"/>
              <w:rPr>
                <w:rFonts w:ascii="宋体" w:hAnsi="宋体" w:cs="宋体"/>
                <w:sz w:val="18"/>
                <w:szCs w:val="18"/>
              </w:rPr>
            </w:pPr>
            <w:r>
              <w:rPr>
                <w:rFonts w:hint="eastAsia" w:ascii="宋体" w:hAnsi="宋体" w:cs="宋体"/>
                <w:b/>
                <w:sz w:val="20"/>
                <w:szCs w:val="20"/>
                <w:lang w:val="en-US" w:eastAsia="zh-CN"/>
              </w:rPr>
              <w:t>3、</w:t>
            </w:r>
            <w:r>
              <w:rPr>
                <w:rFonts w:hint="eastAsia" w:ascii="宋体" w:hAnsi="宋体" w:cs="宋体"/>
                <w:b/>
                <w:sz w:val="20"/>
                <w:szCs w:val="20"/>
              </w:rPr>
              <w:t>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供应商对其提供的产品出具《声明函》，是其产品享受政府采购对本国产品支持政策的先决条件，但不应作为对供应商的资格条件。不出具&lt;&lt;关于符合本国产品标准的声明函&gt;&gt;或财政部会同有关部门规定的有关证明文件的，不应享受政府采购对本国产品的支持政策。</w:t>
            </w:r>
          </w:p>
          <w:p w14:paraId="2526EFCC">
            <w:pPr>
              <w:spacing w:line="420" w:lineRule="exact"/>
              <w:rPr>
                <w:rFonts w:ascii="宋体" w:hAnsi="宋体" w:cs="宋体"/>
                <w:szCs w:val="21"/>
              </w:rPr>
            </w:pPr>
            <w:r>
              <w:rPr>
                <w:rFonts w:hint="eastAsia" w:ascii="宋体" w:hAnsi="宋体" w:cs="宋体"/>
                <w:b/>
                <w:sz w:val="20"/>
                <w:szCs w:val="20"/>
                <w:lang w:val="en-US" w:eastAsia="zh-CN"/>
              </w:rPr>
              <w:t>4、</w:t>
            </w:r>
            <w:r>
              <w:rPr>
                <w:rFonts w:ascii="宋体" w:hAnsi="宋体" w:cs="宋体"/>
                <w:b/>
                <w:sz w:val="20"/>
                <w:szCs w:val="20"/>
              </w:rPr>
              <w:t>根据财政部第87号令《政府采购货物和服务招标投标管理办法》</w:t>
            </w:r>
            <w:r>
              <w:rPr>
                <w:rFonts w:ascii="宋体" w:hAnsi="宋体" w:cs="宋体"/>
                <w:sz w:val="20"/>
                <w:szCs w:val="20"/>
              </w:rPr>
              <w:t>，</w:t>
            </w:r>
            <w:r>
              <w:rPr>
                <w:rFonts w:ascii="宋体" w:hAnsi="宋体" w:cs="宋体"/>
                <w:b/>
                <w:sz w:val="20"/>
                <w:szCs w:val="20"/>
              </w:rPr>
              <w:t>评标委员会认为投标人的投标报价明显低于其他通过符合性审查投标人的报价，有可能影响产品质量或者不能诚信履约的，应当要求其在评标现场合理的时间内提供说明，并提交相关证明材料; 投标人不能证明其报价合理性的，评标委员会应当将其作为无效投标处理。</w:t>
            </w:r>
          </w:p>
        </w:tc>
      </w:tr>
      <w:tr w14:paraId="4E16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50" w:type="dxa"/>
            <w:vMerge w:val="restart"/>
            <w:noWrap w:val="0"/>
            <w:vAlign w:val="center"/>
          </w:tcPr>
          <w:p w14:paraId="6B2DB365">
            <w:pPr>
              <w:spacing w:line="360" w:lineRule="auto"/>
              <w:jc w:val="center"/>
              <w:rPr>
                <w:rFonts w:hint="eastAsia" w:ascii="宋体" w:hAnsi="宋体"/>
                <w:szCs w:val="21"/>
              </w:rPr>
            </w:pPr>
            <w:r>
              <w:rPr>
                <w:rFonts w:hint="eastAsia" w:ascii="宋体" w:hAnsi="宋体"/>
                <w:szCs w:val="21"/>
              </w:rPr>
              <w:t>3.2</w:t>
            </w:r>
          </w:p>
        </w:tc>
        <w:tc>
          <w:tcPr>
            <w:tcW w:w="1129" w:type="dxa"/>
            <w:vMerge w:val="restart"/>
            <w:noWrap w:val="0"/>
            <w:vAlign w:val="center"/>
          </w:tcPr>
          <w:p w14:paraId="1CB271F2">
            <w:pPr>
              <w:spacing w:line="360" w:lineRule="auto"/>
              <w:jc w:val="center"/>
              <w:rPr>
                <w:rFonts w:hint="eastAsia" w:ascii="宋体" w:hAnsi="宋体"/>
                <w:b/>
                <w:szCs w:val="21"/>
              </w:rPr>
            </w:pPr>
            <w:r>
              <w:rPr>
                <w:rFonts w:hint="eastAsia" w:ascii="宋体" w:hAnsi="宋体"/>
                <w:b/>
                <w:szCs w:val="21"/>
              </w:rPr>
              <w:t>技术标</w:t>
            </w:r>
          </w:p>
          <w:p w14:paraId="55056188">
            <w:pPr>
              <w:spacing w:line="360" w:lineRule="auto"/>
              <w:jc w:val="center"/>
              <w:rPr>
                <w:rFonts w:hint="eastAsia" w:ascii="宋体" w:hAnsi="宋体"/>
                <w:b/>
                <w:szCs w:val="21"/>
              </w:rPr>
            </w:pPr>
            <w:r>
              <w:rPr>
                <w:rFonts w:hint="eastAsia" w:ascii="宋体" w:hAnsi="宋体"/>
                <w:b/>
                <w:szCs w:val="21"/>
              </w:rPr>
              <w:t>部分</w:t>
            </w:r>
          </w:p>
          <w:p w14:paraId="46C939AD">
            <w:pPr>
              <w:spacing w:line="360" w:lineRule="auto"/>
              <w:jc w:val="center"/>
              <w:rPr>
                <w:rFonts w:hint="eastAsia" w:ascii="宋体" w:hAnsi="宋体"/>
                <w:b/>
                <w:szCs w:val="21"/>
              </w:rPr>
            </w:pPr>
            <w:r>
              <w:rPr>
                <w:rFonts w:hint="eastAsia" w:ascii="宋体" w:hAnsi="宋体"/>
                <w:b/>
                <w:szCs w:val="21"/>
              </w:rPr>
              <w:t>（60分）</w:t>
            </w:r>
          </w:p>
        </w:tc>
        <w:tc>
          <w:tcPr>
            <w:tcW w:w="1328" w:type="dxa"/>
            <w:noWrap w:val="0"/>
            <w:vAlign w:val="center"/>
          </w:tcPr>
          <w:p w14:paraId="10A1727E">
            <w:pPr>
              <w:spacing w:line="360" w:lineRule="auto"/>
              <w:jc w:val="center"/>
              <w:rPr>
                <w:rFonts w:ascii="Times New Roman" w:hAnsi="Times New Roman"/>
                <w:b/>
                <w:szCs w:val="21"/>
                <w:highlight w:val="none"/>
              </w:rPr>
            </w:pPr>
            <w:r>
              <w:rPr>
                <w:rFonts w:hint="eastAsia" w:ascii="Times New Roman" w:hAnsi="Times New Roman"/>
                <w:b/>
                <w:szCs w:val="21"/>
                <w:highlight w:val="none"/>
              </w:rPr>
              <w:t>技术参数</w:t>
            </w:r>
          </w:p>
          <w:p w14:paraId="17CFE4E1">
            <w:pPr>
              <w:keepNext/>
              <w:keepLines/>
              <w:spacing w:line="360" w:lineRule="auto"/>
              <w:jc w:val="center"/>
              <w:outlineLvl w:val="1"/>
              <w:rPr>
                <w:rFonts w:hint="eastAsia" w:ascii="Arial" w:hAnsi="Arial" w:eastAsia="黑体"/>
                <w:b/>
                <w:kern w:val="0"/>
                <w:szCs w:val="21"/>
                <w:highlight w:val="none"/>
              </w:rPr>
            </w:pPr>
            <w:bookmarkStart w:id="31" w:name="_Toc25246"/>
            <w:bookmarkStart w:id="32" w:name="_Toc3060"/>
            <w:bookmarkStart w:id="33" w:name="_Toc28148"/>
            <w:r>
              <w:rPr>
                <w:rFonts w:hint="eastAsia" w:ascii="Times New Roman" w:hAnsi="Times New Roman"/>
                <w:b/>
                <w:szCs w:val="32"/>
                <w:highlight w:val="none"/>
              </w:rPr>
              <w:t>（25分）</w:t>
            </w:r>
            <w:bookmarkEnd w:id="31"/>
            <w:bookmarkEnd w:id="32"/>
            <w:bookmarkEnd w:id="33"/>
          </w:p>
        </w:tc>
        <w:tc>
          <w:tcPr>
            <w:tcW w:w="6035" w:type="dxa"/>
            <w:gridSpan w:val="4"/>
            <w:noWrap w:val="0"/>
            <w:vAlign w:val="center"/>
          </w:tcPr>
          <w:p w14:paraId="75C000E9">
            <w:pPr>
              <w:spacing w:line="360" w:lineRule="auto"/>
              <w:rPr>
                <w:rFonts w:hint="eastAsia" w:ascii="宋体" w:hAnsi="宋体" w:cs="宋体"/>
                <w:szCs w:val="21"/>
                <w:highlight w:val="none"/>
              </w:rPr>
            </w:pPr>
            <w:r>
              <w:rPr>
                <w:rFonts w:hint="eastAsia" w:ascii="宋体" w:hAnsi="宋体"/>
                <w:szCs w:val="21"/>
                <w:highlight w:val="none"/>
              </w:rPr>
              <w:t>投报本项目的技术指标完全符合或优于招标文件第四章采购内容及要求的得满分25分；评标委员会根据投标人投标文件中提供的技术规格偏差表及其他技术参数佐证材料进行评分，每有一项不满足扣</w:t>
            </w:r>
            <w:r>
              <w:rPr>
                <w:rFonts w:hint="eastAsia" w:ascii="宋体" w:hAnsi="宋体"/>
                <w:szCs w:val="21"/>
                <w:highlight w:val="none"/>
                <w:lang w:val="en-US" w:eastAsia="zh-CN"/>
              </w:rPr>
              <w:t>1</w:t>
            </w:r>
            <w:r>
              <w:rPr>
                <w:rFonts w:hint="eastAsia" w:ascii="宋体" w:hAnsi="宋体"/>
                <w:szCs w:val="21"/>
                <w:highlight w:val="none"/>
              </w:rPr>
              <w:t>分，分值扣完为止。</w:t>
            </w:r>
          </w:p>
        </w:tc>
      </w:tr>
      <w:tr w14:paraId="10F5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850" w:type="dxa"/>
            <w:vMerge w:val="continue"/>
            <w:noWrap w:val="0"/>
            <w:vAlign w:val="center"/>
          </w:tcPr>
          <w:p w14:paraId="635859CB">
            <w:pPr>
              <w:spacing w:line="360" w:lineRule="auto"/>
              <w:jc w:val="center"/>
              <w:rPr>
                <w:rFonts w:ascii="宋体" w:hAnsi="宋体"/>
                <w:szCs w:val="21"/>
              </w:rPr>
            </w:pPr>
          </w:p>
        </w:tc>
        <w:tc>
          <w:tcPr>
            <w:tcW w:w="1129" w:type="dxa"/>
            <w:vMerge w:val="continue"/>
            <w:noWrap w:val="0"/>
            <w:vAlign w:val="center"/>
          </w:tcPr>
          <w:p w14:paraId="22632971">
            <w:pPr>
              <w:spacing w:line="360" w:lineRule="auto"/>
              <w:jc w:val="center"/>
              <w:rPr>
                <w:rFonts w:hint="eastAsia" w:ascii="宋体" w:hAnsi="宋体"/>
                <w:b/>
                <w:szCs w:val="21"/>
              </w:rPr>
            </w:pPr>
          </w:p>
        </w:tc>
        <w:tc>
          <w:tcPr>
            <w:tcW w:w="1328" w:type="dxa"/>
            <w:noWrap w:val="0"/>
            <w:vAlign w:val="center"/>
          </w:tcPr>
          <w:p w14:paraId="7DBB313E">
            <w:pPr>
              <w:jc w:val="center"/>
              <w:rPr>
                <w:rFonts w:hint="eastAsia" w:ascii="Times New Roman" w:hAnsi="Times New Roman"/>
                <w:b/>
                <w:color w:val="auto"/>
                <w:kern w:val="0"/>
                <w:szCs w:val="22"/>
                <w:highlight w:val="none"/>
              </w:rPr>
            </w:pPr>
            <w:r>
              <w:rPr>
                <w:rFonts w:hint="eastAsia" w:ascii="Times New Roman" w:hAnsi="Times New Roman"/>
                <w:b/>
                <w:color w:val="auto"/>
                <w:kern w:val="0"/>
                <w:szCs w:val="22"/>
                <w:highlight w:val="none"/>
              </w:rPr>
              <w:t>供货及安装调试方案</w:t>
            </w:r>
          </w:p>
          <w:p w14:paraId="04FE8B2F">
            <w:pPr>
              <w:jc w:val="center"/>
              <w:rPr>
                <w:rFonts w:hint="eastAsia" w:ascii="宋体" w:hAnsi="宋体" w:cs="宋体"/>
                <w:b/>
                <w:color w:val="auto"/>
                <w:highlight w:val="none"/>
              </w:rPr>
            </w:pPr>
            <w:r>
              <w:rPr>
                <w:rFonts w:hint="eastAsia" w:ascii="Times New Roman" w:hAnsi="Times New Roman"/>
                <w:b/>
                <w:color w:val="auto"/>
                <w:kern w:val="0"/>
                <w:szCs w:val="22"/>
                <w:highlight w:val="none"/>
              </w:rPr>
              <w:t>（</w:t>
            </w:r>
            <w:r>
              <w:rPr>
                <w:rFonts w:ascii="Times New Roman" w:hAnsi="Times New Roman"/>
                <w:b/>
                <w:color w:val="auto"/>
                <w:kern w:val="0"/>
                <w:szCs w:val="22"/>
                <w:highlight w:val="none"/>
              </w:rPr>
              <w:t>8</w:t>
            </w:r>
            <w:r>
              <w:rPr>
                <w:rFonts w:hint="eastAsia" w:ascii="Times New Roman" w:hAnsi="Times New Roman"/>
                <w:b/>
                <w:color w:val="auto"/>
                <w:kern w:val="0"/>
                <w:szCs w:val="22"/>
                <w:highlight w:val="none"/>
              </w:rPr>
              <w:t>分）</w:t>
            </w:r>
          </w:p>
        </w:tc>
        <w:tc>
          <w:tcPr>
            <w:tcW w:w="6035" w:type="dxa"/>
            <w:gridSpan w:val="4"/>
            <w:noWrap w:val="0"/>
            <w:vAlign w:val="center"/>
          </w:tcPr>
          <w:p w14:paraId="406F3C1D">
            <w:pPr>
              <w:spacing w:line="360" w:lineRule="auto"/>
              <w:ind w:firstLine="420" w:firstLineChars="200"/>
              <w:rPr>
                <w:rFonts w:ascii="Times New Roman" w:hAnsi="Times New Roman"/>
                <w:color w:val="auto"/>
                <w:szCs w:val="22"/>
              </w:rPr>
            </w:pPr>
            <w:r>
              <w:rPr>
                <w:rFonts w:hint="eastAsia" w:ascii="Times New Roman" w:hAnsi="Times New Roman"/>
                <w:color w:val="auto"/>
                <w:szCs w:val="22"/>
              </w:rPr>
              <w:t>1、</w:t>
            </w:r>
            <w:r>
              <w:rPr>
                <w:rFonts w:ascii="Times New Roman" w:hAnsi="Times New Roman"/>
                <w:color w:val="auto"/>
                <w:szCs w:val="22"/>
              </w:rPr>
              <w:t>内容详实，方案合理，考虑周全，切实可行，项目实施及安装人员配备充足，完全能够满足招标项目的需要，得</w:t>
            </w:r>
            <w:r>
              <w:rPr>
                <w:rFonts w:hint="eastAsia" w:ascii="Times New Roman" w:hAnsi="Times New Roman"/>
                <w:color w:val="auto"/>
                <w:szCs w:val="22"/>
                <w:lang w:val="en-US" w:eastAsia="zh-CN"/>
              </w:rPr>
              <w:t>8</w:t>
            </w:r>
            <w:r>
              <w:rPr>
                <w:rFonts w:ascii="Times New Roman" w:hAnsi="Times New Roman"/>
                <w:color w:val="auto"/>
                <w:szCs w:val="22"/>
              </w:rPr>
              <w:t xml:space="preserve">分； </w:t>
            </w:r>
          </w:p>
          <w:p w14:paraId="10F8354E">
            <w:pPr>
              <w:spacing w:line="360" w:lineRule="auto"/>
              <w:ind w:firstLine="420" w:firstLineChars="200"/>
              <w:rPr>
                <w:rFonts w:ascii="Times New Roman" w:hAnsi="Times New Roman"/>
                <w:color w:val="auto"/>
                <w:szCs w:val="22"/>
              </w:rPr>
            </w:pPr>
            <w:r>
              <w:rPr>
                <w:rFonts w:hint="eastAsia" w:ascii="Times New Roman" w:hAnsi="Times New Roman"/>
                <w:color w:val="auto"/>
                <w:szCs w:val="22"/>
              </w:rPr>
              <w:t>2、</w:t>
            </w:r>
            <w:r>
              <w:rPr>
                <w:rFonts w:ascii="Times New Roman" w:hAnsi="Times New Roman"/>
                <w:color w:val="auto"/>
                <w:szCs w:val="22"/>
              </w:rPr>
              <w:t>内容全面，方案基本合理，考虑基本周全，切实可行，配备有相关项目实施及安装人员，虽然能够满足招标项目的需要，但有个别地方需要进一步完善的，得</w:t>
            </w:r>
            <w:r>
              <w:rPr>
                <w:rFonts w:hint="eastAsia" w:ascii="Times New Roman" w:hAnsi="Times New Roman"/>
                <w:color w:val="auto"/>
                <w:szCs w:val="22"/>
                <w:lang w:val="en-US" w:eastAsia="zh-CN"/>
              </w:rPr>
              <w:t>5</w:t>
            </w:r>
            <w:r>
              <w:rPr>
                <w:rFonts w:ascii="Times New Roman" w:hAnsi="Times New Roman"/>
                <w:color w:val="auto"/>
                <w:szCs w:val="22"/>
              </w:rPr>
              <w:t>分；</w:t>
            </w:r>
          </w:p>
          <w:p w14:paraId="6B7000F4">
            <w:pPr>
              <w:spacing w:line="360" w:lineRule="auto"/>
              <w:ind w:firstLine="420" w:firstLineChars="200"/>
              <w:rPr>
                <w:rFonts w:ascii="Times New Roman" w:hAnsi="Times New Roman"/>
                <w:color w:val="auto"/>
                <w:szCs w:val="22"/>
              </w:rPr>
            </w:pPr>
            <w:r>
              <w:rPr>
                <w:rFonts w:hint="eastAsia" w:ascii="Times New Roman" w:hAnsi="Times New Roman"/>
                <w:color w:val="auto"/>
                <w:szCs w:val="22"/>
              </w:rPr>
              <w:t>3、</w:t>
            </w:r>
            <w:r>
              <w:rPr>
                <w:rFonts w:ascii="Times New Roman" w:hAnsi="Times New Roman"/>
                <w:color w:val="auto"/>
                <w:szCs w:val="22"/>
              </w:rPr>
              <w:t>内容粗略，方案基本合理，具有可操作性，考虑不周全，配备有相关项目实施及安装人员，虽然能够基本满足招标项目的需要，但有很多方面需要进一步完善甚至重新考虑的，得</w:t>
            </w:r>
            <w:r>
              <w:rPr>
                <w:rFonts w:hint="eastAsia" w:ascii="Times New Roman" w:hAnsi="Times New Roman"/>
                <w:color w:val="auto"/>
                <w:szCs w:val="22"/>
                <w:lang w:val="en-US" w:eastAsia="zh-CN"/>
              </w:rPr>
              <w:t>3</w:t>
            </w:r>
            <w:r>
              <w:rPr>
                <w:rFonts w:ascii="Times New Roman" w:hAnsi="Times New Roman"/>
                <w:color w:val="auto"/>
                <w:szCs w:val="22"/>
              </w:rPr>
              <w:t xml:space="preserve">分。 </w:t>
            </w:r>
          </w:p>
          <w:p w14:paraId="0CF16F36">
            <w:pPr>
              <w:spacing w:line="360" w:lineRule="auto"/>
              <w:ind w:firstLine="420" w:firstLineChars="200"/>
              <w:rPr>
                <w:rFonts w:hint="eastAsia" w:ascii="宋体" w:hAnsi="宋体" w:cs="宋体"/>
                <w:color w:val="auto"/>
                <w:szCs w:val="21"/>
              </w:rPr>
            </w:pPr>
            <w:r>
              <w:rPr>
                <w:rFonts w:hint="eastAsia" w:ascii="Times New Roman" w:hAnsi="Times New Roman"/>
                <w:color w:val="auto"/>
                <w:szCs w:val="22"/>
              </w:rPr>
              <w:t>4、</w:t>
            </w:r>
            <w:r>
              <w:rPr>
                <w:rFonts w:hint="eastAsia" w:ascii="宋体" w:hAnsi="宋体" w:cs="宋体"/>
                <w:color w:val="auto"/>
                <w:szCs w:val="21"/>
              </w:rPr>
              <w:t>未提供者不得分。</w:t>
            </w:r>
          </w:p>
        </w:tc>
      </w:tr>
      <w:tr w14:paraId="46C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50" w:type="dxa"/>
            <w:vMerge w:val="continue"/>
            <w:noWrap w:val="0"/>
            <w:vAlign w:val="center"/>
          </w:tcPr>
          <w:p w14:paraId="6D945FB1">
            <w:pPr>
              <w:spacing w:line="360" w:lineRule="auto"/>
              <w:jc w:val="center"/>
              <w:rPr>
                <w:rFonts w:ascii="宋体" w:hAnsi="宋体"/>
                <w:szCs w:val="21"/>
              </w:rPr>
            </w:pPr>
          </w:p>
        </w:tc>
        <w:tc>
          <w:tcPr>
            <w:tcW w:w="1129" w:type="dxa"/>
            <w:vMerge w:val="continue"/>
            <w:noWrap w:val="0"/>
            <w:vAlign w:val="center"/>
          </w:tcPr>
          <w:p w14:paraId="50ADED1A">
            <w:pPr>
              <w:spacing w:line="360" w:lineRule="auto"/>
              <w:jc w:val="center"/>
              <w:rPr>
                <w:rFonts w:hint="eastAsia" w:ascii="宋体" w:hAnsi="宋体"/>
                <w:b/>
                <w:szCs w:val="21"/>
              </w:rPr>
            </w:pPr>
          </w:p>
        </w:tc>
        <w:tc>
          <w:tcPr>
            <w:tcW w:w="1328" w:type="dxa"/>
            <w:noWrap w:val="0"/>
            <w:vAlign w:val="center"/>
          </w:tcPr>
          <w:p w14:paraId="00F0CB7A">
            <w:pPr>
              <w:jc w:val="center"/>
              <w:rPr>
                <w:rFonts w:hint="eastAsia" w:ascii="Times New Roman" w:hAnsi="Times New Roman"/>
                <w:b/>
                <w:color w:val="auto"/>
                <w:kern w:val="0"/>
                <w:highlight w:val="none"/>
              </w:rPr>
            </w:pPr>
          </w:p>
          <w:p w14:paraId="42769C7D">
            <w:pPr>
              <w:jc w:val="center"/>
              <w:rPr>
                <w:rFonts w:ascii="Times New Roman" w:hAnsi="Times New Roman"/>
                <w:b/>
                <w:color w:val="auto"/>
                <w:kern w:val="0"/>
                <w:highlight w:val="none"/>
              </w:rPr>
            </w:pPr>
            <w:r>
              <w:rPr>
                <w:rFonts w:hint="eastAsia" w:ascii="Times New Roman" w:hAnsi="Times New Roman"/>
                <w:b/>
                <w:color w:val="auto"/>
                <w:kern w:val="0"/>
                <w:szCs w:val="22"/>
                <w:highlight w:val="none"/>
              </w:rPr>
              <w:t>进度保障措施（</w:t>
            </w:r>
            <w:r>
              <w:rPr>
                <w:rFonts w:ascii="Times New Roman" w:hAnsi="Times New Roman"/>
                <w:b/>
                <w:color w:val="auto"/>
                <w:kern w:val="0"/>
                <w:szCs w:val="22"/>
                <w:highlight w:val="none"/>
              </w:rPr>
              <w:t>8</w:t>
            </w:r>
            <w:r>
              <w:rPr>
                <w:rFonts w:hint="eastAsia" w:ascii="Times New Roman" w:hAnsi="Times New Roman"/>
                <w:b/>
                <w:color w:val="auto"/>
                <w:kern w:val="0"/>
                <w:szCs w:val="22"/>
                <w:highlight w:val="none"/>
              </w:rPr>
              <w:t>分）</w:t>
            </w:r>
          </w:p>
        </w:tc>
        <w:tc>
          <w:tcPr>
            <w:tcW w:w="6035" w:type="dxa"/>
            <w:gridSpan w:val="4"/>
            <w:noWrap w:val="0"/>
            <w:vAlign w:val="center"/>
          </w:tcPr>
          <w:p w14:paraId="244BD78E">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1、进度保证措施全面详实，合理、可行性强，完全能够满足采购项目要求的得</w:t>
            </w:r>
            <w:r>
              <w:rPr>
                <w:rFonts w:hint="eastAsia" w:ascii="Times New Roman" w:hAnsi="Times New Roman"/>
                <w:color w:val="auto"/>
                <w:szCs w:val="22"/>
                <w:lang w:val="en-US" w:eastAsia="zh-CN"/>
              </w:rPr>
              <w:t>8</w:t>
            </w:r>
            <w:r>
              <w:rPr>
                <w:rFonts w:hint="eastAsia" w:ascii="Times New Roman" w:hAnsi="Times New Roman"/>
                <w:color w:val="auto"/>
                <w:szCs w:val="22"/>
              </w:rPr>
              <w:t xml:space="preserve">分； </w:t>
            </w:r>
          </w:p>
          <w:p w14:paraId="6ADD5688">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2、进度保证措施描述较为完整，基本合理、可行，基本满足采购项目要求的得</w:t>
            </w:r>
            <w:r>
              <w:rPr>
                <w:rFonts w:hint="eastAsia" w:ascii="Times New Roman" w:hAnsi="Times New Roman"/>
                <w:color w:val="auto"/>
                <w:szCs w:val="22"/>
                <w:lang w:val="en-US" w:eastAsia="zh-CN"/>
              </w:rPr>
              <w:t>5</w:t>
            </w:r>
            <w:r>
              <w:rPr>
                <w:rFonts w:hint="eastAsia" w:ascii="Times New Roman" w:hAnsi="Times New Roman"/>
                <w:color w:val="auto"/>
                <w:szCs w:val="22"/>
              </w:rPr>
              <w:t xml:space="preserve">分； </w:t>
            </w:r>
          </w:p>
          <w:p w14:paraId="2B2DA337">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3、进度保证措施描述粗略，合理性差，可行性差，虽然能够基本满足采购项目的需要，但还有很多地方需要进一步完善的得</w:t>
            </w:r>
            <w:r>
              <w:rPr>
                <w:rFonts w:hint="eastAsia" w:ascii="Times New Roman" w:hAnsi="Times New Roman"/>
                <w:color w:val="auto"/>
                <w:szCs w:val="22"/>
                <w:lang w:val="en-US" w:eastAsia="zh-CN"/>
              </w:rPr>
              <w:t>3</w:t>
            </w:r>
            <w:r>
              <w:rPr>
                <w:rFonts w:hint="eastAsia" w:ascii="Times New Roman" w:hAnsi="Times New Roman"/>
                <w:color w:val="auto"/>
                <w:szCs w:val="22"/>
              </w:rPr>
              <w:t xml:space="preserve">分； </w:t>
            </w:r>
          </w:p>
          <w:p w14:paraId="6B73C974">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4、</w:t>
            </w:r>
            <w:r>
              <w:rPr>
                <w:rFonts w:hint="eastAsia" w:ascii="宋体" w:hAnsi="宋体" w:cs="宋体"/>
                <w:color w:val="auto"/>
                <w:szCs w:val="21"/>
              </w:rPr>
              <w:t>未提供者不得分。</w:t>
            </w:r>
          </w:p>
        </w:tc>
      </w:tr>
      <w:tr w14:paraId="2B15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Merge w:val="continue"/>
            <w:noWrap w:val="0"/>
            <w:vAlign w:val="center"/>
          </w:tcPr>
          <w:p w14:paraId="348FA92C">
            <w:pPr>
              <w:spacing w:line="360" w:lineRule="auto"/>
              <w:jc w:val="center"/>
              <w:rPr>
                <w:rFonts w:ascii="宋体" w:hAnsi="宋体"/>
                <w:szCs w:val="21"/>
              </w:rPr>
            </w:pPr>
          </w:p>
        </w:tc>
        <w:tc>
          <w:tcPr>
            <w:tcW w:w="1129" w:type="dxa"/>
            <w:vMerge w:val="continue"/>
            <w:noWrap w:val="0"/>
            <w:vAlign w:val="center"/>
          </w:tcPr>
          <w:p w14:paraId="27175006">
            <w:pPr>
              <w:spacing w:line="360" w:lineRule="auto"/>
              <w:jc w:val="center"/>
              <w:rPr>
                <w:rFonts w:hint="eastAsia" w:ascii="宋体" w:hAnsi="宋体"/>
                <w:b/>
                <w:szCs w:val="21"/>
              </w:rPr>
            </w:pPr>
          </w:p>
        </w:tc>
        <w:tc>
          <w:tcPr>
            <w:tcW w:w="1328" w:type="dxa"/>
            <w:noWrap w:val="0"/>
            <w:vAlign w:val="center"/>
          </w:tcPr>
          <w:p w14:paraId="6FF5814D">
            <w:pPr>
              <w:spacing w:line="360" w:lineRule="auto"/>
              <w:jc w:val="center"/>
              <w:rPr>
                <w:rFonts w:ascii="Times New Roman" w:hAnsi="Times New Roman"/>
                <w:b/>
                <w:color w:val="auto"/>
                <w:szCs w:val="22"/>
                <w:highlight w:val="none"/>
              </w:rPr>
            </w:pPr>
            <w:r>
              <w:rPr>
                <w:rFonts w:hint="eastAsia" w:ascii="Times New Roman" w:hAnsi="Times New Roman"/>
                <w:b/>
                <w:color w:val="auto"/>
                <w:szCs w:val="22"/>
                <w:highlight w:val="none"/>
              </w:rPr>
              <w:t>质量保证</w:t>
            </w:r>
          </w:p>
          <w:p w14:paraId="6C25B092">
            <w:pPr>
              <w:spacing w:line="360" w:lineRule="auto"/>
              <w:jc w:val="center"/>
              <w:rPr>
                <w:rFonts w:ascii="Times New Roman" w:hAnsi="Times New Roman"/>
                <w:b/>
                <w:color w:val="auto"/>
                <w:szCs w:val="22"/>
                <w:highlight w:val="none"/>
              </w:rPr>
            </w:pPr>
            <w:r>
              <w:rPr>
                <w:rFonts w:hint="eastAsia" w:ascii="Times New Roman" w:hAnsi="Times New Roman"/>
                <w:b/>
                <w:color w:val="auto"/>
                <w:szCs w:val="22"/>
                <w:highlight w:val="none"/>
              </w:rPr>
              <w:t>措施</w:t>
            </w:r>
          </w:p>
          <w:p w14:paraId="4C83187D">
            <w:pPr>
              <w:spacing w:line="360" w:lineRule="auto"/>
              <w:jc w:val="center"/>
              <w:rPr>
                <w:rFonts w:hint="eastAsia" w:ascii="宋体" w:hAnsi="宋体"/>
                <w:b/>
                <w:color w:val="auto"/>
                <w:highlight w:val="none"/>
              </w:rPr>
            </w:pPr>
            <w:r>
              <w:rPr>
                <w:rFonts w:hint="eastAsia" w:ascii="宋体" w:hAnsi="宋体"/>
                <w:b/>
                <w:color w:val="auto"/>
                <w:szCs w:val="22"/>
                <w:highlight w:val="none"/>
              </w:rPr>
              <w:t>（</w:t>
            </w:r>
            <w:r>
              <w:rPr>
                <w:rFonts w:ascii="宋体" w:hAnsi="宋体"/>
                <w:b/>
                <w:color w:val="auto"/>
                <w:szCs w:val="22"/>
                <w:highlight w:val="none"/>
              </w:rPr>
              <w:t>8</w:t>
            </w:r>
            <w:r>
              <w:rPr>
                <w:rFonts w:hint="eastAsia" w:ascii="宋体" w:hAnsi="宋体"/>
                <w:b/>
                <w:color w:val="auto"/>
                <w:szCs w:val="22"/>
                <w:highlight w:val="none"/>
              </w:rPr>
              <w:t>分）</w:t>
            </w:r>
          </w:p>
        </w:tc>
        <w:tc>
          <w:tcPr>
            <w:tcW w:w="6035" w:type="dxa"/>
            <w:gridSpan w:val="4"/>
            <w:noWrap w:val="0"/>
            <w:vAlign w:val="center"/>
          </w:tcPr>
          <w:p w14:paraId="35BE2389">
            <w:pPr>
              <w:spacing w:line="360" w:lineRule="auto"/>
              <w:ind w:firstLine="420" w:firstLineChars="200"/>
              <w:rPr>
                <w:rFonts w:ascii="Times New Roman" w:hAnsi="Times New Roman"/>
                <w:color w:val="auto"/>
                <w:szCs w:val="22"/>
              </w:rPr>
            </w:pPr>
            <w:r>
              <w:rPr>
                <w:rFonts w:hint="eastAsia" w:ascii="Times New Roman" w:hAnsi="Times New Roman"/>
                <w:color w:val="auto"/>
                <w:szCs w:val="22"/>
              </w:rPr>
              <w:t>1、质量保证措施合理，详尽，切实，可行性强，完全能够满足项目需要得</w:t>
            </w:r>
            <w:r>
              <w:rPr>
                <w:rFonts w:hint="eastAsia" w:ascii="Times New Roman" w:hAnsi="Times New Roman"/>
                <w:color w:val="auto"/>
                <w:szCs w:val="22"/>
                <w:lang w:val="en-US" w:eastAsia="zh-CN"/>
              </w:rPr>
              <w:t>8</w:t>
            </w:r>
            <w:r>
              <w:rPr>
                <w:rFonts w:hint="eastAsia" w:ascii="Times New Roman" w:hAnsi="Times New Roman"/>
                <w:color w:val="auto"/>
                <w:szCs w:val="22"/>
              </w:rPr>
              <w:t>分；</w:t>
            </w:r>
          </w:p>
          <w:p w14:paraId="48D5B512">
            <w:pPr>
              <w:spacing w:line="360" w:lineRule="auto"/>
              <w:ind w:firstLine="420" w:firstLineChars="200"/>
              <w:rPr>
                <w:rFonts w:ascii="Times New Roman" w:hAnsi="Times New Roman"/>
                <w:color w:val="auto"/>
                <w:szCs w:val="22"/>
              </w:rPr>
            </w:pPr>
            <w:r>
              <w:rPr>
                <w:rFonts w:hint="eastAsia" w:ascii="Times New Roman" w:hAnsi="Times New Roman"/>
                <w:color w:val="auto"/>
                <w:szCs w:val="22"/>
              </w:rPr>
              <w:t>2、质量保证措施描述较为合理，较为详尽，基本可行，基本满足项目需要，得</w:t>
            </w:r>
            <w:r>
              <w:rPr>
                <w:rFonts w:hint="eastAsia" w:ascii="Times New Roman" w:hAnsi="Times New Roman"/>
                <w:color w:val="auto"/>
                <w:szCs w:val="22"/>
                <w:lang w:val="en-US" w:eastAsia="zh-CN"/>
              </w:rPr>
              <w:t>5</w:t>
            </w:r>
            <w:r>
              <w:rPr>
                <w:rFonts w:hint="eastAsia" w:ascii="Times New Roman" w:hAnsi="Times New Roman"/>
                <w:color w:val="auto"/>
                <w:szCs w:val="22"/>
              </w:rPr>
              <w:t>分；</w:t>
            </w:r>
          </w:p>
          <w:p w14:paraId="6A2E1831">
            <w:pPr>
              <w:spacing w:line="360" w:lineRule="auto"/>
              <w:ind w:firstLine="420" w:firstLineChars="200"/>
              <w:rPr>
                <w:rFonts w:ascii="Times New Roman" w:hAnsi="Times New Roman"/>
                <w:color w:val="auto"/>
                <w:szCs w:val="22"/>
              </w:rPr>
            </w:pPr>
            <w:r>
              <w:rPr>
                <w:rFonts w:hint="eastAsia" w:ascii="Times New Roman" w:hAnsi="Times New Roman"/>
                <w:color w:val="auto"/>
                <w:szCs w:val="22"/>
              </w:rPr>
              <w:t>3、质量保证措施描述粗略，合理性、可行性差，虽然能够基本满足项目需要，但还有很多地方需要进一步完善的，得</w:t>
            </w:r>
            <w:r>
              <w:rPr>
                <w:rFonts w:hint="eastAsia" w:ascii="Times New Roman" w:hAnsi="Times New Roman"/>
                <w:color w:val="auto"/>
                <w:szCs w:val="22"/>
                <w:lang w:val="en-US" w:eastAsia="zh-CN"/>
              </w:rPr>
              <w:t>3</w:t>
            </w:r>
            <w:r>
              <w:rPr>
                <w:rFonts w:hint="eastAsia" w:ascii="Times New Roman" w:hAnsi="Times New Roman"/>
                <w:color w:val="auto"/>
                <w:szCs w:val="22"/>
              </w:rPr>
              <w:t>分；</w:t>
            </w:r>
          </w:p>
          <w:p w14:paraId="77C14922">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4、</w:t>
            </w:r>
            <w:r>
              <w:rPr>
                <w:rFonts w:hint="eastAsia" w:ascii="宋体" w:hAnsi="宋体" w:cs="宋体"/>
                <w:color w:val="auto"/>
                <w:szCs w:val="21"/>
              </w:rPr>
              <w:t>未提供者不得分。</w:t>
            </w:r>
          </w:p>
        </w:tc>
      </w:tr>
      <w:tr w14:paraId="3BC6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50" w:type="dxa"/>
            <w:vMerge w:val="continue"/>
            <w:noWrap w:val="0"/>
            <w:vAlign w:val="center"/>
          </w:tcPr>
          <w:p w14:paraId="73F0C52D">
            <w:pPr>
              <w:spacing w:line="360" w:lineRule="auto"/>
              <w:jc w:val="center"/>
              <w:rPr>
                <w:rFonts w:ascii="宋体" w:hAnsi="宋体"/>
                <w:szCs w:val="21"/>
              </w:rPr>
            </w:pPr>
          </w:p>
        </w:tc>
        <w:tc>
          <w:tcPr>
            <w:tcW w:w="1129" w:type="dxa"/>
            <w:vMerge w:val="continue"/>
            <w:noWrap w:val="0"/>
            <w:vAlign w:val="center"/>
          </w:tcPr>
          <w:p w14:paraId="61529922">
            <w:pPr>
              <w:spacing w:line="360" w:lineRule="auto"/>
              <w:jc w:val="center"/>
              <w:rPr>
                <w:rFonts w:hint="eastAsia" w:ascii="宋体" w:hAnsi="宋体"/>
                <w:b/>
                <w:szCs w:val="21"/>
              </w:rPr>
            </w:pPr>
          </w:p>
        </w:tc>
        <w:tc>
          <w:tcPr>
            <w:tcW w:w="1328" w:type="dxa"/>
            <w:noWrap w:val="0"/>
            <w:vAlign w:val="center"/>
          </w:tcPr>
          <w:p w14:paraId="1F6A4E37">
            <w:pPr>
              <w:spacing w:line="360" w:lineRule="auto"/>
              <w:jc w:val="center"/>
              <w:rPr>
                <w:rFonts w:ascii="宋体" w:hAnsi="宋体" w:cs="宋体"/>
                <w:b/>
                <w:color w:val="auto"/>
                <w:highlight w:val="none"/>
              </w:rPr>
            </w:pPr>
            <w:r>
              <w:rPr>
                <w:rFonts w:hint="eastAsia" w:ascii="宋体" w:hAnsi="宋体"/>
                <w:b/>
                <w:color w:val="auto"/>
                <w:szCs w:val="22"/>
                <w:highlight w:val="none"/>
              </w:rPr>
              <w:t>应急处理方案（</w:t>
            </w:r>
            <w:r>
              <w:rPr>
                <w:rFonts w:ascii="宋体" w:hAnsi="宋体"/>
                <w:b/>
                <w:color w:val="auto"/>
                <w:szCs w:val="22"/>
                <w:highlight w:val="none"/>
              </w:rPr>
              <w:t>4</w:t>
            </w:r>
            <w:r>
              <w:rPr>
                <w:rFonts w:hint="eastAsia" w:ascii="宋体" w:hAnsi="宋体"/>
                <w:b/>
                <w:color w:val="auto"/>
                <w:szCs w:val="22"/>
                <w:highlight w:val="none"/>
              </w:rPr>
              <w:t>分）</w:t>
            </w:r>
          </w:p>
        </w:tc>
        <w:tc>
          <w:tcPr>
            <w:tcW w:w="6035" w:type="dxa"/>
            <w:gridSpan w:val="4"/>
            <w:noWrap w:val="0"/>
            <w:vAlign w:val="center"/>
          </w:tcPr>
          <w:p w14:paraId="158E8947">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1、方案合理，考虑周全，切实可行</w:t>
            </w:r>
            <w:r>
              <w:rPr>
                <w:rFonts w:hint="eastAsia" w:ascii="Times New Roman" w:hAnsi="Times New Roman"/>
                <w:color w:val="auto"/>
                <w:szCs w:val="22"/>
                <w:lang w:val="en-US" w:eastAsia="zh-CN"/>
              </w:rPr>
              <w:t>4</w:t>
            </w:r>
            <w:r>
              <w:rPr>
                <w:rFonts w:hint="eastAsia" w:ascii="Times New Roman" w:hAnsi="Times New Roman"/>
                <w:color w:val="auto"/>
                <w:szCs w:val="22"/>
              </w:rPr>
              <w:t xml:space="preserve">分； </w:t>
            </w:r>
          </w:p>
          <w:p w14:paraId="276F4BE5">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2、方案基本合理，考虑基本周全，具有可操作性的得</w:t>
            </w:r>
            <w:r>
              <w:rPr>
                <w:rFonts w:hint="eastAsia" w:ascii="Times New Roman" w:hAnsi="Times New Roman"/>
                <w:color w:val="auto"/>
                <w:szCs w:val="22"/>
                <w:lang w:val="en-US" w:eastAsia="zh-CN"/>
              </w:rPr>
              <w:t>2</w:t>
            </w:r>
            <w:r>
              <w:rPr>
                <w:rFonts w:hint="eastAsia" w:ascii="Times New Roman" w:hAnsi="Times New Roman"/>
                <w:color w:val="auto"/>
                <w:szCs w:val="22"/>
              </w:rPr>
              <w:t>分；</w:t>
            </w:r>
          </w:p>
          <w:p w14:paraId="02511754">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3、方案合理性差，考虑不周全，可操作性差的得1分；</w:t>
            </w:r>
          </w:p>
          <w:p w14:paraId="001DF9FF">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4、未提供者不得分。</w:t>
            </w:r>
          </w:p>
        </w:tc>
      </w:tr>
      <w:tr w14:paraId="3875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50" w:type="dxa"/>
            <w:vMerge w:val="continue"/>
            <w:noWrap w:val="0"/>
            <w:vAlign w:val="center"/>
          </w:tcPr>
          <w:p w14:paraId="2290F15D">
            <w:pPr>
              <w:spacing w:line="360" w:lineRule="auto"/>
              <w:jc w:val="center"/>
              <w:rPr>
                <w:rFonts w:ascii="宋体" w:hAnsi="宋体"/>
                <w:szCs w:val="21"/>
              </w:rPr>
            </w:pPr>
          </w:p>
        </w:tc>
        <w:tc>
          <w:tcPr>
            <w:tcW w:w="1129" w:type="dxa"/>
            <w:vMerge w:val="continue"/>
            <w:noWrap w:val="0"/>
            <w:vAlign w:val="center"/>
          </w:tcPr>
          <w:p w14:paraId="24081D13">
            <w:pPr>
              <w:spacing w:line="360" w:lineRule="auto"/>
              <w:jc w:val="center"/>
              <w:rPr>
                <w:rFonts w:hint="eastAsia" w:ascii="宋体" w:hAnsi="宋体"/>
                <w:b/>
                <w:szCs w:val="21"/>
              </w:rPr>
            </w:pPr>
          </w:p>
        </w:tc>
        <w:tc>
          <w:tcPr>
            <w:tcW w:w="1328" w:type="dxa"/>
            <w:noWrap w:val="0"/>
            <w:vAlign w:val="center"/>
          </w:tcPr>
          <w:p w14:paraId="02B278BD">
            <w:pPr>
              <w:spacing w:line="360" w:lineRule="auto"/>
              <w:jc w:val="center"/>
              <w:rPr>
                <w:rFonts w:hint="eastAsia" w:ascii="宋体" w:hAnsi="宋体"/>
                <w:b/>
                <w:color w:val="auto"/>
                <w:szCs w:val="22"/>
                <w:highlight w:val="none"/>
              </w:rPr>
            </w:pPr>
            <w:r>
              <w:rPr>
                <w:rFonts w:hint="eastAsia" w:ascii="宋体" w:hAnsi="宋体"/>
                <w:b/>
                <w:color w:val="auto"/>
                <w:szCs w:val="22"/>
                <w:highlight w:val="none"/>
              </w:rPr>
              <w:t>安全保护措施（</w:t>
            </w:r>
            <w:r>
              <w:rPr>
                <w:rFonts w:ascii="宋体" w:hAnsi="宋体"/>
                <w:b/>
                <w:color w:val="auto"/>
                <w:szCs w:val="22"/>
                <w:highlight w:val="none"/>
              </w:rPr>
              <w:t>4</w:t>
            </w:r>
            <w:r>
              <w:rPr>
                <w:rFonts w:hint="eastAsia" w:ascii="宋体" w:hAnsi="宋体"/>
                <w:b/>
                <w:color w:val="auto"/>
                <w:szCs w:val="22"/>
                <w:highlight w:val="none"/>
              </w:rPr>
              <w:t>分）</w:t>
            </w:r>
          </w:p>
        </w:tc>
        <w:tc>
          <w:tcPr>
            <w:tcW w:w="6035" w:type="dxa"/>
            <w:gridSpan w:val="4"/>
            <w:noWrap w:val="0"/>
            <w:vAlign w:val="center"/>
          </w:tcPr>
          <w:p w14:paraId="205AF88C">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1、根据投标供应商提供的项目实施安全保护措施进行综合评定，内容详实，科学、合理，考虑周全，措施到位，完全能够满足采购项目的需要的，得</w:t>
            </w:r>
            <w:r>
              <w:rPr>
                <w:rFonts w:hint="eastAsia" w:ascii="Times New Roman" w:hAnsi="Times New Roman"/>
                <w:color w:val="auto"/>
                <w:szCs w:val="22"/>
                <w:lang w:val="en-US" w:eastAsia="zh-CN"/>
              </w:rPr>
              <w:t>4</w:t>
            </w:r>
            <w:r>
              <w:rPr>
                <w:rFonts w:hint="eastAsia" w:ascii="Times New Roman" w:hAnsi="Times New Roman"/>
                <w:color w:val="auto"/>
                <w:szCs w:val="22"/>
              </w:rPr>
              <w:t>分；</w:t>
            </w:r>
          </w:p>
          <w:p w14:paraId="247258E7">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2、内容较为完整，基本科学、合理，考虑较周全，措施基本到位，基本满足采购项目要求的得</w:t>
            </w:r>
            <w:r>
              <w:rPr>
                <w:rFonts w:hint="eastAsia" w:ascii="Times New Roman" w:hAnsi="Times New Roman"/>
                <w:color w:val="auto"/>
                <w:szCs w:val="22"/>
                <w:lang w:val="en-US" w:eastAsia="zh-CN"/>
              </w:rPr>
              <w:t>2</w:t>
            </w:r>
            <w:r>
              <w:rPr>
                <w:rFonts w:hint="eastAsia" w:ascii="Times New Roman" w:hAnsi="Times New Roman"/>
                <w:color w:val="auto"/>
                <w:szCs w:val="22"/>
              </w:rPr>
              <w:t>分；</w:t>
            </w:r>
          </w:p>
          <w:p w14:paraId="47A32DAC">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3、内容描述粗略，科学、合理性较差，考虑不周，措施不到位，虽然能够基本满足采购项目的需要，但还有很多地方需要进一步完善的，得1分；</w:t>
            </w:r>
          </w:p>
          <w:p w14:paraId="3C824E36">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4、未提供者不得分。</w:t>
            </w:r>
          </w:p>
        </w:tc>
      </w:tr>
      <w:tr w14:paraId="0726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50" w:type="dxa"/>
            <w:vMerge w:val="continue"/>
            <w:noWrap w:val="0"/>
            <w:vAlign w:val="center"/>
          </w:tcPr>
          <w:p w14:paraId="3CABEAA0">
            <w:pPr>
              <w:spacing w:line="360" w:lineRule="auto"/>
              <w:jc w:val="center"/>
              <w:rPr>
                <w:rFonts w:ascii="宋体" w:hAnsi="宋体"/>
                <w:szCs w:val="21"/>
              </w:rPr>
            </w:pPr>
          </w:p>
        </w:tc>
        <w:tc>
          <w:tcPr>
            <w:tcW w:w="1129" w:type="dxa"/>
            <w:vMerge w:val="continue"/>
            <w:noWrap w:val="0"/>
            <w:vAlign w:val="center"/>
          </w:tcPr>
          <w:p w14:paraId="7E6BD1BE">
            <w:pPr>
              <w:spacing w:line="360" w:lineRule="auto"/>
              <w:jc w:val="center"/>
              <w:rPr>
                <w:rFonts w:hint="eastAsia" w:ascii="宋体" w:hAnsi="宋体"/>
                <w:b/>
                <w:szCs w:val="21"/>
              </w:rPr>
            </w:pPr>
          </w:p>
        </w:tc>
        <w:tc>
          <w:tcPr>
            <w:tcW w:w="1328" w:type="dxa"/>
            <w:noWrap w:val="0"/>
            <w:vAlign w:val="center"/>
          </w:tcPr>
          <w:p w14:paraId="2C52A198">
            <w:pPr>
              <w:spacing w:line="360" w:lineRule="auto"/>
              <w:jc w:val="center"/>
              <w:rPr>
                <w:rFonts w:hint="eastAsia" w:ascii="宋体" w:hAnsi="宋体"/>
                <w:b/>
                <w:color w:val="auto"/>
                <w:szCs w:val="22"/>
                <w:highlight w:val="none"/>
              </w:rPr>
            </w:pPr>
            <w:r>
              <w:rPr>
                <w:rFonts w:hint="eastAsia" w:ascii="宋体" w:hAnsi="宋体"/>
                <w:b/>
                <w:color w:val="auto"/>
                <w:szCs w:val="22"/>
                <w:highlight w:val="none"/>
              </w:rPr>
              <w:t>安装人员技术培训方案（</w:t>
            </w:r>
            <w:r>
              <w:rPr>
                <w:rFonts w:ascii="宋体" w:hAnsi="宋体"/>
                <w:b/>
                <w:color w:val="auto"/>
                <w:szCs w:val="22"/>
                <w:highlight w:val="none"/>
              </w:rPr>
              <w:t>3</w:t>
            </w:r>
            <w:r>
              <w:rPr>
                <w:rFonts w:hint="eastAsia" w:ascii="宋体" w:hAnsi="宋体"/>
                <w:b/>
                <w:color w:val="auto"/>
                <w:szCs w:val="22"/>
                <w:highlight w:val="none"/>
              </w:rPr>
              <w:t>分）</w:t>
            </w:r>
          </w:p>
        </w:tc>
        <w:tc>
          <w:tcPr>
            <w:tcW w:w="6035" w:type="dxa"/>
            <w:gridSpan w:val="4"/>
            <w:noWrap w:val="0"/>
            <w:vAlign w:val="center"/>
          </w:tcPr>
          <w:p w14:paraId="5157A29A">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 xml:space="preserve">1、综合考虑培训各方面需求，培训实施安排全面详尽、 考虑周全，完全能够满足采购项目的需要，得 </w:t>
            </w:r>
            <w:r>
              <w:rPr>
                <w:rFonts w:hint="eastAsia" w:ascii="Times New Roman" w:hAnsi="Times New Roman"/>
                <w:color w:val="auto"/>
                <w:szCs w:val="22"/>
                <w:lang w:val="en-US" w:eastAsia="zh-CN"/>
              </w:rPr>
              <w:t>3</w:t>
            </w:r>
            <w:r>
              <w:rPr>
                <w:rFonts w:hint="eastAsia" w:ascii="Times New Roman" w:hAnsi="Times New Roman"/>
                <w:color w:val="auto"/>
                <w:szCs w:val="22"/>
              </w:rPr>
              <w:t xml:space="preserve">分； </w:t>
            </w:r>
          </w:p>
          <w:p w14:paraId="7FAAA8CC">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 xml:space="preserve">2、综合考虑培训各方面需求，培训实施安排基本全面、考虑较为周全，基本能够满足采购项目的需要，得 </w:t>
            </w:r>
            <w:r>
              <w:rPr>
                <w:rFonts w:hint="eastAsia" w:ascii="Times New Roman" w:hAnsi="Times New Roman"/>
                <w:color w:val="auto"/>
                <w:szCs w:val="22"/>
                <w:lang w:val="en-US" w:eastAsia="zh-CN"/>
              </w:rPr>
              <w:t>2</w:t>
            </w:r>
            <w:r>
              <w:rPr>
                <w:rFonts w:hint="eastAsia" w:ascii="Times New Roman" w:hAnsi="Times New Roman"/>
                <w:color w:val="auto"/>
                <w:szCs w:val="22"/>
              </w:rPr>
              <w:t xml:space="preserve">分； </w:t>
            </w:r>
          </w:p>
          <w:p w14:paraId="18FA509C">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3、提供有但培训实施安排不全面、考虑不周全，虽然能够基本满足采购项目的需要，但还有很多地方需要进一步完善的得 1 分；</w:t>
            </w:r>
          </w:p>
          <w:p w14:paraId="48B7CFD8">
            <w:pPr>
              <w:spacing w:line="360" w:lineRule="auto"/>
              <w:ind w:firstLine="420" w:firstLineChars="200"/>
              <w:rPr>
                <w:rFonts w:hint="eastAsia" w:ascii="Times New Roman" w:hAnsi="Times New Roman"/>
                <w:color w:val="auto"/>
                <w:szCs w:val="22"/>
              </w:rPr>
            </w:pPr>
            <w:r>
              <w:rPr>
                <w:rFonts w:hint="eastAsia" w:ascii="Times New Roman" w:hAnsi="Times New Roman"/>
                <w:color w:val="auto"/>
                <w:szCs w:val="22"/>
              </w:rPr>
              <w:t xml:space="preserve">4、不提供得0分。 </w:t>
            </w:r>
          </w:p>
        </w:tc>
      </w:tr>
      <w:tr w14:paraId="1389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50" w:type="dxa"/>
            <w:vMerge w:val="restart"/>
            <w:noWrap w:val="0"/>
            <w:vAlign w:val="center"/>
          </w:tcPr>
          <w:p w14:paraId="67D782EB">
            <w:pPr>
              <w:spacing w:line="360" w:lineRule="auto"/>
              <w:jc w:val="center"/>
              <w:rPr>
                <w:rFonts w:ascii="宋体" w:hAnsi="宋体"/>
                <w:szCs w:val="21"/>
              </w:rPr>
            </w:pPr>
            <w:r>
              <w:rPr>
                <w:rFonts w:hint="eastAsia" w:ascii="宋体" w:hAnsi="宋体"/>
                <w:b/>
                <w:bCs/>
                <w:szCs w:val="21"/>
              </w:rPr>
              <w:t>3.3</w:t>
            </w:r>
          </w:p>
        </w:tc>
        <w:tc>
          <w:tcPr>
            <w:tcW w:w="1129" w:type="dxa"/>
            <w:vMerge w:val="restart"/>
            <w:noWrap w:val="0"/>
            <w:vAlign w:val="center"/>
          </w:tcPr>
          <w:p w14:paraId="5AA1AAD0">
            <w:pPr>
              <w:spacing w:line="440" w:lineRule="atLeast"/>
              <w:jc w:val="center"/>
              <w:rPr>
                <w:rFonts w:ascii="宋体" w:hAnsi="宋体"/>
                <w:b/>
                <w:szCs w:val="21"/>
              </w:rPr>
            </w:pPr>
            <w:r>
              <w:rPr>
                <w:rFonts w:hint="eastAsia" w:ascii="宋体" w:hAnsi="宋体"/>
                <w:b/>
                <w:szCs w:val="21"/>
              </w:rPr>
              <w:t>商务标部分（10分）</w:t>
            </w:r>
          </w:p>
        </w:tc>
        <w:tc>
          <w:tcPr>
            <w:tcW w:w="1328" w:type="dxa"/>
            <w:noWrap w:val="0"/>
            <w:vAlign w:val="center"/>
          </w:tcPr>
          <w:p w14:paraId="1BAAE26F">
            <w:pPr>
              <w:spacing w:line="276" w:lineRule="auto"/>
              <w:jc w:val="center"/>
              <w:rPr>
                <w:rFonts w:hint="eastAsia" w:ascii="宋体" w:hAnsi="宋体" w:cs="宋体"/>
                <w:b/>
                <w:bCs/>
                <w:color w:val="000000"/>
                <w:szCs w:val="21"/>
              </w:rPr>
            </w:pPr>
            <w:r>
              <w:rPr>
                <w:rFonts w:hint="eastAsia" w:ascii="宋体" w:hAnsi="宋体" w:cs="宋体"/>
                <w:b/>
                <w:bCs/>
                <w:color w:val="000000"/>
                <w:szCs w:val="21"/>
              </w:rPr>
              <w:t>质保期内外售后服务</w:t>
            </w:r>
          </w:p>
          <w:p w14:paraId="7ED37008">
            <w:pPr>
              <w:spacing w:line="276" w:lineRule="auto"/>
              <w:jc w:val="center"/>
              <w:rPr>
                <w:rFonts w:ascii="宋体" w:hAnsi="宋体" w:cs="宋体"/>
                <w:b/>
                <w:bCs/>
                <w:szCs w:val="22"/>
              </w:rPr>
            </w:pPr>
            <w:r>
              <w:rPr>
                <w:rFonts w:hint="eastAsia" w:ascii="宋体" w:hAnsi="宋体" w:cs="宋体"/>
                <w:b/>
                <w:bCs/>
                <w:color w:val="000000"/>
                <w:szCs w:val="21"/>
              </w:rPr>
              <w:t>（6分）</w:t>
            </w:r>
          </w:p>
        </w:tc>
        <w:tc>
          <w:tcPr>
            <w:tcW w:w="6035" w:type="dxa"/>
            <w:gridSpan w:val="4"/>
            <w:noWrap w:val="0"/>
            <w:vAlign w:val="center"/>
          </w:tcPr>
          <w:p w14:paraId="17CE8F20">
            <w:pPr>
              <w:spacing w:line="360" w:lineRule="auto"/>
              <w:ind w:firstLine="420" w:firstLineChars="200"/>
              <w:rPr>
                <w:rFonts w:hint="eastAsia" w:ascii="Times New Roman" w:hAnsi="Times New Roman"/>
                <w:szCs w:val="22"/>
                <w:lang w:val="zh-CN"/>
              </w:rPr>
            </w:pPr>
            <w:r>
              <w:rPr>
                <w:rFonts w:hint="eastAsia" w:ascii="Times New Roman" w:hAnsi="Times New Roman"/>
                <w:szCs w:val="22"/>
                <w:lang w:val="zh-CN"/>
              </w:rPr>
              <w:t>1.质保期内售后服务（</w:t>
            </w:r>
            <w:r>
              <w:rPr>
                <w:rFonts w:hint="eastAsia" w:ascii="Times New Roman" w:hAnsi="Times New Roman"/>
                <w:szCs w:val="22"/>
              </w:rPr>
              <w:t>3</w:t>
            </w:r>
            <w:r>
              <w:rPr>
                <w:rFonts w:hint="eastAsia" w:ascii="Times New Roman" w:hAnsi="Times New Roman"/>
                <w:szCs w:val="22"/>
                <w:lang w:val="zh-CN"/>
              </w:rPr>
              <w:t xml:space="preserve">分） </w:t>
            </w:r>
          </w:p>
          <w:p w14:paraId="1BDB1613">
            <w:pPr>
              <w:spacing w:line="360" w:lineRule="auto"/>
              <w:ind w:firstLine="420" w:firstLineChars="200"/>
              <w:rPr>
                <w:rFonts w:hint="eastAsia" w:ascii="Times New Roman" w:hAnsi="Times New Roman"/>
                <w:szCs w:val="22"/>
              </w:rPr>
            </w:pPr>
            <w:r>
              <w:rPr>
                <w:rFonts w:hint="eastAsia" w:ascii="Times New Roman" w:hAnsi="Times New Roman"/>
                <w:szCs w:val="22"/>
              </w:rPr>
              <w:t xml:space="preserve">（1）综合考虑各方面需求，投标人提供的质保期内售后服务方案内容完整、考虑全面周到，多样，响应及时，得 3分； </w:t>
            </w:r>
          </w:p>
          <w:p w14:paraId="4E87D6F3">
            <w:pPr>
              <w:spacing w:line="360" w:lineRule="auto"/>
              <w:ind w:firstLine="420" w:firstLineChars="200"/>
              <w:rPr>
                <w:rFonts w:hint="eastAsia" w:ascii="Times New Roman" w:hAnsi="Times New Roman"/>
                <w:szCs w:val="22"/>
              </w:rPr>
            </w:pPr>
            <w:r>
              <w:rPr>
                <w:rFonts w:hint="eastAsia" w:ascii="Times New Roman" w:hAnsi="Times New Roman"/>
                <w:szCs w:val="22"/>
              </w:rPr>
              <w:t xml:space="preserve">（2）综合考虑各方面需求，投标人提供的质保期内售后服务方案内容较为完整、考虑基本全面，响应较为及时，得 2 分； </w:t>
            </w:r>
          </w:p>
          <w:p w14:paraId="4A572125">
            <w:pPr>
              <w:spacing w:line="360" w:lineRule="auto"/>
              <w:ind w:firstLine="420" w:firstLineChars="200"/>
              <w:rPr>
                <w:rFonts w:hint="eastAsia" w:ascii="Times New Roman" w:hAnsi="Times New Roman"/>
                <w:szCs w:val="22"/>
              </w:rPr>
            </w:pPr>
            <w:r>
              <w:rPr>
                <w:rFonts w:hint="eastAsia" w:ascii="Times New Roman" w:hAnsi="Times New Roman"/>
                <w:szCs w:val="22"/>
              </w:rPr>
              <w:t xml:space="preserve">（3）投标人提供的质保期内售后服务方案内容不完整、考虑不全面，响应不及时，得 1 分； </w:t>
            </w:r>
          </w:p>
          <w:p w14:paraId="465DD9ED">
            <w:pPr>
              <w:spacing w:line="360" w:lineRule="auto"/>
              <w:ind w:firstLine="420" w:firstLineChars="200"/>
              <w:rPr>
                <w:rFonts w:hint="eastAsia" w:ascii="Times New Roman" w:hAnsi="Times New Roman"/>
                <w:szCs w:val="22"/>
              </w:rPr>
            </w:pPr>
            <w:r>
              <w:rPr>
                <w:rFonts w:hint="eastAsia" w:ascii="Times New Roman" w:hAnsi="Times New Roman"/>
                <w:szCs w:val="22"/>
              </w:rPr>
              <w:t xml:space="preserve">（4）不提供，不得分。 </w:t>
            </w:r>
          </w:p>
          <w:p w14:paraId="56F17B7F">
            <w:pPr>
              <w:spacing w:line="360" w:lineRule="auto"/>
              <w:ind w:firstLine="420" w:firstLineChars="200"/>
              <w:rPr>
                <w:rFonts w:hint="eastAsia" w:ascii="Times New Roman" w:hAnsi="Times New Roman"/>
                <w:szCs w:val="22"/>
              </w:rPr>
            </w:pPr>
            <w:r>
              <w:rPr>
                <w:rFonts w:hint="eastAsia" w:ascii="Times New Roman" w:hAnsi="Times New Roman"/>
                <w:szCs w:val="22"/>
                <w:lang w:val="zh-CN"/>
              </w:rPr>
              <w:t>2.质保期外售后服务（</w:t>
            </w:r>
            <w:r>
              <w:rPr>
                <w:rFonts w:hint="eastAsia" w:ascii="Times New Roman" w:hAnsi="Times New Roman"/>
                <w:szCs w:val="22"/>
              </w:rPr>
              <w:t>3</w:t>
            </w:r>
            <w:r>
              <w:rPr>
                <w:rFonts w:hint="eastAsia" w:ascii="Times New Roman" w:hAnsi="Times New Roman"/>
                <w:szCs w:val="22"/>
                <w:lang w:val="zh-CN"/>
              </w:rPr>
              <w:t>分）</w:t>
            </w:r>
            <w:r>
              <w:rPr>
                <w:rFonts w:hint="eastAsia" w:ascii="Times New Roman" w:hAnsi="Times New Roman"/>
                <w:szCs w:val="22"/>
              </w:rPr>
              <w:t xml:space="preserve"> </w:t>
            </w:r>
          </w:p>
          <w:p w14:paraId="60E296F0">
            <w:pPr>
              <w:spacing w:line="360" w:lineRule="auto"/>
              <w:ind w:firstLine="420" w:firstLineChars="200"/>
              <w:rPr>
                <w:rFonts w:hint="eastAsia" w:ascii="Times New Roman" w:hAnsi="Times New Roman"/>
                <w:szCs w:val="22"/>
              </w:rPr>
            </w:pPr>
            <w:r>
              <w:rPr>
                <w:rFonts w:hint="eastAsia" w:ascii="Times New Roman" w:hAnsi="Times New Roman"/>
                <w:szCs w:val="22"/>
              </w:rPr>
              <w:t xml:space="preserve">（1）综合考虑各方面需求，投标人提供的质保期外售后服务方案内容完整、考虑全面周到，响应及时，备品备件配备完善，得3分； </w:t>
            </w:r>
          </w:p>
          <w:p w14:paraId="7FC0C65F">
            <w:pPr>
              <w:spacing w:line="360" w:lineRule="auto"/>
              <w:ind w:firstLine="420" w:firstLineChars="200"/>
              <w:rPr>
                <w:rFonts w:hint="eastAsia" w:ascii="Times New Roman" w:hAnsi="Times New Roman"/>
                <w:szCs w:val="22"/>
              </w:rPr>
            </w:pPr>
            <w:r>
              <w:rPr>
                <w:rFonts w:hint="eastAsia" w:ascii="Times New Roman" w:hAnsi="Times New Roman"/>
                <w:szCs w:val="22"/>
              </w:rPr>
              <w:t xml:space="preserve">（2）综合考虑各方面需求，投标人提供的质保期外售后服务方案内容较为完整、响应较为及时，备品备件配备较完善，得2分； </w:t>
            </w:r>
          </w:p>
          <w:p w14:paraId="5E7197FD">
            <w:pPr>
              <w:spacing w:line="360" w:lineRule="auto"/>
              <w:ind w:firstLine="420" w:firstLineChars="200"/>
              <w:rPr>
                <w:rFonts w:hint="eastAsia" w:ascii="Times New Roman" w:hAnsi="Times New Roman"/>
                <w:szCs w:val="22"/>
              </w:rPr>
            </w:pPr>
            <w:r>
              <w:rPr>
                <w:rFonts w:hint="eastAsia" w:ascii="Times New Roman" w:hAnsi="Times New Roman"/>
                <w:szCs w:val="22"/>
              </w:rPr>
              <w:t xml:space="preserve">（3）投标人提供的质保期外售后服务方案内容不完整，响应不及时，备品备件配备不完善，得 1 分。 </w:t>
            </w:r>
          </w:p>
          <w:p w14:paraId="720EE208">
            <w:pPr>
              <w:spacing w:line="360" w:lineRule="auto"/>
              <w:ind w:firstLine="420" w:firstLineChars="200"/>
              <w:rPr>
                <w:rFonts w:hint="eastAsia" w:ascii="Times New Roman" w:hAnsi="Times New Roman"/>
                <w:szCs w:val="22"/>
              </w:rPr>
            </w:pPr>
            <w:r>
              <w:rPr>
                <w:rFonts w:hint="eastAsia" w:ascii="Times New Roman" w:hAnsi="Times New Roman"/>
                <w:szCs w:val="22"/>
              </w:rPr>
              <w:t>（4）不提供，不得分</w:t>
            </w:r>
          </w:p>
        </w:tc>
      </w:tr>
      <w:tr w14:paraId="6C10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50" w:type="dxa"/>
            <w:vMerge w:val="continue"/>
            <w:noWrap w:val="0"/>
            <w:vAlign w:val="center"/>
          </w:tcPr>
          <w:p w14:paraId="03B11F67">
            <w:pPr>
              <w:spacing w:line="360" w:lineRule="auto"/>
              <w:jc w:val="center"/>
              <w:rPr>
                <w:rFonts w:hint="eastAsia" w:ascii="宋体" w:hAnsi="宋体"/>
                <w:szCs w:val="21"/>
              </w:rPr>
            </w:pPr>
          </w:p>
        </w:tc>
        <w:tc>
          <w:tcPr>
            <w:tcW w:w="1129" w:type="dxa"/>
            <w:vMerge w:val="continue"/>
            <w:noWrap w:val="0"/>
            <w:vAlign w:val="center"/>
          </w:tcPr>
          <w:p w14:paraId="26969AE4">
            <w:pPr>
              <w:spacing w:line="440" w:lineRule="atLeast"/>
              <w:jc w:val="center"/>
              <w:rPr>
                <w:rFonts w:hint="eastAsia" w:ascii="宋体" w:hAnsi="宋体"/>
                <w:b/>
                <w:szCs w:val="21"/>
              </w:rPr>
            </w:pPr>
          </w:p>
        </w:tc>
        <w:tc>
          <w:tcPr>
            <w:tcW w:w="1328" w:type="dxa"/>
            <w:noWrap w:val="0"/>
            <w:vAlign w:val="center"/>
          </w:tcPr>
          <w:p w14:paraId="2DEAEFFB">
            <w:pPr>
              <w:snapToGrid w:val="0"/>
              <w:spacing w:line="360" w:lineRule="auto"/>
              <w:jc w:val="left"/>
              <w:rPr>
                <w:rFonts w:hint="eastAsia" w:ascii="宋体" w:hAnsi="宋体"/>
                <w:b/>
              </w:rPr>
            </w:pPr>
            <w:r>
              <w:rPr>
                <w:rFonts w:hint="eastAsia" w:ascii="宋体" w:hAnsi="宋体"/>
                <w:b/>
              </w:rPr>
              <w:t>业绩</w:t>
            </w:r>
          </w:p>
          <w:p w14:paraId="3DD61CC5">
            <w:pPr>
              <w:snapToGrid w:val="0"/>
              <w:spacing w:line="360" w:lineRule="auto"/>
              <w:jc w:val="left"/>
              <w:rPr>
                <w:rFonts w:ascii="宋体" w:hAnsi="宋体" w:cs="宋体"/>
                <w:b/>
                <w:bCs/>
                <w:kern w:val="0"/>
                <w:szCs w:val="21"/>
              </w:rPr>
            </w:pPr>
            <w:r>
              <w:rPr>
                <w:rFonts w:hint="eastAsia" w:ascii="宋体" w:hAnsi="宋体"/>
                <w:b/>
              </w:rPr>
              <w:t>（2分）</w:t>
            </w:r>
          </w:p>
        </w:tc>
        <w:tc>
          <w:tcPr>
            <w:tcW w:w="6035" w:type="dxa"/>
            <w:gridSpan w:val="4"/>
            <w:noWrap w:val="0"/>
            <w:vAlign w:val="center"/>
          </w:tcPr>
          <w:p w14:paraId="1F835ED7">
            <w:pPr>
              <w:spacing w:line="360" w:lineRule="auto"/>
              <w:ind w:firstLine="420" w:firstLineChars="200"/>
              <w:rPr>
                <w:rFonts w:hint="eastAsia" w:ascii="Times New Roman" w:hAnsi="Times New Roman"/>
                <w:szCs w:val="21"/>
              </w:rPr>
            </w:pPr>
            <w:r>
              <w:rPr>
                <w:rFonts w:hint="eastAsia" w:ascii="Times New Roman" w:hAnsi="Times New Roman"/>
                <w:szCs w:val="21"/>
              </w:rPr>
              <w:t>根据投标单位提供的2023年1月1日以来(以合同签订时间为准)所投类似业绩，每提供1份类似业绩得1分，最多得2分；</w:t>
            </w:r>
          </w:p>
          <w:p w14:paraId="747A72EA">
            <w:pPr>
              <w:spacing w:line="360" w:lineRule="auto"/>
              <w:ind w:firstLine="420" w:firstLineChars="200"/>
              <w:rPr>
                <w:rFonts w:hint="eastAsia" w:ascii="Times New Roman" w:hAnsi="Times New Roman"/>
                <w:szCs w:val="21"/>
              </w:rPr>
            </w:pPr>
            <w:r>
              <w:rPr>
                <w:rFonts w:hint="eastAsia" w:ascii="Times New Roman" w:hAnsi="Times New Roman"/>
                <w:szCs w:val="21"/>
              </w:rPr>
              <w:t>注：须提供</w:t>
            </w:r>
            <w:r>
              <w:rPr>
                <w:rFonts w:hint="eastAsia" w:ascii="Times New Roman" w:hAnsi="Times New Roman"/>
                <w:szCs w:val="21"/>
                <w:lang w:val="zh-CN"/>
              </w:rPr>
              <w:t>合同复印件予以证明并加盖单位公章</w:t>
            </w:r>
            <w:r>
              <w:rPr>
                <w:rFonts w:hint="eastAsia" w:ascii="Times New Roman" w:hAnsi="Times New Roman"/>
                <w:szCs w:val="21"/>
              </w:rPr>
              <w:t>，未按要求提供的不得分。</w:t>
            </w:r>
          </w:p>
        </w:tc>
      </w:tr>
      <w:tr w14:paraId="45CC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50" w:type="dxa"/>
            <w:vMerge w:val="continue"/>
            <w:noWrap w:val="0"/>
            <w:vAlign w:val="center"/>
          </w:tcPr>
          <w:p w14:paraId="4066D13E">
            <w:pPr>
              <w:spacing w:line="360" w:lineRule="auto"/>
              <w:jc w:val="center"/>
              <w:rPr>
                <w:rFonts w:hint="eastAsia" w:ascii="宋体" w:hAnsi="宋体"/>
                <w:szCs w:val="21"/>
              </w:rPr>
            </w:pPr>
          </w:p>
        </w:tc>
        <w:tc>
          <w:tcPr>
            <w:tcW w:w="1129" w:type="dxa"/>
            <w:vMerge w:val="continue"/>
            <w:noWrap w:val="0"/>
            <w:vAlign w:val="center"/>
          </w:tcPr>
          <w:p w14:paraId="1385791A">
            <w:pPr>
              <w:spacing w:line="440" w:lineRule="atLeast"/>
              <w:jc w:val="center"/>
              <w:rPr>
                <w:rFonts w:hint="eastAsia" w:ascii="宋体" w:hAnsi="宋体"/>
                <w:b/>
                <w:szCs w:val="21"/>
              </w:rPr>
            </w:pPr>
          </w:p>
        </w:tc>
        <w:tc>
          <w:tcPr>
            <w:tcW w:w="1328" w:type="dxa"/>
            <w:noWrap w:val="0"/>
            <w:vAlign w:val="center"/>
          </w:tcPr>
          <w:p w14:paraId="131F869B">
            <w:pPr>
              <w:spacing w:line="276" w:lineRule="auto"/>
              <w:jc w:val="center"/>
              <w:rPr>
                <w:rFonts w:ascii="宋体" w:hAnsi="宋体" w:cs="宋体"/>
                <w:b/>
                <w:bCs/>
                <w:kern w:val="0"/>
                <w:szCs w:val="21"/>
              </w:rPr>
            </w:pPr>
            <w:r>
              <w:rPr>
                <w:rFonts w:hint="eastAsia" w:ascii="宋体" w:hAnsi="宋体" w:cs="宋体"/>
                <w:b/>
                <w:bCs/>
                <w:kern w:val="0"/>
                <w:szCs w:val="21"/>
              </w:rPr>
              <w:t>落实绿色产品（2分）</w:t>
            </w:r>
          </w:p>
        </w:tc>
        <w:tc>
          <w:tcPr>
            <w:tcW w:w="6035" w:type="dxa"/>
            <w:gridSpan w:val="4"/>
            <w:noWrap w:val="0"/>
            <w:vAlign w:val="center"/>
          </w:tcPr>
          <w:p w14:paraId="39A0D74D">
            <w:pPr>
              <w:spacing w:line="360" w:lineRule="auto"/>
              <w:ind w:firstLine="420" w:firstLineChars="200"/>
              <w:rPr>
                <w:rFonts w:hint="eastAsia" w:ascii="Times New Roman" w:hAnsi="Times New Roman"/>
                <w:szCs w:val="21"/>
              </w:rPr>
            </w:pPr>
            <w:r>
              <w:rPr>
                <w:rFonts w:hint="eastAsia" w:ascii="Times New Roman" w:hAnsi="Times New Roman"/>
                <w:szCs w:val="21"/>
              </w:rPr>
              <w:t>1、投标人所投货物在节能产品政府采购品目清单内的（强制采购产品除外），提供具有国家确定的认证机构出具的、处于有效期之内的节能产品认证证书原件扫描件的得1分，如没有不得分。</w:t>
            </w:r>
          </w:p>
          <w:p w14:paraId="788D327A">
            <w:pPr>
              <w:spacing w:line="360" w:lineRule="auto"/>
              <w:ind w:firstLine="420" w:firstLineChars="200"/>
              <w:rPr>
                <w:rFonts w:hint="eastAsia" w:ascii="Times New Roman" w:hAnsi="Times New Roman"/>
                <w:szCs w:val="22"/>
              </w:rPr>
            </w:pPr>
            <w:r>
              <w:rPr>
                <w:rFonts w:hint="eastAsia" w:ascii="Times New Roman" w:hAnsi="Times New Roman"/>
                <w:szCs w:val="21"/>
              </w:rPr>
              <w:t>2、投标人所投货物在环境标志产品品目清单内的，提供具有国家确定的认证机构出具的、处于有效期之内的环境标志产品认证证书原件扫描件的得1分，如没有不得分。</w:t>
            </w:r>
          </w:p>
        </w:tc>
      </w:tr>
      <w:tr w14:paraId="25E8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0" w:type="dxa"/>
            <w:vMerge w:val="continue"/>
            <w:noWrap w:val="0"/>
            <w:vAlign w:val="center"/>
          </w:tcPr>
          <w:p w14:paraId="6A014597">
            <w:pPr>
              <w:spacing w:line="360" w:lineRule="auto"/>
              <w:jc w:val="center"/>
              <w:rPr>
                <w:rFonts w:hint="eastAsia" w:ascii="宋体" w:hAnsi="宋体"/>
                <w:szCs w:val="21"/>
              </w:rPr>
            </w:pPr>
          </w:p>
        </w:tc>
        <w:tc>
          <w:tcPr>
            <w:tcW w:w="1129" w:type="dxa"/>
            <w:vMerge w:val="continue"/>
            <w:noWrap w:val="0"/>
            <w:vAlign w:val="center"/>
          </w:tcPr>
          <w:p w14:paraId="26570B3B">
            <w:pPr>
              <w:spacing w:line="440" w:lineRule="atLeast"/>
              <w:jc w:val="center"/>
              <w:rPr>
                <w:rFonts w:hint="eastAsia" w:ascii="宋体" w:hAnsi="宋体"/>
                <w:b/>
                <w:szCs w:val="21"/>
              </w:rPr>
            </w:pPr>
          </w:p>
        </w:tc>
        <w:tc>
          <w:tcPr>
            <w:tcW w:w="7363" w:type="dxa"/>
            <w:gridSpan w:val="5"/>
            <w:noWrap w:val="0"/>
            <w:vAlign w:val="center"/>
          </w:tcPr>
          <w:p w14:paraId="0A00D44F">
            <w:pPr>
              <w:spacing w:line="360" w:lineRule="auto"/>
              <w:rPr>
                <w:rFonts w:ascii="Times New Roman" w:hAnsi="Times New Roman"/>
                <w:szCs w:val="21"/>
              </w:rPr>
            </w:pPr>
            <w:r>
              <w:rPr>
                <w:rFonts w:hint="eastAsia" w:ascii="Times New Roman" w:hAnsi="Times New Roman"/>
                <w:szCs w:val="21"/>
              </w:rPr>
              <w:t>注：上述证明材料均需提供原件扫描件附于投标文件中。</w:t>
            </w:r>
          </w:p>
        </w:tc>
      </w:tr>
      <w:tr w14:paraId="302B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2" w:type="dxa"/>
            <w:gridSpan w:val="7"/>
            <w:noWrap w:val="0"/>
            <w:vAlign w:val="center"/>
          </w:tcPr>
          <w:p w14:paraId="436392F0">
            <w:pPr>
              <w:pStyle w:val="19"/>
              <w:spacing w:before="166" w:line="228" w:lineRule="auto"/>
              <w:ind w:left="103"/>
            </w:pPr>
            <w:r>
              <w:rPr>
                <w:b/>
                <w:bCs/>
                <w:spacing w:val="4"/>
              </w:rPr>
              <w:t>特别提醒：</w:t>
            </w:r>
          </w:p>
          <w:p w14:paraId="3CA862AD">
            <w:pPr>
              <w:pStyle w:val="19"/>
              <w:spacing w:before="113" w:line="297" w:lineRule="auto"/>
              <w:ind w:left="103" w:right="201" w:firstLine="5"/>
            </w:pPr>
            <w:r>
              <w:rPr>
                <w:rFonts w:ascii="Times New Roman" w:hAnsi="Times New Roman" w:eastAsia="Times New Roman" w:cs="Times New Roman"/>
                <w:b/>
                <w:bCs/>
                <w:spacing w:val="7"/>
              </w:rPr>
              <w:t>1</w:t>
            </w:r>
            <w:r>
              <w:rPr>
                <w:b/>
                <w:bCs/>
                <w:spacing w:val="7"/>
              </w:rPr>
              <w:t>、评标专家在技术文件评审时应先核对投标人的技术偏离表，偏离内容是否与投</w:t>
            </w:r>
            <w:r>
              <w:rPr>
                <w:b/>
                <w:bCs/>
                <w:spacing w:val="6"/>
              </w:rPr>
              <w:t>标人所附注册证或</w:t>
            </w:r>
            <w:r>
              <w:rPr>
                <w:b/>
                <w:bCs/>
                <w:spacing w:val="9"/>
              </w:rPr>
              <w:t>注册登记表或技术白皮书或检验报告等经国家权威部门认定或具有法律效力的技术证明文件中的参</w:t>
            </w:r>
            <w:r>
              <w:rPr>
                <w:b/>
                <w:bCs/>
                <w:spacing w:val="8"/>
              </w:rPr>
              <w:t>数内容一致，不一致出现弄虚作假行为的，则该投标人的全部技术部分分值为零。</w:t>
            </w:r>
          </w:p>
          <w:p w14:paraId="66D073E6">
            <w:pPr>
              <w:pStyle w:val="19"/>
              <w:spacing w:before="113" w:line="315" w:lineRule="auto"/>
              <w:ind w:left="103" w:right="201" w:hanging="3"/>
            </w:pPr>
            <w:r>
              <w:rPr>
                <w:rFonts w:ascii="Times New Roman" w:hAnsi="Times New Roman" w:eastAsia="Times New Roman" w:cs="Times New Roman"/>
                <w:b/>
                <w:bCs/>
                <w:spacing w:val="7"/>
              </w:rPr>
              <w:t>2</w:t>
            </w:r>
            <w:r>
              <w:rPr>
                <w:rFonts w:ascii="Times New Roman" w:hAnsi="Times New Roman" w:eastAsia="Times New Roman" w:cs="Times New Roman"/>
                <w:b/>
                <w:bCs/>
                <w:spacing w:val="-26"/>
              </w:rPr>
              <w:t xml:space="preserve"> </w:t>
            </w:r>
            <w:r>
              <w:rPr>
                <w:b/>
                <w:bCs/>
                <w:spacing w:val="7"/>
              </w:rPr>
              <w:t>、各投标人须仔细对照本文件技术部分要求填</w:t>
            </w:r>
            <w:r>
              <w:rPr>
                <w:b/>
                <w:bCs/>
                <w:spacing w:val="6"/>
              </w:rPr>
              <w:t>写技术偏离表，严禁虚假描述、虚假承诺，凡现场发</w:t>
            </w:r>
            <w:r>
              <w:rPr>
                <w:b/>
                <w:bCs/>
                <w:spacing w:val="9"/>
              </w:rPr>
              <w:t>现并核实属虚假承诺、虚假描述的该技术部分总得分按零分处理，公示期内拟中标公司如被举证虚假承诺、虚假描述的，经核证属实的，采购人可以按照评标委员会提出的中标候选人名单排序确定其他中标候选人为中标人，也可以重新招标。涉及虚假承诺、虚假描述的投标人，将承担因此造成的一切责任及后果，包括但不仅限于赔偿所有经济损失、纳入黑名单三年内不得参与业主单位所有</w:t>
            </w:r>
            <w:r>
              <w:rPr>
                <w:b/>
                <w:bCs/>
                <w:spacing w:val="6"/>
              </w:rPr>
              <w:t>项目投标等后续处罚。</w:t>
            </w:r>
          </w:p>
          <w:p w14:paraId="2F822A3C">
            <w:pPr>
              <w:spacing w:line="360" w:lineRule="auto"/>
              <w:rPr>
                <w:rFonts w:hint="eastAsia" w:ascii="Times New Roman" w:hAnsi="Times New Roman"/>
                <w:szCs w:val="21"/>
              </w:rPr>
            </w:pPr>
            <w:r>
              <w:rPr>
                <w:rFonts w:ascii="Times New Roman" w:hAnsi="Times New Roman" w:eastAsia="Times New Roman"/>
                <w:b/>
                <w:bCs/>
                <w:spacing w:val="8"/>
              </w:rPr>
              <w:t>3</w:t>
            </w:r>
            <w:r>
              <w:rPr>
                <w:rFonts w:ascii="Times New Roman" w:hAnsi="Times New Roman" w:eastAsia="Times New Roman"/>
                <w:b/>
                <w:bCs/>
                <w:spacing w:val="-26"/>
              </w:rPr>
              <w:t xml:space="preserve"> </w:t>
            </w:r>
            <w:r>
              <w:rPr>
                <w:b/>
                <w:bCs/>
                <w:spacing w:val="8"/>
              </w:rPr>
              <w:t>、本项目所涉及到的各种证明材料、业绩等须在投标文件中提供证明文件扫描件，因证</w:t>
            </w:r>
            <w:r>
              <w:rPr>
                <w:b/>
                <w:bCs/>
                <w:spacing w:val="7"/>
              </w:rPr>
              <w:t>明材料不清晰造成的后果，投标人自负。任何时候若发现弄虚作假者，将取消投标或中标资格并</w:t>
            </w:r>
            <w:r>
              <w:rPr>
                <w:b/>
                <w:bCs/>
                <w:spacing w:val="6"/>
              </w:rPr>
              <w:t>保留随时追</w:t>
            </w:r>
            <w:r>
              <w:rPr>
                <w:b/>
                <w:bCs/>
                <w:spacing w:val="7"/>
              </w:rPr>
              <w:t>究其相应经济和法律责任的权利。</w:t>
            </w:r>
          </w:p>
        </w:tc>
      </w:tr>
    </w:tbl>
    <w:p w14:paraId="28F8A847">
      <w:pPr>
        <w:rPr>
          <w:rFonts w:hint="eastAsia" w:ascii="Arial" w:hAnsi="Arial" w:eastAsia="黑体"/>
          <w:bCs/>
          <w:kern w:val="0"/>
          <w:sz w:val="32"/>
          <w:szCs w:val="20"/>
        </w:rPr>
      </w:pPr>
      <w:r>
        <w:rPr>
          <w:rFonts w:hint="eastAsia" w:ascii="Arial" w:hAnsi="Arial" w:eastAsia="黑体"/>
          <w:bCs/>
          <w:kern w:val="0"/>
          <w:sz w:val="32"/>
          <w:szCs w:val="20"/>
        </w:rPr>
        <w:br w:type="page"/>
      </w:r>
    </w:p>
    <w:p w14:paraId="0047919D">
      <w:pPr>
        <w:keepNext/>
        <w:keepLines/>
        <w:spacing w:line="360" w:lineRule="auto"/>
        <w:jc w:val="center"/>
        <w:outlineLvl w:val="1"/>
        <w:rPr>
          <w:rFonts w:hint="eastAsia" w:ascii="Arial" w:hAnsi="Arial" w:eastAsia="黑体"/>
          <w:b/>
          <w:bCs/>
          <w:kern w:val="0"/>
          <w:sz w:val="24"/>
          <w:highlight w:val="yellow"/>
        </w:rPr>
      </w:pPr>
      <w:r>
        <w:rPr>
          <w:rFonts w:hint="eastAsia" w:ascii="Arial" w:hAnsi="Arial" w:eastAsia="黑体"/>
          <w:bCs/>
          <w:kern w:val="0"/>
          <w:sz w:val="32"/>
          <w:szCs w:val="20"/>
        </w:rPr>
        <w:t>第四章</w:t>
      </w:r>
      <w:r>
        <w:rPr>
          <w:rFonts w:ascii="Arial" w:hAnsi="Arial" w:eastAsia="黑体"/>
          <w:bCs/>
          <w:kern w:val="0"/>
          <w:sz w:val="32"/>
          <w:szCs w:val="20"/>
        </w:rPr>
        <w:t xml:space="preserve">  </w:t>
      </w:r>
      <w:r>
        <w:rPr>
          <w:rFonts w:hint="eastAsia" w:ascii="Arial" w:hAnsi="Arial" w:eastAsia="黑体"/>
          <w:bCs/>
          <w:kern w:val="0"/>
          <w:sz w:val="32"/>
          <w:szCs w:val="20"/>
        </w:rPr>
        <w:t>采购内容及要求</w:t>
      </w:r>
      <w:bookmarkEnd w:id="11"/>
    </w:p>
    <w:tbl>
      <w:tblPr>
        <w:tblStyle w:val="14"/>
        <w:tblW w:w="9577"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3"/>
        <w:gridCol w:w="1539"/>
        <w:gridCol w:w="5675"/>
        <w:gridCol w:w="703"/>
        <w:gridCol w:w="877"/>
      </w:tblGrid>
      <w:tr w14:paraId="5B7A4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77" w:type="dxa"/>
            <w:gridSpan w:val="5"/>
            <w:tcBorders>
              <w:bottom w:val="single" w:color="000000" w:sz="4" w:space="0"/>
            </w:tcBorders>
            <w:noWrap w:val="0"/>
            <w:vAlign w:val="center"/>
          </w:tcPr>
          <w:p w14:paraId="3B5B0374">
            <w:pPr>
              <w:widowControl/>
              <w:textAlignment w:val="center"/>
              <w:rPr>
                <w:rFonts w:hint="eastAsia"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t>一、核医学科设施配套及设备</w:t>
            </w:r>
          </w:p>
        </w:tc>
      </w:tr>
      <w:tr w14:paraId="483DC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3" w:type="dxa"/>
            <w:tcBorders>
              <w:bottom w:val="single" w:color="000000" w:sz="4" w:space="0"/>
              <w:right w:val="single" w:color="auto" w:sz="4" w:space="0"/>
            </w:tcBorders>
            <w:noWrap w:val="0"/>
            <w:vAlign w:val="center"/>
          </w:tcPr>
          <w:p w14:paraId="3D009658">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1539" w:type="dxa"/>
            <w:tcBorders>
              <w:left w:val="single" w:color="auto" w:sz="4" w:space="0"/>
              <w:bottom w:val="single" w:color="auto" w:sz="4" w:space="0"/>
              <w:right w:val="single" w:color="000000" w:sz="4" w:space="0"/>
            </w:tcBorders>
            <w:noWrap w:val="0"/>
            <w:vAlign w:val="center"/>
          </w:tcPr>
          <w:p w14:paraId="5E45AC0F">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项目名称</w:t>
            </w:r>
          </w:p>
        </w:tc>
        <w:tc>
          <w:tcPr>
            <w:tcW w:w="5675" w:type="dxa"/>
            <w:tcBorders>
              <w:left w:val="single" w:color="000000" w:sz="4" w:space="0"/>
              <w:bottom w:val="single" w:color="auto" w:sz="4" w:space="0"/>
              <w:right w:val="single" w:color="000000" w:sz="4" w:space="0"/>
            </w:tcBorders>
            <w:noWrap w:val="0"/>
            <w:vAlign w:val="center"/>
          </w:tcPr>
          <w:p w14:paraId="39FDD8FB">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规格型号/技术参数</w:t>
            </w:r>
          </w:p>
        </w:tc>
        <w:tc>
          <w:tcPr>
            <w:tcW w:w="703" w:type="dxa"/>
            <w:tcBorders>
              <w:left w:val="single" w:color="000000" w:sz="4" w:space="0"/>
              <w:bottom w:val="single" w:color="auto" w:sz="4" w:space="0"/>
              <w:right w:val="single" w:color="000000" w:sz="4" w:space="0"/>
            </w:tcBorders>
            <w:noWrap w:val="0"/>
            <w:vAlign w:val="center"/>
          </w:tcPr>
          <w:p w14:paraId="630DA517">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单位</w:t>
            </w:r>
          </w:p>
        </w:tc>
        <w:tc>
          <w:tcPr>
            <w:tcW w:w="877" w:type="dxa"/>
            <w:tcBorders>
              <w:left w:val="single" w:color="000000" w:sz="4" w:space="0"/>
              <w:bottom w:val="single" w:color="auto" w:sz="4" w:space="0"/>
            </w:tcBorders>
            <w:noWrap w:val="0"/>
            <w:vAlign w:val="center"/>
          </w:tcPr>
          <w:p w14:paraId="0F6C6DC4">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数量</w:t>
            </w:r>
          </w:p>
        </w:tc>
      </w:tr>
      <w:tr w14:paraId="7EF1F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783" w:type="dxa"/>
            <w:tcBorders>
              <w:top w:val="single" w:color="000000" w:sz="4" w:space="0"/>
              <w:bottom w:val="single" w:color="000000" w:sz="4" w:space="0"/>
              <w:right w:val="single" w:color="000000" w:sz="4" w:space="0"/>
            </w:tcBorders>
            <w:noWrap w:val="0"/>
            <w:vAlign w:val="center"/>
          </w:tcPr>
          <w:p w14:paraId="545E233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539" w:type="dxa"/>
            <w:tcBorders>
              <w:top w:val="single" w:color="auto" w:sz="4" w:space="0"/>
              <w:left w:val="single" w:color="000000" w:sz="4" w:space="0"/>
              <w:bottom w:val="single" w:color="000000" w:sz="4" w:space="0"/>
              <w:right w:val="single" w:color="000000" w:sz="4" w:space="0"/>
            </w:tcBorders>
            <w:noWrap w:val="0"/>
            <w:vAlign w:val="center"/>
          </w:tcPr>
          <w:p w14:paraId="7BB729C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锝99分装手套箱</w:t>
            </w:r>
          </w:p>
        </w:tc>
        <w:tc>
          <w:tcPr>
            <w:tcW w:w="5675" w:type="dxa"/>
            <w:tcBorders>
              <w:top w:val="single" w:color="auto" w:sz="4" w:space="0"/>
              <w:left w:val="single" w:color="000000" w:sz="4" w:space="0"/>
              <w:bottom w:val="single" w:color="000000" w:sz="4" w:space="0"/>
              <w:right w:val="single" w:color="000000" w:sz="4" w:space="0"/>
            </w:tcBorders>
            <w:noWrap w:val="0"/>
            <w:vAlign w:val="center"/>
          </w:tcPr>
          <w:p w14:paraId="2BDFD8A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1.锝99分装手套箱</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2.规格:1200×750×2100㎜</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3.防护层采用国标1#纯铅制作的燕尾槽铅砖，铅砖或铅板厚度≥20mm；（提供铅砖或铅板图片，厚度可叠加满足20mm厚度）</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4.柜体前面设有同柜体防护能力相当的ZF7型铅玻璃观察窗300×260mm</w:t>
            </w:r>
          </w:p>
        </w:tc>
        <w:tc>
          <w:tcPr>
            <w:tcW w:w="703" w:type="dxa"/>
            <w:tcBorders>
              <w:top w:val="single" w:color="auto" w:sz="4" w:space="0"/>
              <w:left w:val="single" w:color="000000" w:sz="4" w:space="0"/>
              <w:bottom w:val="single" w:color="000000" w:sz="4" w:space="0"/>
              <w:right w:val="single" w:color="000000" w:sz="4" w:space="0"/>
            </w:tcBorders>
            <w:noWrap w:val="0"/>
            <w:vAlign w:val="center"/>
          </w:tcPr>
          <w:p w14:paraId="4B8D18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auto" w:sz="4" w:space="0"/>
              <w:left w:val="single" w:color="000000" w:sz="4" w:space="0"/>
              <w:bottom w:val="single" w:color="000000" w:sz="4" w:space="0"/>
            </w:tcBorders>
            <w:noWrap w:val="0"/>
            <w:vAlign w:val="center"/>
          </w:tcPr>
          <w:p w14:paraId="2F10D78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w:t>
            </w:r>
          </w:p>
        </w:tc>
      </w:tr>
      <w:tr w14:paraId="60B62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783" w:type="dxa"/>
            <w:tcBorders>
              <w:top w:val="single" w:color="000000" w:sz="4" w:space="0"/>
              <w:bottom w:val="single" w:color="000000" w:sz="4" w:space="0"/>
              <w:right w:val="single" w:color="000000" w:sz="4" w:space="0"/>
            </w:tcBorders>
            <w:noWrap w:val="0"/>
            <w:vAlign w:val="center"/>
          </w:tcPr>
          <w:p w14:paraId="7E6C6E9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2EF41C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131I分装手套箱</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37F89CE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1.131I分装手套箱</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2.规格:1200×750×2100㎜</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3.防护层采用国标1#纯铅制作的燕尾槽铅砖，铅砖或铅板厚度≥40mm；（提供铅砖或铅板图片，厚度可叠加满足20mm厚度）</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4.柜体前面设有同柜体防护能力相当的ZF7型铅玻璃观察窗300×260mm</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2C1ECD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038B5A3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w:t>
            </w:r>
          </w:p>
        </w:tc>
      </w:tr>
      <w:tr w14:paraId="59A51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83" w:type="dxa"/>
            <w:tcBorders>
              <w:top w:val="single" w:color="000000" w:sz="4" w:space="0"/>
              <w:bottom w:val="single" w:color="000000" w:sz="4" w:space="0"/>
              <w:right w:val="single" w:color="000000" w:sz="4" w:space="0"/>
            </w:tcBorders>
            <w:noWrap w:val="0"/>
            <w:vAlign w:val="center"/>
          </w:tcPr>
          <w:p w14:paraId="4F1F645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2CFF7A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废气过滤装置</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590DD9A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1.废气过滤装置</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a)铅当量≥30mmpb，国标1#铅，纯度≥99.994%（b)整体采用≥3mm以上的SUS304不锈钢板加工制作（c)前进后出排气方式（d)椰壳烧制的活性炭制作的可更换金属滤芯（e)内部防护层采用≥30mm厚燕尾槽铅砖砌筑（f)整体密封处理</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0E4908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4FC4108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5.00</w:t>
            </w:r>
          </w:p>
        </w:tc>
      </w:tr>
      <w:tr w14:paraId="56CCF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783" w:type="dxa"/>
            <w:tcBorders>
              <w:top w:val="single" w:color="000000" w:sz="4" w:space="0"/>
              <w:bottom w:val="single" w:color="000000" w:sz="4" w:space="0"/>
              <w:right w:val="single" w:color="000000" w:sz="4" w:space="0"/>
            </w:tcBorders>
            <w:noWrap w:val="0"/>
            <w:vAlign w:val="center"/>
          </w:tcPr>
          <w:p w14:paraId="01F3FBF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7653831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木质门</w:t>
            </w:r>
          </w:p>
        </w:tc>
        <w:tc>
          <w:tcPr>
            <w:tcW w:w="5675" w:type="dxa"/>
            <w:tcBorders>
              <w:top w:val="single" w:color="000000" w:sz="4" w:space="0"/>
              <w:left w:val="single" w:color="000000" w:sz="4" w:space="0"/>
              <w:bottom w:val="single" w:color="000000" w:sz="4" w:space="0"/>
              <w:right w:val="nil"/>
            </w:tcBorders>
            <w:noWrap w:val="0"/>
            <w:vAlign w:val="center"/>
          </w:tcPr>
          <w:p w14:paraId="63D3578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1.类型:实木复合门</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2.包含门锁及五金配件</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3.含门框包套，颜色材质与门体相同</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2B8A9B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m2</w:t>
            </w:r>
          </w:p>
        </w:tc>
        <w:tc>
          <w:tcPr>
            <w:tcW w:w="877" w:type="dxa"/>
            <w:tcBorders>
              <w:top w:val="single" w:color="000000" w:sz="4" w:space="0"/>
              <w:left w:val="single" w:color="000000" w:sz="4" w:space="0"/>
              <w:bottom w:val="single" w:color="000000" w:sz="4" w:space="0"/>
            </w:tcBorders>
            <w:noWrap w:val="0"/>
            <w:vAlign w:val="center"/>
          </w:tcPr>
          <w:p w14:paraId="3D63244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74.64 </w:t>
            </w:r>
          </w:p>
        </w:tc>
      </w:tr>
      <w:tr w14:paraId="55BC0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783" w:type="dxa"/>
            <w:tcBorders>
              <w:top w:val="single" w:color="000000" w:sz="4" w:space="0"/>
              <w:bottom w:val="single" w:color="000000" w:sz="4" w:space="0"/>
              <w:right w:val="single" w:color="000000" w:sz="4" w:space="0"/>
            </w:tcBorders>
            <w:noWrap w:val="0"/>
            <w:vAlign w:val="center"/>
          </w:tcPr>
          <w:p w14:paraId="33BF875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8B0D45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钢制防火门</w:t>
            </w:r>
          </w:p>
        </w:tc>
        <w:tc>
          <w:tcPr>
            <w:tcW w:w="5675" w:type="dxa"/>
            <w:tcBorders>
              <w:top w:val="single" w:color="000000" w:sz="4" w:space="0"/>
              <w:left w:val="single" w:color="000000" w:sz="4" w:space="0"/>
              <w:bottom w:val="single" w:color="000000" w:sz="4" w:space="0"/>
              <w:right w:val="nil"/>
            </w:tcBorders>
            <w:noWrap w:val="0"/>
            <w:vAlign w:val="center"/>
          </w:tcPr>
          <w:p w14:paraId="4BF076F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1.类型:钢制甲级防火门</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2.包含门锁及五金配件</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3.含门框包套，颜色材质与门体相同</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274D68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m2</w:t>
            </w:r>
          </w:p>
        </w:tc>
        <w:tc>
          <w:tcPr>
            <w:tcW w:w="877" w:type="dxa"/>
            <w:tcBorders>
              <w:top w:val="single" w:color="000000" w:sz="4" w:space="0"/>
              <w:left w:val="single" w:color="000000" w:sz="4" w:space="0"/>
              <w:bottom w:val="single" w:color="000000" w:sz="4" w:space="0"/>
            </w:tcBorders>
            <w:noWrap w:val="0"/>
            <w:vAlign w:val="center"/>
          </w:tcPr>
          <w:p w14:paraId="2A680D6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19.32 </w:t>
            </w:r>
          </w:p>
        </w:tc>
      </w:tr>
      <w:tr w14:paraId="5281A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5" w:hRule="atLeast"/>
        </w:trPr>
        <w:tc>
          <w:tcPr>
            <w:tcW w:w="783" w:type="dxa"/>
            <w:tcBorders>
              <w:top w:val="single" w:color="000000" w:sz="4" w:space="0"/>
              <w:bottom w:val="single" w:color="000000" w:sz="4" w:space="0"/>
              <w:right w:val="single" w:color="000000" w:sz="4" w:space="0"/>
            </w:tcBorders>
            <w:noWrap w:val="0"/>
            <w:vAlign w:val="center"/>
          </w:tcPr>
          <w:p w14:paraId="52B5286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406283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医用射线防护门</w:t>
            </w:r>
          </w:p>
        </w:tc>
        <w:tc>
          <w:tcPr>
            <w:tcW w:w="5675" w:type="dxa"/>
            <w:tcBorders>
              <w:top w:val="single" w:color="000000" w:sz="4" w:space="0"/>
              <w:left w:val="single" w:color="000000" w:sz="4" w:space="0"/>
              <w:bottom w:val="single" w:color="000000" w:sz="4" w:space="0"/>
              <w:right w:val="nil"/>
            </w:tcBorders>
            <w:noWrap w:val="0"/>
            <w:vAlign w:val="center"/>
          </w:tcPr>
          <w:p w14:paraId="55D3FC81">
            <w:pPr>
              <w:widowControl/>
              <w:jc w:val="left"/>
              <w:textAlignment w:val="center"/>
              <w:rPr>
                <w:rFonts w:hint="eastAsia" w:ascii="宋体" w:hAnsi="宋体" w:cs="宋体"/>
                <w:color w:val="000000"/>
                <w:sz w:val="24"/>
                <w:highlight w:val="none"/>
              </w:rPr>
            </w:pPr>
            <w:r>
              <w:rPr>
                <w:rStyle w:val="17"/>
                <w:sz w:val="24"/>
                <w:szCs w:val="24"/>
                <w:highlight w:val="none"/>
                <w:lang w:bidi="ar"/>
              </w:rPr>
              <w:t>1.产品名称:医用射线防护门及防护门套</w:t>
            </w:r>
            <w:r>
              <w:rPr>
                <w:rStyle w:val="17"/>
                <w:sz w:val="24"/>
                <w:szCs w:val="24"/>
                <w:highlight w:val="none"/>
                <w:lang w:bidi="ar"/>
              </w:rPr>
              <w:br w:type="textWrapping"/>
            </w:r>
            <w:r>
              <w:rPr>
                <w:rStyle w:val="17"/>
                <w:sz w:val="24"/>
                <w:szCs w:val="24"/>
                <w:highlight w:val="none"/>
                <w:lang w:bidi="ar"/>
              </w:rPr>
              <w:t>2.防护门套材质:Z字型铅板防护,9mm阻燃板+铅板(同门体厚度)+胶+外扣喷塑门套，门体材质钢制喷塑</w:t>
            </w:r>
            <w:r>
              <w:rPr>
                <w:rStyle w:val="17"/>
                <w:sz w:val="24"/>
                <w:szCs w:val="24"/>
                <w:highlight w:val="none"/>
                <w:lang w:bidi="ar"/>
              </w:rPr>
              <w:br w:type="textWrapping"/>
            </w:r>
            <w:r>
              <w:rPr>
                <w:rStyle w:val="17"/>
                <w:sz w:val="24"/>
                <w:szCs w:val="24"/>
                <w:highlight w:val="none"/>
                <w:lang w:bidi="ar"/>
              </w:rPr>
              <w:t>3.防护等级:满足控评及环评放射性检测要求，平均10mmpb；（提供</w:t>
            </w:r>
            <w:r>
              <w:rPr>
                <w:rStyle w:val="17"/>
                <w:sz w:val="24"/>
                <w:szCs w:val="24"/>
                <w:highlight w:val="none"/>
                <w:lang w:bidi="ar"/>
              </w:rPr>
              <w:t>厂家铅板检测报告，样本厚度1mm-3mm均可）</w:t>
            </w:r>
            <w:r>
              <w:rPr>
                <w:rStyle w:val="17"/>
                <w:sz w:val="24"/>
                <w:szCs w:val="24"/>
                <w:highlight w:val="none"/>
                <w:lang w:bidi="ar"/>
              </w:rPr>
              <w:br w:type="textWrapping"/>
            </w:r>
            <w:r>
              <w:rPr>
                <w:rStyle w:val="17"/>
                <w:sz w:val="24"/>
                <w:szCs w:val="24"/>
                <w:highlight w:val="none"/>
                <w:lang w:bidi="ar"/>
              </w:rPr>
              <w:t>4.开启方式:推拉门均为电动，质保5年</w:t>
            </w:r>
            <w:r>
              <w:rPr>
                <w:rStyle w:val="17"/>
                <w:sz w:val="24"/>
                <w:szCs w:val="24"/>
                <w:highlight w:val="none"/>
                <w:lang w:bidi="ar"/>
              </w:rPr>
              <w:br w:type="textWrapping"/>
            </w:r>
            <w:r>
              <w:rPr>
                <w:rStyle w:val="17"/>
                <w:sz w:val="24"/>
                <w:szCs w:val="24"/>
                <w:highlight w:val="none"/>
                <w:lang w:bidi="ar"/>
              </w:rPr>
              <w:t>5.平均门体面积：3.2m</w:t>
            </w:r>
            <w:r>
              <w:rPr>
                <w:rStyle w:val="18"/>
                <w:sz w:val="24"/>
                <w:szCs w:val="24"/>
                <w:highlight w:val="none"/>
                <w:lang w:bidi="ar"/>
              </w:rPr>
              <w:t>2</w:t>
            </w:r>
            <w:r>
              <w:rPr>
                <w:rStyle w:val="17"/>
                <w:sz w:val="24"/>
                <w:szCs w:val="24"/>
                <w:highlight w:val="none"/>
                <w:lang w:bidi="ar"/>
              </w:rPr>
              <w:t>，平均防护门套长度：5.2延米</w:t>
            </w:r>
            <w:r>
              <w:rPr>
                <w:rStyle w:val="17"/>
                <w:sz w:val="24"/>
                <w:szCs w:val="24"/>
                <w:highlight w:val="none"/>
                <w:lang w:bidi="ar"/>
              </w:rPr>
              <w:br w:type="textWrapping"/>
            </w:r>
            <w:r>
              <w:rPr>
                <w:rStyle w:val="17"/>
                <w:sz w:val="24"/>
                <w:szCs w:val="24"/>
                <w:highlight w:val="none"/>
                <w:lang w:bidi="ar"/>
              </w:rPr>
              <w:t>6.含行程开关指示灯、内扣手、防辐射标识</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3E269C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樘</w:t>
            </w:r>
          </w:p>
        </w:tc>
        <w:tc>
          <w:tcPr>
            <w:tcW w:w="877" w:type="dxa"/>
            <w:tcBorders>
              <w:top w:val="single" w:color="000000" w:sz="4" w:space="0"/>
              <w:left w:val="single" w:color="000000" w:sz="4" w:space="0"/>
              <w:bottom w:val="single" w:color="000000" w:sz="4" w:space="0"/>
            </w:tcBorders>
            <w:noWrap w:val="0"/>
            <w:vAlign w:val="center"/>
          </w:tcPr>
          <w:p w14:paraId="3D809B2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36.00 </w:t>
            </w:r>
          </w:p>
        </w:tc>
      </w:tr>
      <w:tr w14:paraId="2F100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83" w:type="dxa"/>
            <w:tcBorders>
              <w:top w:val="single" w:color="000000" w:sz="4" w:space="0"/>
              <w:bottom w:val="single" w:color="000000" w:sz="4" w:space="0"/>
              <w:right w:val="single" w:color="000000" w:sz="4" w:space="0"/>
            </w:tcBorders>
            <w:noWrap w:val="0"/>
            <w:vAlign w:val="center"/>
          </w:tcPr>
          <w:p w14:paraId="7BF563F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732C78D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医用射线防护观察窗</w:t>
            </w:r>
          </w:p>
        </w:tc>
        <w:tc>
          <w:tcPr>
            <w:tcW w:w="5675" w:type="dxa"/>
            <w:tcBorders>
              <w:top w:val="single" w:color="000000" w:sz="4" w:space="0"/>
              <w:left w:val="single" w:color="000000" w:sz="4" w:space="0"/>
              <w:bottom w:val="single" w:color="000000" w:sz="4" w:space="0"/>
              <w:right w:val="nil"/>
            </w:tcBorders>
            <w:noWrap w:val="0"/>
            <w:vAlign w:val="center"/>
          </w:tcPr>
          <w:p w14:paraId="26BEDF2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1.产品名称:医用射线防护观察窗及防护窗套</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2.防护窗套材质:Z字型铅板防护,9mm阻燃板+铅板+胶+外扣喷塑门套，窗体材质：ZF3铅玻璃，</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3.防护等级:满足控评及环评放射性检测要求，平均8mmpb；（提供厂家铅玻璃板检测报告，样本厚度10mm-30mm均可）</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4.开启方式:手动推拉</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5.平均窗体面积：1.35m2，平均防护门套长度：4.8延米</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DA96B9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877" w:type="dxa"/>
            <w:tcBorders>
              <w:top w:val="single" w:color="000000" w:sz="4" w:space="0"/>
              <w:left w:val="single" w:color="000000" w:sz="4" w:space="0"/>
              <w:bottom w:val="single" w:color="000000" w:sz="4" w:space="0"/>
            </w:tcBorders>
            <w:noWrap w:val="0"/>
            <w:vAlign w:val="center"/>
          </w:tcPr>
          <w:p w14:paraId="28808BB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4.00 </w:t>
            </w:r>
          </w:p>
        </w:tc>
      </w:tr>
      <w:tr w14:paraId="26137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783" w:type="dxa"/>
            <w:tcBorders>
              <w:top w:val="single" w:color="000000" w:sz="4" w:space="0"/>
              <w:bottom w:val="single" w:color="000000" w:sz="4" w:space="0"/>
              <w:right w:val="single" w:color="000000" w:sz="4" w:space="0"/>
            </w:tcBorders>
            <w:noWrap w:val="0"/>
            <w:vAlign w:val="center"/>
          </w:tcPr>
          <w:p w14:paraId="4824B4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2BF407C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一体化注射防护平台（20mmpb）</w:t>
            </w:r>
          </w:p>
        </w:tc>
        <w:tc>
          <w:tcPr>
            <w:tcW w:w="5675" w:type="dxa"/>
            <w:tcBorders>
              <w:top w:val="single" w:color="000000" w:sz="4" w:space="0"/>
              <w:left w:val="single" w:color="000000" w:sz="4" w:space="0"/>
              <w:bottom w:val="single" w:color="000000" w:sz="4" w:space="0"/>
              <w:right w:val="nil"/>
            </w:tcBorders>
            <w:noWrap w:val="0"/>
            <w:vAlign w:val="center"/>
          </w:tcPr>
          <w:p w14:paraId="02A24D5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1.防护等级20mmpb；（提供铅砖或铅板图片，厚度可叠加满足20mm厚度）</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2.在注药或给药时对医务人员进行防护；</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3.含缝隙防护，能通过控评及环评放射性检测；</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4.缝隙防护等级：20mmpb</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5.外饰面材质：SUS316不锈钢；</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6.伸手孔密闭性好，避免射线泄露；</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7.耐用性好，避免使用中频繁维修。</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A42AB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1B598B9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5B14A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83" w:type="dxa"/>
            <w:tcBorders>
              <w:top w:val="single" w:color="000000" w:sz="4" w:space="0"/>
              <w:bottom w:val="single" w:color="000000" w:sz="4" w:space="0"/>
              <w:right w:val="single" w:color="000000" w:sz="4" w:space="0"/>
            </w:tcBorders>
            <w:noWrap w:val="0"/>
            <w:vAlign w:val="center"/>
          </w:tcPr>
          <w:p w14:paraId="42A64A9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03E76E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一体化嵌入式碘给药窗（40mmpb）</w:t>
            </w:r>
          </w:p>
        </w:tc>
        <w:tc>
          <w:tcPr>
            <w:tcW w:w="5675" w:type="dxa"/>
            <w:tcBorders>
              <w:top w:val="single" w:color="000000" w:sz="4" w:space="0"/>
              <w:left w:val="single" w:color="000000" w:sz="4" w:space="0"/>
              <w:bottom w:val="single" w:color="000000" w:sz="4" w:space="0"/>
              <w:right w:val="nil"/>
            </w:tcBorders>
            <w:noWrap w:val="0"/>
            <w:vAlign w:val="center"/>
          </w:tcPr>
          <w:p w14:paraId="2F01E19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1.防护等级40mmpb；（提供铅砖或铅板图片，厚度可叠加满足40mm厚度）</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2.在注药或给药时对医务人员进行防护；</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3.含缝隙防护，能通过控评及环评放射性检测；</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4.缝隙防护等级：40mmpb</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5.外饰面材质：SUS316不锈钢；</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6.伸手孔密闭性好，避免射线泄露；</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7.包含自动传药机械装置；</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8.耐用性好，避免使用中频繁维修。</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35026F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63C826D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106EC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1" w:hRule="atLeast"/>
        </w:trPr>
        <w:tc>
          <w:tcPr>
            <w:tcW w:w="783" w:type="dxa"/>
            <w:tcBorders>
              <w:top w:val="single" w:color="000000" w:sz="4" w:space="0"/>
              <w:bottom w:val="single" w:color="000000" w:sz="4" w:space="0"/>
              <w:right w:val="single" w:color="000000" w:sz="4" w:space="0"/>
            </w:tcBorders>
            <w:noWrap w:val="0"/>
            <w:vAlign w:val="center"/>
          </w:tcPr>
          <w:p w14:paraId="0DC591C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0956A1E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一体化注射防护平台（50mmpb）</w:t>
            </w:r>
          </w:p>
        </w:tc>
        <w:tc>
          <w:tcPr>
            <w:tcW w:w="5675" w:type="dxa"/>
            <w:tcBorders>
              <w:top w:val="single" w:color="000000" w:sz="4" w:space="0"/>
              <w:left w:val="single" w:color="000000" w:sz="4" w:space="0"/>
              <w:bottom w:val="single" w:color="000000" w:sz="4" w:space="0"/>
              <w:right w:val="nil"/>
            </w:tcBorders>
            <w:noWrap w:val="0"/>
            <w:vAlign w:val="center"/>
          </w:tcPr>
          <w:p w14:paraId="2EDEA29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1.防护等级50mmpb；（提供铅砖或铅板图片，厚度可叠加满足50mm厚度）</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2.在注药或给药时对医务人员进行防护；</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3.含缝隙防护，能通过控评及环评放射性检测；</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4.缝隙防护等级：50mmpb</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5.外饰面材质：SUS316不锈钢；</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6.伸手孔密闭性好，避免射线泄露；</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7.耐用性好，避免使用中频繁维修。</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B6712D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141045F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10400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3" w:type="dxa"/>
            <w:tcBorders>
              <w:top w:val="single" w:color="000000" w:sz="4" w:space="0"/>
              <w:bottom w:val="single" w:color="000000" w:sz="4" w:space="0"/>
              <w:right w:val="single" w:color="000000" w:sz="4" w:space="0"/>
            </w:tcBorders>
            <w:noWrap w:val="0"/>
            <w:vAlign w:val="center"/>
          </w:tcPr>
          <w:p w14:paraId="73BDB9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95A562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核医学废液智能化取样检测系统</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7EF18C7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1.智能化取样检测系统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2.取样检测浓度计算排放总活度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3.自屏蔽设计，屏蔽当量20mmPb。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4.碘化钠专用探头，手动/自动测量放射性废液浓度。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5.测量体积：100升，取样捅泵AC220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6.废液排放比活度历史记录动态曲线显示，废液排放总活度实时显示。可为监测废液排放标准提供定量数据支持供环保部门查看且不可更改。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7.仪表显示单位为MBq或者mCi，不可用反推方式获得。探头经过权威第三方机构刻度后，可同时给出多种核素的活度浓度，核素包括并不限于I-131,Tc-99m,F-18.</w:t>
            </w:r>
            <w:r>
              <w:rPr>
                <w:rFonts w:hint="eastAsia" w:ascii="宋体" w:hAnsi="宋体" w:eastAsia="宋体" w:cs="宋体"/>
                <w:color w:val="auto"/>
                <w:sz w:val="22"/>
                <w:szCs w:val="22"/>
                <w:highlight w:val="none"/>
                <w:lang w:val="en-US" w:eastAsia="zh-CN"/>
              </w:rPr>
              <w:t>具备国家法定计量检定机构及检测机构出具的报告或由具有相关部门资质认证的第三方机构出具的报告。</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8.软件自动生成检测报告，内容包括但不局限于：取样时间，取样槽体，取样活度，槽体总活度和预计可排天数。</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93C8D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21AB20D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5C00F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7" w:hRule="atLeast"/>
        </w:trPr>
        <w:tc>
          <w:tcPr>
            <w:tcW w:w="783" w:type="dxa"/>
            <w:tcBorders>
              <w:top w:val="single" w:color="000000" w:sz="4" w:space="0"/>
              <w:bottom w:val="single" w:color="000000" w:sz="4" w:space="0"/>
              <w:right w:val="single" w:color="000000" w:sz="4" w:space="0"/>
            </w:tcBorders>
            <w:noWrap w:val="0"/>
            <w:vAlign w:val="center"/>
          </w:tcPr>
          <w:p w14:paraId="0F66AF2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D3A020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核医学废液智能控制系统（远端）</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07FA08D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1.监视/显示/报警/控制/排放系统/故障显示/历史记录</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 触摸屏式 操控界面。</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3.菜单式操控式界面。三级权限管理，分级设置登录密码。</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4.人机界面讯息显示：有</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5.监测显示异常报警：有</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6.手机APP控制系统：通过互联网医生可在手机APP与电脑端登录并进行监控与操作。</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7.历史排放记录打印、存档及查阅：有</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 可记录至少2年的历史比活度数据，可通过比活度曲线和半衰期数量智能化制定废液排放计划。</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9.可记录衰变废水总处理量及流量曲线，显示实时流量数据。</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10.管理平台具有数据管理审计追踪功能，用于对控制柜，衰变池活度浓度测量仪进行控制</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、监控；管理平台所有操作数据、监测数据实时记录，人为不可更改，且可溯源；所有检测</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报告均可输出打印。</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11.可实现水泵的主备自动切换，可独立关闭和打开进水阀门，关闭后的槽体不参与衰变</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，起到槽体间主备的切换。液晶电容触摸屏操作，远端及近端各设置1套，共计2套。方便监控与维护。远程监控箱具备警报声光输出与复位功能。</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12.具备软件著作证书。（提供相关软件著作证书）</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9C03ED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33172FE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4C3FD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3" w:type="dxa"/>
            <w:tcBorders>
              <w:top w:val="single" w:color="000000" w:sz="4" w:space="0"/>
              <w:bottom w:val="single" w:color="000000" w:sz="4" w:space="0"/>
              <w:right w:val="single" w:color="000000" w:sz="4" w:space="0"/>
            </w:tcBorders>
            <w:noWrap w:val="0"/>
            <w:vAlign w:val="center"/>
          </w:tcPr>
          <w:p w14:paraId="1664992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73DA00C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核医学废液智能控制系统（近端）</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0E7D3E1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1.监视/显示/报警/控制/排放系统/故障显示/历史记录</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 触摸屏式 操控界面。</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 菜单式操控式界面。三级权限管理，分级设置登录密码。</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4.人机界面讯息显示：有</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 监测显示异常报警：有</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6.手机APP控制系统：通过互联网医生可在手机APP与电脑端登录并进行监控与操作。</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 历史排放记录打印、存档及查阅：有</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 .可记录至少2年的历史比活度数据，可通过比活度曲线和半衰期数量智能化制定废液排放计划。</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9. 可记录衰变废水总处理量及流量曲线，显示实时流量数据。</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10.管理平台具有数据管理审计追踪功能，用于对控制柜，衰变池活度浓度测量仪进行控制</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、监控；管理平台所有操作数据、监测数据实时记录，人为不可更改，且可溯源；所有检测</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报告均可输出打印。</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11.可实现水泵的主备自动切换，可独立关闭和打开进水阀门，关闭后的槽体不参与衰变</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，起到槽体间主备的切换。液晶电容触摸屏操作，远端及近端各设置1套，共计2套。方便监控与维护。远程监控箱具备警报声光输出与复位功能。</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12具备软件著作证书。（提供相关软件著作证书）</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13.开关柜具备防雷防浪涌功能。</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2F4AF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21A0EE1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50ACE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4" w:hRule="atLeast"/>
        </w:trPr>
        <w:tc>
          <w:tcPr>
            <w:tcW w:w="783" w:type="dxa"/>
            <w:tcBorders>
              <w:top w:val="single" w:color="000000" w:sz="4" w:space="0"/>
              <w:bottom w:val="single" w:color="000000" w:sz="4" w:space="0"/>
              <w:right w:val="single" w:color="000000" w:sz="4" w:space="0"/>
            </w:tcBorders>
            <w:noWrap w:val="0"/>
            <w:vAlign w:val="center"/>
          </w:tcPr>
          <w:p w14:paraId="2B26DEC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28D8DA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核医学废液排放智能监控系统</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337B7D9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1.液位动态监测，极限液位及时报警；</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 .衰变时间智能监控，实时在线页面显示废液衰变时间；</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3.实时设备运行监控，各设备及系统执行状态的监控，故障或维护及时报警；</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4.显示实时流量数据，显示衰变废水总处理量及流量曲线；</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5.显示衰变间温度、湿度；</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6.数据自动存档，故障数据可溯源；</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7.软件接口可开放，如有需要可连接医院其他信息安全系统；</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8.实现远程无人值守，避免工作人员遭受辐照。</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80EDCF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1365010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1079C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4" w:hRule="atLeast"/>
        </w:trPr>
        <w:tc>
          <w:tcPr>
            <w:tcW w:w="783" w:type="dxa"/>
            <w:tcBorders>
              <w:top w:val="single" w:color="000000" w:sz="4" w:space="0"/>
              <w:bottom w:val="single" w:color="000000" w:sz="4" w:space="0"/>
              <w:right w:val="single" w:color="000000" w:sz="4" w:space="0"/>
            </w:tcBorders>
            <w:noWrap w:val="0"/>
            <w:vAlign w:val="center"/>
          </w:tcPr>
          <w:p w14:paraId="449078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87846A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核医学患者出院自助辐射测量系统</w:t>
            </w:r>
          </w:p>
        </w:tc>
        <w:tc>
          <w:tcPr>
            <w:tcW w:w="5675" w:type="dxa"/>
            <w:tcBorders>
              <w:top w:val="single" w:color="000000" w:sz="4" w:space="0"/>
              <w:left w:val="single" w:color="000000" w:sz="4" w:space="0"/>
              <w:bottom w:val="single" w:color="000000" w:sz="4" w:space="0"/>
              <w:right w:val="nil"/>
            </w:tcBorders>
            <w:noWrap w:val="0"/>
            <w:vAlign w:val="center"/>
          </w:tcPr>
          <w:p w14:paraId="7275074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1.患者出院自助辐射测量系统</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2.含专用检测探头、电脑主机、自助测量设备、软件，其电源由就近插座引WDZ-BYJ-3*2.5电脑主机设置在碘护士站</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3.自助测量系统主机集成辐射探测，智能语音，身份识别，人体感应，触摸交互，物联通讯等多项功能；</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4.可实现甲癌患者自动完成体内I-131核素残留活度测量，全过程无需医护人员干预，自动上传测量数据，并生成检测报告。依据GBZ120—《核医学放射防护要求》文件，判断患者是否符合出院标准。</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FFADA8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690B44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1F748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783" w:type="dxa"/>
            <w:tcBorders>
              <w:top w:val="single" w:color="000000" w:sz="4" w:space="0"/>
              <w:bottom w:val="single" w:color="000000" w:sz="4" w:space="0"/>
              <w:right w:val="single" w:color="000000" w:sz="4" w:space="0"/>
            </w:tcBorders>
            <w:noWrap w:val="0"/>
            <w:vAlign w:val="center"/>
          </w:tcPr>
          <w:p w14:paraId="7B1C44F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C4CC3B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固定式辐射剂量监测系统</w:t>
            </w:r>
          </w:p>
        </w:tc>
        <w:tc>
          <w:tcPr>
            <w:tcW w:w="5675" w:type="dxa"/>
            <w:tcBorders>
              <w:top w:val="single" w:color="000000" w:sz="4" w:space="0"/>
              <w:left w:val="single" w:color="000000" w:sz="4" w:space="0"/>
              <w:bottom w:val="single" w:color="000000" w:sz="4" w:space="0"/>
              <w:right w:val="nil"/>
            </w:tcBorders>
            <w:noWrap w:val="0"/>
            <w:vAlign w:val="center"/>
          </w:tcPr>
          <w:p w14:paraId="3664812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1.可有效探测环境辐射剂量率；</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2.供电电源：AC220V±10%，50Hz；</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3.通信模式：RS485;</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4.工作温度：-10°C-50°C，相对湿度要求：≤85%RH（+40℃）；</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5.高级微处理器控制，支持数字输入输出口，具有内部诊断功能，提供剂量率显示（显示单位μSv/h、mSv/h间自动切换）、探测器故障诊断和报警功能；</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6、SD卡存储不低与16G，独立探头存储卡不低于2G；数据储满时间不低于15年；</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 系统支持独立操作或基于计算机远程操作使用</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9B7141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1B5F195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114AB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783" w:type="dxa"/>
            <w:tcBorders>
              <w:top w:val="single" w:color="000000" w:sz="4" w:space="0"/>
              <w:bottom w:val="single" w:color="000000" w:sz="4" w:space="0"/>
              <w:right w:val="single" w:color="000000" w:sz="4" w:space="0"/>
            </w:tcBorders>
            <w:noWrap w:val="0"/>
            <w:vAlign w:val="center"/>
          </w:tcPr>
          <w:p w14:paraId="104CFA6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C54AE4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衰变池系统配套电缆/管道及支架安装敷设</w:t>
            </w:r>
          </w:p>
        </w:tc>
        <w:tc>
          <w:tcPr>
            <w:tcW w:w="5675" w:type="dxa"/>
            <w:tcBorders>
              <w:top w:val="single" w:color="000000" w:sz="4" w:space="0"/>
              <w:left w:val="single" w:color="000000" w:sz="4" w:space="0"/>
              <w:bottom w:val="single" w:color="000000" w:sz="4" w:space="0"/>
              <w:right w:val="nil"/>
            </w:tcBorders>
            <w:noWrap w:val="0"/>
            <w:vAlign w:val="center"/>
          </w:tcPr>
          <w:p w14:paraId="02DF608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1.含304不锈钢管道DN65长度120m，UPVC通气管dn100长度45m；</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2.其中管道防护包裹60m,防护当量5mmpb；</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3.含相关支吊架安装固定；</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4.5*16铜芯电缆长度120m含配管；</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F164C8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项</w:t>
            </w:r>
          </w:p>
        </w:tc>
        <w:tc>
          <w:tcPr>
            <w:tcW w:w="877" w:type="dxa"/>
            <w:tcBorders>
              <w:top w:val="single" w:color="000000" w:sz="4" w:space="0"/>
              <w:left w:val="single" w:color="000000" w:sz="4" w:space="0"/>
              <w:bottom w:val="single" w:color="000000" w:sz="4" w:space="0"/>
            </w:tcBorders>
            <w:noWrap w:val="0"/>
            <w:vAlign w:val="center"/>
          </w:tcPr>
          <w:p w14:paraId="1DA645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3A872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783" w:type="dxa"/>
            <w:tcBorders>
              <w:top w:val="single" w:color="000000" w:sz="4" w:space="0"/>
              <w:bottom w:val="single" w:color="000000" w:sz="4" w:space="0"/>
              <w:right w:val="single" w:color="000000" w:sz="4" w:space="0"/>
            </w:tcBorders>
            <w:noWrap w:val="0"/>
            <w:vAlign w:val="center"/>
          </w:tcPr>
          <w:p w14:paraId="34123E3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48E2B1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衰变池系统阀门及水泵</w:t>
            </w:r>
          </w:p>
        </w:tc>
        <w:tc>
          <w:tcPr>
            <w:tcW w:w="5675" w:type="dxa"/>
            <w:tcBorders>
              <w:top w:val="single" w:color="000000" w:sz="4" w:space="0"/>
              <w:left w:val="single" w:color="000000" w:sz="4" w:space="0"/>
              <w:bottom w:val="single" w:color="000000" w:sz="4" w:space="0"/>
              <w:right w:val="nil"/>
            </w:tcBorders>
            <w:noWrap w:val="0"/>
            <w:vAlign w:val="center"/>
          </w:tcPr>
          <w:p w14:paraId="6856DC9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1.不锈钢电动阀门12个,不锈钢手动阀门10个；</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2、耐腐蚀不锈钢管道泵15台（型号:3P 380V 2KW 扬程15m)；</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3、含配套不锈钢法兰；</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4.上述产品材质均为SUS304不锈钢</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BEF1F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项</w:t>
            </w:r>
          </w:p>
        </w:tc>
        <w:tc>
          <w:tcPr>
            <w:tcW w:w="877" w:type="dxa"/>
            <w:tcBorders>
              <w:top w:val="single" w:color="000000" w:sz="4" w:space="0"/>
              <w:left w:val="single" w:color="000000" w:sz="4" w:space="0"/>
              <w:bottom w:val="single" w:color="000000" w:sz="4" w:space="0"/>
            </w:tcBorders>
            <w:noWrap w:val="0"/>
            <w:vAlign w:val="center"/>
          </w:tcPr>
          <w:p w14:paraId="4977F73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0B534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783" w:type="dxa"/>
            <w:tcBorders>
              <w:top w:val="single" w:color="000000" w:sz="4" w:space="0"/>
              <w:bottom w:val="single" w:color="000000" w:sz="4" w:space="0"/>
              <w:right w:val="single" w:color="000000" w:sz="4" w:space="0"/>
            </w:tcBorders>
            <w:noWrap w:val="0"/>
            <w:vAlign w:val="center"/>
          </w:tcPr>
          <w:p w14:paraId="1A087D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BF75CB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空调器室外机</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7D8FFD4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1.名称:多联机室外机(热泵型)DL-(-2)F-3</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2.型号:IPLV:8 8；</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3.制冷量:28.0kW；</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4.制热量:315kW；</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5.功率:7kW/380V</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6.隔振垫(器）、支架形式、材质:型钢支座，隔振器安装                                  7.冷媒:氟系统</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9FAA18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3C1A493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57564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83" w:type="dxa"/>
            <w:tcBorders>
              <w:top w:val="single" w:color="000000" w:sz="4" w:space="0"/>
              <w:bottom w:val="single" w:color="000000" w:sz="4" w:space="0"/>
              <w:right w:val="single" w:color="000000" w:sz="4" w:space="0"/>
            </w:tcBorders>
            <w:noWrap w:val="0"/>
            <w:vAlign w:val="center"/>
          </w:tcPr>
          <w:p w14:paraId="57FA81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C7FEA3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空调器室内机</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5DF7B5A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1.名称:室内机</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2.型号:VRV-6.3</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3.规格:功率:90W/220V制冷量:6.3kW制热量:7.1kW</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4.减振器、支架形式、材质:设备自带减震</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5.安装形式:四面出风嵌入式                                                    6.冷媒:氟系统</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0A83EE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678CF44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4.00 </w:t>
            </w:r>
          </w:p>
        </w:tc>
      </w:tr>
      <w:tr w14:paraId="1989D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1" w:hRule="atLeast"/>
        </w:trPr>
        <w:tc>
          <w:tcPr>
            <w:tcW w:w="783" w:type="dxa"/>
            <w:tcBorders>
              <w:top w:val="single" w:color="000000" w:sz="4" w:space="0"/>
              <w:bottom w:val="single" w:color="000000" w:sz="4" w:space="0"/>
              <w:right w:val="single" w:color="000000" w:sz="4" w:space="0"/>
            </w:tcBorders>
            <w:noWrap w:val="0"/>
            <w:vAlign w:val="center"/>
          </w:tcPr>
          <w:p w14:paraId="763531D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E7B667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空调器室外机</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2438276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1.名称:室外机 DL-6F-1</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 xml:space="preserve">2.型号:热泵型 IPLV：8.8 </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3.规格:制冷量:28kW；</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4.制热量：31.5kW；</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5.功率:7kW/380V</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6.型钢支座，隔振器安装；                                                    7.冷媒:氟系统</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69C996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5D89EF0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1CDDB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83" w:type="dxa"/>
            <w:tcBorders>
              <w:top w:val="single" w:color="000000" w:sz="4" w:space="0"/>
              <w:bottom w:val="single" w:color="000000" w:sz="4" w:space="0"/>
              <w:right w:val="single" w:color="000000" w:sz="4" w:space="0"/>
            </w:tcBorders>
            <w:noWrap w:val="0"/>
            <w:vAlign w:val="center"/>
          </w:tcPr>
          <w:p w14:paraId="7C491A4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180C62B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空调器室内机</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7BA278F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1.名称:室内机</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2.型号:VRV-4.0</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3.规格:功率:70W/220V，制冷量:4.0kW，制热量:4.5kW</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4.安装形式:四面出风嵌入式</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5.减振器、支架形式、材质:设备自带减震；                                        6.冷媒:氟系统</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D6B97C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306DC8E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6.00 </w:t>
            </w:r>
          </w:p>
        </w:tc>
      </w:tr>
      <w:tr w14:paraId="2DCE5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783" w:type="dxa"/>
            <w:tcBorders>
              <w:top w:val="single" w:color="000000" w:sz="4" w:space="0"/>
              <w:bottom w:val="single" w:color="000000" w:sz="4" w:space="0"/>
              <w:right w:val="single" w:color="000000" w:sz="4" w:space="0"/>
            </w:tcBorders>
            <w:noWrap w:val="0"/>
            <w:vAlign w:val="center"/>
          </w:tcPr>
          <w:p w14:paraId="794254D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84EA6F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空调系统辅材</w:t>
            </w:r>
          </w:p>
        </w:tc>
        <w:tc>
          <w:tcPr>
            <w:tcW w:w="5675" w:type="dxa"/>
            <w:tcBorders>
              <w:top w:val="single" w:color="000000" w:sz="4" w:space="0"/>
              <w:left w:val="single" w:color="000000" w:sz="4" w:space="0"/>
              <w:bottom w:val="single" w:color="000000" w:sz="4" w:space="0"/>
              <w:right w:val="nil"/>
            </w:tcBorders>
            <w:noWrap w:val="0"/>
            <w:vAlign w:val="center"/>
          </w:tcPr>
          <w:p w14:paraId="04E7E65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1、含铜管260m（压力等级:Φ22.23卡压连接）、DN32镀锌钢管75m、空调分歧器、套管等；</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2、其规格满足上述空调机组正常安装使用需求；</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3.含气压试验，泄露试验；</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282A7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4E230C9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39864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783" w:type="dxa"/>
            <w:tcBorders>
              <w:top w:val="single" w:color="000000" w:sz="4" w:space="0"/>
              <w:bottom w:val="single" w:color="000000" w:sz="4" w:space="0"/>
              <w:right w:val="single" w:color="000000" w:sz="4" w:space="0"/>
            </w:tcBorders>
            <w:noWrap w:val="0"/>
            <w:vAlign w:val="center"/>
          </w:tcPr>
          <w:p w14:paraId="55AE538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014F79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机柜</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10EB59C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1.名称:标准42U机柜；</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2.规格:800*600*2000，含插排；</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 xml:space="preserve">3.静态承载，最高可达2000KG，             </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4.机柜板材厚度：1.2MM</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5.机柜表面使用防静电喷塑</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9BC130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73E849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3.00 </w:t>
            </w:r>
          </w:p>
        </w:tc>
      </w:tr>
      <w:tr w14:paraId="0A2DF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1" w:hRule="atLeast"/>
        </w:trPr>
        <w:tc>
          <w:tcPr>
            <w:tcW w:w="783" w:type="dxa"/>
            <w:tcBorders>
              <w:top w:val="single" w:color="000000" w:sz="4" w:space="0"/>
              <w:bottom w:val="single" w:color="000000" w:sz="4" w:space="0"/>
              <w:right w:val="single" w:color="000000" w:sz="4" w:space="0"/>
            </w:tcBorders>
            <w:noWrap w:val="0"/>
            <w:vAlign w:val="center"/>
          </w:tcPr>
          <w:p w14:paraId="61138CD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C3CE6C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交换机</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7B39A16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1.名称:24口POE千兆交换机</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2.含理线器</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3.性能参数：二层 | web管理 | 交换容量336Gbps | 转发性能 39Mpps | 24个千兆电+2个千兆光 | 支持PoE+（370W）| 监控200台 | 带机量400人 | 机架式</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9D5310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1BE5A6D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11.00 </w:t>
            </w:r>
          </w:p>
        </w:tc>
      </w:tr>
      <w:tr w14:paraId="28588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5" w:hRule="atLeast"/>
        </w:trPr>
        <w:tc>
          <w:tcPr>
            <w:tcW w:w="783" w:type="dxa"/>
            <w:tcBorders>
              <w:top w:val="single" w:color="000000" w:sz="4" w:space="0"/>
              <w:bottom w:val="single" w:color="000000" w:sz="4" w:space="0"/>
              <w:right w:val="single" w:color="000000" w:sz="4" w:space="0"/>
            </w:tcBorders>
            <w:noWrap w:val="0"/>
            <w:vAlign w:val="center"/>
          </w:tcPr>
          <w:p w14:paraId="5EFF229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E586CC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其他网络设备</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49B5944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1.名称:光纤配线架</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2.含理线器</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3.WIFI覆盖</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4.性能参数：标准1U，深度约205-242MM</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 xml:space="preserve">LC双薪12芯最低标准及以上     </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插入损耗：连接器引入的衰减，一般要求≤0.3dB或更低。</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 回波损耗：反射光强度，通常要求≥40dB（数值越大越好）。</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 耐久性：适配器插拔寿命通常超过1000次。</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3E53E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6F42A56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19.00 </w:t>
            </w:r>
          </w:p>
        </w:tc>
      </w:tr>
      <w:tr w14:paraId="63830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783" w:type="dxa"/>
            <w:tcBorders>
              <w:top w:val="single" w:color="000000" w:sz="4" w:space="0"/>
              <w:bottom w:val="single" w:color="000000" w:sz="4" w:space="0"/>
              <w:right w:val="single" w:color="000000" w:sz="4" w:space="0"/>
            </w:tcBorders>
            <w:noWrap w:val="0"/>
            <w:vAlign w:val="center"/>
          </w:tcPr>
          <w:p w14:paraId="42DC6BC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2C0F48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通信控制器</w:t>
            </w:r>
          </w:p>
        </w:tc>
        <w:tc>
          <w:tcPr>
            <w:tcW w:w="5675" w:type="dxa"/>
            <w:tcBorders>
              <w:top w:val="single" w:color="000000" w:sz="4" w:space="0"/>
              <w:left w:val="single" w:color="000000" w:sz="4" w:space="0"/>
              <w:bottom w:val="single" w:color="000000" w:sz="4" w:space="0"/>
              <w:right w:val="nil"/>
            </w:tcBorders>
            <w:noWrap w:val="0"/>
            <w:vAlign w:val="center"/>
          </w:tcPr>
          <w:p w14:paraId="700AFB8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1.名称:AC控制器</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2.WIFI覆盖；</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3.性能参数：接入控制器 | 最大管理AP数量 128 | 10 x GE 电口 | 2 x 10GE 光口 | 包转发 10Gbps | 机架 /挂墙 /桌面可选</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0AF572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66C130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409BC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783" w:type="dxa"/>
            <w:tcBorders>
              <w:top w:val="single" w:color="000000" w:sz="4" w:space="0"/>
              <w:bottom w:val="single" w:color="000000" w:sz="4" w:space="0"/>
              <w:right w:val="single" w:color="000000" w:sz="4" w:space="0"/>
            </w:tcBorders>
            <w:noWrap w:val="0"/>
            <w:vAlign w:val="center"/>
          </w:tcPr>
          <w:p w14:paraId="240F8CF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D9F99B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电缆及光缆</w:t>
            </w:r>
          </w:p>
        </w:tc>
        <w:tc>
          <w:tcPr>
            <w:tcW w:w="5675" w:type="dxa"/>
            <w:tcBorders>
              <w:top w:val="single" w:color="000000" w:sz="4" w:space="0"/>
              <w:left w:val="single" w:color="000000" w:sz="4" w:space="0"/>
              <w:bottom w:val="single" w:color="000000" w:sz="4" w:space="0"/>
              <w:right w:val="nil"/>
            </w:tcBorders>
            <w:noWrap w:val="0"/>
            <w:vAlign w:val="center"/>
          </w:tcPr>
          <w:p w14:paraId="01F9757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双绞线：1.规格:UTP-CAT6</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2.敷设方式:管内敷设；长度9597m</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3.含JDG20配管</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光缆：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1.名称:4芯单模光纤</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2.含镀锌桥架，规格300*100，长度4432m</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FA690C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项</w:t>
            </w:r>
          </w:p>
        </w:tc>
        <w:tc>
          <w:tcPr>
            <w:tcW w:w="877" w:type="dxa"/>
            <w:tcBorders>
              <w:top w:val="single" w:color="000000" w:sz="4" w:space="0"/>
              <w:left w:val="single" w:color="000000" w:sz="4" w:space="0"/>
              <w:bottom w:val="single" w:color="000000" w:sz="4" w:space="0"/>
            </w:tcBorders>
            <w:noWrap w:val="0"/>
            <w:vAlign w:val="center"/>
          </w:tcPr>
          <w:p w14:paraId="75E7863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3BA4F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783" w:type="dxa"/>
            <w:tcBorders>
              <w:top w:val="single" w:color="000000" w:sz="4" w:space="0"/>
              <w:bottom w:val="single" w:color="000000" w:sz="4" w:space="0"/>
              <w:right w:val="single" w:color="000000" w:sz="4" w:space="0"/>
            </w:tcBorders>
            <w:noWrap w:val="0"/>
            <w:vAlign w:val="center"/>
          </w:tcPr>
          <w:p w14:paraId="5F674D9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316565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终端显示设备</w:t>
            </w:r>
          </w:p>
        </w:tc>
        <w:tc>
          <w:tcPr>
            <w:tcW w:w="5675" w:type="dxa"/>
            <w:tcBorders>
              <w:top w:val="single" w:color="000000" w:sz="4" w:space="0"/>
              <w:left w:val="single" w:color="000000" w:sz="4" w:space="0"/>
              <w:bottom w:val="single" w:color="000000" w:sz="4" w:space="0"/>
              <w:right w:val="nil"/>
            </w:tcBorders>
            <w:noWrap w:val="0"/>
            <w:vAlign w:val="center"/>
          </w:tcPr>
          <w:p w14:paraId="720152C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1.名称:86寸液晶显示器</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2.类别:含（电源就近引来）与服务器通过HDMI相连；</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3.性能参数：超清4K显示、支持接入OPS、防眩光、178°广角、3D降噪、内置喇叭、亮度大于等于400nits。</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B35F19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1565F41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075B1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783" w:type="dxa"/>
            <w:tcBorders>
              <w:top w:val="single" w:color="000000" w:sz="4" w:space="0"/>
              <w:bottom w:val="single" w:color="000000" w:sz="4" w:space="0"/>
              <w:right w:val="single" w:color="000000" w:sz="4" w:space="0"/>
            </w:tcBorders>
            <w:noWrap w:val="0"/>
            <w:vAlign w:val="center"/>
          </w:tcPr>
          <w:p w14:paraId="21143EE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09552E1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其他组合音像设备</w:t>
            </w:r>
          </w:p>
        </w:tc>
        <w:tc>
          <w:tcPr>
            <w:tcW w:w="5675" w:type="dxa"/>
            <w:tcBorders>
              <w:top w:val="single" w:color="000000" w:sz="4" w:space="0"/>
              <w:left w:val="single" w:color="000000" w:sz="4" w:space="0"/>
              <w:bottom w:val="single" w:color="000000" w:sz="4" w:space="0"/>
              <w:right w:val="nil"/>
            </w:tcBorders>
            <w:noWrap w:val="0"/>
            <w:vAlign w:val="center"/>
          </w:tcPr>
          <w:p w14:paraId="180650F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1.名称:背景音乐系统主机及音响</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2.类别:含电源时序器、广播话筒、控制主机、报警器、调音器、纯后级功放，其中功放功率300W、电源线、音频线、软件、运行；</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8CE074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4574945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55A6C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783" w:type="dxa"/>
            <w:tcBorders>
              <w:top w:val="single" w:color="000000" w:sz="4" w:space="0"/>
              <w:bottom w:val="single" w:color="000000" w:sz="4" w:space="0"/>
              <w:right w:val="single" w:color="000000" w:sz="4" w:space="0"/>
            </w:tcBorders>
            <w:noWrap w:val="0"/>
            <w:vAlign w:val="center"/>
          </w:tcPr>
          <w:p w14:paraId="00FE763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A3BE0C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医护对讲系统硬件</w:t>
            </w:r>
          </w:p>
        </w:tc>
        <w:tc>
          <w:tcPr>
            <w:tcW w:w="5675" w:type="dxa"/>
            <w:tcBorders>
              <w:top w:val="single" w:color="000000" w:sz="4" w:space="0"/>
              <w:left w:val="single" w:color="000000" w:sz="4" w:space="0"/>
              <w:bottom w:val="single" w:color="000000" w:sz="4" w:space="0"/>
              <w:right w:val="nil"/>
            </w:tcBorders>
            <w:noWrap w:val="0"/>
            <w:vAlign w:val="center"/>
          </w:tcPr>
          <w:p w14:paraId="637BF35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1.包含病房呼叫主机1台，门口机3台，床位分机5台，病员信息显示屏1台，手表接收器1台；</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2.病区护士站壁挂安装，就近取电</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3.由每个末端设备引1*UTP-CAT6线缆至病房呼叫系统各设备</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DE67E0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5FEFA1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6E237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3" w:type="dxa"/>
            <w:tcBorders>
              <w:top w:val="single" w:color="000000" w:sz="4" w:space="0"/>
              <w:bottom w:val="single" w:color="000000" w:sz="4" w:space="0"/>
              <w:right w:val="single" w:color="000000" w:sz="4" w:space="0"/>
            </w:tcBorders>
            <w:noWrap w:val="0"/>
            <w:vAlign w:val="center"/>
          </w:tcPr>
          <w:p w14:paraId="7C1A88D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0ACAD59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医护对讲系统软件</w:t>
            </w:r>
          </w:p>
        </w:tc>
        <w:tc>
          <w:tcPr>
            <w:tcW w:w="5675" w:type="dxa"/>
            <w:tcBorders>
              <w:top w:val="single" w:color="000000" w:sz="4" w:space="0"/>
              <w:left w:val="single" w:color="000000" w:sz="4" w:space="0"/>
              <w:bottom w:val="single" w:color="000000" w:sz="4" w:space="0"/>
              <w:right w:val="nil"/>
            </w:tcBorders>
            <w:noWrap w:val="0"/>
            <w:vAlign w:val="center"/>
          </w:tcPr>
          <w:p w14:paraId="67B244B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整个系统的服务管理，包含资料管理、分级管理、分级控制转移或设置，与HIS系统的数据交换对接处理等，是终端管理、系统运行、病床病房信息管理、医护对讲信息管理等综合服务平台：采用B/S模式构建，Web浏览无需安装控件。B/S客户端通过医院内网远程访问，凭科室账户权限登录系统管理平台；</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2、可对系统内所有呼叫设备统一进行管理；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3、可通过系统对医院的各科室、护士站、医生护士、病人的相关信息进行记录并管理；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4、系统在联网的情况下，将各个病区的呼叫记录汇总至网络服务器，随时查看，有助于医院管理层对临床护理的一些基本管理；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病人电子一览表功能：自动完成患者基本信息展示（科室、床位、姓名、诊断、医保类型、性别、年龄、入院日期、实时时间、护理级别、诊断信息、注意事项等）；每位病人信息修改操作方便、实时；可根据需要进行不同组合方式打印呼叫记录信息；软件界面直观、数据记录清楚，利于服务的管理和监督；统计信息全面，按软件数据库格式生成报表；在PC平台的基础上实现海量存储，随时翻查以往记录呼叫信息；</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6、自动发布信息：与医院HIS系统联网状态下，网络服务器接收医院HIS系统数据服务器更新的信息，接收后自动将信息发送到医护主机、病床分机、病房分机、医护信息看板等设备上；</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呼叫记录存储及统计分析功能：各病区的护士站医护主机实时记录本站的呼叫历史，并定时汇总到智慧护理服务管理系统。智慧护理服务管理系统的管理界面提供统计，数据报表，生成不同图标方式来分析的功能，便于管理人员查询考核；数据统计功能：占比统计、呼叫量日线图、呼叫响应时长统计、呼叫通话时长统计、每床日统计按可按要求进行某病区或全院的不同维度的数据统计，提供图表展示，并支持导出数据文件，为医院管理决策提供参考依据。</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病区规划基础数据管理功能：病区规划数据是指，设备信息表、设备属性信息表、病房信息表等基础信息。智慧护理服务管理系统提供病区规划数据录入和查询功能，这些数据在编辑后保存在管理中心数据库中。护士站根据各自的病区编号，把病区规划数据从管理中心同步到本地数据库中。支持手动操作同步指定护士站的病区规划数据；</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9、支持服务器联机和服务器脱机两种工作模式，不管终端是否与服务器联通，均不影响病床分机与医护主机、病床分机与病房门口机进行双向呼叫通话对讲。</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E214C2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338E522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48E53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trPr>
        <w:tc>
          <w:tcPr>
            <w:tcW w:w="783" w:type="dxa"/>
            <w:tcBorders>
              <w:top w:val="single" w:color="000000" w:sz="4" w:space="0"/>
              <w:bottom w:val="single" w:color="000000" w:sz="4" w:space="0"/>
              <w:right w:val="single" w:color="000000" w:sz="4" w:space="0"/>
            </w:tcBorders>
            <w:noWrap w:val="0"/>
            <w:vAlign w:val="center"/>
          </w:tcPr>
          <w:p w14:paraId="5D333C3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33</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0162DF3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信息插座</w:t>
            </w:r>
          </w:p>
        </w:tc>
        <w:tc>
          <w:tcPr>
            <w:tcW w:w="5675" w:type="dxa"/>
            <w:tcBorders>
              <w:top w:val="single" w:color="000000" w:sz="4" w:space="0"/>
              <w:left w:val="single" w:color="000000" w:sz="4" w:space="0"/>
              <w:bottom w:val="single" w:color="000000" w:sz="4" w:space="0"/>
              <w:right w:val="nil"/>
            </w:tcBorders>
            <w:noWrap w:val="0"/>
            <w:vAlign w:val="center"/>
          </w:tcPr>
          <w:p w14:paraId="08BE5C5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1.名称:内网吸顶式AP</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2.规格:顶面86底盒暗装</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3.线缆敷设说明:由每个末端设备引一根UTP-CAT6线缆至楼层弱电井，线缆沿弱电桥架敷设，出桥架穿管敷设；</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4.性能参数：支持Wi-Fi 6 协议 | 整机速率2.975Gbps | 双频 | 推荐接入用户数80 | 最大用户数128 | 发射功率23dBm | 智能天线 | 最佳覆盖半径20米</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634C56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877" w:type="dxa"/>
            <w:tcBorders>
              <w:top w:val="single" w:color="000000" w:sz="4" w:space="0"/>
              <w:left w:val="single" w:color="000000" w:sz="4" w:space="0"/>
              <w:bottom w:val="single" w:color="000000" w:sz="4" w:space="0"/>
            </w:tcBorders>
            <w:noWrap w:val="0"/>
            <w:vAlign w:val="center"/>
          </w:tcPr>
          <w:p w14:paraId="1EF0006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34.00 </w:t>
            </w:r>
          </w:p>
        </w:tc>
      </w:tr>
      <w:tr w14:paraId="61CC4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83" w:type="dxa"/>
            <w:tcBorders>
              <w:top w:val="single" w:color="000000" w:sz="4" w:space="0"/>
              <w:bottom w:val="single" w:color="000000" w:sz="4" w:space="0"/>
              <w:right w:val="single" w:color="000000" w:sz="4" w:space="0"/>
            </w:tcBorders>
            <w:noWrap w:val="0"/>
            <w:vAlign w:val="center"/>
          </w:tcPr>
          <w:p w14:paraId="556F6EB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34</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0215853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信息插座</w:t>
            </w:r>
          </w:p>
        </w:tc>
        <w:tc>
          <w:tcPr>
            <w:tcW w:w="5675" w:type="dxa"/>
            <w:tcBorders>
              <w:top w:val="single" w:color="000000" w:sz="4" w:space="0"/>
              <w:left w:val="single" w:color="000000" w:sz="4" w:space="0"/>
              <w:bottom w:val="single" w:color="000000" w:sz="4" w:space="0"/>
              <w:right w:val="nil"/>
            </w:tcBorders>
            <w:noWrap w:val="0"/>
            <w:vAlign w:val="center"/>
          </w:tcPr>
          <w:p w14:paraId="73EF1C0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1、信息插座,超6类网络面板含6类模块</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50D9B3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877" w:type="dxa"/>
            <w:tcBorders>
              <w:top w:val="single" w:color="000000" w:sz="4" w:space="0"/>
              <w:left w:val="single" w:color="000000" w:sz="4" w:space="0"/>
              <w:bottom w:val="single" w:color="000000" w:sz="4" w:space="0"/>
            </w:tcBorders>
            <w:noWrap w:val="0"/>
            <w:vAlign w:val="center"/>
          </w:tcPr>
          <w:p w14:paraId="2507E09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121.00 </w:t>
            </w:r>
          </w:p>
        </w:tc>
      </w:tr>
      <w:tr w14:paraId="240D7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3" w:type="dxa"/>
            <w:tcBorders>
              <w:top w:val="single" w:color="000000" w:sz="4" w:space="0"/>
              <w:bottom w:val="single" w:color="000000" w:sz="4" w:space="0"/>
              <w:right w:val="single" w:color="000000" w:sz="4" w:space="0"/>
            </w:tcBorders>
            <w:noWrap w:val="0"/>
            <w:vAlign w:val="center"/>
          </w:tcPr>
          <w:p w14:paraId="0F3A0A6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35</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75946F6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门禁系统</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6965E67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1.名称:门禁系统</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2.规格:含门磁、闭门器、刷卡器、出门按钮，电源、电磁锁支架，结合门安装</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3.由每个末端设备引WDZN-RVV2*1.0+WDZN-RVV4*1.0线缆至护士值班室，线缆沿弱电桥架敷设，出桥架穿镀锌钢管敷设；</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4.性能参数：采用4.3英寸全玻璃触摸显示屏，屏幕分辨率480(H)×272(V)</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采用200万广角双目摄像头，支持红外补光，宽动态对环境光线自动调节</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支持人脸、卡（IC卡）、CPU卡序列号、身份证序列号、密码、二维码（二维码大小应不小于30 mm×30 mm，二维码字节容量应小于100字节，并且需要保证二维码纸张平整）多种识别认证方式，支持分时段开门和组合开门</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支持面部识别距离0.3m-1.5m；适应1.1m～2.0m身高范围(镜头安装高度1.4米)</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支持3000个用户、3000张人脸、5000张卡、3000个密码、50个管理员、30万条记录支持活体验证检测，人脸验证准确率99.9%，1：N比对时间0.2S/人</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7C80B3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6ACF51F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19.00 </w:t>
            </w:r>
          </w:p>
        </w:tc>
      </w:tr>
      <w:tr w14:paraId="4A4F5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83" w:type="dxa"/>
            <w:tcBorders>
              <w:top w:val="single" w:color="000000" w:sz="4" w:space="0"/>
              <w:bottom w:val="single" w:color="000000" w:sz="4" w:space="0"/>
              <w:right w:val="single" w:color="000000" w:sz="4" w:space="0"/>
            </w:tcBorders>
            <w:noWrap w:val="0"/>
            <w:vAlign w:val="center"/>
          </w:tcPr>
          <w:p w14:paraId="4FE8367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36</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D96C2E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录像设备</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777DA0E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1.名称:32路NVR </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2.类别:就近引来电源、配线</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3.存储容量、格式:含6块8T硬盘</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4.性能参数：支持WEB、本地GUI界面操作</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支持最大32路网络视频接入，网络性能160Mbps接入、128Mbps储存、60Mbps转发，支持不开智能 1路12MP@25fps; 2路8MP@25fps; 3路6MP@25fps; 3路5MP@25fps; 4路4MP@25fps; 10路1080p@25fps 解码。或开智能 1路12MP@25fps; 2路8MP@25fps; 3路6MP@25fps; 3路5MP@25fps; 4路4MP@25fps; 9路1080p@25fps 解码。最大支持16路视频回放</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支持12MP; 8MP; 6MP; 5MP; 4MP; 3MP; 1080p; 960p; 720p; D1; CIF; QCIF IPC分辨率接入</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支持2路后智能智能动检，支持8个内置SATA接口，单盘最大容量支持20T</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支持8路报警输入、2路报警输出</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5AC0A7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4BF6674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2.00 </w:t>
            </w:r>
          </w:p>
        </w:tc>
      </w:tr>
      <w:tr w14:paraId="02C26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783" w:type="dxa"/>
            <w:tcBorders>
              <w:top w:val="single" w:color="000000" w:sz="4" w:space="0"/>
              <w:bottom w:val="single" w:color="000000" w:sz="4" w:space="0"/>
              <w:right w:val="single" w:color="000000" w:sz="4" w:space="0"/>
            </w:tcBorders>
            <w:noWrap w:val="0"/>
            <w:vAlign w:val="center"/>
          </w:tcPr>
          <w:p w14:paraId="1A6AECF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37</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64FA54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液晶显示器</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43792F3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1.名称:55寸液晶显示器</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2.类别:含（电源就近引来）与服务器通过HDMI相连；</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3.性能参数：55寸LED液晶超窄边监视器全视角16：9 178°广角 、虑蓝光屏、60HZ刷新率</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2A14ED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41180C7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3.00 </w:t>
            </w:r>
          </w:p>
        </w:tc>
      </w:tr>
      <w:tr w14:paraId="2DE1E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2" w:hRule="atLeast"/>
        </w:trPr>
        <w:tc>
          <w:tcPr>
            <w:tcW w:w="783" w:type="dxa"/>
            <w:tcBorders>
              <w:top w:val="single" w:color="000000" w:sz="4" w:space="0"/>
              <w:bottom w:val="single" w:color="000000" w:sz="4" w:space="0"/>
              <w:right w:val="single" w:color="000000" w:sz="4" w:space="0"/>
            </w:tcBorders>
            <w:noWrap w:val="0"/>
            <w:vAlign w:val="center"/>
          </w:tcPr>
          <w:p w14:paraId="2C4B528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38</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2234A0A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其他视频设备</w:t>
            </w:r>
          </w:p>
        </w:tc>
        <w:tc>
          <w:tcPr>
            <w:tcW w:w="5675" w:type="dxa"/>
            <w:tcBorders>
              <w:top w:val="single" w:color="000000" w:sz="4" w:space="0"/>
              <w:left w:val="single" w:color="000000" w:sz="4" w:space="0"/>
              <w:bottom w:val="single" w:color="000000" w:sz="4" w:space="0"/>
              <w:right w:val="nil"/>
            </w:tcBorders>
            <w:noWrap w:val="0"/>
            <w:vAlign w:val="center"/>
          </w:tcPr>
          <w:p w14:paraId="65F5DAE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1.名称:半球摄像机/枪式摄像机</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2.规格:吸顶安装（86底盒）</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3.由每个末端设备引1*UTP-CAT6线缆至护士值班室，线缆沿弱电桥架敷设，出桥架穿管敷设；</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4.性能参数：支持智能动检（人形），采用高性能400万像素1/2.9英寸CMOS图像传感器，低照度效果好，图像清晰度高</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最大可输出400万（2560×1440）@25fps 支持H.265编码，压缩比高，实现超低码流传输</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内置高效暖光灯，红外补光灯，最大红外监控距离60米，暖光监控距离30米</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支持宽动态，3D降噪，强光抑制，背光补偿，数字水印，适用不同监控环境</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支持ROI，SMART H.264/H.265，灵活编码，适用不同带宽和存储环境</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内置1个麦克风</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支持DC12V/PoE供电方式；方便工程安装</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支持IP67防护等级</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47CB29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5DA3E0B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45.00 </w:t>
            </w:r>
          </w:p>
        </w:tc>
      </w:tr>
      <w:tr w14:paraId="09AE8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2" w:hRule="atLeast"/>
        </w:trPr>
        <w:tc>
          <w:tcPr>
            <w:tcW w:w="783" w:type="dxa"/>
            <w:tcBorders>
              <w:top w:val="single" w:color="000000" w:sz="4" w:space="0"/>
              <w:bottom w:val="single" w:color="000000" w:sz="4" w:space="0"/>
              <w:right w:val="single" w:color="000000" w:sz="4" w:space="0"/>
            </w:tcBorders>
            <w:noWrap w:val="0"/>
            <w:vAlign w:val="center"/>
          </w:tcPr>
          <w:p w14:paraId="0693AE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39</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3DBA07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视频监控软件</w:t>
            </w:r>
          </w:p>
        </w:tc>
        <w:tc>
          <w:tcPr>
            <w:tcW w:w="5675" w:type="dxa"/>
            <w:tcBorders>
              <w:top w:val="single" w:color="000000" w:sz="4" w:space="0"/>
              <w:left w:val="single" w:color="000000" w:sz="4" w:space="0"/>
              <w:bottom w:val="single" w:color="000000" w:sz="4" w:space="0"/>
              <w:right w:val="single" w:color="000000" w:sz="4" w:space="0"/>
            </w:tcBorders>
            <w:noWrap w:val="0"/>
            <w:vAlign w:val="top"/>
          </w:tcPr>
          <w:p w14:paraId="629C73D0">
            <w:pPr>
              <w:widowControl/>
              <w:jc w:val="left"/>
              <w:textAlignment w:val="top"/>
              <w:rPr>
                <w:rFonts w:hint="eastAsia" w:ascii="宋体" w:hAnsi="宋体" w:cs="宋体"/>
                <w:color w:val="000000"/>
                <w:sz w:val="24"/>
                <w:highlight w:val="none"/>
              </w:rPr>
            </w:pPr>
            <w:r>
              <w:rPr>
                <w:rFonts w:hint="eastAsia" w:ascii="宋体" w:hAnsi="宋体" w:cs="宋体"/>
                <w:color w:val="000000"/>
                <w:kern w:val="0"/>
                <w:sz w:val="24"/>
                <w:highlight w:val="none"/>
                <w:lang w:bidi="ar"/>
              </w:rPr>
              <w:t>针对SMB中小场景业务需求的综合安防管理一体机，在兼容安防视频监控的固有功能基础上，扩展了：门禁管理、考勤管理、访客管理、停车场管理、周界防护、可视对讲、客流管理、园区测速、运维中心管理、基础业务管理等业务功能。</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1.视频监控：支持256路接入，支持视频预览、回放及电视墙。</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考勤管理：支持256路接入，支持考勤时段配置（固定考勤，自由考勤）、考勤班次配置（日，周，月循环）、报表统计、假日管理等功能，可根据实际需求配置迟到、早退、旷工、加班等规则，实现考勤智能化管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访客管理：支持1路接入，支持使用身份证核验，手动录入两种方式进行访客登记。登记后可以联动门禁设备进行人脸，卡片等授权，及联动出入口道闸授权。支持访客二维码开门。同时可以记录访客的门禁轨迹记录。</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、停车场管理：默认支持10车道管理，支持收费，云端管理，远程呼叫，多位多车，余位屏等。</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4.周界防护：支持256路报警输入通道（防区）接入，支持导入安装现场平面图，实现周界防护设备的可视化管理，事件报警等。平台可以展示设备实时状态，一键布、撤防，事件处理等操作。</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可视对讲：支持管理机和门口机256路接入，室内机2000路接入，支持门口机、室内机、人脸门禁一体机与平台之间的可视对讲等功能，支持报警柱设备接入，实现与平台之间的互相呼叫对讲，同时可以查看历史对讲视频和抓图等信息。</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6.客流管理：支持256路接入，实现对客流场区的分配，进场离场状态的实时监控，报警阈值设置，支持客流报警查看，客流历史数据对比查询导出等操作。</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智慧用电：支持256路空开接入，用户可通过楼层平面图管理设备位置，实现设备状态的快捷监控，报警阈值的远程配置，预警报警信息的实时展示并对设备进行远程分合闸操作，实现不同场景下的用电智能化管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8.运维中心管理：支持256台交换机，实现网络中设备状态实时监控，事件报警，支持远程重启设备，清理配置，恢复默认等操作。</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9.基础业务管理：支持用户管理、人员管理、车辆管理、设备管理、日志管理、事件中心（报警预案配置、事件展示和查询等）、系统配置、地图管理等。</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10.多客户端：最多支持连接16个客户端。</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11.云联APP：支持视频监控（预览、回放，云台控制，语音对讲），事件报警消息推送，远程开门，默认支持128路上云。</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12.级联管理：支持与H2或X1的级联，支持三级级联，每级最大连接10个节点。</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13.设备管理：支持IP、域名、序列号、主动注册、ONVIF等多种设备添加方式，支持256路ONVIF接入。支持多种设备类型的添加。</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DC51F5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13BC875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50278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7" w:hRule="atLeast"/>
        </w:trPr>
        <w:tc>
          <w:tcPr>
            <w:tcW w:w="783" w:type="dxa"/>
            <w:tcBorders>
              <w:top w:val="single" w:color="000000" w:sz="4" w:space="0"/>
              <w:bottom w:val="single" w:color="000000" w:sz="4" w:space="0"/>
              <w:right w:val="single" w:color="000000" w:sz="4" w:space="0"/>
            </w:tcBorders>
            <w:noWrap w:val="0"/>
            <w:vAlign w:val="center"/>
          </w:tcPr>
          <w:p w14:paraId="75B15A3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40</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B6B65B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光导管系统</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2365113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1.突起型集光器可见光透射比大于等于89%、紫外线透射比小于0.1%；</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2.突起型集光器抗冲击性：1kg钢球1.5米处样品受冲击后不得破坏；</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3.突起型集光器雪荷载：大于等于25kpa；</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4.导光管反射片反射比大于等于98%，漫射器片可见光透射比可见光透射比大于等于92%；</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5.导光管采光系统抗冷凝结露性能：室内外40度温差是无结露；</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6.导光管传热系数：小于1.5W/(m2*k)；</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7.透光折减系数大于等于0.72（5级），一般显色指数大于等于95；</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8.系统抗风压性能：可承受±5000Pa压力，不得损坏；</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9.系统气密性能：±10Pa下，单位缝长，每小时渗透量不大于0.15/0.32；±10Pa下，单位面积，每小时渗透量为不大于1.10/38；</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10.系统水密性能：稳定加压至2000Pa不渗漏；</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11.以上应具备三年内真实有效检测报告。</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12.含本系统所必须的结构补强；</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F23ED9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single" w:color="000000" w:sz="4" w:space="0"/>
            </w:tcBorders>
            <w:noWrap w:val="0"/>
            <w:vAlign w:val="center"/>
          </w:tcPr>
          <w:p w14:paraId="074CB11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07667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1" w:hRule="atLeast"/>
        </w:trPr>
        <w:tc>
          <w:tcPr>
            <w:tcW w:w="783" w:type="dxa"/>
            <w:tcBorders>
              <w:top w:val="single" w:color="000000" w:sz="4" w:space="0"/>
              <w:bottom w:val="single" w:color="000000" w:sz="4" w:space="0"/>
              <w:right w:val="single" w:color="000000" w:sz="4" w:space="0"/>
            </w:tcBorders>
            <w:noWrap w:val="0"/>
            <w:vAlign w:val="center"/>
          </w:tcPr>
          <w:p w14:paraId="2BE0DB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41</w:t>
            </w:r>
          </w:p>
        </w:tc>
        <w:tc>
          <w:tcPr>
            <w:tcW w:w="1539" w:type="dxa"/>
            <w:tcBorders>
              <w:top w:val="single" w:color="000000" w:sz="4" w:space="0"/>
              <w:left w:val="single" w:color="000000" w:sz="4" w:space="0"/>
              <w:bottom w:val="nil"/>
              <w:right w:val="single" w:color="000000" w:sz="4" w:space="0"/>
            </w:tcBorders>
            <w:noWrap w:val="0"/>
            <w:vAlign w:val="center"/>
          </w:tcPr>
          <w:p w14:paraId="37F939A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会议室舞台灯光设备</w:t>
            </w:r>
          </w:p>
        </w:tc>
        <w:tc>
          <w:tcPr>
            <w:tcW w:w="5675" w:type="dxa"/>
            <w:tcBorders>
              <w:top w:val="single" w:color="000000" w:sz="4" w:space="0"/>
              <w:left w:val="single" w:color="000000" w:sz="4" w:space="0"/>
              <w:bottom w:val="nil"/>
              <w:right w:val="single" w:color="000000" w:sz="4" w:space="0"/>
            </w:tcBorders>
            <w:noWrap w:val="0"/>
            <w:vAlign w:val="center"/>
          </w:tcPr>
          <w:p w14:paraId="0037C83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1、满足业主单位照明及舞台布局要求；</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2、符合舞台灯光照明等相关国家规范，避免可见光污染；</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3、材料环保，安全性好；</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4.符合如下国标《灯具 第2-17部分：特殊要求 舞台灯光、电视、电影及摄影场所(室内外)用灯具》 (GB/T 7000.217-2023)</w:t>
            </w:r>
          </w:p>
        </w:tc>
        <w:tc>
          <w:tcPr>
            <w:tcW w:w="703" w:type="dxa"/>
            <w:tcBorders>
              <w:top w:val="single" w:color="000000" w:sz="4" w:space="0"/>
              <w:left w:val="single" w:color="000000" w:sz="4" w:space="0"/>
              <w:bottom w:val="nil"/>
              <w:right w:val="single" w:color="000000" w:sz="4" w:space="0"/>
            </w:tcBorders>
            <w:noWrap w:val="0"/>
            <w:vAlign w:val="center"/>
          </w:tcPr>
          <w:p w14:paraId="33117E1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877" w:type="dxa"/>
            <w:tcBorders>
              <w:top w:val="single" w:color="000000" w:sz="4" w:space="0"/>
              <w:left w:val="single" w:color="000000" w:sz="4" w:space="0"/>
              <w:bottom w:val="nil"/>
            </w:tcBorders>
            <w:noWrap w:val="0"/>
            <w:vAlign w:val="center"/>
          </w:tcPr>
          <w:p w14:paraId="7B991F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326A5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783" w:type="dxa"/>
            <w:tcBorders>
              <w:top w:val="single" w:color="000000" w:sz="4" w:space="0"/>
              <w:bottom w:val="single" w:color="000000" w:sz="4" w:space="0"/>
              <w:right w:val="single" w:color="000000" w:sz="4" w:space="0"/>
            </w:tcBorders>
            <w:noWrap w:val="0"/>
            <w:vAlign w:val="center"/>
          </w:tcPr>
          <w:p w14:paraId="4C4EE2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42</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0687919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载人电梯设备</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5CF7CD61">
            <w:pPr>
              <w:widowControl/>
              <w:jc w:val="left"/>
              <w:textAlignment w:val="center"/>
              <w:rPr>
                <w:rFonts w:hint="eastAsia" w:ascii="宋体" w:hAnsi="宋体" w:cs="宋体"/>
                <w:color w:val="000000"/>
                <w:sz w:val="24"/>
                <w:highlight w:val="none"/>
              </w:rPr>
            </w:pPr>
            <w:r>
              <w:rPr>
                <w:rStyle w:val="17"/>
                <w:sz w:val="24"/>
                <w:szCs w:val="24"/>
                <w:highlight w:val="none"/>
                <w:lang w:bidi="ar"/>
              </w:rPr>
              <w:t>1.运动中水平振动加速度≤15cm/s</w:t>
            </w:r>
            <w:r>
              <w:rPr>
                <w:rStyle w:val="18"/>
                <w:sz w:val="24"/>
                <w:szCs w:val="24"/>
                <w:highlight w:val="none"/>
                <w:lang w:bidi="ar"/>
              </w:rPr>
              <w:t>2</w:t>
            </w:r>
            <w:r>
              <w:rPr>
                <w:rStyle w:val="17"/>
                <w:sz w:val="24"/>
                <w:szCs w:val="24"/>
                <w:highlight w:val="none"/>
                <w:lang w:bidi="ar"/>
              </w:rPr>
              <w:t>；</w:t>
            </w:r>
            <w:r>
              <w:rPr>
                <w:rStyle w:val="17"/>
                <w:sz w:val="24"/>
                <w:szCs w:val="24"/>
                <w:highlight w:val="none"/>
                <w:lang w:bidi="ar"/>
              </w:rPr>
              <w:br w:type="textWrapping"/>
            </w:r>
            <w:r>
              <w:rPr>
                <w:rStyle w:val="17"/>
                <w:sz w:val="24"/>
                <w:szCs w:val="24"/>
                <w:highlight w:val="none"/>
                <w:lang w:bidi="ar"/>
              </w:rPr>
              <w:t>2.运动中垂直振动加速度≤25cm/s</w:t>
            </w:r>
            <w:r>
              <w:rPr>
                <w:rStyle w:val="18"/>
                <w:sz w:val="24"/>
                <w:szCs w:val="24"/>
                <w:highlight w:val="none"/>
                <w:lang w:bidi="ar"/>
              </w:rPr>
              <w:t>2</w:t>
            </w:r>
            <w:r>
              <w:rPr>
                <w:rStyle w:val="17"/>
                <w:sz w:val="24"/>
                <w:szCs w:val="24"/>
                <w:highlight w:val="none"/>
                <w:lang w:bidi="ar"/>
              </w:rPr>
              <w:t>；</w:t>
            </w:r>
            <w:r>
              <w:rPr>
                <w:rStyle w:val="17"/>
                <w:sz w:val="24"/>
                <w:szCs w:val="24"/>
                <w:highlight w:val="none"/>
                <w:lang w:bidi="ar"/>
              </w:rPr>
              <w:br w:type="textWrapping"/>
            </w:r>
            <w:r>
              <w:rPr>
                <w:rStyle w:val="17"/>
                <w:sz w:val="24"/>
                <w:szCs w:val="24"/>
                <w:highlight w:val="none"/>
                <w:lang w:bidi="ar"/>
              </w:rPr>
              <w:t>3.轿厢内噪声≤55db(A)；</w:t>
            </w:r>
            <w:r>
              <w:rPr>
                <w:rStyle w:val="17"/>
                <w:sz w:val="24"/>
                <w:szCs w:val="24"/>
                <w:highlight w:val="none"/>
                <w:lang w:bidi="ar"/>
              </w:rPr>
              <w:br w:type="textWrapping"/>
            </w:r>
            <w:r>
              <w:rPr>
                <w:rStyle w:val="17"/>
                <w:sz w:val="24"/>
                <w:szCs w:val="24"/>
                <w:highlight w:val="none"/>
                <w:lang w:bidi="ar"/>
              </w:rPr>
              <w:t>4.平层精度不超过±15mm；</w:t>
            </w:r>
            <w:r>
              <w:rPr>
                <w:rStyle w:val="17"/>
                <w:sz w:val="24"/>
                <w:szCs w:val="24"/>
                <w:highlight w:val="none"/>
                <w:lang w:bidi="ar"/>
              </w:rPr>
              <w:br w:type="textWrapping"/>
            </w:r>
            <w:r>
              <w:rPr>
                <w:rStyle w:val="17"/>
                <w:sz w:val="24"/>
                <w:szCs w:val="24"/>
                <w:highlight w:val="none"/>
                <w:lang w:bidi="ar"/>
              </w:rPr>
              <w:t>5.制动和启动最大加速度小于等于1.5m/s</w:t>
            </w:r>
            <w:r>
              <w:rPr>
                <w:rStyle w:val="18"/>
                <w:sz w:val="24"/>
                <w:szCs w:val="24"/>
                <w:highlight w:val="none"/>
                <w:lang w:bidi="ar"/>
              </w:rPr>
              <w:t>2</w:t>
            </w:r>
            <w:r>
              <w:rPr>
                <w:rStyle w:val="17"/>
                <w:sz w:val="24"/>
                <w:szCs w:val="24"/>
                <w:highlight w:val="none"/>
                <w:lang w:bidi="ar"/>
              </w:rPr>
              <w:t>；</w:t>
            </w:r>
            <w:r>
              <w:rPr>
                <w:rStyle w:val="17"/>
                <w:sz w:val="24"/>
                <w:szCs w:val="24"/>
                <w:highlight w:val="none"/>
                <w:lang w:bidi="ar"/>
              </w:rPr>
              <w:br w:type="textWrapping"/>
            </w:r>
            <w:r>
              <w:rPr>
                <w:rStyle w:val="17"/>
                <w:sz w:val="24"/>
                <w:szCs w:val="24"/>
                <w:highlight w:val="none"/>
                <w:lang w:bidi="ar"/>
              </w:rPr>
              <w:t>6.电梯速度在1m/s-2m/s之间时：平均加速度≥0.48m/s2；</w:t>
            </w:r>
            <w:r>
              <w:rPr>
                <w:rStyle w:val="17"/>
                <w:sz w:val="24"/>
                <w:szCs w:val="24"/>
                <w:highlight w:val="none"/>
                <w:lang w:bidi="ar"/>
              </w:rPr>
              <w:br w:type="textWrapping"/>
            </w:r>
            <w:r>
              <w:rPr>
                <w:rStyle w:val="17"/>
                <w:sz w:val="24"/>
                <w:szCs w:val="24"/>
                <w:highlight w:val="none"/>
                <w:lang w:bidi="ar"/>
              </w:rPr>
              <w:t>7.电梯速度大于2m/s之间时：平均加速度≥0.65m/s2；</w:t>
            </w:r>
            <w:r>
              <w:rPr>
                <w:rStyle w:val="17"/>
                <w:sz w:val="24"/>
                <w:szCs w:val="24"/>
                <w:highlight w:val="none"/>
                <w:lang w:bidi="ar"/>
              </w:rPr>
              <w:br w:type="textWrapping"/>
            </w:r>
            <w:r>
              <w:rPr>
                <w:rStyle w:val="17"/>
                <w:sz w:val="24"/>
                <w:szCs w:val="24"/>
                <w:highlight w:val="none"/>
                <w:lang w:bidi="ar"/>
              </w:rPr>
              <w:t>8.额定载重量不超过630KG；</w:t>
            </w:r>
            <w:r>
              <w:rPr>
                <w:rStyle w:val="17"/>
                <w:sz w:val="24"/>
                <w:szCs w:val="24"/>
                <w:highlight w:val="none"/>
                <w:lang w:bidi="ar"/>
              </w:rPr>
              <w:br w:type="textWrapping"/>
            </w:r>
            <w:r>
              <w:rPr>
                <w:rStyle w:val="17"/>
                <w:sz w:val="24"/>
                <w:szCs w:val="24"/>
                <w:highlight w:val="none"/>
                <w:lang w:bidi="ar"/>
              </w:rPr>
              <w:t>9.符合载人电梯相关国标及安全标准；</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0356B2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877" w:type="dxa"/>
            <w:tcBorders>
              <w:top w:val="single" w:color="000000" w:sz="4" w:space="0"/>
              <w:left w:val="single" w:color="000000" w:sz="4" w:space="0"/>
              <w:bottom w:val="single" w:color="000000" w:sz="4" w:space="0"/>
            </w:tcBorders>
            <w:noWrap w:val="0"/>
            <w:vAlign w:val="center"/>
          </w:tcPr>
          <w:p w14:paraId="6FBD9D3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r w14:paraId="613E9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577" w:type="dxa"/>
            <w:gridSpan w:val="5"/>
            <w:tcBorders>
              <w:top w:val="single" w:color="000000" w:sz="8" w:space="0"/>
              <w:bottom w:val="single" w:color="000000" w:sz="4" w:space="0"/>
            </w:tcBorders>
            <w:noWrap w:val="0"/>
            <w:vAlign w:val="center"/>
          </w:tcPr>
          <w:p w14:paraId="240706B9">
            <w:pPr>
              <w:widowControl/>
              <w:textAlignment w:val="center"/>
              <w:rPr>
                <w:rFonts w:hint="eastAsia"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t>二、设施配套基础改造</w:t>
            </w:r>
          </w:p>
        </w:tc>
      </w:tr>
      <w:tr w14:paraId="70BBA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83" w:type="dxa"/>
            <w:tcBorders>
              <w:top w:val="single" w:color="000000" w:sz="8" w:space="0"/>
              <w:bottom w:val="single" w:color="000000" w:sz="4" w:space="0"/>
              <w:right w:val="single" w:color="000000" w:sz="4" w:space="0"/>
            </w:tcBorders>
            <w:noWrap w:val="0"/>
            <w:vAlign w:val="center"/>
          </w:tcPr>
          <w:p w14:paraId="27DDE909">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1539" w:type="dxa"/>
            <w:tcBorders>
              <w:top w:val="single" w:color="000000" w:sz="8" w:space="0"/>
              <w:left w:val="single" w:color="000000" w:sz="4" w:space="0"/>
              <w:bottom w:val="nil"/>
              <w:right w:val="single" w:color="000000" w:sz="4" w:space="0"/>
            </w:tcBorders>
            <w:noWrap w:val="0"/>
            <w:vAlign w:val="center"/>
          </w:tcPr>
          <w:p w14:paraId="28CDD909">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项目名称</w:t>
            </w:r>
          </w:p>
        </w:tc>
        <w:tc>
          <w:tcPr>
            <w:tcW w:w="5675" w:type="dxa"/>
            <w:tcBorders>
              <w:top w:val="single" w:color="000000" w:sz="8" w:space="0"/>
              <w:left w:val="single" w:color="000000" w:sz="4" w:space="0"/>
              <w:bottom w:val="nil"/>
              <w:right w:val="single" w:color="000000" w:sz="4" w:space="0"/>
            </w:tcBorders>
            <w:noWrap w:val="0"/>
            <w:vAlign w:val="center"/>
          </w:tcPr>
          <w:p w14:paraId="44AA9927">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规格型号/技术参数</w:t>
            </w:r>
          </w:p>
        </w:tc>
        <w:tc>
          <w:tcPr>
            <w:tcW w:w="703" w:type="dxa"/>
            <w:tcBorders>
              <w:top w:val="single" w:color="000000" w:sz="8" w:space="0"/>
              <w:left w:val="single" w:color="000000" w:sz="4" w:space="0"/>
              <w:bottom w:val="nil"/>
              <w:right w:val="single" w:color="000000" w:sz="4" w:space="0"/>
            </w:tcBorders>
            <w:noWrap w:val="0"/>
            <w:vAlign w:val="center"/>
          </w:tcPr>
          <w:p w14:paraId="6D525771">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单位</w:t>
            </w:r>
          </w:p>
        </w:tc>
        <w:tc>
          <w:tcPr>
            <w:tcW w:w="877" w:type="dxa"/>
            <w:tcBorders>
              <w:top w:val="single" w:color="000000" w:sz="8" w:space="0"/>
              <w:left w:val="single" w:color="000000" w:sz="4" w:space="0"/>
              <w:bottom w:val="nil"/>
            </w:tcBorders>
            <w:noWrap w:val="0"/>
            <w:vAlign w:val="center"/>
          </w:tcPr>
          <w:p w14:paraId="0ED63CC5">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数量</w:t>
            </w:r>
          </w:p>
        </w:tc>
      </w:tr>
      <w:tr w14:paraId="1F989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5" w:hRule="atLeast"/>
        </w:trPr>
        <w:tc>
          <w:tcPr>
            <w:tcW w:w="783" w:type="dxa"/>
            <w:tcBorders>
              <w:top w:val="single" w:color="000000" w:sz="4" w:space="0"/>
              <w:bottom w:val="single" w:color="000000" w:sz="4" w:space="0"/>
              <w:right w:val="single" w:color="000000" w:sz="4" w:space="0"/>
            </w:tcBorders>
            <w:noWrap/>
            <w:vAlign w:val="center"/>
          </w:tcPr>
          <w:p w14:paraId="7F98837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D11A78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防水防滑地砖</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0E3ECB6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名称:防水防滑地砖</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部位:非防护房间</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1.8-10厚800*800陶瓷防滑地砖铺实拍平,稀水泥浆擦缝</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2.30厚1:3干硬性水泥砂浆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3.1.5厚聚氨酯防水涂料</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4.20厚1:3水泥砂浆找平层</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5.刷素水泥浆一道</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4CBE50F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423F8FF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733.87 </w:t>
            </w:r>
          </w:p>
        </w:tc>
      </w:tr>
      <w:tr w14:paraId="05A09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0" w:hRule="atLeast"/>
        </w:trPr>
        <w:tc>
          <w:tcPr>
            <w:tcW w:w="783" w:type="dxa"/>
            <w:tcBorders>
              <w:top w:val="single" w:color="000000" w:sz="4" w:space="0"/>
              <w:bottom w:val="single" w:color="000000" w:sz="4" w:space="0"/>
              <w:right w:val="single" w:color="000000" w:sz="4" w:space="0"/>
            </w:tcBorders>
            <w:noWrap/>
            <w:vAlign w:val="center"/>
          </w:tcPr>
          <w:p w14:paraId="09F6CC9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D15507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防水墙砖</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3DE0184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名称:防水面砖墙面</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部位:卫生间</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1.基层墙体</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2.2厚配套专用界面砂浆批刮</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3.7厚1:1:6水泥石灰砂浆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4.6厚1:0.5:2.5水泥石灰砂浆压实抹平</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5.1.5厚聚氨酯防水涂料(满墙涂抹)</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6.素水泥浆一道(用专用胶粘剂粘贴时无此道工序)</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7.3-4厚1:1水泥砂浆加水重20%建筑胶(或配套专用胶粘剂)粘接层</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8.4-5厚300*600mm面砖,白水泥浆擦缝或填缝剂填缝</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35A39F4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55EA479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309.32 </w:t>
            </w:r>
          </w:p>
        </w:tc>
      </w:tr>
      <w:tr w14:paraId="2A4F4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783" w:type="dxa"/>
            <w:tcBorders>
              <w:top w:val="single" w:color="000000" w:sz="4" w:space="0"/>
              <w:bottom w:val="single" w:color="000000" w:sz="4" w:space="0"/>
              <w:right w:val="single" w:color="000000" w:sz="4" w:space="0"/>
            </w:tcBorders>
            <w:noWrap/>
            <w:vAlign w:val="center"/>
          </w:tcPr>
          <w:p w14:paraId="7347B26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9C6DCC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塑胶地板</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55D8F94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名称:2mm厚PVC地胶(同质透心)</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部位:有防护房间</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1.2厚PVC地胶(同质透心)</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2.2-4厚聚氨酯自流平涂层</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3.40厚C25细石混凝土,随打随抹平,表面打磨或喷砂处理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4.素水泥浆一道</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43959DC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692BBAC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617.49</w:t>
            </w:r>
          </w:p>
        </w:tc>
      </w:tr>
      <w:tr w14:paraId="736D1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783" w:type="dxa"/>
            <w:tcBorders>
              <w:top w:val="single" w:color="000000" w:sz="4" w:space="0"/>
              <w:bottom w:val="single" w:color="000000" w:sz="4" w:space="0"/>
              <w:right w:val="single" w:color="000000" w:sz="4" w:space="0"/>
            </w:tcBorders>
            <w:noWrap/>
            <w:vAlign w:val="center"/>
          </w:tcPr>
          <w:p w14:paraId="66B521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872A61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金属踢脚线</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607C340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1.拉丝不锈钢踢脚线1.2mm厚</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2.高度：100mm</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3.部位：非防护房间</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1DCF18C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57E0ACB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52.98</w:t>
            </w:r>
          </w:p>
        </w:tc>
      </w:tr>
      <w:tr w14:paraId="2CA2D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8" w:hRule="atLeast"/>
        </w:trPr>
        <w:tc>
          <w:tcPr>
            <w:tcW w:w="783" w:type="dxa"/>
            <w:tcBorders>
              <w:top w:val="single" w:color="000000" w:sz="4" w:space="0"/>
              <w:bottom w:val="single" w:color="000000" w:sz="4" w:space="0"/>
              <w:right w:val="single" w:color="000000" w:sz="4" w:space="0"/>
            </w:tcBorders>
            <w:noWrap/>
            <w:vAlign w:val="center"/>
          </w:tcPr>
          <w:p w14:paraId="1017AE3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56891F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过门石</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60DCA1C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名称:20mm黑金沙石材门槛石</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部位:非防护房间、卫生间</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1.20mm石材门槛石</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2.30厚1:3干硬性水泥砂浆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3.1.5厚聚氨酯防水涂料</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4.1.5厚聚合物水泥基防水涂料一道</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5.20厚1:3水泥砂浆找平层</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6.刷素水泥浆一道</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D75BC9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66D6C2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11.27 </w:t>
            </w:r>
          </w:p>
        </w:tc>
      </w:tr>
      <w:tr w14:paraId="0CFF0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783" w:type="dxa"/>
            <w:tcBorders>
              <w:top w:val="single" w:color="000000" w:sz="4" w:space="0"/>
              <w:bottom w:val="single" w:color="000000" w:sz="4" w:space="0"/>
              <w:right w:val="single" w:color="000000" w:sz="4" w:space="0"/>
            </w:tcBorders>
            <w:noWrap/>
            <w:vAlign w:val="center"/>
          </w:tcPr>
          <w:p w14:paraId="75FDF4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5051FE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墙面喷刷涂料</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4C8B1A3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名称:防水白色无机涂料内墙面</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部位:非防护房间</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1.基层墙体</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2.2厚配套专用界面砂浆批刮</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3.7厚2:1:8水泥石灰砂浆</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4.6厚1:2水泥砂浆抹平</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5.1.5厚聚氨酯防水涂料(满墙涂抹)</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6.素水泥浆一道(用专用胶粘剂粘贴时无此道工序)</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F60717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1DCB20D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1544.63 </w:t>
            </w:r>
          </w:p>
        </w:tc>
      </w:tr>
      <w:tr w14:paraId="39EE9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6" w:hRule="atLeast"/>
        </w:trPr>
        <w:tc>
          <w:tcPr>
            <w:tcW w:w="783" w:type="dxa"/>
            <w:tcBorders>
              <w:top w:val="single" w:color="000000" w:sz="4" w:space="0"/>
              <w:bottom w:val="single" w:color="000000" w:sz="4" w:space="0"/>
              <w:right w:val="single" w:color="000000" w:sz="4" w:space="0"/>
            </w:tcBorders>
            <w:noWrap/>
            <w:vAlign w:val="center"/>
          </w:tcPr>
          <w:p w14:paraId="5FD6292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A9C1E7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墙面装饰板</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555408B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名称:无机预涂板内墙面</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部位:有防护房间</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1.基层墙体</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2.2mm厚40*20镀锌方刚龙骨架,竖向龙骨中距400,水平龙骨中距1200</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3.安装9mm厚硅钙板</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4.粘接6mm厚无机预涂板</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BE06D0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7CF831A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1511.55 </w:t>
            </w:r>
          </w:p>
        </w:tc>
      </w:tr>
      <w:tr w14:paraId="21C3B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783" w:type="dxa"/>
            <w:tcBorders>
              <w:top w:val="single" w:color="000000" w:sz="4" w:space="0"/>
              <w:bottom w:val="single" w:color="000000" w:sz="4" w:space="0"/>
              <w:right w:val="single" w:color="000000" w:sz="4" w:space="0"/>
            </w:tcBorders>
            <w:noWrap/>
            <w:vAlign w:val="center"/>
          </w:tcPr>
          <w:p w14:paraId="48BEBEE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69A9C8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塑料靠墙扶手</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466D48F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1.扶手材料种类、规格:成品PVC扶手</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2.部位：患者通道</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3.做法详见ZS-23中无障碍走廊PVC扶手节点图</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344401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p>
        </w:tc>
        <w:tc>
          <w:tcPr>
            <w:tcW w:w="877" w:type="dxa"/>
            <w:tcBorders>
              <w:top w:val="single" w:color="000000" w:sz="4" w:space="0"/>
              <w:left w:val="single" w:color="000000" w:sz="4" w:space="0"/>
              <w:bottom w:val="single" w:color="000000" w:sz="4" w:space="0"/>
            </w:tcBorders>
            <w:noWrap/>
            <w:vAlign w:val="center"/>
          </w:tcPr>
          <w:p w14:paraId="1C6672B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49.64 </w:t>
            </w:r>
          </w:p>
        </w:tc>
      </w:tr>
      <w:tr w14:paraId="5BF90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783" w:type="dxa"/>
            <w:tcBorders>
              <w:top w:val="single" w:color="000000" w:sz="4" w:space="0"/>
              <w:bottom w:val="single" w:color="000000" w:sz="4" w:space="0"/>
              <w:right w:val="single" w:color="000000" w:sz="4" w:space="0"/>
            </w:tcBorders>
            <w:noWrap/>
            <w:vAlign w:val="center"/>
          </w:tcPr>
          <w:p w14:paraId="341D325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FC4BA2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矿棉吸音板吊顶</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70A7C6D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名称:矿棉吸音板</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部位:非防护房间</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1.铝合金配套龙骨,主龙骨中距900-1000,T型龙骨中距300-800,横撑中距800</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2.15厚600*600开槽矿棉吸音装饰板</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8CA0E2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2D31861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647.29 </w:t>
            </w:r>
          </w:p>
        </w:tc>
      </w:tr>
      <w:tr w14:paraId="6D03C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783" w:type="dxa"/>
            <w:tcBorders>
              <w:top w:val="single" w:color="000000" w:sz="4" w:space="0"/>
              <w:bottom w:val="single" w:color="000000" w:sz="4" w:space="0"/>
              <w:right w:val="single" w:color="000000" w:sz="4" w:space="0"/>
            </w:tcBorders>
            <w:noWrap/>
            <w:vAlign w:val="center"/>
          </w:tcPr>
          <w:p w14:paraId="43E6AE2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8F77DC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铝扣板吊顶</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5852C97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名称:无孔铝扣板</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部位:有防护房间</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1.铝合金配套龙骨,主龙骨中距900-1000,T型龙骨中距300-800,横撑中距800</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2.1.0厚600*600无孔铝扣板</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2A9AE1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248627A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606.72 </w:t>
            </w:r>
          </w:p>
        </w:tc>
      </w:tr>
      <w:tr w14:paraId="43AA6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83" w:type="dxa"/>
            <w:tcBorders>
              <w:top w:val="single" w:color="000000" w:sz="4" w:space="0"/>
              <w:bottom w:val="single" w:color="000000" w:sz="4" w:space="0"/>
              <w:right w:val="single" w:color="000000" w:sz="4" w:space="0"/>
            </w:tcBorders>
            <w:noWrap/>
            <w:vAlign w:val="center"/>
          </w:tcPr>
          <w:p w14:paraId="6F8EA2A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D07593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软膜天花吊顶</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32B5B7E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名称:无孔铝扣板</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1.40*40*2mm镀锌方管间距600*1000</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2.12mm厚阻燃板、1厚600*600成品铝扣板</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3.18mm厚阻燃板，内部刷白色无机涂料</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4.0.18mm厚专用软膜天花挂件、软膜天花(A级)</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5.部位：CT及DR室</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FF5334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2F26120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54.71 </w:t>
            </w:r>
          </w:p>
        </w:tc>
      </w:tr>
      <w:tr w14:paraId="5CFBE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783" w:type="dxa"/>
            <w:tcBorders>
              <w:top w:val="single" w:color="000000" w:sz="4" w:space="0"/>
              <w:bottom w:val="single" w:color="000000" w:sz="4" w:space="0"/>
              <w:right w:val="single" w:color="000000" w:sz="4" w:space="0"/>
            </w:tcBorders>
            <w:noWrap/>
            <w:vAlign w:val="center"/>
          </w:tcPr>
          <w:p w14:paraId="63F586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D3780C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2mmpb风管防护</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09FE1C7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1.风管铅板包裹</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2.采用2mm铅板完全包裹风管。风管在穿越防护区处,对风管套管也应采用铅板包覆,套管四周铅板外折与墙面防护无缝搭接,搭接长度不小于100mm套管防护长度应不小于矩形长边边长的2倍或圆形风管直径的2倍。</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18619BC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16520CE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392.13 </w:t>
            </w:r>
          </w:p>
        </w:tc>
      </w:tr>
      <w:tr w14:paraId="05033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783" w:type="dxa"/>
            <w:tcBorders>
              <w:top w:val="single" w:color="000000" w:sz="4" w:space="0"/>
              <w:bottom w:val="single" w:color="000000" w:sz="4" w:space="0"/>
              <w:right w:val="single" w:color="000000" w:sz="4" w:space="0"/>
            </w:tcBorders>
            <w:noWrap/>
            <w:vAlign w:val="center"/>
          </w:tcPr>
          <w:p w14:paraId="4071845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E432E3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3mmpb水管防护</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15C5041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1.排水铅板包裹（检查区）</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2.采用3mm铅板完全包裹风管。风管在穿越防护区处,对风管套管也应采用铅板包覆,套管四周铅板外折与墙面防护无缝搭接,搭接长度不小于100mm套管防护长度应不小于矩形长边边长的2倍或圆形风管直径的2倍。</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2C33AE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2A234AF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48.91 </w:t>
            </w:r>
          </w:p>
        </w:tc>
      </w:tr>
      <w:tr w14:paraId="4D118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783" w:type="dxa"/>
            <w:tcBorders>
              <w:top w:val="single" w:color="000000" w:sz="4" w:space="0"/>
              <w:bottom w:val="single" w:color="000000" w:sz="4" w:space="0"/>
              <w:right w:val="single" w:color="000000" w:sz="4" w:space="0"/>
            </w:tcBorders>
            <w:noWrap/>
            <w:vAlign w:val="center"/>
          </w:tcPr>
          <w:p w14:paraId="0D2707B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766B5F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6mmpb水管防护</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531EDEC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1.排水铅板包裹（治疗区）</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2.采用3mm铅板完全包裹风管。风管在穿越防护区处,对风管套管也应采用铅板包覆,套管四周铅板外折与墙面防护无缝搭接,搭接长度不小于100mm套管防护长度应不小于矩形长边边长的2倍或圆形风管直径的2倍。</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E07B5F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m</w:t>
            </w:r>
            <w:r>
              <w:rPr>
                <w:rFonts w:hint="eastAsia" w:ascii="宋体" w:hAnsi="宋体" w:cs="宋体"/>
                <w:color w:val="000000"/>
                <w:kern w:val="0"/>
                <w:sz w:val="24"/>
                <w:highlight w:val="none"/>
                <w:vertAlign w:val="superscript"/>
                <w:lang w:bidi="ar"/>
              </w:rPr>
              <w:t>2</w:t>
            </w:r>
          </w:p>
        </w:tc>
        <w:tc>
          <w:tcPr>
            <w:tcW w:w="877" w:type="dxa"/>
            <w:tcBorders>
              <w:top w:val="single" w:color="000000" w:sz="4" w:space="0"/>
              <w:left w:val="single" w:color="000000" w:sz="4" w:space="0"/>
              <w:bottom w:val="single" w:color="000000" w:sz="4" w:space="0"/>
            </w:tcBorders>
            <w:noWrap/>
            <w:vAlign w:val="center"/>
          </w:tcPr>
          <w:p w14:paraId="5DE6607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78.16 </w:t>
            </w:r>
          </w:p>
        </w:tc>
      </w:tr>
      <w:tr w14:paraId="03589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1" w:hRule="atLeast"/>
        </w:trPr>
        <w:tc>
          <w:tcPr>
            <w:tcW w:w="783" w:type="dxa"/>
            <w:tcBorders>
              <w:top w:val="single" w:color="000000" w:sz="4" w:space="0"/>
              <w:bottom w:val="single" w:color="000000" w:sz="4" w:space="0"/>
              <w:right w:val="single" w:color="000000" w:sz="4" w:space="0"/>
            </w:tcBorders>
            <w:noWrap/>
            <w:vAlign w:val="center"/>
          </w:tcPr>
          <w:p w14:paraId="4380B71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374F7C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管道支架</w:t>
            </w:r>
          </w:p>
        </w:tc>
        <w:tc>
          <w:tcPr>
            <w:tcW w:w="5675" w:type="dxa"/>
            <w:tcBorders>
              <w:top w:val="single" w:color="000000" w:sz="4" w:space="0"/>
              <w:left w:val="single" w:color="000000" w:sz="4" w:space="0"/>
              <w:bottom w:val="single" w:color="000000" w:sz="4" w:space="0"/>
              <w:right w:val="single" w:color="000000" w:sz="4" w:space="0"/>
            </w:tcBorders>
            <w:noWrap w:val="0"/>
            <w:vAlign w:val="center"/>
          </w:tcPr>
          <w:p w14:paraId="06FD773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1.管道支架</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2.管架形式:柔性吊架采用M8吊丝，4#槽钢横担；刚性吊架采用4#槽钢焊接。其中柔性支架固定在结构板上，刚性支架通过埋件焊接至结构梁/结构板上。对于采用柔性吊架的系统，每间隔20m增补一副刚性吊架</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1ECAEC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kg</w:t>
            </w:r>
          </w:p>
        </w:tc>
        <w:tc>
          <w:tcPr>
            <w:tcW w:w="877" w:type="dxa"/>
            <w:tcBorders>
              <w:top w:val="single" w:color="000000" w:sz="4" w:space="0"/>
              <w:left w:val="single" w:color="000000" w:sz="4" w:space="0"/>
              <w:bottom w:val="single" w:color="000000" w:sz="4" w:space="0"/>
            </w:tcBorders>
            <w:noWrap/>
            <w:vAlign w:val="center"/>
          </w:tcPr>
          <w:p w14:paraId="1D85A49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270.31 </w:t>
            </w:r>
          </w:p>
        </w:tc>
      </w:tr>
      <w:tr w14:paraId="58B6E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83" w:type="dxa"/>
            <w:tcBorders>
              <w:top w:val="single" w:color="000000" w:sz="4" w:space="0"/>
              <w:right w:val="single" w:color="000000" w:sz="4" w:space="0"/>
            </w:tcBorders>
            <w:noWrap/>
            <w:vAlign w:val="center"/>
          </w:tcPr>
          <w:p w14:paraId="603E34F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c>
          <w:tcPr>
            <w:tcW w:w="1539" w:type="dxa"/>
            <w:tcBorders>
              <w:top w:val="single" w:color="000000" w:sz="4" w:space="0"/>
              <w:left w:val="single" w:color="000000" w:sz="4" w:space="0"/>
              <w:right w:val="single" w:color="000000" w:sz="4" w:space="0"/>
            </w:tcBorders>
            <w:noWrap/>
            <w:vAlign w:val="center"/>
          </w:tcPr>
          <w:p w14:paraId="455F5C5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电梯间改造</w:t>
            </w:r>
          </w:p>
        </w:tc>
        <w:tc>
          <w:tcPr>
            <w:tcW w:w="5675" w:type="dxa"/>
            <w:tcBorders>
              <w:top w:val="single" w:color="000000" w:sz="4" w:space="0"/>
              <w:left w:val="single" w:color="000000" w:sz="4" w:space="0"/>
              <w:right w:val="single" w:color="000000" w:sz="4" w:space="0"/>
            </w:tcBorders>
            <w:noWrap w:val="0"/>
            <w:vAlign w:val="center"/>
          </w:tcPr>
          <w:p w14:paraId="3F786EE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1.拆除C30钢筋混凝土2m</w:t>
            </w:r>
            <w:r>
              <w:rPr>
                <w:rFonts w:hint="eastAsia" w:ascii="宋体" w:hAnsi="宋体" w:cs="宋体"/>
                <w:color w:val="000000"/>
                <w:kern w:val="0"/>
                <w:sz w:val="24"/>
                <w:highlight w:val="none"/>
                <w:vertAlign w:val="superscript"/>
                <w:lang w:bidi="ar"/>
              </w:rPr>
              <w:t>3</w:t>
            </w:r>
            <w:r>
              <w:rPr>
                <w:rFonts w:hint="eastAsia" w:ascii="宋体" w:hAnsi="宋体" w:cs="宋体"/>
                <w:color w:val="000000"/>
                <w:kern w:val="0"/>
                <w:sz w:val="24"/>
                <w:highlight w:val="none"/>
                <w:lang w:bidi="ar"/>
              </w:rPr>
              <w:t>，含垃圾清运；</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2.电梯间304不锈钢门套，厚度1.2mm，数量10.4延米</w:t>
            </w:r>
          </w:p>
        </w:tc>
        <w:tc>
          <w:tcPr>
            <w:tcW w:w="703" w:type="dxa"/>
            <w:tcBorders>
              <w:top w:val="single" w:color="000000" w:sz="4" w:space="0"/>
              <w:left w:val="single" w:color="000000" w:sz="4" w:space="0"/>
              <w:right w:val="single" w:color="000000" w:sz="4" w:space="0"/>
            </w:tcBorders>
            <w:noWrap/>
            <w:vAlign w:val="center"/>
          </w:tcPr>
          <w:p w14:paraId="781BFF1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项</w:t>
            </w:r>
          </w:p>
        </w:tc>
        <w:tc>
          <w:tcPr>
            <w:tcW w:w="877" w:type="dxa"/>
            <w:tcBorders>
              <w:top w:val="single" w:color="000000" w:sz="4" w:space="0"/>
              <w:left w:val="single" w:color="000000" w:sz="4" w:space="0"/>
            </w:tcBorders>
            <w:noWrap/>
            <w:vAlign w:val="center"/>
          </w:tcPr>
          <w:p w14:paraId="569A21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 xml:space="preserve">1.00 </w:t>
            </w:r>
          </w:p>
        </w:tc>
      </w:tr>
    </w:tbl>
    <w:p w14:paraId="4E6FDB82">
      <w:pPr>
        <w:rPr>
          <w:rFonts w:ascii="Times New Roman" w:hAnsi="Times New Roman"/>
          <w:szCs w:val="22"/>
        </w:rPr>
      </w:pPr>
    </w:p>
    <w:p w14:paraId="1521DEC8">
      <w:pPr>
        <w:rPr>
          <w:rFonts w:hint="eastAsia" w:ascii="Times New Roman" w:hAnsi="Times New Roman"/>
          <w:color w:val="auto"/>
          <w:szCs w:val="22"/>
          <w:highlight w:val="none"/>
        </w:rPr>
      </w:pPr>
      <w:r>
        <w:rPr>
          <w:rFonts w:hint="eastAsia" w:ascii="Times New Roman" w:hAnsi="Times New Roman"/>
          <w:color w:val="auto"/>
          <w:szCs w:val="22"/>
          <w:highlight w:val="none"/>
        </w:rPr>
        <w:t>注：中标人需参考设计</w:t>
      </w:r>
      <w:bookmarkStart w:id="34" w:name="_GoBack"/>
      <w:bookmarkEnd w:id="34"/>
      <w:r>
        <w:rPr>
          <w:rFonts w:hint="eastAsia" w:ascii="Times New Roman" w:hAnsi="Times New Roman"/>
          <w:color w:val="auto"/>
          <w:szCs w:val="22"/>
          <w:highlight w:val="none"/>
        </w:rPr>
        <w:t>图纸要求进行安装调试，并最终通过相关部门验收合格。（详见附件）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A00002BF" w:usb1="78CF7CFB" w:usb2="00000016" w:usb3="00000000" w:csb0="6006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89D14"/>
    <w:multiLevelType w:val="multilevel"/>
    <w:tmpl w:val="FD389D14"/>
    <w:lvl w:ilvl="0" w:tentative="0">
      <w:start w:val="1"/>
      <w:numFmt w:val="chineseCounting"/>
      <w:pStyle w:val="3"/>
      <w:suff w:val="nothing"/>
      <w:lvlText w:val="%1、"/>
      <w:lvlJc w:val="left"/>
      <w:pPr>
        <w:tabs>
          <w:tab w:val="left" w:pos="0"/>
        </w:tabs>
        <w:ind w:left="0" w:firstLine="0"/>
      </w:pPr>
      <w:rPr>
        <w:rFonts w:hint="eastAsia" w:ascii="微软雅黑" w:hAnsi="微软雅黑" w:eastAsia="微软雅黑"/>
      </w:rPr>
    </w:lvl>
    <w:lvl w:ilvl="1" w:tentative="0">
      <w:start w:val="1"/>
      <w:numFmt w:val="decimal"/>
      <w:pStyle w:val="4"/>
      <w:suff w:val="nothing"/>
      <w:lvlText w:val="%2．"/>
      <w:lvlJc w:val="left"/>
      <w:pPr>
        <w:tabs>
          <w:tab w:val="left" w:pos="0"/>
        </w:tabs>
        <w:ind w:left="0" w:firstLine="0"/>
      </w:pPr>
      <w:rPr>
        <w:rFonts w:hint="eastAsia" w:ascii="微软雅黑" w:hAnsi="微软雅黑" w:eastAsia="微软雅黑"/>
      </w:rPr>
    </w:lvl>
    <w:lvl w:ilvl="2" w:tentative="0">
      <w:start w:val="1"/>
      <w:numFmt w:val="decimal"/>
      <w:pStyle w:val="5"/>
      <w:suff w:val="nothing"/>
      <w:lvlText w:val="(%3) "/>
      <w:lvlJc w:val="left"/>
      <w:pPr>
        <w:ind w:left="0" w:firstLine="0"/>
      </w:pPr>
      <w:rPr>
        <w:rFonts w:hint="eastAsia" w:ascii="微软雅黑" w:hAnsi="微软雅黑" w:eastAsia="微软雅黑"/>
      </w:rPr>
    </w:lvl>
    <w:lvl w:ilvl="3" w:tentative="0">
      <w:start w:val="1"/>
      <w:numFmt w:val="upperLetter"/>
      <w:pStyle w:val="6"/>
      <w:suff w:val="nothing"/>
      <w:lvlText w:val="%4．"/>
      <w:lvlJc w:val="left"/>
      <w:pPr>
        <w:tabs>
          <w:tab w:val="left" w:pos="0"/>
        </w:tabs>
        <w:ind w:left="0" w:firstLine="0"/>
      </w:pPr>
      <w:rPr>
        <w:rFonts w:hint="eastAsia" w:ascii="微软雅黑" w:hAnsi="微软雅黑" w:eastAsia="微软雅黑"/>
      </w:rPr>
    </w:lvl>
    <w:lvl w:ilvl="4" w:tentative="0">
      <w:start w:val="1"/>
      <w:numFmt w:val="lowerLetter"/>
      <w:pStyle w:val="7"/>
      <w:suff w:val="nothing"/>
      <w:lvlText w:val="%5．"/>
      <w:lvlJc w:val="left"/>
      <w:pPr>
        <w:tabs>
          <w:tab w:val="left" w:pos="0"/>
        </w:tabs>
        <w:ind w:left="0" w:firstLine="0"/>
      </w:pPr>
      <w:rPr>
        <w:rFonts w:hint="eastAsia" w:ascii="微软雅黑" w:hAnsi="微软雅黑" w:eastAsia="微软雅黑"/>
      </w:rPr>
    </w:lvl>
    <w:lvl w:ilvl="5" w:tentative="0">
      <w:start w:val="1"/>
      <w:numFmt w:val="lowerLetter"/>
      <w:pStyle w:val="8"/>
      <w:suff w:val="nothing"/>
      <w:lvlText w:val="%6）"/>
      <w:lvlJc w:val="left"/>
      <w:pPr>
        <w:ind w:left="0" w:firstLine="0"/>
      </w:pPr>
      <w:rPr>
        <w:rFonts w:hint="eastAsia" w:ascii="微软雅黑" w:hAnsi="微软雅黑" w:eastAsia="微软雅黑"/>
      </w:rPr>
    </w:lvl>
    <w:lvl w:ilvl="6" w:tentative="0">
      <w:start w:val="1"/>
      <w:numFmt w:val="upperRoman"/>
      <w:pStyle w:val="9"/>
      <w:suff w:val="nothing"/>
      <w:lvlText w:val="%7．"/>
      <w:lvlJc w:val="left"/>
      <w:pPr>
        <w:ind w:left="0" w:firstLine="0"/>
      </w:pPr>
      <w:rPr>
        <w:rFonts w:hint="eastAsia" w:ascii="微软雅黑" w:hAnsi="微软雅黑" w:eastAsia="微软雅黑"/>
      </w:rPr>
    </w:lvl>
    <w:lvl w:ilvl="7" w:tentative="0">
      <w:start w:val="1"/>
      <w:numFmt w:val="lowerRoman"/>
      <w:pStyle w:val="10"/>
      <w:suff w:val="nothing"/>
      <w:lvlText w:val="%8．"/>
      <w:lvlJc w:val="left"/>
      <w:pPr>
        <w:ind w:left="0" w:firstLine="0"/>
      </w:pPr>
      <w:rPr>
        <w:rFonts w:hint="eastAsia" w:ascii="微软雅黑" w:hAnsi="微软雅黑" w:eastAsia="微软雅黑"/>
      </w:rPr>
    </w:lvl>
    <w:lvl w:ilvl="8" w:tentative="0">
      <w:start w:val="1"/>
      <w:numFmt w:val="lowerRoman"/>
      <w:pStyle w:val="11"/>
      <w:suff w:val="nothing"/>
      <w:lvlText w:val="%9）"/>
      <w:lvlJc w:val="left"/>
      <w:pPr>
        <w:tabs>
          <w:tab w:val="left" w:pos="0"/>
        </w:tabs>
        <w:ind w:left="0" w:firstLine="0"/>
      </w:pPr>
      <w:rPr>
        <w:rFonts w:hint="eastAsia" w:ascii="微软雅黑" w:hAnsi="微软雅黑" w:eastAsia="微软雅黑"/>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72CB3"/>
    <w:rsid w:val="0393501D"/>
    <w:rsid w:val="08F73AD5"/>
    <w:rsid w:val="16AB496B"/>
    <w:rsid w:val="192E36A5"/>
    <w:rsid w:val="20906BA9"/>
    <w:rsid w:val="25197868"/>
    <w:rsid w:val="2F972CB3"/>
    <w:rsid w:val="34C410AF"/>
    <w:rsid w:val="37437C6B"/>
    <w:rsid w:val="3C046E5F"/>
    <w:rsid w:val="44811E42"/>
    <w:rsid w:val="6AD20D00"/>
    <w:rsid w:val="6D3A032C"/>
    <w:rsid w:val="6E021177"/>
    <w:rsid w:val="718D7359"/>
    <w:rsid w:val="72E81551"/>
    <w:rsid w:val="78747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420"/>
      </w:tabs>
      <w:adjustRightInd w:val="0"/>
      <w:snapToGrid w:val="0"/>
      <w:spacing w:before="50" w:beforeLines="50" w:after="50" w:afterLines="50"/>
      <w:jc w:val="center"/>
      <w:outlineLvl w:val="0"/>
    </w:pPr>
    <w:rPr>
      <w:rFonts w:ascii="微软雅黑" w:hAnsi="微软雅黑" w:cs="Times New Roman"/>
      <w:b/>
      <w:bCs/>
      <w:color w:val="262626" w:themeColor="text1" w:themeTint="D9"/>
      <w:kern w:val="44"/>
      <w:sz w:val="44"/>
      <w:szCs w:val="30"/>
      <w14:textFill>
        <w14:solidFill>
          <w14:schemeClr w14:val="tx1">
            <w14:lumMod w14:val="85000"/>
            <w14:lumOff w14:val="15000"/>
          </w14:schemeClr>
        </w14:solidFill>
      </w14:textFill>
    </w:rPr>
  </w:style>
  <w:style w:type="paragraph" w:styleId="4">
    <w:name w:val="heading 2"/>
    <w:next w:val="1"/>
    <w:link w:val="16"/>
    <w:semiHidden/>
    <w:unhideWhenUsed/>
    <w:qFormat/>
    <w:uiPriority w:val="0"/>
    <w:pPr>
      <w:numPr>
        <w:ilvl w:val="1"/>
        <w:numId w:val="1"/>
      </w:numPr>
      <w:adjustRightInd w:val="0"/>
      <w:snapToGrid w:val="0"/>
      <w:spacing w:before="50" w:beforeLines="50" w:after="50" w:afterLines="50"/>
      <w:jc w:val="center"/>
      <w:outlineLvl w:val="1"/>
    </w:pPr>
    <w:rPr>
      <w:rFonts w:ascii="微软雅黑" w:hAnsi="微软雅黑" w:eastAsia="仿宋" w:cs="Times New Roman"/>
      <w:b/>
      <w:bCs/>
      <w:color w:val="000000" w:themeColor="text1"/>
      <w:kern w:val="2"/>
      <w:sz w:val="30"/>
      <w:szCs w:val="28"/>
      <w:lang w:val="en-US" w:eastAsia="zh-CN" w:bidi="ar-SA"/>
      <w14:textFill>
        <w14:solidFill>
          <w14:schemeClr w14:val="tx1"/>
        </w14:solidFill>
      </w14:textFill>
    </w:rPr>
  </w:style>
  <w:style w:type="paragraph" w:styleId="5">
    <w:name w:val="heading 3"/>
    <w:basedOn w:val="1"/>
    <w:next w:val="1"/>
    <w:semiHidden/>
    <w:unhideWhenUsed/>
    <w:qFormat/>
    <w:uiPriority w:val="0"/>
    <w:pPr>
      <w:numPr>
        <w:ilvl w:val="2"/>
        <w:numId w:val="1"/>
      </w:numPr>
      <w:tabs>
        <w:tab w:val="left" w:pos="312"/>
      </w:tabs>
      <w:adjustRightInd w:val="0"/>
      <w:snapToGrid w:val="0"/>
      <w:spacing w:before="50" w:beforeLines="50" w:after="50" w:afterLines="50"/>
      <w:jc w:val="center"/>
      <w:outlineLvl w:val="2"/>
    </w:pPr>
    <w:rPr>
      <w:rFonts w:ascii="微软雅黑" w:hAnsi="微软雅黑" w:eastAsia="仿宋" w:cs="Times New Roman"/>
      <w:b/>
      <w:bCs/>
      <w:color w:val="000000" w:themeColor="text1"/>
      <w:sz w:val="28"/>
      <w:szCs w:val="24"/>
      <w14:textFill>
        <w14:solidFill>
          <w14:schemeClr w14:val="tx1"/>
        </w14:solidFill>
      </w14:textFill>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jc w:val="center"/>
      <w:outlineLvl w:val="3"/>
    </w:pPr>
    <w:rPr>
      <w:rFonts w:ascii="Arial" w:hAnsi="Arial" w:eastAsia="仿宋"/>
      <w:b/>
      <w:sz w:val="24"/>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2">
    <w:name w:val="Body Text Indent"/>
    <w:basedOn w:val="1"/>
    <w:qFormat/>
    <w:uiPriority w:val="0"/>
    <w:pPr>
      <w:spacing w:after="120" w:afterLines="0" w:afterAutospacing="0"/>
      <w:ind w:left="420" w:leftChars="200"/>
    </w:pPr>
  </w:style>
  <w:style w:type="paragraph" w:styleId="13">
    <w:name w:val="Body Text First Indent 2"/>
    <w:basedOn w:val="12"/>
    <w:qFormat/>
    <w:uiPriority w:val="0"/>
    <w:pPr>
      <w:ind w:firstLine="420" w:firstLineChars="200"/>
    </w:pPr>
  </w:style>
  <w:style w:type="character" w:customStyle="1" w:styleId="16">
    <w:name w:val="标题 2 字符"/>
    <w:link w:val="4"/>
    <w:autoRedefine/>
    <w:qFormat/>
    <w:uiPriority w:val="9"/>
    <w:rPr>
      <w:rFonts w:ascii="微软雅黑" w:hAnsi="微软雅黑" w:eastAsia="仿宋" w:cs="Times New Roman"/>
      <w:b/>
      <w:bCs/>
      <w:color w:val="000000" w:themeColor="text1"/>
      <w:kern w:val="2"/>
      <w:sz w:val="30"/>
      <w:szCs w:val="28"/>
      <w:lang w:val="en-US" w:eastAsia="zh-CN" w:bidi="ar-SA"/>
      <w14:textFill>
        <w14:solidFill>
          <w14:schemeClr w14:val="tx1"/>
        </w14:solidFill>
      </w14:textFill>
    </w:rPr>
  </w:style>
  <w:style w:type="character" w:customStyle="1" w:styleId="17">
    <w:name w:val="font11"/>
    <w:qFormat/>
    <w:uiPriority w:val="0"/>
    <w:rPr>
      <w:rFonts w:hint="eastAsia" w:ascii="宋体" w:hAnsi="宋体" w:eastAsia="宋体" w:cs="宋体"/>
      <w:color w:val="000000"/>
      <w:sz w:val="18"/>
      <w:szCs w:val="18"/>
      <w:u w:val="none"/>
    </w:rPr>
  </w:style>
  <w:style w:type="character" w:customStyle="1" w:styleId="18">
    <w:name w:val="font21"/>
    <w:qFormat/>
    <w:uiPriority w:val="0"/>
    <w:rPr>
      <w:rFonts w:hint="eastAsia" w:ascii="宋体" w:hAnsi="宋体" w:eastAsia="宋体" w:cs="宋体"/>
      <w:color w:val="000000"/>
      <w:sz w:val="18"/>
      <w:szCs w:val="18"/>
      <w:u w:val="none"/>
      <w:vertAlign w:val="superscript"/>
    </w:rPr>
  </w:style>
  <w:style w:type="paragraph" w:customStyle="1" w:styleId="1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12449</Words>
  <Characters>14552</Characters>
  <Lines>0</Lines>
  <Paragraphs>0</Paragraphs>
  <TotalTime>4</TotalTime>
  <ScaleCrop>false</ScaleCrop>
  <LinksUpToDate>false</LinksUpToDate>
  <CharactersWithSpaces>14950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2026-03-12T06:53:00Z</dcterms:created>
  <dc:creator>Administrator</dc:creator>
  <cp:lastModifiedBy>Administrator</cp:lastModifiedBy>
  <dcterms:modified xsi:type="dcterms:W3CDTF">2026-03-13T02:09:32Z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9C7148AF732441719E3656475D77A2A3_13</vt:lpwstr>
  </property>
  <property fmtid="{D5CDD505-2E9C-101B-9397-08002B2CF9AE}" pid="4" name="KSOTemplateDocerSaveRecord">
    <vt:lpwstr>eyJoZGlkIjoiNTZhMWQzZTQ2NmZkNzllYTA1MmJlZDI1M2M3ZTExMDUiLCJ1c2VySWQiOiIxMTQ0NTQ5NjU1In0=</vt:lpwstr>
  </property>
</Properties>
</file>