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auto"/>
          <w:sz w:val="44"/>
          <w:szCs w:val="44"/>
        </w:rPr>
      </w:pPr>
    </w:p>
    <w:p>
      <w:pPr>
        <w:jc w:val="center"/>
        <w:rPr>
          <w:rFonts w:ascii="华文隶书" w:eastAsia="华文隶书"/>
          <w:bCs/>
          <w:color w:val="auto"/>
          <w:w w:val="90"/>
          <w:sz w:val="96"/>
        </w:rPr>
      </w:pPr>
      <w:r>
        <w:rPr>
          <w:rFonts w:hint="eastAsia" w:ascii="黑体" w:hAnsi="黑体" w:eastAsia="黑体" w:cs="黑体"/>
          <w:bCs/>
          <w:color w:val="auto"/>
          <w:sz w:val="36"/>
          <w:szCs w:val="36"/>
        </w:rPr>
        <w:t>禹州市中心医院64排CT球管及胃镜医疗设备维修项目（不见面开标）</w:t>
      </w:r>
    </w:p>
    <w:p>
      <w:pPr>
        <w:pStyle w:val="33"/>
        <w:ind w:firstLine="0" w:firstLineChars="0"/>
        <w:rPr>
          <w:rFonts w:ascii="华文隶书" w:eastAsia="华文隶书"/>
          <w:bCs/>
          <w:color w:val="auto"/>
          <w:w w:val="90"/>
          <w:sz w:val="96"/>
        </w:rPr>
      </w:pPr>
    </w:p>
    <w:p>
      <w:pPr>
        <w:pStyle w:val="33"/>
        <w:ind w:firstLine="0" w:firstLineChars="0"/>
        <w:rPr>
          <w:rFonts w:ascii="华文隶书" w:eastAsia="华文隶书"/>
          <w:bCs/>
          <w:color w:val="auto"/>
          <w:w w:val="90"/>
          <w:sz w:val="96"/>
        </w:rPr>
      </w:pPr>
    </w:p>
    <w:p>
      <w:pPr>
        <w:pStyle w:val="34"/>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10"/>
        <w:rPr>
          <w:color w:val="auto"/>
        </w:rPr>
      </w:pPr>
    </w:p>
    <w:p>
      <w:pPr>
        <w:pStyle w:val="11"/>
        <w:rPr>
          <w:color w:val="auto"/>
        </w:rPr>
      </w:pPr>
    </w:p>
    <w:p>
      <w:pPr>
        <w:pStyle w:val="2"/>
        <w:numPr>
          <w:ilvl w:val="3"/>
          <w:numId w:val="0"/>
        </w:numPr>
        <w:rPr>
          <w:color w:val="auto"/>
        </w:rPr>
      </w:pPr>
    </w:p>
    <w:p>
      <w:pPr>
        <w:rPr>
          <w:rFonts w:ascii="微软简隶书" w:eastAsia="微软简隶书"/>
          <w:color w:val="auto"/>
        </w:rPr>
      </w:pPr>
    </w:p>
    <w:p>
      <w:pPr>
        <w:rPr>
          <w:rFonts w:ascii="微软简隶书" w:eastAsia="微软简隶书"/>
          <w:color w:val="auto"/>
        </w:rPr>
      </w:pPr>
    </w:p>
    <w:p>
      <w:pPr>
        <w:spacing w:line="600" w:lineRule="exact"/>
        <w:ind w:firstLine="1066" w:firstLineChars="295"/>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采购编号：YZCG-DLT</w:t>
      </w:r>
      <w:r>
        <w:rPr>
          <w:rFonts w:hint="eastAsia" w:asciiTheme="majorEastAsia" w:hAnsiTheme="majorEastAsia" w:eastAsiaTheme="majorEastAsia" w:cstheme="majorEastAsia"/>
          <w:b/>
          <w:bCs/>
          <w:color w:val="auto"/>
          <w:sz w:val="36"/>
          <w:szCs w:val="36"/>
          <w:lang w:val="en-US" w:eastAsia="zh-CN"/>
        </w:rPr>
        <w:t xml:space="preserve">2022001 </w:t>
      </w:r>
    </w:p>
    <w:p>
      <w:pPr>
        <w:ind w:firstLine="1066" w:firstLineChars="295"/>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采购单位：禹州市中心医院</w:t>
      </w:r>
    </w:p>
    <w:p>
      <w:pPr>
        <w:ind w:firstLine="1066" w:firstLineChars="295"/>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代理机构：许昌丰元咨询管理有限公司</w:t>
      </w:r>
    </w:p>
    <w:p>
      <w:pPr>
        <w:jc w:val="center"/>
        <w:rPr>
          <w:rFonts w:cs="黑体" w:asciiTheme="minorEastAsia" w:hAnsiTheme="minorEastAsia" w:eastAsiaTheme="majorEastAsia"/>
          <w:b/>
          <w:bCs/>
          <w:color w:val="auto"/>
          <w:sz w:val="44"/>
          <w:szCs w:val="44"/>
          <w:lang w:val="zh-CN"/>
        </w:rPr>
        <w:sectPr>
          <w:pgSz w:w="11906" w:h="16838"/>
          <w:pgMar w:top="2098" w:right="1474" w:bottom="1928" w:left="1588" w:header="851" w:footer="992" w:gutter="0"/>
          <w:cols w:space="425" w:num="1"/>
          <w:docGrid w:type="lines" w:linePitch="312" w:charSpace="0"/>
        </w:sectPr>
      </w:pPr>
      <w:r>
        <w:rPr>
          <w:rFonts w:hint="eastAsia" w:asciiTheme="majorEastAsia" w:hAnsiTheme="majorEastAsia" w:eastAsiaTheme="majorEastAsia" w:cstheme="majorEastAsia"/>
          <w:b/>
          <w:bCs/>
          <w:color w:val="auto"/>
          <w:sz w:val="36"/>
          <w:szCs w:val="36"/>
        </w:rPr>
        <w:t>二〇二</w:t>
      </w:r>
      <w:r>
        <w:rPr>
          <w:rFonts w:hint="eastAsia" w:asciiTheme="majorEastAsia" w:hAnsiTheme="majorEastAsia" w:eastAsiaTheme="majorEastAsia" w:cstheme="majorEastAsia"/>
          <w:b/>
          <w:bCs/>
          <w:color w:val="auto"/>
          <w:sz w:val="36"/>
          <w:szCs w:val="36"/>
          <w:lang w:val="en-US" w:eastAsia="zh-CN"/>
        </w:rPr>
        <w:t>二</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val="en-US" w:eastAsia="zh-CN"/>
        </w:rPr>
        <w:t>一</w:t>
      </w:r>
      <w:r>
        <w:rPr>
          <w:rFonts w:hint="eastAsia" w:asciiTheme="majorEastAsia" w:hAnsiTheme="majorEastAsia" w:eastAsiaTheme="majorEastAsia" w:cstheme="majorEastAsia"/>
          <w:b/>
          <w:bCs/>
          <w:color w:val="auto"/>
          <w:sz w:val="36"/>
          <w:szCs w:val="36"/>
        </w:rPr>
        <w:t>月</w:t>
      </w: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jc w:val="center"/>
        <w:rPr>
          <w:color w:val="auto"/>
        </w:rPr>
      </w:pPr>
      <w:r>
        <w:rPr>
          <w:rFonts w:hint="eastAsia" w:cs="宋体" w:asciiTheme="majorEastAsia" w:hAnsiTheme="majorEastAsia" w:eastAsiaTheme="majorEastAsia"/>
          <w:b/>
          <w:color w:val="auto"/>
          <w:kern w:val="0"/>
          <w:sz w:val="32"/>
          <w:szCs w:val="32"/>
        </w:rPr>
        <w:t>第一章谈判邀请</w:t>
      </w:r>
    </w:p>
    <w:p>
      <w:pPr>
        <w:spacing w:line="440" w:lineRule="exact"/>
        <w:ind w:firstLine="420" w:firstLineChars="200"/>
        <w:rPr>
          <w:rFonts w:hint="eastAsia" w:ascii="宋体" w:hAnsi="宋体" w:cs="宋体"/>
          <w:b/>
          <w:bCs/>
          <w:color w:val="auto"/>
          <w:szCs w:val="21"/>
          <w:shd w:val="clear" w:color="auto" w:fill="FFFFFF"/>
        </w:rPr>
      </w:pPr>
      <w:r>
        <w:rPr>
          <w:rFonts w:hint="eastAsia" w:ascii="宋体" w:hAnsi="宋体" w:eastAsia="宋体" w:cs="宋体"/>
          <w:color w:val="auto"/>
          <w:szCs w:val="21"/>
          <w:shd w:val="clear" w:color="auto" w:fill="FFFFFF"/>
        </w:rPr>
        <w:t>许昌丰元咨询管理有限公司受禹州市中心医院的委托，就“禹州市中心医院64排CT球管及胃镜医疗设备维修项目”进行竞争性谈判</w:t>
      </w:r>
      <w:r>
        <w:rPr>
          <w:rFonts w:hint="eastAsia" w:ascii="宋体" w:hAnsi="宋体" w:eastAsia="宋体" w:cs="宋体"/>
          <w:color w:val="auto"/>
          <w:szCs w:val="21"/>
          <w:shd w:val="clear" w:color="auto" w:fill="FFFFFF"/>
          <w:lang w:eastAsia="zh-CN"/>
        </w:rPr>
        <w:t>采购</w:t>
      </w:r>
      <w:r>
        <w:rPr>
          <w:rFonts w:hint="eastAsia" w:ascii="宋体" w:hAnsi="宋体" w:eastAsia="宋体" w:cs="宋体"/>
          <w:color w:val="auto"/>
          <w:szCs w:val="21"/>
          <w:shd w:val="clear" w:color="auto" w:fill="FFFFFF"/>
        </w:rPr>
        <w:t>，欢迎</w:t>
      </w:r>
      <w:r>
        <w:rPr>
          <w:rFonts w:hint="eastAsia" w:ascii="宋体" w:hAnsi="宋体" w:eastAsia="宋体" w:cs="宋体"/>
          <w:color w:val="auto"/>
          <w:szCs w:val="21"/>
          <w:shd w:val="clear" w:color="auto" w:fill="FFFFFF"/>
          <w:lang w:eastAsia="zh-CN"/>
        </w:rPr>
        <w:t>符合本谈判文件规定条件</w:t>
      </w:r>
      <w:r>
        <w:rPr>
          <w:rFonts w:hint="eastAsia" w:ascii="宋体" w:hAnsi="宋体" w:eastAsia="宋体" w:cs="宋体"/>
          <w:color w:val="auto"/>
          <w:szCs w:val="21"/>
          <w:shd w:val="clear" w:color="auto" w:fill="FFFFFF"/>
        </w:rPr>
        <w:t>的</w:t>
      </w:r>
      <w:r>
        <w:rPr>
          <w:rFonts w:hint="eastAsia" w:ascii="宋体" w:hAnsi="宋体" w:eastAsia="宋体" w:cs="宋体"/>
          <w:color w:val="auto"/>
          <w:szCs w:val="21"/>
          <w:shd w:val="clear" w:color="auto" w:fill="FFFFFF"/>
          <w:lang w:eastAsia="zh-CN"/>
        </w:rPr>
        <w:t>供应商</w:t>
      </w:r>
      <w:r>
        <w:rPr>
          <w:rFonts w:hint="eastAsia" w:ascii="宋体" w:hAnsi="宋体" w:eastAsia="宋体" w:cs="宋体"/>
          <w:color w:val="auto"/>
          <w:szCs w:val="21"/>
          <w:shd w:val="clear" w:color="auto" w:fill="FFFFFF"/>
        </w:rPr>
        <w:t>前来</w:t>
      </w:r>
      <w:r>
        <w:rPr>
          <w:rFonts w:hint="eastAsia" w:ascii="宋体" w:hAnsi="宋体" w:eastAsia="宋体" w:cs="宋体"/>
          <w:color w:val="auto"/>
          <w:szCs w:val="21"/>
          <w:shd w:val="clear" w:color="auto" w:fill="FFFFFF"/>
          <w:lang w:eastAsia="zh-CN"/>
        </w:rPr>
        <w:t>谈判</w:t>
      </w:r>
      <w:r>
        <w:rPr>
          <w:rFonts w:hint="eastAsia" w:ascii="宋体" w:hAnsi="宋体" w:eastAsia="宋体" w:cs="宋体"/>
          <w:color w:val="auto"/>
          <w:szCs w:val="21"/>
          <w:shd w:val="clear" w:color="auto" w:fill="FFFFFF"/>
        </w:rPr>
        <w:t>。</w:t>
      </w:r>
    </w:p>
    <w:p>
      <w:pPr>
        <w:numPr>
          <w:ilvl w:val="0"/>
          <w:numId w:val="4"/>
        </w:num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项目基本情况</w:t>
      </w:r>
    </w:p>
    <w:p>
      <w:pPr>
        <w:numPr>
          <w:ilvl w:val="0"/>
          <w:numId w:val="0"/>
        </w:numPr>
        <w:spacing w:line="440" w:lineRule="exact"/>
        <w:ind w:firstLine="420" w:firstLineChars="200"/>
        <w:rPr>
          <w:rFonts w:hint="eastAsia" w:ascii="宋体" w:hAnsi="宋体" w:eastAsia="宋体" w:cs="宋体"/>
          <w:b/>
          <w:bCs/>
          <w:color w:val="auto"/>
          <w:szCs w:val="21"/>
          <w:shd w:val="clear" w:color="auto" w:fill="FFFFFF"/>
          <w:lang w:eastAsia="zh-CN"/>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lang w:eastAsia="zh-CN"/>
        </w:rPr>
        <w:t>、项目</w:t>
      </w:r>
      <w:r>
        <w:rPr>
          <w:rFonts w:hint="eastAsia" w:ascii="宋体" w:hAnsi="宋体" w:eastAsia="宋体" w:cs="宋体"/>
          <w:color w:val="auto"/>
          <w:szCs w:val="21"/>
          <w:shd w:val="clear" w:color="auto" w:fill="FFFFFF"/>
        </w:rPr>
        <w:t>编号：YZCG-DLT</w:t>
      </w:r>
      <w:r>
        <w:rPr>
          <w:rFonts w:hint="eastAsia" w:ascii="宋体" w:hAnsi="宋体" w:eastAsia="宋体" w:cs="宋体"/>
          <w:color w:val="auto"/>
          <w:szCs w:val="21"/>
          <w:shd w:val="clear" w:color="auto" w:fill="FFFFFF"/>
          <w:lang w:val="en-US" w:eastAsia="zh-CN"/>
        </w:rPr>
        <w:t xml:space="preserve">2022001 </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、项目名称：</w:t>
      </w:r>
      <w:bookmarkStart w:id="2" w:name="_GoBack"/>
      <w:r>
        <w:rPr>
          <w:rFonts w:hint="eastAsia" w:ascii="宋体" w:hAnsi="宋体" w:eastAsia="宋体" w:cs="宋体"/>
          <w:color w:val="auto"/>
          <w:szCs w:val="21"/>
          <w:shd w:val="clear" w:color="auto" w:fill="FFFFFF"/>
        </w:rPr>
        <w:t>禹州市中心医院64排CT球管及胃镜医疗设备维修项目</w:t>
      </w:r>
    </w:p>
    <w:bookmarkEnd w:id="2"/>
    <w:p>
      <w:pPr>
        <w:spacing w:line="440" w:lineRule="exact"/>
        <w:ind w:firstLine="420" w:firstLineChars="200"/>
        <w:rPr>
          <w:rFonts w:hint="eastAsia" w:ascii="宋体" w:hAnsi="宋体" w:eastAsia="宋体" w:cs="宋体"/>
          <w:b w:val="0"/>
          <w:bCs w:val="0"/>
          <w:color w:val="auto"/>
          <w:szCs w:val="21"/>
          <w:shd w:val="clear" w:color="auto" w:fill="FFFFFF"/>
          <w:lang w:val="en-US" w:eastAsia="zh-CN"/>
        </w:rPr>
      </w:pPr>
      <w:r>
        <w:rPr>
          <w:rFonts w:hint="eastAsia" w:ascii="宋体" w:hAnsi="宋体" w:eastAsia="宋体" w:cs="宋体"/>
          <w:b w:val="0"/>
          <w:bCs w:val="0"/>
          <w:color w:val="auto"/>
          <w:szCs w:val="21"/>
          <w:shd w:val="clear" w:color="auto" w:fill="FFFFFF"/>
          <w:lang w:val="en-US" w:eastAsia="zh-CN"/>
        </w:rPr>
        <w:t>3、采购方式：竞争性谈判</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4、项目</w:t>
      </w:r>
      <w:r>
        <w:rPr>
          <w:rFonts w:hint="eastAsia" w:ascii="宋体" w:hAnsi="宋体" w:eastAsia="宋体" w:cs="宋体"/>
          <w:color w:val="auto"/>
          <w:szCs w:val="21"/>
          <w:shd w:val="clear" w:color="auto" w:fill="FFFFFF"/>
          <w:lang w:eastAsia="zh-CN"/>
        </w:rPr>
        <w:t>主要内容、数量及要求</w:t>
      </w:r>
      <w:r>
        <w:rPr>
          <w:rFonts w:hint="eastAsia" w:ascii="宋体" w:hAnsi="宋体" w:eastAsia="宋体" w:cs="宋体"/>
          <w:color w:val="auto"/>
          <w:szCs w:val="21"/>
          <w:shd w:val="clear" w:color="auto" w:fill="FFFFFF"/>
        </w:rPr>
        <w:t>：禹州市中心医院64排CT球管及胃镜医疗设备维修项目</w:t>
      </w:r>
      <w:r>
        <w:rPr>
          <w:rFonts w:hint="eastAsia" w:ascii="宋体" w:hAnsi="宋体" w:eastAsia="宋体" w:cs="宋体"/>
          <w:color w:val="auto"/>
          <w:szCs w:val="21"/>
          <w:shd w:val="clear" w:color="auto" w:fill="FFFFFF"/>
          <w:lang w:eastAsia="zh-CN"/>
        </w:rPr>
        <w:t>，</w:t>
      </w:r>
      <w:r>
        <w:rPr>
          <w:rFonts w:hint="eastAsia" w:ascii="宋体" w:hAnsi="宋体" w:eastAsia="宋体" w:cs="宋体"/>
          <w:color w:val="auto"/>
          <w:szCs w:val="21"/>
          <w:shd w:val="clear" w:color="auto" w:fill="FFFFFF"/>
          <w:lang w:val="en-US" w:eastAsia="zh-CN"/>
        </w:rPr>
        <w:t>划分2个标包，A包</w:t>
      </w:r>
      <w:r>
        <w:rPr>
          <w:rFonts w:hint="eastAsia" w:ascii="宋体" w:hAnsi="宋体" w:eastAsia="宋体" w:cs="宋体"/>
          <w:color w:val="auto"/>
          <w:szCs w:val="21"/>
          <w:shd w:val="clear" w:color="auto" w:fill="FFFFFF"/>
        </w:rPr>
        <w:t>64排CT球管</w:t>
      </w:r>
      <w:r>
        <w:rPr>
          <w:rFonts w:hint="eastAsia" w:ascii="宋体" w:hAnsi="宋体" w:eastAsia="宋体" w:cs="宋体"/>
          <w:color w:val="auto"/>
          <w:szCs w:val="21"/>
          <w:shd w:val="clear" w:color="auto" w:fill="FFFFFF"/>
          <w:lang w:eastAsia="zh-CN"/>
        </w:rPr>
        <w:t>，</w:t>
      </w:r>
      <w:r>
        <w:rPr>
          <w:rFonts w:hint="eastAsia" w:ascii="宋体" w:hAnsi="宋体" w:eastAsia="宋体" w:cs="宋体"/>
          <w:color w:val="auto"/>
          <w:szCs w:val="21"/>
          <w:shd w:val="clear" w:color="auto" w:fill="FFFFFF"/>
          <w:lang w:val="en-US" w:eastAsia="zh-CN"/>
        </w:rPr>
        <w:t>B包</w:t>
      </w:r>
      <w:r>
        <w:rPr>
          <w:rFonts w:hint="eastAsia" w:ascii="宋体" w:hAnsi="宋体" w:eastAsia="宋体" w:cs="宋体"/>
          <w:color w:val="auto"/>
          <w:szCs w:val="21"/>
          <w:shd w:val="clear" w:color="auto" w:fill="FFFFFF"/>
        </w:rPr>
        <w:t>胃镜医疗设备维修</w:t>
      </w:r>
      <w:r>
        <w:rPr>
          <w:rFonts w:hint="eastAsia" w:ascii="宋体" w:hAnsi="宋体" w:eastAsia="宋体" w:cs="宋体"/>
          <w:color w:val="auto"/>
          <w:szCs w:val="21"/>
          <w:shd w:val="clear" w:color="auto" w:fill="FFFFFF"/>
          <w:lang w:eastAsia="zh-CN"/>
        </w:rPr>
        <w:t>。</w:t>
      </w:r>
      <w:r>
        <w:rPr>
          <w:rFonts w:hint="eastAsia" w:ascii="宋体" w:hAnsi="宋体" w:eastAsia="宋体" w:cs="宋体"/>
          <w:color w:val="auto"/>
          <w:szCs w:val="21"/>
          <w:shd w:val="clear" w:color="auto" w:fill="FFFFFF"/>
        </w:rPr>
        <w:t>（详见谈判文件）</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5、采购预算：</w:t>
      </w:r>
      <w:r>
        <w:rPr>
          <w:rFonts w:hint="eastAsia" w:ascii="宋体" w:hAnsi="宋体" w:eastAsia="宋体" w:cs="宋体"/>
          <w:color w:val="auto"/>
          <w:szCs w:val="21"/>
          <w:shd w:val="clear" w:color="auto" w:fill="FFFFFF"/>
          <w:lang w:val="en-US" w:eastAsia="zh-CN"/>
        </w:rPr>
        <w:t>120</w:t>
      </w:r>
      <w:r>
        <w:rPr>
          <w:rFonts w:hint="eastAsia" w:ascii="宋体" w:hAnsi="宋体" w:eastAsia="宋体" w:cs="宋体"/>
          <w:color w:val="auto"/>
          <w:szCs w:val="21"/>
          <w:shd w:val="clear" w:color="auto" w:fill="FFFFFF"/>
        </w:rPr>
        <w:t>0000.00</w:t>
      </w:r>
      <w:r>
        <w:rPr>
          <w:rFonts w:hint="eastAsia" w:ascii="宋体" w:hAnsi="宋体" w:eastAsia="宋体" w:cs="宋体"/>
          <w:color w:val="auto"/>
          <w:szCs w:val="21"/>
          <w:shd w:val="clear" w:color="auto" w:fill="FFFFFF"/>
          <w:lang w:val="en-US" w:eastAsia="zh-CN"/>
        </w:rPr>
        <w:t>元</w:t>
      </w:r>
      <w:r>
        <w:rPr>
          <w:rFonts w:hint="eastAsia" w:ascii="宋体" w:hAnsi="宋体" w:eastAsia="宋体" w:cs="宋体"/>
          <w:color w:val="auto"/>
          <w:szCs w:val="21"/>
          <w:shd w:val="clear" w:color="auto" w:fill="FFFFFF"/>
          <w:lang w:eastAsia="zh-CN"/>
        </w:rPr>
        <w:t>（</w:t>
      </w:r>
      <w:r>
        <w:rPr>
          <w:rFonts w:hint="eastAsia" w:ascii="宋体" w:hAnsi="宋体" w:eastAsia="宋体" w:cs="宋体"/>
          <w:color w:val="auto"/>
          <w:szCs w:val="21"/>
          <w:shd w:val="clear" w:color="auto" w:fill="FFFFFF"/>
          <w:lang w:val="en-US" w:eastAsia="zh-CN"/>
        </w:rPr>
        <w:t>A包800000.00</w:t>
      </w:r>
      <w:r>
        <w:rPr>
          <w:rFonts w:hint="eastAsia" w:ascii="宋体" w:hAnsi="宋体" w:eastAsia="宋体" w:cs="宋体"/>
          <w:color w:val="auto"/>
          <w:szCs w:val="21"/>
          <w:shd w:val="clear" w:color="auto" w:fill="FFFFFF"/>
        </w:rPr>
        <w:t>元</w:t>
      </w:r>
      <w:r>
        <w:rPr>
          <w:rFonts w:hint="eastAsia" w:ascii="宋体" w:hAnsi="宋体" w:eastAsia="宋体" w:cs="宋体"/>
          <w:color w:val="auto"/>
          <w:szCs w:val="21"/>
          <w:shd w:val="clear" w:color="auto" w:fill="FFFFFF"/>
          <w:lang w:eastAsia="zh-CN"/>
        </w:rPr>
        <w:t>，</w:t>
      </w:r>
      <w:r>
        <w:rPr>
          <w:rFonts w:hint="eastAsia" w:ascii="宋体" w:hAnsi="宋体" w:eastAsia="宋体" w:cs="宋体"/>
          <w:color w:val="auto"/>
          <w:szCs w:val="21"/>
          <w:shd w:val="clear" w:color="auto" w:fill="FFFFFF"/>
          <w:lang w:val="en-US" w:eastAsia="zh-CN"/>
        </w:rPr>
        <w:t>B包400000.00元）</w:t>
      </w:r>
    </w:p>
    <w:p>
      <w:pPr>
        <w:spacing w:line="440" w:lineRule="exact"/>
        <w:ind w:firstLine="420" w:firstLineChars="200"/>
        <w:rPr>
          <w:rFonts w:hint="eastAsia" w:ascii="宋体" w:hAnsi="宋体" w:eastAsia="宋体" w:cs="宋体"/>
          <w:b w:val="0"/>
          <w:bCs w:val="0"/>
          <w:color w:val="auto"/>
          <w:szCs w:val="21"/>
          <w:shd w:val="clear" w:color="auto" w:fill="FFFFFF"/>
          <w:lang w:val="en-US" w:eastAsia="zh-CN"/>
        </w:rPr>
      </w:pPr>
      <w:r>
        <w:rPr>
          <w:rFonts w:hint="eastAsia" w:ascii="宋体" w:hAnsi="宋体" w:eastAsia="宋体" w:cs="宋体"/>
          <w:b w:val="0"/>
          <w:bCs w:val="0"/>
          <w:color w:val="auto"/>
          <w:szCs w:val="21"/>
          <w:shd w:val="clear" w:color="auto" w:fill="FFFFFF"/>
          <w:lang w:val="en-US" w:eastAsia="zh-CN"/>
        </w:rPr>
        <w:t>6、最高限价：1200000.00元</w:t>
      </w:r>
      <w:r>
        <w:rPr>
          <w:rFonts w:hint="eastAsia" w:ascii="宋体" w:hAnsi="宋体" w:eastAsia="宋体" w:cs="宋体"/>
          <w:color w:val="auto"/>
          <w:szCs w:val="21"/>
          <w:shd w:val="clear" w:color="auto" w:fill="FFFFFF"/>
          <w:lang w:eastAsia="zh-CN"/>
        </w:rPr>
        <w:t>（</w:t>
      </w:r>
      <w:r>
        <w:rPr>
          <w:rFonts w:hint="eastAsia" w:ascii="宋体" w:hAnsi="宋体" w:eastAsia="宋体" w:cs="宋体"/>
          <w:color w:val="auto"/>
          <w:szCs w:val="21"/>
          <w:shd w:val="clear" w:color="auto" w:fill="FFFFFF"/>
          <w:lang w:val="en-US" w:eastAsia="zh-CN"/>
        </w:rPr>
        <w:t>A包800000.00</w:t>
      </w:r>
      <w:r>
        <w:rPr>
          <w:rFonts w:hint="eastAsia" w:ascii="宋体" w:hAnsi="宋体" w:eastAsia="宋体" w:cs="宋体"/>
          <w:color w:val="auto"/>
          <w:szCs w:val="21"/>
          <w:shd w:val="clear" w:color="auto" w:fill="FFFFFF"/>
        </w:rPr>
        <w:t>元</w:t>
      </w:r>
      <w:r>
        <w:rPr>
          <w:rFonts w:hint="eastAsia" w:ascii="宋体" w:hAnsi="宋体" w:eastAsia="宋体" w:cs="宋体"/>
          <w:color w:val="auto"/>
          <w:szCs w:val="21"/>
          <w:shd w:val="clear" w:color="auto" w:fill="FFFFFF"/>
          <w:lang w:eastAsia="zh-CN"/>
        </w:rPr>
        <w:t>，</w:t>
      </w:r>
      <w:r>
        <w:rPr>
          <w:rFonts w:hint="eastAsia" w:ascii="宋体" w:hAnsi="宋体" w:eastAsia="宋体" w:cs="宋体"/>
          <w:color w:val="auto"/>
          <w:szCs w:val="21"/>
          <w:shd w:val="clear" w:color="auto" w:fill="FFFFFF"/>
          <w:lang w:val="en-US" w:eastAsia="zh-CN"/>
        </w:rPr>
        <w:t>B包400000.00元）</w:t>
      </w:r>
    </w:p>
    <w:p>
      <w:pPr>
        <w:spacing w:line="440" w:lineRule="exact"/>
        <w:ind w:firstLine="420" w:firstLineChars="200"/>
        <w:rPr>
          <w:rFonts w:hint="eastAsia" w:ascii="宋体" w:hAnsi="宋体" w:eastAsia="宋体" w:cs="宋体"/>
          <w:b w:val="0"/>
          <w:bCs w:val="0"/>
          <w:color w:val="auto"/>
          <w:szCs w:val="21"/>
          <w:shd w:val="clear" w:color="auto" w:fill="FFFFFF"/>
          <w:lang w:val="en-US" w:eastAsia="zh-CN"/>
        </w:rPr>
      </w:pPr>
      <w:r>
        <w:rPr>
          <w:rFonts w:hint="eastAsia" w:ascii="宋体" w:hAnsi="宋体" w:eastAsia="宋体" w:cs="宋体"/>
          <w:b w:val="0"/>
          <w:bCs w:val="0"/>
          <w:color w:val="auto"/>
          <w:szCs w:val="21"/>
          <w:shd w:val="clear" w:color="auto" w:fill="FFFFFF"/>
          <w:lang w:val="en-US" w:eastAsia="zh-CN"/>
        </w:rPr>
        <w:t>7、合同履约时间：</w:t>
      </w:r>
      <w:r>
        <w:rPr>
          <w:rFonts w:hint="eastAsia" w:ascii="宋体" w:hAnsi="宋体" w:eastAsia="宋体" w:cs="宋体"/>
          <w:b w:val="0"/>
          <w:bCs w:val="0"/>
          <w:color w:val="auto"/>
          <w:szCs w:val="21"/>
          <w:shd w:val="clear" w:color="auto" w:fill="FFFFFF"/>
          <w:lang w:val="en-US" w:eastAsia="zh-CN"/>
        </w:rPr>
        <w:t>15日历天</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8、履约地点：</w:t>
      </w:r>
      <w:r>
        <w:rPr>
          <w:rFonts w:hint="eastAsia" w:ascii="宋体" w:hAnsi="宋体" w:eastAsia="宋体" w:cs="宋体"/>
          <w:color w:val="auto"/>
          <w:szCs w:val="21"/>
          <w:shd w:val="clear" w:color="auto" w:fill="FFFFFF"/>
        </w:rPr>
        <w:t>禹州市中心医院</w:t>
      </w:r>
    </w:p>
    <w:p>
      <w:pPr>
        <w:spacing w:line="440" w:lineRule="exact"/>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lang w:eastAsia="zh-CN"/>
        </w:rPr>
        <w:t>二</w:t>
      </w:r>
      <w:r>
        <w:rPr>
          <w:rFonts w:hint="eastAsia" w:ascii="宋体" w:hAnsi="宋体" w:eastAsia="宋体" w:cs="宋体"/>
          <w:b/>
          <w:bCs/>
          <w:color w:val="auto"/>
          <w:szCs w:val="21"/>
          <w:shd w:val="clear" w:color="auto" w:fill="FFFFFF"/>
        </w:rPr>
        <w:t>、供应商资格要求</w:t>
      </w:r>
    </w:p>
    <w:p>
      <w:pPr>
        <w:spacing w:line="440" w:lineRule="exact"/>
        <w:ind w:firstLine="420" w:firstLineChars="200"/>
        <w:rPr>
          <w:rFonts w:hint="eastAsia" w:ascii="宋体" w:hAnsi="宋体" w:eastAsia="宋体" w:cs="宋体"/>
          <w:b w:val="0"/>
          <w:bCs w:val="0"/>
          <w:color w:val="auto"/>
          <w:szCs w:val="21"/>
          <w:shd w:val="clear" w:color="auto" w:fill="FFFFFF"/>
          <w:lang w:val="en-US" w:eastAsia="zh-CN"/>
        </w:rPr>
      </w:pPr>
      <w:r>
        <w:rPr>
          <w:rFonts w:hint="eastAsia" w:ascii="宋体" w:hAnsi="宋体" w:eastAsia="宋体" w:cs="宋体"/>
          <w:b w:val="0"/>
          <w:bCs w:val="0"/>
          <w:color w:val="auto"/>
          <w:szCs w:val="21"/>
          <w:shd w:val="clear" w:color="auto" w:fill="FFFFFF"/>
          <w:lang w:val="en-US" w:eastAsia="zh-CN"/>
        </w:rPr>
        <w:t>1、满足《中华人民共和国政府采购法》第二十二条规定；</w:t>
      </w:r>
    </w:p>
    <w:p>
      <w:pPr>
        <w:spacing w:line="440" w:lineRule="exact"/>
        <w:ind w:firstLine="420" w:firstLineChars="200"/>
        <w:rPr>
          <w:rFonts w:hint="eastAsia" w:ascii="宋体" w:hAnsi="宋体" w:eastAsia="宋体" w:cs="宋体"/>
          <w:b w:val="0"/>
          <w:bCs w:val="0"/>
          <w:color w:val="auto"/>
          <w:szCs w:val="21"/>
          <w:shd w:val="clear" w:color="auto" w:fill="FFFFFF"/>
          <w:lang w:val="en-US" w:eastAsia="zh-CN"/>
        </w:rPr>
      </w:pPr>
      <w:r>
        <w:rPr>
          <w:rFonts w:hint="eastAsia" w:ascii="宋体" w:hAnsi="宋体" w:eastAsia="宋体" w:cs="宋体"/>
          <w:b w:val="0"/>
          <w:bCs w:val="0"/>
          <w:color w:val="auto"/>
          <w:szCs w:val="21"/>
          <w:shd w:val="clear" w:color="auto" w:fill="FFFFFF"/>
          <w:lang w:val="en-US" w:eastAsia="zh-CN"/>
        </w:rPr>
        <w:t>2、本项目落实节约能源、保护环境、扶持不发达地区和少数民族地区、促进中小企业、监狱企业发展等政府采购政策。</w:t>
      </w:r>
    </w:p>
    <w:p>
      <w:pPr>
        <w:spacing w:line="440" w:lineRule="exact"/>
        <w:ind w:firstLine="420" w:firstLineChars="200"/>
        <w:rPr>
          <w:rFonts w:hint="eastAsia" w:ascii="宋体" w:hAnsi="宋体" w:eastAsia="宋体" w:cs="宋体"/>
          <w:b w:val="0"/>
          <w:bCs w:val="0"/>
          <w:color w:val="auto"/>
          <w:szCs w:val="21"/>
          <w:shd w:val="clear" w:color="auto" w:fill="FFFFFF"/>
          <w:lang w:val="en-US" w:eastAsia="zh-CN"/>
        </w:rPr>
      </w:pPr>
      <w:r>
        <w:rPr>
          <w:rFonts w:hint="eastAsia" w:ascii="宋体" w:hAnsi="宋体" w:eastAsia="宋体" w:cs="宋体"/>
          <w:b w:val="0"/>
          <w:bCs w:val="0"/>
          <w:color w:val="auto"/>
          <w:szCs w:val="21"/>
          <w:shd w:val="clear" w:color="auto" w:fill="FFFFFF"/>
          <w:lang w:val="en-US" w:eastAsia="zh-CN"/>
        </w:rPr>
        <w:t>3、本项目的特定资格要求：</w:t>
      </w:r>
    </w:p>
    <w:p>
      <w:pPr>
        <w:spacing w:line="440" w:lineRule="exact"/>
        <w:ind w:firstLine="420" w:firstLineChars="200"/>
        <w:rPr>
          <w:rFonts w:hint="eastAsia" w:ascii="宋体" w:hAnsi="宋体" w:eastAsia="宋体" w:cs="宋体"/>
          <w:b w:val="0"/>
          <w:bCs w:val="0"/>
          <w:color w:val="auto"/>
          <w:szCs w:val="21"/>
          <w:shd w:val="clear" w:color="auto" w:fill="FFFFFF"/>
          <w:lang w:val="en-US" w:eastAsia="zh-CN"/>
        </w:rPr>
      </w:pPr>
      <w:r>
        <w:rPr>
          <w:rFonts w:hint="eastAsia" w:ascii="宋体" w:hAnsi="宋体" w:eastAsia="宋体" w:cs="宋体"/>
          <w:b w:val="0"/>
          <w:bCs w:val="0"/>
          <w:color w:val="auto"/>
          <w:szCs w:val="21"/>
          <w:shd w:val="clear" w:color="auto" w:fill="FFFFFF"/>
          <w:lang w:val="en-US" w:eastAsia="zh-CN"/>
        </w:rPr>
        <w:t>供应商须具有相应范围的《医疗器械生产许可证》或《医疗器械经营许可证》。</w:t>
      </w:r>
    </w:p>
    <w:p>
      <w:pPr>
        <w:spacing w:line="440" w:lineRule="exact"/>
        <w:ind w:firstLine="420" w:firstLineChars="200"/>
        <w:rPr>
          <w:rFonts w:hint="eastAsia" w:ascii="宋体" w:hAnsi="宋体" w:eastAsia="宋体" w:cs="宋体"/>
          <w:b w:val="0"/>
          <w:bCs w:val="0"/>
          <w:color w:val="auto"/>
          <w:szCs w:val="21"/>
          <w:shd w:val="clear" w:color="auto" w:fill="FFFFFF"/>
          <w:lang w:val="en-US" w:eastAsia="zh-CN"/>
        </w:rPr>
      </w:pPr>
      <w:r>
        <w:rPr>
          <w:rFonts w:hint="eastAsia" w:ascii="宋体" w:hAnsi="宋体" w:eastAsia="宋体" w:cs="宋体"/>
          <w:b w:val="0"/>
          <w:bCs w:val="0"/>
          <w:color w:val="auto"/>
          <w:szCs w:val="21"/>
          <w:shd w:val="clear" w:color="auto" w:fill="FFFFFF"/>
          <w:lang w:val="en-US" w:eastAsia="zh-CN"/>
        </w:rPr>
        <w:t>4、不接受联合体。</w:t>
      </w:r>
    </w:p>
    <w:p>
      <w:pPr>
        <w:spacing w:line="440" w:lineRule="exact"/>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lang w:eastAsia="zh-CN"/>
        </w:rPr>
        <w:t>三</w:t>
      </w:r>
      <w:r>
        <w:rPr>
          <w:rFonts w:hint="eastAsia" w:ascii="宋体" w:hAnsi="宋体" w:eastAsia="宋体" w:cs="宋体"/>
          <w:b/>
          <w:bCs/>
          <w:color w:val="auto"/>
          <w:szCs w:val="21"/>
          <w:shd w:val="clear" w:color="auto" w:fill="FFFFFF"/>
        </w:rPr>
        <w:t>、获取谈判文件的方式</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eastAsia="zh-CN"/>
        </w:rPr>
        <w:t>即日起至</w:t>
      </w:r>
      <w:r>
        <w:rPr>
          <w:rFonts w:hint="eastAsia" w:ascii="宋体" w:hAnsi="宋体" w:eastAsia="宋体" w:cs="宋体"/>
          <w:color w:val="auto"/>
          <w:szCs w:val="21"/>
          <w:shd w:val="clear" w:color="auto" w:fill="FFFFFF"/>
        </w:rPr>
        <w:t>谈判响应截止时间前均可登录《全国公共资源交易平台（河南省·许昌市）》“投标人/供应商登录”入口</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自行免费下载竞争性谈判文件</w:t>
      </w: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rPr>
        <w:t>。</w:t>
      </w:r>
    </w:p>
    <w:p>
      <w:pPr>
        <w:spacing w:line="440" w:lineRule="exact"/>
        <w:ind w:firstLine="422" w:firstLineChars="200"/>
        <w:rPr>
          <w:rFonts w:hint="eastAsia" w:ascii="宋体" w:hAnsi="宋体" w:eastAsia="宋体" w:cs="宋体"/>
          <w:b/>
          <w:bCs/>
          <w:color w:val="auto"/>
          <w:szCs w:val="21"/>
          <w:shd w:val="clear" w:color="auto" w:fill="FFFFFF"/>
          <w:lang w:eastAsia="zh-CN"/>
        </w:rPr>
      </w:pPr>
      <w:r>
        <w:rPr>
          <w:rFonts w:hint="eastAsia" w:ascii="宋体" w:hAnsi="宋体" w:eastAsia="宋体" w:cs="宋体"/>
          <w:b/>
          <w:bCs/>
          <w:color w:val="auto"/>
          <w:szCs w:val="21"/>
          <w:shd w:val="clear" w:color="auto" w:fill="FFFFFF"/>
          <w:lang w:eastAsia="zh-CN"/>
        </w:rPr>
        <w:t>四、响应文件</w:t>
      </w:r>
      <w:r>
        <w:rPr>
          <w:rFonts w:hint="eastAsia" w:ascii="宋体" w:hAnsi="宋体" w:eastAsia="宋体" w:cs="宋体"/>
          <w:b/>
          <w:bCs/>
          <w:color w:val="auto"/>
          <w:szCs w:val="21"/>
          <w:shd w:val="clear" w:color="auto" w:fill="FFFFFF"/>
          <w:lang w:val="en-US" w:eastAsia="zh-CN"/>
        </w:rPr>
        <w:t>的提交方式及注意事项</w:t>
      </w:r>
    </w:p>
    <w:p>
      <w:pPr>
        <w:spacing w:line="440" w:lineRule="exact"/>
        <w:ind w:firstLine="420" w:firstLineChars="200"/>
        <w:rPr>
          <w:rFonts w:hint="default" w:ascii="宋体" w:hAnsi="宋体" w:eastAsia="宋体" w:cs="宋体"/>
          <w:color w:val="auto"/>
          <w:szCs w:val="21"/>
          <w:shd w:val="clear" w:color="auto" w:fill="FFFFFF"/>
          <w:lang w:val="en-US"/>
        </w:rPr>
      </w:pPr>
      <w:r>
        <w:rPr>
          <w:rFonts w:hint="eastAsia" w:ascii="宋体" w:hAnsi="宋体" w:eastAsia="宋体" w:cs="宋体"/>
          <w:color w:val="auto"/>
          <w:szCs w:val="21"/>
          <w:shd w:val="clear" w:color="auto" w:fill="FFFFFF"/>
          <w:lang w:val="en-US" w:eastAsia="zh-CN"/>
        </w:rPr>
        <w:t>本项目为全流程电子化交易项目，供应商必须通过许昌公共资源交易系统下载“</w:t>
      </w:r>
      <w:r>
        <w:rPr>
          <w:rFonts w:hint="eastAsia" w:ascii="宋体" w:hAnsi="宋体" w:eastAsia="宋体" w:cs="宋体"/>
          <w:color w:val="auto"/>
          <w:szCs w:val="21"/>
          <w:shd w:val="clear" w:color="auto" w:fill="FFFFFF"/>
        </w:rPr>
        <w:t>许昌投标文件制作系统SEARUN 最新版本</w:t>
      </w:r>
      <w:r>
        <w:rPr>
          <w:rFonts w:hint="eastAsia" w:ascii="宋体" w:hAnsi="宋体" w:eastAsia="宋体" w:cs="宋体"/>
          <w:color w:val="auto"/>
          <w:szCs w:val="21"/>
          <w:shd w:val="clear" w:color="auto" w:fill="FFFFFF"/>
          <w:lang w:val="en-US" w:eastAsia="zh-CN"/>
        </w:rPr>
        <w:t xml:space="preserve">”制作并上传加密电子响应文件。截至投标截止时间，交易系统投标通道将关闭，供应商未完成电子响应文件上传的，投标将被拒绝。 </w:t>
      </w:r>
    </w:p>
    <w:p>
      <w:pPr>
        <w:spacing w:line="440" w:lineRule="exact"/>
        <w:ind w:firstLine="422" w:firstLineChars="200"/>
        <w:rPr>
          <w:rFonts w:hint="eastAsia" w:ascii="宋体" w:hAnsi="宋体" w:eastAsia="宋体" w:cs="宋体"/>
          <w:b/>
          <w:bCs/>
          <w:color w:val="auto"/>
          <w:szCs w:val="21"/>
          <w:shd w:val="clear" w:color="auto" w:fill="FFFFFF"/>
          <w:lang w:eastAsia="zh-CN"/>
        </w:rPr>
      </w:pPr>
      <w:r>
        <w:rPr>
          <w:rFonts w:hint="eastAsia" w:ascii="宋体" w:hAnsi="宋体" w:eastAsia="宋体" w:cs="宋体"/>
          <w:b/>
          <w:bCs/>
          <w:color w:val="auto"/>
          <w:szCs w:val="21"/>
          <w:shd w:val="clear" w:color="auto" w:fill="FFFFFF"/>
          <w:lang w:eastAsia="zh-CN"/>
        </w:rPr>
        <w:t>五</w:t>
      </w:r>
      <w:r>
        <w:rPr>
          <w:rFonts w:hint="eastAsia" w:ascii="宋体" w:hAnsi="宋体" w:eastAsia="宋体" w:cs="宋体"/>
          <w:b/>
          <w:bCs/>
          <w:color w:val="auto"/>
          <w:szCs w:val="21"/>
          <w:shd w:val="clear" w:color="auto" w:fill="FFFFFF"/>
        </w:rPr>
        <w:t>、响应文件提交截止时间及谈判响应截止时间、谈判时间</w:t>
      </w:r>
      <w:r>
        <w:rPr>
          <w:rFonts w:hint="eastAsia" w:ascii="宋体" w:hAnsi="宋体" w:eastAsia="宋体" w:cs="宋体"/>
          <w:b/>
          <w:bCs/>
          <w:color w:val="auto"/>
          <w:szCs w:val="21"/>
          <w:shd w:val="clear" w:color="auto" w:fill="FFFFFF"/>
          <w:lang w:eastAsia="zh-CN"/>
        </w:rPr>
        <w:t>及地点</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w:t>
      </w:r>
      <w:r>
        <w:rPr>
          <w:rFonts w:hint="eastAsia" w:ascii="宋体" w:hAnsi="宋体" w:eastAsia="宋体" w:cs="宋体"/>
          <w:color w:val="auto"/>
          <w:szCs w:val="21"/>
          <w:shd w:val="clear" w:color="auto" w:fill="FFFFFF"/>
        </w:rPr>
        <w:t>间：</w:t>
      </w:r>
      <w:r>
        <w:rPr>
          <w:rFonts w:hint="eastAsia" w:ascii="宋体" w:hAnsi="宋体" w:eastAsia="宋体" w:cs="宋体"/>
          <w:color w:val="auto"/>
          <w:szCs w:val="21"/>
          <w:shd w:val="clear" w:color="auto" w:fill="FFFFFF"/>
          <w:lang w:val="en-US" w:eastAsia="zh-CN"/>
        </w:rPr>
        <w:t xml:space="preserve">2022 </w:t>
      </w:r>
      <w:r>
        <w:rPr>
          <w:rFonts w:hint="eastAsia" w:ascii="宋体" w:hAnsi="宋体" w:eastAsia="宋体" w:cs="宋体"/>
          <w:color w:val="auto"/>
          <w:szCs w:val="21"/>
          <w:shd w:val="clear" w:color="auto" w:fill="FFFFFF"/>
        </w:rPr>
        <w:t>年</w:t>
      </w:r>
      <w:r>
        <w:rPr>
          <w:rFonts w:hint="eastAsia" w:ascii="宋体" w:hAnsi="宋体" w:eastAsia="宋体" w:cs="宋体"/>
          <w:color w:val="auto"/>
          <w:szCs w:val="21"/>
          <w:shd w:val="clear" w:color="auto" w:fill="FFFFFF"/>
          <w:lang w:val="en-US" w:eastAsia="zh-CN"/>
        </w:rPr>
        <w:t xml:space="preserve">2 </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 xml:space="preserve">18 </w:t>
      </w:r>
      <w:r>
        <w:rPr>
          <w:rFonts w:hint="eastAsia" w:ascii="宋体" w:hAnsi="宋体" w:eastAsia="宋体" w:cs="宋体"/>
          <w:color w:val="auto"/>
          <w:szCs w:val="21"/>
          <w:shd w:val="clear" w:color="auto" w:fill="FFFFFF"/>
        </w:rPr>
        <w:t>日8</w:t>
      </w:r>
      <w:r>
        <w:rPr>
          <w:rFonts w:hint="eastAsia" w:ascii="宋体" w:hAnsi="宋体" w:eastAsia="宋体" w:cs="宋体"/>
          <w:color w:val="auto"/>
          <w:szCs w:val="21"/>
          <w:shd w:val="clear" w:color="auto" w:fill="FFFFFF"/>
        </w:rPr>
        <w:t>:30（北京时间），逾期</w:t>
      </w:r>
      <w:r>
        <w:rPr>
          <w:rFonts w:hint="eastAsia" w:ascii="宋体" w:hAnsi="宋体" w:eastAsia="宋体" w:cs="宋体"/>
          <w:color w:val="auto"/>
          <w:szCs w:val="21"/>
          <w:shd w:val="clear" w:color="auto" w:fill="FFFFFF"/>
          <w:lang w:eastAsia="zh-CN"/>
        </w:rPr>
        <w:t>提交</w:t>
      </w:r>
      <w:r>
        <w:rPr>
          <w:rFonts w:hint="eastAsia" w:ascii="宋体" w:hAnsi="宋体" w:eastAsia="宋体" w:cs="宋体"/>
          <w:color w:val="auto"/>
          <w:szCs w:val="21"/>
          <w:shd w:val="clear" w:color="auto" w:fill="FFFFFF"/>
        </w:rPr>
        <w:t>或不符合规定的响应文件恕不接受。</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3、</w:t>
      </w:r>
      <w:r>
        <w:rPr>
          <w:rFonts w:hint="eastAsia" w:ascii="宋体" w:hAnsi="宋体" w:eastAsia="宋体" w:cs="宋体"/>
          <w:color w:val="auto"/>
          <w:szCs w:val="21"/>
          <w:shd w:val="clear" w:color="auto" w:fill="FFFFFF"/>
        </w:rPr>
        <w:t>谈判响应文件开启地点：禹州市公共资源交易中心九楼</w:t>
      </w:r>
      <w:r>
        <w:rPr>
          <w:rFonts w:hint="eastAsia" w:ascii="宋体" w:hAnsi="宋体" w:eastAsia="宋体" w:cs="宋体"/>
          <w:color w:val="auto"/>
          <w:szCs w:val="21"/>
          <w:shd w:val="clear" w:color="auto" w:fill="FFFFFF"/>
        </w:rPr>
        <w:t>第</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开</w:t>
      </w:r>
      <w:r>
        <w:rPr>
          <w:rFonts w:hint="eastAsia" w:ascii="宋体" w:hAnsi="宋体" w:eastAsia="宋体" w:cs="宋体"/>
          <w:color w:val="auto"/>
          <w:szCs w:val="21"/>
          <w:shd w:val="clear" w:color="auto" w:fill="FFFFFF"/>
        </w:rPr>
        <w:t>标室。（本项目采用远程不见面谈判，供应商无须到达现场）。</w:t>
      </w:r>
    </w:p>
    <w:p>
      <w:pPr>
        <w:spacing w:line="440" w:lineRule="exact"/>
        <w:ind w:firstLine="422" w:firstLineChars="200"/>
        <w:rPr>
          <w:rFonts w:hint="eastAsia" w:ascii="宋体" w:hAnsi="宋体" w:eastAsia="宋体" w:cs="宋体"/>
          <w:b/>
          <w:bCs/>
          <w:color w:val="auto"/>
          <w:szCs w:val="21"/>
          <w:shd w:val="clear" w:color="auto" w:fill="FFFFFF"/>
          <w:lang w:eastAsia="zh-CN"/>
        </w:rPr>
      </w:pPr>
      <w:r>
        <w:rPr>
          <w:rFonts w:hint="eastAsia" w:ascii="宋体" w:hAnsi="宋体" w:eastAsia="宋体" w:cs="宋体"/>
          <w:b/>
          <w:bCs/>
          <w:color w:val="auto"/>
          <w:szCs w:val="21"/>
          <w:shd w:val="clear" w:color="auto" w:fill="FFFFFF"/>
          <w:lang w:eastAsia="zh-CN"/>
        </w:rPr>
        <w:t>六、开标注意事项</w:t>
      </w:r>
    </w:p>
    <w:p>
      <w:pPr>
        <w:spacing w:line="440" w:lineRule="exact"/>
        <w:ind w:firstLine="420" w:firstLineChars="200"/>
        <w:rPr>
          <w:rFonts w:hint="eastAsia"/>
          <w:color w:val="auto"/>
          <w:lang w:eastAsia="zh-CN"/>
        </w:rPr>
      </w:pPr>
      <w:r>
        <w:rPr>
          <w:rFonts w:hint="eastAsia" w:ascii="宋体" w:hAnsi="宋体" w:eastAsia="宋体" w:cs="宋体"/>
          <w:color w:val="auto"/>
          <w:szCs w:val="21"/>
          <w:shd w:val="clear" w:color="auto" w:fill="FFFFFF"/>
        </w:rPr>
        <w:t>谈判响应截止时间前，供应商使用CA数字证书登录全国公共资源交易平台（河南省·许昌市）——进入公共资源交易系统</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——点击“项目信息——项目名称”——在系统操作导航栏点击“开标——不见面开标大厅”，在系统规定时间内对电子响应文件进行远程解密</w:t>
      </w:r>
      <w:r>
        <w:rPr>
          <w:rFonts w:hint="eastAsia" w:ascii="宋体" w:hAnsi="宋体" w:eastAsia="宋体" w:cs="宋体"/>
          <w:color w:val="auto"/>
          <w:szCs w:val="21"/>
          <w:shd w:val="clear" w:color="auto" w:fill="FFFFFF"/>
          <w:lang w:eastAsia="zh-CN"/>
        </w:rPr>
        <w:t>开标</w:t>
      </w:r>
      <w:r>
        <w:rPr>
          <w:rFonts w:hint="eastAsia" w:ascii="宋体" w:hAnsi="宋体" w:eastAsia="宋体" w:cs="宋体"/>
          <w:color w:val="auto"/>
          <w:szCs w:val="21"/>
          <w:shd w:val="clear" w:color="auto" w:fill="FFFFFF"/>
        </w:rPr>
        <w:t>。</w:t>
      </w:r>
    </w:p>
    <w:p>
      <w:pPr>
        <w:spacing w:line="440" w:lineRule="exact"/>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七、本次谈判公告同时在《河南省政府采购网》、《许昌市政府采购网》、《全国公共资源交易平台（河南省·许昌市）》发布等。</w:t>
      </w:r>
    </w:p>
    <w:p>
      <w:pPr>
        <w:spacing w:line="440" w:lineRule="exact"/>
        <w:ind w:firstLine="422" w:firstLineChars="200"/>
        <w:rPr>
          <w:rFonts w:hint="eastAsia" w:ascii="宋体" w:hAnsi="宋体" w:eastAsia="宋体" w:cs="宋体"/>
          <w:b/>
          <w:bCs/>
          <w:color w:val="auto"/>
          <w:szCs w:val="21"/>
          <w:shd w:val="clear" w:color="auto" w:fill="FFFFFF"/>
          <w:lang w:eastAsia="zh-CN"/>
        </w:rPr>
      </w:pPr>
      <w:r>
        <w:rPr>
          <w:rFonts w:hint="eastAsia" w:ascii="宋体" w:hAnsi="宋体" w:eastAsia="宋体" w:cs="宋体"/>
          <w:b/>
          <w:bCs/>
          <w:color w:val="auto"/>
          <w:szCs w:val="21"/>
          <w:shd w:val="clear" w:color="auto" w:fill="FFFFFF"/>
        </w:rPr>
        <w:t>八、</w:t>
      </w:r>
      <w:r>
        <w:rPr>
          <w:rFonts w:hint="eastAsia" w:ascii="宋体" w:hAnsi="宋体" w:eastAsia="宋体" w:cs="宋体"/>
          <w:b/>
          <w:bCs/>
          <w:color w:val="auto"/>
          <w:szCs w:val="21"/>
          <w:shd w:val="clear" w:color="auto" w:fill="FFFFFF"/>
          <w:lang w:eastAsia="zh-CN"/>
        </w:rPr>
        <w:t>联系方式</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采购单位：禹州市中心医院</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地址：禹州市禹王大道东段113号</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联系人：刘女士</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联系电话：0374-8226007</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代理机构：许昌丰元咨询管理有限公司</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地址：禹州市颍北大道6号</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 连女士</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联系电话：0374-8281999</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xml:space="preserve">监督单位：禹州市政府采购监督管理办公室 </w:t>
      </w:r>
    </w:p>
    <w:p>
      <w:pPr>
        <w:spacing w:line="360" w:lineRule="auto"/>
        <w:rPr>
          <w:rFonts w:hint="eastAsia" w:hAnsi="宋体"/>
          <w:b/>
          <w:color w:val="auto"/>
          <w:szCs w:val="21"/>
        </w:rPr>
      </w:pPr>
    </w:p>
    <w:p>
      <w:pPr>
        <w:spacing w:line="360" w:lineRule="auto"/>
        <w:rPr>
          <w:rFonts w:hint="eastAsia" w:hAnsi="宋体"/>
          <w:b/>
          <w:color w:val="auto"/>
          <w:szCs w:val="21"/>
        </w:rPr>
      </w:pPr>
    </w:p>
    <w:p>
      <w:pPr>
        <w:spacing w:line="360" w:lineRule="auto"/>
        <w:rPr>
          <w:rFonts w:hint="eastAsia" w:hAnsi="宋体"/>
          <w:b/>
          <w:color w:val="auto"/>
          <w:szCs w:val="21"/>
        </w:rPr>
      </w:pPr>
    </w:p>
    <w:p>
      <w:pPr>
        <w:spacing w:line="360" w:lineRule="auto"/>
        <w:rPr>
          <w:rFonts w:hint="eastAsia" w:hAnsi="宋体"/>
          <w:b/>
          <w:color w:val="auto"/>
          <w:szCs w:val="21"/>
        </w:rPr>
      </w:pPr>
    </w:p>
    <w:p>
      <w:pPr>
        <w:spacing w:line="360" w:lineRule="auto"/>
        <w:rPr>
          <w:rFonts w:hint="eastAsia" w:hAnsi="宋体"/>
          <w:b/>
          <w:color w:val="auto"/>
          <w:szCs w:val="21"/>
        </w:rPr>
      </w:pPr>
    </w:p>
    <w:p>
      <w:pPr>
        <w:spacing w:line="360" w:lineRule="auto"/>
        <w:rPr>
          <w:rFonts w:hAnsi="宋体"/>
          <w:b/>
          <w:color w:val="auto"/>
          <w:szCs w:val="21"/>
        </w:rPr>
      </w:pPr>
      <w:r>
        <w:rPr>
          <w:rFonts w:hint="eastAsia" w:hAnsi="宋体"/>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spacing w:line="360" w:lineRule="auto"/>
        <w:ind w:right="-11"/>
        <w:contextualSpacing/>
        <w:rPr>
          <w:rFonts w:ascii="楷体" w:hAnsi="楷体" w:eastAsia="楷体" w:cs="仿宋_GB2312"/>
          <w:color w:val="auto"/>
          <w:sz w:val="21"/>
          <w:szCs w:val="21"/>
          <w:lang w:val="zh-CN"/>
        </w:rPr>
      </w:pPr>
      <w:r>
        <w:rPr>
          <w:rFonts w:hint="eastAsia" w:ascii="楷体" w:hAnsi="楷体" w:eastAsia="楷体" w:cs="仿宋_GB2312"/>
          <w:color w:val="auto"/>
          <w:sz w:val="21"/>
          <w:szCs w:val="21"/>
          <w:lang w:val="zh-CN"/>
        </w:rPr>
        <w:t>注：</w:t>
      </w:r>
      <w:r>
        <w:rPr>
          <w:rFonts w:hint="eastAsia" w:ascii="楷体" w:hAnsi="楷体" w:eastAsia="楷体"/>
          <w:color w:val="auto"/>
          <w:sz w:val="21"/>
          <w:szCs w:val="21"/>
        </w:rPr>
        <w:t>①谈判小组要求供应商提交最后报价时，</w:t>
      </w:r>
      <w:r>
        <w:rPr>
          <w:rFonts w:hint="eastAsia" w:ascii="楷体" w:hAnsi="楷体" w:eastAsia="楷体" w:cs="仿宋_GB2312"/>
          <w:color w:val="auto"/>
          <w:sz w:val="21"/>
          <w:szCs w:val="21"/>
          <w:lang w:val="zh-CN"/>
        </w:rPr>
        <w:t>在谈判小组规定时间内，供应商未提交最后报价则以其初次提交响应文件报价为最后报价。</w:t>
      </w:r>
    </w:p>
    <w:p>
      <w:pPr>
        <w:autoSpaceDE w:val="0"/>
        <w:autoSpaceDN w:val="0"/>
        <w:spacing w:line="360" w:lineRule="auto"/>
        <w:ind w:right="-11" w:firstLine="420" w:firstLineChars="200"/>
        <w:contextualSpacing/>
        <w:rPr>
          <w:rFonts w:ascii="楷体" w:hAnsi="楷体" w:eastAsia="楷体"/>
          <w:color w:val="auto"/>
          <w:sz w:val="21"/>
          <w:szCs w:val="21"/>
        </w:rPr>
      </w:pPr>
      <w:r>
        <w:rPr>
          <w:rFonts w:hint="eastAsia" w:ascii="楷体" w:hAnsi="楷体" w:eastAsia="楷体"/>
          <w:color w:val="auto"/>
          <w:sz w:val="21"/>
          <w:szCs w:val="21"/>
        </w:rPr>
        <w:t>②谈判文件第二章“采购需求”中“采购清单”以工程量清单提供的，供应商应以工程量清单方式提交最后报价。</w:t>
      </w:r>
    </w:p>
    <w:p>
      <w:pPr>
        <w:tabs>
          <w:tab w:val="left" w:pos="7095"/>
        </w:tabs>
        <w:spacing w:line="360" w:lineRule="auto"/>
        <w:ind w:firstLine="420" w:firstLineChars="200"/>
        <w:contextualSpacing/>
        <w:rPr>
          <w:rFonts w:asciiTheme="minorEastAsia" w:hAnsiTheme="minorEastAsia"/>
          <w:color w:val="auto"/>
          <w:sz w:val="21"/>
          <w:szCs w:val="21"/>
        </w:rPr>
      </w:pPr>
      <w:r>
        <w:rPr>
          <w:rFonts w:hint="eastAsia" w:ascii="楷体" w:hAnsi="楷体" w:eastAsia="楷体"/>
          <w:color w:val="auto"/>
          <w:sz w:val="21"/>
          <w:szCs w:val="21"/>
        </w:rPr>
        <w:t>③请供应商根据项目情况，可提前准备分项报价。</w:t>
      </w:r>
    </w:p>
    <w:p>
      <w:pPr>
        <w:numPr>
          <w:ilvl w:val="0"/>
          <w:numId w:val="5"/>
        </w:numPr>
        <w:tabs>
          <w:tab w:val="left" w:pos="7095"/>
        </w:tabs>
        <w:spacing w:line="360" w:lineRule="auto"/>
        <w:ind w:firstLine="420" w:firstLineChars="200"/>
        <w:contextualSpacing/>
        <w:rPr>
          <w:rFonts w:hint="default" w:asciiTheme="minorEastAsia" w:hAnsiTheme="minorEastAsia" w:eastAsiaTheme="minorEastAsia" w:cstheme="minorBidi"/>
          <w:b w:val="0"/>
          <w:bCs w:val="0"/>
          <w:color w:val="auto"/>
          <w:kern w:val="2"/>
          <w:sz w:val="21"/>
          <w:szCs w:val="21"/>
          <w:lang w:val="en-US" w:eastAsia="zh-CN" w:bidi="ar-SA"/>
        </w:rPr>
      </w:pPr>
      <w:r>
        <w:rPr>
          <w:rFonts w:hint="eastAsia" w:asciiTheme="minorEastAsia" w:hAnsiTheme="minorEastAsia"/>
          <w:color w:val="auto"/>
          <w:szCs w:val="21"/>
        </w:rPr>
        <w:t>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numPr>
          <w:ilvl w:val="0"/>
          <w:numId w:val="0"/>
        </w:numPr>
        <w:tabs>
          <w:tab w:val="left" w:pos="7095"/>
        </w:tabs>
        <w:spacing w:line="360" w:lineRule="auto"/>
        <w:ind w:firstLine="420" w:firstLineChars="200"/>
        <w:contextualSpacing/>
        <w:rPr>
          <w:rFonts w:hint="default" w:asciiTheme="minorEastAsia" w:hAnsiTheme="minorEastAsia" w:eastAsiaTheme="minorEastAsia" w:cstheme="minorBidi"/>
          <w:b w:val="0"/>
          <w:bCs w:val="0"/>
          <w:color w:val="auto"/>
          <w:kern w:val="2"/>
          <w:sz w:val="21"/>
          <w:szCs w:val="21"/>
          <w:lang w:val="en-US" w:eastAsia="zh-CN" w:bidi="ar-SA"/>
        </w:rPr>
      </w:pPr>
      <w:r>
        <w:rPr>
          <w:rFonts w:hint="eastAsia" w:asciiTheme="minorEastAsia" w:hAnsiTheme="minorEastAsia" w:eastAsiaTheme="minorEastAsia" w:cstheme="minorBidi"/>
          <w:b w:val="0"/>
          <w:bCs w:val="0"/>
          <w:color w:val="auto"/>
          <w:kern w:val="2"/>
          <w:sz w:val="21"/>
          <w:szCs w:val="21"/>
          <w:lang w:val="en-US" w:eastAsia="zh-CN" w:bidi="ar-SA"/>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pStyle w:val="2"/>
        <w:numPr>
          <w:ilvl w:val="3"/>
          <w:numId w:val="0"/>
        </w:numPr>
        <w:ind w:leftChars="0"/>
        <w:rPr>
          <w:rFonts w:hint="eastAsia"/>
          <w:color w:val="auto"/>
        </w:rPr>
      </w:pPr>
    </w:p>
    <w:p>
      <w:pPr>
        <w:rPr>
          <w:rFonts w:hint="eastAsia" w:cs="宋体" w:asciiTheme="majorEastAsia" w:hAnsiTheme="majorEastAsia" w:eastAsiaTheme="majorEastAsia"/>
          <w:b/>
          <w:color w:val="auto"/>
          <w:kern w:val="0"/>
          <w:sz w:val="32"/>
          <w:szCs w:val="32"/>
        </w:rPr>
      </w:pPr>
    </w:p>
    <w:p>
      <w:pPr>
        <w:pStyle w:val="2"/>
        <w:numPr>
          <w:ilvl w:val="3"/>
          <w:numId w:val="0"/>
        </w:numPr>
        <w:ind w:leftChars="0"/>
        <w:rPr>
          <w:rFonts w:hint="eastAsia"/>
          <w:color w:val="auto"/>
        </w:rPr>
      </w:pPr>
    </w:p>
    <w:p>
      <w:pPr>
        <w:jc w:val="both"/>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hint="eastAsia"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spacing w:line="360" w:lineRule="auto"/>
        <w:ind w:firstLine="422" w:firstLineChars="200"/>
        <w:contextualSpacing/>
        <w:rPr>
          <w:rFonts w:hint="eastAsia" w:cs="宋体" w:asciiTheme="minorEastAsia" w:hAnsiTheme="minorEastAsia"/>
          <w:b/>
          <w:bCs w:val="0"/>
          <w:color w:val="auto"/>
          <w:kern w:val="0"/>
          <w:szCs w:val="21"/>
          <w:lang w:val="zh-CN"/>
        </w:rPr>
      </w:pPr>
      <w:r>
        <w:rPr>
          <w:rFonts w:hint="eastAsia" w:cs="宋体" w:asciiTheme="minorEastAsia" w:hAnsiTheme="minorEastAsia"/>
          <w:b/>
          <w:bCs w:val="0"/>
          <w:color w:val="auto"/>
          <w:kern w:val="0"/>
          <w:szCs w:val="21"/>
          <w:lang w:val="zh-CN"/>
        </w:rPr>
        <w:t>一、采购需求及参数：</w:t>
      </w:r>
    </w:p>
    <w:p>
      <w:pPr>
        <w:spacing w:line="360" w:lineRule="auto"/>
        <w:ind w:firstLine="422" w:firstLineChars="200"/>
        <w:contextualSpacing/>
        <w:rPr>
          <w:rFonts w:hint="eastAsia" w:cs="宋体" w:asciiTheme="minorEastAsia" w:hAnsiTheme="minorEastAsia"/>
          <w:b/>
          <w:bCs w:val="0"/>
          <w:color w:val="auto"/>
          <w:kern w:val="0"/>
          <w:szCs w:val="21"/>
          <w:lang w:val="en-US" w:eastAsia="zh-CN"/>
        </w:rPr>
      </w:pPr>
      <w:r>
        <w:rPr>
          <w:rFonts w:hint="eastAsia" w:cs="宋体" w:asciiTheme="minorEastAsia" w:hAnsiTheme="minorEastAsia"/>
          <w:b/>
          <w:bCs w:val="0"/>
          <w:color w:val="auto"/>
          <w:kern w:val="0"/>
          <w:szCs w:val="21"/>
          <w:lang w:val="en-US" w:eastAsia="zh-CN"/>
        </w:rPr>
        <w:t>A包</w:t>
      </w:r>
    </w:p>
    <w:tbl>
      <w:tblPr>
        <w:tblStyle w:val="28"/>
        <w:tblpPr w:leftFromText="180" w:rightFromText="180" w:vertAnchor="text" w:horzAnchor="page" w:tblpXSpec="center" w:tblpY="480"/>
        <w:tblOverlap w:val="never"/>
        <w:tblW w:w="7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7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09" w:type="dxa"/>
            <w:vAlign w:val="center"/>
          </w:tcPr>
          <w:p>
            <w:pPr>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项目</w:t>
            </w:r>
          </w:p>
        </w:tc>
        <w:tc>
          <w:tcPr>
            <w:tcW w:w="7005" w:type="dxa"/>
            <w:vAlign w:val="center"/>
          </w:tcPr>
          <w:p>
            <w:pPr>
              <w:jc w:val="center"/>
              <w:rPr>
                <w:rFonts w:hint="default" w:ascii="Times New Roman" w:hAnsi="Times New Roman" w:cs="Times New Roman" w:eastAsiaTheme="minorEastAsia"/>
                <w:b w:val="0"/>
                <w:bCs/>
                <w:color w:val="auto"/>
                <w:sz w:val="21"/>
                <w:szCs w:val="21"/>
              </w:rPr>
            </w:pPr>
            <w:r>
              <w:rPr>
                <w:rFonts w:hint="eastAsia" w:ascii="Times New Roman" w:hAnsi="Times New Roman" w:cs="Times New Roman"/>
                <w:b w:val="0"/>
                <w:bCs/>
                <w:color w:val="auto"/>
                <w:sz w:val="21"/>
                <w:szCs w:val="21"/>
                <w:lang w:val="en-US" w:eastAsia="zh-CN"/>
              </w:rPr>
              <w:t>禹州市中心医院购置64排CT</w:t>
            </w:r>
            <w:r>
              <w:rPr>
                <w:rFonts w:hint="default" w:ascii="Times New Roman" w:hAnsi="Times New Roman" w:cs="Times New Roman"/>
                <w:b w:val="0"/>
                <w:bCs/>
                <w:color w:val="auto"/>
                <w:sz w:val="21"/>
                <w:szCs w:val="21"/>
                <w:lang w:val="en-US" w:eastAsia="zh-CN"/>
              </w:rPr>
              <w:t>球管参数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09" w:type="dxa"/>
            <w:vAlign w:val="center"/>
          </w:tcPr>
          <w:p>
            <w:pPr>
              <w:pStyle w:val="54"/>
              <w:numPr>
                <w:ilvl w:val="0"/>
                <w:numId w:val="0"/>
              </w:numPr>
              <w:spacing w:after="240"/>
              <w:ind w:left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w:t>
            </w:r>
          </w:p>
        </w:tc>
        <w:tc>
          <w:tcPr>
            <w:tcW w:w="7005" w:type="dxa"/>
            <w:vAlign w:val="center"/>
          </w:tcPr>
          <w:p>
            <w:pPr>
              <w:spacing w:after="240"/>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投标人必须提供该球管制造商授权书或者该球管从制造商到投标人所有的合法购买合同。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09" w:type="dxa"/>
            <w:vAlign w:val="center"/>
          </w:tcPr>
          <w:p>
            <w:pPr>
              <w:pStyle w:val="54"/>
              <w:numPr>
                <w:ilvl w:val="0"/>
                <w:numId w:val="0"/>
              </w:numPr>
              <w:spacing w:after="240"/>
              <w:ind w:left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2</w:t>
            </w:r>
            <w:r>
              <w:rPr>
                <w:rFonts w:hint="default" w:ascii="Times New Roman" w:hAnsi="Times New Roman" w:cs="Times New Roman"/>
                <w:b w:val="0"/>
                <w:bCs/>
                <w:color w:val="auto"/>
                <w:sz w:val="21"/>
                <w:szCs w:val="21"/>
                <w:lang w:val="en-US" w:eastAsia="zh-CN"/>
              </w:rPr>
              <w:t>*</w:t>
            </w:r>
          </w:p>
        </w:tc>
        <w:tc>
          <w:tcPr>
            <w:tcW w:w="7005" w:type="dxa"/>
            <w:vAlign w:val="center"/>
          </w:tcPr>
          <w:p>
            <w:pPr>
              <w:spacing w:after="240"/>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阳极热容量：4.7MJ</w:t>
            </w:r>
            <w:r>
              <w:rPr>
                <w:rFonts w:hint="default" w:ascii="Times New Roman" w:hAnsi="Times New Roman" w:cs="Times New Roman"/>
                <w:b w:val="0"/>
                <w:bCs/>
                <w:color w:val="auto"/>
                <w:sz w:val="21"/>
                <w:szCs w:val="21"/>
                <w:lang w:eastAsia="zh-CN"/>
              </w:rPr>
              <w:t>（</w:t>
            </w:r>
            <w:r>
              <w:rPr>
                <w:rFonts w:hint="default" w:ascii="Times New Roman" w:hAnsi="Times New Roman" w:cs="Times New Roman"/>
                <w:b w:val="0"/>
                <w:bCs/>
                <w:color w:val="auto"/>
                <w:sz w:val="21"/>
                <w:szCs w:val="21"/>
                <w:lang w:val="en-US" w:eastAsia="zh-CN"/>
              </w:rPr>
              <w:t>6.3MHU</w:t>
            </w:r>
            <w:r>
              <w:rPr>
                <w:rFonts w:hint="default" w:ascii="Times New Roman" w:hAnsi="Times New Roman" w:cs="Times New Roman"/>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09" w:type="dxa"/>
            <w:vAlign w:val="center"/>
          </w:tcPr>
          <w:p>
            <w:pPr>
              <w:pStyle w:val="54"/>
              <w:numPr>
                <w:ilvl w:val="0"/>
                <w:numId w:val="0"/>
              </w:numPr>
              <w:spacing w:after="240"/>
              <w:ind w:left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3</w:t>
            </w:r>
            <w:r>
              <w:rPr>
                <w:rFonts w:hint="default" w:ascii="Times New Roman" w:hAnsi="Times New Roman" w:cs="Times New Roman"/>
                <w:b w:val="0"/>
                <w:bCs/>
                <w:color w:val="auto"/>
                <w:sz w:val="21"/>
                <w:szCs w:val="21"/>
                <w:lang w:val="en-US" w:eastAsia="zh-CN"/>
              </w:rPr>
              <w:t>*</w:t>
            </w:r>
          </w:p>
        </w:tc>
        <w:tc>
          <w:tcPr>
            <w:tcW w:w="7005" w:type="dxa"/>
            <w:vAlign w:val="center"/>
          </w:tcPr>
          <w:p>
            <w:pPr>
              <w:spacing w:after="240"/>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管套热容量要求不小于7.4MJ</w:t>
            </w:r>
            <w:r>
              <w:rPr>
                <w:rFonts w:hint="default" w:ascii="Times New Roman" w:hAnsi="Times New Roman" w:cs="Times New Roman"/>
                <w:b w:val="0"/>
                <w:bCs/>
                <w:color w:val="auto"/>
                <w:sz w:val="21"/>
                <w:szCs w:val="21"/>
                <w:lang w:val="en-US" w:eastAsia="zh-CN"/>
              </w:rPr>
              <w:t>(10MHU)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09" w:type="dxa"/>
            <w:vAlign w:val="center"/>
          </w:tcPr>
          <w:p>
            <w:pPr>
              <w:pStyle w:val="54"/>
              <w:numPr>
                <w:ilvl w:val="0"/>
                <w:numId w:val="0"/>
              </w:numPr>
              <w:spacing w:after="240"/>
              <w:ind w:left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4</w:t>
            </w:r>
          </w:p>
        </w:tc>
        <w:tc>
          <w:tcPr>
            <w:tcW w:w="7005" w:type="dxa"/>
            <w:vAlign w:val="center"/>
          </w:tcPr>
          <w:p>
            <w:pPr>
              <w:spacing w:after="240"/>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焦点数量：≥两个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909" w:type="dxa"/>
            <w:vAlign w:val="center"/>
          </w:tcPr>
          <w:p>
            <w:pPr>
              <w:pStyle w:val="54"/>
              <w:numPr>
                <w:ilvl w:val="0"/>
                <w:numId w:val="0"/>
              </w:numPr>
              <w:spacing w:after="240"/>
              <w:ind w:left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5</w:t>
            </w:r>
            <w:r>
              <w:rPr>
                <w:rFonts w:hint="default" w:ascii="Times New Roman" w:hAnsi="Times New Roman" w:cs="Times New Roman"/>
                <w:b w:val="0"/>
                <w:bCs/>
                <w:color w:val="auto"/>
                <w:sz w:val="21"/>
                <w:szCs w:val="21"/>
                <w:lang w:val="en-US" w:eastAsia="zh-CN"/>
              </w:rPr>
              <w:t>*</w:t>
            </w:r>
          </w:p>
        </w:tc>
        <w:tc>
          <w:tcPr>
            <w:tcW w:w="7005" w:type="dxa"/>
            <w:vAlign w:val="center"/>
          </w:tcPr>
          <w:p>
            <w:pPr>
              <w:spacing w:after="240"/>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 xml:space="preserve">焦点尺寸（IEC </w:t>
            </w:r>
            <w:r>
              <w:rPr>
                <w:rFonts w:hint="default" w:ascii="Times New Roman" w:hAnsi="Times New Roman" w:cs="Times New Roman"/>
                <w:b w:val="0"/>
                <w:bCs/>
                <w:color w:val="auto"/>
                <w:sz w:val="21"/>
                <w:szCs w:val="21"/>
                <w:lang w:val="en-US" w:eastAsia="zh-CN"/>
              </w:rPr>
              <w:t>60</w:t>
            </w:r>
            <w:r>
              <w:rPr>
                <w:rFonts w:hint="default" w:ascii="Times New Roman" w:hAnsi="Times New Roman" w:cs="Times New Roman" w:eastAsiaTheme="minorEastAsia"/>
                <w:b w:val="0"/>
                <w:bCs/>
                <w:color w:val="auto"/>
                <w:sz w:val="21"/>
                <w:szCs w:val="21"/>
              </w:rPr>
              <w:t>336/2005）：小焦点≤0.9mm*0.7mm；大焦点≤1.2mm*1.1mm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09" w:type="dxa"/>
            <w:vAlign w:val="center"/>
          </w:tcPr>
          <w:p>
            <w:pPr>
              <w:pStyle w:val="54"/>
              <w:numPr>
                <w:ilvl w:val="0"/>
                <w:numId w:val="0"/>
              </w:numPr>
              <w:spacing w:after="240"/>
              <w:ind w:left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6</w:t>
            </w:r>
          </w:p>
        </w:tc>
        <w:tc>
          <w:tcPr>
            <w:tcW w:w="7005" w:type="dxa"/>
            <w:vAlign w:val="center"/>
          </w:tcPr>
          <w:p>
            <w:pPr>
              <w:spacing w:after="240"/>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焦点功率要求最大≥72KW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09" w:type="dxa"/>
            <w:vAlign w:val="center"/>
          </w:tcPr>
          <w:p>
            <w:pPr>
              <w:pStyle w:val="54"/>
              <w:numPr>
                <w:ilvl w:val="0"/>
                <w:numId w:val="0"/>
              </w:numPr>
              <w:spacing w:after="240"/>
              <w:ind w:left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7</w:t>
            </w:r>
          </w:p>
        </w:tc>
        <w:tc>
          <w:tcPr>
            <w:tcW w:w="7005" w:type="dxa"/>
            <w:vAlign w:val="center"/>
          </w:tcPr>
          <w:p>
            <w:pPr>
              <w:spacing w:after="240"/>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120KV时最大毫安输出≥600mA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pStyle w:val="54"/>
              <w:numPr>
                <w:ilvl w:val="0"/>
                <w:numId w:val="0"/>
              </w:numPr>
              <w:spacing w:after="240"/>
              <w:ind w:left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8</w:t>
            </w:r>
            <w:r>
              <w:rPr>
                <w:rFonts w:hint="default" w:ascii="Times New Roman" w:hAnsi="Times New Roman" w:cs="Times New Roman"/>
                <w:b w:val="0"/>
                <w:bCs/>
                <w:color w:val="auto"/>
                <w:sz w:val="21"/>
                <w:szCs w:val="21"/>
                <w:lang w:val="en-US" w:eastAsia="zh-CN"/>
              </w:rPr>
              <w:t>*</w:t>
            </w:r>
          </w:p>
        </w:tc>
        <w:tc>
          <w:tcPr>
            <w:tcW w:w="7005" w:type="dxa"/>
            <w:vAlign w:val="center"/>
          </w:tcPr>
          <w:p>
            <w:pPr>
              <w:spacing w:after="240"/>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球管拥有ASiR芯片，并提供接口，以支持小宝石CT的ASiR技术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09" w:type="dxa"/>
            <w:vAlign w:val="center"/>
          </w:tcPr>
          <w:p>
            <w:pPr>
              <w:pStyle w:val="54"/>
              <w:numPr>
                <w:ilvl w:val="0"/>
                <w:numId w:val="0"/>
              </w:numPr>
              <w:spacing w:after="240"/>
              <w:ind w:left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9</w:t>
            </w:r>
          </w:p>
        </w:tc>
        <w:tc>
          <w:tcPr>
            <w:tcW w:w="7005" w:type="dxa"/>
            <w:vAlign w:val="center"/>
          </w:tcPr>
          <w:p>
            <w:pPr>
              <w:spacing w:after="240"/>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球管最大额定电压≥140KV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09" w:type="dxa"/>
            <w:vAlign w:val="center"/>
          </w:tcPr>
          <w:p>
            <w:pPr>
              <w:pStyle w:val="54"/>
              <w:numPr>
                <w:ilvl w:val="0"/>
                <w:numId w:val="0"/>
              </w:numPr>
              <w:spacing w:after="240"/>
              <w:ind w:left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10</w:t>
            </w:r>
          </w:p>
        </w:tc>
        <w:tc>
          <w:tcPr>
            <w:tcW w:w="7005" w:type="dxa"/>
            <w:vAlign w:val="center"/>
          </w:tcPr>
          <w:p>
            <w:pPr>
              <w:spacing w:after="240"/>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阳极靶面角度：7度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909" w:type="dxa"/>
            <w:vAlign w:val="center"/>
          </w:tcPr>
          <w:p>
            <w:pPr>
              <w:pStyle w:val="54"/>
              <w:numPr>
                <w:ilvl w:val="0"/>
                <w:numId w:val="0"/>
              </w:numPr>
              <w:spacing w:after="240"/>
              <w:ind w:left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11</w:t>
            </w:r>
          </w:p>
        </w:tc>
        <w:tc>
          <w:tcPr>
            <w:tcW w:w="7005" w:type="dxa"/>
            <w:vAlign w:val="center"/>
          </w:tcPr>
          <w:p>
            <w:pPr>
              <w:spacing w:after="240"/>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提供球管与CT整机匹配的</w:t>
            </w:r>
            <w:r>
              <w:rPr>
                <w:rFonts w:hint="default" w:ascii="Times New Roman" w:hAnsi="Times New Roman" w:cs="Times New Roman"/>
                <w:b w:val="0"/>
                <w:bCs/>
                <w:color w:val="auto"/>
                <w:sz w:val="21"/>
                <w:szCs w:val="21"/>
                <w:lang w:val="en-US" w:eastAsia="zh-CN"/>
              </w:rPr>
              <w:t>S</w:t>
            </w:r>
            <w:r>
              <w:rPr>
                <w:rFonts w:hint="default" w:ascii="Times New Roman" w:hAnsi="Times New Roman" w:cs="Times New Roman" w:eastAsiaTheme="minorEastAsia"/>
                <w:b w:val="0"/>
                <w:bCs/>
                <w:color w:val="auto"/>
                <w:sz w:val="21"/>
                <w:szCs w:val="21"/>
              </w:rPr>
              <w:t>FDA认证报告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909" w:type="dxa"/>
            <w:vAlign w:val="center"/>
          </w:tcPr>
          <w:p>
            <w:pPr>
              <w:pStyle w:val="54"/>
              <w:numPr>
                <w:ilvl w:val="0"/>
                <w:numId w:val="0"/>
              </w:numPr>
              <w:spacing w:after="240"/>
              <w:ind w:leftChars="0"/>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b w:val="0"/>
                <w:bCs/>
                <w:color w:val="auto"/>
                <w:sz w:val="21"/>
                <w:szCs w:val="21"/>
                <w:lang w:val="en-US" w:eastAsia="zh-CN"/>
              </w:rPr>
              <w:t>12*</w:t>
            </w:r>
          </w:p>
        </w:tc>
        <w:tc>
          <w:tcPr>
            <w:tcW w:w="7005" w:type="dxa"/>
            <w:vAlign w:val="center"/>
          </w:tcPr>
          <w:p>
            <w:pPr>
              <w:spacing w:after="240"/>
              <w:rPr>
                <w:rFonts w:hint="default" w:ascii="Times New Roman" w:hAnsi="Times New Roman" w:cs="Times New Roman" w:eastAsiaTheme="minorEastAsia"/>
                <w:b w:val="0"/>
                <w:bCs/>
                <w:color w:val="auto"/>
                <w:sz w:val="21"/>
                <w:szCs w:val="21"/>
              </w:rPr>
            </w:pPr>
            <w:r>
              <w:rPr>
                <w:rFonts w:hint="default" w:ascii="Times New Roman" w:hAnsi="Times New Roman" w:cs="Times New Roman"/>
                <w:b w:val="0"/>
                <w:bCs/>
                <w:color w:val="auto"/>
                <w:sz w:val="21"/>
                <w:szCs w:val="21"/>
                <w:lang w:val="en-US" w:eastAsia="zh-CN"/>
              </w:rPr>
              <w:t>需提供球管相关注册或备案产品技术要求的合规证明文件</w:t>
            </w:r>
          </w:p>
        </w:tc>
      </w:tr>
    </w:tbl>
    <w:p>
      <w:pPr>
        <w:spacing w:line="360" w:lineRule="auto"/>
        <w:ind w:firstLine="422" w:firstLineChars="200"/>
        <w:contextualSpacing/>
        <w:rPr>
          <w:rFonts w:hint="eastAsia" w:cs="宋体" w:asciiTheme="minorEastAsia" w:hAnsiTheme="minorEastAsia"/>
          <w:b/>
          <w:bCs w:val="0"/>
          <w:color w:val="auto"/>
          <w:kern w:val="0"/>
          <w:szCs w:val="21"/>
          <w:lang w:val="en-US" w:eastAsia="zh-CN"/>
        </w:rPr>
      </w:pPr>
      <w:r>
        <w:rPr>
          <w:rFonts w:hint="eastAsia" w:cs="宋体" w:asciiTheme="minorEastAsia" w:hAnsiTheme="minorEastAsia"/>
          <w:b/>
          <w:bCs w:val="0"/>
          <w:color w:val="auto"/>
          <w:kern w:val="0"/>
          <w:szCs w:val="21"/>
          <w:lang w:val="en-US" w:eastAsia="zh-CN"/>
        </w:rPr>
        <w:t>B包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高清电子胃镜</w:t>
      </w:r>
    </w:p>
    <w:p>
      <w:pPr>
        <w:wordWrap w:val="0"/>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1. 摄像元件：百万像素CMOS</w:t>
      </w:r>
    </w:p>
    <w:p>
      <w:pPr>
        <w:wordWrap w:val="0"/>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2. 视野方向：直视</w:t>
      </w:r>
    </w:p>
    <w:p>
      <w:pPr>
        <w:wordWrap w:val="0"/>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3. 视野角：140度</w:t>
      </w:r>
    </w:p>
    <w:p>
      <w:pPr>
        <w:wordWrap w:val="0"/>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4. 观察距离：2-100mm</w:t>
      </w:r>
    </w:p>
    <w:p>
      <w:pPr>
        <w:wordWrap w:val="0"/>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5. 头端直径：9.2mm，弯曲直径：9.3mm</w:t>
      </w:r>
    </w:p>
    <w:p>
      <w:pPr>
        <w:wordWrap w:val="0"/>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6. 弯曲部角度：上：210度，下：90度，左：100度，右：100度</w:t>
      </w:r>
    </w:p>
    <w:p>
      <w:pPr>
        <w:wordWrap w:val="0"/>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7. 有效长：1100mm，全长：1400mm</w:t>
      </w:r>
    </w:p>
    <w:p>
      <w:pPr>
        <w:wordWrap w:val="0"/>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8. 钳子管道内径：2.8mm</w:t>
      </w:r>
    </w:p>
    <w:p>
      <w:pPr>
        <w:wordWrap w:val="0"/>
        <w:spacing w:line="360" w:lineRule="auto"/>
        <w:ind w:firstLine="420" w:firstLineChars="200"/>
        <w:contextualSpacing/>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lang w:val="zh-CN"/>
        </w:rPr>
        <w:t>9. 具备前射水功能</w:t>
      </w:r>
    </w:p>
    <w:p>
      <w:pPr>
        <w:spacing w:line="360" w:lineRule="auto"/>
        <w:ind w:firstLine="422" w:firstLineChars="200"/>
        <w:contextualSpacing/>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二、采购标的执行标准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执行国家相关标准。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1、强制性产品认证</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2、信息安全产品强制性认证</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如投标人所投产品被列入《信息安全产品强制性认证目录》，投标人不能提供出此目录范畴外的替代品并须在投标文件中提供：</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（1）中国信息安全认证中心官网(http://www.isccc.gov.cn/index.shtml)产品查询结果截图并加盖投标人公章；</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（2）中国信息安全认证中心颁发的《中国国家信息安全产品认证证书》的原件扫描件(或图片)并加盖投标人公章。</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注:仅需提供序号（1）~（2）其中之一即可。</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三、采购标的的其他技术、服务等要求</w:t>
      </w:r>
    </w:p>
    <w:p>
      <w:pPr>
        <w:wordWrap w:val="0"/>
        <w:spacing w:line="360" w:lineRule="auto"/>
        <w:ind w:firstLine="420" w:firstLineChars="200"/>
        <w:contextualSpacing/>
        <w:rPr>
          <w:rFonts w:cs="仿宋_GB2312" w:asciiTheme="minorEastAsia" w:hAnsiTheme="minorEastAsia"/>
          <w:b/>
          <w:bCs/>
          <w:color w:val="auto"/>
          <w:szCs w:val="21"/>
          <w:lang w:val="zh-CN"/>
        </w:rPr>
      </w:pPr>
      <w:r>
        <w:rPr>
          <w:rFonts w:hint="eastAsia" w:cs="仿宋_GB2312" w:asciiTheme="minorEastAsia" w:hAnsiTheme="minorEastAsia"/>
          <w:color w:val="auto"/>
          <w:szCs w:val="21"/>
          <w:lang w:val="en-US" w:eastAsia="zh-CN"/>
        </w:rPr>
        <w:t>1</w:t>
      </w:r>
      <w:r>
        <w:rPr>
          <w:rFonts w:hint="eastAsia" w:cs="仿宋_GB2312" w:asciiTheme="minorEastAsia" w:hAnsiTheme="minorEastAsia"/>
          <w:color w:val="auto"/>
          <w:szCs w:val="21"/>
          <w:lang w:val="zh-CN"/>
        </w:rPr>
        <w:t>、投标人应就本项目完整投标，报价含税费等综合费用，</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lang w:val="zh-CN"/>
        </w:rPr>
        <w:t>、所投产品必须符合招标文件规定标准的全新正品现货，</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3</w:t>
      </w:r>
      <w:r>
        <w:rPr>
          <w:rFonts w:hint="eastAsia" w:cs="仿宋_GB2312" w:asciiTheme="minorEastAsia" w:hAnsiTheme="minorEastAsia"/>
          <w:color w:val="auto"/>
          <w:szCs w:val="21"/>
          <w:lang w:val="zh-CN"/>
        </w:rPr>
        <w:t>、投标文件中须有详细的实施（技术）方案，</w:t>
      </w:r>
      <w:r>
        <w:rPr>
          <w:rFonts w:hint="eastAsia" w:cs="仿宋_GB2312" w:asciiTheme="minorEastAsia" w:hAnsiTheme="minorEastAsia"/>
          <w:b/>
          <w:bCs/>
          <w:color w:val="auto"/>
          <w:szCs w:val="21"/>
          <w:lang w:val="zh-CN"/>
        </w:rPr>
        <w:t>否则为无效投标。</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lang w:val="zh-CN"/>
        </w:rPr>
        <w:t>、质保</w:t>
      </w:r>
      <w:r>
        <w:rPr>
          <w:rFonts w:hint="eastAsia" w:cs="仿宋_GB2312" w:asciiTheme="minorEastAsia" w:hAnsiTheme="minorEastAsia"/>
          <w:color w:val="auto"/>
          <w:szCs w:val="21"/>
          <w:lang w:val="zh-CN"/>
        </w:rPr>
        <w:t>期一年</w:t>
      </w:r>
      <w:r>
        <w:rPr>
          <w:rFonts w:hint="eastAsia" w:cs="仿宋_GB2312" w:asciiTheme="minorEastAsia" w:hAnsiTheme="minorEastAsia"/>
          <w:color w:val="auto"/>
          <w:szCs w:val="21"/>
          <w:lang w:val="zh-CN"/>
        </w:rPr>
        <w:t>，质保期内免费维修，质保期内发生故障或质量问题，卖方在接到通知后30分钟内进行响应，</w:t>
      </w:r>
      <w:r>
        <w:rPr>
          <w:rFonts w:hint="eastAsia" w:cs="仿宋_GB2312" w:asciiTheme="minorEastAsia" w:hAnsiTheme="minorEastAsia"/>
          <w:color w:val="auto"/>
          <w:szCs w:val="21"/>
        </w:rPr>
        <w:t>24</w:t>
      </w:r>
      <w:r>
        <w:rPr>
          <w:rFonts w:hint="eastAsia" w:cs="仿宋_GB2312" w:asciiTheme="minorEastAsia" w:hAnsiTheme="minorEastAsia"/>
          <w:color w:val="auto"/>
          <w:szCs w:val="21"/>
          <w:lang w:val="zh-CN"/>
        </w:rPr>
        <w:t>小时到达，</w:t>
      </w:r>
      <w:r>
        <w:rPr>
          <w:rFonts w:hint="eastAsia" w:cs="仿宋_GB2312" w:asciiTheme="minorEastAsia" w:hAnsiTheme="minorEastAsia"/>
          <w:color w:val="auto"/>
          <w:szCs w:val="21"/>
        </w:rPr>
        <w:t>48</w:t>
      </w:r>
      <w:r>
        <w:rPr>
          <w:rFonts w:hint="eastAsia" w:cs="仿宋_GB2312" w:asciiTheme="minorEastAsia" w:hAnsiTheme="minorEastAsia"/>
          <w:color w:val="auto"/>
          <w:szCs w:val="21"/>
          <w:lang w:val="zh-CN"/>
        </w:rPr>
        <w:t>小时内处理问题，否则需提供备用机直至原设备修好为止。</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lang w:val="zh-CN"/>
        </w:rPr>
        <w:t>、中标人</w:t>
      </w:r>
      <w:r>
        <w:rPr>
          <w:rFonts w:hint="eastAsia" w:cs="仿宋_GB2312" w:asciiTheme="minorEastAsia" w:hAnsiTheme="minorEastAsia"/>
          <w:color w:val="auto"/>
          <w:szCs w:val="21"/>
          <w:lang w:val="zh-CN"/>
        </w:rPr>
        <w:t>需按合同约定时间供货，逾期1天扣除合</w:t>
      </w:r>
      <w:r>
        <w:rPr>
          <w:rFonts w:hint="eastAsia" w:cs="仿宋_GB2312" w:asciiTheme="minorEastAsia" w:hAnsiTheme="minorEastAsia"/>
          <w:color w:val="auto"/>
          <w:szCs w:val="21"/>
          <w:lang w:val="zh-CN"/>
        </w:rPr>
        <w:t>同额的5%，中标人须现场提供技术指导，直至配合完成整个项目的竣工验收等工作。</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四、验收标准</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1、按照国家相关标准、行业标准、地方标准或其他标准、规范验收。</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2、按照招标文件要求、投标文件响应和承诺验收。</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en-US" w:eastAsia="zh-CN"/>
        </w:rPr>
        <w:t>五</w:t>
      </w:r>
      <w:r>
        <w:rPr>
          <w:rFonts w:hint="eastAsia" w:cs="仿宋_GB2312" w:asciiTheme="minorEastAsia" w:hAnsiTheme="minorEastAsia"/>
          <w:b/>
          <w:bCs/>
          <w:color w:val="auto"/>
          <w:szCs w:val="21"/>
          <w:lang w:val="zh-CN"/>
        </w:rPr>
        <w:t>、资金支付</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1、支付方式：按照合同约定，经验收合格后申请支付。</w:t>
      </w:r>
    </w:p>
    <w:p>
      <w:pPr>
        <w:wordWrap w:val="0"/>
        <w:spacing w:line="360" w:lineRule="auto"/>
        <w:ind w:firstLine="420" w:firstLineChars="200"/>
        <w:contextualSpacing/>
        <w:rPr>
          <w:rFonts w:hint="eastAsia" w:cs="宋体" w:asciiTheme="majorEastAsia" w:hAnsiTheme="majorEastAsia" w:eastAsiaTheme="majorEastAsia"/>
          <w:b/>
          <w:color w:val="auto"/>
          <w:kern w:val="0"/>
          <w:sz w:val="32"/>
          <w:szCs w:val="32"/>
          <w:lang w:val="en-US" w:eastAsia="zh-CN"/>
        </w:rPr>
      </w:pPr>
      <w:r>
        <w:rPr>
          <w:rFonts w:hint="eastAsia" w:cs="仿宋_GB2312" w:asciiTheme="minorEastAsia" w:hAnsiTheme="minorEastAsia"/>
          <w:color w:val="auto"/>
          <w:szCs w:val="21"/>
          <w:lang w:val="zh-CN"/>
        </w:rPr>
        <w:t>2、支付时间及条件：双方签订合同约定。</w:t>
      </w: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p>
    <w:p>
      <w:pPr>
        <w:pStyle w:val="2"/>
        <w:numPr>
          <w:ilvl w:val="3"/>
          <w:numId w:val="0"/>
        </w:numPr>
        <w:ind w:leftChars="0"/>
        <w:rPr>
          <w:color w:val="auto"/>
        </w:rPr>
      </w:pPr>
    </w:p>
    <w:p>
      <w:pPr>
        <w:rPr>
          <w:color w:val="auto"/>
        </w:rPr>
      </w:pPr>
    </w:p>
    <w:p>
      <w:pPr>
        <w:pStyle w:val="2"/>
        <w:numPr>
          <w:numId w:val="0"/>
        </w:numPr>
        <w:ind w:leftChars="0"/>
        <w:rPr>
          <w:color w:val="auto"/>
        </w:rPr>
      </w:pPr>
    </w:p>
    <w:p>
      <w:pPr>
        <w:autoSpaceDE w:val="0"/>
        <w:autoSpaceDN w:val="0"/>
        <w:adjustRightInd w:val="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spacing w:line="440" w:lineRule="exact"/>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rPr>
              <w:t>项目名称：</w:t>
            </w:r>
            <w:r>
              <w:rPr>
                <w:rFonts w:hint="eastAsia" w:ascii="宋体" w:hAnsi="宋体" w:eastAsia="宋体" w:cs="宋体"/>
                <w:color w:val="auto"/>
                <w:szCs w:val="21"/>
                <w:shd w:val="clear" w:color="auto" w:fill="FFFFFF"/>
              </w:rPr>
              <w:t>禹州市中心医院64排CT球管及胃镜医疗设备维修项目</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采</w:t>
            </w:r>
            <w:r>
              <w:rPr>
                <w:rFonts w:hint="eastAsia" w:cs="仿宋_GB2312" w:asciiTheme="minorEastAsia" w:hAnsiTheme="minorEastAsia"/>
                <w:color w:val="auto"/>
                <w:szCs w:val="21"/>
              </w:rPr>
              <w:t>购编号：YZCG-DLT</w:t>
            </w:r>
            <w:r>
              <w:rPr>
                <w:rFonts w:hint="eastAsia" w:cs="仿宋_GB2312" w:asciiTheme="minorEastAsia" w:hAnsiTheme="minorEastAsia"/>
                <w:color w:val="auto"/>
                <w:szCs w:val="21"/>
                <w:lang w:val="en-US" w:eastAsia="zh-CN"/>
              </w:rPr>
              <w:t xml:space="preserve">2022001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cs="仿宋_GB2312" w:asciiTheme="minorEastAsia" w:hAnsiTheme="minorEastAsia"/>
                <w:color w:val="auto"/>
                <w:szCs w:val="21"/>
              </w:rPr>
              <w:t>采购单位：禹州市中心医院</w:t>
            </w:r>
          </w:p>
          <w:p>
            <w:pPr>
              <w:autoSpaceDE w:val="0"/>
              <w:autoSpaceDN w:val="0"/>
              <w:adjustRightInd w:val="0"/>
              <w:spacing w:line="360" w:lineRule="auto"/>
              <w:jc w:val="left"/>
              <w:rPr>
                <w:rFonts w:cs="仿宋_GB2312" w:asciiTheme="minorEastAsia" w:hAnsiTheme="minorEastAsia"/>
                <w:color w:val="auto"/>
                <w:szCs w:val="21"/>
              </w:rPr>
            </w:pPr>
            <w:r>
              <w:rPr>
                <w:rFonts w:cs="仿宋_GB2312" w:asciiTheme="minorEastAsia" w:hAnsiTheme="minorEastAsia"/>
                <w:color w:val="auto"/>
                <w:szCs w:val="21"/>
              </w:rPr>
              <w:t>地址：禹州市禹王大道东段113号</w:t>
            </w:r>
          </w:p>
          <w:p>
            <w:pPr>
              <w:autoSpaceDE w:val="0"/>
              <w:autoSpaceDN w:val="0"/>
              <w:adjustRightInd w:val="0"/>
              <w:spacing w:line="360" w:lineRule="auto"/>
              <w:jc w:val="left"/>
              <w:rPr>
                <w:rFonts w:cs="仿宋_GB2312" w:asciiTheme="minorEastAsia" w:hAnsiTheme="minorEastAsia"/>
                <w:color w:val="auto"/>
                <w:szCs w:val="21"/>
              </w:rPr>
            </w:pPr>
            <w:r>
              <w:rPr>
                <w:rFonts w:cs="仿宋_GB2312" w:asciiTheme="minorEastAsia" w:hAnsiTheme="minorEastAsia"/>
                <w:color w:val="auto"/>
                <w:szCs w:val="21"/>
              </w:rPr>
              <w:t>联系人：刘女士</w:t>
            </w:r>
          </w:p>
          <w:p>
            <w:pPr>
              <w:autoSpaceDE w:val="0"/>
              <w:autoSpaceDN w:val="0"/>
              <w:adjustRightInd w:val="0"/>
              <w:spacing w:line="360" w:lineRule="auto"/>
              <w:jc w:val="left"/>
              <w:rPr>
                <w:rFonts w:cs="仿宋_GB2312" w:asciiTheme="minorEastAsia" w:hAnsiTheme="minorEastAsia"/>
                <w:color w:val="auto"/>
                <w:szCs w:val="21"/>
              </w:rPr>
            </w:pPr>
            <w:r>
              <w:rPr>
                <w:rFonts w:cs="仿宋_GB2312" w:asciiTheme="minorEastAsia" w:hAnsiTheme="minorEastAsia"/>
                <w:color w:val="auto"/>
                <w:szCs w:val="21"/>
              </w:rPr>
              <w:t>联系电话：0374-8226007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代理机构：许昌丰元咨询管理有限公司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地址：禹州市颍北大道6号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 连女士</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w:t>
            </w:r>
            <w:r>
              <w:rPr>
                <w:rFonts w:hint="eastAsia" w:ascii="宋体" w:hAnsi="宋体" w:eastAsia="宋体" w:cs="宋体"/>
                <w:color w:val="auto"/>
                <w:szCs w:val="21"/>
                <w:shd w:val="clear" w:color="auto" w:fill="FFFFFF"/>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①2020年度经审计的财务报告，包括资产负债表、利润表、现金流量表、所有者权益变动表及其附注；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①2020年度经审计的财务报告，包括资产负债表、利润表、现金流量表、所有者权益变动表及其附注；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未被列入“信用中国”网站(www.creditchina.gov.cn)失信被执行人、重大税收违法案件当事人名单的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“中国社会组织公共服务平台”网站（</w:t>
            </w:r>
            <w:r>
              <w:rPr>
                <w:color w:val="auto"/>
              </w:rPr>
              <w:t>www.chinanpo.gov.cn</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③“中国社会组织公共服务平台”网站（</w:t>
            </w:r>
            <w:r>
              <w:rPr>
                <w:color w:val="auto"/>
              </w:rPr>
              <w:t>www.chinanpo.gov.cn</w:t>
            </w:r>
            <w:r>
              <w:rPr>
                <w:rFonts w:hint="eastAsia"/>
                <w:color w:val="auto"/>
              </w:rPr>
              <w:t>）（仅查询社会组织）；</w:t>
            </w:r>
          </w:p>
          <w:p>
            <w:pPr>
              <w:autoSpaceDE w:val="0"/>
              <w:autoSpaceDN w:val="0"/>
              <w:spacing w:line="360" w:lineRule="auto"/>
              <w:contextualSpacing/>
              <w:rPr>
                <w:color w:val="auto"/>
              </w:rPr>
            </w:pPr>
            <w:r>
              <w:rPr>
                <w:rFonts w:hint="eastAsia"/>
                <w:color w:val="auto"/>
              </w:rPr>
              <w:t>2、截止时间：同投标截止时间；</w:t>
            </w:r>
          </w:p>
          <w:p>
            <w:pPr>
              <w:autoSpaceDE w:val="0"/>
              <w:autoSpaceDN w:val="0"/>
              <w:spacing w:line="360" w:lineRule="auto"/>
              <w:contextualSpacing/>
              <w:rPr>
                <w:color w:val="auto"/>
              </w:rPr>
            </w:pPr>
            <w:r>
              <w:rPr>
                <w:rFonts w:hint="eastAsia"/>
                <w:color w:val="auto"/>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color w:val="auto"/>
              </w:rPr>
            </w:pPr>
            <w:r>
              <w:rPr>
                <w:rFonts w:hint="eastAsia"/>
                <w:color w:val="auto"/>
              </w:rPr>
              <w:t>4、信用信息的使用原则：经谈判小组认定的被列入失信被执行人、重大税收违法案件当事人名单、</w:t>
            </w:r>
            <w:r>
              <w:rPr>
                <w:color w:val="auto"/>
              </w:rPr>
              <w:t>政府采购严重违法失信行为记录名单</w:t>
            </w:r>
            <w:r>
              <w:rPr>
                <w:rFonts w:hint="eastAsia"/>
                <w:color w:val="auto"/>
              </w:rPr>
              <w:t>、严重违法失信社会组织名单的供应商，将拒绝其参与本次政府采购活动。</w:t>
            </w:r>
          </w:p>
          <w:p>
            <w:pPr>
              <w:autoSpaceDE w:val="0"/>
              <w:autoSpaceDN w:val="0"/>
              <w:spacing w:line="360" w:lineRule="auto"/>
              <w:contextualSpacing/>
              <w:rPr>
                <w:color w:val="auto"/>
              </w:rPr>
            </w:pPr>
            <w:r>
              <w:rPr>
                <w:rFonts w:hint="eastAsia"/>
                <w:color w:val="auto"/>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color w:val="auto"/>
                <w:szCs w:val="21"/>
              </w:rPr>
            </w:pPr>
            <w:r>
              <w:rPr>
                <w:rFonts w:hint="eastAsia" w:ascii="宋体" w:hAnsi="宋体" w:eastAsia="宋体" w:cs="宋体"/>
                <w:color w:val="auto"/>
                <w:szCs w:val="21"/>
                <w:shd w:val="clear" w:color="auto" w:fill="FFFFFF"/>
                <w:lang w:val="en-US" w:eastAsia="zh-CN"/>
              </w:rPr>
              <w:t>120</w:t>
            </w:r>
            <w:r>
              <w:rPr>
                <w:rFonts w:hint="eastAsia" w:ascii="宋体" w:hAnsi="宋体" w:eastAsia="宋体" w:cs="宋体"/>
                <w:color w:val="auto"/>
                <w:szCs w:val="21"/>
                <w:shd w:val="clear" w:color="auto" w:fill="FFFFFF"/>
              </w:rPr>
              <w:t>0000.00</w:t>
            </w:r>
            <w:r>
              <w:rPr>
                <w:rFonts w:hint="eastAsia" w:ascii="宋体" w:hAnsi="宋体" w:eastAsia="宋体" w:cs="宋体"/>
                <w:color w:val="auto"/>
                <w:szCs w:val="21"/>
                <w:shd w:val="clear" w:color="auto" w:fill="FFFFFF"/>
                <w:lang w:val="en-US" w:eastAsia="zh-CN"/>
              </w:rPr>
              <w:t>元</w:t>
            </w:r>
            <w:r>
              <w:rPr>
                <w:rFonts w:hint="eastAsia" w:ascii="宋体" w:hAnsi="宋体" w:eastAsia="宋体" w:cs="宋体"/>
                <w:color w:val="auto"/>
                <w:szCs w:val="21"/>
                <w:shd w:val="clear" w:color="auto" w:fill="FFFFFF"/>
                <w:lang w:eastAsia="zh-CN"/>
              </w:rPr>
              <w:t>（</w:t>
            </w:r>
            <w:r>
              <w:rPr>
                <w:rFonts w:hint="eastAsia" w:ascii="宋体" w:hAnsi="宋体" w:eastAsia="宋体" w:cs="宋体"/>
                <w:color w:val="auto"/>
                <w:szCs w:val="21"/>
                <w:shd w:val="clear" w:color="auto" w:fill="FFFFFF"/>
                <w:lang w:val="en-US" w:eastAsia="zh-CN"/>
              </w:rPr>
              <w:t>A包800000.00</w:t>
            </w:r>
            <w:r>
              <w:rPr>
                <w:rFonts w:hint="eastAsia" w:ascii="宋体" w:hAnsi="宋体" w:eastAsia="宋体" w:cs="宋体"/>
                <w:color w:val="auto"/>
                <w:szCs w:val="21"/>
                <w:shd w:val="clear" w:color="auto" w:fill="FFFFFF"/>
              </w:rPr>
              <w:t>元</w:t>
            </w:r>
            <w:r>
              <w:rPr>
                <w:rFonts w:hint="eastAsia" w:ascii="宋体" w:hAnsi="宋体" w:eastAsia="宋体" w:cs="宋体"/>
                <w:color w:val="auto"/>
                <w:szCs w:val="21"/>
                <w:shd w:val="clear" w:color="auto" w:fill="FFFFFF"/>
                <w:lang w:eastAsia="zh-CN"/>
              </w:rPr>
              <w:t>，</w:t>
            </w:r>
            <w:r>
              <w:rPr>
                <w:rFonts w:hint="eastAsia" w:ascii="宋体" w:hAnsi="宋体" w:eastAsia="宋体" w:cs="宋体"/>
                <w:color w:val="auto"/>
                <w:szCs w:val="21"/>
                <w:shd w:val="clear" w:color="auto" w:fill="FFFFFF"/>
                <w:lang w:val="en-US" w:eastAsia="zh-CN"/>
              </w:rPr>
              <w:t>B包400000.00元）</w:t>
            </w:r>
            <w:r>
              <w:rPr>
                <w:rFonts w:hint="eastAsia" w:cs="宋体" w:asciiTheme="minorEastAsia" w:hAnsiTheme="minorEastAsia"/>
                <w:b/>
                <w:bCs/>
                <w:color w:val="auto"/>
                <w:szCs w:val="21"/>
                <w:lang w:val="zh-CN"/>
              </w:rPr>
              <w:t>元</w:t>
            </w:r>
            <w:r>
              <w:rPr>
                <w:rFonts w:hint="eastAsia" w:cs="宋体" w:asciiTheme="minorEastAsia" w:hAnsiTheme="minorEastAsia"/>
                <w:bCs/>
                <w:color w:val="auto"/>
                <w:szCs w:val="21"/>
                <w:lang w:val="zh-CN"/>
              </w:rPr>
              <w:t>，超出预算金额的响应无效</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52"/>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2022</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2</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 xml:space="preserve">18 </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rPr>
              <w:t>8:3</w:t>
            </w:r>
            <w:r>
              <w:rPr>
                <w:rFonts w:hint="eastAsia" w:cs="宋体" w:asciiTheme="minorEastAsia" w:hAnsiTheme="minorEastAsia"/>
                <w:bCs/>
                <w:color w:val="auto"/>
                <w:szCs w:val="21"/>
              </w:rPr>
              <w:t>0</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pPr>
              <w:pStyle w:val="10"/>
              <w:rPr>
                <w:color w:val="auto"/>
                <w:sz w:val="22"/>
              </w:rPr>
            </w:pPr>
            <w:r>
              <w:rPr>
                <w:rFonts w:hint="eastAsia"/>
                <w:color w:val="auto"/>
                <w:sz w:val="22"/>
              </w:rPr>
              <w:t>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   %</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w:t>
            </w:r>
            <w:r>
              <w:rPr>
                <w:rFonts w:hint="eastAsia" w:ascii="宋体" w:hAnsi="宋体" w:cs="宋体"/>
                <w:color w:val="auto"/>
                <w:szCs w:val="21"/>
              </w:rPr>
              <w:t>招标代理服务费由中标人支付，招标代理服务费参考《国家计委〈计价格〔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pStyle w:val="7"/>
              <w:spacing w:line="348" w:lineRule="auto"/>
              <w:rPr>
                <w:rFonts w:cs="宋体" w:asciiTheme="minorEastAsia" w:hAnsiTheme="minorEastAsia"/>
                <w:bCs/>
                <w:color w:val="auto"/>
                <w:szCs w:val="21"/>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olor w:val="auto"/>
                <w:sz w:val="24"/>
                <w:szCs w:val="24"/>
              </w:rPr>
              <w:t>①谈判小组要求供应商提交最后报价时，</w:t>
            </w:r>
            <w:r>
              <w:rPr>
                <w:rFonts w:hint="eastAsia" w:ascii="楷体" w:hAnsi="楷体" w:eastAsia="楷体" w:cs="仿宋_GB2312"/>
                <w:color w:val="auto"/>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olor w:val="auto"/>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color w:val="auto"/>
              </w:rPr>
            </w:pPr>
            <w:r>
              <w:rPr>
                <w:rFonts w:hint="eastAsia" w:ascii="楷体" w:hAnsi="楷体" w:eastAsia="楷体"/>
                <w:color w:val="auto"/>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不同供应商电子投标文件制作硬件特征码（网卡MAC地址、CPU序号、硬盘序列号）均一致时，视为‘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ascii="ˎ̥" w:hAnsi="ˎ̥"/>
                <w:color w:val="auto"/>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color w:val="auto"/>
              </w:rPr>
            </w:pPr>
            <w:r>
              <w:rPr>
                <w:rFonts w:hint="eastAsia" w:ascii="ˎ̥" w:hAnsi="ˎ̥"/>
                <w:color w:val="auto"/>
              </w:rPr>
              <w:t>2、项目编号以本谈判文件中的采购编号为准。</w:t>
            </w:r>
          </w:p>
          <w:p>
            <w:pPr>
              <w:autoSpaceDE w:val="0"/>
              <w:autoSpaceDN w:val="0"/>
              <w:adjustRightInd w:val="0"/>
              <w:spacing w:line="360" w:lineRule="auto"/>
              <w:contextualSpacing/>
              <w:rPr>
                <w:color w:val="auto"/>
              </w:rPr>
            </w:pPr>
            <w:r>
              <w:rPr>
                <w:rFonts w:hint="eastAsia" w:ascii="ˎ̥" w:hAnsi="ˎ̥"/>
                <w:color w:val="auto"/>
              </w:rPr>
              <w:t>3、谈判文件第八章  响应文件有关格式的先后顺序不做无效响应。</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723"/>
        <w:rPr>
          <w:rFonts w:cs="宋体" w:asciiTheme="majorEastAsia" w:hAnsiTheme="majorEastAsia" w:eastAsiaTheme="majorEastAsia"/>
          <w:b/>
          <w:color w:val="auto"/>
          <w:kern w:val="0"/>
          <w:sz w:val="36"/>
          <w:szCs w:val="36"/>
        </w:rPr>
      </w:pPr>
    </w:p>
    <w:p>
      <w:pPr>
        <w:pStyle w:val="33"/>
        <w:ind w:firstLine="0" w:firstLineChars="0"/>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ind w:firstLine="2570" w:firstLineChars="800"/>
        <w:contextualSpacing/>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4"/>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Style w:val="32"/>
          <w:rFonts w:cs="宋体" w:asciiTheme="minorEastAsia" w:hAnsiTheme="minorEastAsia"/>
          <w:color w:val="auto"/>
          <w:kern w:val="0"/>
          <w:szCs w:val="21"/>
        </w:rPr>
        <w:t>www.chinanpo.gov.cn</w:t>
      </w:r>
      <w:r>
        <w:rPr>
          <w:rStyle w:val="32"/>
          <w:rFonts w:cs="宋体" w:asciiTheme="minorEastAsia" w:hAnsiTheme="minorEastAsia"/>
          <w:color w:val="auto"/>
          <w:kern w:val="0"/>
          <w:szCs w:val="21"/>
        </w:rPr>
        <w:fldChar w:fldCharType="end"/>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3.3.2截止时间：同谈判响应截止时间；</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3.3.3信用信息查询记录和证据留存具体方式：经谈判小组确认的查询结果网页截图作为查询记录和证据，与其他采购文件一并保存；</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3.3.4信用信息的使用原则：经谈判小组认定的被列入失信被执行人、重大税收违法案件当事人名单、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严重违法失信社会组织名单的供应商，将拒绝其参与本次政府采购活动。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3.3.5供应商无须提供</w:t>
      </w:r>
      <w:r>
        <w:rPr>
          <w:rFonts w:hint="eastAsia" w:ascii="宋体" w:hAnsi="宋体" w:cs="微软雅黑"/>
          <w:bCs/>
          <w:color w:val="auto"/>
          <w:szCs w:val="21"/>
        </w:rPr>
        <w:t>信用记录查询结果网页截屏。</w:t>
      </w:r>
      <w:r>
        <w:rPr>
          <w:rFonts w:hint="eastAsia" w:cs="宋体" w:asciiTheme="minorEastAsia" w:hAnsiTheme="minorEastAsia"/>
          <w:color w:val="auto"/>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.1在响应文件中向采购人提交联合体协议书，明确联合体各方承担的工作和义务；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.3采购人根据采购项目的特殊要求规定供应商特定条件的，联合体各方中至少应当有一方符合采购规定的特定条件；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法律、行政法规规定的其他条件。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pStyle w:val="54"/>
        <w:autoSpaceDE w:val="0"/>
        <w:autoSpaceDN w:val="0"/>
        <w:spacing w:line="360" w:lineRule="auto"/>
        <w:contextualSpacing/>
        <w:rPr>
          <w:rFonts w:cs="宋体" w:asciiTheme="minorEastAsia" w:hAnsiTheme="minorEastAsia"/>
          <w:bCs/>
          <w:color w:val="auto"/>
          <w:kern w:val="0"/>
          <w:szCs w:val="21"/>
        </w:rPr>
      </w:pPr>
      <w:r>
        <w:rPr>
          <w:rFonts w:hint="eastAsia" w:cs="宋体" w:asciiTheme="minorEastAsia" w:hAnsiTheme="minorEastAsia"/>
          <w:bCs/>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s="宋体"/>
          <w:color w:val="auto"/>
          <w:szCs w:val="21"/>
        </w:rPr>
        <w:t>招标代理服务费由中标人支付，招标代理服务费参考《国家计委〈计价格〔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9.谈判文件构成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14.响应文件构成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15.响应文件格式</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16.谈判保证金</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17.谈判文件的数量和签署盖章</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4"/>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18.谈判响应截止时间</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19.迟交的响应文件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谈判响应文件截止时间之后上传的响应文件，采购人、采购代理机构将将拒绝接收。</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20.响应文件的修改和撤回</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4"/>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22.2.2供应商解密：供应商使用本单位CA数字证书进行远程解密。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22.2.3采购代理机构解密：</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22.2.4供应商未在规定时间内解密或</w:t>
      </w:r>
      <w:r>
        <w:rPr>
          <w:rFonts w:hint="eastAsia" w:cs="宋体" w:asciiTheme="minorEastAsia" w:hAnsiTheme="minorEastAsia"/>
          <w:color w:val="auto"/>
          <w:kern w:val="0"/>
          <w:szCs w:val="21"/>
        </w:rPr>
        <w:t>因供应商原因解密失败的，其响应文件将被拒绝。</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22.4响应文件解密过程由采购代理机构负责记录。</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22.6响应文件</w:t>
      </w:r>
      <w:r>
        <w:rPr>
          <w:rFonts w:hint="eastAsia" w:hAnsi="宋体"/>
          <w:color w:val="auto"/>
          <w:szCs w:val="21"/>
        </w:rPr>
        <w:t>解密活动结束时，供应商应在《开标记录表》上进行电子签章。供应商未签章的，视同认可解密结果。</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23.谈判小组组成</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23.1.2达到公开</w:t>
      </w:r>
      <w:r>
        <w:rPr>
          <w:rFonts w:ascii="ˎ̥" w:hAnsi="ˎ̥"/>
          <w:color w:val="auto"/>
        </w:rPr>
        <w:t>招标数额标准的货物或者服务采购项目，或者达到招标规模标准的政府采购工程，竞争性谈判小组应当由5人以上单数组成</w:t>
      </w:r>
      <w:r>
        <w:rPr>
          <w:rFonts w:hint="eastAsia" w:ascii="ˎ̥" w:hAnsi="ˎ̥"/>
          <w:color w:val="auto"/>
        </w:rPr>
        <w:t>。</w:t>
      </w:r>
    </w:p>
    <w:p>
      <w:pPr>
        <w:pStyle w:val="54"/>
        <w:numPr>
          <w:ilvl w:val="1"/>
          <w:numId w:val="6"/>
        </w:numPr>
        <w:autoSpaceDE w:val="0"/>
        <w:autoSpaceDN w:val="0"/>
        <w:spacing w:line="360" w:lineRule="auto"/>
        <w:ind w:firstLineChars="0"/>
        <w:contextualSpacing/>
        <w:rPr>
          <w:rFonts w:ascii="ˎ̥" w:hAnsi="ˎ̥"/>
          <w:vanish/>
          <w:color w:val="auto"/>
        </w:rPr>
      </w:pP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23.2采购人</w:t>
      </w:r>
      <w:r>
        <w:rPr>
          <w:rFonts w:ascii="ˎ̥" w:hAnsi="ˎ̥"/>
          <w:color w:val="auto"/>
        </w:rPr>
        <w:t>不得以评审专家身份参加本部门或本单位采购项目的评审</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23.3谈判小组成员与供应商存在下列利害关系之一的,应当回避：</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23.3.1参加采购活动前三年内,与供应商存在劳动关系,或者担任过供应商的董事、监事,或者是供应商的控股股东或实际控制人；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23.3.2与供应商的法定代表人或者负责人有夫妻、直系血亲、三代以内旁系血亲或者近姻亲关系；</w:t>
      </w:r>
    </w:p>
    <w:p>
      <w:pPr>
        <w:pStyle w:val="54"/>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23.3.3与供应</w:t>
      </w:r>
      <w:r>
        <w:rPr>
          <w:rFonts w:hint="eastAsia" w:ascii="ˎ̥" w:hAnsi="ˎ̥"/>
          <w:color w:val="auto"/>
        </w:rPr>
        <w:t>商有其他可能影响政府采购活动公平、公正进行的关系。</w:t>
      </w:r>
    </w:p>
    <w:p>
      <w:pPr>
        <w:pStyle w:val="54"/>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23.5采购人不得担任谈判小组组长。</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23.6谈判小组成员名单在成交结果公告前应当保密。</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24.资格审查和符合性审查</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4"/>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4"/>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4"/>
        <w:numPr>
          <w:ilvl w:val="1"/>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25.响应文件的澄清</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25.1谈判小</w:t>
      </w:r>
      <w:r>
        <w:rPr>
          <w:rFonts w:ascii="ˎ̥" w:hAnsi="ˎ̥"/>
          <w:color w:val="auto"/>
        </w:rPr>
        <w:t>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26.响应文件报价出现前后不一致的修正</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27.1.5投标文件内容模糊清，无法辨认的；</w:t>
      </w:r>
    </w:p>
    <w:p>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28.7最后报价是供应商响应文件的有效组成部分。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28.8已提交响应文件的供应商，在提交最后报价之前，可以根据谈判情况退出谈判。</w:t>
      </w:r>
    </w:p>
    <w:p>
      <w:pPr>
        <w:pStyle w:val="54"/>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28.9按照《</w:t>
      </w:r>
      <w:r>
        <w:rPr>
          <w:rFonts w:hint="eastAsia" w:ascii="ˎ̥" w:hAnsi="ˎ̥"/>
          <w:color w:val="auto"/>
        </w:rPr>
        <w:t>关于推进全流程电子化交易和在线监管工作有关问题的通知》（许公管办[2019]3号）规定，评审专家应严格按照要求查看“硬件特征码相” 关信息并进行评审。</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4"/>
        <w:autoSpaceDE w:val="0"/>
        <w:autoSpaceDN w:val="0"/>
        <w:spacing w:line="360" w:lineRule="auto"/>
        <w:contextualSpacing/>
        <w:rPr>
          <w:rFonts w:cs="宋体" w:asciiTheme="minorEastAsia" w:hAnsiTheme="minorEastAsia"/>
          <w:b/>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30.确定成交供应商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30.2采购人</w:t>
      </w:r>
      <w:r>
        <w:rPr>
          <w:rFonts w:ascii="ˎ̥" w:hAnsi="ˎ̥"/>
          <w:color w:val="auto"/>
        </w:rPr>
        <w:t>逾期未确定成交供应商且不提出异议的，视为确定评审报告提出的最后报价最低的供应商为成交供应商</w:t>
      </w:r>
      <w:r>
        <w:rPr>
          <w:rFonts w:hint="eastAsia" w:ascii="ˎ̥" w:hAnsi="ˎ̥"/>
          <w:color w:val="auto"/>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31.终止采购活动的情形</w:t>
      </w:r>
    </w:p>
    <w:p>
      <w:pPr>
        <w:pStyle w:val="54"/>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4"/>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pPr>
        <w:pStyle w:val="54"/>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4"/>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4"/>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32.成交公告、发出成交通知书</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33.质疑提出与答复</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34.签订合同</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35.履约保证金</w:t>
      </w:r>
    </w:p>
    <w:p>
      <w:pPr>
        <w:autoSpaceDE w:val="0"/>
        <w:autoSpaceDN w:val="0"/>
        <w:spacing w:line="360" w:lineRule="auto"/>
        <w:ind w:firstLine="420" w:firstLineChars="200"/>
        <w:contextualSpacing/>
        <w:rPr>
          <w:color w:val="auto"/>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36.政府采购合同融资</w:t>
      </w:r>
    </w:p>
    <w:p>
      <w:pPr>
        <w:pStyle w:val="54"/>
        <w:wordWrap w:val="0"/>
        <w:topLinePunct/>
        <w:autoSpaceDE w:val="0"/>
        <w:autoSpaceDN w:val="0"/>
        <w:adjustRightInd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36.1缓解中小企业融资难题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0374-7313551  18937425515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地址：禹州市禹王大道与府东路交叉口</w:t>
      </w:r>
    </w:p>
    <w:p>
      <w:pPr>
        <w:autoSpaceDE w:val="0"/>
        <w:autoSpaceDN w:val="0"/>
        <w:spacing w:line="360" w:lineRule="auto"/>
        <w:ind w:left="964"/>
        <w:contextualSpacing/>
        <w:rPr>
          <w:color w:val="auto"/>
        </w:rPr>
      </w:pPr>
    </w:p>
    <w:p>
      <w:pPr>
        <w:rPr>
          <w:color w:val="auto"/>
        </w:rPr>
      </w:pPr>
    </w:p>
    <w:p>
      <w:pPr>
        <w:pStyle w:val="2"/>
        <w:numPr>
          <w:ilvl w:val="3"/>
          <w:numId w:val="0"/>
        </w:numPr>
        <w:ind w:leftChars="0"/>
        <w:rPr>
          <w:color w:val="auto"/>
        </w:rPr>
      </w:pPr>
    </w:p>
    <w:p>
      <w:pPr>
        <w:rPr>
          <w:color w:val="auto"/>
        </w:rPr>
      </w:pPr>
    </w:p>
    <w:p>
      <w:pPr>
        <w:rPr>
          <w:color w:val="auto"/>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pStyle w:val="33"/>
        <w:rPr>
          <w:color w:val="auto"/>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对响应文件审查与评审</w:t>
      </w:r>
    </w:p>
    <w:p>
      <w:pPr>
        <w:pStyle w:val="17"/>
        <w:spacing w:line="360" w:lineRule="auto"/>
        <w:contextualSpacing/>
        <w:rPr>
          <w:rFonts w:cs="仿宋_GB2312" w:asciiTheme="minorEastAsia" w:hAnsiTheme="minorEastAsia"/>
          <w:color w:val="auto"/>
          <w:lang w:val="zh-CN"/>
        </w:rPr>
      </w:pPr>
    </w:p>
    <w:p>
      <w:pPr>
        <w:pStyle w:val="17"/>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①2020年度经审计的财务报告，包括资产负债表、利润表、现金流量表、所有者权益变动表及其附注；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①2020年度经审计的财务报告，包括资产负债表、利润表、现金流量表、所有者权益变动表及其附注；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依法缴纳税收相关材料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供应商提供参加本次政府采购项目</w:t>
            </w:r>
            <w:r>
              <w:rPr>
                <w:rFonts w:hint="eastAsia" w:asciiTheme="minorEastAsia" w:hAnsiTheme="minorEastAsia"/>
                <w:bCs/>
                <w:color w:val="auto"/>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依法缴纳社会保障资金的证明材料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供应商提供参加本次政府采购项目</w:t>
            </w:r>
            <w:r>
              <w:rPr>
                <w:rFonts w:hint="eastAsia" w:asciiTheme="minorEastAsia" w:hAnsiTheme="minorEastAsia"/>
                <w:bCs/>
                <w:color w:val="auto"/>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6</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履行合同所必须的设备和专业技术能力的证明材料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①与本项目响应相关设备的购置发票、专业技术人员职称证书、用工合同等；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7</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color w:val="auto"/>
                <w:szCs w:val="21"/>
              </w:rPr>
            </w:pPr>
            <w:r>
              <w:rPr>
                <w:rFonts w:hint="eastAsia" w:ascii="宋体" w:hAnsi="宋体" w:cs="微软雅黑"/>
                <w:bCs/>
                <w:color w:val="auto"/>
                <w:szCs w:val="21"/>
              </w:rPr>
              <w:t>如无重大违法记录请按照谈判文件提供格式填写。</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8</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信用记录查询及使用</w:t>
            </w:r>
          </w:p>
        </w:tc>
        <w:tc>
          <w:tcPr>
            <w:tcW w:w="5954" w:type="dxa"/>
          </w:tcPr>
          <w:p>
            <w:pPr>
              <w:wordWrap w:val="0"/>
              <w:spacing w:line="360" w:lineRule="auto"/>
              <w:rPr>
                <w:rFonts w:asciiTheme="minorEastAsia" w:hAnsiTheme="minorEastAsia"/>
                <w:bCs/>
                <w:color w:val="auto"/>
                <w:szCs w:val="21"/>
              </w:rPr>
            </w:pPr>
            <w:r>
              <w:rPr>
                <w:rFonts w:hint="eastAsia" w:asciiTheme="minorEastAsia" w:hAnsiTheme="minorEastAsia"/>
                <w:bCs/>
                <w:color w:val="auto"/>
                <w:szCs w:val="21"/>
              </w:rPr>
              <w:t>政府采购活动中查询及使用供应商信用记录的具体要求为：供应商未被列入</w:t>
            </w:r>
            <w:r>
              <w:rPr>
                <w:rFonts w:asciiTheme="minorEastAsia" w:hAnsiTheme="minorEastAsia"/>
                <w:bCs/>
                <w:color w:val="auto"/>
                <w:szCs w:val="21"/>
              </w:rPr>
              <w:t>“信用中国”网站</w:t>
            </w:r>
            <w:r>
              <w:rPr>
                <w:rFonts w:hint="eastAsia" w:asciiTheme="minorEastAsia" w:hAnsiTheme="minorEastAsia"/>
                <w:bCs/>
                <w:color w:val="auto"/>
                <w:szCs w:val="21"/>
              </w:rPr>
              <w:t>失信被执行人、重大税收违法案件当事人名单、 “</w:t>
            </w:r>
            <w:r>
              <w:rPr>
                <w:rFonts w:asciiTheme="minorEastAsia" w:hAnsiTheme="minorEastAsia"/>
                <w:bCs/>
                <w:color w:val="auto"/>
                <w:szCs w:val="21"/>
              </w:rPr>
              <w:t>中国政府采购网</w:t>
            </w:r>
            <w:r>
              <w:rPr>
                <w:rFonts w:hint="eastAsia" w:asciiTheme="minorEastAsia" w:hAnsiTheme="minorEastAsia"/>
                <w:bCs/>
                <w:color w:val="auto"/>
                <w:szCs w:val="21"/>
              </w:rPr>
              <w:t>”政府采购严重违法失信行为记录名单、</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）严重违法失信社会组织名单的供应商</w:t>
            </w:r>
            <w:r>
              <w:rPr>
                <w:rFonts w:hint="eastAsia" w:cs="仿宋_GB2312" w:asciiTheme="minorEastAsia" w:hAnsiTheme="minorEastAsia"/>
                <w:b/>
                <w:color w:val="auto"/>
                <w:szCs w:val="21"/>
              </w:rPr>
              <w:t>；</w:t>
            </w:r>
            <w:r>
              <w:rPr>
                <w:rFonts w:hint="eastAsia" w:asciiTheme="minorEastAsia" w:hAnsiTheme="minorEastAsia"/>
                <w:bCs/>
                <w:color w:val="auto"/>
                <w:szCs w:val="21"/>
              </w:rPr>
              <w:t>（联合体形式投标的，联合体成员存在不良信用记录，视同联合体存在不良信用记录）。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2"/>
                <w:rFonts w:hint="eastAsia" w:asciiTheme="minorEastAsia" w:hAnsiTheme="minorEastAsia"/>
                <w:color w:val="auto"/>
                <w:szCs w:val="21"/>
              </w:rPr>
              <w:t>www.creditchina.gov.cn</w:t>
            </w:r>
            <w:r>
              <w:rPr>
                <w:rStyle w:val="32"/>
                <w:rFonts w:hint="eastAsia" w:asciiTheme="minorEastAsia" w:hAnsiTheme="minorEastAsia"/>
                <w:color w:val="auto"/>
                <w:szCs w:val="21"/>
              </w:rPr>
              <w:fldChar w:fldCharType="end"/>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）（仅查询社会组织）</w:t>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w:t>
            </w:r>
            <w:r>
              <w:rPr>
                <w:rFonts w:hint="eastAsia" w:cs="宋体" w:asciiTheme="minorEastAsia" w:hAnsiTheme="minorEastAsia"/>
                <w:color w:val="auto"/>
                <w:kern w:val="0"/>
                <w:szCs w:val="21"/>
              </w:rPr>
              <w:t>谈判小组</w:t>
            </w:r>
            <w:r>
              <w:rPr>
                <w:rFonts w:hint="eastAsia" w:asciiTheme="minorEastAsia" w:hAnsiTheme="minorEastAsia"/>
                <w:bCs/>
                <w:color w:val="auto"/>
                <w:szCs w:val="21"/>
              </w:rPr>
              <w:t>确认的查询结果网页截图作为查询记录和证据，与其他采购文件一并保存；</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（4）信用信息的使用原则：经</w:t>
            </w:r>
            <w:r>
              <w:rPr>
                <w:rFonts w:hint="eastAsia" w:cs="宋体" w:asciiTheme="minorEastAsia" w:hAnsiTheme="minorEastAsia"/>
                <w:color w:val="auto"/>
                <w:kern w:val="0"/>
                <w:szCs w:val="21"/>
              </w:rPr>
              <w:t>谈判小组</w:t>
            </w:r>
            <w:r>
              <w:rPr>
                <w:rFonts w:hint="eastAsia" w:asciiTheme="minorEastAsia" w:hAnsiTheme="minorEastAsia"/>
                <w:bCs/>
                <w:color w:val="auto"/>
                <w:szCs w:val="21"/>
              </w:rPr>
              <w:t>确认认定的被列入失信被执行人、重大税收违法案件当事人名单、政府采购严重违法失信行为记录名单的供应商，</w:t>
            </w:r>
            <w:r>
              <w:rPr>
                <w:rFonts w:hint="eastAsia" w:cs="仿宋_GB2312" w:asciiTheme="minorEastAsia" w:hAnsiTheme="minorEastAsia"/>
                <w:color w:val="auto"/>
                <w:szCs w:val="21"/>
              </w:rPr>
              <w:t>严重违法失信社会组织</w:t>
            </w:r>
            <w:r>
              <w:rPr>
                <w:rFonts w:hint="eastAsia" w:asciiTheme="minorEastAsia" w:hAnsiTheme="minorEastAsia"/>
                <w:bCs/>
                <w:color w:val="auto"/>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9</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11</w:t>
            </w:r>
          </w:p>
        </w:tc>
        <w:tc>
          <w:tcPr>
            <w:tcW w:w="2410" w:type="dxa"/>
            <w:vAlign w:val="center"/>
          </w:tcPr>
          <w:p>
            <w:pPr>
              <w:spacing w:line="360" w:lineRule="auto"/>
              <w:rPr>
                <w:rFonts w:asciiTheme="minorEastAsia" w:hAnsiTheme="minorEastAsia"/>
                <w:color w:val="auto"/>
                <w:szCs w:val="21"/>
              </w:rPr>
            </w:pPr>
            <w:r>
              <w:rPr>
                <w:rFonts w:hint="eastAsia" w:asciiTheme="minorEastAsia" w:hAnsiTheme="minorEastAsia"/>
                <w:b/>
                <w:color w:val="auto"/>
                <w:szCs w:val="21"/>
              </w:rPr>
              <w:t>响应承诺函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12</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13</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Theme="minorEastAsia" w:hAnsiTheme="minorEastAsia"/>
                <w:b/>
                <w:color w:val="auto"/>
                <w:sz w:val="24"/>
                <w:szCs w:val="24"/>
              </w:rPr>
            </w:pPr>
            <w:r>
              <w:rPr>
                <w:rFonts w:hint="eastAsia" w:ascii="楷体" w:hAnsi="楷体" w:eastAsia="楷体"/>
                <w:color w:val="auto"/>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14</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15</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7"/>
        <w:spacing w:line="360" w:lineRule="auto"/>
        <w:ind w:firstLine="482" w:firstLineChars="200"/>
        <w:contextualSpacing/>
        <w:rPr>
          <w:rFonts w:cs="仿宋_GB2312" w:asciiTheme="minorEastAsia" w:hAnsiTheme="minorEastAsia" w:eastAsiaTheme="minorEastAsia"/>
          <w:b/>
          <w:color w:val="auto"/>
          <w:szCs w:val="24"/>
          <w:lang w:val="zh-CN"/>
        </w:rPr>
      </w:pP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7"/>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7"/>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17"/>
        <w:spacing w:line="360" w:lineRule="auto"/>
        <w:ind w:firstLine="480" w:firstLineChars="200"/>
        <w:contextualSpacing/>
        <w:jc w:val="left"/>
        <w:rPr>
          <w:rFonts w:cs="仿宋_GB2312" w:asciiTheme="minorEastAsia" w:hAnsiTheme="minorEastAsia"/>
          <w:color w:val="auto"/>
          <w:sz w:val="21"/>
          <w:szCs w:val="21"/>
          <w:lang w:val="zh-CN"/>
        </w:rPr>
      </w:pPr>
      <w:r>
        <w:rPr>
          <w:rFonts w:hint="eastAsia" w:ascii="楷体" w:hAnsi="楷体" w:eastAsia="楷体" w:cs="仿宋_GB2312"/>
          <w:color w:val="auto"/>
          <w:szCs w:val="24"/>
          <w:lang w:val="zh-CN"/>
        </w:rPr>
        <w:t>注：审查中所涉及到的证书及材料，均应在电子响应文件中提供原件扫描件（或图片）。</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17"/>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hint="eastAsia" w:cs="仿宋_GB2312" w:asciiTheme="minorEastAsia" w:hAnsiTheme="minorEastAsia" w:eastAsiaTheme="minorEastAsia"/>
          <w:b/>
          <w:color w:val="auto"/>
          <w:sz w:val="21"/>
          <w:szCs w:val="21"/>
          <w:lang w:val="zh-CN"/>
        </w:rPr>
        <w:t>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（1）如供应商所响应产品属于“中国强制性产品认证”（3C认证）范围内,则必须承诺采用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则响应文件中应根据本项目谈判文件“第二章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pStyle w:val="17"/>
        <w:spacing w:line="360" w:lineRule="auto"/>
        <w:ind w:firstLine="422"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eastAsiaTheme="minorEastAsia"/>
          <w:b/>
          <w:color w:val="auto"/>
          <w:sz w:val="21"/>
          <w:szCs w:val="21"/>
          <w:lang w:val="zh-CN"/>
        </w:rPr>
        <w:t>（三）</w:t>
      </w:r>
      <w:r>
        <w:rPr>
          <w:rFonts w:cs="仿宋_GB2312" w:asciiTheme="minorEastAsia" w:hAnsiTheme="minorEastAsia" w:eastAsiaTheme="minorEastAsia"/>
          <w:b/>
          <w:color w:val="auto"/>
          <w:sz w:val="21"/>
          <w:szCs w:val="21"/>
          <w:lang w:val="zh-CN"/>
        </w:rPr>
        <w:t>因落实政府采购政策进行价格调整的，以调整后的价格计算报价。</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540"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693"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977"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540"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693" w:type="dxa"/>
            <w:vAlign w:val="center"/>
          </w:tcPr>
          <w:p>
            <w:pPr>
              <w:jc w:val="center"/>
              <w:rPr>
                <w:rFonts w:ascii="ˎ̥" w:hAnsi="ˎ̥" w:eastAsia="宋体"/>
                <w:color w:val="auto"/>
                <w:szCs w:val="21"/>
              </w:rPr>
            </w:pPr>
            <w:r>
              <w:rPr>
                <w:rFonts w:hint="eastAsia" w:ascii="ˎ̥" w:hAnsi="ˎ̥" w:eastAsia="宋体"/>
                <w:color w:val="auto"/>
                <w:szCs w:val="21"/>
              </w:rPr>
              <w:t>对小型和微型企业报价</w:t>
            </w:r>
          </w:p>
          <w:p>
            <w:pPr>
              <w:jc w:val="center"/>
              <w:rPr>
                <w:rFonts w:ascii="宋体" w:hAnsi="宋体"/>
                <w:b/>
                <w:color w:val="auto"/>
                <w:szCs w:val="21"/>
                <w:lang w:val="en-GB"/>
              </w:rPr>
            </w:pPr>
            <w:r>
              <w:rPr>
                <w:rFonts w:hint="eastAsia" w:ascii="ˎ̥" w:hAnsi="ˎ̥" w:eastAsia="宋体"/>
                <w:color w:val="auto"/>
                <w:szCs w:val="21"/>
              </w:rPr>
              <w:t>扣除6%</w:t>
            </w:r>
          </w:p>
        </w:tc>
        <w:tc>
          <w:tcPr>
            <w:tcW w:w="2977" w:type="dxa"/>
            <w:vMerge w:val="restart"/>
            <w:shd w:val="clear" w:color="auto" w:fill="auto"/>
            <w:vAlign w:val="center"/>
          </w:tcPr>
          <w:p>
            <w:pPr>
              <w:jc w:val="center"/>
              <w:rPr>
                <w:color w:val="auto"/>
                <w:szCs w:val="21"/>
                <w:lang w:val="en-GB"/>
              </w:rPr>
            </w:pPr>
            <w:r>
              <w:rPr>
                <w:rFonts w:hint="eastAsia"/>
                <w:color w:val="auto"/>
                <w:szCs w:val="21"/>
                <w:lang w:val="en-GB"/>
              </w:rPr>
              <w:t>评标价格＝</w:t>
            </w:r>
            <w:r>
              <w:rPr>
                <w:rFonts w:hint="eastAsia" w:ascii="ˎ̥" w:hAnsi="ˎ̥" w:eastAsia="宋体"/>
                <w:color w:val="auto"/>
                <w:szCs w:val="21"/>
              </w:rPr>
              <w:t>小型和微型企业报价</w:t>
            </w:r>
            <w:r>
              <w:rPr>
                <w:rFonts w:hint="eastAsia" w:ascii="宋体" w:hAnsi="宋体"/>
                <w:color w:val="auto"/>
                <w:szCs w:val="21"/>
                <w:lang w:val="en-GB"/>
              </w:rPr>
              <w:t>×（1-</w:t>
            </w:r>
            <w:r>
              <w:rPr>
                <w:rFonts w:hint="eastAsia"/>
                <w:color w:val="auto"/>
                <w:szCs w:val="21"/>
                <w:lang w:val="en-GB"/>
              </w:rPr>
              <w:t>6%</w:t>
            </w:r>
            <w:r>
              <w:rPr>
                <w:rFonts w:hint="eastAsia" w:ascii="宋体" w:hAnsi="宋体"/>
                <w:color w:val="auto"/>
                <w:szCs w:val="21"/>
                <w:lang w:val="en-GB"/>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联合体各方均为</w:t>
            </w:r>
          </w:p>
          <w:p>
            <w:pPr>
              <w:jc w:val="center"/>
              <w:rPr>
                <w:rFonts w:ascii="宋体" w:hAnsi="宋体"/>
                <w:b/>
                <w:color w:val="auto"/>
                <w:szCs w:val="21"/>
              </w:rPr>
            </w:pPr>
            <w:r>
              <w:rPr>
                <w:rFonts w:hint="eastAsia" w:ascii="宋体" w:hAnsi="宋体"/>
                <w:color w:val="auto"/>
                <w:szCs w:val="21"/>
                <w:lang w:val="en-GB"/>
              </w:rPr>
              <w:t>小型、微型企业</w:t>
            </w:r>
          </w:p>
        </w:tc>
        <w:tc>
          <w:tcPr>
            <w:tcW w:w="2693" w:type="dxa"/>
            <w:vAlign w:val="center"/>
          </w:tcPr>
          <w:p>
            <w:pPr>
              <w:jc w:val="center"/>
              <w:rPr>
                <w:rFonts w:ascii="宋体" w:hAnsi="宋体"/>
                <w:color w:val="auto"/>
                <w:szCs w:val="21"/>
              </w:rPr>
            </w:pPr>
            <w:r>
              <w:rPr>
                <w:rFonts w:hint="eastAsia" w:ascii="ˎ̥" w:hAnsi="ˎ̥" w:eastAsia="宋体"/>
                <w:color w:val="auto"/>
                <w:szCs w:val="21"/>
              </w:rPr>
              <w:t>对小型和微型企业报价</w:t>
            </w:r>
          </w:p>
          <w:p>
            <w:pPr>
              <w:jc w:val="center"/>
              <w:rPr>
                <w:rFonts w:ascii="宋体" w:hAnsi="宋体"/>
                <w:color w:val="auto"/>
                <w:szCs w:val="21"/>
              </w:rPr>
            </w:pPr>
            <w:r>
              <w:rPr>
                <w:rFonts w:hint="eastAsia" w:ascii="宋体" w:hAnsi="宋体"/>
                <w:color w:val="auto"/>
                <w:szCs w:val="21"/>
              </w:rPr>
              <w:t>扣除6%</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977"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540" w:type="dxa"/>
            <w:vAlign w:val="center"/>
          </w:tcPr>
          <w:p>
            <w:pPr>
              <w:jc w:val="center"/>
              <w:rPr>
                <w:rFonts w:ascii="宋体" w:hAnsi="宋体"/>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ascii="宋体" w:hAnsi="宋体"/>
                <w:color w:val="auto"/>
                <w:szCs w:val="21"/>
              </w:rPr>
              <w:t>2</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评审价格＝响应报价×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lang w:val="en-GB"/>
              </w:rPr>
            </w:pPr>
            <w:r>
              <w:rPr>
                <w:rFonts w:hint="eastAsia"/>
                <w:color w:val="auto"/>
                <w:szCs w:val="21"/>
                <w:lang w:val="en-GB"/>
              </w:rPr>
              <w:t>评审价格＝响应报价—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977" w:type="dxa"/>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w:t>
            </w:r>
            <w:r>
              <w:rPr>
                <w:rFonts w:hint="eastAsia" w:cs="仿宋_GB2312" w:asciiTheme="minorEastAsia" w:hAnsiTheme="minorEastAsia"/>
                <w:color w:val="auto"/>
                <w:szCs w:val="21"/>
                <w:lang w:val="zh-CN"/>
              </w:rPr>
              <w:t>谈判小组审查、评价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响应文件符合谈判文件实质性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评审价格由低到高的顺序提出</w:t>
            </w:r>
            <w:r>
              <w:rPr>
                <w:rFonts w:cs="仿宋_GB2312" w:asciiTheme="minorEastAsia" w:hAnsiTheme="minorEastAsia"/>
                <w:color w:val="auto"/>
                <w:szCs w:val="21"/>
                <w:lang w:val="zh-CN"/>
              </w:rPr>
              <w:t>3</w:t>
            </w:r>
            <w:r>
              <w:rPr>
                <w:rFonts w:hint="eastAsia" w:cs="仿宋_GB2312" w:asciiTheme="minorEastAsia" w:hAnsiTheme="minorEastAsia"/>
                <w:color w:val="auto"/>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auto"/>
          <w:szCs w:val="21"/>
          <w:lang w:val="en-GB"/>
        </w:rPr>
      </w:pPr>
      <w:r>
        <w:rPr>
          <w:rFonts w:hint="eastAsia" w:cs="仿宋_GB2312" w:asciiTheme="minorEastAsia" w:hAnsiTheme="minorEastAsia"/>
          <w:color w:val="auto"/>
          <w:szCs w:val="21"/>
          <w:lang w:val="zh-CN"/>
        </w:rPr>
        <w:t>d、残疾人福利性单位属于小型、微型企业的，不重复享受政策。</w:t>
      </w:r>
    </w:p>
    <w:p>
      <w:pPr>
        <w:spacing w:line="360" w:lineRule="auto"/>
        <w:ind w:firstLine="420" w:firstLineChars="200"/>
        <w:rPr>
          <w:rFonts w:cs="仿宋_GB2312" w:asciiTheme="minorEastAsia" w:hAnsiTheme="minorEastAsia"/>
          <w:color w:val="auto"/>
          <w:szCs w:val="21"/>
          <w:lang w:val="zh-CN"/>
        </w:rPr>
      </w:pPr>
      <w:r>
        <w:rPr>
          <w:rFonts w:cs="仿宋_GB2312" w:asciiTheme="minorEastAsia" w:hAnsiTheme="minorEastAsia"/>
          <w:color w:val="auto"/>
          <w:szCs w:val="21"/>
          <w:lang w:val="zh-CN"/>
        </w:rPr>
        <w:t>E</w:t>
      </w:r>
      <w:r>
        <w:rPr>
          <w:rFonts w:hint="eastAsia" w:cs="仿宋_GB2312" w:asciiTheme="minorEastAsia" w:hAnsiTheme="minorEastAsia"/>
          <w:color w:val="auto"/>
          <w:szCs w:val="21"/>
          <w:lang w:val="zh-CN"/>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四、评审方法</w:t>
      </w:r>
    </w:p>
    <w:p>
      <w:pPr>
        <w:pStyle w:val="17"/>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五、谈判小组编写评审报告。</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拟签订的合同文本</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微软雅黑" w:hAnsi="微软雅黑" w:eastAsia="微软雅黑"/>
          <w:color w:val="auto"/>
          <w:sz w:val="27"/>
          <w:szCs w:val="27"/>
        </w:rPr>
      </w:pPr>
      <w:r>
        <w:rPr>
          <w:rFonts w:hint="eastAsia" w:ascii="宋体" w:hAnsi="宋体" w:cs="微软雅黑"/>
          <w:b/>
          <w:bCs/>
          <w:color w:val="auto"/>
          <w:szCs w:val="21"/>
        </w:rPr>
        <w:t>最终签定合同的主要条款不能与招标文件有冲突）</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1.2招标文件、乙方的投标文件；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5"/>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ind w:firstLine="723"/>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color w:val="auto"/>
          <w:sz w:val="44"/>
          <w:szCs w:val="44"/>
          <w:lang w:val="zh-CN"/>
        </w:rPr>
      </w:pPr>
      <w:r>
        <w:rPr>
          <w:rFonts w:hint="eastAsia" w:cs="宋体" w:asciiTheme="majorEastAsia" w:hAnsiTheme="majorEastAsia" w:eastAsiaTheme="majorEastAsia"/>
          <w:b/>
          <w:color w:val="auto"/>
          <w:kern w:val="0"/>
          <w:sz w:val="32"/>
          <w:szCs w:val="32"/>
        </w:rPr>
        <w:t>第八章 响应文件有关格式</w:t>
      </w:r>
    </w:p>
    <w:p>
      <w:pPr>
        <w:pStyle w:val="6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依法纳税凭据复印件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供应商相关承诺函或声明</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tcBorders>
              <w:top w:val="doub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1058" w:type="dxa"/>
            <w:gridSpan w:val="2"/>
            <w:tcBorders>
              <w:righ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29</w:t>
            </w:r>
          </w:p>
        </w:tc>
        <w:tc>
          <w:tcPr>
            <w:tcW w:w="1058" w:type="dxa"/>
            <w:gridSpan w:val="2"/>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30</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国家级贫困县域注册地证明材料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扶贫部门出具的聘用建档立卡贫困人员身份证明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32</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建档立卡贫困人员社保材料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rPr>
      </w:pPr>
      <w:r>
        <w:rPr>
          <w:rFonts w:hint="eastAsia" w:ascii="楷体" w:hAnsi="楷体" w:eastAsia="楷体"/>
          <w:color w:val="auto"/>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ascii="楷体" w:hAnsi="楷体" w:eastAsia="楷体"/>
          <w:color w:val="auto"/>
          <w:sz w:val="24"/>
          <w:szCs w:val="24"/>
        </w:rPr>
        <w:fldChar w:fldCharType="begin"/>
      </w:r>
      <w:r>
        <w:rPr>
          <w:rFonts w:hint="eastAsia" w:ascii="楷体" w:hAnsi="楷体" w:eastAsia="楷体"/>
          <w:color w:val="auto"/>
          <w:sz w:val="24"/>
          <w:szCs w:val="24"/>
        </w:rPr>
        <w:instrText xml:space="preserve">= 4 \* GB3</w:instrText>
      </w:r>
      <w:r>
        <w:rPr>
          <w:rFonts w:ascii="楷体" w:hAnsi="楷体" w:eastAsia="楷体"/>
          <w:color w:val="auto"/>
          <w:sz w:val="24"/>
          <w:szCs w:val="24"/>
        </w:rPr>
        <w:fldChar w:fldCharType="separate"/>
      </w:r>
      <w:r>
        <w:rPr>
          <w:rFonts w:hint="eastAsia" w:ascii="楷体" w:hAnsi="楷体" w:eastAsia="楷体"/>
          <w:color w:val="auto"/>
          <w:sz w:val="24"/>
          <w:szCs w:val="24"/>
        </w:rPr>
        <w:t>④</w:t>
      </w:r>
      <w:r>
        <w:rPr>
          <w:rFonts w:ascii="楷体" w:hAnsi="楷体" w:eastAsia="楷体"/>
          <w:color w:val="auto"/>
          <w:sz w:val="24"/>
          <w:szCs w:val="24"/>
        </w:rPr>
        <w:fldChar w:fldCharType="end"/>
      </w:r>
      <w:r>
        <w:rPr>
          <w:rFonts w:hint="eastAsia" w:ascii="楷体" w:hAnsi="楷体" w:eastAsia="楷体"/>
          <w:color w:val="auto"/>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numPr>
          <w:ilvl w:val="0"/>
          <w:numId w:val="12"/>
        </w:numPr>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报价一览表</w:t>
      </w:r>
    </w:p>
    <w:p>
      <w:pPr>
        <w:spacing w:before="50" w:afterLines="50" w:line="360" w:lineRule="auto"/>
        <w:contextualSpacing/>
        <w:jc w:val="left"/>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项目编号：</w:t>
      </w:r>
      <w:r>
        <w:rPr>
          <w:rFonts w:hint="eastAsia" w:asciiTheme="minorEastAsia" w:hAnsiTheme="minorEastAsia"/>
          <w:color w:val="auto"/>
          <w:szCs w:val="21"/>
          <w:lang w:val="en-US" w:eastAsia="zh-CN"/>
        </w:rPr>
        <w:t xml:space="preserve"> </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pStyle w:val="2"/>
        <w:numPr>
          <w:numId w:val="0"/>
        </w:numPr>
        <w:ind w:leftChars="0"/>
        <w:rPr>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u w:val="single"/>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（项目名称、项目</w:t>
      </w:r>
      <w:r>
        <w:rPr>
          <w:rFonts w:hint="eastAsia" w:asciiTheme="minorEastAsia" w:hAnsiTheme="minorEastAsia"/>
          <w:snapToGrid w:val="0"/>
          <w:color w:val="auto"/>
          <w:kern w:val="0"/>
          <w:szCs w:val="21"/>
        </w:rPr>
        <w:t>编号</w:t>
      </w:r>
      <w:r>
        <w:rPr>
          <w:rFonts w:hint="eastAsia" w:asciiTheme="minorEastAsia" w:hAnsiTheme="minorEastAsia"/>
          <w:snapToGrid w:val="0"/>
          <w:color w:val="auto"/>
          <w:kern w:val="0"/>
          <w:szCs w:val="21"/>
          <w:lang w:eastAsia="zh-CN"/>
        </w:rPr>
        <w:t>、</w:t>
      </w:r>
      <w:r>
        <w:rPr>
          <w:rFonts w:hint="eastAsia" w:asciiTheme="minorEastAsia" w:hAnsiTheme="minorEastAsia"/>
          <w:snapToGrid w:val="0"/>
          <w:color w:val="auto"/>
          <w:kern w:val="0"/>
          <w:szCs w:val="21"/>
          <w:lang w:val="en-US" w:eastAsia="zh-CN"/>
        </w:rPr>
        <w:t>标包</w:t>
      </w:r>
      <w:r>
        <w:rPr>
          <w:rFonts w:hint="eastAsia" w:asciiTheme="minorEastAsia" w:hAnsiTheme="minorEastAsia"/>
          <w:snapToGrid w:val="0"/>
          <w:color w:val="auto"/>
          <w:kern w:val="0"/>
          <w:szCs w:val="21"/>
        </w:rPr>
        <w:t>）</w:t>
      </w:r>
      <w:r>
        <w:rPr>
          <w:rFonts w:hint="eastAsia" w:asciiTheme="minorEastAsia" w:hAnsiTheme="minorEastAsia"/>
          <w:snapToGrid w:val="0"/>
          <w:color w:val="auto"/>
          <w:kern w:val="0"/>
          <w:szCs w:val="21"/>
        </w:rPr>
        <w:t>采购的竞争性谈判公告及谈判邀请，_______（姓名和职务）被正式授权并代表供应商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（项目名称、项目编号</w:t>
      </w:r>
      <w:r>
        <w:rPr>
          <w:rFonts w:hint="eastAsia" w:asciiTheme="minorEastAsia" w:hAnsiTheme="minorEastAsia"/>
          <w:snapToGrid w:val="0"/>
          <w:color w:val="auto"/>
          <w:kern w:val="0"/>
          <w:szCs w:val="21"/>
          <w:lang w:eastAsia="zh-CN"/>
        </w:rPr>
        <w:t>、</w:t>
      </w:r>
      <w:r>
        <w:rPr>
          <w:rFonts w:hint="eastAsia" w:asciiTheme="minorEastAsia" w:hAnsiTheme="minorEastAsia"/>
          <w:snapToGrid w:val="0"/>
          <w:color w:val="auto"/>
          <w:kern w:val="0"/>
          <w:szCs w:val="21"/>
          <w:lang w:val="en-US" w:eastAsia="zh-CN"/>
        </w:rPr>
        <w:t>标包</w:t>
      </w:r>
      <w:r>
        <w:rPr>
          <w:rFonts w:hint="eastAsia" w:asciiTheme="minorEastAsia" w:hAnsiTheme="minorEastAsia" w:eastAsiaTheme="minorEastAsia"/>
          <w:snapToGrid w:val="0"/>
          <w:color w:val="auto"/>
          <w:kern w:val="0"/>
          <w:sz w:val="21"/>
          <w:szCs w:val="21"/>
        </w:rPr>
        <w:t>）谈判文件的全部内容。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2"/>
        <w:numPr>
          <w:ilvl w:val="3"/>
          <w:numId w:val="0"/>
        </w:numPr>
        <w:rPr>
          <w:color w:val="auto"/>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6"/>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rPr>
        <w:t>的</w:t>
      </w:r>
      <w:r>
        <w:rPr>
          <w:rFonts w:asciiTheme="minorEastAsia" w:hAnsiTheme="minorEastAsia"/>
          <w:i/>
          <w:color w:val="auto"/>
          <w:sz w:val="21"/>
          <w:szCs w:val="21"/>
          <w:u w:val="single"/>
        </w:rPr>
        <w:t>项</w:t>
      </w:r>
      <w:r>
        <w:rPr>
          <w:rFonts w:asciiTheme="minorEastAsia" w:hAnsiTheme="minorEastAsia"/>
          <w:i/>
          <w:color w:val="auto"/>
          <w:sz w:val="21"/>
          <w:szCs w:val="21"/>
          <w:u w:val="single"/>
        </w:rPr>
        <w:t>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lang w:eastAsia="zh-CN"/>
        </w:rPr>
        <w:t>、</w:t>
      </w:r>
      <w:r>
        <w:rPr>
          <w:rFonts w:hint="eastAsia" w:asciiTheme="minorEastAsia" w:hAnsiTheme="minorEastAsia"/>
          <w:i/>
          <w:color w:val="auto"/>
          <w:sz w:val="21"/>
          <w:szCs w:val="21"/>
          <w:u w:val="single"/>
          <w:lang w:val="en-US" w:eastAsia="zh-CN"/>
        </w:rPr>
        <w:t>标包</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56"/>
        <w:spacing w:line="480" w:lineRule="auto"/>
        <w:ind w:firstLine="472" w:firstLineChars="225"/>
        <w:jc w:val="left"/>
        <w:rPr>
          <w:rFonts w:asciiTheme="minorEastAsia" w:hAnsiTheme="minorEastAsia"/>
          <w:color w:val="auto"/>
          <w:sz w:val="21"/>
          <w:szCs w:val="21"/>
        </w:rPr>
      </w:pPr>
    </w:p>
    <w:p>
      <w:pPr>
        <w:pStyle w:val="56"/>
        <w:spacing w:line="480" w:lineRule="auto"/>
        <w:ind w:firstLine="472" w:firstLineChars="225"/>
        <w:jc w:val="left"/>
        <w:rPr>
          <w:rFonts w:asciiTheme="minorEastAsia" w:hAnsiTheme="minorEastAsia"/>
          <w:color w:val="auto"/>
          <w:sz w:val="21"/>
          <w:szCs w:val="21"/>
        </w:rPr>
      </w:pPr>
    </w:p>
    <w:p>
      <w:pPr>
        <w:pStyle w:val="56"/>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6"/>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59"/>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8"/>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7"/>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7"/>
        <w:gridCol w:w="448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98" w:hRule="atLeast"/>
        </w:trPr>
        <w:tc>
          <w:tcPr>
            <w:tcW w:w="449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9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49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50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u w:val="single"/>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pStyle w:val="2"/>
        <w:numPr>
          <w:ilvl w:val="3"/>
          <w:numId w:val="0"/>
        </w:numPr>
        <w:rPr>
          <w:color w:val="auto"/>
          <w:lang w:val="zh-CN"/>
        </w:rPr>
      </w:pPr>
    </w:p>
    <w:p>
      <w:pPr>
        <w:rPr>
          <w:color w:val="auto"/>
          <w:lang w:val="zh-CN"/>
        </w:rPr>
      </w:pPr>
    </w:p>
    <w:p>
      <w:pPr>
        <w:pStyle w:val="2"/>
        <w:numPr>
          <w:ilvl w:val="3"/>
          <w:numId w:val="0"/>
        </w:numPr>
        <w:rPr>
          <w:color w:val="auto"/>
          <w:lang w:val="zh-CN"/>
        </w:rPr>
      </w:pPr>
    </w:p>
    <w:p>
      <w:pPr>
        <w:rPr>
          <w:color w:val="auto"/>
          <w:lang w:val="zh-CN"/>
        </w:rPr>
      </w:pPr>
    </w:p>
    <w:p>
      <w:pPr>
        <w:pStyle w:val="2"/>
        <w:numPr>
          <w:ilvl w:val="3"/>
          <w:numId w:val="0"/>
        </w:numPr>
        <w:rPr>
          <w:color w:val="auto"/>
          <w:lang w:val="zh-CN"/>
        </w:rPr>
      </w:pPr>
    </w:p>
    <w:p>
      <w:pPr>
        <w:pStyle w:val="2"/>
        <w:numPr>
          <w:ilvl w:val="3"/>
          <w:numId w:val="0"/>
        </w:num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Theme="minorEastAsia" w:hAnsiTheme="minorEastAsia"/>
          <w:snapToGrid w:val="0"/>
          <w:color w:val="auto"/>
          <w:kern w:val="0"/>
          <w:szCs w:val="21"/>
          <w:u w:val="single"/>
        </w:rPr>
        <w:t>（采购人名称）</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w:t>
      </w:r>
      <w:r>
        <w:rPr>
          <w:rFonts w:hint="eastAsia" w:cs="宋体" w:asciiTheme="minorEastAsia" w:hAnsiTheme="minorEastAsia"/>
          <w:color w:val="auto"/>
          <w:szCs w:val="21"/>
          <w:lang w:val="zh-CN"/>
        </w:rPr>
        <w:t>（项目编号、项目名称</w:t>
      </w:r>
      <w:r>
        <w:rPr>
          <w:rFonts w:hint="eastAsia" w:asciiTheme="minorEastAsia" w:hAnsiTheme="minorEastAsia"/>
          <w:snapToGrid w:val="0"/>
          <w:color w:val="auto"/>
          <w:kern w:val="0"/>
          <w:szCs w:val="21"/>
          <w:lang w:eastAsia="zh-CN"/>
        </w:rPr>
        <w:t>、</w:t>
      </w:r>
      <w:r>
        <w:rPr>
          <w:rFonts w:hint="eastAsia" w:asciiTheme="minorEastAsia" w:hAnsiTheme="minorEastAsia"/>
          <w:snapToGrid w:val="0"/>
          <w:color w:val="auto"/>
          <w:kern w:val="0"/>
          <w:szCs w:val="21"/>
          <w:lang w:val="en-US" w:eastAsia="zh-CN"/>
        </w:rPr>
        <w:t>标包</w:t>
      </w:r>
      <w:r>
        <w:rPr>
          <w:rFonts w:hint="eastAsia" w:cs="宋体" w:asciiTheme="minorEastAsia" w:hAnsiTheme="minorEastAsia"/>
          <w:color w:val="auto"/>
          <w:szCs w:val="21"/>
          <w:lang w:val="zh-CN"/>
        </w:rPr>
        <w:t>）的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pStyle w:val="10"/>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both"/>
        <w:rPr>
          <w:rFonts w:cs="黑体" w:asciiTheme="minorEastAsia" w:hAnsiTheme="minorEastAsia"/>
          <w:b/>
          <w:bCs/>
          <w:color w:val="auto"/>
          <w:sz w:val="28"/>
          <w:szCs w:val="28"/>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autoSpaceDE w:val="0"/>
        <w:autoSpaceDN w:val="0"/>
        <w:adjustRightInd w:val="0"/>
        <w:spacing w:line="360" w:lineRule="auto"/>
        <w:jc w:val="center"/>
        <w:outlineLvl w:val="0"/>
        <w:rPr>
          <w:rFonts w:hint="eastAsia" w:ascii="宋体" w:hAnsi="宋体" w:eastAsiaTheme="minorEastAsia"/>
          <w:b/>
          <w:bCs/>
          <w:color w:val="auto"/>
          <w:sz w:val="24"/>
          <w:szCs w:val="24"/>
          <w:lang w:val="en-US" w:eastAsia="zh-CN"/>
        </w:rPr>
      </w:pPr>
      <w:r>
        <w:rPr>
          <w:rFonts w:hint="eastAsia" w:ascii="宋体" w:hAnsi="宋体"/>
          <w:b/>
          <w:bCs/>
          <w:color w:val="auto"/>
          <w:sz w:val="24"/>
          <w:szCs w:val="24"/>
        </w:rPr>
        <w:t>4.1分项报价表</w:t>
      </w:r>
      <w:r>
        <w:rPr>
          <w:rFonts w:hint="eastAsia" w:ascii="宋体" w:hAnsi="宋体"/>
          <w:b/>
          <w:bCs/>
          <w:color w:val="auto"/>
          <w:sz w:val="24"/>
          <w:szCs w:val="24"/>
          <w:lang w:val="en-US" w:eastAsia="zh-CN"/>
        </w:rPr>
        <w:t>(格式自拟）</w:t>
      </w:r>
    </w:p>
    <w:p>
      <w:pPr>
        <w:autoSpaceDE w:val="0"/>
        <w:autoSpaceDN w:val="0"/>
        <w:adjustRightInd w:val="0"/>
        <w:spacing w:line="480" w:lineRule="auto"/>
        <w:rPr>
          <w:rFonts w:hint="default" w:cs="宋体" w:asciiTheme="minorEastAsia" w:hAnsiTheme="minorEastAsia" w:eastAsiaTheme="minorEastAsia"/>
          <w:color w:val="auto"/>
          <w:szCs w:val="21"/>
          <w:lang w:val="en-US" w:eastAsia="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both"/>
        <w:outlineLvl w:val="0"/>
        <w:rPr>
          <w:rFonts w:hint="eastAsia" w:ascii="宋体" w:hAnsi="宋体"/>
          <w:b/>
          <w:bCs/>
          <w:color w:val="auto"/>
          <w:sz w:val="24"/>
          <w:szCs w:val="24"/>
        </w:rPr>
      </w:pPr>
    </w:p>
    <w:p>
      <w:pPr>
        <w:autoSpaceDE w:val="0"/>
        <w:autoSpaceDN w:val="0"/>
        <w:adjustRightInd w:val="0"/>
        <w:spacing w:line="360" w:lineRule="auto"/>
        <w:jc w:val="both"/>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项目名称</w:t>
      </w:r>
      <w:r>
        <w:rPr>
          <w:rFonts w:hint="eastAsia" w:asciiTheme="minorEastAsia" w:hAnsiTheme="minorEastAsia"/>
          <w:snapToGrid w:val="0"/>
          <w:color w:val="auto"/>
          <w:kern w:val="0"/>
          <w:szCs w:val="21"/>
          <w:lang w:eastAsia="zh-CN"/>
        </w:rPr>
        <w:t>、</w:t>
      </w:r>
      <w:r>
        <w:rPr>
          <w:rFonts w:hint="eastAsia" w:asciiTheme="minorEastAsia" w:hAnsiTheme="minorEastAsia"/>
          <w:snapToGrid w:val="0"/>
          <w:color w:val="auto"/>
          <w:kern w:val="0"/>
          <w:szCs w:val="21"/>
          <w:lang w:val="en-US" w:eastAsia="zh-CN"/>
        </w:rPr>
        <w:t>标包</w:t>
      </w:r>
      <w:r>
        <w:rPr>
          <w:rFonts w:hint="eastAsia" w:asciiTheme="minorEastAsia" w:hAnsiTheme="minorEastAsia"/>
          <w:color w:val="auto"/>
          <w:szCs w:val="21"/>
        </w:rPr>
        <w:t xml:space="preserve">：   </w:t>
      </w:r>
    </w:p>
    <w:tbl>
      <w:tblPr>
        <w:tblStyle w:val="27"/>
        <w:tblW w:w="8639" w:type="dxa"/>
        <w:tblInd w:w="0" w:type="dxa"/>
        <w:tblLayout w:type="fixed"/>
        <w:tblCellMar>
          <w:top w:w="0" w:type="dxa"/>
          <w:left w:w="108" w:type="dxa"/>
          <w:bottom w:w="0" w:type="dxa"/>
          <w:right w:w="108" w:type="dxa"/>
        </w:tblCellMar>
      </w:tblPr>
      <w:tblGrid>
        <w:gridCol w:w="674"/>
        <w:gridCol w:w="1728"/>
        <w:gridCol w:w="1418"/>
        <w:gridCol w:w="1417"/>
        <w:gridCol w:w="1985"/>
        <w:gridCol w:w="1417"/>
      </w:tblGrid>
      <w:tr>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728"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985"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Calibri" w:eastAsia="宋体" w:cs="宋体"/>
                <w:b/>
                <w:bCs/>
                <w:color w:val="auto"/>
                <w:sz w:val="21"/>
                <w:szCs w:val="21"/>
              </w:rPr>
            </w:pPr>
            <w:r>
              <w:rPr>
                <w:rFonts w:hint="eastAsia" w:ascii="宋体" w:hAnsi="宋体" w:eastAsia="宋体" w:cs="宋体"/>
                <w:b/>
                <w:bCs/>
                <w:color w:val="auto"/>
                <w:sz w:val="21"/>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571" w:hRule="atLeast"/>
        </w:trPr>
        <w:tc>
          <w:tcPr>
            <w:tcW w:w="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 w:val="21"/>
                <w:szCs w:val="21"/>
              </w:rPr>
            </w:pPr>
            <w:r>
              <w:rPr>
                <w:rFonts w:hint="eastAsia" w:ascii="宋体" w:hAnsi="宋体" w:eastAsia="宋体" w:cs="Times New Roman"/>
                <w:bCs/>
                <w:color w:val="auto"/>
                <w:sz w:val="21"/>
                <w:szCs w:val="21"/>
              </w:rPr>
              <w:t>1</w:t>
            </w:r>
          </w:p>
        </w:tc>
        <w:tc>
          <w:tcPr>
            <w:tcW w:w="17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9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Calibri" w:eastAsia="宋体" w:cs="Times New Roman"/>
                <w:b/>
                <w:bCs/>
                <w:color w:val="auto"/>
                <w:sz w:val="21"/>
                <w:szCs w:val="21"/>
              </w:rPr>
            </w:pPr>
          </w:p>
        </w:tc>
      </w:tr>
      <w:tr>
        <w:tblPrEx>
          <w:tblCellMar>
            <w:top w:w="0" w:type="dxa"/>
            <w:left w:w="108" w:type="dxa"/>
            <w:bottom w:w="0" w:type="dxa"/>
            <w:right w:w="108" w:type="dxa"/>
          </w:tblCellMar>
        </w:tblPrEx>
        <w:trPr>
          <w:trHeight w:val="551" w:hRule="atLeast"/>
        </w:trPr>
        <w:tc>
          <w:tcPr>
            <w:tcW w:w="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Calibri" w:eastAsia="宋体" w:cs="Times New Roman"/>
                <w:bCs/>
                <w:color w:val="auto"/>
                <w:sz w:val="21"/>
                <w:szCs w:val="21"/>
              </w:rPr>
            </w:pPr>
            <w:r>
              <w:rPr>
                <w:rFonts w:hint="eastAsia" w:ascii="宋体" w:hAnsi="宋体" w:eastAsia="宋体" w:cs="Times New Roman"/>
                <w:color w:val="auto"/>
                <w:sz w:val="21"/>
                <w:szCs w:val="21"/>
              </w:rPr>
              <w:t>…</w:t>
            </w:r>
          </w:p>
        </w:tc>
        <w:tc>
          <w:tcPr>
            <w:tcW w:w="17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9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Calibri" w:eastAsia="宋体" w:cs="Times New Roman"/>
                <w:b/>
                <w:bCs/>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宋体" w:asciiTheme="minorEastAsia" w:hAnsiTheme="minorEastAsia"/>
          <w:color w:val="auto"/>
          <w:szCs w:val="21"/>
          <w:lang w:val="zh-CN"/>
        </w:rPr>
        <w:t>（供应商根据谈判文件要求自行编制）</w:t>
      </w:r>
    </w:p>
    <w:p>
      <w:pPr>
        <w:autoSpaceDE w:val="0"/>
        <w:autoSpaceDN w:val="0"/>
        <w:adjustRightInd w:val="0"/>
        <w:spacing w:line="360" w:lineRule="auto"/>
        <w:jc w:val="both"/>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项目名称</w:t>
      </w:r>
      <w:r>
        <w:rPr>
          <w:rFonts w:hint="eastAsia" w:asciiTheme="minorEastAsia" w:hAnsiTheme="minorEastAsia"/>
          <w:snapToGrid w:val="0"/>
          <w:color w:val="auto"/>
          <w:kern w:val="0"/>
          <w:szCs w:val="21"/>
          <w:lang w:eastAsia="zh-CN"/>
        </w:rPr>
        <w:t>、</w:t>
      </w:r>
      <w:r>
        <w:rPr>
          <w:rFonts w:hint="eastAsia" w:asciiTheme="minorEastAsia" w:hAnsiTheme="minorEastAsia"/>
          <w:snapToGrid w:val="0"/>
          <w:color w:val="auto"/>
          <w:kern w:val="0"/>
          <w:szCs w:val="21"/>
          <w:lang w:val="en-US" w:eastAsia="zh-CN"/>
        </w:rPr>
        <w:t>标包</w:t>
      </w:r>
      <w:r>
        <w:rPr>
          <w:rFonts w:hint="eastAsia" w:asciiTheme="minorEastAsia" w:hAnsiTheme="minorEastAsia"/>
          <w:color w:val="auto"/>
          <w:szCs w:val="21"/>
        </w:rPr>
        <w:t xml:space="preserve">：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2"/>
        <w:numPr>
          <w:numId w:val="0"/>
        </w:numPr>
        <w:ind w:leftChars="0"/>
        <w:rPr>
          <w:color w:val="auto"/>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r>
        <w:rPr>
          <w:rFonts w:hint="eastAsia" w:asciiTheme="minorEastAsia" w:hAnsiTheme="minorEastAsia"/>
          <w:snapToGrid w:val="0"/>
          <w:color w:val="auto"/>
          <w:kern w:val="0"/>
          <w:szCs w:val="21"/>
          <w:lang w:eastAsia="zh-CN"/>
        </w:rPr>
        <w:t>、</w:t>
      </w:r>
      <w:r>
        <w:rPr>
          <w:rFonts w:hint="eastAsia" w:asciiTheme="minorEastAsia" w:hAnsiTheme="minorEastAsia"/>
          <w:snapToGrid w:val="0"/>
          <w:color w:val="auto"/>
          <w:kern w:val="0"/>
          <w:szCs w:val="21"/>
          <w:lang w:val="en-US" w:eastAsia="zh-CN"/>
        </w:rPr>
        <w:t>标包</w:t>
      </w:r>
      <w:r>
        <w:rPr>
          <w:rFonts w:hint="eastAsia" w:asciiTheme="minorEastAsia" w:hAnsiTheme="minorEastAsia"/>
          <w:color w:val="auto"/>
          <w:szCs w:val="21"/>
        </w:rPr>
        <w:t>：</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2"/>
        <w:numPr>
          <w:numId w:val="0"/>
        </w:numPr>
        <w:ind w:leftChars="0"/>
        <w:rPr>
          <w:color w:val="auto"/>
        </w:rPr>
      </w:pPr>
    </w:p>
    <w:p>
      <w:pPr>
        <w:rPr>
          <w:color w:val="auto"/>
        </w:rPr>
      </w:pPr>
    </w:p>
    <w:p>
      <w:pPr>
        <w:autoSpaceDE w:val="0"/>
        <w:autoSpaceDN w:val="0"/>
        <w:adjustRightInd w:val="0"/>
        <w:spacing w:line="360" w:lineRule="auto"/>
        <w:jc w:val="both"/>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r>
        <w:rPr>
          <w:rFonts w:hint="eastAsia" w:asciiTheme="minorEastAsia" w:hAnsiTheme="minorEastAsia"/>
          <w:snapToGrid w:val="0"/>
          <w:color w:val="auto"/>
          <w:kern w:val="0"/>
          <w:szCs w:val="21"/>
          <w:lang w:eastAsia="zh-CN"/>
        </w:rPr>
        <w:t>、</w:t>
      </w:r>
      <w:r>
        <w:rPr>
          <w:rFonts w:hint="eastAsia" w:asciiTheme="minorEastAsia" w:hAnsiTheme="minorEastAsia"/>
          <w:snapToGrid w:val="0"/>
          <w:color w:val="auto"/>
          <w:kern w:val="0"/>
          <w:szCs w:val="21"/>
          <w:lang w:val="en-US" w:eastAsia="zh-CN"/>
        </w:rPr>
        <w:t>标包</w:t>
      </w:r>
      <w:r>
        <w:rPr>
          <w:rFonts w:hint="eastAsia" w:asciiTheme="minorEastAsia" w:hAnsiTheme="minorEastAsia"/>
          <w:color w:val="auto"/>
          <w:szCs w:val="21"/>
        </w:rPr>
        <w:t>：</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r>
        <w:rPr>
          <w:rFonts w:hint="eastAsia" w:asciiTheme="minorEastAsia" w:hAnsiTheme="minorEastAsia"/>
          <w:snapToGrid w:val="0"/>
          <w:color w:val="auto"/>
          <w:kern w:val="0"/>
          <w:szCs w:val="21"/>
          <w:lang w:eastAsia="zh-CN"/>
        </w:rPr>
        <w:t>、</w:t>
      </w:r>
      <w:r>
        <w:rPr>
          <w:rFonts w:hint="eastAsia" w:asciiTheme="minorEastAsia" w:hAnsiTheme="minorEastAsia"/>
          <w:snapToGrid w:val="0"/>
          <w:color w:val="auto"/>
          <w:kern w:val="0"/>
          <w:szCs w:val="21"/>
          <w:lang w:val="en-US" w:eastAsia="zh-CN"/>
        </w:rPr>
        <w:t>标包</w:t>
      </w:r>
      <w:r>
        <w:rPr>
          <w:rFonts w:hint="eastAsia" w:asciiTheme="minorEastAsia" w:hAnsiTheme="minorEastAsia"/>
          <w:color w:val="auto"/>
          <w:szCs w:val="21"/>
        </w:rPr>
        <w:t>：</w:t>
      </w:r>
    </w:p>
    <w:p>
      <w:pPr>
        <w:tabs>
          <w:tab w:val="left" w:pos="1800"/>
          <w:tab w:val="left" w:pos="5580"/>
        </w:tabs>
        <w:spacing w:line="360" w:lineRule="auto"/>
        <w:rPr>
          <w:rFonts w:asciiTheme="minorEastAsia" w:hAnsiTheme="minorEastAsia"/>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w:t>
      </w:r>
      <w:r>
        <w:rPr>
          <w:rFonts w:ascii="宋体" w:hAnsi="宋体"/>
          <w:b/>
          <w:bCs/>
          <w:color w:val="auto"/>
          <w:sz w:val="24"/>
          <w:szCs w:val="24"/>
        </w:rPr>
        <w:t>中小企业声明函</w:t>
      </w:r>
    </w:p>
    <w:p>
      <w:pPr>
        <w:spacing w:line="360" w:lineRule="auto"/>
        <w:jc w:val="center"/>
        <w:rPr>
          <w:rFonts w:ascii="宋体" w:hAnsi="宋体"/>
          <w:b/>
          <w:bCs/>
          <w:color w:val="auto"/>
          <w:szCs w:val="21"/>
        </w:rPr>
      </w:pPr>
    </w:p>
    <w:p>
      <w:pPr>
        <w:widowControl/>
        <w:adjustRightInd w:val="0"/>
        <w:snapToGrid w:val="0"/>
        <w:spacing w:before="156" w:beforeLines="50"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sz w:val="21"/>
          <w:szCs w:val="21"/>
        </w:rPr>
        <w:t>本公司郑重声明，根据《政府采购促进中小企业发展管理办法》（财库[20</w:t>
      </w:r>
      <w:r>
        <w:rPr>
          <w:rFonts w:ascii="宋体" w:hAnsi="宋体" w:eastAsia="宋体" w:cs="宋体"/>
          <w:color w:val="auto"/>
          <w:sz w:val="21"/>
          <w:szCs w:val="21"/>
        </w:rPr>
        <w:t>20</w:t>
      </w:r>
      <w:r>
        <w:rPr>
          <w:rFonts w:hint="eastAsia" w:ascii="宋体" w:hAnsi="宋体" w:eastAsia="宋体" w:cs="宋体"/>
          <w:color w:val="auto"/>
          <w:sz w:val="21"/>
          <w:szCs w:val="21"/>
        </w:rPr>
        <w:t>]</w:t>
      </w:r>
      <w:r>
        <w:rPr>
          <w:rFonts w:ascii="宋体" w:hAnsi="宋体" w:eastAsia="宋体" w:cs="宋体"/>
          <w:color w:val="auto"/>
          <w:sz w:val="21"/>
          <w:szCs w:val="21"/>
        </w:rPr>
        <w:t>46</w:t>
      </w:r>
      <w:r>
        <w:rPr>
          <w:rFonts w:hint="eastAsia" w:ascii="宋体" w:hAnsi="宋体" w:eastAsia="宋体" w:cs="宋体"/>
          <w:color w:val="auto"/>
          <w:sz w:val="21"/>
          <w:szCs w:val="21"/>
        </w:rPr>
        <w:t>号）的规定，本公司为参加</w:t>
      </w:r>
      <w:r>
        <w:rPr>
          <w:rFonts w:hint="eastAsia" w:ascii="宋体" w:hAnsi="宋体" w:eastAsia="宋体" w:cs="宋体"/>
          <w:color w:val="auto"/>
          <w:sz w:val="21"/>
          <w:szCs w:val="21"/>
          <w:u w:val="single"/>
        </w:rPr>
        <w:t xml:space="preserve">（招标单位名称）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（项目名称）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采购活动，服务全部由符合政策要求的中小企业承接。相关企业的具体情况如下：</w:t>
      </w:r>
    </w:p>
    <w:p>
      <w:pPr>
        <w:widowControl/>
        <w:adjustRightInd w:val="0"/>
        <w:snapToGrid w:val="0"/>
        <w:spacing w:before="156" w:beforeLines="50"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（标的名称）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 xml:space="preserve"> </w:t>
      </w:r>
      <w:r>
        <w:rPr>
          <w:rFonts w:ascii="宋体" w:hAnsi="宋体" w:eastAsia="宋体" w:cs="宋体"/>
          <w:color w:val="auto"/>
          <w:sz w:val="21"/>
          <w:szCs w:val="21"/>
        </w:rPr>
        <w:t xml:space="preserve"> </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ascii="宋体" w:hAnsi="宋体" w:eastAsia="宋体" w:cs="宋体"/>
          <w:color w:val="auto"/>
          <w:sz w:val="21"/>
          <w:szCs w:val="21"/>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（中型企业、小型企业、微型企业）。</w:t>
      </w:r>
    </w:p>
    <w:p>
      <w:pPr>
        <w:widowControl/>
        <w:autoSpaceDE w:val="0"/>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ascii="宋体" w:hAnsi="宋体" w:eastAsia="宋体" w:cs="宋体"/>
          <w:color w:val="auto"/>
          <w:sz w:val="21"/>
          <w:szCs w:val="21"/>
        </w:rPr>
        <w:t xml:space="preserve"> </w:t>
      </w:r>
    </w:p>
    <w:p>
      <w:pPr>
        <w:widowControl/>
        <w:autoSpaceDE w:val="0"/>
        <w:spacing w:line="360" w:lineRule="auto"/>
        <w:ind w:firstLine="630" w:firstLineChars="300"/>
        <w:jc w:val="left"/>
        <w:rPr>
          <w:rFonts w:ascii="宋体" w:hAnsi="宋体" w:eastAsia="宋体" w:cs="宋体"/>
          <w:color w:val="auto"/>
          <w:sz w:val="21"/>
          <w:szCs w:val="21"/>
        </w:rPr>
      </w:pPr>
      <w:r>
        <w:rPr>
          <w:rFonts w:hint="eastAsia" w:ascii="宋体" w:hAnsi="宋体" w:eastAsia="宋体" w:cs="宋体"/>
          <w:color w:val="auto"/>
          <w:sz w:val="21"/>
          <w:szCs w:val="21"/>
        </w:rPr>
        <w:t xml:space="preserve">以上企业，不属于大企业的分支机构，不存在控股股东为大企业的情形，也不存在与大企业的负责人为同一人的情形。 </w:t>
      </w:r>
    </w:p>
    <w:p>
      <w:pPr>
        <w:spacing w:after="120" w:line="360" w:lineRule="auto"/>
        <w:rPr>
          <w:rFonts w:ascii="Calibri" w:hAnsi="Calibri" w:eastAsia="宋体" w:cs="Times New Roman"/>
          <w:color w:val="auto"/>
          <w:sz w:val="21"/>
          <w:szCs w:val="21"/>
        </w:rPr>
      </w:pPr>
      <w:r>
        <w:rPr>
          <w:rFonts w:hint="eastAsia" w:ascii="Calibri" w:hAnsi="Calibri" w:eastAsia="宋体" w:cs="Times New Roman"/>
          <w:color w:val="auto"/>
          <w:sz w:val="21"/>
          <w:szCs w:val="21"/>
        </w:rPr>
        <w:t xml:space="preserve"> </w:t>
      </w:r>
      <w:r>
        <w:rPr>
          <w:rFonts w:ascii="Calibri" w:hAnsi="Calibri" w:eastAsia="宋体" w:cs="Times New Roman"/>
          <w:color w:val="auto"/>
          <w:sz w:val="21"/>
          <w:szCs w:val="21"/>
        </w:rPr>
        <w:t xml:space="preserve">   </w:t>
      </w:r>
      <w:r>
        <w:rPr>
          <w:rFonts w:hint="eastAsia" w:ascii="Calibri" w:hAnsi="Calibri" w:eastAsia="宋体" w:cs="Times New Roman"/>
          <w:color w:val="auto"/>
          <w:sz w:val="21"/>
          <w:szCs w:val="21"/>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480" w:lineRule="auto"/>
        <w:jc w:val="left"/>
        <w:rPr>
          <w:color w:val="auto"/>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color w:val="auto"/>
        </w:rPr>
        <w:t>：</w:t>
      </w:r>
    </w:p>
    <w:p>
      <w:pPr>
        <w:spacing w:line="480" w:lineRule="auto"/>
        <w:jc w:val="left"/>
        <w:rPr>
          <w:rFonts w:cs="Arial" w:asciiTheme="minorEastAsia" w:hAnsiTheme="minorEastAsia"/>
          <w:color w:val="auto"/>
          <w:szCs w:val="21"/>
        </w:rPr>
      </w:pPr>
      <w:r>
        <w:rPr>
          <w:color w:val="auto"/>
        </w:rPr>
        <w:t>日期：</w:t>
      </w: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33"/>
        <w:rPr>
          <w:color w:val="auto"/>
        </w:rPr>
      </w:pPr>
    </w:p>
    <w:p>
      <w:pPr>
        <w:pStyle w:val="33"/>
        <w:rPr>
          <w:color w:val="auto"/>
        </w:rPr>
      </w:pPr>
    </w:p>
    <w:p>
      <w:pPr>
        <w:pStyle w:val="33"/>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4.10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宋体" w:asciiTheme="minorEastAsia" w:hAnsiTheme="minorEastAsia"/>
          <w:color w:val="auto"/>
          <w:szCs w:val="21"/>
          <w:lang w:val="zh-CN"/>
        </w:rPr>
        <w:t>：</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cs="黑体" w:asciiTheme="minorEastAsia" w:hAnsiTheme="minorEastAsia"/>
          <w:b/>
          <w:bCs/>
          <w:color w:val="auto"/>
          <w:sz w:val="44"/>
          <w:szCs w:val="44"/>
          <w:lang w:val="zh-CN"/>
        </w:rPr>
      </w:pPr>
      <w:r>
        <w:rPr>
          <w:rFonts w:hint="eastAsia" w:ascii="宋体" w:hAnsi="宋体" w:cs="Arial"/>
          <w:color w:val="auto"/>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pStyle w:val="2"/>
        <w:numPr>
          <w:ilvl w:val="3"/>
          <w:numId w:val="0"/>
        </w:numPr>
        <w:ind w:leftChars="0"/>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4"/>
          <w:szCs w:val="24"/>
        </w:rPr>
      </w:pPr>
      <w:r>
        <w:rPr>
          <w:rFonts w:ascii="宋体" w:hAnsi="宋体"/>
          <w:b/>
          <w:bCs/>
          <w:color w:val="auto"/>
          <w:sz w:val="24"/>
          <w:szCs w:val="24"/>
        </w:rPr>
        <w:t>除</w:t>
      </w:r>
      <w:r>
        <w:rPr>
          <w:rFonts w:hint="eastAsia" w:ascii="宋体" w:hAnsi="宋体"/>
          <w:b/>
          <w:bCs/>
          <w:color w:val="auto"/>
          <w:sz w:val="24"/>
          <w:szCs w:val="24"/>
        </w:rPr>
        <w:t>谈判</w:t>
      </w:r>
      <w:r>
        <w:rPr>
          <w:rFonts w:ascii="宋体" w:hAnsi="宋体"/>
          <w:b/>
          <w:bCs/>
          <w:color w:val="auto"/>
          <w:sz w:val="24"/>
          <w:szCs w:val="24"/>
        </w:rPr>
        <w:t>文件另有规定外，</w:t>
      </w:r>
      <w:r>
        <w:rPr>
          <w:rFonts w:hint="eastAsia" w:ascii="宋体" w:hAnsi="宋体"/>
          <w:b/>
          <w:bCs/>
          <w:color w:val="auto"/>
          <w:sz w:val="24"/>
          <w:szCs w:val="24"/>
        </w:rPr>
        <w:t>供应商</w:t>
      </w:r>
      <w:r>
        <w:rPr>
          <w:rFonts w:ascii="宋体" w:hAnsi="宋体"/>
          <w:b/>
          <w:bCs/>
          <w:color w:val="auto"/>
          <w:sz w:val="24"/>
          <w:szCs w:val="24"/>
        </w:rPr>
        <w:t>认为需要提交的其他证明材料或资料加盖</w:t>
      </w:r>
      <w:r>
        <w:rPr>
          <w:rFonts w:hint="eastAsia" w:ascii="宋体" w:hAnsi="宋体"/>
          <w:b/>
          <w:bCs/>
          <w:color w:val="auto"/>
          <w:sz w:val="24"/>
          <w:szCs w:val="24"/>
        </w:rPr>
        <w:t>供应商</w:t>
      </w:r>
      <w:r>
        <w:rPr>
          <w:rFonts w:ascii="宋体" w:hAnsi="宋体"/>
          <w:b/>
          <w:bCs/>
          <w:color w:val="auto"/>
          <w:sz w:val="24"/>
          <w:szCs w:val="24"/>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493672"/>
    <w:multiLevelType w:val="singleLevel"/>
    <w:tmpl w:val="EF493672"/>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2"/>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428C85BE"/>
    <w:multiLevelType w:val="singleLevel"/>
    <w:tmpl w:val="428C85BE"/>
    <w:lvl w:ilvl="0" w:tentative="0">
      <w:start w:val="2"/>
      <w:numFmt w:val="chineseCounting"/>
      <w:suff w:val="space"/>
      <w:lvlText w:val="%1、"/>
      <w:lvlJc w:val="left"/>
      <w:rPr>
        <w:rFonts w:hint="eastAsia"/>
      </w:rPr>
    </w:lvl>
  </w:abstractNum>
  <w:abstractNum w:abstractNumId="7">
    <w:nsid w:val="59F817E8"/>
    <w:multiLevelType w:val="singleLevel"/>
    <w:tmpl w:val="59F817E8"/>
    <w:lvl w:ilvl="0" w:tentative="0">
      <w:start w:val="1"/>
      <w:numFmt w:val="chineseCounting"/>
      <w:pStyle w:val="64"/>
      <w:suff w:val="nothing"/>
      <w:lvlText w:val="%1、"/>
      <w:lvlJc w:val="left"/>
    </w:lvl>
  </w:abstractNum>
  <w:abstractNum w:abstractNumId="8">
    <w:nsid w:val="6650B61C"/>
    <w:multiLevelType w:val="singleLevel"/>
    <w:tmpl w:val="6650B61C"/>
    <w:lvl w:ilvl="0" w:tentative="0">
      <w:start w:val="1"/>
      <w:numFmt w:val="chineseCounting"/>
      <w:suff w:val="nothing"/>
      <w:lvlText w:val="%1、"/>
      <w:lvlJc w:val="left"/>
      <w:rPr>
        <w:rFonts w:hint="eastAsia"/>
      </w:rPr>
    </w:lvl>
  </w:abstractNum>
  <w:abstractNum w:abstractNumId="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2"/>
  </w:num>
  <w:num w:numId="3">
    <w:abstractNumId w:val="7"/>
  </w:num>
  <w:num w:numId="4">
    <w:abstractNumId w:val="8"/>
  </w:num>
  <w:num w:numId="5">
    <w:abstractNumId w:val="0"/>
  </w:num>
  <w:num w:numId="6">
    <w:abstractNumId w:val="11"/>
  </w:num>
  <w:num w:numId="7">
    <w:abstractNumId w:val="3"/>
  </w:num>
  <w:num w:numId="8">
    <w:abstractNumId w:val="9"/>
  </w:num>
  <w:num w:numId="9">
    <w:abstractNumId w:val="10"/>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0524"/>
    <w:rsid w:val="001E25D9"/>
    <w:rsid w:val="001E592F"/>
    <w:rsid w:val="001E76C9"/>
    <w:rsid w:val="001F7199"/>
    <w:rsid w:val="00206982"/>
    <w:rsid w:val="002078AE"/>
    <w:rsid w:val="00210B90"/>
    <w:rsid w:val="00213F11"/>
    <w:rsid w:val="00214892"/>
    <w:rsid w:val="00224D01"/>
    <w:rsid w:val="00231307"/>
    <w:rsid w:val="00234627"/>
    <w:rsid w:val="00241A41"/>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08DD"/>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46744"/>
    <w:rsid w:val="003509A7"/>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1763"/>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C4642"/>
    <w:rsid w:val="005D1597"/>
    <w:rsid w:val="005D4EBE"/>
    <w:rsid w:val="005D51C3"/>
    <w:rsid w:val="005D6674"/>
    <w:rsid w:val="005F4274"/>
    <w:rsid w:val="00600324"/>
    <w:rsid w:val="00605FD5"/>
    <w:rsid w:val="00612130"/>
    <w:rsid w:val="00614C74"/>
    <w:rsid w:val="00622142"/>
    <w:rsid w:val="006230E7"/>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4D78"/>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2B51"/>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6D87"/>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142E"/>
    <w:rsid w:val="00AE3026"/>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3D2"/>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4562"/>
    <w:rsid w:val="00BF49BB"/>
    <w:rsid w:val="00BF6206"/>
    <w:rsid w:val="00BF6B3B"/>
    <w:rsid w:val="00C02173"/>
    <w:rsid w:val="00C0537F"/>
    <w:rsid w:val="00C13A29"/>
    <w:rsid w:val="00C14BFB"/>
    <w:rsid w:val="00C21F92"/>
    <w:rsid w:val="00C24F01"/>
    <w:rsid w:val="00C25F2B"/>
    <w:rsid w:val="00C27457"/>
    <w:rsid w:val="00C318AC"/>
    <w:rsid w:val="00C32265"/>
    <w:rsid w:val="00C32DA0"/>
    <w:rsid w:val="00C3589C"/>
    <w:rsid w:val="00C35F7B"/>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1B0"/>
    <w:rsid w:val="00D82300"/>
    <w:rsid w:val="00D82E65"/>
    <w:rsid w:val="00D955CB"/>
    <w:rsid w:val="00D96B66"/>
    <w:rsid w:val="00DA2DBB"/>
    <w:rsid w:val="00DB0E94"/>
    <w:rsid w:val="00DB3D3C"/>
    <w:rsid w:val="00DB4EA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2BFB"/>
    <w:rsid w:val="00F9441A"/>
    <w:rsid w:val="00FA44E8"/>
    <w:rsid w:val="00FA6EDD"/>
    <w:rsid w:val="00FB2E22"/>
    <w:rsid w:val="00FB5348"/>
    <w:rsid w:val="00FB5796"/>
    <w:rsid w:val="00FB6F1A"/>
    <w:rsid w:val="00FC04EC"/>
    <w:rsid w:val="00FC302B"/>
    <w:rsid w:val="00FC5DCD"/>
    <w:rsid w:val="00FD37A3"/>
    <w:rsid w:val="00FE5AD6"/>
    <w:rsid w:val="00FF04A6"/>
    <w:rsid w:val="015E675E"/>
    <w:rsid w:val="01AC6CD8"/>
    <w:rsid w:val="01CD2E9D"/>
    <w:rsid w:val="02257485"/>
    <w:rsid w:val="023B7AFE"/>
    <w:rsid w:val="033321E5"/>
    <w:rsid w:val="03642F3A"/>
    <w:rsid w:val="05251973"/>
    <w:rsid w:val="05D102A2"/>
    <w:rsid w:val="0652201E"/>
    <w:rsid w:val="065C4178"/>
    <w:rsid w:val="07733ED3"/>
    <w:rsid w:val="079A26F9"/>
    <w:rsid w:val="0804293C"/>
    <w:rsid w:val="09C37472"/>
    <w:rsid w:val="0A2D0C1C"/>
    <w:rsid w:val="0A473E93"/>
    <w:rsid w:val="0A746776"/>
    <w:rsid w:val="0AFF60DE"/>
    <w:rsid w:val="0C981A08"/>
    <w:rsid w:val="0CDC0459"/>
    <w:rsid w:val="0CE85A8D"/>
    <w:rsid w:val="0D185B61"/>
    <w:rsid w:val="0D2622BF"/>
    <w:rsid w:val="0D6026F2"/>
    <w:rsid w:val="0D6975D2"/>
    <w:rsid w:val="0DD3723A"/>
    <w:rsid w:val="0E14442A"/>
    <w:rsid w:val="0EAA0890"/>
    <w:rsid w:val="0EE97B8E"/>
    <w:rsid w:val="0EED42F1"/>
    <w:rsid w:val="0EF80A44"/>
    <w:rsid w:val="0F0F0F63"/>
    <w:rsid w:val="0FDD7B3F"/>
    <w:rsid w:val="109630D4"/>
    <w:rsid w:val="11A93813"/>
    <w:rsid w:val="12EC456E"/>
    <w:rsid w:val="12F9459F"/>
    <w:rsid w:val="13706DBD"/>
    <w:rsid w:val="13C72FDB"/>
    <w:rsid w:val="13F255EB"/>
    <w:rsid w:val="144362BE"/>
    <w:rsid w:val="14737324"/>
    <w:rsid w:val="148D6DCE"/>
    <w:rsid w:val="14A37090"/>
    <w:rsid w:val="14D86122"/>
    <w:rsid w:val="14EA3CF5"/>
    <w:rsid w:val="150C4F0B"/>
    <w:rsid w:val="16884EA2"/>
    <w:rsid w:val="176C0575"/>
    <w:rsid w:val="17B30CC5"/>
    <w:rsid w:val="17CD65DD"/>
    <w:rsid w:val="17EA51A2"/>
    <w:rsid w:val="18BA00F9"/>
    <w:rsid w:val="1A181462"/>
    <w:rsid w:val="1A464258"/>
    <w:rsid w:val="1BAC3676"/>
    <w:rsid w:val="1BFD3750"/>
    <w:rsid w:val="1C0D0E22"/>
    <w:rsid w:val="1CA75985"/>
    <w:rsid w:val="1D3D2567"/>
    <w:rsid w:val="1D9A4838"/>
    <w:rsid w:val="1DD64980"/>
    <w:rsid w:val="1DE978C4"/>
    <w:rsid w:val="1E2051B0"/>
    <w:rsid w:val="1ED878F4"/>
    <w:rsid w:val="201B693E"/>
    <w:rsid w:val="20AB5326"/>
    <w:rsid w:val="245F1FE8"/>
    <w:rsid w:val="24844ADB"/>
    <w:rsid w:val="24B72FF5"/>
    <w:rsid w:val="24E915BF"/>
    <w:rsid w:val="262640BE"/>
    <w:rsid w:val="27821D05"/>
    <w:rsid w:val="27FE437C"/>
    <w:rsid w:val="280110F2"/>
    <w:rsid w:val="284941DC"/>
    <w:rsid w:val="28F633C2"/>
    <w:rsid w:val="2A5C4C80"/>
    <w:rsid w:val="2A9B65A1"/>
    <w:rsid w:val="2AA71F8F"/>
    <w:rsid w:val="2B8A2452"/>
    <w:rsid w:val="2BBB0CAB"/>
    <w:rsid w:val="2C2B746F"/>
    <w:rsid w:val="2C8B3664"/>
    <w:rsid w:val="2E5B51FD"/>
    <w:rsid w:val="2E5C09FD"/>
    <w:rsid w:val="2EC8588E"/>
    <w:rsid w:val="2F0F4330"/>
    <w:rsid w:val="2F9D4845"/>
    <w:rsid w:val="30033BF1"/>
    <w:rsid w:val="301A7EDF"/>
    <w:rsid w:val="32493792"/>
    <w:rsid w:val="32733DFC"/>
    <w:rsid w:val="32BA2D96"/>
    <w:rsid w:val="3363327C"/>
    <w:rsid w:val="34AE374B"/>
    <w:rsid w:val="35AD3EF5"/>
    <w:rsid w:val="35B07A97"/>
    <w:rsid w:val="35B53B02"/>
    <w:rsid w:val="35E717ED"/>
    <w:rsid w:val="36DC44A4"/>
    <w:rsid w:val="371619FA"/>
    <w:rsid w:val="373607C6"/>
    <w:rsid w:val="38DF726B"/>
    <w:rsid w:val="396963F9"/>
    <w:rsid w:val="398F18A7"/>
    <w:rsid w:val="3A4B28EC"/>
    <w:rsid w:val="3A860534"/>
    <w:rsid w:val="3AB0548E"/>
    <w:rsid w:val="3B1F636E"/>
    <w:rsid w:val="3B5B4B17"/>
    <w:rsid w:val="3BA20695"/>
    <w:rsid w:val="3C99413F"/>
    <w:rsid w:val="3CA62872"/>
    <w:rsid w:val="3CF133C8"/>
    <w:rsid w:val="3E0D4F54"/>
    <w:rsid w:val="3FB66E29"/>
    <w:rsid w:val="4057096D"/>
    <w:rsid w:val="40E9662B"/>
    <w:rsid w:val="40F12E27"/>
    <w:rsid w:val="417325FA"/>
    <w:rsid w:val="41E424CB"/>
    <w:rsid w:val="42745016"/>
    <w:rsid w:val="42747AC2"/>
    <w:rsid w:val="45107DD5"/>
    <w:rsid w:val="454D157F"/>
    <w:rsid w:val="459C04E5"/>
    <w:rsid w:val="4685446D"/>
    <w:rsid w:val="4748383D"/>
    <w:rsid w:val="47D81C67"/>
    <w:rsid w:val="483327C3"/>
    <w:rsid w:val="484A2A04"/>
    <w:rsid w:val="48DD1682"/>
    <w:rsid w:val="48FE1123"/>
    <w:rsid w:val="4918629F"/>
    <w:rsid w:val="493E22E0"/>
    <w:rsid w:val="4A895B10"/>
    <w:rsid w:val="4B4635F5"/>
    <w:rsid w:val="4BA17E79"/>
    <w:rsid w:val="4CEE64C1"/>
    <w:rsid w:val="4D6F2CBC"/>
    <w:rsid w:val="4E6F2656"/>
    <w:rsid w:val="4EC04089"/>
    <w:rsid w:val="50777382"/>
    <w:rsid w:val="50C40376"/>
    <w:rsid w:val="51363D96"/>
    <w:rsid w:val="551D69F3"/>
    <w:rsid w:val="55213467"/>
    <w:rsid w:val="552C60AE"/>
    <w:rsid w:val="55423AE9"/>
    <w:rsid w:val="557003EF"/>
    <w:rsid w:val="55765394"/>
    <w:rsid w:val="559346D9"/>
    <w:rsid w:val="55CD5ACF"/>
    <w:rsid w:val="55D41375"/>
    <w:rsid w:val="561E2226"/>
    <w:rsid w:val="570D2635"/>
    <w:rsid w:val="57321D93"/>
    <w:rsid w:val="575D02CE"/>
    <w:rsid w:val="5785131D"/>
    <w:rsid w:val="589954DC"/>
    <w:rsid w:val="59115A9D"/>
    <w:rsid w:val="5927426C"/>
    <w:rsid w:val="59B06C06"/>
    <w:rsid w:val="5A482C64"/>
    <w:rsid w:val="5AAC31FA"/>
    <w:rsid w:val="5AB00F9E"/>
    <w:rsid w:val="5BAB69DB"/>
    <w:rsid w:val="5C4442F2"/>
    <w:rsid w:val="5C727A2A"/>
    <w:rsid w:val="5CCF49AE"/>
    <w:rsid w:val="5CD214C7"/>
    <w:rsid w:val="5CD379FF"/>
    <w:rsid w:val="5D0F245D"/>
    <w:rsid w:val="5D520EA4"/>
    <w:rsid w:val="5DB53F06"/>
    <w:rsid w:val="5DBC5230"/>
    <w:rsid w:val="5DFB2CE6"/>
    <w:rsid w:val="5FCA2E7D"/>
    <w:rsid w:val="5FCD53E2"/>
    <w:rsid w:val="5FEB7EAE"/>
    <w:rsid w:val="60755A9B"/>
    <w:rsid w:val="607C7F63"/>
    <w:rsid w:val="608821DD"/>
    <w:rsid w:val="60F77E3E"/>
    <w:rsid w:val="614A4B79"/>
    <w:rsid w:val="61B41E84"/>
    <w:rsid w:val="621D6EE4"/>
    <w:rsid w:val="62256567"/>
    <w:rsid w:val="6243006B"/>
    <w:rsid w:val="6292525E"/>
    <w:rsid w:val="62CD7249"/>
    <w:rsid w:val="640038EE"/>
    <w:rsid w:val="644B413F"/>
    <w:rsid w:val="64680489"/>
    <w:rsid w:val="64EA2CC0"/>
    <w:rsid w:val="656D5A41"/>
    <w:rsid w:val="66A36C22"/>
    <w:rsid w:val="67F95D09"/>
    <w:rsid w:val="68133FA1"/>
    <w:rsid w:val="69983BC4"/>
    <w:rsid w:val="69DB7ED9"/>
    <w:rsid w:val="6B1322D3"/>
    <w:rsid w:val="6BC54C0A"/>
    <w:rsid w:val="6C187E23"/>
    <w:rsid w:val="6C331F42"/>
    <w:rsid w:val="6D7F41B1"/>
    <w:rsid w:val="6DA76189"/>
    <w:rsid w:val="6DCC1A87"/>
    <w:rsid w:val="6DEA209F"/>
    <w:rsid w:val="6E371B75"/>
    <w:rsid w:val="6E3D3992"/>
    <w:rsid w:val="708E3211"/>
    <w:rsid w:val="70A46938"/>
    <w:rsid w:val="71570483"/>
    <w:rsid w:val="718E5927"/>
    <w:rsid w:val="719B1FB7"/>
    <w:rsid w:val="71ED2F81"/>
    <w:rsid w:val="725310CC"/>
    <w:rsid w:val="72827E86"/>
    <w:rsid w:val="72BC4BA5"/>
    <w:rsid w:val="748B1FFA"/>
    <w:rsid w:val="755440B2"/>
    <w:rsid w:val="75BC2C57"/>
    <w:rsid w:val="768E15B5"/>
    <w:rsid w:val="76DA1652"/>
    <w:rsid w:val="76FC7A2C"/>
    <w:rsid w:val="770D75B6"/>
    <w:rsid w:val="77374253"/>
    <w:rsid w:val="776412E5"/>
    <w:rsid w:val="776E4D1A"/>
    <w:rsid w:val="77765373"/>
    <w:rsid w:val="77C720FB"/>
    <w:rsid w:val="78535399"/>
    <w:rsid w:val="79C40BAA"/>
    <w:rsid w:val="7A3A3C5D"/>
    <w:rsid w:val="7A5423D9"/>
    <w:rsid w:val="7B40242B"/>
    <w:rsid w:val="7B63605C"/>
    <w:rsid w:val="7B7F0BFB"/>
    <w:rsid w:val="7BA54B1B"/>
    <w:rsid w:val="7BA57168"/>
    <w:rsid w:val="7C314A06"/>
    <w:rsid w:val="7C433F8A"/>
    <w:rsid w:val="7C5B3AC3"/>
    <w:rsid w:val="7C9A726F"/>
    <w:rsid w:val="7CDF1A1D"/>
    <w:rsid w:val="7D6A2E66"/>
    <w:rsid w:val="7DE36F48"/>
    <w:rsid w:val="7E76666C"/>
    <w:rsid w:val="7F0005FE"/>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2">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semiHidden/>
    <w:unhideWhenUsed/>
    <w:qFormat/>
    <w:uiPriority w:val="9"/>
    <w:pPr>
      <w:keepNext/>
      <w:keepLines/>
      <w:spacing w:before="280" w:after="290"/>
      <w:jc w:val="center"/>
      <w:outlineLvl w:val="4"/>
    </w:pPr>
    <w:rPr>
      <w:rFonts w:ascii="Calibri" w:hAnsi="Calibri"/>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9"/>
    <w:qFormat/>
    <w:uiPriority w:val="0"/>
    <w:rPr>
      <w:rFonts w:ascii="Times New Roman" w:hAnsi="Times New Roman" w:eastAsia="宋体" w:cs="Times New Roman"/>
      <w:color w:val="FF0000"/>
      <w:sz w:val="24"/>
      <w:szCs w:val="24"/>
    </w:rPr>
  </w:style>
  <w:style w:type="paragraph" w:styleId="10">
    <w:name w:val="Body Text"/>
    <w:basedOn w:val="1"/>
    <w:next w:val="11"/>
    <w:link w:val="40"/>
    <w:semiHidden/>
    <w:unhideWhenUsed/>
    <w:qFormat/>
    <w:uiPriority w:val="99"/>
    <w:pPr>
      <w:spacing w:after="120"/>
    </w:pPr>
  </w:style>
  <w:style w:type="paragraph" w:customStyle="1" w:styleId="11">
    <w:name w:val="style4"/>
    <w:basedOn w:val="1"/>
    <w:next w:val="12"/>
    <w:qFormat/>
    <w:uiPriority w:val="0"/>
    <w:pPr>
      <w:widowControl/>
      <w:spacing w:before="280" w:after="280"/>
    </w:pPr>
    <w:rPr>
      <w:rFonts w:ascii="宋体" w:hAnsi="Times New Roman" w:eastAsia="宋体" w:cs="Times New Roman"/>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next w:val="14"/>
    <w:link w:val="42"/>
    <w:qFormat/>
    <w:uiPriority w:val="0"/>
    <w:pPr>
      <w:adjustRightInd w:val="0"/>
      <w:spacing w:after="120" w:line="360" w:lineRule="atLeast"/>
      <w:ind w:left="420" w:leftChars="200"/>
      <w:jc w:val="left"/>
      <w:textAlignment w:val="baseline"/>
    </w:pPr>
    <w:rPr>
      <w:kern w:val="0"/>
      <w:sz w:val="24"/>
      <w:szCs w:val="20"/>
    </w:rPr>
  </w:style>
  <w:style w:type="paragraph" w:styleId="14">
    <w:name w:val="Body Text First Indent 2"/>
    <w:basedOn w:val="13"/>
    <w:next w:val="1"/>
    <w:link w:val="65"/>
    <w:semiHidden/>
    <w:unhideWhenUsed/>
    <w:qFormat/>
    <w:uiPriority w:val="99"/>
    <w:pPr>
      <w:adjustRightInd/>
      <w:spacing w:line="240" w:lineRule="auto"/>
      <w:ind w:firstLine="420" w:firstLineChars="200"/>
      <w:jc w:val="both"/>
      <w:textAlignment w:val="auto"/>
    </w:pPr>
    <w:rPr>
      <w:kern w:val="2"/>
      <w:sz w:val="21"/>
      <w:szCs w:val="22"/>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3"/>
    <w:qFormat/>
    <w:uiPriority w:val="0"/>
    <w:rPr>
      <w:rFonts w:eastAsia="宋体"/>
      <w:sz w:val="24"/>
    </w:rPr>
  </w:style>
  <w:style w:type="paragraph" w:styleId="18">
    <w:name w:val="Date"/>
    <w:basedOn w:val="1"/>
    <w:next w:val="1"/>
    <w:link w:val="44"/>
    <w:unhideWhenUsed/>
    <w:qFormat/>
    <w:uiPriority w:val="99"/>
    <w:pPr>
      <w:ind w:left="100" w:leftChars="2500"/>
    </w:pPr>
  </w:style>
  <w:style w:type="paragraph" w:styleId="19">
    <w:name w:val="Balloon Text"/>
    <w:basedOn w:val="1"/>
    <w:link w:val="46"/>
    <w:semiHidden/>
    <w:unhideWhenUsed/>
    <w:qFormat/>
    <w:uiPriority w:val="99"/>
    <w:rPr>
      <w:sz w:val="18"/>
      <w:szCs w:val="18"/>
    </w:rPr>
  </w:style>
  <w:style w:type="paragraph" w:styleId="20">
    <w:name w:val="footer"/>
    <w:basedOn w:val="1"/>
    <w:link w:val="47"/>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0"/>
    <w:next w:val="14"/>
    <w:link w:val="51"/>
    <w:qFormat/>
    <w:uiPriority w:val="0"/>
    <w:pPr>
      <w:ind w:firstLine="420" w:firstLineChars="100"/>
    </w:pPr>
    <w:rPr>
      <w:rFonts w:ascii="宋体" w:hAnsi="Times New Roman" w:eastAsia="宋体" w:cs="Times New Roman"/>
      <w:kern w:val="0"/>
      <w:sz w:val="34"/>
      <w:szCs w:val="20"/>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Emphasis"/>
    <w:basedOn w:val="29"/>
    <w:qFormat/>
    <w:uiPriority w:val="20"/>
    <w:rPr>
      <w:i/>
      <w:iCs/>
    </w:rPr>
  </w:style>
  <w:style w:type="character" w:styleId="32">
    <w:name w:val="Hyperlink"/>
    <w:basedOn w:val="29"/>
    <w:unhideWhenUsed/>
    <w:qFormat/>
    <w:uiPriority w:val="0"/>
    <w:rPr>
      <w:color w:val="0000FF"/>
      <w:u w:val="single"/>
    </w:rPr>
  </w:style>
  <w:style w:type="paragraph" w:customStyle="1" w:styleId="33">
    <w:name w:val="列出段落1"/>
    <w:basedOn w:val="1"/>
    <w:qFormat/>
    <w:uiPriority w:val="0"/>
    <w:pPr>
      <w:ind w:firstLine="420" w:firstLineChars="200"/>
    </w:pPr>
  </w:style>
  <w:style w:type="paragraph" w:customStyle="1" w:styleId="34">
    <w:name w:val="*正文"/>
    <w:basedOn w:val="1"/>
    <w:qFormat/>
    <w:uiPriority w:val="0"/>
    <w:pPr>
      <w:keepNext/>
      <w:keepLines/>
      <w:spacing w:line="360" w:lineRule="auto"/>
      <w:ind w:firstLine="200" w:firstLineChars="200"/>
    </w:pPr>
    <w:rPr>
      <w:rFonts w:ascii="宋体" w:hAnsi="宋体"/>
    </w:rPr>
  </w:style>
  <w:style w:type="character" w:customStyle="1" w:styleId="35">
    <w:name w:val="标题 1 Char"/>
    <w:basedOn w:val="29"/>
    <w:link w:val="3"/>
    <w:qFormat/>
    <w:uiPriority w:val="0"/>
    <w:rPr>
      <w:rFonts w:ascii="Calibri" w:hAnsi="Calibri" w:eastAsia="宋体" w:cs="Times New Roman"/>
      <w:b/>
      <w:bCs/>
      <w:kern w:val="44"/>
      <w:sz w:val="44"/>
      <w:szCs w:val="44"/>
    </w:rPr>
  </w:style>
  <w:style w:type="character" w:customStyle="1" w:styleId="36">
    <w:name w:val="标题 2 Char"/>
    <w:basedOn w:val="29"/>
    <w:link w:val="4"/>
    <w:qFormat/>
    <w:uiPriority w:val="0"/>
    <w:rPr>
      <w:rFonts w:ascii="Arial" w:hAnsi="Arial" w:eastAsia="黑体" w:cs="Times New Roman"/>
      <w:b/>
      <w:bCs/>
      <w:kern w:val="0"/>
      <w:sz w:val="32"/>
      <w:szCs w:val="32"/>
    </w:rPr>
  </w:style>
  <w:style w:type="character" w:customStyle="1" w:styleId="37">
    <w:name w:val="标题 3 Char"/>
    <w:basedOn w:val="29"/>
    <w:link w:val="5"/>
    <w:qFormat/>
    <w:uiPriority w:val="0"/>
    <w:rPr>
      <w:rFonts w:ascii="宋体" w:hAnsi="宋体" w:eastAsia="宋体" w:cs="Times New Roman"/>
      <w:b/>
      <w:color w:val="000000"/>
      <w:kern w:val="0"/>
      <w:sz w:val="24"/>
      <w:szCs w:val="20"/>
      <w:lang w:val="en-GB"/>
    </w:rPr>
  </w:style>
  <w:style w:type="character" w:customStyle="1" w:styleId="38">
    <w:name w:val="标题 4 Char"/>
    <w:basedOn w:val="29"/>
    <w:link w:val="2"/>
    <w:qFormat/>
    <w:uiPriority w:val="0"/>
    <w:rPr>
      <w:rFonts w:ascii="Arial" w:hAnsi="Arial" w:eastAsia="黑体" w:cs="Times New Roman"/>
      <w:b/>
      <w:bCs/>
      <w:kern w:val="0"/>
      <w:sz w:val="28"/>
      <w:szCs w:val="28"/>
    </w:rPr>
  </w:style>
  <w:style w:type="character" w:customStyle="1" w:styleId="39">
    <w:name w:val="正文文本 3 Char"/>
    <w:basedOn w:val="29"/>
    <w:link w:val="9"/>
    <w:qFormat/>
    <w:uiPriority w:val="0"/>
    <w:rPr>
      <w:rFonts w:ascii="Times New Roman" w:hAnsi="Times New Roman" w:eastAsia="宋体" w:cs="Times New Roman"/>
      <w:color w:val="FF0000"/>
      <w:sz w:val="24"/>
      <w:szCs w:val="24"/>
    </w:rPr>
  </w:style>
  <w:style w:type="character" w:customStyle="1" w:styleId="40">
    <w:name w:val="正文文本 Char"/>
    <w:basedOn w:val="29"/>
    <w:link w:val="10"/>
    <w:semiHidden/>
    <w:qFormat/>
    <w:uiPriority w:val="99"/>
  </w:style>
  <w:style w:type="character" w:customStyle="1" w:styleId="41">
    <w:name w:val="正文文本缩进 Char"/>
    <w:basedOn w:val="29"/>
    <w:link w:val="13"/>
    <w:qFormat/>
    <w:uiPriority w:val="0"/>
  </w:style>
  <w:style w:type="character" w:customStyle="1" w:styleId="42">
    <w:name w:val="正文文本缩进 Char1"/>
    <w:basedOn w:val="29"/>
    <w:link w:val="13"/>
    <w:qFormat/>
    <w:uiPriority w:val="0"/>
    <w:rPr>
      <w:kern w:val="0"/>
      <w:sz w:val="24"/>
      <w:szCs w:val="20"/>
    </w:rPr>
  </w:style>
  <w:style w:type="character" w:customStyle="1" w:styleId="43">
    <w:name w:val="纯文本 Char"/>
    <w:basedOn w:val="29"/>
    <w:link w:val="17"/>
    <w:qFormat/>
    <w:uiPriority w:val="0"/>
    <w:rPr>
      <w:rFonts w:eastAsia="宋体"/>
      <w:sz w:val="24"/>
    </w:rPr>
  </w:style>
  <w:style w:type="character" w:customStyle="1" w:styleId="44">
    <w:name w:val="日期 Char"/>
    <w:basedOn w:val="29"/>
    <w:link w:val="18"/>
    <w:qFormat/>
    <w:uiPriority w:val="99"/>
  </w:style>
  <w:style w:type="character" w:customStyle="1" w:styleId="45">
    <w:name w:val="批注框文本 Char"/>
    <w:basedOn w:val="29"/>
    <w:link w:val="19"/>
    <w:semiHidden/>
    <w:qFormat/>
    <w:uiPriority w:val="99"/>
    <w:rPr>
      <w:sz w:val="18"/>
      <w:szCs w:val="18"/>
    </w:rPr>
  </w:style>
  <w:style w:type="character" w:customStyle="1" w:styleId="46">
    <w:name w:val="批注框文本 Char1"/>
    <w:basedOn w:val="29"/>
    <w:link w:val="19"/>
    <w:semiHidden/>
    <w:qFormat/>
    <w:uiPriority w:val="99"/>
    <w:rPr>
      <w:sz w:val="18"/>
      <w:szCs w:val="18"/>
    </w:rPr>
  </w:style>
  <w:style w:type="character" w:customStyle="1" w:styleId="47">
    <w:name w:val="页脚 Char"/>
    <w:basedOn w:val="29"/>
    <w:link w:val="20"/>
    <w:qFormat/>
    <w:uiPriority w:val="99"/>
    <w:rPr>
      <w:sz w:val="18"/>
      <w:szCs w:val="18"/>
    </w:rPr>
  </w:style>
  <w:style w:type="character" w:customStyle="1" w:styleId="48">
    <w:name w:val="页眉 Char"/>
    <w:basedOn w:val="29"/>
    <w:link w:val="22"/>
    <w:qFormat/>
    <w:uiPriority w:val="99"/>
    <w:rPr>
      <w:sz w:val="18"/>
      <w:szCs w:val="18"/>
    </w:rPr>
  </w:style>
  <w:style w:type="character" w:customStyle="1" w:styleId="49">
    <w:name w:val="HTML 预设格式 Char"/>
    <w:basedOn w:val="29"/>
    <w:link w:val="24"/>
    <w:semiHidden/>
    <w:qFormat/>
    <w:uiPriority w:val="99"/>
    <w:rPr>
      <w:rFonts w:ascii="宋体" w:hAnsi="宋体" w:eastAsia="宋体" w:cs="宋体"/>
      <w:kern w:val="0"/>
      <w:sz w:val="24"/>
      <w:szCs w:val="24"/>
    </w:rPr>
  </w:style>
  <w:style w:type="character" w:customStyle="1" w:styleId="50">
    <w:name w:val="HTML 预设格式 Char1"/>
    <w:basedOn w:val="29"/>
    <w:link w:val="24"/>
    <w:semiHidden/>
    <w:qFormat/>
    <w:uiPriority w:val="99"/>
    <w:rPr>
      <w:rFonts w:ascii="Courier New" w:hAnsi="Courier New" w:cs="Courier New"/>
      <w:sz w:val="20"/>
      <w:szCs w:val="20"/>
    </w:rPr>
  </w:style>
  <w:style w:type="character" w:customStyle="1" w:styleId="51">
    <w:name w:val="正文首行缩进 Char"/>
    <w:basedOn w:val="40"/>
    <w:link w:val="26"/>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unhideWhenUsed/>
    <w:qFormat/>
    <w:uiPriority w:val="34"/>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9"/>
    <w:qFormat/>
    <w:uiPriority w:val="0"/>
  </w:style>
  <w:style w:type="paragraph" w:customStyle="1" w:styleId="6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正文首行缩进 2 Char"/>
    <w:basedOn w:val="42"/>
    <w:link w:val="14"/>
    <w:semiHidden/>
    <w:qFormat/>
    <w:uiPriority w:val="99"/>
    <w:rPr>
      <w:kern w:val="2"/>
      <w:sz w:val="21"/>
      <w:szCs w:val="22"/>
    </w:rPr>
  </w:style>
  <w:style w:type="paragraph" w:customStyle="1" w:styleId="66">
    <w:name w:val="List Paragraph1"/>
    <w:basedOn w:val="1"/>
    <w:qFormat/>
    <w:uiPriority w:val="0"/>
    <w:pPr>
      <w:ind w:firstLine="420" w:firstLineChars="200"/>
    </w:pPr>
    <w:rPr>
      <w:rFonts w:ascii="Calibri" w:hAnsi="Calibri" w:cs="宋体"/>
    </w:rPr>
  </w:style>
  <w:style w:type="character" w:customStyle="1" w:styleId="67">
    <w:name w:val="font01"/>
    <w:basedOn w:val="29"/>
    <w:qFormat/>
    <w:uiPriority w:val="0"/>
    <w:rPr>
      <w:rFonts w:hint="eastAsia" w:ascii="宋体" w:hAnsi="宋体" w:eastAsia="宋体" w:cs="宋体"/>
      <w:color w:val="000000"/>
      <w:sz w:val="22"/>
      <w:szCs w:val="22"/>
      <w:u w:val="none"/>
    </w:rPr>
  </w:style>
  <w:style w:type="character" w:customStyle="1" w:styleId="68">
    <w:name w:val="font31"/>
    <w:basedOn w:val="29"/>
    <w:qFormat/>
    <w:uiPriority w:val="0"/>
    <w:rPr>
      <w:rFonts w:ascii="Calibri" w:hAnsi="Calibri" w:cs="Calibri"/>
      <w:b/>
      <w:color w:val="000000"/>
      <w:sz w:val="18"/>
      <w:szCs w:val="18"/>
      <w:u w:val="none"/>
    </w:rPr>
  </w:style>
  <w:style w:type="character" w:customStyle="1" w:styleId="69">
    <w:name w:val="font121"/>
    <w:basedOn w:val="29"/>
    <w:qFormat/>
    <w:uiPriority w:val="0"/>
    <w:rPr>
      <w:rFonts w:hint="eastAsia" w:ascii="宋体" w:hAnsi="宋体" w:eastAsia="宋体" w:cs="宋体"/>
      <w:color w:val="000000"/>
      <w:sz w:val="18"/>
      <w:szCs w:val="18"/>
      <w:u w:val="none"/>
    </w:rPr>
  </w:style>
  <w:style w:type="character" w:customStyle="1" w:styleId="70">
    <w:name w:val="font91"/>
    <w:basedOn w:val="29"/>
    <w:qFormat/>
    <w:uiPriority w:val="0"/>
    <w:rPr>
      <w:rFonts w:hint="eastAsia" w:ascii="宋体" w:hAnsi="宋体" w:eastAsia="宋体" w:cs="宋体"/>
      <w:color w:val="000000"/>
      <w:sz w:val="18"/>
      <w:szCs w:val="18"/>
      <w:u w:val="none"/>
    </w:rPr>
  </w:style>
  <w:style w:type="character" w:customStyle="1" w:styleId="71">
    <w:name w:val="font112"/>
    <w:basedOn w:val="29"/>
    <w:qFormat/>
    <w:uiPriority w:val="0"/>
    <w:rPr>
      <w:rFonts w:hint="eastAsia" w:ascii="宋体" w:hAnsi="宋体" w:eastAsia="宋体" w:cs="宋体"/>
      <w:color w:val="FF0000"/>
      <w:sz w:val="18"/>
      <w:szCs w:val="18"/>
      <w:u w:val="none"/>
    </w:rPr>
  </w:style>
  <w:style w:type="character" w:customStyle="1" w:styleId="72">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3">
    <w:name w:val="UserStyle_1"/>
    <w:basedOn w:val="72"/>
    <w:qFormat/>
    <w:uiPriority w:val="0"/>
    <w:rPr>
      <w:rFonts w:ascii="宋体" w:hAnsi="宋体" w:eastAsia="宋体"/>
      <w:color w:val="000000"/>
      <w:sz w:val="24"/>
      <w:szCs w:val="24"/>
    </w:rPr>
  </w:style>
  <w:style w:type="character" w:customStyle="1" w:styleId="74">
    <w:name w:val="UserStyle_0"/>
    <w:basedOn w:val="72"/>
    <w:qFormat/>
    <w:uiPriority w:val="0"/>
    <w:rPr>
      <w:rFonts w:ascii="MS Gothic" w:hAnsi="MS Gothic" w:eastAsia="MS Gothic"/>
      <w:color w:val="000000"/>
      <w:sz w:val="24"/>
      <w:szCs w:val="24"/>
    </w:rPr>
  </w:style>
  <w:style w:type="paragraph" w:customStyle="1" w:styleId="75">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6">
    <w:name w:val="p0"/>
    <w:basedOn w:val="1"/>
    <w:qFormat/>
    <w:uiPriority w:val="0"/>
    <w:pPr>
      <w:widowControl/>
    </w:pPr>
    <w:rPr>
      <w:rFonts w:ascii="Times New Roman" w:hAnsi="Times New Roman" w:eastAsia="宋体" w:cs="Times New Roman"/>
      <w:kern w:val="0"/>
      <w:szCs w:val="21"/>
    </w:rPr>
  </w:style>
  <w:style w:type="paragraph" w:customStyle="1" w:styleId="77">
    <w:name w:val="179"/>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784E3-8471-4A88-856B-70894EBDB99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73</Pages>
  <Words>6453</Words>
  <Characters>36786</Characters>
  <Lines>306</Lines>
  <Paragraphs>86</Paragraphs>
  <TotalTime>30</TotalTime>
  <ScaleCrop>false</ScaleCrop>
  <LinksUpToDate>false</LinksUpToDate>
  <CharactersWithSpaces>43153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WPS_1591240706</cp:lastModifiedBy>
  <dcterms:modified xsi:type="dcterms:W3CDTF">2022-02-10T03:32:39Z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051091EB99A4474ABD99145219203627</vt:lpwstr>
  </property>
</Properties>
</file>