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shd w:val="clear" w:color="auto" w:fill="FFFFFF"/>
        <w:spacing w:line="360" w:lineRule="auto"/>
        <w:jc w:val="center"/>
        <w:rPr>
          <w:rFonts w:hint="eastAsia" w:ascii="黑体" w:hAnsi="黑体" w:eastAsia="黑体" w:cs="宋体"/>
          <w:b/>
          <w:color w:val="000000"/>
          <w:sz w:val="36"/>
          <w:szCs w:val="36"/>
          <w:lang w:eastAsia="zh-CN"/>
        </w:rPr>
      </w:pPr>
      <w:r>
        <w:rPr>
          <w:rFonts w:hint="eastAsia" w:ascii="黑体" w:hAnsi="黑体" w:eastAsia="黑体" w:cs="宋体"/>
          <w:b/>
          <w:color w:val="000000"/>
          <w:sz w:val="36"/>
          <w:szCs w:val="36"/>
        </w:rPr>
        <w:t>禹州市</w:t>
      </w:r>
      <w:r>
        <w:rPr>
          <w:rFonts w:hint="eastAsia" w:ascii="黑体" w:hAnsi="黑体" w:eastAsia="黑体" w:cs="宋体"/>
          <w:b/>
          <w:color w:val="000000"/>
          <w:sz w:val="36"/>
          <w:szCs w:val="36"/>
          <w:lang w:eastAsia="zh-CN"/>
        </w:rPr>
        <w:t>林业发展中心新一轮林地保护利用规划</w:t>
      </w:r>
    </w:p>
    <w:p>
      <w:pPr>
        <w:shd w:val="clear" w:color="auto" w:fill="FFFFFF"/>
        <w:spacing w:line="360" w:lineRule="auto"/>
        <w:jc w:val="center"/>
        <w:rPr>
          <w:rFonts w:ascii="宋体" w:hAnsi="宋体" w:cs="宋体"/>
          <w:b/>
          <w:bCs/>
          <w:color w:val="000000"/>
          <w:sz w:val="32"/>
          <w:szCs w:val="32"/>
        </w:rPr>
      </w:pPr>
      <w:r>
        <w:rPr>
          <w:rFonts w:hint="eastAsia" w:ascii="黑体" w:hAnsi="黑体" w:eastAsia="黑体" w:cs="宋体"/>
          <w:b/>
          <w:color w:val="000000"/>
          <w:sz w:val="36"/>
          <w:szCs w:val="36"/>
          <w:lang w:eastAsia="zh-CN"/>
        </w:rPr>
        <w:t>编制费</w:t>
      </w:r>
      <w:r>
        <w:rPr>
          <w:rFonts w:hint="eastAsia" w:ascii="黑体" w:hAnsi="黑体" w:eastAsia="黑体" w:cs="宋体"/>
          <w:b/>
          <w:color w:val="000000"/>
          <w:sz w:val="36"/>
          <w:szCs w:val="36"/>
        </w:rPr>
        <w:t>项目</w:t>
      </w:r>
      <w:r>
        <w:rPr>
          <w:rFonts w:hint="eastAsia" w:ascii="宋体" w:hAnsi="宋体" w:cs="宋体"/>
          <w:b/>
          <w:bCs/>
          <w:color w:val="000000"/>
          <w:sz w:val="36"/>
          <w:szCs w:val="36"/>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采购编号： YZCG-G20220</w:t>
      </w:r>
      <w:r>
        <w:rPr>
          <w:rFonts w:hint="eastAsia" w:ascii="宋体" w:hAnsi="宋体" w:cs="宋体"/>
          <w:b/>
          <w:bCs/>
          <w:color w:val="000000"/>
          <w:sz w:val="36"/>
          <w:szCs w:val="36"/>
          <w:lang w:val="en-US" w:eastAsia="zh-CN"/>
        </w:rPr>
        <w:t>11</w:t>
      </w:r>
    </w:p>
    <w:p>
      <w:pPr>
        <w:ind w:firstLine="1084" w:firstLineChars="300"/>
        <w:rPr>
          <w:rFonts w:ascii="宋体" w:hAnsi="宋体" w:eastAsia="宋体" w:cs="宋体"/>
          <w:b/>
          <w:bCs/>
          <w:color w:val="000000"/>
          <w:sz w:val="36"/>
          <w:szCs w:val="36"/>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eastAsia="zh-CN"/>
        </w:rPr>
        <w:t>林业发展中心</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jc w:val="center"/>
        <w:rPr>
          <w:rFonts w:ascii="宋体" w:hAnsi="宋体" w:cs="宋体"/>
          <w:b/>
          <w:bCs/>
          <w:color w:val="000000"/>
          <w:sz w:val="36"/>
          <w:szCs w:val="36"/>
        </w:rPr>
      </w:pPr>
      <w:r>
        <w:rPr>
          <w:rFonts w:hint="eastAsia" w:ascii="宋体" w:hAnsi="宋体" w:cs="宋体"/>
          <w:b/>
          <w:bCs/>
          <w:color w:val="000000"/>
          <w:sz w:val="36"/>
          <w:szCs w:val="36"/>
        </w:rPr>
        <w:t>二〇二二年七月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pStyle w:val="2"/>
      </w:pPr>
    </w:p>
    <w:p>
      <w:pPr>
        <w:pStyle w:val="23"/>
        <w:widowControl/>
        <w:shd w:val="clear" w:color="auto" w:fill="FFFFFF"/>
        <w:spacing w:line="360" w:lineRule="auto"/>
        <w:ind w:firstLine="2715" w:firstLineChars="845"/>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widowControl/>
        <w:shd w:val="clear" w:color="auto" w:fill="FFFFFF"/>
        <w:tabs>
          <w:tab w:val="left" w:pos="5113"/>
        </w:tabs>
        <w:spacing w:line="560" w:lineRule="exact"/>
        <w:ind w:firstLine="560" w:firstLineChars="200"/>
        <w:rPr>
          <w:rFonts w:hint="eastAsia" w:ascii="宋体" w:hAnsi="宋体" w:eastAsia="宋体" w:cs="宋体"/>
          <w:sz w:val="21"/>
          <w:szCs w:val="21"/>
        </w:rPr>
      </w:pPr>
      <w:r>
        <w:rPr>
          <w:rFonts w:hint="eastAsia" w:ascii="仿宋" w:hAnsi="仿宋" w:eastAsia="仿宋" w:cs="仿宋"/>
          <w:color w:val="000000"/>
          <w:kern w:val="0"/>
          <w:sz w:val="28"/>
          <w:szCs w:val="28"/>
        </w:rPr>
        <w:t xml:space="preserve"> </w:t>
      </w:r>
      <w:r>
        <w:rPr>
          <w:rFonts w:hint="eastAsia" w:ascii="宋体" w:hAnsi="宋体" w:eastAsia="宋体" w:cs="宋体"/>
          <w:color w:val="000000"/>
          <w:kern w:val="0"/>
          <w:sz w:val="21"/>
          <w:szCs w:val="21"/>
        </w:rPr>
        <w:t>禹州市</w:t>
      </w:r>
      <w:r>
        <w:rPr>
          <w:rFonts w:hint="eastAsia" w:ascii="宋体" w:hAnsi="宋体" w:eastAsia="宋体" w:cs="宋体"/>
          <w:sz w:val="21"/>
          <w:szCs w:val="21"/>
        </w:rPr>
        <w:t>政府采购中心受禹州市</w:t>
      </w:r>
      <w:r>
        <w:rPr>
          <w:rFonts w:hint="eastAsia" w:ascii="宋体" w:hAnsi="宋体" w:eastAsia="宋体" w:cs="宋体"/>
          <w:sz w:val="21"/>
          <w:szCs w:val="21"/>
          <w:lang w:eastAsia="zh-CN"/>
        </w:rPr>
        <w:t>林业发展中心</w:t>
      </w:r>
      <w:r>
        <w:rPr>
          <w:rFonts w:hint="eastAsia" w:ascii="宋体" w:hAnsi="宋体" w:eastAsia="宋体" w:cs="宋体"/>
          <w:sz w:val="21"/>
          <w:szCs w:val="21"/>
        </w:rPr>
        <w:t>的委托，就“禹州市</w:t>
      </w:r>
      <w:r>
        <w:rPr>
          <w:rFonts w:hint="eastAsia" w:ascii="宋体" w:hAnsi="宋体" w:eastAsia="宋体" w:cs="宋体"/>
          <w:sz w:val="21"/>
          <w:szCs w:val="21"/>
          <w:lang w:eastAsia="zh-CN"/>
        </w:rPr>
        <w:t>林业发展中心新一轮林地保护利用规划编制费</w:t>
      </w:r>
      <w:r>
        <w:rPr>
          <w:rFonts w:hint="eastAsia" w:ascii="宋体" w:hAnsi="宋体" w:eastAsia="宋体" w:cs="宋体"/>
          <w:sz w:val="21"/>
          <w:szCs w:val="21"/>
        </w:rPr>
        <w:t>项目（不见面开标）”进行公开招标，欢迎合格的投标人前来投标。</w:t>
      </w:r>
    </w:p>
    <w:p>
      <w:pPr>
        <w:widowControl/>
        <w:numPr>
          <w:ilvl w:val="0"/>
          <w:numId w:val="4"/>
        </w:numPr>
        <w:shd w:val="clear" w:color="auto" w:fill="FFFFFF"/>
        <w:spacing w:line="440" w:lineRule="exact"/>
        <w:ind w:firstLine="482"/>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项目基本情况</w:t>
      </w:r>
    </w:p>
    <w:p>
      <w:pPr>
        <w:widowControl/>
        <w:numPr>
          <w:ilvl w:val="0"/>
          <w:numId w:val="5"/>
        </w:numPr>
        <w:shd w:val="clear" w:color="auto" w:fill="FFFFFF"/>
        <w:spacing w:line="440" w:lineRule="exact"/>
        <w:jc w:val="left"/>
        <w:rPr>
          <w:rFonts w:hint="eastAsia" w:ascii="宋体" w:hAnsi="宋体" w:eastAsia="宋体" w:cs="宋体"/>
          <w:sz w:val="21"/>
          <w:szCs w:val="21"/>
        </w:rPr>
      </w:pPr>
      <w:r>
        <w:rPr>
          <w:rFonts w:hint="eastAsia" w:ascii="宋体" w:hAnsi="宋体" w:eastAsia="宋体" w:cs="宋体"/>
          <w:sz w:val="21"/>
          <w:szCs w:val="21"/>
        </w:rPr>
        <w:t>采购人：禹州市</w:t>
      </w:r>
      <w:r>
        <w:rPr>
          <w:rFonts w:hint="eastAsia" w:ascii="宋体" w:hAnsi="宋体" w:eastAsia="宋体" w:cs="宋体"/>
          <w:sz w:val="21"/>
          <w:szCs w:val="21"/>
          <w:lang w:eastAsia="zh-CN"/>
        </w:rPr>
        <w:t>林业发展中心</w:t>
      </w:r>
    </w:p>
    <w:p>
      <w:pPr>
        <w:pStyle w:val="40"/>
        <w:widowControl/>
        <w:numPr>
          <w:ilvl w:val="0"/>
          <w:numId w:val="5"/>
        </w:numPr>
        <w:shd w:val="clear" w:color="auto" w:fill="FFFFFF"/>
        <w:spacing w:line="440" w:lineRule="exact"/>
        <w:ind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rPr>
        <w:t>项目名称：</w:t>
      </w:r>
      <w:r>
        <w:rPr>
          <w:rFonts w:hint="eastAsia" w:ascii="宋体" w:hAnsi="宋体" w:eastAsia="宋体" w:cs="宋体"/>
          <w:sz w:val="21"/>
          <w:szCs w:val="21"/>
        </w:rPr>
        <w:t>禹州市</w:t>
      </w:r>
      <w:r>
        <w:rPr>
          <w:rFonts w:hint="eastAsia" w:ascii="宋体" w:hAnsi="宋体" w:eastAsia="宋体" w:cs="宋体"/>
          <w:sz w:val="21"/>
          <w:szCs w:val="21"/>
          <w:lang w:eastAsia="zh-CN"/>
        </w:rPr>
        <w:t>林业发展中心新一轮林地保护利用规划编制费</w:t>
      </w:r>
      <w:r>
        <w:rPr>
          <w:rFonts w:hint="eastAsia" w:ascii="宋体" w:hAnsi="宋体" w:eastAsia="宋体" w:cs="宋体"/>
          <w:sz w:val="21"/>
          <w:szCs w:val="21"/>
        </w:rPr>
        <w:t>项目（不见面开标）</w:t>
      </w:r>
    </w:p>
    <w:p>
      <w:pPr>
        <w:pStyle w:val="40"/>
        <w:widowControl/>
        <w:shd w:val="clear" w:color="auto" w:fill="FFFFFF"/>
        <w:spacing w:line="440" w:lineRule="exact"/>
        <w:ind w:left="120" w:leftChars="57" w:firstLineChars="15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3、采购编号：</w:t>
      </w:r>
      <w:r>
        <w:rPr>
          <w:rFonts w:hint="eastAsia" w:ascii="宋体" w:hAnsi="宋体" w:eastAsia="宋体" w:cs="宋体"/>
          <w:sz w:val="21"/>
          <w:szCs w:val="21"/>
        </w:rPr>
        <w:t>YZCG-G202</w:t>
      </w:r>
      <w:r>
        <w:rPr>
          <w:rFonts w:hint="eastAsia" w:ascii="宋体" w:hAnsi="宋体" w:eastAsia="宋体" w:cs="宋体"/>
          <w:sz w:val="21"/>
          <w:szCs w:val="21"/>
          <w:lang w:val="en-US" w:eastAsia="zh-CN"/>
        </w:rPr>
        <w:t>2011</w:t>
      </w:r>
    </w:p>
    <w:p>
      <w:pPr>
        <w:widowControl/>
        <w:shd w:val="clear" w:color="auto" w:fill="FFFFFF"/>
        <w:spacing w:line="440" w:lineRule="exact"/>
        <w:ind w:firstLine="482"/>
        <w:jc w:val="left"/>
        <w:rPr>
          <w:rFonts w:hint="eastAsia" w:ascii="宋体" w:hAnsi="宋体" w:eastAsia="宋体" w:cs="宋体"/>
          <w:sz w:val="21"/>
          <w:szCs w:val="21"/>
        </w:rPr>
      </w:pPr>
      <w:r>
        <w:rPr>
          <w:rFonts w:hint="eastAsia" w:ascii="宋体" w:hAnsi="宋体" w:eastAsia="宋体" w:cs="宋体"/>
          <w:color w:val="000000"/>
          <w:kern w:val="0"/>
          <w:sz w:val="21"/>
          <w:szCs w:val="21"/>
        </w:rPr>
        <w:t>4、项目需求：</w:t>
      </w:r>
      <w:r>
        <w:rPr>
          <w:rFonts w:hint="eastAsia" w:ascii="宋体" w:hAnsi="宋体" w:eastAsia="宋体" w:cs="宋体"/>
          <w:color w:val="000000"/>
          <w:kern w:val="0"/>
          <w:sz w:val="21"/>
          <w:szCs w:val="21"/>
          <w:lang w:eastAsia="zh-CN"/>
        </w:rPr>
        <w:t>禹州市</w:t>
      </w:r>
      <w:r>
        <w:rPr>
          <w:rFonts w:hint="eastAsia" w:ascii="宋体" w:hAnsi="宋体" w:eastAsia="宋体" w:cs="宋体"/>
          <w:sz w:val="21"/>
          <w:szCs w:val="21"/>
          <w:lang w:eastAsia="zh-CN"/>
        </w:rPr>
        <w:t>新一轮林地保护利用规划等</w:t>
      </w:r>
      <w:r>
        <w:rPr>
          <w:rFonts w:hint="eastAsia" w:ascii="宋体" w:hAnsi="宋体" w:eastAsia="宋体" w:cs="宋体"/>
          <w:sz w:val="21"/>
          <w:szCs w:val="21"/>
        </w:rPr>
        <w:t>（详见招标文件）</w:t>
      </w:r>
    </w:p>
    <w:p>
      <w:pPr>
        <w:widowControl/>
        <w:shd w:val="clear" w:color="auto" w:fill="FFFFFF"/>
        <w:spacing w:line="440" w:lineRule="exact"/>
        <w:ind w:firstLine="482"/>
        <w:jc w:val="left"/>
        <w:rPr>
          <w:rFonts w:hint="eastAsia" w:ascii="宋体" w:hAnsi="宋体" w:eastAsia="宋体" w:cs="宋体"/>
          <w:sz w:val="21"/>
          <w:szCs w:val="21"/>
          <w:lang w:val="en-US" w:eastAsia="zh-CN"/>
        </w:rPr>
      </w:pPr>
      <w:r>
        <w:rPr>
          <w:rFonts w:hint="eastAsia" w:ascii="宋体" w:hAnsi="宋体" w:eastAsia="宋体" w:cs="宋体"/>
          <w:sz w:val="21"/>
          <w:szCs w:val="21"/>
        </w:rPr>
        <w:t>5、合同履行期限：</w:t>
      </w:r>
      <w:r>
        <w:rPr>
          <w:rFonts w:hint="eastAsia" w:ascii="宋体" w:hAnsi="宋体" w:eastAsia="宋体" w:cs="宋体"/>
          <w:sz w:val="21"/>
          <w:szCs w:val="21"/>
          <w:lang w:eastAsia="zh-CN"/>
        </w:rPr>
        <w:t>合同签订后</w:t>
      </w:r>
      <w:r>
        <w:rPr>
          <w:rFonts w:hint="eastAsia" w:ascii="宋体" w:hAnsi="宋体" w:eastAsia="宋体" w:cs="宋体"/>
          <w:sz w:val="21"/>
          <w:szCs w:val="21"/>
          <w:lang w:val="en-US" w:eastAsia="zh-CN"/>
        </w:rPr>
        <w:t>120日历天内完成全部工作</w:t>
      </w:r>
    </w:p>
    <w:p>
      <w:pPr>
        <w:widowControl/>
        <w:shd w:val="clear" w:color="auto" w:fill="FFFFFF"/>
        <w:spacing w:line="440" w:lineRule="exact"/>
        <w:ind w:firstLine="482"/>
        <w:jc w:val="left"/>
        <w:rPr>
          <w:rFonts w:hint="eastAsia" w:ascii="宋体" w:hAnsi="宋体" w:eastAsia="宋体" w:cs="宋体"/>
          <w:sz w:val="21"/>
          <w:szCs w:val="21"/>
          <w:lang w:val="en-US" w:eastAsia="zh-CN"/>
        </w:rPr>
      </w:pPr>
      <w:r>
        <w:rPr>
          <w:rFonts w:hint="eastAsia" w:ascii="宋体" w:hAnsi="宋体" w:eastAsia="宋体" w:cs="宋体"/>
          <w:sz w:val="21"/>
          <w:szCs w:val="21"/>
        </w:rPr>
        <w:t>6、采购预算：</w:t>
      </w:r>
      <w:r>
        <w:rPr>
          <w:rFonts w:hint="eastAsia" w:ascii="宋体" w:hAnsi="宋体" w:eastAsia="宋体" w:cs="宋体"/>
          <w:sz w:val="21"/>
          <w:szCs w:val="21"/>
          <w:lang w:val="en-US" w:eastAsia="zh-CN"/>
        </w:rPr>
        <w:t>204.28万元</w:t>
      </w:r>
    </w:p>
    <w:p>
      <w:pPr>
        <w:widowControl/>
        <w:shd w:val="clear" w:color="auto" w:fill="FFFFFF"/>
        <w:spacing w:line="440" w:lineRule="exact"/>
        <w:ind w:firstLine="482"/>
        <w:jc w:val="left"/>
        <w:rPr>
          <w:rFonts w:hint="eastAsia" w:ascii="宋体" w:hAnsi="宋体" w:eastAsia="宋体" w:cs="宋体"/>
          <w:sz w:val="21"/>
          <w:szCs w:val="21"/>
        </w:rPr>
      </w:pPr>
      <w:r>
        <w:rPr>
          <w:rFonts w:hint="eastAsia" w:ascii="宋体" w:hAnsi="宋体" w:eastAsia="宋体" w:cs="宋体"/>
          <w:sz w:val="21"/>
          <w:szCs w:val="21"/>
        </w:rPr>
        <w:t>7、最高限价：</w:t>
      </w:r>
      <w:r>
        <w:rPr>
          <w:rFonts w:hint="eastAsia" w:ascii="宋体" w:hAnsi="宋体" w:eastAsia="宋体" w:cs="宋体"/>
          <w:sz w:val="21"/>
          <w:szCs w:val="21"/>
          <w:lang w:val="en-US" w:eastAsia="zh-CN"/>
        </w:rPr>
        <w:t>204.28万元</w:t>
      </w:r>
    </w:p>
    <w:p>
      <w:pPr>
        <w:widowControl/>
        <w:shd w:val="clear" w:color="auto" w:fill="FFFFFF"/>
        <w:spacing w:line="440" w:lineRule="exact"/>
        <w:ind w:firstLine="310" w:firstLineChars="147"/>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二、需要落实的政府采购政策</w:t>
      </w:r>
    </w:p>
    <w:p>
      <w:pPr>
        <w:widowControl/>
        <w:shd w:val="clear" w:color="auto" w:fill="FFFFFF"/>
        <w:spacing w:line="44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三、供应商资格要求</w:t>
      </w:r>
    </w:p>
    <w:p>
      <w:pPr>
        <w:widowControl/>
        <w:numPr>
          <w:ilvl w:val="0"/>
          <w:numId w:val="6"/>
        </w:numPr>
        <w:shd w:val="clear" w:color="auto" w:fill="FFFFFF"/>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符合《政府采购法》第二十二条之规定；</w:t>
      </w:r>
    </w:p>
    <w:p>
      <w:pPr>
        <w:widowControl/>
        <w:numPr>
          <w:ilvl w:val="0"/>
          <w:numId w:val="6"/>
        </w:numPr>
        <w:shd w:val="clear" w:color="auto" w:fill="FFFFFF"/>
        <w:spacing w:line="44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投标人需具备测绘和林业调查规划设计乙级及以上资质；联合体投标的，联合体成员单位提供资质证书</w:t>
      </w:r>
      <w:r>
        <w:rPr>
          <w:rFonts w:hint="eastAsia" w:ascii="宋体" w:hAnsi="宋体" w:eastAsia="宋体" w:cs="宋体"/>
          <w:sz w:val="21"/>
          <w:szCs w:val="21"/>
          <w:lang w:eastAsia="zh-CN"/>
        </w:rPr>
        <w:t>；</w:t>
      </w:r>
    </w:p>
    <w:p>
      <w:pPr>
        <w:widowControl/>
        <w:numPr>
          <w:ilvl w:val="0"/>
          <w:numId w:val="6"/>
        </w:numPr>
        <w:shd w:val="clear" w:color="auto" w:fill="FFFFFF"/>
        <w:spacing w:line="44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拟派项目负责人须具有测绘、林业等相关专业中级及以上技术职称；</w:t>
      </w:r>
    </w:p>
    <w:p>
      <w:pPr>
        <w:widowControl/>
        <w:numPr>
          <w:ilvl w:val="0"/>
          <w:numId w:val="0"/>
        </w:numPr>
        <w:shd w:val="clear" w:color="auto" w:fill="FFFFFF"/>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联合体投标的，联合体牵头人提供以上证书及证明材料即可</w:t>
      </w:r>
      <w:r>
        <w:rPr>
          <w:rFonts w:hint="eastAsia" w:ascii="宋体" w:hAnsi="宋体" w:eastAsia="宋体" w:cs="宋体"/>
          <w:sz w:val="21"/>
          <w:szCs w:val="21"/>
          <w:lang w:eastAsia="zh-CN"/>
        </w:rPr>
        <w:t>；</w:t>
      </w:r>
    </w:p>
    <w:p>
      <w:pPr>
        <w:widowControl/>
        <w:shd w:val="clear" w:color="auto" w:fill="FFFFFF"/>
        <w:spacing w:line="440" w:lineRule="exact"/>
        <w:ind w:firstLine="420" w:firstLineChars="200"/>
        <w:jc w:val="left"/>
        <w:rPr>
          <w:rFonts w:hint="eastAsia" w:ascii="宋体" w:hAnsi="宋体" w:eastAsia="宋体" w:cs="宋体"/>
          <w:b/>
          <w:color w:val="000000"/>
          <w:kern w:val="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、本项目接受联合体投标。</w:t>
      </w:r>
    </w:p>
    <w:p>
      <w:pPr>
        <w:widowControl/>
        <w:shd w:val="clear" w:color="auto" w:fill="FFFFFF"/>
        <w:spacing w:line="440" w:lineRule="exact"/>
        <w:ind w:firstLine="482"/>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四、获取招标文件的方式</w:t>
      </w:r>
    </w:p>
    <w:p>
      <w:pPr>
        <w:pStyle w:val="23"/>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rPr>
        <w:t>（一）持CA数字认证证书，登录《全国公共资源交易平台（河南省·许昌市）》“系统用户注册”入口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"（一）持CA数字认证证书，登录《全国公共资源交易平台（河南省·许昌市）》" </w:instrText>
      </w:r>
      <w:r>
        <w:rPr>
          <w:rFonts w:hint="eastAsia" w:ascii="宋体" w:hAnsi="宋体" w:eastAsia="宋体" w:cs="宋体"/>
          <w:sz w:val="21"/>
          <w:szCs w:val="21"/>
        </w:rPr>
        <w:fldChar w:fldCharType="separate"/>
      </w:r>
      <w:r>
        <w:rPr>
          <w:rFonts w:hint="eastAsia" w:ascii="宋体" w:hAnsi="宋体" w:eastAsia="宋体" w:cs="宋体"/>
          <w:sz w:val="21"/>
          <w:szCs w:val="21"/>
        </w:rPr>
        <w:t>http://ggzy.xuchang.gov.cn:8088/ggzy/eps/public/RegistAllJcxx.html）</w:t>
      </w:r>
      <w:r>
        <w:rPr>
          <w:rFonts w:hint="eastAsia" w:ascii="宋体" w:hAnsi="宋体" w:eastAsia="宋体" w:cs="宋体"/>
          <w:sz w:val="21"/>
          <w:szCs w:val="21"/>
        </w:rPr>
        <w:fldChar w:fldCharType="end"/>
      </w:r>
      <w:r>
        <w:rPr>
          <w:rFonts w:hint="eastAsia" w:ascii="宋体" w:hAnsi="宋体" w:eastAsia="宋体" w:cs="宋体"/>
          <w:sz w:val="21"/>
          <w:szCs w:val="21"/>
        </w:rPr>
        <w:t>进行免费注册登记（详见“常见问题解答-诚信库网上注册相关资料下载”）；</w:t>
      </w:r>
    </w:p>
    <w:p>
      <w:pPr>
        <w:pStyle w:val="23"/>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rPr>
        <w:t>（二）在招标响应截止时间前均可登录《全国公共资源交易平台（河南省·许昌市）》“投标人/供应商登录”入口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"（一）持CA数字认证证书，登录《全国公共资源交易平台（河南省·许昌市）》" </w:instrText>
      </w:r>
      <w:r>
        <w:rPr>
          <w:rFonts w:hint="eastAsia" w:ascii="宋体" w:hAnsi="宋体" w:eastAsia="宋体" w:cs="宋体"/>
          <w:sz w:val="21"/>
          <w:szCs w:val="21"/>
        </w:rPr>
        <w:fldChar w:fldCharType="separate"/>
      </w:r>
      <w:r>
        <w:rPr>
          <w:rFonts w:hint="eastAsia" w:ascii="宋体" w:hAnsi="宋体" w:eastAsia="宋体" w:cs="宋体"/>
          <w:sz w:val="21"/>
          <w:szCs w:val="21"/>
        </w:rPr>
        <w:t>（http://ggzy.xuchang.gov.cn:8088/ggzy/）</w:t>
      </w:r>
      <w:r>
        <w:rPr>
          <w:rFonts w:hint="eastAsia" w:ascii="宋体" w:hAnsi="宋体" w:eastAsia="宋体" w:cs="宋体"/>
          <w:sz w:val="21"/>
          <w:szCs w:val="21"/>
        </w:rPr>
        <w:fldChar w:fldCharType="end"/>
      </w:r>
      <w:r>
        <w:rPr>
          <w:rFonts w:hint="eastAsia" w:ascii="宋体" w:hAnsi="宋体" w:eastAsia="宋体" w:cs="宋体"/>
          <w:sz w:val="21"/>
          <w:szCs w:val="21"/>
        </w:rPr>
        <w:t>自行下载招标文件（详见“常见问题解答-交易系统操作手册”）。</w:t>
      </w:r>
    </w:p>
    <w:p>
      <w:pPr>
        <w:widowControl/>
        <w:shd w:val="clear" w:color="auto" w:fill="FFFFFF"/>
        <w:spacing w:line="44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五、投标文件提交截止时间及开标时间</w:t>
      </w:r>
    </w:p>
    <w:p>
      <w:pPr>
        <w:spacing w:line="440" w:lineRule="exact"/>
        <w:ind w:firstLine="640"/>
        <w:rPr>
          <w:rFonts w:hint="eastAsia" w:ascii="宋体" w:hAnsi="宋体" w:eastAsia="宋体" w:cs="宋体"/>
          <w:sz w:val="21"/>
          <w:szCs w:val="21"/>
        </w:rPr>
      </w:pPr>
      <w:r>
        <w:rPr>
          <w:rFonts w:hint="eastAsia" w:ascii="宋体" w:hAnsi="宋体" w:eastAsia="宋体" w:cs="宋体"/>
          <w:sz w:val="21"/>
          <w:szCs w:val="21"/>
        </w:rPr>
        <w:t>1、投标文件提交截止时间及开标时间：202</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日8:30（北京时间），逾期送达或不符合规定的响应文件恕不接受。</w:t>
      </w:r>
    </w:p>
    <w:p>
      <w:pPr>
        <w:spacing w:line="440" w:lineRule="exact"/>
        <w:ind w:firstLine="640"/>
        <w:rPr>
          <w:rFonts w:hint="eastAsia" w:ascii="宋体" w:hAnsi="宋体" w:eastAsia="宋体" w:cs="宋体"/>
          <w:sz w:val="21"/>
          <w:szCs w:val="21"/>
        </w:rPr>
      </w:pPr>
      <w:r>
        <w:rPr>
          <w:rFonts w:hint="eastAsia" w:ascii="宋体" w:hAnsi="宋体" w:eastAsia="宋体" w:cs="宋体"/>
          <w:sz w:val="21"/>
          <w:szCs w:val="21"/>
        </w:rPr>
        <w:t>2、投标文件开启时间：同投标文件提交截止时间。</w:t>
      </w:r>
    </w:p>
    <w:p>
      <w:pPr>
        <w:pStyle w:val="23"/>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rPr>
        <w:t>六、投标响应文件开启</w:t>
      </w:r>
    </w:p>
    <w:p>
      <w:pPr>
        <w:pStyle w:val="23"/>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rPr>
        <w:t>（一）投标文件开启地点：禹州市公共资源交易中心九楼第二开标室。（本项目采用远程不见面开标，供应商无须到达现场）。</w:t>
      </w:r>
    </w:p>
    <w:p>
      <w:pPr>
        <w:pStyle w:val="23"/>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rPr>
        <w:t>（二）本项目为全流程电子化交易项目，供应商须提交电子投标文件。</w:t>
      </w:r>
    </w:p>
    <w:p>
      <w:pPr>
        <w:pStyle w:val="23"/>
        <w:widowControl/>
        <w:shd w:val="clear" w:color="auto" w:fill="FFFFFF"/>
        <w:spacing w:line="440" w:lineRule="exact"/>
        <w:ind w:firstLine="42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1、加密电子投标文件（.file格式）须在投标文件提交截止时间（投标截止时间）前通过《全国公共资源交易平台(河南省▪许昌市)》公共资源交易系统成功上传。</w:t>
      </w:r>
    </w:p>
    <w:p>
      <w:pPr>
        <w:pStyle w:val="23"/>
        <w:widowControl/>
        <w:shd w:val="clear" w:color="auto" w:fill="FFFFFF"/>
        <w:spacing w:line="440" w:lineRule="exact"/>
        <w:ind w:firstLine="42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2、投标截止时间前，供应商</w:t>
      </w:r>
      <w:r>
        <w:rPr>
          <w:rFonts w:hint="eastAsia" w:ascii="宋体" w:hAnsi="宋体" w:eastAsia="宋体" w:cs="宋体"/>
          <w:color w:val="000000"/>
          <w:sz w:val="21"/>
          <w:szCs w:val="21"/>
          <w:shd w:val="clear" w:color="auto" w:fill="FFFFFF"/>
        </w:rPr>
        <w:t>应登录不见面开标大厅，</w:t>
      </w:r>
      <w:r>
        <w:rPr>
          <w:rFonts w:hint="eastAsia" w:ascii="宋体" w:hAnsi="宋体" w:eastAsia="宋体" w:cs="宋体"/>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3"/>
        <w:widowControl/>
        <w:shd w:val="clear" w:color="auto" w:fill="FFFFFF"/>
        <w:spacing w:line="440" w:lineRule="exact"/>
        <w:ind w:firstLine="42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3、不见面开标大厅登录：供应商</w:t>
      </w:r>
      <w:r>
        <w:rPr>
          <w:rFonts w:hint="eastAsia" w:ascii="宋体" w:hAnsi="宋体" w:eastAsia="宋体" w:cs="宋体"/>
          <w:color w:val="000000"/>
          <w:sz w:val="21"/>
          <w:szCs w:val="21"/>
          <w:shd w:val="clear" w:color="auto" w:fill="FFFFFF"/>
        </w:rPr>
        <w:t>使用CA数字证书登录全国公共资源交易平台（河南省·许昌市）——进入公共资源交易系统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"（一）持CA数字认证证书，登录《全国公共资源交易平台（河南省·许昌市）》" </w:instrText>
      </w:r>
      <w:r>
        <w:rPr>
          <w:rFonts w:hint="eastAsia" w:ascii="宋体" w:hAnsi="宋体" w:eastAsia="宋体" w:cs="宋体"/>
          <w:sz w:val="21"/>
          <w:szCs w:val="21"/>
        </w:rPr>
        <w:fldChar w:fldCharType="separate"/>
      </w:r>
      <w:r>
        <w:rPr>
          <w:rStyle w:val="29"/>
          <w:rFonts w:hint="eastAsia" w:ascii="宋体" w:hAnsi="宋体" w:eastAsia="宋体" w:cs="宋体"/>
          <w:color w:val="000000"/>
          <w:sz w:val="21"/>
          <w:szCs w:val="21"/>
          <w:shd w:val="clear" w:color="auto" w:fill="FFFFFF"/>
        </w:rPr>
        <w:t>（http://ggzy.xuchang.gov.cn:8088/ggzy/）</w:t>
      </w:r>
      <w:r>
        <w:rPr>
          <w:rStyle w:val="29"/>
          <w:rFonts w:hint="eastAsia" w:ascii="宋体" w:hAnsi="宋体" w:eastAsia="宋体" w:cs="宋体"/>
          <w:color w:val="000000"/>
          <w:sz w:val="21"/>
          <w:szCs w:val="21"/>
          <w:shd w:val="clear" w:color="auto" w:fill="FFFFFF"/>
        </w:rPr>
        <w:fldChar w:fldCharType="end"/>
      </w:r>
      <w:r>
        <w:rPr>
          <w:rFonts w:hint="eastAsia" w:ascii="宋体" w:hAnsi="宋体" w:eastAsia="宋体" w:cs="宋体"/>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八、代理机构及采购单位地址、联系人、联系电话</w:t>
      </w:r>
    </w:p>
    <w:p>
      <w:pPr>
        <w:widowControl/>
        <w:shd w:val="clear" w:color="auto" w:fill="FFFFFF"/>
        <w:spacing w:line="440" w:lineRule="exact"/>
        <w:ind w:firstLine="64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（一）代理机构：禹州市政府采购中心</w:t>
      </w:r>
    </w:p>
    <w:p>
      <w:pPr>
        <w:widowControl/>
        <w:shd w:val="clear" w:color="auto" w:fill="FFFFFF"/>
        <w:spacing w:line="440" w:lineRule="exact"/>
        <w:ind w:firstLine="64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地址：禹州市行政服务中心楼9</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房间</w:t>
      </w:r>
    </w:p>
    <w:p>
      <w:pPr>
        <w:widowControl/>
        <w:shd w:val="clear" w:color="auto" w:fill="FFFFFF"/>
        <w:spacing w:line="440" w:lineRule="exact"/>
        <w:ind w:firstLine="64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lang w:eastAsia="zh-CN"/>
        </w:rPr>
        <w:t>侯</w:t>
      </w:r>
      <w:r>
        <w:rPr>
          <w:rFonts w:hint="eastAsia" w:ascii="宋体" w:hAnsi="宋体" w:eastAsia="宋体" w:cs="宋体"/>
          <w:color w:val="000000"/>
          <w:kern w:val="0"/>
          <w:sz w:val="21"/>
          <w:szCs w:val="21"/>
        </w:rPr>
        <w:t>女士    联系电话：0374-2077111</w:t>
      </w:r>
    </w:p>
    <w:p>
      <w:pPr>
        <w:widowControl/>
        <w:shd w:val="clear" w:color="auto" w:fill="FFFFFF"/>
        <w:spacing w:line="440" w:lineRule="exact"/>
        <w:ind w:firstLine="64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（二）采购单位：禹州市林业发展中心</w:t>
      </w:r>
    </w:p>
    <w:p>
      <w:pPr>
        <w:widowControl/>
        <w:shd w:val="clear" w:color="auto" w:fill="FFFFFF"/>
        <w:spacing w:line="440" w:lineRule="exact"/>
        <w:ind w:firstLine="641"/>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地址：禹州市禹王大道99号</w:t>
      </w:r>
    </w:p>
    <w:p>
      <w:pPr>
        <w:widowControl/>
        <w:shd w:val="clear" w:color="auto" w:fill="FFFFFF"/>
        <w:spacing w:line="440" w:lineRule="exact"/>
        <w:ind w:firstLine="641"/>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联系人： 董先生         联系电话：0374-</w:t>
      </w:r>
      <w:r>
        <w:rPr>
          <w:rFonts w:hint="eastAsia" w:ascii="宋体" w:hAnsi="宋体" w:eastAsia="宋体" w:cs="宋体"/>
          <w:color w:val="000000"/>
          <w:kern w:val="0"/>
          <w:sz w:val="21"/>
          <w:szCs w:val="21"/>
          <w:lang w:val="en-US" w:eastAsia="zh-CN"/>
        </w:rPr>
        <w:t>2077808</w:t>
      </w:r>
    </w:p>
    <w:p>
      <w:pPr>
        <w:pStyle w:val="2"/>
        <w:rPr>
          <w:rFonts w:hint="eastAsia" w:ascii="宋体" w:hAnsi="宋体" w:eastAsia="宋体" w:cs="宋体"/>
          <w:color w:val="000000"/>
          <w:kern w:val="0"/>
          <w:sz w:val="21"/>
          <w:szCs w:val="21"/>
          <w:lang w:val="en-US" w:eastAsia="zh-CN"/>
        </w:rPr>
      </w:pPr>
    </w:p>
    <w:p>
      <w:pPr>
        <w:pStyle w:val="2"/>
        <w:rPr>
          <w:rFonts w:hint="eastAsia" w:ascii="宋体" w:hAnsi="宋体" w:eastAsia="宋体" w:cs="宋体"/>
          <w:color w:val="000000"/>
          <w:kern w:val="0"/>
          <w:sz w:val="21"/>
          <w:szCs w:val="21"/>
          <w:lang w:val="en-US" w:eastAsia="zh-CN"/>
        </w:rPr>
      </w:pPr>
    </w:p>
    <w:p>
      <w:pPr>
        <w:pStyle w:val="2"/>
        <w:rPr>
          <w:rFonts w:hint="eastAsia" w:ascii="宋体" w:hAnsi="宋体" w:eastAsia="宋体" w:cs="宋体"/>
          <w:color w:val="000000"/>
          <w:kern w:val="0"/>
          <w:sz w:val="21"/>
          <w:szCs w:val="21"/>
          <w:lang w:val="en-US" w:eastAsia="zh-CN"/>
        </w:rPr>
      </w:pPr>
    </w:p>
    <w:p>
      <w:pPr>
        <w:pStyle w:val="2"/>
        <w:rPr>
          <w:rFonts w:hint="eastAsia" w:ascii="宋体" w:hAnsi="宋体" w:eastAsia="宋体" w:cs="宋体"/>
          <w:color w:val="000000"/>
          <w:kern w:val="0"/>
          <w:sz w:val="21"/>
          <w:szCs w:val="21"/>
          <w:lang w:val="en-US" w:eastAsia="zh-CN"/>
        </w:rPr>
      </w:pPr>
    </w:p>
    <w:p>
      <w:pPr>
        <w:pStyle w:val="2"/>
        <w:rPr>
          <w:rFonts w:hint="eastAsia" w:ascii="宋体" w:hAnsi="宋体" w:eastAsia="宋体" w:cs="宋体"/>
          <w:color w:val="000000"/>
          <w:kern w:val="0"/>
          <w:sz w:val="21"/>
          <w:szCs w:val="21"/>
          <w:lang w:val="en-US" w:eastAsia="zh-CN"/>
        </w:rPr>
      </w:pP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40"/>
        <w:numPr>
          <w:ilvl w:val="0"/>
          <w:numId w:val="0"/>
        </w:numPr>
        <w:tabs>
          <w:tab w:val="left" w:pos="7095"/>
        </w:tabs>
        <w:spacing w:line="360" w:lineRule="auto"/>
        <w:ind w:left="420" w:leftChars="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pPr>
        <w:pStyle w:val="40"/>
        <w:numPr>
          <w:ilvl w:val="0"/>
          <w:numId w:val="0"/>
        </w:numPr>
        <w:tabs>
          <w:tab w:val="left" w:pos="7095"/>
        </w:tabs>
        <w:spacing w:line="360" w:lineRule="auto"/>
        <w:ind w:left="420" w:leftChars="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0"/>
        <w:numPr>
          <w:ilvl w:val="0"/>
          <w:numId w:val="0"/>
        </w:numPr>
        <w:tabs>
          <w:tab w:val="left" w:pos="7095"/>
        </w:tabs>
        <w:spacing w:line="360" w:lineRule="auto"/>
        <w:ind w:left="420" w:leftChars="0"/>
        <w:contextualSpacing/>
        <w:rPr>
          <w:rFonts w:hAnsi="宋体"/>
          <w:b/>
        </w:rPr>
      </w:pPr>
      <w:r>
        <w:rPr>
          <w:rFonts w:hint="eastAsia" w:hAnsi="宋体"/>
          <w:b/>
          <w:lang w:val="en-US" w:eastAsia="zh-CN"/>
        </w:rPr>
        <w:t>3、</w:t>
      </w:r>
      <w:r>
        <w:rPr>
          <w:rFonts w:hint="eastAsia" w:hAnsi="宋体"/>
          <w:b/>
        </w:rPr>
        <w:t>电子投标文件的制作</w:t>
      </w:r>
    </w:p>
    <w:p>
      <w:pPr>
        <w:pStyle w:val="40"/>
        <w:numPr>
          <w:ilvl w:val="1"/>
          <w:numId w:val="7"/>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）下载“许昌投标文件制作系统SEARUN 最新版本”，制作投标文件。</w:t>
      </w:r>
    </w:p>
    <w:p>
      <w:pPr>
        <w:pStyle w:val="40"/>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0"/>
        <w:numPr>
          <w:ilvl w:val="0"/>
          <w:numId w:val="8"/>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40"/>
        <w:numPr>
          <w:ilvl w:val="1"/>
          <w:numId w:val="7"/>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40"/>
        <w:numPr>
          <w:ilvl w:val="0"/>
          <w:numId w:val="9"/>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0"/>
        <w:numPr>
          <w:ilvl w:val="0"/>
          <w:numId w:val="8"/>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0"/>
        <w:numPr>
          <w:ilvl w:val="1"/>
          <w:numId w:val="7"/>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0"/>
        <w:numPr>
          <w:ilvl w:val="0"/>
          <w:numId w:val="10"/>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40"/>
        <w:numPr>
          <w:ilvl w:val="0"/>
          <w:numId w:val="11"/>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0"/>
        <w:numPr>
          <w:ilvl w:val="0"/>
          <w:numId w:val="12"/>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40"/>
        <w:numPr>
          <w:ilvl w:val="0"/>
          <w:numId w:val="13"/>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40"/>
        <w:numPr>
          <w:ilvl w:val="0"/>
          <w:numId w:val="14"/>
        </w:numPr>
        <w:tabs>
          <w:tab w:val="left" w:pos="7095"/>
        </w:tabs>
        <w:spacing w:line="360" w:lineRule="auto"/>
        <w:ind w:firstLineChars="0"/>
        <w:contextualSpacing/>
        <w:rPr>
          <w:rFonts w:hAnsi="宋体"/>
          <w:b/>
        </w:rPr>
      </w:pPr>
      <w:r>
        <w:rPr>
          <w:rFonts w:hint="eastAsia" w:hAnsi="宋体"/>
          <w:b/>
        </w:rPr>
        <w:t>评标依据</w:t>
      </w:r>
    </w:p>
    <w:p>
      <w:pPr>
        <w:pStyle w:val="40"/>
        <w:numPr>
          <w:ilvl w:val="1"/>
          <w:numId w:val="7"/>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40"/>
        <w:numPr>
          <w:ilvl w:val="0"/>
          <w:numId w:val="15"/>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0"/>
        <w:numPr>
          <w:ilvl w:val="0"/>
          <w:numId w:val="16"/>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left"/>
        <w:rPr>
          <w:rFonts w:hAnsi="宋体"/>
        </w:rPr>
      </w:pPr>
      <w:r>
        <w:rPr>
          <w:rFonts w:hAnsi="宋体"/>
        </w:rPr>
        <w:br w:type="page"/>
      </w:r>
    </w:p>
    <w:p>
      <w:pPr>
        <w:numPr>
          <w:ilvl w:val="0"/>
          <w:numId w:val="1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18"/>
        </w:numPr>
        <w:shd w:val="clear" w:color="auto" w:fill="FFFFFF"/>
        <w:spacing w:line="360" w:lineRule="auto"/>
        <w:ind w:firstLine="422" w:firstLineChars="200"/>
        <w:contextualSpacing/>
        <w:jc w:val="left"/>
        <w:rPr>
          <w:rFonts w:hint="eastAsia" w:ascii="新宋体" w:hAnsi="新宋体" w:eastAsia="新宋体" w:cs="宋体"/>
          <w:color w:val="000000" w:themeColor="text1"/>
          <w:kern w:val="0"/>
          <w:szCs w:val="21"/>
        </w:rPr>
      </w:pPr>
      <w:r>
        <w:rPr>
          <w:rFonts w:hint="eastAsia" w:cs="仿宋" w:asciiTheme="minorEastAsia" w:hAnsiTheme="minorEastAsia"/>
          <w:b/>
          <w:color w:val="000000"/>
          <w:kern w:val="0"/>
          <w:szCs w:val="21"/>
        </w:rPr>
        <w:t>本项目需实现的功能或者目标：</w:t>
      </w:r>
    </w:p>
    <w:p>
      <w:pPr>
        <w:widowControl/>
        <w:shd w:val="clear" w:color="auto" w:fill="FFFFFF"/>
        <w:spacing w:line="560" w:lineRule="exact"/>
        <w:ind w:firstLine="600"/>
        <w:jc w:val="left"/>
        <w:rPr>
          <w:rFonts w:hint="eastAsia" w:ascii="宋体" w:hAnsi="宋体" w:eastAsia="宋体" w:cs="宋体"/>
          <w:szCs w:val="21"/>
        </w:rPr>
      </w:pPr>
      <w:r>
        <w:rPr>
          <w:rFonts w:hint="eastAsia" w:ascii="宋体" w:hAnsi="宋体" w:eastAsia="宋体" w:cs="宋体"/>
          <w:szCs w:val="21"/>
        </w:rPr>
        <w:t>建立与国土空间规划相协调的林地保护规划体系，完成县级林地保护利用规划工作；以第三次国土调查、森林资源管理“一张图”等成果为基础，健全基于森林资源管理“一张图”年度更新的林地保护利用规划监测评价体系；提升林地定额管理水平，优化林地空间治理体系，开展规划监测评价，基本形成与经济社会高质量发展要求相适应的林地保护利用空间格局。</w:t>
      </w:r>
    </w:p>
    <w:p>
      <w:pPr>
        <w:widowControl/>
        <w:shd w:val="clear" w:color="auto" w:fill="FFFFFF"/>
        <w:spacing w:line="560" w:lineRule="exact"/>
        <w:ind w:firstLine="600"/>
        <w:jc w:val="left"/>
        <w:rPr>
          <w:rFonts w:hint="eastAsia" w:ascii="宋体" w:hAnsi="宋体" w:eastAsia="宋体" w:cs="宋体"/>
          <w:szCs w:val="21"/>
        </w:rPr>
      </w:pPr>
      <w:r>
        <w:rPr>
          <w:rFonts w:hint="eastAsia" w:ascii="宋体" w:hAnsi="宋体" w:eastAsia="宋体" w:cs="宋体"/>
          <w:szCs w:val="21"/>
        </w:rPr>
        <w:t>完成新一轮林地保护利用规划编制和造林绿化空间适应性评估等工作，满足林地保护利用规划、林地保护规划监测评价、提升林地定额管理水平、林地空间治理等体系的要求。</w:t>
      </w:r>
    </w:p>
    <w:p>
      <w:pPr>
        <w:widowControl/>
        <w:numPr>
          <w:ilvl w:val="0"/>
          <w:numId w:val="0"/>
        </w:numPr>
        <w:shd w:val="clear" w:color="auto" w:fill="FFFFFF"/>
        <w:spacing w:line="360" w:lineRule="auto"/>
        <w:contextualSpacing/>
        <w:jc w:val="left"/>
        <w:rPr>
          <w:rFonts w:hint="eastAsia" w:ascii="新宋体" w:hAnsi="新宋体" w:eastAsia="宋体" w:cs="宋体"/>
          <w:color w:val="000000" w:themeColor="text1"/>
          <w:kern w:val="0"/>
          <w:szCs w:val="21"/>
          <w:lang w:eastAsia="zh-CN"/>
        </w:rPr>
      </w:pPr>
    </w:p>
    <w:p>
      <w:pPr>
        <w:widowControl/>
        <w:numPr>
          <w:ilvl w:val="0"/>
          <w:numId w:val="0"/>
        </w:numPr>
        <w:shd w:val="clear" w:color="auto" w:fill="FFFFFF"/>
        <w:spacing w:line="360" w:lineRule="auto"/>
        <w:ind w:firstLine="422" w:firstLineChars="200"/>
        <w:contextualSpacing/>
        <w:jc w:val="left"/>
        <w:rPr>
          <w:rFonts w:hint="eastAsia"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（二）采购清单：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702"/>
        <w:gridCol w:w="344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pPr>
              <w:pStyle w:val="2"/>
              <w:ind w:firstLine="0" w:firstLineChars="0"/>
              <w:jc w:val="center"/>
              <w:rPr>
                <w:rFonts w:hint="eastAsia" w:ascii="宋体" w:hAnsi="宋体" w:cs="宋体"/>
                <w:b/>
                <w:color w:val="000000"/>
                <w:kern w:val="0"/>
                <w:sz w:val="30"/>
                <w:szCs w:val="30"/>
              </w:rPr>
            </w:pPr>
            <w:r>
              <w:rPr>
                <w:rFonts w:hint="eastAsia" w:ascii="宋体" w:hAnsi="宋体" w:cs="宋体"/>
                <w:b/>
                <w:color w:val="000000"/>
                <w:kern w:val="0"/>
                <w:sz w:val="30"/>
                <w:szCs w:val="30"/>
              </w:rPr>
              <w:t>序号</w:t>
            </w:r>
          </w:p>
        </w:tc>
        <w:tc>
          <w:tcPr>
            <w:tcW w:w="3702" w:type="dxa"/>
            <w:noWrap w:val="0"/>
            <w:vAlign w:val="center"/>
          </w:tcPr>
          <w:p>
            <w:pPr>
              <w:pStyle w:val="2"/>
              <w:ind w:firstLine="0" w:firstLineChars="0"/>
              <w:jc w:val="center"/>
              <w:rPr>
                <w:rFonts w:hint="eastAsia" w:ascii="宋体" w:hAnsi="宋体" w:cs="宋体"/>
                <w:b/>
                <w:color w:val="000000"/>
                <w:kern w:val="0"/>
                <w:sz w:val="30"/>
                <w:szCs w:val="30"/>
              </w:rPr>
            </w:pPr>
            <w:r>
              <w:rPr>
                <w:rFonts w:hint="eastAsia" w:ascii="宋体" w:hAnsi="宋体" w:cs="宋体"/>
                <w:b/>
                <w:color w:val="000000"/>
                <w:kern w:val="0"/>
                <w:sz w:val="30"/>
                <w:szCs w:val="30"/>
              </w:rPr>
              <w:t>内容</w:t>
            </w:r>
          </w:p>
        </w:tc>
        <w:tc>
          <w:tcPr>
            <w:tcW w:w="3442" w:type="dxa"/>
            <w:noWrap w:val="0"/>
            <w:vAlign w:val="center"/>
          </w:tcPr>
          <w:p>
            <w:pPr>
              <w:pStyle w:val="2"/>
              <w:ind w:firstLine="0" w:firstLineChars="0"/>
              <w:jc w:val="center"/>
              <w:rPr>
                <w:rFonts w:hint="eastAsia" w:ascii="宋体" w:hAnsi="宋体" w:cs="宋体"/>
                <w:b/>
                <w:color w:val="000000"/>
                <w:kern w:val="0"/>
                <w:sz w:val="30"/>
                <w:szCs w:val="30"/>
              </w:rPr>
            </w:pPr>
            <w:r>
              <w:rPr>
                <w:rFonts w:hint="eastAsia" w:ascii="宋体" w:hAnsi="宋体" w:cs="宋体"/>
                <w:b/>
                <w:color w:val="000000"/>
                <w:kern w:val="0"/>
                <w:sz w:val="30"/>
                <w:szCs w:val="30"/>
              </w:rPr>
              <w:t>成果</w:t>
            </w:r>
          </w:p>
        </w:tc>
        <w:tc>
          <w:tcPr>
            <w:tcW w:w="974" w:type="dxa"/>
            <w:noWrap w:val="0"/>
            <w:vAlign w:val="center"/>
          </w:tcPr>
          <w:p>
            <w:pPr>
              <w:pStyle w:val="2"/>
              <w:ind w:firstLine="0" w:firstLineChars="0"/>
              <w:jc w:val="center"/>
              <w:rPr>
                <w:rFonts w:hint="eastAsia" w:ascii="宋体" w:hAnsi="宋体" w:cs="宋体"/>
                <w:b/>
                <w:color w:val="000000"/>
                <w:kern w:val="0"/>
                <w:sz w:val="30"/>
                <w:szCs w:val="30"/>
              </w:rPr>
            </w:pPr>
            <w:r>
              <w:rPr>
                <w:rFonts w:hint="eastAsia" w:ascii="宋体" w:hAnsi="宋体" w:cs="宋体"/>
                <w:b/>
                <w:color w:val="000000"/>
                <w:kern w:val="0"/>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94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70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新一轮的林地保护利用规划</w:t>
            </w:r>
          </w:p>
        </w:tc>
        <w:tc>
          <w:tcPr>
            <w:tcW w:w="344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规划报告、规划编制说明、规划图集、规划附件及专题研究报告</w:t>
            </w:r>
          </w:p>
        </w:tc>
        <w:tc>
          <w:tcPr>
            <w:tcW w:w="974"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42" w:type="dxa"/>
            <w:vMerge w:val="restart"/>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702" w:type="dxa"/>
            <w:vMerge w:val="restart"/>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造林绿化空间适应性评估</w:t>
            </w:r>
          </w:p>
        </w:tc>
        <w:tc>
          <w:tcPr>
            <w:tcW w:w="344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评估报告</w:t>
            </w:r>
          </w:p>
        </w:tc>
        <w:tc>
          <w:tcPr>
            <w:tcW w:w="974"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2" w:type="dxa"/>
            <w:vMerge w:val="continue"/>
            <w:noWrap w:val="0"/>
            <w:vAlign w:val="center"/>
          </w:tcPr>
          <w:p>
            <w:pPr>
              <w:pStyle w:val="2"/>
              <w:ind w:firstLine="0" w:firstLineChars="0"/>
              <w:jc w:val="center"/>
              <w:rPr>
                <w:rFonts w:hint="eastAsia" w:ascii="宋体" w:hAnsi="宋体" w:eastAsia="宋体" w:cs="宋体"/>
                <w:color w:val="000000"/>
                <w:kern w:val="0"/>
                <w:sz w:val="21"/>
                <w:szCs w:val="21"/>
              </w:rPr>
            </w:pPr>
          </w:p>
        </w:tc>
        <w:tc>
          <w:tcPr>
            <w:tcW w:w="3702" w:type="dxa"/>
            <w:vMerge w:val="continue"/>
            <w:noWrap w:val="0"/>
            <w:vAlign w:val="center"/>
          </w:tcPr>
          <w:p>
            <w:pPr>
              <w:pStyle w:val="2"/>
              <w:ind w:firstLine="0" w:firstLineChars="0"/>
              <w:jc w:val="center"/>
              <w:rPr>
                <w:rFonts w:hint="eastAsia" w:ascii="宋体" w:hAnsi="宋体" w:eastAsia="宋体" w:cs="宋体"/>
                <w:color w:val="000000"/>
                <w:kern w:val="0"/>
                <w:sz w:val="21"/>
                <w:szCs w:val="21"/>
              </w:rPr>
            </w:pPr>
          </w:p>
        </w:tc>
        <w:tc>
          <w:tcPr>
            <w:tcW w:w="344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评估数据库</w:t>
            </w:r>
          </w:p>
        </w:tc>
        <w:tc>
          <w:tcPr>
            <w:tcW w:w="974"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70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自然保护地的勘测定界</w:t>
            </w:r>
          </w:p>
        </w:tc>
        <w:tc>
          <w:tcPr>
            <w:tcW w:w="3442"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勘测定界报告、1:2000带状图</w:t>
            </w:r>
          </w:p>
        </w:tc>
        <w:tc>
          <w:tcPr>
            <w:tcW w:w="974" w:type="dxa"/>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60" w:type="dxa"/>
            <w:gridSpan w:val="4"/>
            <w:noWrap w:val="0"/>
            <w:vAlign w:val="center"/>
          </w:tcPr>
          <w:p>
            <w:pPr>
              <w:pStyle w:val="2"/>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注：以上提交成果资料以最新文件要求为准。</w:t>
            </w:r>
          </w:p>
        </w:tc>
      </w:tr>
    </w:tbl>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2、工作流程</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（1）新一轮的林地保护利用规划编制流程：1.前期工作准备及资料收集；2.现状调查及专题研究；3.规划成果编制；4.规划成果论证及报批。</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（2）造林绿化空间适应性评估工作流程：1.资料分析及底图制作；2.资料确认举证及调查评估；3.上图入库及数据库建设；4.成果提交资料（数据库、统计表、评估报告）。</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（3）自然保护地的勘测定界工作流程：1.资料收集及底图制作；2.界线测绘；3.界桩布设及点位放样。</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3、工作原则</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（1）提出林地保护利用的指导思想、原则、规划依据（法律法规、政策性文件、相关规划成果、技术规范、调查成果）、规划期限、规划范围、目标（总体目标、具体目标）及任务。</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（2）分析林地现状、经济与社会发展对林地需求分析、林地开发利用潜力分析、存在的问题和规划的紧迫性、必要性，以及与空间规划的关系。</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4、现场踏勘</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（1）组建现场踏勘小组</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现场踏勘小组由委托方、地方有关部门、项目承担单位等部门人员组成。</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（2）制定踏勘方案</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踏勘之前预先制定现场踏勘计划，确定踏勘路线、时间、地点等。</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（3）现场踏勘内容</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根据踏勘方案，进行现场踏勘，了解项目区边界范围、边界拐点位置。对国家下发及自主提取的林地适应性调查图斑进行现场踏勘及举证。</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5、报告编制要求</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（1）严格遵循《 森林法 》等法律法规的要求，按照发展现代林业和 生态文明建设的战略要求，严格保护现有林地资源 ，积极拓展绿色生态空间，对生态功能重要和生态脆弱区域林地进行重点保护。</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（2）林地保护利用规划属于国土空间规划中的专项规划，国土空间规划对其具有指导约束作用，林地保护利用规划不得违背国土空间规划强制性内容。规 编制中坚持国家与地方联动，强化与其他专项规划、三条控制线划定、自然保护地优化整合等工作相互协同。</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优化林地保护利用结构与空间布局，统筹生态、生产、生活使用林地需求，明确各区域的林地保护利用方向和重点，合理科学配置林地资源。综合运用法律、经济、行政、技术等手段，改进规划方法，注重公众参与，提高编制的民主化与智慧化水平。</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4）明确规划约束性指标和刚性管控要求，相关指标必须是易获取、可考核、可分解、可汇总、可传导，可比性强。同时健全规划实施传导机制，确保规划能用、管用、好用。转变林业发展和林地利用方式，科学使用林地，充分发挥林地生产力，促进林地利用从粗放低效向精准高效转变。</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6、成果评审及期限</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成果完成后，提交当地规划编制领导小组审议和专家的评审后，报省林业局审核。在省级林业主管部门审核同意的基础上，报县（区）人民政府批准实施。</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规划基准年为2020年，规划期限为15年，即2021-2035年，其中近期目标年为2025年。</w:t>
      </w:r>
    </w:p>
    <w:p>
      <w:pPr>
        <w:numPr>
          <w:ilvl w:val="0"/>
          <w:numId w:val="0"/>
        </w:numPr>
        <w:spacing w:line="360" w:lineRule="auto"/>
        <w:ind w:firstLine="211" w:firstLineChars="100"/>
        <w:contextualSpacing/>
        <w:rPr>
          <w:rFonts w:hint="eastAsia" w:ascii="宋体" w:hAnsi="宋体" w:cs="宋体"/>
          <w:b/>
          <w:color w:val="000000"/>
          <w:kern w:val="0"/>
          <w:szCs w:val="21"/>
          <w:lang w:val="zh-CN"/>
        </w:rPr>
      </w:pPr>
      <w:r>
        <w:rPr>
          <w:rFonts w:hint="eastAsia" w:ascii="宋体" w:hAnsi="宋体" w:cs="宋体"/>
          <w:b/>
          <w:color w:val="000000"/>
          <w:kern w:val="0"/>
          <w:szCs w:val="21"/>
          <w:lang w:val="zh-CN"/>
        </w:rPr>
        <w:t>(</w:t>
      </w:r>
      <w:r>
        <w:rPr>
          <w:rFonts w:hint="eastAsia" w:ascii="宋体" w:hAnsi="宋体" w:cs="宋体"/>
          <w:b/>
          <w:color w:val="000000"/>
          <w:kern w:val="0"/>
          <w:szCs w:val="21"/>
          <w:lang w:val="zh-CN" w:eastAsia="zh-CN"/>
        </w:rPr>
        <w:t>三</w:t>
      </w:r>
      <w:r>
        <w:rPr>
          <w:rFonts w:hint="eastAsia" w:ascii="宋体" w:hAnsi="宋体" w:cs="宋体"/>
          <w:b/>
          <w:color w:val="000000"/>
          <w:kern w:val="0"/>
          <w:szCs w:val="21"/>
          <w:lang w:val="zh-CN"/>
        </w:rPr>
        <w:t>)采购标的执行标准</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按照国家林业和草原局关于印发《新一轮林地保护利用规划编制工作方案》和《新一轮林地保护利用规划编制技术方案》的通知（林资发[2020]95号）文件要求。符合国家、行业相关规程规范。</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《数字测绘产品质量要求》第一部分 GB/T 17941.1</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《全球定位系统（GPS）测量规范》（GB/T18314-2009）</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《数字测绘产品检查验收规定和质量评定》GB/T 18316-2001</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《城市测量规范》（CJJ8-99）</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《1：500  1：1000  1:2000地形图图式》（GB/T20257.1-2007）</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《1:500  1:1000  1:2000地形图数字化规范》（GB/T17160-2008）</w:t>
      </w:r>
    </w:p>
    <w:p>
      <w:pPr>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以上规范和标准如有变化，以量新发布的为准。</w:t>
      </w:r>
    </w:p>
    <w:p>
      <w:pPr>
        <w:numPr>
          <w:ilvl w:val="0"/>
          <w:numId w:val="19"/>
        </w:numPr>
        <w:spacing w:line="360" w:lineRule="auto"/>
        <w:ind w:firstLine="422" w:firstLineChars="200"/>
        <w:contextualSpacing/>
        <w:rPr>
          <w:rFonts w:hint="eastAsia" w:ascii="宋体" w:hAnsi="宋体" w:cs="宋体"/>
          <w:b/>
          <w:color w:val="000000"/>
          <w:kern w:val="0"/>
          <w:szCs w:val="21"/>
          <w:lang w:val="zh-CN"/>
        </w:rPr>
      </w:pPr>
      <w:r>
        <w:rPr>
          <w:rFonts w:hint="eastAsia" w:ascii="宋体" w:hAnsi="宋体" w:cs="宋体"/>
          <w:b/>
          <w:color w:val="000000"/>
          <w:kern w:val="0"/>
          <w:szCs w:val="21"/>
          <w:lang w:val="zh-CN"/>
        </w:rPr>
        <w:t>服务标准、期限、效率等要求</w:t>
      </w:r>
    </w:p>
    <w:p>
      <w:pPr>
        <w:spacing w:line="360" w:lineRule="auto"/>
        <w:ind w:firstLine="420" w:firstLineChars="200"/>
        <w:contextualSpacing/>
        <w:rPr>
          <w:rFonts w:hint="eastAsia"/>
          <w:lang w:val="zh-CN"/>
        </w:rPr>
      </w:pPr>
      <w:r>
        <w:rPr>
          <w:rFonts w:hint="eastAsia" w:ascii="新宋体" w:hAnsi="新宋体" w:eastAsia="新宋体" w:cs="新宋体"/>
          <w:szCs w:val="21"/>
          <w:lang w:val="zh-CN"/>
        </w:rPr>
        <w:t>签订合同后120日历天完成全部工作。</w:t>
      </w:r>
    </w:p>
    <w:p>
      <w:pPr>
        <w:widowControl/>
        <w:shd w:val="clear" w:color="auto" w:fill="FFFFFF"/>
        <w:spacing w:line="360" w:lineRule="auto"/>
        <w:ind w:firstLine="422" w:firstLineChars="200"/>
        <w:contextualSpacing/>
        <w:jc w:val="left"/>
        <w:rPr>
          <w:rFonts w:ascii="宋体" w:hAnsi="宋体" w:cs="宋体"/>
          <w:b/>
          <w:color w:val="000000"/>
          <w:kern w:val="0"/>
          <w:szCs w:val="21"/>
          <w:lang w:val="zh-CN"/>
        </w:rPr>
      </w:pPr>
      <w:r>
        <w:rPr>
          <w:rFonts w:hint="eastAsia" w:ascii="宋体" w:hAnsi="宋体" w:cs="宋体"/>
          <w:b/>
          <w:color w:val="000000"/>
          <w:kern w:val="0"/>
          <w:szCs w:val="21"/>
        </w:rPr>
        <w:t>(</w:t>
      </w:r>
      <w:r>
        <w:rPr>
          <w:rFonts w:hint="eastAsia" w:ascii="宋体" w:hAnsi="宋体" w:cs="宋体"/>
          <w:b/>
          <w:color w:val="000000"/>
          <w:kern w:val="0"/>
          <w:szCs w:val="21"/>
          <w:lang w:eastAsia="zh-CN"/>
        </w:rPr>
        <w:t>五</w:t>
      </w:r>
      <w:r>
        <w:rPr>
          <w:rFonts w:hint="eastAsia" w:ascii="宋体" w:hAnsi="宋体" w:cs="宋体"/>
          <w:b/>
          <w:color w:val="000000"/>
          <w:kern w:val="0"/>
          <w:szCs w:val="21"/>
        </w:rPr>
        <w:t>)</w:t>
      </w:r>
      <w:r>
        <w:rPr>
          <w:rFonts w:hint="eastAsia" w:ascii="宋体" w:hAnsi="宋体" w:cs="宋体"/>
          <w:b/>
          <w:color w:val="000000"/>
          <w:kern w:val="0"/>
          <w:szCs w:val="21"/>
          <w:lang w:val="zh-CN"/>
        </w:rPr>
        <w:t>、采购标的的其他技术、服务等要求</w:t>
      </w:r>
    </w:p>
    <w:p>
      <w:pPr>
        <w:widowControl/>
        <w:shd w:val="clear" w:color="auto" w:fill="FFFFFF"/>
        <w:spacing w:line="360" w:lineRule="auto"/>
        <w:ind w:firstLine="420" w:firstLineChars="200"/>
        <w:contextualSpacing/>
        <w:jc w:val="left"/>
        <w:rPr>
          <w:rFonts w:hint="eastAsia" w:ascii="新宋体" w:hAnsi="新宋体" w:eastAsia="新宋体" w:cs="新宋体"/>
          <w:kern w:val="0"/>
          <w:szCs w:val="21"/>
        </w:rPr>
      </w:pPr>
      <w:r>
        <w:rPr>
          <w:rFonts w:hint="eastAsia" w:ascii="新宋体" w:hAnsi="新宋体" w:eastAsia="新宋体" w:cs="新宋体"/>
          <w:kern w:val="0"/>
          <w:szCs w:val="21"/>
        </w:rPr>
        <w:t>1、投标人须明确服务期限，否则为无效投标。</w:t>
      </w:r>
    </w:p>
    <w:p>
      <w:pPr>
        <w:widowControl/>
        <w:shd w:val="clear" w:color="auto" w:fill="FFFFFF"/>
        <w:spacing w:line="360" w:lineRule="auto"/>
        <w:ind w:firstLine="420" w:firstLineChars="200"/>
        <w:contextualSpacing/>
        <w:jc w:val="left"/>
        <w:rPr>
          <w:rFonts w:hint="eastAsia" w:ascii="新宋体" w:hAnsi="新宋体" w:eastAsia="新宋体" w:cs="新宋体"/>
          <w:kern w:val="0"/>
          <w:szCs w:val="21"/>
        </w:rPr>
      </w:pPr>
      <w:r>
        <w:rPr>
          <w:rFonts w:hint="eastAsia" w:ascii="新宋体" w:hAnsi="新宋体" w:eastAsia="新宋体" w:cs="新宋体"/>
          <w:kern w:val="0"/>
          <w:szCs w:val="21"/>
        </w:rPr>
        <w:t>2、投标人应就本项目完整投标，报价含税费等综合费用，否则为无效投标;</w:t>
      </w:r>
    </w:p>
    <w:p>
      <w:pPr>
        <w:widowControl/>
        <w:shd w:val="clear" w:color="auto" w:fill="FFFFFF"/>
        <w:spacing w:line="360" w:lineRule="auto"/>
        <w:ind w:firstLine="420" w:firstLineChars="200"/>
        <w:contextualSpacing/>
        <w:jc w:val="left"/>
        <w:rPr>
          <w:rFonts w:hint="eastAsia" w:ascii="新宋体" w:hAnsi="新宋体" w:eastAsia="新宋体" w:cs="新宋体"/>
          <w:kern w:val="0"/>
          <w:szCs w:val="21"/>
        </w:rPr>
      </w:pPr>
      <w:r>
        <w:rPr>
          <w:rFonts w:hint="eastAsia" w:ascii="新宋体" w:hAnsi="新宋体" w:eastAsia="新宋体" w:cs="新宋体"/>
          <w:kern w:val="0"/>
          <w:szCs w:val="21"/>
        </w:rPr>
        <w:t>3、提交成果必须符合招标文件规定标准;</w:t>
      </w:r>
    </w:p>
    <w:p>
      <w:pPr>
        <w:widowControl/>
        <w:shd w:val="clear" w:color="auto" w:fill="FFFFFF"/>
        <w:spacing w:line="360" w:lineRule="auto"/>
        <w:ind w:firstLine="420" w:firstLineChars="200"/>
        <w:contextualSpacing/>
        <w:jc w:val="left"/>
        <w:rPr>
          <w:rFonts w:hint="eastAsia" w:ascii="新宋体" w:hAnsi="新宋体" w:eastAsia="新宋体" w:cs="新宋体"/>
          <w:kern w:val="0"/>
          <w:szCs w:val="21"/>
        </w:rPr>
      </w:pPr>
      <w:r>
        <w:rPr>
          <w:rFonts w:hint="eastAsia" w:ascii="新宋体" w:hAnsi="新宋体" w:eastAsia="新宋体" w:cs="新宋体"/>
          <w:kern w:val="0"/>
          <w:szCs w:val="21"/>
        </w:rPr>
        <w:t>4、质保期内免费维护，质保期内发生质量问题，投标人在接到通知后48小时内进行响应，对成果进行维护。</w:t>
      </w:r>
    </w:p>
    <w:p>
      <w:pPr>
        <w:widowControl/>
        <w:shd w:val="clear" w:color="auto" w:fill="FFFFFF"/>
        <w:spacing w:line="360" w:lineRule="auto"/>
        <w:ind w:firstLine="422" w:firstLineChars="200"/>
        <w:contextualSpacing/>
        <w:jc w:val="left"/>
        <w:rPr>
          <w:rFonts w:hint="eastAsia" w:ascii="宋体" w:hAnsi="宋体" w:cs="宋体"/>
          <w:b/>
          <w:color w:val="000000"/>
          <w:kern w:val="0"/>
          <w:szCs w:val="21"/>
          <w:lang w:val="zh-CN"/>
        </w:rPr>
      </w:pPr>
      <w:r>
        <w:rPr>
          <w:rFonts w:hint="eastAsia" w:ascii="宋体" w:hAnsi="宋体" w:cs="宋体"/>
          <w:b/>
          <w:color w:val="000000"/>
          <w:kern w:val="0"/>
          <w:szCs w:val="21"/>
        </w:rPr>
        <w:t>(</w:t>
      </w:r>
      <w:r>
        <w:rPr>
          <w:rFonts w:hint="eastAsia" w:ascii="宋体" w:hAnsi="宋体" w:cs="宋体"/>
          <w:b/>
          <w:color w:val="000000"/>
          <w:kern w:val="0"/>
          <w:szCs w:val="21"/>
          <w:lang w:eastAsia="zh-CN"/>
        </w:rPr>
        <w:t>六</w:t>
      </w:r>
      <w:r>
        <w:rPr>
          <w:rFonts w:hint="eastAsia" w:ascii="宋体" w:hAnsi="宋体" w:cs="宋体"/>
          <w:b/>
          <w:color w:val="000000"/>
          <w:kern w:val="0"/>
          <w:szCs w:val="21"/>
        </w:rPr>
        <w:t>)</w:t>
      </w:r>
      <w:r>
        <w:rPr>
          <w:rFonts w:hint="eastAsia" w:ascii="宋体" w:hAnsi="宋体" w:cs="宋体"/>
          <w:b/>
          <w:color w:val="000000"/>
          <w:kern w:val="0"/>
          <w:szCs w:val="21"/>
          <w:lang w:val="zh-CN"/>
        </w:rPr>
        <w:t>、验收标准</w:t>
      </w:r>
    </w:p>
    <w:p>
      <w:pPr>
        <w:spacing w:line="360" w:lineRule="auto"/>
        <w:ind w:firstLine="840" w:firstLineChars="400"/>
        <w:rPr>
          <w:rFonts w:hint="eastAsia" w:ascii="新宋体" w:hAnsi="新宋体" w:eastAsia="新宋体" w:cs="新宋体"/>
          <w:kern w:val="0"/>
          <w:szCs w:val="21"/>
        </w:rPr>
      </w:pPr>
      <w:r>
        <w:rPr>
          <w:rFonts w:hint="eastAsia" w:ascii="新宋体" w:hAnsi="新宋体" w:eastAsia="新宋体" w:cs="新宋体"/>
          <w:kern w:val="0"/>
          <w:szCs w:val="21"/>
        </w:rPr>
        <w:t>通过专家技术审查会进行验收，或采取采购人要求的其他方式验收。必要时，采购人有权邀请第三方机构参与验收。参与验收的第三方机构的意见作为验收书的参考资料一并存档。验收结束后，应当出具验收书，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spacing w:line="360" w:lineRule="auto"/>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（一）支付方式：按照合同约定，依据项目时间节点申请支付。</w:t>
      </w:r>
    </w:p>
    <w:p>
      <w:pPr>
        <w:spacing w:line="360" w:lineRule="auto"/>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12"/>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林业发展中心新一轮林地保护利用规划编制费</w:t>
            </w:r>
            <w:r>
              <w:rPr>
                <w:rFonts w:hint="eastAsia" w:cs="仿宋_GB2312" w:asciiTheme="minorEastAsia" w:hAnsiTheme="minorEastAsia"/>
                <w:szCs w:val="21"/>
              </w:rPr>
              <w:t>项目（不见面开标）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采购编号：YZCG-G20220</w:t>
            </w:r>
            <w:r>
              <w:rPr>
                <w:rFonts w:hint="eastAsia" w:cs="仿宋_GB2312" w:asciiTheme="minorEastAsia" w:hAnsiTheme="minorEastAsia"/>
                <w:szCs w:val="21"/>
                <w:lang w:val="en-US" w:eastAsia="zh-CN"/>
              </w:rPr>
              <w:t>11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eastAsia="zh-CN"/>
              </w:rPr>
              <w:t>合同签订后</w:t>
            </w:r>
            <w:r>
              <w:rPr>
                <w:rFonts w:hint="eastAsia" w:cs="仿宋_GB2312" w:asciiTheme="minorEastAsia" w:hAnsiTheme="minorEastAsia"/>
                <w:szCs w:val="21"/>
                <w:lang w:val="en-US" w:eastAsia="zh-CN"/>
              </w:rPr>
              <w:t>120日历天内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采购单位：禹州市林业发展中心</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地址：禹州市禹王大道99号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董</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2077808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符合《政府采购法》第二十二条规定</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1．具有独立承担民事责任的能力；</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2．具有良好的商业信誉和健全的财务会计制度；</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3．具有履行合同所必需的设备和专业技术能力；</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4．具有依法缴纳税收和社会保障资金的良好记录；</w:t>
            </w:r>
          </w:p>
          <w:p>
            <w:pPr>
              <w:autoSpaceDE w:val="0"/>
              <w:autoSpaceDN w:val="0"/>
              <w:adjustRightInd w:val="0"/>
              <w:spacing w:line="360" w:lineRule="auto"/>
              <w:rPr>
                <w:rFonts w:hint="eastAsia" w:cs="仿宋_GB2312" w:asciiTheme="minorEastAsia" w:hAnsiTheme="minorEastAsia"/>
                <w:szCs w:val="21"/>
              </w:rPr>
            </w:pPr>
            <w:r>
              <w:rPr>
                <w:rFonts w:hint="eastAsia" w:cs="仿宋_GB2312" w:asciiTheme="minorEastAsia" w:hAnsiTheme="minorEastAsia"/>
                <w:szCs w:val="21"/>
              </w:rPr>
              <w:t>5．参加政府采购活动前三年内，在经营活动中没有重大违法记录；</w:t>
            </w:r>
          </w:p>
          <w:p>
            <w:pPr>
              <w:autoSpaceDE w:val="0"/>
              <w:autoSpaceDN w:val="0"/>
              <w:adjustRightInd w:val="0"/>
              <w:spacing w:line="360" w:lineRule="auto"/>
              <w:rPr>
                <w:rFonts w:hint="eastAsia"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本项目接受联合体投标。</w:t>
            </w:r>
          </w:p>
          <w:p>
            <w:pPr>
              <w:autoSpaceDE w:val="0"/>
              <w:autoSpaceDN w:val="0"/>
              <w:adjustRightInd w:val="0"/>
              <w:spacing w:line="360" w:lineRule="auto"/>
              <w:rPr>
                <w:rFonts w:hint="eastAsia" w:cs="仿宋_GB2312" w:asciiTheme="minorEastAsia" w:hAnsiTheme="minorEastAsia"/>
                <w:szCs w:val="21"/>
              </w:rPr>
            </w:pPr>
            <w:r>
              <w:rPr>
                <w:rFonts w:hint="eastAsia" w:cs="仿宋_GB2312" w:asciiTheme="minorEastAsia" w:hAnsiTheme="minorEastAsia"/>
                <w:szCs w:val="21"/>
                <w:lang w:val="en-US" w:eastAsia="zh-CN"/>
              </w:rPr>
              <w:t>7、</w:t>
            </w:r>
            <w:r>
              <w:rPr>
                <w:rFonts w:hint="eastAsia" w:cs="仿宋_GB2312" w:asciiTheme="minorEastAsia" w:hAnsiTheme="minorEastAsia"/>
                <w:szCs w:val="21"/>
              </w:rPr>
              <w:t>投标人需具备测绘和林业调查规划设计乙级及以上资质；联合体投标的，联合体成员单位提供资质证书</w:t>
            </w:r>
            <w:r>
              <w:rPr>
                <w:rFonts w:hint="eastAsia" w:cs="仿宋_GB2312" w:asciiTheme="minorEastAsia" w:hAnsiTheme="minorEastAsia"/>
                <w:szCs w:val="21"/>
                <w:lang w:eastAsia="zh-CN"/>
              </w:rPr>
              <w:t>；</w:t>
            </w:r>
          </w:p>
          <w:p>
            <w:pPr>
              <w:autoSpaceDE w:val="0"/>
              <w:autoSpaceDN w:val="0"/>
              <w:adjustRightInd w:val="0"/>
              <w:spacing w:line="360" w:lineRule="auto"/>
              <w:rPr>
                <w:rFonts w:hint="eastAsia" w:cs="仿宋_GB2312" w:asciiTheme="minorEastAsia" w:hAnsiTheme="minorEastAsia"/>
                <w:szCs w:val="21"/>
              </w:rPr>
            </w:pPr>
            <w:r>
              <w:rPr>
                <w:rFonts w:hint="eastAsia" w:cs="仿宋_GB2312" w:asciiTheme="minorEastAsia" w:hAnsiTheme="minorEastAsia"/>
                <w:szCs w:val="21"/>
              </w:rPr>
              <w:t>拟派项目负责人须具有测绘、林业等相关专业中级及以上技术职称；</w:t>
            </w:r>
          </w:p>
          <w:p>
            <w:pPr>
              <w:autoSpaceDE w:val="0"/>
              <w:autoSpaceDN w:val="0"/>
              <w:adjustRightInd w:val="0"/>
              <w:spacing w:line="360" w:lineRule="auto"/>
              <w:rPr>
                <w:rFonts w:hint="eastAsia" w:cs="仿宋_GB2312" w:asciiTheme="minorEastAsia" w:hAnsiTheme="minorEastAsia"/>
                <w:szCs w:val="21"/>
                <w:lang w:val="en-US" w:eastAsia="zh-CN"/>
              </w:rPr>
            </w:pPr>
            <w:r>
              <w:rPr>
                <w:rFonts w:hint="eastAsia" w:cs="仿宋_GB2312" w:asciiTheme="minorEastAsia" w:hAnsiTheme="minorEastAsia"/>
                <w:szCs w:val="21"/>
              </w:rPr>
              <w:t>联合体投标的，联合体牵头人提供以上证书及证明材料即可</w:t>
            </w:r>
            <w:r>
              <w:rPr>
                <w:rFonts w:hint="eastAsia" w:cs="仿宋_GB2312" w:asciiTheme="minorEastAsia" w:hAnsiTheme="minorEastAsia"/>
                <w:szCs w:val="21"/>
                <w:lang w:eastAsia="zh-CN"/>
              </w:rPr>
              <w:t>；</w:t>
            </w:r>
          </w:p>
          <w:p>
            <w:pPr>
              <w:pStyle w:val="2"/>
              <w:ind w:left="0" w:leftChars="0" w:firstLine="0" w:firstLineChars="0"/>
              <w:rPr>
                <w:rFonts w:hint="eastAsia"/>
              </w:rPr>
            </w:pPr>
          </w:p>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注：</w:t>
            </w:r>
          </w:p>
          <w:p>
            <w:pPr>
              <w:pStyle w:val="40"/>
              <w:numPr>
                <w:ilvl w:val="0"/>
                <w:numId w:val="20"/>
              </w:numPr>
              <w:autoSpaceDE w:val="0"/>
              <w:autoSpaceDN w:val="0"/>
              <w:adjustRightInd w:val="0"/>
              <w:spacing w:line="276" w:lineRule="auto"/>
              <w:ind w:firstLineChars="0"/>
              <w:rPr>
                <w:rFonts w:cs="仿宋_GB2312" w:asciiTheme="minorEastAsia" w:hAnsiTheme="minorEastAsia"/>
                <w:szCs w:val="21"/>
              </w:rPr>
            </w:pPr>
            <w:r>
              <w:rPr>
                <w:rFonts w:hint="eastAsia" w:cs="仿宋_GB2312" w:asciiTheme="minorEastAsia" w:hAnsiTheme="minorEastAsia"/>
                <w:szCs w:val="21"/>
              </w:rPr>
              <w:t>供应商在投标时，提供《禹州市政府采购供应商信用承诺函》（详见招标文件第八章3.5格式），无需再提交上述证明材料。</w:t>
            </w:r>
          </w:p>
          <w:p>
            <w:pPr>
              <w:pStyle w:val="40"/>
              <w:numPr>
                <w:ilvl w:val="0"/>
                <w:numId w:val="20"/>
              </w:numPr>
              <w:autoSpaceDE w:val="0"/>
              <w:autoSpaceDN w:val="0"/>
              <w:adjustRightInd w:val="0"/>
              <w:spacing w:line="276" w:lineRule="auto"/>
              <w:ind w:firstLineChars="0"/>
              <w:rPr>
                <w:rFonts w:cs="仿宋_GB2312" w:asciiTheme="minorEastAsia" w:hAnsiTheme="minorEastAsia"/>
                <w:szCs w:val="21"/>
              </w:rPr>
            </w:pPr>
            <w:r>
              <w:rPr>
                <w:rFonts w:hint="eastAsia" w:cs="仿宋_GB2312" w:asciiTheme="minorEastAsia" w:hAnsiTheme="minorEastAsia"/>
                <w:szCs w:val="21"/>
              </w:rPr>
              <w:t>采购人有权在签订合同前要求中标供应商提供相关证明材料以核实中标供应商承诺事项的真实性。</w:t>
            </w:r>
          </w:p>
          <w:p>
            <w:pPr>
              <w:pStyle w:val="40"/>
              <w:numPr>
                <w:ilvl w:val="0"/>
                <w:numId w:val="20"/>
              </w:numPr>
              <w:autoSpaceDE w:val="0"/>
              <w:autoSpaceDN w:val="0"/>
              <w:adjustRightInd w:val="0"/>
              <w:spacing w:line="276" w:lineRule="auto"/>
              <w:ind w:firstLineChars="0"/>
              <w:rPr>
                <w:rFonts w:cs="仿宋_GB2312" w:asciiTheme="minorEastAsia" w:hAnsiTheme="minorEastAsia"/>
                <w:szCs w:val="21"/>
              </w:rPr>
            </w:pPr>
            <w:r>
              <w:rPr>
                <w:rFonts w:hint="eastAsia" w:cs="仿宋_GB2312" w:asciiTheme="minorEastAsia" w:hAnsiTheme="minorEastAsia"/>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★联合体投标</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本项目</w:t>
            </w: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不接受</w:t>
            </w:r>
            <w:r>
              <w:rPr>
                <w:rFonts w:hint="eastAsia" w:cs="仿宋_GB2312" w:asciiTheme="minorEastAsia" w:hAnsiTheme="minorEastAsia"/>
                <w:szCs w:val="21"/>
                <w:lang w:eastAsia="zh-CN"/>
              </w:rPr>
              <w:t>☑</w:t>
            </w:r>
            <w:r>
              <w:rPr>
                <w:rFonts w:hint="eastAsia" w:cs="仿宋_GB2312" w:asciiTheme="minorEastAsia" w:hAnsiTheme="minorEastAsia"/>
                <w:szCs w:val="21"/>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★最高限价</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b/>
                <w:bCs/>
                <w:szCs w:val="21"/>
                <w:lang w:val="en-US" w:eastAsia="zh-CN"/>
              </w:rPr>
              <w:t xml:space="preserve">204.28 </w:t>
            </w:r>
            <w:r>
              <w:rPr>
                <w:rFonts w:hint="eastAsia" w:cs="仿宋_GB2312" w:asciiTheme="minorEastAsia" w:hAnsiTheme="minorEastAsia"/>
                <w:szCs w:val="21"/>
                <w:lang w:val="en-US" w:eastAsia="zh-CN"/>
              </w:rPr>
              <w:t>万元</w:t>
            </w:r>
            <w:r>
              <w:rPr>
                <w:rFonts w:hint="eastAsia" w:cs="仿宋_GB2312" w:asciiTheme="minorEastAsia" w:hAnsiTheme="minorEastAsia"/>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cs="仿宋_GB2312" w:asciiTheme="minorEastAsia" w:hAnsiTheme="minorEastAsia"/>
                <w:szCs w:val="21"/>
              </w:rPr>
              <w:t>现场考察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不组织</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cs="仿宋_GB2312" w:asciiTheme="minorEastAsia" w:hAnsiTheme="minorEastAsia"/>
                <w:szCs w:val="21"/>
              </w:rPr>
              <w:t>开标前答疑会</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不召开</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90天（自提交投标文件的截止之日起算）</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t>中标</w:t>
            </w:r>
            <w:r>
              <w:rPr>
                <w:rFonts w:hint="eastAsia" w:cs="仿宋_GB2312" w:asciiTheme="minorEastAsia" w:hAnsiTheme="minorEastAsia"/>
                <w:szCs w:val="21"/>
              </w:rPr>
              <w:t>人投标</w:t>
            </w:r>
            <w:r>
              <w:rPr>
                <w:rFonts w:cs="仿宋_GB2312" w:asciiTheme="minorEastAsia" w:hAnsiTheme="minorEastAsia"/>
                <w:szCs w:val="21"/>
              </w:rPr>
              <w:t>有效期延</w:t>
            </w:r>
            <w:r>
              <w:rPr>
                <w:rFonts w:hint="eastAsia" w:cs="仿宋_GB2312" w:asciiTheme="minorEastAsia" w:hAnsiTheme="minorEastAsia"/>
                <w:szCs w:val="21"/>
              </w:rPr>
              <w:t>至合同</w:t>
            </w:r>
            <w:r>
              <w:rPr>
                <w:rFonts w:cs="仿宋_GB2312" w:asciiTheme="minorEastAsia" w:hAnsiTheme="minorEastAsia"/>
                <w:szCs w:val="21"/>
              </w:rPr>
              <w:t>验收之日</w:t>
            </w:r>
            <w:r>
              <w:rPr>
                <w:rFonts w:hint="eastAsia" w:cs="仿宋_GB2312" w:asciiTheme="minorEastAsia" w:hAnsiTheme="minorEastAsia"/>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投标截止及开标时间</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b/>
                <w:bCs/>
                <w:szCs w:val="21"/>
              </w:rPr>
              <w:t>2022年</w:t>
            </w:r>
            <w:r>
              <w:rPr>
                <w:rFonts w:hint="eastAsia" w:cs="仿宋_GB2312" w:asciiTheme="minorEastAsia" w:hAnsiTheme="minorEastAsia"/>
                <w:b/>
                <w:bCs/>
                <w:szCs w:val="21"/>
                <w:lang w:val="en-US" w:eastAsia="zh-CN"/>
              </w:rPr>
              <w:t>8</w:t>
            </w:r>
            <w:r>
              <w:rPr>
                <w:rFonts w:hint="eastAsia" w:cs="仿宋_GB2312" w:asciiTheme="minorEastAsia" w:hAnsiTheme="minorEastAsia"/>
                <w:b/>
                <w:bCs/>
                <w:szCs w:val="21"/>
              </w:rPr>
              <w:t xml:space="preserve">月 </w:t>
            </w:r>
            <w:r>
              <w:rPr>
                <w:rFonts w:hint="eastAsia" w:cs="仿宋_GB2312" w:asciiTheme="minorEastAsia" w:hAnsiTheme="minorEastAsia"/>
                <w:b/>
                <w:bCs/>
                <w:szCs w:val="21"/>
                <w:lang w:val="en-US" w:eastAsia="zh-CN"/>
              </w:rPr>
              <w:t xml:space="preserve">3 </w:t>
            </w:r>
            <w:r>
              <w:rPr>
                <w:rFonts w:hint="eastAsia" w:cs="仿宋_GB2312" w:asciiTheme="minorEastAsia" w:hAnsiTheme="minorEastAsia"/>
                <w:b/>
                <w:bCs/>
                <w:szCs w:val="21"/>
              </w:rPr>
              <w:t>日8：30（北京时间）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开标地点</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开标地点：禹州市公共资源交易中心开标二室（本项目采用远程不见面开标，投标人无须到交易中心现场）。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投标人对采购文件</w:t>
            </w:r>
          </w:p>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质疑截止时间</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投标文件份数</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电子投标文件：成功上传至《全国公共资源交易平台（河南省·许昌市）》公共资源交易系统加密电子投标文件1份（文件格式为： XXX公司XXX项目编号.file）。</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□纸质投标文件：正本一份，副本 一 份。使用格式为“投标文件（供打印）.PDF”的文件。</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投标文件的</w:t>
            </w:r>
          </w:p>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rPr>
            </w:pPr>
            <w:r>
              <w:rPr>
                <w:rFonts w:hint="eastAsia" w:cs="仿宋_GB2312" w:asciiTheme="minorEastAsia" w:hAnsiTheme="minorEastAsia"/>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中小企业有关政策</w:t>
            </w:r>
          </w:p>
        </w:tc>
        <w:tc>
          <w:tcPr>
            <w:tcW w:w="6813" w:type="dxa"/>
            <w:vAlign w:val="center"/>
          </w:tcPr>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cs="仿宋_GB2312" w:asciiTheme="minorEastAsia" w:hAnsiTheme="minorEastAsia"/>
                <w:szCs w:val="21"/>
              </w:rPr>
              <w:t>否则不得享受相关中小企业扶持政策。</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2、本次</w:t>
            </w:r>
            <w:r>
              <w:rPr>
                <w:rFonts w:cs="仿宋_GB2312" w:asciiTheme="minorEastAsia" w:hAnsiTheme="minorEastAsia"/>
                <w:szCs w:val="21"/>
              </w:rPr>
              <w:t>采购标的对应的中小企业划分标准所属行业</w:t>
            </w:r>
            <w:r>
              <w:rPr>
                <w:rFonts w:hint="eastAsia" w:cs="仿宋_GB2312" w:asciiTheme="minorEastAsia" w:hAnsiTheme="minorEastAsia"/>
                <w:szCs w:val="21"/>
              </w:rPr>
              <w:t>：</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360" w:lineRule="auto"/>
              <w:contextualSpacing/>
              <w:rPr>
                <w:rFonts w:cs="仿宋_GB2312" w:asciiTheme="minorEastAsia" w:hAnsiTheme="minorEastAsia"/>
                <w:szCs w:val="21"/>
              </w:rPr>
            </w:pPr>
            <w:r>
              <w:rPr>
                <w:rFonts w:hint="eastAsia" w:cs="仿宋_GB2312" w:asciiTheme="minorEastAsia" w:hAnsiTheme="minorEastAsia"/>
                <w:szCs w:val="21"/>
              </w:rPr>
              <w:t>4、</w:t>
            </w:r>
            <w:r>
              <w:rPr>
                <w:rFonts w:cs="仿宋_GB2312" w:asciiTheme="minorEastAsia" w:hAnsiTheme="minorEastAsia"/>
                <w:szCs w:val="21"/>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5、</w:t>
            </w:r>
            <w:r>
              <w:rPr>
                <w:rFonts w:cs="仿宋_GB2312" w:asciiTheme="minorEastAsia" w:hAnsiTheme="minorEastAsia"/>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cs="仿宋_GB2312" w:asciiTheme="minorEastAsia" w:hAnsiTheme="minorEastAsia"/>
                <w:szCs w:val="21"/>
              </w:rPr>
              <w:t>6</w:t>
            </w:r>
            <w:r>
              <w:rPr>
                <w:rFonts w:cs="仿宋_GB2312" w:asciiTheme="minorEastAsia" w:hAnsiTheme="minorEastAsia"/>
                <w:szCs w:val="21"/>
              </w:rPr>
              <w:t>%（</w:t>
            </w:r>
            <w:r>
              <w:rPr>
                <w:rFonts w:hint="eastAsia" w:cs="仿宋_GB2312" w:asciiTheme="minorEastAsia" w:hAnsiTheme="minorEastAsia"/>
                <w:szCs w:val="21"/>
              </w:rPr>
              <w:t>4</w:t>
            </w:r>
            <w:r>
              <w:rPr>
                <w:rFonts w:cs="仿宋_GB2312" w:asciiTheme="minorEastAsia" w:hAnsiTheme="minorEastAsia"/>
                <w:szCs w:val="21"/>
              </w:rPr>
              <w:t>—</w:t>
            </w:r>
            <w:r>
              <w:rPr>
                <w:rFonts w:hint="eastAsia" w:cs="仿宋_GB2312" w:asciiTheme="minorEastAsia" w:hAnsiTheme="minorEastAsia"/>
                <w:szCs w:val="21"/>
              </w:rPr>
              <w:t>6</w:t>
            </w:r>
            <w:r>
              <w:rPr>
                <w:rFonts w:cs="仿宋_GB2312" w:asciiTheme="minorEastAsia" w:hAnsiTheme="minorEastAsia"/>
                <w:szCs w:val="21"/>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  %（不超过政府采购合同金额的10%）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30</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投标人资格核验</w:t>
            </w:r>
          </w:p>
        </w:tc>
        <w:tc>
          <w:tcPr>
            <w:tcW w:w="6813" w:type="dxa"/>
            <w:vAlign w:val="center"/>
          </w:tcPr>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adjustRightInd w:val="0"/>
              <w:spacing w:line="360" w:lineRule="auto"/>
              <w:rPr>
                <w:rFonts w:hint="eastAsia"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p>
            <w:pPr>
              <w:autoSpaceDE w:val="0"/>
              <w:autoSpaceDN w:val="0"/>
              <w:adjustRightInd w:val="0"/>
              <w:spacing w:line="360" w:lineRule="auto"/>
              <w:rPr>
                <w:rFonts w:hint="eastAsia" w:cs="仿宋_GB2312" w:asciiTheme="minorEastAsia" w:hAnsiTheme="minorEastAsia"/>
                <w:b/>
                <w:bCs/>
                <w:szCs w:val="21"/>
              </w:rPr>
            </w:pPr>
            <w:r>
              <w:rPr>
                <w:rFonts w:hint="eastAsia" w:cs="仿宋_GB2312" w:asciiTheme="minorEastAsia" w:hAnsiTheme="minorEastAsia"/>
                <w:b/>
                <w:bCs/>
                <w:szCs w:val="21"/>
                <w:lang w:eastAsia="zh-CN"/>
              </w:rPr>
              <w:t>八、</w:t>
            </w:r>
            <w:r>
              <w:rPr>
                <w:rFonts w:hint="eastAsia" w:cs="仿宋_GB2312" w:asciiTheme="minorEastAsia" w:hAnsiTheme="minorEastAsia"/>
                <w:b/>
                <w:bCs/>
                <w:szCs w:val="21"/>
              </w:rPr>
              <w:t>本项目接受联合体投标。投标人需具备测绘和林业调查规划设计乙级及以上资质；联合体投标的，联合体成员单位提供资质证书</w:t>
            </w:r>
            <w:r>
              <w:rPr>
                <w:rFonts w:hint="eastAsia" w:cs="仿宋_GB2312" w:asciiTheme="minorEastAsia" w:hAnsiTheme="minorEastAsia"/>
                <w:b/>
                <w:bCs/>
                <w:szCs w:val="21"/>
                <w:lang w:eastAsia="zh-CN"/>
              </w:rPr>
              <w:t>；</w:t>
            </w:r>
          </w:p>
          <w:p>
            <w:pPr>
              <w:autoSpaceDE w:val="0"/>
              <w:autoSpaceDN w:val="0"/>
              <w:adjustRightInd w:val="0"/>
              <w:spacing w:line="360" w:lineRule="auto"/>
              <w:rPr>
                <w:rFonts w:hint="eastAsia" w:cs="仿宋_GB2312" w:asciiTheme="minorEastAsia" w:hAnsiTheme="minorEastAsia"/>
                <w:b/>
                <w:bCs/>
                <w:szCs w:val="21"/>
              </w:rPr>
            </w:pPr>
            <w:r>
              <w:rPr>
                <w:rFonts w:hint="eastAsia" w:cs="仿宋_GB2312" w:asciiTheme="minorEastAsia" w:hAnsiTheme="minorEastAsia"/>
                <w:b/>
                <w:bCs/>
                <w:szCs w:val="21"/>
              </w:rPr>
              <w:t>拟派项目负责人须具有测绘、林业等相关专业中级及以上技术职称；</w:t>
            </w:r>
          </w:p>
          <w:p>
            <w:pPr>
              <w:autoSpaceDE w:val="0"/>
              <w:autoSpaceDN w:val="0"/>
              <w:adjustRightInd w:val="0"/>
              <w:spacing w:line="360" w:lineRule="auto"/>
              <w:rPr>
                <w:rFonts w:hint="eastAsia" w:cs="仿宋_GB2312" w:asciiTheme="minorEastAsia" w:hAnsiTheme="minorEastAsia"/>
                <w:b/>
                <w:bCs/>
                <w:szCs w:val="21"/>
                <w:lang w:val="en-US" w:eastAsia="zh-CN"/>
              </w:rPr>
            </w:pPr>
            <w:r>
              <w:rPr>
                <w:rFonts w:hint="eastAsia" w:cs="仿宋_GB2312" w:asciiTheme="minorEastAsia" w:hAnsiTheme="minorEastAsia"/>
                <w:b/>
                <w:bCs/>
                <w:szCs w:val="21"/>
              </w:rPr>
              <w:t>联合体投标的，联合体牵头人提供以上证书及证明材料即可</w:t>
            </w:r>
            <w:r>
              <w:rPr>
                <w:rFonts w:hint="eastAsia" w:cs="仿宋_GB2312" w:asciiTheme="minorEastAsia" w:hAnsiTheme="minorEastAsia"/>
                <w:b/>
                <w:bCs/>
                <w:szCs w:val="21"/>
                <w:lang w:eastAsia="zh-CN"/>
              </w:rPr>
              <w:t>；</w:t>
            </w:r>
          </w:p>
          <w:p>
            <w:pPr>
              <w:autoSpaceDE w:val="0"/>
              <w:autoSpaceDN w:val="0"/>
              <w:spacing w:line="360" w:lineRule="auto"/>
              <w:contextualSpacing/>
              <w:rPr>
                <w:rFonts w:cs="宋体" w:asciiTheme="minorEastAsia" w:hAnsiTheme="minorEastAsia"/>
                <w:kern w:val="0"/>
                <w:szCs w:val="21"/>
              </w:rPr>
            </w:pP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政府采购进口产品管理办法</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2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0"/>
        <w:numPr>
          <w:ilvl w:val="1"/>
          <w:numId w:val="31"/>
        </w:num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电子投标文件的解密。全流程电子化交易项目电子投标文件采用双重加密。解密需分标段进行两次解密。</w:t>
      </w:r>
    </w:p>
    <w:p>
      <w:pPr>
        <w:pStyle w:val="40"/>
        <w:numPr>
          <w:ilvl w:val="1"/>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0"/>
        <w:numPr>
          <w:ilvl w:val="1"/>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0"/>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0"/>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0"/>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未按照招标文件的规定提交《禹州市政府采购供应商信用承诺函》的；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0"/>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0"/>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0"/>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0"/>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74"/>
        </w:numPr>
        <w:autoSpaceDE w:val="0"/>
        <w:autoSpaceDN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75"/>
        </w:numPr>
        <w:autoSpaceDE w:val="0"/>
        <w:autoSpaceDN w:val="0"/>
        <w:spacing w:line="360" w:lineRule="auto"/>
        <w:ind w:left="1276" w:hanging="1276"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本次评标具体评标方法、评标标准见（第六章 资格审查与评标）。</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7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8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0"/>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0"/>
        <w:numPr>
          <w:ilvl w:val="0"/>
          <w:numId w:val="8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0"/>
        <w:numPr>
          <w:ilvl w:val="0"/>
          <w:numId w:val="8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8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0"/>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0"/>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0"/>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0"/>
        <w:numPr>
          <w:ilvl w:val="0"/>
          <w:numId w:val="9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9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9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9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0"/>
        <w:numPr>
          <w:ilvl w:val="0"/>
          <w:numId w:val="9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0"/>
        <w:numPr>
          <w:ilvl w:val="1"/>
          <w:numId w:val="9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禹州</w:t>
            </w:r>
            <w:r>
              <w:rPr>
                <w:rFonts w:cs="宋体" w:asciiTheme="minorEastAsia" w:hAnsiTheme="minorEastAsia"/>
                <w:bCs/>
                <w:szCs w:val="21"/>
                <w:lang w:val="zh-CN"/>
              </w:rPr>
              <w:t>市政府采购</w:t>
            </w:r>
          </w:p>
          <w:p>
            <w:pPr>
              <w:spacing w:line="360" w:lineRule="auto"/>
              <w:jc w:val="center"/>
              <w:rPr>
                <w:rFonts w:cs="宋体" w:asciiTheme="minorEastAsia" w:hAnsiTheme="minorEastAsia"/>
                <w:bCs/>
                <w:szCs w:val="21"/>
                <w:lang w:val="zh-CN"/>
              </w:rPr>
            </w:pPr>
            <w:r>
              <w:rPr>
                <w:rFonts w:cs="宋体" w:asciiTheme="minorEastAsia" w:hAnsiTheme="minorEastAsia"/>
                <w:bCs/>
                <w:szCs w:val="21"/>
                <w:lang w:val="zh-CN"/>
              </w:rPr>
              <w:t>供应商信用承诺函</w:t>
            </w:r>
          </w:p>
        </w:tc>
        <w:tc>
          <w:tcPr>
            <w:tcW w:w="5954" w:type="dxa"/>
            <w:vAlign w:val="center"/>
          </w:tcPr>
          <w:p>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投标报价</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投标承诺函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联合体协议</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6</w:t>
            </w:r>
          </w:p>
        </w:tc>
        <w:tc>
          <w:tcPr>
            <w:tcW w:w="2410" w:type="dxa"/>
            <w:vAlign w:val="center"/>
          </w:tcPr>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投标人身份证明</w:t>
            </w:r>
          </w:p>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及授权</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（1）法定代表人身份证明或提供法定代表人授权委托书及被授权人身份证明。（法人投标提供）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（2）单位负责人身份证明或提供单位负责人授权委托书及被授权人身份证明。（非法人投标提供）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注：</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hint="eastAsia" w:ascii="ˎ̥" w:hAnsi="ˎ̥"/>
          <w:color w:val="FF0000"/>
          <w:sz w:val="21"/>
          <w:szCs w:val="21"/>
        </w:rPr>
        <w:t>《关于进一步加大政府采购支持中小企业力度的通知》（财库〔2022〕19号）</w:t>
      </w:r>
      <w:r>
        <w:rPr>
          <w:rFonts w:ascii="ˎ̥" w:hAnsi="ˎ̥"/>
          <w:sz w:val="21"/>
          <w:szCs w:val="21"/>
        </w:rPr>
        <w:t>规定的小微企业报价</w:t>
      </w:r>
      <w:r>
        <w:rPr>
          <w:rFonts w:hint="eastAsia" w:ascii="ˎ̥" w:hAnsi="ˎ̥"/>
          <w:sz w:val="21"/>
          <w:szCs w:val="21"/>
        </w:rPr>
        <w:t>给予</w:t>
      </w:r>
      <w:r>
        <w:rPr>
          <w:rFonts w:hint="eastAsia" w:ascii="ˎ̥" w:hAnsi="ˎ̥"/>
          <w:color w:val="FF0000"/>
          <w:sz w:val="21"/>
          <w:szCs w:val="21"/>
        </w:rPr>
        <w:t>20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sz w:val="21"/>
          <w:szCs w:val="21"/>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color w:val="FF0000"/>
          <w:szCs w:val="21"/>
          <w:lang w:val="zh-CN"/>
        </w:rPr>
        <w:t>20</w:t>
      </w:r>
      <w:r>
        <w:rPr>
          <w:rFonts w:hint="eastAsia" w:cs="仿宋_GB2312" w:asciiTheme="minorEastAsia" w:hAnsiTheme="minorEastAsia" w:eastAsia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p>
      <w:pPr>
        <w:pStyle w:val="2"/>
      </w:pPr>
    </w:p>
    <w:tbl>
      <w:tblPr>
        <w:tblStyle w:val="25"/>
        <w:tblW w:w="9199"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560"/>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3197" w:type="dxa"/>
            <w:gridSpan w:val="2"/>
            <w:noWrap w:val="0"/>
            <w:tcMar>
              <w:left w:w="57" w:type="dxa"/>
              <w:right w:w="57"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评分因素</w:t>
            </w:r>
          </w:p>
        </w:tc>
        <w:tc>
          <w:tcPr>
            <w:tcW w:w="6002" w:type="dxa"/>
            <w:noWrap w:val="0"/>
            <w:tcMar>
              <w:left w:w="57" w:type="dxa"/>
              <w:right w:w="57"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trPr>
        <w:tc>
          <w:tcPr>
            <w:tcW w:w="3197" w:type="dxa"/>
            <w:gridSpan w:val="2"/>
            <w:noWrap w:val="0"/>
            <w:tcMar>
              <w:left w:w="57" w:type="dxa"/>
              <w:right w:w="57"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分值构成</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（100分）</w:t>
            </w:r>
          </w:p>
        </w:tc>
        <w:tc>
          <w:tcPr>
            <w:tcW w:w="6002" w:type="dxa"/>
            <w:noWrap w:val="0"/>
            <w:tcMar>
              <w:left w:w="57" w:type="dxa"/>
              <w:right w:w="57" w:type="dxa"/>
            </w:tcMar>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投标报价：30分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商务部分：20分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exact"/>
        </w:trPr>
        <w:tc>
          <w:tcPr>
            <w:tcW w:w="3197" w:type="dxa"/>
            <w:gridSpan w:val="2"/>
            <w:noWrap w:val="0"/>
            <w:tcMar>
              <w:left w:w="57" w:type="dxa"/>
              <w:right w:w="57"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投标报价30分</w:t>
            </w:r>
          </w:p>
        </w:tc>
        <w:tc>
          <w:tcPr>
            <w:tcW w:w="6002" w:type="dxa"/>
            <w:noWrap w:val="0"/>
            <w:tcMar>
              <w:left w:w="57" w:type="dxa"/>
              <w:right w:w="57" w:type="dxa"/>
            </w:tcMar>
            <w:vAlign w:val="center"/>
          </w:tcPr>
          <w:p>
            <w:pPr>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报价得分=评标基准价/有效投标报价×30</w:t>
            </w:r>
          </w:p>
          <w:p>
            <w:pPr>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99" w:type="dxa"/>
            <w:gridSpan w:val="3"/>
            <w:noWrap w:val="0"/>
            <w:tcMar>
              <w:left w:w="57" w:type="dxa"/>
              <w:right w:w="57"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197" w:type="dxa"/>
            <w:gridSpan w:val="2"/>
            <w:vMerge w:val="restart"/>
            <w:noWrap w:val="0"/>
            <w:tcMar>
              <w:left w:w="57" w:type="dxa"/>
              <w:right w:w="57"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企业实力</w:t>
            </w:r>
          </w:p>
        </w:tc>
        <w:tc>
          <w:tcPr>
            <w:tcW w:w="6002" w:type="dxa"/>
            <w:noWrap w:val="0"/>
            <w:tcMar>
              <w:left w:w="57" w:type="dxa"/>
              <w:right w:w="57"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1、企业业绩（15分）</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2018年1月1日以来承接过类似项目业绩（以合同签订日期为准），每有一个得5分，最多得15分。</w:t>
            </w:r>
          </w:p>
          <w:p>
            <w:pPr>
              <w:jc w:val="left"/>
              <w:rPr>
                <w:rFonts w:hint="eastAsia" w:ascii="宋体" w:hAnsi="宋体" w:eastAsia="宋体" w:cs="宋体"/>
                <w:b/>
                <w:bCs/>
                <w:sz w:val="21"/>
                <w:szCs w:val="21"/>
              </w:rPr>
            </w:pPr>
            <w:r>
              <w:rPr>
                <w:rFonts w:hint="eastAsia" w:ascii="宋体" w:hAnsi="宋体" w:eastAsia="宋体" w:cs="宋体"/>
                <w:b/>
                <w:bCs/>
                <w:sz w:val="21"/>
                <w:szCs w:val="21"/>
              </w:rPr>
              <w:t>（提供合同协议书、中标通知书，若为联合投标，由联合投标体任意一方提供。）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3197" w:type="dxa"/>
            <w:gridSpan w:val="2"/>
            <w:vMerge w:val="continue"/>
            <w:noWrap w:val="0"/>
            <w:tcMar>
              <w:left w:w="57" w:type="dxa"/>
              <w:right w:w="57" w:type="dxa"/>
            </w:tcMar>
            <w:vAlign w:val="center"/>
          </w:tcPr>
          <w:p>
            <w:pPr>
              <w:spacing w:line="360" w:lineRule="auto"/>
              <w:ind w:left="42" w:leftChars="20" w:right="42" w:rightChars="20"/>
              <w:jc w:val="center"/>
              <w:rPr>
                <w:rFonts w:hint="eastAsia" w:ascii="宋体" w:hAnsi="宋体" w:eastAsia="宋体" w:cs="宋体"/>
                <w:sz w:val="21"/>
                <w:szCs w:val="21"/>
              </w:rPr>
            </w:pPr>
          </w:p>
        </w:tc>
        <w:tc>
          <w:tcPr>
            <w:tcW w:w="6002" w:type="dxa"/>
            <w:noWrap w:val="0"/>
            <w:tcMar>
              <w:left w:w="57" w:type="dxa"/>
              <w:right w:w="57" w:type="dxa"/>
            </w:tcMar>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2、企业信用（5分）</w:t>
            </w:r>
          </w:p>
          <w:p>
            <w:pPr>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具有AAA级信用企业证书得5分，AA级得3分，A级得1分，须提供证书复印件，否则不得分。</w:t>
            </w:r>
          </w:p>
          <w:p>
            <w:pPr>
              <w:jc w:val="left"/>
              <w:rPr>
                <w:rFonts w:hint="eastAsia" w:ascii="宋体" w:hAnsi="宋体" w:eastAsia="宋体" w:cs="宋体"/>
                <w:b/>
                <w:bCs/>
                <w:sz w:val="21"/>
                <w:szCs w:val="21"/>
              </w:rPr>
            </w:pPr>
            <w:r>
              <w:rPr>
                <w:rFonts w:hint="eastAsia" w:ascii="宋体" w:hAnsi="宋体" w:eastAsia="宋体" w:cs="宋体"/>
                <w:b/>
                <w:bCs/>
                <w:sz w:val="21"/>
                <w:szCs w:val="21"/>
              </w:rPr>
              <w:t>（若为联合体投标，由联合体牵头人单位提供。)</w:t>
            </w:r>
          </w:p>
          <w:p>
            <w:pPr>
              <w:pStyle w:val="2"/>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99" w:type="dxa"/>
            <w:gridSpan w:val="3"/>
            <w:noWrap w:val="0"/>
            <w:tcMar>
              <w:left w:w="57" w:type="dxa"/>
              <w:right w:w="57" w:type="dxa"/>
            </w:tcMar>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637" w:type="dxa"/>
            <w:vMerge w:val="restart"/>
            <w:noWrap w:val="0"/>
            <w:tcMar>
              <w:left w:w="57" w:type="dxa"/>
              <w:right w:w="57" w:type="dxa"/>
            </w:tcMar>
            <w:vAlign w:val="center"/>
          </w:tcPr>
          <w:p>
            <w:pPr>
              <w:rPr>
                <w:rFonts w:hint="eastAsia" w:ascii="宋体" w:hAnsi="宋体" w:eastAsia="宋体" w:cs="宋体"/>
                <w:bCs/>
                <w:color w:val="000000"/>
                <w:sz w:val="21"/>
                <w:szCs w:val="21"/>
              </w:rPr>
            </w:pPr>
          </w:p>
          <w:p>
            <w:pPr>
              <w:jc w:val="center"/>
              <w:rPr>
                <w:rFonts w:hint="eastAsia" w:ascii="宋体" w:hAnsi="宋体" w:eastAsia="宋体" w:cs="宋体"/>
                <w:bCs/>
                <w:color w:val="000000"/>
                <w:sz w:val="21"/>
                <w:szCs w:val="21"/>
              </w:rPr>
            </w:pPr>
          </w:p>
          <w:p>
            <w:pPr>
              <w:ind w:firstLine="105" w:firstLineChars="5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技术标</w:t>
            </w:r>
          </w:p>
        </w:tc>
        <w:tc>
          <w:tcPr>
            <w:tcW w:w="1560" w:type="dxa"/>
            <w:noWrap w:val="0"/>
            <w:tcMar>
              <w:left w:w="57" w:type="dxa"/>
              <w:right w:w="57" w:type="dxa"/>
            </w:tcMar>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1.项目指导思想和理念0～10分</w:t>
            </w:r>
          </w:p>
        </w:tc>
        <w:tc>
          <w:tcPr>
            <w:tcW w:w="6002" w:type="dxa"/>
            <w:noWrap w:val="0"/>
            <w:tcMar>
              <w:left w:w="57" w:type="dxa"/>
              <w:right w:w="57" w:type="dxa"/>
            </w:tcMar>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对本项目主要工程的背景、难点、重点、分析准确、全面、技术处理措施科学合理性进行对比分档打分，第一档10-8分，第二档7-4分，第三档 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7" w:type="dxa"/>
            <w:vMerge w:val="continue"/>
            <w:noWrap w:val="0"/>
            <w:tcMar>
              <w:left w:w="57" w:type="dxa"/>
              <w:right w:w="57" w:type="dxa"/>
            </w:tcMar>
            <w:vAlign w:val="center"/>
          </w:tcPr>
          <w:p>
            <w:pPr>
              <w:jc w:val="center"/>
              <w:rPr>
                <w:rFonts w:hint="eastAsia" w:ascii="宋体" w:hAnsi="宋体" w:eastAsia="宋体" w:cs="宋体"/>
                <w:b/>
                <w:bCs/>
                <w:color w:val="000000"/>
                <w:sz w:val="21"/>
                <w:szCs w:val="21"/>
              </w:rPr>
            </w:pPr>
          </w:p>
        </w:tc>
        <w:tc>
          <w:tcPr>
            <w:tcW w:w="1560" w:type="dxa"/>
            <w:noWrap w:val="0"/>
            <w:tcMar>
              <w:left w:w="57" w:type="dxa"/>
              <w:right w:w="57" w:type="dxa"/>
            </w:tcMar>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2.对本项目整体方案设计0～10分</w:t>
            </w:r>
          </w:p>
        </w:tc>
        <w:tc>
          <w:tcPr>
            <w:tcW w:w="6002" w:type="dxa"/>
            <w:noWrap w:val="0"/>
            <w:tcMar>
              <w:left w:w="57" w:type="dxa"/>
              <w:right w:w="57" w:type="dxa"/>
            </w:tcMar>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对本项目整体方案设计科学合理性进行对比分档打分，第一档10-8分，第二档7-4分，第三档 3-0分。（本项中如有缺项，即认为未实质性响应本项，则本项按0分计。）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37" w:type="dxa"/>
            <w:vMerge w:val="continue"/>
            <w:noWrap w:val="0"/>
            <w:tcMar>
              <w:left w:w="57" w:type="dxa"/>
              <w:right w:w="57" w:type="dxa"/>
            </w:tcMar>
            <w:vAlign w:val="center"/>
          </w:tcPr>
          <w:p>
            <w:pPr>
              <w:jc w:val="center"/>
              <w:rPr>
                <w:rFonts w:hint="eastAsia" w:ascii="宋体" w:hAnsi="宋体" w:eastAsia="宋体" w:cs="宋体"/>
                <w:b/>
                <w:bCs/>
                <w:color w:val="000000"/>
                <w:sz w:val="21"/>
                <w:szCs w:val="21"/>
              </w:rPr>
            </w:pPr>
          </w:p>
        </w:tc>
        <w:tc>
          <w:tcPr>
            <w:tcW w:w="1560" w:type="dxa"/>
            <w:noWrap w:val="0"/>
            <w:tcMar>
              <w:left w:w="57" w:type="dxa"/>
              <w:right w:w="57" w:type="dxa"/>
            </w:tcMar>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3.项目周期计划及质量保证措施0～10分</w:t>
            </w:r>
          </w:p>
        </w:tc>
        <w:tc>
          <w:tcPr>
            <w:tcW w:w="6002" w:type="dxa"/>
            <w:noWrap w:val="0"/>
            <w:tcMar>
              <w:left w:w="57" w:type="dxa"/>
              <w:right w:w="57" w:type="dxa"/>
            </w:tcMar>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规划编制及测绘成果提交计划及质量保证措施，进行对比分档打分，第一档10-8分，第二档7-4分，第三档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637" w:type="dxa"/>
            <w:vMerge w:val="continue"/>
            <w:noWrap w:val="0"/>
            <w:tcMar>
              <w:left w:w="57" w:type="dxa"/>
              <w:right w:w="57" w:type="dxa"/>
            </w:tcMar>
            <w:vAlign w:val="center"/>
          </w:tcPr>
          <w:p>
            <w:pPr>
              <w:jc w:val="center"/>
              <w:rPr>
                <w:rFonts w:hint="eastAsia" w:ascii="宋体" w:hAnsi="宋体" w:eastAsia="宋体" w:cs="宋体"/>
                <w:b/>
                <w:bCs/>
                <w:color w:val="000000"/>
                <w:sz w:val="21"/>
                <w:szCs w:val="21"/>
              </w:rPr>
            </w:pPr>
          </w:p>
        </w:tc>
        <w:tc>
          <w:tcPr>
            <w:tcW w:w="1560" w:type="dxa"/>
            <w:noWrap w:val="0"/>
            <w:tcMar>
              <w:left w:w="57" w:type="dxa"/>
              <w:right w:w="57" w:type="dxa"/>
            </w:tcMar>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4.合理化建议</w:t>
            </w:r>
          </w:p>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0～5分</w:t>
            </w:r>
          </w:p>
        </w:tc>
        <w:tc>
          <w:tcPr>
            <w:tcW w:w="6002" w:type="dxa"/>
            <w:noWrap w:val="0"/>
            <w:tcMar>
              <w:left w:w="57" w:type="dxa"/>
              <w:right w:w="57" w:type="dxa"/>
            </w:tcMar>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提出的合理化建议符合项目实际情况，应具有合理性、科学性、可行性，第一档5-3分，第二档3-2分，第三档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637" w:type="dxa"/>
            <w:vMerge w:val="continue"/>
            <w:noWrap w:val="0"/>
            <w:tcMar>
              <w:left w:w="57" w:type="dxa"/>
              <w:right w:w="57" w:type="dxa"/>
            </w:tcMar>
            <w:vAlign w:val="center"/>
          </w:tcPr>
          <w:p>
            <w:pPr>
              <w:jc w:val="center"/>
              <w:rPr>
                <w:rFonts w:hint="eastAsia" w:ascii="宋体" w:hAnsi="宋体" w:eastAsia="宋体" w:cs="宋体"/>
                <w:b/>
                <w:bCs/>
                <w:color w:val="000000"/>
                <w:sz w:val="21"/>
                <w:szCs w:val="21"/>
              </w:rPr>
            </w:pPr>
          </w:p>
        </w:tc>
        <w:tc>
          <w:tcPr>
            <w:tcW w:w="1560" w:type="dxa"/>
            <w:noWrap w:val="0"/>
            <w:tcMar>
              <w:left w:w="57" w:type="dxa"/>
              <w:right w:w="57" w:type="dxa"/>
            </w:tcMar>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5.服务承诺0～10分</w:t>
            </w:r>
          </w:p>
        </w:tc>
        <w:tc>
          <w:tcPr>
            <w:tcW w:w="6002" w:type="dxa"/>
            <w:noWrap w:val="0"/>
            <w:tcMar>
              <w:left w:w="57" w:type="dxa"/>
              <w:right w:w="57" w:type="dxa"/>
            </w:tcMar>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后续质量保证服务承诺，第一档5-3分，第二档3-2分，第三档1-0分。</w:t>
            </w:r>
          </w:p>
          <w:p>
            <w:pPr>
              <w:spacing w:line="440" w:lineRule="exact"/>
              <w:rPr>
                <w:rFonts w:hint="eastAsia" w:ascii="宋体" w:hAnsi="宋体" w:eastAsia="宋体" w:cs="宋体"/>
                <w:sz w:val="21"/>
                <w:szCs w:val="21"/>
              </w:rPr>
            </w:pPr>
            <w:r>
              <w:rPr>
                <w:rFonts w:hint="eastAsia" w:ascii="宋体" w:hAnsi="宋体" w:eastAsia="宋体" w:cs="宋体"/>
                <w:sz w:val="21"/>
                <w:szCs w:val="21"/>
              </w:rPr>
              <w:t>工期保证服务承诺：第一档5-3分，第二档3-2分，第三档1-0分。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37" w:type="dxa"/>
            <w:vMerge w:val="continue"/>
            <w:noWrap w:val="0"/>
            <w:tcMar>
              <w:left w:w="57" w:type="dxa"/>
              <w:right w:w="57" w:type="dxa"/>
            </w:tcMar>
            <w:vAlign w:val="center"/>
          </w:tcPr>
          <w:p>
            <w:pPr>
              <w:jc w:val="center"/>
              <w:rPr>
                <w:rFonts w:hint="eastAsia" w:ascii="宋体" w:hAnsi="宋体" w:eastAsia="宋体" w:cs="宋体"/>
                <w:b/>
                <w:bCs/>
                <w:color w:val="000000"/>
                <w:sz w:val="21"/>
                <w:szCs w:val="21"/>
              </w:rPr>
            </w:pPr>
          </w:p>
        </w:tc>
        <w:tc>
          <w:tcPr>
            <w:tcW w:w="1560" w:type="dxa"/>
            <w:noWrap w:val="0"/>
            <w:tcMar>
              <w:left w:w="57" w:type="dxa"/>
              <w:right w:w="57" w:type="dxa"/>
            </w:tcMar>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6.验收措施0～5分</w:t>
            </w:r>
          </w:p>
        </w:tc>
        <w:tc>
          <w:tcPr>
            <w:tcW w:w="6002" w:type="dxa"/>
            <w:noWrap w:val="0"/>
            <w:tcMar>
              <w:left w:w="57" w:type="dxa"/>
              <w:right w:w="57" w:type="dxa"/>
            </w:tcMar>
            <w:vAlign w:val="center"/>
          </w:tcPr>
          <w:p>
            <w:pPr>
              <w:spacing w:line="440" w:lineRule="exact"/>
              <w:rPr>
                <w:rFonts w:hint="eastAsia" w:ascii="宋体" w:hAnsi="宋体" w:eastAsia="宋体" w:cs="宋体"/>
                <w:sz w:val="21"/>
                <w:szCs w:val="21"/>
              </w:rPr>
            </w:pPr>
            <w:r>
              <w:rPr>
                <w:rFonts w:hint="eastAsia" w:ascii="宋体" w:hAnsi="宋体" w:eastAsia="宋体" w:cs="宋体"/>
                <w:sz w:val="21"/>
                <w:szCs w:val="21"/>
              </w:rPr>
              <w:t>验收措施合理、可行，分档次打分，第一档5-3分，第二档3-2分，第三档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exact"/>
        </w:trPr>
        <w:tc>
          <w:tcPr>
            <w:tcW w:w="9199" w:type="dxa"/>
            <w:gridSpan w:val="3"/>
            <w:noWrap w:val="0"/>
            <w:tcMar>
              <w:left w:w="57" w:type="dxa"/>
              <w:right w:w="57" w:type="dxa"/>
            </w:tcMar>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评分要求：</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1、投标人综合得分=商务标得分+技术标得分+综合标得分；</w:t>
            </w:r>
          </w:p>
          <w:p>
            <w:pPr>
              <w:jc w:val="left"/>
              <w:rPr>
                <w:rFonts w:hint="eastAsia" w:ascii="宋体" w:hAnsi="宋体" w:eastAsia="宋体" w:cs="宋体"/>
                <w:b/>
                <w:bCs/>
                <w:color w:val="000000"/>
                <w:sz w:val="21"/>
                <w:szCs w:val="21"/>
              </w:rPr>
            </w:pPr>
            <w:r>
              <w:rPr>
                <w:rFonts w:hint="eastAsia" w:ascii="宋体" w:hAnsi="宋体" w:eastAsia="宋体" w:cs="宋体"/>
                <w:color w:val="000000"/>
                <w:sz w:val="21"/>
                <w:szCs w:val="21"/>
              </w:rPr>
              <w:t>2、评标委员会对商务标、综合标、技术标评审得分计算过程中，评委个人分值按四舍五入保留三位小数，最终结果按四舍五入保留两位小数。以各评标委员会的算术平均值作为该投标人的最终得分。</w:t>
            </w:r>
          </w:p>
        </w:tc>
      </w:tr>
    </w:tbl>
    <w:p>
      <w:pPr>
        <w:pStyle w:val="16"/>
        <w:spacing w:line="360" w:lineRule="auto"/>
        <w:ind w:firstLine="422" w:firstLineChars="200"/>
        <w:contextualSpacing/>
        <w:rPr>
          <w:rFonts w:cs="仿宋_GB2312" w:asciiTheme="minorEastAsia" w:hAnsiTheme="minorEastAsia" w:eastAsiaTheme="minorEastAsia"/>
          <w:b/>
          <w:sz w:val="21"/>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ind w:firstLine="2731" w:firstLineChars="85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6"/>
        <w:spacing w:line="360" w:lineRule="auto"/>
        <w:contextualSpacing/>
        <w:jc w:val="center"/>
        <w:rPr>
          <w:rFonts w:cs="宋体" w:asciiTheme="majorEastAsia" w:hAnsiTheme="majorEastAsia" w:eastAsiaTheme="majorEastAsia"/>
          <w:b/>
          <w:kern w:val="0"/>
          <w:sz w:val="36"/>
          <w:szCs w:val="36"/>
        </w:rPr>
      </w:pP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6"/>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2"/>
        <w:spacing w:line="480" w:lineRule="auto"/>
        <w:ind w:firstLine="472" w:firstLineChars="225"/>
        <w:jc w:val="left"/>
        <w:rPr>
          <w:rFonts w:asciiTheme="minorEastAsia" w:hAnsiTheme="minorEastAsia"/>
          <w:sz w:val="21"/>
          <w:szCs w:val="21"/>
        </w:rPr>
      </w:pPr>
    </w:p>
    <w:p>
      <w:pPr>
        <w:pStyle w:val="4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bookmarkStart w:id="12" w:name="_GoBack"/>
      <w:bookmarkEnd w:id="12"/>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服务方案及措施（实施方案）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4.4    </w:t>
      </w:r>
      <w:r>
        <w:rPr>
          <w:rFonts w:ascii="宋体" w:hAnsi="宋体"/>
          <w:b/>
          <w:bCs/>
          <w:color w:val="000000"/>
          <w:sz w:val="24"/>
          <w:szCs w:val="24"/>
        </w:rPr>
        <w:t>中小企业声明函（</w:t>
      </w:r>
      <w:r>
        <w:rPr>
          <w:rFonts w:hint="eastAsia" w:ascii="宋体" w:hAnsi="宋体"/>
          <w:b/>
          <w:bCs/>
          <w:color w:val="000000"/>
          <w:sz w:val="24"/>
          <w:szCs w:val="24"/>
        </w:rPr>
        <w:t>服务</w:t>
      </w:r>
      <w:r>
        <w:rPr>
          <w:rFonts w:ascii="宋体" w:hAnsi="宋体"/>
          <w:b/>
          <w:bCs/>
          <w:color w:val="000000"/>
          <w:sz w:val="24"/>
          <w:szCs w:val="24"/>
        </w:rPr>
        <w:t>）</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w:t>
      </w:r>
      <w:r>
        <w:rPr>
          <w:rFonts w:hint="eastAsia"/>
        </w:rPr>
        <w:t>服</w:t>
      </w:r>
      <w:r>
        <w:t>务全部由符合政策要求的中小企业承接。相关企业（含联合体中的中小企业、签订分包意向协议的中小企业）的具体情况如下：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spacing w:line="480" w:lineRule="auto"/>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4.5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Text Box 1" o:spid="_x0000_s8193"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AD87882"/>
    <w:multiLevelType w:val="singleLevel"/>
    <w:tmpl w:val="BAD87882"/>
    <w:lvl w:ilvl="0" w:tentative="0">
      <w:start w:val="1"/>
      <w:numFmt w:val="chineseCounting"/>
      <w:suff w:val="nothing"/>
      <w:lvlText w:val="（%1）"/>
      <w:lvlJc w:val="left"/>
      <w:rPr>
        <w:rFonts w:hint="eastAsia"/>
      </w:rPr>
    </w:lvl>
  </w:abstractNum>
  <w:abstractNum w:abstractNumId="2">
    <w:nsid w:val="BD70DF5C"/>
    <w:multiLevelType w:val="singleLevel"/>
    <w:tmpl w:val="BD70DF5C"/>
    <w:lvl w:ilvl="0" w:tentative="0">
      <w:start w:val="4"/>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0E678B"/>
    <w:multiLevelType w:val="multilevel"/>
    <w:tmpl w:val="060E678B"/>
    <w:lvl w:ilvl="0" w:tentative="0">
      <w:start w:val="32"/>
      <w:numFmt w:val="decimal"/>
      <w:lvlText w:val="%1.2.2"/>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090A7167"/>
    <w:multiLevelType w:val="multilevel"/>
    <w:tmpl w:val="090A7167"/>
    <w:lvl w:ilvl="0" w:tentative="0">
      <w:start w:val="32"/>
      <w:numFmt w:val="decimal"/>
      <w:lvlText w:val="%1.2.3"/>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6">
    <w:nsid w:val="0FF31DE1"/>
    <w:multiLevelType w:val="multilevel"/>
    <w:tmpl w:val="0FF31DE1"/>
    <w:lvl w:ilvl="0" w:tentative="0">
      <w:start w:val="32"/>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220B32D8"/>
    <w:multiLevelType w:val="multilevel"/>
    <w:tmpl w:val="220B32D8"/>
    <w:lvl w:ilvl="0" w:tentative="0">
      <w:start w:val="32"/>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2428530D"/>
    <w:multiLevelType w:val="multilevel"/>
    <w:tmpl w:val="2428530D"/>
    <w:lvl w:ilvl="0" w:tentative="0">
      <w:start w:val="29"/>
      <w:numFmt w:val="decimal"/>
      <w:lvlText w:val="%1.4"/>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4">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5D74415"/>
    <w:multiLevelType w:val="multilevel"/>
    <w:tmpl w:val="35D74415"/>
    <w:lvl w:ilvl="0" w:tentative="0">
      <w:start w:val="33"/>
      <w:numFmt w:val="decimal"/>
      <w:lvlText w:val="%1.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3C3D3B5C"/>
    <w:multiLevelType w:val="multilevel"/>
    <w:tmpl w:val="3C3D3B5C"/>
    <w:lvl w:ilvl="0" w:tentative="0">
      <w:start w:val="32"/>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1">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2">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6">
    <w:nsid w:val="59F817C2"/>
    <w:multiLevelType w:val="singleLevel"/>
    <w:tmpl w:val="59F817C2"/>
    <w:lvl w:ilvl="0" w:tentative="0">
      <w:start w:val="2"/>
      <w:numFmt w:val="chineseCounting"/>
      <w:suff w:val="space"/>
      <w:lvlText w:val="第%1章"/>
      <w:lvlJc w:val="left"/>
    </w:lvl>
  </w:abstractNum>
  <w:abstractNum w:abstractNumId="57">
    <w:nsid w:val="59F817E8"/>
    <w:multiLevelType w:val="singleLevel"/>
    <w:tmpl w:val="59F817E8"/>
    <w:lvl w:ilvl="0" w:tentative="0">
      <w:start w:val="1"/>
      <w:numFmt w:val="chineseCounting"/>
      <w:pStyle w:val="51"/>
      <w:suff w:val="nothing"/>
      <w:lvlText w:val="%1、"/>
      <w:lvlJc w:val="left"/>
    </w:lvl>
  </w:abstractNum>
  <w:abstractNum w:abstractNumId="58">
    <w:nsid w:val="5A051E9E"/>
    <w:multiLevelType w:val="singleLevel"/>
    <w:tmpl w:val="5A051E9E"/>
    <w:lvl w:ilvl="0" w:tentative="0">
      <w:start w:val="1"/>
      <w:numFmt w:val="chineseCounting"/>
      <w:suff w:val="nothing"/>
      <w:lvlText w:val="%1、"/>
      <w:lvlJc w:val="left"/>
    </w:lvl>
  </w:abstractNum>
  <w:abstractNum w:abstractNumId="5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54E26F6"/>
    <w:multiLevelType w:val="singleLevel"/>
    <w:tmpl w:val="654E26F6"/>
    <w:lvl w:ilvl="0" w:tentative="0">
      <w:start w:val="1"/>
      <w:numFmt w:val="decimal"/>
      <w:suff w:val="nothing"/>
      <w:lvlText w:val="%1、"/>
      <w:lvlJc w:val="left"/>
    </w:lvl>
  </w:abstractNum>
  <w:abstractNum w:abstractNumId="7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7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6A7D1D00"/>
    <w:multiLevelType w:val="multilevel"/>
    <w:tmpl w:val="6A7D1D00"/>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3">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5">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6">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57"/>
  </w:num>
  <w:num w:numId="4">
    <w:abstractNumId w:val="58"/>
  </w:num>
  <w:num w:numId="5">
    <w:abstractNumId w:val="0"/>
  </w:num>
  <w:num w:numId="6">
    <w:abstractNumId w:val="69"/>
  </w:num>
  <w:num w:numId="7">
    <w:abstractNumId w:val="13"/>
  </w:num>
  <w:num w:numId="8">
    <w:abstractNumId w:val="65"/>
  </w:num>
  <w:num w:numId="9">
    <w:abstractNumId w:val="86"/>
  </w:num>
  <w:num w:numId="10">
    <w:abstractNumId w:val="90"/>
  </w:num>
  <w:num w:numId="11">
    <w:abstractNumId w:val="49"/>
  </w:num>
  <w:num w:numId="12">
    <w:abstractNumId w:val="52"/>
  </w:num>
  <w:num w:numId="13">
    <w:abstractNumId w:val="54"/>
  </w:num>
  <w:num w:numId="14">
    <w:abstractNumId w:val="80"/>
  </w:num>
  <w:num w:numId="15">
    <w:abstractNumId w:val="42"/>
  </w:num>
  <w:num w:numId="16">
    <w:abstractNumId w:val="39"/>
  </w:num>
  <w:num w:numId="17">
    <w:abstractNumId w:val="56"/>
  </w:num>
  <w:num w:numId="18">
    <w:abstractNumId w:val="1"/>
  </w:num>
  <w:num w:numId="19">
    <w:abstractNumId w:val="2"/>
  </w:num>
  <w:num w:numId="20">
    <w:abstractNumId w:val="91"/>
  </w:num>
  <w:num w:numId="21">
    <w:abstractNumId w:val="29"/>
  </w:num>
  <w:num w:numId="22">
    <w:abstractNumId w:val="74"/>
  </w:num>
  <w:num w:numId="23">
    <w:abstractNumId w:val="37"/>
  </w:num>
  <w:num w:numId="24">
    <w:abstractNumId w:val="40"/>
  </w:num>
  <w:num w:numId="25">
    <w:abstractNumId w:val="68"/>
  </w:num>
  <w:num w:numId="26">
    <w:abstractNumId w:val="21"/>
  </w:num>
  <w:num w:numId="27">
    <w:abstractNumId w:val="23"/>
  </w:num>
  <w:num w:numId="28">
    <w:abstractNumId w:val="89"/>
  </w:num>
  <w:num w:numId="29">
    <w:abstractNumId w:val="64"/>
  </w:num>
  <w:num w:numId="30">
    <w:abstractNumId w:val="87"/>
  </w:num>
  <w:num w:numId="31">
    <w:abstractNumId w:val="14"/>
  </w:num>
  <w:num w:numId="32">
    <w:abstractNumId w:val="17"/>
  </w:num>
  <w:num w:numId="33">
    <w:abstractNumId w:val="62"/>
  </w:num>
  <w:num w:numId="34">
    <w:abstractNumId w:val="35"/>
  </w:num>
  <w:num w:numId="35">
    <w:abstractNumId w:val="59"/>
  </w:num>
  <w:num w:numId="36">
    <w:abstractNumId w:val="73"/>
  </w:num>
  <w:num w:numId="37">
    <w:abstractNumId w:val="45"/>
  </w:num>
  <w:num w:numId="38">
    <w:abstractNumId w:val="36"/>
  </w:num>
  <w:num w:numId="39">
    <w:abstractNumId w:val="10"/>
  </w:num>
  <w:num w:numId="40">
    <w:abstractNumId w:val="26"/>
  </w:num>
  <w:num w:numId="41">
    <w:abstractNumId w:val="25"/>
  </w:num>
  <w:num w:numId="42">
    <w:abstractNumId w:val="85"/>
  </w:num>
  <w:num w:numId="43">
    <w:abstractNumId w:val="76"/>
  </w:num>
  <w:num w:numId="44">
    <w:abstractNumId w:val="67"/>
  </w:num>
  <w:num w:numId="45">
    <w:abstractNumId w:val="79"/>
  </w:num>
  <w:num w:numId="46">
    <w:abstractNumId w:val="53"/>
  </w:num>
  <w:num w:numId="47">
    <w:abstractNumId w:val="18"/>
  </w:num>
  <w:num w:numId="48">
    <w:abstractNumId w:val="28"/>
  </w:num>
  <w:num w:numId="49">
    <w:abstractNumId w:val="70"/>
  </w:num>
  <w:num w:numId="50">
    <w:abstractNumId w:val="41"/>
  </w:num>
  <w:num w:numId="51">
    <w:abstractNumId w:val="51"/>
  </w:num>
  <w:num w:numId="52">
    <w:abstractNumId w:val="77"/>
  </w:num>
  <w:num w:numId="53">
    <w:abstractNumId w:val="61"/>
  </w:num>
  <w:num w:numId="54">
    <w:abstractNumId w:val="44"/>
  </w:num>
  <w:num w:numId="55">
    <w:abstractNumId w:val="31"/>
  </w:num>
  <w:num w:numId="56">
    <w:abstractNumId w:val="33"/>
  </w:num>
  <w:num w:numId="57">
    <w:abstractNumId w:val="84"/>
  </w:num>
  <w:num w:numId="58">
    <w:abstractNumId w:val="34"/>
  </w:num>
  <w:num w:numId="59">
    <w:abstractNumId w:val="27"/>
  </w:num>
  <w:num w:numId="60">
    <w:abstractNumId w:val="15"/>
  </w:num>
  <w:num w:numId="61">
    <w:abstractNumId w:val="55"/>
  </w:num>
  <w:num w:numId="62">
    <w:abstractNumId w:val="50"/>
  </w:num>
  <w:num w:numId="63">
    <w:abstractNumId w:val="8"/>
  </w:num>
  <w:num w:numId="64">
    <w:abstractNumId w:val="32"/>
  </w:num>
  <w:num w:numId="65">
    <w:abstractNumId w:val="11"/>
  </w:num>
  <w:num w:numId="66">
    <w:abstractNumId w:val="22"/>
  </w:num>
  <w:num w:numId="67">
    <w:abstractNumId w:val="66"/>
  </w:num>
  <w:num w:numId="68">
    <w:abstractNumId w:val="83"/>
  </w:num>
  <w:num w:numId="69">
    <w:abstractNumId w:val="48"/>
  </w:num>
  <w:num w:numId="70">
    <w:abstractNumId w:val="75"/>
  </w:num>
  <w:num w:numId="71">
    <w:abstractNumId w:val="92"/>
  </w:num>
  <w:num w:numId="72">
    <w:abstractNumId w:val="24"/>
  </w:num>
  <w:num w:numId="73">
    <w:abstractNumId w:val="30"/>
  </w:num>
  <w:num w:numId="74">
    <w:abstractNumId w:val="47"/>
  </w:num>
  <w:num w:numId="75">
    <w:abstractNumId w:val="6"/>
  </w:num>
  <w:num w:numId="76">
    <w:abstractNumId w:val="9"/>
  </w:num>
  <w:num w:numId="77">
    <w:abstractNumId w:val="16"/>
  </w:num>
  <w:num w:numId="78">
    <w:abstractNumId w:val="81"/>
  </w:num>
  <w:num w:numId="79">
    <w:abstractNumId w:val="43"/>
  </w:num>
  <w:num w:numId="80">
    <w:abstractNumId w:val="78"/>
  </w:num>
  <w:num w:numId="81">
    <w:abstractNumId w:val="63"/>
  </w:num>
  <w:num w:numId="82">
    <w:abstractNumId w:val="7"/>
  </w:num>
  <w:num w:numId="83">
    <w:abstractNumId w:val="82"/>
  </w:num>
  <w:num w:numId="84">
    <w:abstractNumId w:val="20"/>
  </w:num>
  <w:num w:numId="85">
    <w:abstractNumId w:val="5"/>
  </w:num>
  <w:num w:numId="86">
    <w:abstractNumId w:val="60"/>
  </w:num>
  <w:num w:numId="87">
    <w:abstractNumId w:val="19"/>
  </w:num>
  <w:num w:numId="88">
    <w:abstractNumId w:val="72"/>
  </w:num>
  <w:num w:numId="89">
    <w:abstractNumId w:val="12"/>
  </w:num>
  <w:num w:numId="90">
    <w:abstractNumId w:val="71"/>
  </w:num>
  <w:num w:numId="91">
    <w:abstractNumId w:val="38"/>
  </w:num>
  <w:num w:numId="92">
    <w:abstractNumId w:val="46"/>
  </w:num>
  <w:num w:numId="93">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82BFE"/>
    <w:rsid w:val="000852C0"/>
    <w:rsid w:val="00085367"/>
    <w:rsid w:val="00085B7C"/>
    <w:rsid w:val="00091AA2"/>
    <w:rsid w:val="00093DD4"/>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10323"/>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6FE0"/>
    <w:rsid w:val="00271421"/>
    <w:rsid w:val="00275783"/>
    <w:rsid w:val="00284E4F"/>
    <w:rsid w:val="00291601"/>
    <w:rsid w:val="002923A5"/>
    <w:rsid w:val="00296423"/>
    <w:rsid w:val="002A5022"/>
    <w:rsid w:val="002A57A5"/>
    <w:rsid w:val="002A69C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E5A"/>
    <w:rsid w:val="003B27D3"/>
    <w:rsid w:val="003C25D6"/>
    <w:rsid w:val="003C265B"/>
    <w:rsid w:val="003C5E63"/>
    <w:rsid w:val="003D5B97"/>
    <w:rsid w:val="003D5E5D"/>
    <w:rsid w:val="003D6558"/>
    <w:rsid w:val="003D7355"/>
    <w:rsid w:val="003E2203"/>
    <w:rsid w:val="003E25B5"/>
    <w:rsid w:val="003E2CF4"/>
    <w:rsid w:val="003E2F38"/>
    <w:rsid w:val="003F01D8"/>
    <w:rsid w:val="004008FC"/>
    <w:rsid w:val="00401D49"/>
    <w:rsid w:val="004125C6"/>
    <w:rsid w:val="004142BC"/>
    <w:rsid w:val="004173DF"/>
    <w:rsid w:val="00425C55"/>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74B52"/>
    <w:rsid w:val="00576EE5"/>
    <w:rsid w:val="00584191"/>
    <w:rsid w:val="00585C77"/>
    <w:rsid w:val="00585F73"/>
    <w:rsid w:val="00591FE9"/>
    <w:rsid w:val="00595024"/>
    <w:rsid w:val="005A3BD5"/>
    <w:rsid w:val="005A7DA9"/>
    <w:rsid w:val="005B0ECE"/>
    <w:rsid w:val="005B5E55"/>
    <w:rsid w:val="005B70AD"/>
    <w:rsid w:val="005C5A33"/>
    <w:rsid w:val="005F00E9"/>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705D1"/>
    <w:rsid w:val="00671B08"/>
    <w:rsid w:val="006720EC"/>
    <w:rsid w:val="00672146"/>
    <w:rsid w:val="00681D6E"/>
    <w:rsid w:val="0068257C"/>
    <w:rsid w:val="00683E55"/>
    <w:rsid w:val="00686DB4"/>
    <w:rsid w:val="006A79FB"/>
    <w:rsid w:val="006B42F0"/>
    <w:rsid w:val="006C247C"/>
    <w:rsid w:val="006C690F"/>
    <w:rsid w:val="006D0CB8"/>
    <w:rsid w:val="006D513D"/>
    <w:rsid w:val="006D7D4D"/>
    <w:rsid w:val="006E005D"/>
    <w:rsid w:val="006E2152"/>
    <w:rsid w:val="006E2316"/>
    <w:rsid w:val="006E2D88"/>
    <w:rsid w:val="006E31FA"/>
    <w:rsid w:val="006F2CA9"/>
    <w:rsid w:val="006F63BF"/>
    <w:rsid w:val="006F6CD9"/>
    <w:rsid w:val="006F7BEE"/>
    <w:rsid w:val="00700D60"/>
    <w:rsid w:val="0070414D"/>
    <w:rsid w:val="007060F2"/>
    <w:rsid w:val="00715FDF"/>
    <w:rsid w:val="00720A57"/>
    <w:rsid w:val="00721C78"/>
    <w:rsid w:val="00723357"/>
    <w:rsid w:val="007302C5"/>
    <w:rsid w:val="00737AFE"/>
    <w:rsid w:val="00737F38"/>
    <w:rsid w:val="0074067C"/>
    <w:rsid w:val="00751E61"/>
    <w:rsid w:val="00752B8A"/>
    <w:rsid w:val="007553FB"/>
    <w:rsid w:val="00757F3B"/>
    <w:rsid w:val="00765AF2"/>
    <w:rsid w:val="00771828"/>
    <w:rsid w:val="0077284D"/>
    <w:rsid w:val="0077324A"/>
    <w:rsid w:val="007819DB"/>
    <w:rsid w:val="00786062"/>
    <w:rsid w:val="0078628A"/>
    <w:rsid w:val="00791C13"/>
    <w:rsid w:val="007944B5"/>
    <w:rsid w:val="007A14CC"/>
    <w:rsid w:val="007A4D71"/>
    <w:rsid w:val="007B1F5A"/>
    <w:rsid w:val="007C58F6"/>
    <w:rsid w:val="007C5BA1"/>
    <w:rsid w:val="007E752E"/>
    <w:rsid w:val="007F2012"/>
    <w:rsid w:val="007F2A1A"/>
    <w:rsid w:val="007F7E58"/>
    <w:rsid w:val="00800F3D"/>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70428"/>
    <w:rsid w:val="00874F3C"/>
    <w:rsid w:val="00876267"/>
    <w:rsid w:val="00880A98"/>
    <w:rsid w:val="00886347"/>
    <w:rsid w:val="00891ADA"/>
    <w:rsid w:val="008954C1"/>
    <w:rsid w:val="00896781"/>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336FD"/>
    <w:rsid w:val="00933ECF"/>
    <w:rsid w:val="00934E0C"/>
    <w:rsid w:val="00940491"/>
    <w:rsid w:val="009420E0"/>
    <w:rsid w:val="009444BC"/>
    <w:rsid w:val="009529DE"/>
    <w:rsid w:val="0095307E"/>
    <w:rsid w:val="00954850"/>
    <w:rsid w:val="00971122"/>
    <w:rsid w:val="009754D6"/>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A02702"/>
    <w:rsid w:val="00A05F45"/>
    <w:rsid w:val="00A06138"/>
    <w:rsid w:val="00A1315B"/>
    <w:rsid w:val="00A158BB"/>
    <w:rsid w:val="00A15E63"/>
    <w:rsid w:val="00A313C6"/>
    <w:rsid w:val="00A3153E"/>
    <w:rsid w:val="00A33115"/>
    <w:rsid w:val="00A372D4"/>
    <w:rsid w:val="00A40BF0"/>
    <w:rsid w:val="00A46AAB"/>
    <w:rsid w:val="00A47CBC"/>
    <w:rsid w:val="00A5355D"/>
    <w:rsid w:val="00A62E96"/>
    <w:rsid w:val="00A7155C"/>
    <w:rsid w:val="00A75BE8"/>
    <w:rsid w:val="00A768D5"/>
    <w:rsid w:val="00A819A9"/>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1238"/>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56E1"/>
    <w:rsid w:val="00C67512"/>
    <w:rsid w:val="00C83E60"/>
    <w:rsid w:val="00C87C62"/>
    <w:rsid w:val="00C90CE6"/>
    <w:rsid w:val="00C9179D"/>
    <w:rsid w:val="00C93FA4"/>
    <w:rsid w:val="00C9605A"/>
    <w:rsid w:val="00CA3092"/>
    <w:rsid w:val="00CA6C5D"/>
    <w:rsid w:val="00CC10CA"/>
    <w:rsid w:val="00CC65A1"/>
    <w:rsid w:val="00CD01AA"/>
    <w:rsid w:val="00CD5897"/>
    <w:rsid w:val="00CE268B"/>
    <w:rsid w:val="00CE4CAB"/>
    <w:rsid w:val="00CE6F0C"/>
    <w:rsid w:val="00CF186C"/>
    <w:rsid w:val="00D000F5"/>
    <w:rsid w:val="00D033EF"/>
    <w:rsid w:val="00D07DAD"/>
    <w:rsid w:val="00D12130"/>
    <w:rsid w:val="00D24F6E"/>
    <w:rsid w:val="00D25406"/>
    <w:rsid w:val="00D2620D"/>
    <w:rsid w:val="00D27188"/>
    <w:rsid w:val="00D401AD"/>
    <w:rsid w:val="00D45EBD"/>
    <w:rsid w:val="00D60EA7"/>
    <w:rsid w:val="00D77F59"/>
    <w:rsid w:val="00D82A24"/>
    <w:rsid w:val="00D837B0"/>
    <w:rsid w:val="00D849E9"/>
    <w:rsid w:val="00D90E84"/>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65AF"/>
    <w:rsid w:val="00E1037B"/>
    <w:rsid w:val="00E10B25"/>
    <w:rsid w:val="00E2064B"/>
    <w:rsid w:val="00E23886"/>
    <w:rsid w:val="00E27FD9"/>
    <w:rsid w:val="00E308FD"/>
    <w:rsid w:val="00E31971"/>
    <w:rsid w:val="00E367B5"/>
    <w:rsid w:val="00E40071"/>
    <w:rsid w:val="00E4251C"/>
    <w:rsid w:val="00E458EF"/>
    <w:rsid w:val="00E525DC"/>
    <w:rsid w:val="00E539D0"/>
    <w:rsid w:val="00E53F54"/>
    <w:rsid w:val="00E555C0"/>
    <w:rsid w:val="00E6345A"/>
    <w:rsid w:val="00E6582A"/>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57F2"/>
    <w:rsid w:val="00ED31D4"/>
    <w:rsid w:val="00ED5055"/>
    <w:rsid w:val="00ED7AA8"/>
    <w:rsid w:val="00EE05EB"/>
    <w:rsid w:val="00EE5544"/>
    <w:rsid w:val="00EE7AEA"/>
    <w:rsid w:val="00EE7FAE"/>
    <w:rsid w:val="00EF2F71"/>
    <w:rsid w:val="00F01A9F"/>
    <w:rsid w:val="00F05EA4"/>
    <w:rsid w:val="00F12510"/>
    <w:rsid w:val="00F14EC4"/>
    <w:rsid w:val="00F22ADA"/>
    <w:rsid w:val="00F321F5"/>
    <w:rsid w:val="00F334D5"/>
    <w:rsid w:val="00F36540"/>
    <w:rsid w:val="00F50016"/>
    <w:rsid w:val="00F50C3A"/>
    <w:rsid w:val="00F604C2"/>
    <w:rsid w:val="00F64FE5"/>
    <w:rsid w:val="00F66334"/>
    <w:rsid w:val="00F857E5"/>
    <w:rsid w:val="00F870B9"/>
    <w:rsid w:val="00F90838"/>
    <w:rsid w:val="00F96AEB"/>
    <w:rsid w:val="00FA12D3"/>
    <w:rsid w:val="00FA3274"/>
    <w:rsid w:val="00FA3F32"/>
    <w:rsid w:val="00FC47DB"/>
    <w:rsid w:val="00FC75C3"/>
    <w:rsid w:val="00FC7D3C"/>
    <w:rsid w:val="00FD5735"/>
    <w:rsid w:val="00FE5508"/>
    <w:rsid w:val="00FF67E6"/>
    <w:rsid w:val="00FF761C"/>
    <w:rsid w:val="00FF7CF6"/>
    <w:rsid w:val="04FA5758"/>
    <w:rsid w:val="08033ADD"/>
    <w:rsid w:val="084363F5"/>
    <w:rsid w:val="0C073F4D"/>
    <w:rsid w:val="16E915EF"/>
    <w:rsid w:val="176756C6"/>
    <w:rsid w:val="1AC4779C"/>
    <w:rsid w:val="1DC31AF1"/>
    <w:rsid w:val="1E441777"/>
    <w:rsid w:val="233B6E22"/>
    <w:rsid w:val="24823FA7"/>
    <w:rsid w:val="267270A9"/>
    <w:rsid w:val="27980351"/>
    <w:rsid w:val="290444D4"/>
    <w:rsid w:val="294521D7"/>
    <w:rsid w:val="2A040889"/>
    <w:rsid w:val="2BF8243B"/>
    <w:rsid w:val="2C6E5D5C"/>
    <w:rsid w:val="2F711D72"/>
    <w:rsid w:val="2FC24B13"/>
    <w:rsid w:val="35297B77"/>
    <w:rsid w:val="3B2E7840"/>
    <w:rsid w:val="3C013037"/>
    <w:rsid w:val="3FF10EAD"/>
    <w:rsid w:val="43423321"/>
    <w:rsid w:val="447A453D"/>
    <w:rsid w:val="44AF0DD3"/>
    <w:rsid w:val="4AE631E9"/>
    <w:rsid w:val="4BC01B45"/>
    <w:rsid w:val="4E30600C"/>
    <w:rsid w:val="50633045"/>
    <w:rsid w:val="55BD4E9A"/>
    <w:rsid w:val="57563A9C"/>
    <w:rsid w:val="598D540B"/>
    <w:rsid w:val="5A681668"/>
    <w:rsid w:val="5FD62002"/>
    <w:rsid w:val="60C547E6"/>
    <w:rsid w:val="610676C3"/>
    <w:rsid w:val="633D574C"/>
    <w:rsid w:val="66E74270"/>
    <w:rsid w:val="69317154"/>
    <w:rsid w:val="71AD62F0"/>
    <w:rsid w:val="7DFA7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qFormat/>
    <w:uiPriority w:val="0"/>
    <w:pPr>
      <w:ind w:left="1680"/>
    </w:pPr>
    <w:rPr>
      <w:rFonts w:ascii="Calibri" w:hAnsi="Calibri" w:eastAsia="宋体" w:cs="Times New Roman"/>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w:basedOn w:val="1"/>
    <w:next w:val="12"/>
    <w:link w:val="52"/>
    <w:semiHidden/>
    <w:unhideWhenUsed/>
    <w:qFormat/>
    <w:uiPriority w:val="99"/>
    <w:pPr>
      <w:spacing w:after="120"/>
    </w:pPr>
  </w:style>
  <w:style w:type="paragraph" w:styleId="12">
    <w:name w:val="Body Text 2"/>
    <w:basedOn w:val="1"/>
    <w:qFormat/>
    <w:uiPriority w:val="0"/>
    <w:pPr>
      <w:spacing w:line="480" w:lineRule="auto"/>
      <w:ind w:right="357"/>
    </w:pPr>
    <w:rPr>
      <w:szCs w:val="20"/>
    </w:rPr>
  </w:style>
  <w:style w:type="paragraph" w:styleId="13">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4"/>
    <w:qFormat/>
    <w:uiPriority w:val="0"/>
    <w:rPr>
      <w:rFonts w:eastAsia="宋体"/>
      <w:sz w:val="24"/>
    </w:rPr>
  </w:style>
  <w:style w:type="paragraph" w:styleId="17">
    <w:name w:val="Date"/>
    <w:basedOn w:val="1"/>
    <w:next w:val="1"/>
    <w:link w:val="35"/>
    <w:unhideWhenUsed/>
    <w:qFormat/>
    <w:uiPriority w:val="99"/>
    <w:pPr>
      <w:ind w:left="100" w:leftChars="2500"/>
    </w:pPr>
  </w:style>
  <w:style w:type="paragraph" w:styleId="18">
    <w:name w:val="Balloon Text"/>
    <w:basedOn w:val="1"/>
    <w:link w:val="59"/>
    <w:semiHidden/>
    <w:unhideWhenUsed/>
    <w:qFormat/>
    <w:uiPriority w:val="99"/>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53"/>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Hyperlink"/>
    <w:basedOn w:val="26"/>
    <w:unhideWhenUsed/>
    <w:qFormat/>
    <w:uiPriority w:val="0"/>
    <w:rPr>
      <w:color w:val="0000FF"/>
      <w:u w:val="single"/>
    </w:rPr>
  </w:style>
  <w:style w:type="character" w:customStyle="1" w:styleId="30">
    <w:name w:val="标题 1 Char"/>
    <w:basedOn w:val="26"/>
    <w:link w:val="3"/>
    <w:qFormat/>
    <w:uiPriority w:val="0"/>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uiPriority w:val="0"/>
    <w:rPr>
      <w:rFonts w:ascii="Arial" w:hAnsi="Arial" w:eastAsia="黑体" w:cs="Times New Roman"/>
      <w:b/>
      <w:bCs/>
      <w:sz w:val="28"/>
      <w:szCs w:val="28"/>
    </w:rPr>
  </w:style>
  <w:style w:type="character" w:customStyle="1" w:styleId="34">
    <w:name w:val="纯文本 Char"/>
    <w:basedOn w:val="26"/>
    <w:link w:val="16"/>
    <w:qFormat/>
    <w:uiPriority w:val="0"/>
    <w:rPr>
      <w:rFonts w:eastAsia="宋体"/>
      <w:sz w:val="24"/>
    </w:rPr>
  </w:style>
  <w:style w:type="character" w:customStyle="1" w:styleId="35">
    <w:name w:val="日期 Char"/>
    <w:basedOn w:val="26"/>
    <w:link w:val="17"/>
    <w:qFormat/>
    <w:uiPriority w:val="99"/>
  </w:style>
  <w:style w:type="character" w:customStyle="1" w:styleId="36">
    <w:name w:val="页脚 Char"/>
    <w:basedOn w:val="26"/>
    <w:link w:val="19"/>
    <w:qFormat/>
    <w:uiPriority w:val="99"/>
    <w:rPr>
      <w:sz w:val="18"/>
      <w:szCs w:val="18"/>
    </w:rPr>
  </w:style>
  <w:style w:type="character" w:customStyle="1" w:styleId="37">
    <w:name w:val="页眉 Char"/>
    <w:basedOn w:val="26"/>
    <w:link w:val="20"/>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6"/>
    <w:link w:val="10"/>
    <w:qFormat/>
    <w:uiPriority w:val="0"/>
    <w:rPr>
      <w:rFonts w:ascii="Times New Roman" w:hAnsi="Times New Roman" w:eastAsia="宋体" w:cs="Times New Roman"/>
      <w:color w:val="FF0000"/>
      <w:sz w:val="24"/>
      <w:szCs w:val="24"/>
    </w:rPr>
  </w:style>
  <w:style w:type="character" w:customStyle="1" w:styleId="49">
    <w:name w:val="edittexttarea"/>
    <w:basedOn w:val="26"/>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6"/>
    <w:link w:val="11"/>
    <w:semiHidden/>
    <w:qFormat/>
    <w:uiPriority w:val="99"/>
  </w:style>
  <w:style w:type="character" w:customStyle="1" w:styleId="53">
    <w:name w:val="正文首行缩进 Char"/>
    <w:basedOn w:val="52"/>
    <w:link w:val="24"/>
    <w:qFormat/>
    <w:uiPriority w:val="0"/>
    <w:rPr>
      <w:rFonts w:ascii="宋体" w:hAnsi="Times New Roman" w:eastAsia="宋体" w:cs="Times New Roman"/>
      <w:kern w:val="0"/>
      <w:sz w:val="34"/>
      <w:szCs w:val="20"/>
    </w:rPr>
  </w:style>
  <w:style w:type="character" w:customStyle="1" w:styleId="54">
    <w:name w:val="HTML 预设格式 Char"/>
    <w:basedOn w:val="26"/>
    <w:semiHidden/>
    <w:qFormat/>
    <w:uiPriority w:val="99"/>
    <w:rPr>
      <w:rFonts w:ascii="宋体" w:hAnsi="宋体" w:eastAsia="宋体" w:cs="宋体"/>
      <w:kern w:val="0"/>
      <w:sz w:val="24"/>
      <w:szCs w:val="24"/>
    </w:rPr>
  </w:style>
  <w:style w:type="character" w:customStyle="1" w:styleId="55">
    <w:name w:val="HTML 预设格式 Char1"/>
    <w:basedOn w:val="26"/>
    <w:link w:val="22"/>
    <w:semiHidden/>
    <w:qFormat/>
    <w:uiPriority w:val="99"/>
    <w:rPr>
      <w:rFonts w:ascii="Courier New" w:hAnsi="Courier New" w:cs="Courier New"/>
      <w:sz w:val="20"/>
      <w:szCs w:val="20"/>
    </w:rPr>
  </w:style>
  <w:style w:type="character" w:customStyle="1" w:styleId="56">
    <w:name w:val="正文文本缩进 Char"/>
    <w:qFormat/>
    <w:uiPriority w:val="0"/>
    <w:rPr>
      <w:sz w:val="24"/>
    </w:rPr>
  </w:style>
  <w:style w:type="character" w:customStyle="1" w:styleId="57">
    <w:name w:val="正文文本缩进 Char1"/>
    <w:basedOn w:val="26"/>
    <w:link w:val="13"/>
    <w:semiHidden/>
    <w:qFormat/>
    <w:uiPriority w:val="99"/>
  </w:style>
  <w:style w:type="character" w:customStyle="1" w:styleId="58">
    <w:name w:val="批注框文本 Char"/>
    <w:basedOn w:val="26"/>
    <w:semiHidden/>
    <w:qFormat/>
    <w:uiPriority w:val="99"/>
    <w:rPr>
      <w:sz w:val="18"/>
      <w:szCs w:val="18"/>
    </w:rPr>
  </w:style>
  <w:style w:type="character" w:customStyle="1" w:styleId="59">
    <w:name w:val="批注框文本 Char1"/>
    <w:basedOn w:val="26"/>
    <w:link w:val="18"/>
    <w:semiHidden/>
    <w:qFormat/>
    <w:uiPriority w:val="99"/>
    <w:rPr>
      <w:sz w:val="18"/>
      <w:szCs w:val="18"/>
    </w:rPr>
  </w:style>
  <w:style w:type="paragraph" w:customStyle="1" w:styleId="60">
    <w:name w:val="Table Paragraph"/>
    <w:basedOn w:val="1"/>
    <w:qFormat/>
    <w:uiPriority w:val="1"/>
    <w:rPr>
      <w:rFonts w:ascii="Arial Unicode MS" w:hAnsi="Arial Unicode MS" w:eastAsia="Arial Unicode MS" w:cs="Arial Unicode MS"/>
      <w:lang w:val="zh-CN" w:bidi="zh-CN"/>
    </w:rPr>
  </w:style>
  <w:style w:type="paragraph" w:customStyle="1" w:styleId="61">
    <w:name w:val="表格文字"/>
    <w:basedOn w:val="1"/>
    <w:next w:val="11"/>
    <w:qFormat/>
    <w:uiPriority w:val="0"/>
    <w:pPr>
      <w:adjustRightInd w:val="0"/>
      <w:spacing w:line="420" w:lineRule="atLeast"/>
      <w:jc w:val="left"/>
      <w:textAlignment w:val="baseline"/>
    </w:pPr>
    <w:rPr>
      <w:kern w:val="0"/>
      <w:szCs w:val="20"/>
    </w:rPr>
  </w:style>
  <w:style w:type="paragraph" w:customStyle="1" w:styleId="62">
    <w:name w:val="UserStyle_0"/>
    <w:basedOn w:val="1"/>
    <w:qFormat/>
    <w:uiPriority w:val="0"/>
    <w:pPr>
      <w:ind w:firstLine="420" w:firstLineChars="200"/>
    </w:pPr>
    <w:rPr>
      <w:rFonts w:ascii="Times New Roman" w:hAnsi="Times New Roman" w:eastAsia="宋体" w:cs="Times New Roman"/>
      <w:szCs w:val="24"/>
    </w:rPr>
  </w:style>
  <w:style w:type="paragraph" w:customStyle="1" w:styleId="63">
    <w:name w:val="*正文"/>
    <w:basedOn w:val="1"/>
    <w:qFormat/>
    <w:uiPriority w:val="0"/>
    <w:pPr>
      <w:keepNext/>
      <w:keepLines/>
      <w:spacing w:line="360" w:lineRule="auto"/>
      <w:ind w:firstLine="200" w:firstLineChars="200"/>
    </w:pPr>
    <w:rPr>
      <w:rFonts w:ascii="宋体" w:hAnsi="宋体"/>
      <w:szCs w:val="22"/>
    </w:rPr>
  </w:style>
  <w:style w:type="character" w:customStyle="1" w:styleId="6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6E69D-524F-4102-82E5-4C543BB9F5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34127</Words>
  <Characters>35454</Characters>
  <Lines>323</Lines>
  <Paragraphs>90</Paragraphs>
  <TotalTime>0</TotalTime>
  <ScaleCrop>false</ScaleCrop>
  <LinksUpToDate>false</LinksUpToDate>
  <CharactersWithSpaces>36160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2022-07-07T03:16:00Z</dcterms:created>
  <dc:creator>许昌市公共资源交易中心:孟莉</dc:creator>
  <cp:lastModifiedBy>Administrator</cp:lastModifiedBy>
  <cp:lastPrinted>2022-06-28T10:10:00Z</cp:lastPrinted>
  <dcterms:modified xsi:type="dcterms:W3CDTF">2022-07-11T02:46:21Z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0975DB9B27D141B1BBE8EB0D463A8581</vt:lpwstr>
  </property>
</Properties>
</file>