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firstLineChars="0"/>
        <w:jc w:val="center"/>
        <w:rPr>
          <w:rFonts w:hAnsi="宋体"/>
          <w:b/>
          <w:bCs/>
          <w:sz w:val="50"/>
          <w:szCs w:val="50"/>
        </w:rPr>
      </w:pPr>
      <w:r>
        <w:rPr>
          <w:rFonts w:hint="eastAsia" w:ascii="宋体" w:hAnsi="宋体"/>
          <w:b/>
          <w:sz w:val="50"/>
          <w:szCs w:val="50"/>
          <w:lang w:val="en-US" w:eastAsia="zh-CN"/>
        </w:rPr>
        <w:t>长葛市体育发展中心15分钟健身圈购置体育健身器材项目</w:t>
      </w:r>
      <w:r>
        <w:rPr>
          <w:rFonts w:hAnsi="宋体"/>
          <w:b/>
          <w:bCs/>
          <w:sz w:val="50"/>
          <w:szCs w:val="50"/>
        </w:rPr>
        <w:t>（不见面开标）</w:t>
      </w:r>
    </w:p>
    <w:p>
      <w:pPr>
        <w:pStyle w:val="27"/>
        <w:ind w:firstLine="0" w:firstLineChars="0"/>
      </w:pPr>
    </w:p>
    <w:p>
      <w:pPr>
        <w:pStyle w:val="28"/>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2"/>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w:t>
      </w:r>
      <w:r>
        <w:rPr>
          <w:rFonts w:hint="eastAsia" w:hAnsi="宋体" w:cs="新宋体"/>
          <w:b/>
          <w:sz w:val="36"/>
          <w:szCs w:val="32"/>
          <w:lang w:val="en-US" w:eastAsia="zh-CN"/>
        </w:rPr>
        <w:t>10</w:t>
      </w:r>
      <w:r>
        <w:rPr>
          <w:rFonts w:hint="eastAsia" w:hAnsi="宋体" w:cs="新宋体"/>
          <w:b/>
          <w:sz w:val="36"/>
          <w:szCs w:val="32"/>
        </w:rPr>
        <w:t>号</w:t>
      </w:r>
    </w:p>
    <w:p>
      <w:pPr>
        <w:adjustRightInd w:val="0"/>
        <w:snapToGrid w:val="0"/>
        <w:spacing w:line="360" w:lineRule="auto"/>
        <w:ind w:firstLine="708" w:firstLineChars="196"/>
        <w:rPr>
          <w:rFonts w:hint="eastAsia" w:hAnsi="宋体" w:cs="新宋体"/>
          <w:b/>
          <w:color w:val="auto"/>
          <w:sz w:val="36"/>
          <w:szCs w:val="32"/>
        </w:rPr>
      </w:pPr>
      <w:r>
        <w:rPr>
          <w:rFonts w:hint="eastAsia" w:hAnsi="宋体" w:cs="新宋体"/>
          <w:b/>
          <w:sz w:val="36"/>
          <w:szCs w:val="32"/>
        </w:rPr>
        <w:t>采 购 人：</w:t>
      </w:r>
      <w:r>
        <w:rPr>
          <w:rFonts w:hint="eastAsia" w:hAnsi="宋体" w:cs="新宋体"/>
          <w:b/>
          <w:color w:val="auto"/>
          <w:sz w:val="36"/>
          <w:szCs w:val="32"/>
        </w:rPr>
        <w:t>长葛市体育发展中心</w:t>
      </w:r>
    </w:p>
    <w:p>
      <w:pPr>
        <w:adjustRightInd w:val="0"/>
        <w:snapToGrid w:val="0"/>
        <w:spacing w:line="360" w:lineRule="auto"/>
        <w:ind w:firstLine="708" w:firstLineChars="196"/>
        <w:rPr>
          <w:rFonts w:hAnsi="宋体" w:cs="新宋体"/>
          <w:b/>
          <w:sz w:val="36"/>
          <w:szCs w:val="32"/>
        </w:rPr>
      </w:pPr>
      <w:r>
        <w:rPr>
          <w:rFonts w:hint="eastAsia" w:hAnsi="宋体" w:cs="新宋体"/>
          <w:b/>
          <w:color w:val="auto"/>
          <w:sz w:val="36"/>
          <w:szCs w:val="32"/>
        </w:rPr>
        <w:t>代理机构：河南晟加工程咨询有限公司</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二〇二二年七月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7"/>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hint="eastAsia" w:ascii="宋体" w:hAnsi="宋体"/>
          <w:b/>
          <w:bCs/>
          <w:kern w:val="0"/>
          <w:sz w:val="32"/>
          <w:szCs w:val="32"/>
        </w:rPr>
      </w:pPr>
      <w:r>
        <w:rPr>
          <w:rFonts w:hint="eastAsia" w:ascii="宋体" w:hAnsi="宋体"/>
          <w:b/>
          <w:bCs/>
          <w:kern w:val="0"/>
          <w:sz w:val="32"/>
          <w:szCs w:val="32"/>
        </w:rPr>
        <w:t>长葛市体育发展中心15分钟健身圈购置体育健身器材项目</w:t>
      </w:r>
    </w:p>
    <w:p>
      <w:pPr>
        <w:spacing w:line="500" w:lineRule="exact"/>
        <w:jc w:val="center"/>
        <w:rPr>
          <w:rFonts w:ascii="宋体" w:hAnsi="宋体"/>
          <w:b/>
          <w:bCs/>
          <w:kern w:val="0"/>
          <w:sz w:val="32"/>
          <w:szCs w:val="32"/>
        </w:rPr>
      </w:pPr>
      <w:r>
        <w:rPr>
          <w:rFonts w:ascii="宋体" w:hAnsi="宋体"/>
          <w:b/>
          <w:bCs/>
          <w:kern w:val="0"/>
          <w:sz w:val="32"/>
          <w:szCs w:val="32"/>
        </w:rPr>
        <w:t>（不见面开标）</w:t>
      </w: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河南晟加工程咨询有限公司受长葛市体育发展中心的委托，就长葛市体育发展中心15分钟健身圈购置体育健身器材项目（不见面开标）进行公开招标，欢迎合格的供应商参加。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1.1项目名称：长葛市体育发展中心15分钟健身圈购置体育健身器材项目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10</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1.3项目内容：包含购置健身器材等。</w:t>
      </w:r>
      <w:r>
        <w:rPr>
          <w:rFonts w:hint="eastAsia" w:ascii="宋体" w:hAnsi="宋体" w:cs="宋体"/>
          <w:color w:val="auto"/>
          <w:sz w:val="24"/>
          <w:szCs w:val="24"/>
          <w:shd w:val="clear" w:color="auto" w:fill="FFFFFF"/>
        </w:rPr>
        <w:t>具体技术参数要求详见招标文件第二章采购需求。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2000000.00</w:t>
      </w:r>
      <w:r>
        <w:rPr>
          <w:rFonts w:hint="eastAsia" w:ascii="宋体" w:hAnsi="宋体"/>
          <w:kern w:val="0"/>
          <w:sz w:val="24"/>
          <w:szCs w:val="24"/>
        </w:rPr>
        <w:t>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1.6交付（服务、完工）时间：合同签订之日起30日历天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8资金来源：体彩公益金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3.4本项目不接受联合体投标。</w:t>
      </w:r>
    </w:p>
    <w:p>
      <w:pPr>
        <w:pStyle w:val="26"/>
        <w:keepNext w:val="0"/>
        <w:keepLines w:val="0"/>
        <w:pageBreakBefore w:val="0"/>
        <w:widowControl/>
        <w:kinsoku/>
        <w:overflowPunct/>
        <w:topLinePunct w:val="0"/>
        <w:bidi w:val="0"/>
        <w:spacing w:line="360" w:lineRule="auto"/>
        <w:ind w:firstLine="482" w:firstLineChars="200"/>
        <w:contextualSpacing/>
        <w:jc w:val="left"/>
        <w:textAlignment w:val="auto"/>
        <w:rPr>
          <w:rFonts w:hint="eastAsia" w:ascii="宋体" w:hAnsi="宋体" w:eastAsia="宋体" w:cs="宋体"/>
          <w:b/>
          <w:bCs/>
          <w:kern w:val="0"/>
          <w:lang w:val="en-US" w:eastAsia="zh-CN"/>
        </w:rPr>
      </w:pPr>
      <w:r>
        <w:rPr>
          <w:rFonts w:hint="eastAsia" w:ascii="宋体" w:hAnsi="宋体" w:cs="宋体"/>
          <w:b/>
          <w:bCs/>
          <w:kern w:val="0"/>
          <w:lang w:val="en-US" w:eastAsia="zh-CN"/>
        </w:rPr>
        <w:t>3.5本项目专门面向中小企业采购。</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6"/>
        <w:wordWrap w:val="0"/>
        <w:spacing w:line="360" w:lineRule="auto"/>
        <w:contextualSpacing/>
        <w:rPr>
          <w:b/>
        </w:rPr>
      </w:pPr>
      <w:r>
        <w:rPr>
          <w:rFonts w:hint="eastAsia"/>
          <w:b/>
        </w:rPr>
        <w:t>五、</w:t>
      </w:r>
      <w:r>
        <w:rPr>
          <w:rFonts w:hint="eastAsia"/>
          <w:b/>
          <w:kern w:val="2"/>
        </w:rPr>
        <w:t>投标截止时间、开标时间及地点</w:t>
      </w:r>
    </w:p>
    <w:p>
      <w:pPr>
        <w:pStyle w:val="26"/>
        <w:shd w:val="clear" w:color="auto" w:fill="FFFFFF"/>
        <w:spacing w:line="360" w:lineRule="auto"/>
        <w:ind w:firstLine="360" w:firstLineChars="150"/>
        <w:contextualSpacing/>
      </w:pPr>
      <w:r>
        <w:t>5.1</w:t>
      </w:r>
      <w:r>
        <w:rPr>
          <w:rFonts w:hint="eastAsia"/>
        </w:rPr>
        <w:t>投标截止及开标时间：20</w:t>
      </w:r>
      <w:r>
        <w:t>2</w:t>
      </w:r>
      <w:r>
        <w:rPr>
          <w:rFonts w:hint="eastAsia"/>
        </w:rPr>
        <w:t>2年</w:t>
      </w:r>
      <w:r>
        <w:rPr>
          <w:rFonts w:hint="eastAsia"/>
          <w:lang w:val="en-US" w:eastAsia="zh-CN"/>
        </w:rPr>
        <w:t>8</w:t>
      </w:r>
      <w:r>
        <w:rPr>
          <w:rFonts w:hint="eastAsia"/>
        </w:rPr>
        <w:t>月</w:t>
      </w:r>
      <w:r>
        <w:rPr>
          <w:rFonts w:hint="eastAsia"/>
          <w:lang w:val="en-US" w:eastAsia="zh-CN"/>
        </w:rPr>
        <w:t>10</w:t>
      </w:r>
      <w:r>
        <w:rPr>
          <w:rFonts w:hint="eastAsia"/>
        </w:rPr>
        <w:t>日</w:t>
      </w:r>
      <w:r>
        <w:rPr>
          <w:rFonts w:hint="eastAsia"/>
          <w:lang w:val="en-US" w:eastAsia="zh-CN"/>
        </w:rPr>
        <w:t>9</w:t>
      </w:r>
      <w:r>
        <w:rPr>
          <w:rFonts w:hint="eastAsia"/>
        </w:rPr>
        <w:t>时</w:t>
      </w:r>
      <w:r>
        <w:rPr>
          <w:rFonts w:hint="eastAsia"/>
          <w:lang w:val="en-US" w:eastAsia="zh-CN"/>
        </w:rPr>
        <w:t>00</w:t>
      </w:r>
      <w:r>
        <w:rPr>
          <w:rFonts w:hint="eastAsia"/>
        </w:rPr>
        <w:t>分（北京时间），逾期提交或不符合规定的投标文件不予接受。</w:t>
      </w:r>
    </w:p>
    <w:p>
      <w:pPr>
        <w:pStyle w:val="26"/>
        <w:shd w:val="clear" w:color="auto" w:fill="FFFFFF"/>
        <w:spacing w:line="360" w:lineRule="auto"/>
        <w:ind w:firstLine="360" w:firstLineChars="150"/>
        <w:contextualSpacing/>
      </w:pPr>
      <w:r>
        <w:t>5.2</w:t>
      </w:r>
      <w:r>
        <w:rPr>
          <w:rFonts w:hint="eastAsia"/>
        </w:rPr>
        <w:t>开标地点：长葛市公共资源交易中心开标</w:t>
      </w:r>
      <w:r>
        <w:rPr>
          <w:rFonts w:hint="eastAsia"/>
          <w:lang w:eastAsia="zh-CN"/>
        </w:rPr>
        <w:t>一</w:t>
      </w:r>
      <w:r>
        <w:rPr>
          <w:rFonts w:hint="eastAsia"/>
        </w:rPr>
        <w:t>室（长葛市葛天大道东段商务区6#楼</w:t>
      </w:r>
      <w:r>
        <w:rPr>
          <w:rFonts w:hint="eastAsia"/>
          <w:lang w:val="en-US" w:eastAsia="zh-CN"/>
        </w:rPr>
        <w:t>5</w:t>
      </w:r>
      <w:r>
        <w:rPr>
          <w:rFonts w:hint="eastAsia"/>
        </w:rPr>
        <w:t>楼</w:t>
      </w:r>
      <w:r>
        <w:rPr>
          <w:rFonts w:hint="eastAsia"/>
          <w:lang w:val="en-US" w:eastAsia="zh-CN"/>
        </w:rPr>
        <w:t>506</w:t>
      </w:r>
      <w:r>
        <w:rPr>
          <w:rFonts w:hint="eastAsia"/>
        </w:rPr>
        <w:t>室），（本项目采用远程不见面开标，投标人无须到现场）。</w:t>
      </w:r>
    </w:p>
    <w:p>
      <w:pPr>
        <w:pStyle w:val="26"/>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6"/>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6"/>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6"/>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人：长葛市体育发展中心</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人：栾先生   </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 xml:space="preserve">联系方式：13027671306  </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rPr>
        <w:t>址：长葛市葛天大道商务区</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 xml:space="preserve">代理机构：河南晟加工程咨询有限公司 </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人：王女士   </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联系方式：13733699192</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代理机构地址：河南省郑州市金水区东风路3号附3号财智名座28层2816号</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地址：长葛市葛天大道1号楼财政局308室</w:t>
      </w:r>
    </w:p>
    <w:p>
      <w:pPr>
        <w:autoSpaceDE w:val="0"/>
        <w:autoSpaceDN w:val="0"/>
        <w:spacing w:line="440" w:lineRule="exact"/>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长葛市公共资源交易中心业务科室联</w:t>
      </w:r>
      <w:r>
        <w:rPr>
          <w:rFonts w:hint="eastAsia" w:ascii="宋体" w:hAnsi="宋体" w:cs="宋体"/>
          <w:kern w:val="0"/>
          <w:sz w:val="24"/>
          <w:szCs w:val="24"/>
          <w:highlight w:val="none"/>
        </w:rPr>
        <w:t>系电话：</w:t>
      </w:r>
      <w:r>
        <w:rPr>
          <w:rFonts w:hint="eastAsia" w:ascii="宋体" w:hAnsi="宋体" w:cs="宋体"/>
          <w:kern w:val="0"/>
          <w:sz w:val="24"/>
          <w:szCs w:val="24"/>
          <w:highlight w:val="none"/>
          <w:lang w:val="en-US" w:eastAsia="zh-CN"/>
        </w:rPr>
        <w:t>0374-</w:t>
      </w:r>
      <w:r>
        <w:rPr>
          <w:rFonts w:hint="eastAsia" w:ascii="宋体" w:hAnsi="宋体" w:cs="宋体"/>
          <w:kern w:val="0"/>
          <w:sz w:val="24"/>
          <w:szCs w:val="24"/>
          <w:highlight w:val="none"/>
        </w:rPr>
        <w:t>6189667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Style w:val="34"/>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采购需求及相关要求</w:t>
      </w:r>
    </w:p>
    <w:p/>
    <w:p>
      <w:pPr>
        <w:snapToGrid w:val="0"/>
        <w:spacing w:line="360" w:lineRule="auto"/>
        <w:rPr>
          <w:rStyle w:val="58"/>
          <w:rFonts w:ascii="宋体" w:hAnsi="宋体"/>
          <w:b/>
          <w:szCs w:val="21"/>
        </w:rPr>
      </w:pPr>
      <w:r>
        <w:rPr>
          <w:rStyle w:val="58"/>
          <w:rFonts w:hint="eastAsia" w:ascii="宋体" w:hAnsi="宋体" w:cs="宋体"/>
          <w:b/>
          <w:bCs/>
          <w:kern w:val="0"/>
          <w:sz w:val="24"/>
          <w:szCs w:val="24"/>
          <w:lang w:val="en-US" w:eastAsia="zh-CN"/>
        </w:rPr>
        <w:t>一、</w:t>
      </w:r>
      <w:r>
        <w:rPr>
          <w:rStyle w:val="58"/>
          <w:rFonts w:ascii="宋体" w:hAnsi="宋体" w:cs="宋体"/>
          <w:b/>
          <w:bCs/>
          <w:kern w:val="0"/>
          <w:sz w:val="24"/>
          <w:szCs w:val="24"/>
        </w:rPr>
        <w:t>采购清单</w:t>
      </w:r>
    </w:p>
    <w:tbl>
      <w:tblPr>
        <w:tblStyle w:val="30"/>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11"/>
        <w:gridCol w:w="7630"/>
        <w:gridCol w:w="43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80" w:type="dxa"/>
            <w:vAlign w:val="center"/>
          </w:tcPr>
          <w:p>
            <w:pPr>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序号</w:t>
            </w:r>
          </w:p>
        </w:tc>
        <w:tc>
          <w:tcPr>
            <w:tcW w:w="811" w:type="dxa"/>
            <w:vAlign w:val="center"/>
          </w:tcPr>
          <w:p>
            <w:pPr>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名称</w:t>
            </w:r>
          </w:p>
        </w:tc>
        <w:tc>
          <w:tcPr>
            <w:tcW w:w="7630" w:type="dxa"/>
            <w:vAlign w:val="center"/>
          </w:tcPr>
          <w:p>
            <w:pPr>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技术参数</w:t>
            </w:r>
          </w:p>
        </w:tc>
        <w:tc>
          <w:tcPr>
            <w:tcW w:w="435" w:type="dxa"/>
            <w:vAlign w:val="center"/>
          </w:tcPr>
          <w:p>
            <w:pPr>
              <w:autoSpaceDE w:val="0"/>
              <w:autoSpaceDN w:val="0"/>
              <w:adjustRightInd w:val="0"/>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color w:val="auto"/>
                <w:sz w:val="21"/>
                <w:szCs w:val="21"/>
                <w:lang w:val="zh-CN"/>
              </w:rPr>
              <w:t>单 位</w:t>
            </w:r>
          </w:p>
        </w:tc>
        <w:tc>
          <w:tcPr>
            <w:tcW w:w="468" w:type="dxa"/>
            <w:vAlign w:val="center"/>
          </w:tcPr>
          <w:p>
            <w:pPr>
              <w:autoSpaceDE w:val="0"/>
              <w:autoSpaceDN w:val="0"/>
              <w:adjustRightInd w:val="0"/>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color w:val="auto"/>
                <w:sz w:val="21"/>
                <w:szCs w:val="21"/>
                <w:lang w:val="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480" w:type="dxa"/>
            <w:vAlign w:val="center"/>
          </w:tcPr>
          <w:p>
            <w:pPr>
              <w:keepNext w:val="0"/>
              <w:keepLines w:val="0"/>
              <w:widowControl/>
              <w:suppressLineNumbers w:val="0"/>
              <w:spacing w:line="360" w:lineRule="auto"/>
              <w:jc w:val="center"/>
              <w:textAlignment w:val="bottom"/>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811" w:type="dxa"/>
            <w:vAlign w:val="center"/>
          </w:tcPr>
          <w:p>
            <w:pPr>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sz w:val="21"/>
                <w:szCs w:val="21"/>
                <w:lang w:val="en-US" w:eastAsia="zh-CN"/>
              </w:rPr>
              <w:t>多功能运动场（30m*17m）</w:t>
            </w:r>
          </w:p>
        </w:tc>
        <w:tc>
          <w:tcPr>
            <w:tcW w:w="7630" w:type="dxa"/>
            <w:vAlign w:val="center"/>
          </w:tcPr>
          <w:p>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场地围网：</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1.围网采用框架式结构，颜色为：墨绿色。 </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2.网丝采用PE勾花网，网孔尺寸</w:t>
            </w:r>
            <w:r>
              <w:rPr>
                <w:rFonts w:hint="eastAsia" w:ascii="宋体" w:hAnsi="宋体" w:eastAsia="宋体" w:cs="宋体"/>
                <w:sz w:val="21"/>
                <w:szCs w:val="21"/>
                <w:highlight w:val="none"/>
                <w:lang w:val="en-US" w:eastAsia="zh-CN"/>
              </w:rPr>
              <w:t>为 50mm×50mm，</w:t>
            </w:r>
            <w:r>
              <w:rPr>
                <w:rFonts w:hint="eastAsia" w:ascii="宋体" w:hAnsi="宋体" w:eastAsia="宋体" w:cs="宋体"/>
                <w:sz w:val="21"/>
                <w:szCs w:val="21"/>
                <w:lang w:val="en-US" w:eastAsia="zh-CN"/>
              </w:rPr>
              <w:t xml:space="preserve">内径 2.3 mm ，外径 3.8mm。 </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3.立柱采用镀锌钢管直径为 76mm，壁厚不小于3.0mm，高度 4.4m，其中0.4m在地面以下(插入混凝土内)。 </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4.边框采用方管焊接结构，尺寸为2m</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3m</w:t>
            </w:r>
            <w:r>
              <w:rPr>
                <w:rFonts w:hint="eastAsia" w:ascii="宋体" w:hAnsi="宋体" w:eastAsia="宋体" w:cs="宋体"/>
                <w:sz w:val="21"/>
                <w:szCs w:val="21"/>
                <w:lang w:val="en-US" w:eastAsia="zh-CN"/>
              </w:rPr>
              <w:t>，方管尺寸为50mm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val="en-US" w:eastAsia="zh-CN"/>
              </w:rPr>
              <w:t xml:space="preserve">50mm，壁厚不小于3.0mm， 主体圆管与边框采用精钢冲压扣件固定。 </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5.场地设计进出口门，尺寸不小于1.2m宽和2.2m 高</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立柱、边框等热浸锌防锈处理及聚酯粉沫喷涂处理，扣件</w:t>
            </w:r>
            <w:r>
              <w:rPr>
                <w:rFonts w:hint="eastAsia" w:ascii="宋体" w:hAnsi="宋体" w:cs="宋体"/>
                <w:sz w:val="21"/>
                <w:szCs w:val="21"/>
                <w:lang w:val="en-US" w:eastAsia="zh-CN"/>
              </w:rPr>
              <w:t>及配套附件</w:t>
            </w:r>
            <w:r>
              <w:rPr>
                <w:rFonts w:hint="eastAsia" w:ascii="宋体" w:hAnsi="宋体" w:eastAsia="宋体" w:cs="宋体"/>
                <w:sz w:val="21"/>
                <w:szCs w:val="21"/>
                <w:lang w:val="en-US" w:eastAsia="zh-CN"/>
              </w:rPr>
              <w:t xml:space="preserve">做聚酯粉沫喷涂烤漆处理。 </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7.灯具：采用不小于200W的LED防眩光压铸铝分体式灯具，输入电压 AC 100-240V，电源效率＞90%，配光方式：LED+PC防眩光罩，使用寿命&gt;50000 小时。IP 等级 IP65，防水防雷。配光工艺：铝制反光板+钢化玻璃。灯具尺寸不小于520*320*200mm。 </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灯柱：采用镀镀圆管，直径为114mm，壁厚不小于 3.5mm，总高度6.8</w:t>
            </w:r>
            <w:r>
              <w:rPr>
                <w:rFonts w:hint="eastAsia" w:ascii="宋体" w:hAnsi="宋体" w:cs="宋体"/>
                <w:sz w:val="21"/>
                <w:szCs w:val="21"/>
                <w:lang w:val="en-US" w:eastAsia="zh-CN"/>
              </w:rPr>
              <w:t>m</w:t>
            </w:r>
            <w:r>
              <w:rPr>
                <w:rFonts w:hint="eastAsia" w:ascii="宋体" w:hAnsi="宋体" w:eastAsia="宋体" w:cs="宋体"/>
                <w:sz w:val="21"/>
                <w:szCs w:val="21"/>
                <w:lang w:val="en-US" w:eastAsia="zh-CN"/>
              </w:rPr>
              <w:t>，其中地面以上高度为6</w:t>
            </w:r>
            <w:r>
              <w:rPr>
                <w:rFonts w:hint="eastAsia" w:ascii="宋体" w:hAnsi="宋体" w:cs="宋体"/>
                <w:sz w:val="21"/>
                <w:szCs w:val="21"/>
                <w:lang w:val="en-US" w:eastAsia="zh-CN"/>
              </w:rPr>
              <w:t>m</w:t>
            </w:r>
            <w:r>
              <w:rPr>
                <w:rFonts w:hint="eastAsia" w:ascii="宋体" w:hAnsi="宋体" w:eastAsia="宋体" w:cs="宋体"/>
                <w:sz w:val="21"/>
                <w:szCs w:val="21"/>
                <w:lang w:val="en-US" w:eastAsia="zh-CN"/>
              </w:rPr>
              <w:t>, 地下预埋0.8</w:t>
            </w:r>
            <w:r>
              <w:rPr>
                <w:rFonts w:hint="eastAsia" w:ascii="宋体" w:hAnsi="宋体" w:cs="宋体"/>
                <w:sz w:val="21"/>
                <w:szCs w:val="21"/>
                <w:lang w:val="en-US" w:eastAsia="zh-CN"/>
              </w:rPr>
              <w:t>m</w:t>
            </w:r>
            <w:r>
              <w:rPr>
                <w:rFonts w:hint="eastAsia" w:ascii="宋体" w:hAnsi="宋体" w:eastAsia="宋体" w:cs="宋体"/>
                <w:sz w:val="21"/>
                <w:szCs w:val="21"/>
                <w:lang w:val="en-US" w:eastAsia="zh-CN"/>
              </w:rPr>
              <w:t>(插入混凝土内)。</w:t>
            </w:r>
          </w:p>
          <w:p>
            <w:pPr>
              <w:pStyle w:val="18"/>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悬浮地板：</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1.篮球反弹率：≥93%.</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2.抗滑值（湿测）：≥47</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3.高温试验：（100℃，24h）试验后无融化、无龟裂、无明显色差.</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4.低温试验：（-50℃，24h）试验后无龟裂、无明显色差.</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5.邵氏硬度：≥60</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6.苯24h释放量为0.</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7.甲苯24h释放量≤1mg/m3</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8.总挥发性有机物（TVOC）24h释放量≤0.5mg/m3</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9.吸水尺寸变化率（水溶液浸泡不少于2000h后），长度和宽度尺寸变化率≤0.01%。</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10.耐酸碱性（分别在40%硫酸（H2SO4）溶液和40%氢氧化钠（NaOH）溶液中浸泡不少于1000h)后，外观无明显变化，灰卡4-5级。</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11.不少于212种高关注物质(SVHC)筛分测试报告，测试结果≤0.1%（w/w）.</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12.冲击法脆化温度：测试结果不高于-60°C。</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13.耐环境应力开裂时长不少于</w:t>
            </w:r>
            <w:r>
              <w:rPr>
                <w:rFonts w:hint="eastAsia" w:ascii="宋体" w:hAnsi="宋体" w:cs="宋体"/>
                <w:sz w:val="21"/>
                <w:szCs w:val="21"/>
                <w:lang w:val="en-US" w:eastAsia="zh-CN"/>
              </w:rPr>
              <w:t>18000</w:t>
            </w:r>
            <w:r>
              <w:rPr>
                <w:rFonts w:hint="eastAsia" w:ascii="宋体" w:hAnsi="宋体" w:eastAsia="宋体" w:cs="宋体"/>
                <w:sz w:val="21"/>
                <w:szCs w:val="21"/>
              </w:rPr>
              <w:t>h，破裂率0%.</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14.高温试验（120℃，2000h）后，样品外观无明显变化,无变色、开裂、变形，邵氏硬度（Shore D）≥60，尺寸变化率（长度、宽度、厚度）≤0.1%。</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15.低温试验（-40℃，2000h）后，摩擦系数0.6-1.5，色差等级≤1级，△E≤0.3。</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16.耐湿热老化11000h后，外观无明显变化，灰卡评级4级。</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17.氙灯老化2000h后，拉伸强度≥20Mpa，标称应变≥100%。</w:t>
            </w:r>
          </w:p>
          <w:p>
            <w:pPr>
              <w:pStyle w:val="63"/>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18.耐化学性(清洗剂、矿物油)不少于1000h，外观无明显变化，灰卡评级4-5级。</w:t>
            </w:r>
          </w:p>
          <w:p>
            <w:pPr>
              <w:pStyle w:val="18"/>
              <w:ind w:left="0" w:leftChars="0" w:right="136" w:rightChars="65" w:firstLine="422" w:firstLineChars="200"/>
              <w:rPr>
                <w:rFonts w:hint="eastAsia" w:ascii="宋体" w:hAnsi="宋体" w:eastAsia="宋体" w:cs="宋体"/>
                <w:sz w:val="21"/>
                <w:szCs w:val="21"/>
                <w:lang w:val="en-US" w:eastAsia="zh-CN"/>
              </w:rPr>
            </w:pPr>
            <w:r>
              <w:rPr>
                <w:rFonts w:hint="eastAsia" w:ascii="宋体" w:hAnsi="宋体" w:eastAsia="宋体" w:cs="宋体"/>
                <w:b/>
                <w:bCs w:val="0"/>
                <w:sz w:val="21"/>
                <w:szCs w:val="21"/>
              </w:rPr>
              <w:t>悬浮地板产品技术参数，需提供带“CMA”或“CNAS”标志的检测报告加盖制造商</w:t>
            </w:r>
            <w:r>
              <w:rPr>
                <w:rFonts w:hint="eastAsia" w:ascii="宋体" w:hAnsi="宋体" w:eastAsia="宋体" w:cs="宋体"/>
                <w:b/>
                <w:bCs w:val="0"/>
                <w:sz w:val="21"/>
                <w:szCs w:val="21"/>
                <w:lang w:val="en-US" w:eastAsia="zh-CN"/>
              </w:rPr>
              <w:t>公</w:t>
            </w:r>
            <w:r>
              <w:rPr>
                <w:rFonts w:hint="eastAsia" w:ascii="宋体" w:hAnsi="宋体" w:eastAsia="宋体" w:cs="宋体"/>
                <w:b/>
                <w:bCs w:val="0"/>
                <w:sz w:val="21"/>
                <w:szCs w:val="21"/>
              </w:rPr>
              <w:t>章</w:t>
            </w:r>
            <w:r>
              <w:rPr>
                <w:rFonts w:hint="eastAsia" w:ascii="宋体" w:hAnsi="宋体" w:eastAsia="宋体" w:cs="宋体"/>
                <w:b/>
                <w:bCs w:val="0"/>
                <w:sz w:val="21"/>
                <w:szCs w:val="21"/>
                <w:lang w:val="en-US" w:eastAsia="zh-CN"/>
              </w:rPr>
              <w:t>原件扫描件</w:t>
            </w: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否则按无效标处理</w:t>
            </w:r>
            <w:r>
              <w:rPr>
                <w:rFonts w:hint="eastAsia" w:ascii="宋体" w:hAnsi="宋体" w:eastAsia="宋体" w:cs="宋体"/>
                <w:b/>
                <w:bCs w:val="0"/>
                <w:sz w:val="21"/>
                <w:szCs w:val="21"/>
              </w:rPr>
              <w:t>。</w:t>
            </w:r>
          </w:p>
        </w:tc>
        <w:tc>
          <w:tcPr>
            <w:tcW w:w="435" w:type="dxa"/>
            <w:vAlign w:val="center"/>
          </w:tcPr>
          <w:p>
            <w:pPr>
              <w:keepNext w:val="0"/>
              <w:keepLines w:val="0"/>
              <w:widowControl/>
              <w:suppressLineNumbers w:val="0"/>
              <w:jc w:val="center"/>
              <w:textAlignment w:val="center"/>
              <w:rPr>
                <w:rFonts w:hint="eastAsia" w:ascii="宋体" w:hAnsi="宋体" w:eastAsia="宋体" w:cs="宋体"/>
                <w:b/>
                <w:bCs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468" w:type="dxa"/>
            <w:vAlign w:val="center"/>
          </w:tcPr>
          <w:p>
            <w:pPr>
              <w:keepNext w:val="0"/>
              <w:keepLines w:val="0"/>
              <w:widowControl/>
              <w:suppressLineNumbers w:val="0"/>
              <w:jc w:val="center"/>
              <w:textAlignment w:val="center"/>
              <w:rPr>
                <w:rFonts w:hint="eastAsia" w:ascii="宋体" w:hAnsi="宋体" w:eastAsia="宋体" w:cs="宋体"/>
                <w:b/>
                <w:bCs w:val="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80" w:type="dxa"/>
            <w:vAlign w:val="center"/>
          </w:tcPr>
          <w:p>
            <w:pPr>
              <w:keepNext w:val="0"/>
              <w:keepLines w:val="0"/>
              <w:widowControl/>
              <w:suppressLineNumbers w:val="0"/>
              <w:spacing w:line="360" w:lineRule="auto"/>
              <w:jc w:val="center"/>
              <w:textAlignment w:val="bottom"/>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腰背按摩器</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主要承载立柱规格（mm）：钢管Φ不小于114x3</w:t>
            </w:r>
          </w:p>
          <w:p>
            <w:pPr>
              <w:spacing w:line="360" w:lineRule="auto"/>
              <w:jc w:val="left"/>
              <w:rPr>
                <w:rFonts w:hint="eastAsia" w:ascii="宋体" w:hAnsi="宋体" w:eastAsia="宋体" w:cs="宋体"/>
                <w:b w:val="0"/>
                <w:bCs w:val="0"/>
                <w:color w:val="C00000"/>
                <w:sz w:val="21"/>
                <w:szCs w:val="21"/>
                <w:lang w:val="en-US" w:eastAsia="zh-CN"/>
              </w:rPr>
            </w:pPr>
            <w:r>
              <w:rPr>
                <w:rFonts w:hint="eastAsia" w:ascii="宋体" w:hAnsi="宋体" w:eastAsia="宋体" w:cs="宋体"/>
                <w:b w:val="0"/>
                <w:bCs w:val="0"/>
                <w:sz w:val="21"/>
                <w:szCs w:val="21"/>
                <w:lang w:val="en-US" w:eastAsia="zh-CN"/>
              </w:rPr>
              <w:t>主要承载横梁规格（mm）：钢管Φ不小于</w:t>
            </w:r>
            <w:r>
              <w:rPr>
                <w:rFonts w:hint="eastAsia" w:ascii="宋体" w:hAnsi="宋体" w:eastAsia="宋体" w:cs="宋体"/>
                <w:b w:val="0"/>
                <w:bCs w:val="0"/>
                <w:sz w:val="21"/>
                <w:szCs w:val="21"/>
                <w:highlight w:val="none"/>
                <w:lang w:val="en-US" w:eastAsia="zh-CN"/>
              </w:rPr>
              <w:t>42x2.5</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活动部件与固定部件之间的距离应不小于60mm；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扶手直径应不小于16mm且不大于45mm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轴承采用6205 两型号深沟球轴承，并有防尘、防水结构</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转动部件与端面固定件之间距离为1.5mm不允许存在剪切点、挤压点、引入点，不允许存在刚性碰撞；；</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480"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三位扭腰器</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主要承载立柱规格（mm）：钢管φ不小于114×3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主要承载横梁规格（mm）：钢管φ不小于32×3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扭腰盘不应使用塑料材质；扭腰盘应具有阻尼装置。扭腰盘半径为150mm，阻尼值力矩范围为0.75N•M＜Dt＜3.75 N•M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脚踏部位应有防滑措施，站立使用的单脚防滑面应不小于（3×104）mm²，摩擦系数应不小于0.5；</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不存在衣服、头发钩挂或缠绕危险；不存在和使用功能无关的凸出物。</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腿部按摩器</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主要承载立柱规格（mm）：钢管φ不小于114×3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主要承载横梁规格（mm）：钢管φ不小于60×3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按摩轮为ABS材质。不存在和使用功能无关的凸出物；器材各支撑人体的表面所有棱边和尖角半径3.0mm，使用者或第三者易接触的零部件的其他所有棱边进行圆滑过渡。</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8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背肌训练器</w:t>
            </w:r>
          </w:p>
        </w:tc>
        <w:tc>
          <w:tcPr>
            <w:tcW w:w="7630" w:type="dxa"/>
            <w:vAlign w:val="center"/>
          </w:tcPr>
          <w:p>
            <w:pPr>
              <w:spacing w:line="360" w:lineRule="auto"/>
              <w:jc w:val="left"/>
              <w:rPr>
                <w:rFonts w:hint="eastAsia" w:ascii="宋体" w:hAnsi="宋体" w:eastAsia="宋体" w:cs="宋体"/>
                <w:b w:val="0"/>
                <w:bCs w:val="0"/>
                <w:color w:val="C00000"/>
                <w:sz w:val="21"/>
                <w:szCs w:val="21"/>
                <w:highlight w:val="yellow"/>
                <w:lang w:val="en-US" w:eastAsia="zh-CN"/>
              </w:rPr>
            </w:pPr>
            <w:r>
              <w:rPr>
                <w:rFonts w:hint="eastAsia" w:ascii="宋体" w:hAnsi="宋体" w:eastAsia="宋体" w:cs="宋体"/>
                <w:b w:val="0"/>
                <w:bCs w:val="0"/>
                <w:sz w:val="21"/>
                <w:szCs w:val="21"/>
                <w:lang w:val="en-US" w:eastAsia="zh-CN"/>
              </w:rPr>
              <w:t>主要承载立柱规格（mm）：钢管Φ不小</w:t>
            </w:r>
            <w:r>
              <w:rPr>
                <w:rFonts w:hint="eastAsia" w:ascii="宋体" w:hAnsi="宋体" w:eastAsia="宋体" w:cs="宋体"/>
                <w:b w:val="0"/>
                <w:bCs w:val="0"/>
                <w:color w:val="auto"/>
                <w:sz w:val="21"/>
                <w:szCs w:val="21"/>
                <w:lang w:val="en-US" w:eastAsia="zh-CN"/>
              </w:rPr>
              <w:t>于</w:t>
            </w:r>
            <w:r>
              <w:rPr>
                <w:rFonts w:hint="eastAsia" w:ascii="宋体" w:hAnsi="宋体" w:eastAsia="宋体" w:cs="宋体"/>
                <w:b w:val="0"/>
                <w:bCs w:val="0"/>
                <w:color w:val="auto"/>
                <w:sz w:val="21"/>
                <w:szCs w:val="21"/>
                <w:highlight w:val="none"/>
                <w:lang w:val="en-US" w:eastAsia="zh-CN"/>
              </w:rPr>
              <w:t xml:space="preserve">60×3 </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主要承载横梁规格（mm）：钢管φ不小于60×3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器材不允许存在衣服、头发钩挂或缠绕危险；不存在和使用功能无关的凸出物；</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器材在正常使用过程中不应存在染色、掉沫及感官所能察觉到的较浓异味等现象；</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在明显位置有警示标志，字体采用照相腐蚀，环保耐用；</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80" w:type="dxa"/>
            <w:vAlign w:val="center"/>
          </w:tcPr>
          <w:p>
            <w:pPr>
              <w:keepNext w:val="0"/>
              <w:keepLines w:val="0"/>
              <w:widowControl/>
              <w:suppressLineNumbers w:val="0"/>
              <w:spacing w:line="360" w:lineRule="auto"/>
              <w:jc w:val="center"/>
              <w:textAlignment w:val="bottom"/>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反屈伸训练器</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主要承载立柱规格（mm）：钢管Φ不小于114x3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主要承载横梁规格（mm）：钢管Φ不小于60x3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不存在衣服、头发钩挂或缠绕危险；不存在和使用功能无关的凸出物。</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器材有安全警示标志采用图文形式提示使用者可能存在风险。</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480"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上肢牵引器</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主要承载立柱规格（mm）：钢管φ不小于114×3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主要承载横梁规格（mm）：钢管φ不小于76×3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采用内置限位装置，把手重量不大于600g，柔性连接装置小于把手重量承受载荷拉力不小于16000N；</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摆杆运动至极限位置时，摆杆最低点与地面的距离大于1850mm；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紧固件材质为不锈钢，具有防盗、防锈、防松功能，需专用工具方可拆卸；</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80" w:type="dxa"/>
            <w:vAlign w:val="center"/>
          </w:tcPr>
          <w:p>
            <w:pPr>
              <w:keepNext w:val="0"/>
              <w:keepLines w:val="0"/>
              <w:widowControl/>
              <w:suppressLineNumbers w:val="0"/>
              <w:spacing w:line="360" w:lineRule="auto"/>
              <w:jc w:val="center"/>
              <w:textAlignment w:val="bottom"/>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棋牌桌</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主要承载立柱规格（mm）：钢管不小于φ114×3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主承载横梁规格（mm）:钢管</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不小于20×25×2.0或钢管φ不小于76×3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座椅为钢板一次冲压成型，紧固件材质为不锈钢，具有防盗、防锈、防松功能，需专用工具方可拆卸；</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桌面面板采用不锈钢304材质，棋盘线为黑色3mm线条，‘楚河汉界’为红色，经过特殊药液腐蚀而成。</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48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骑马机（骑马器）</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主要承载立柱规格（mm）：钢管φ114×3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主要承载横梁规格（mm）：钢管φ60×3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所有管材壁厚不小于2mm，耳片、连接片壁厚不小于5mm，转轴直径不小于20mm；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脚踏杆底部离地高度不小于120mm；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扶手采用橡胶把套, 可有效防滑，座板采用优质钢板一次冲压成型，厚度4.0mm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座管摆动设有内置双限位装置，可有效防止挤压；</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80" w:type="dxa"/>
            <w:vAlign w:val="center"/>
          </w:tcPr>
          <w:p>
            <w:pPr>
              <w:keepNext w:val="0"/>
              <w:keepLines w:val="0"/>
              <w:widowControl/>
              <w:suppressLineNumbers w:val="0"/>
              <w:spacing w:line="360" w:lineRule="auto"/>
              <w:jc w:val="center"/>
              <w:textAlignment w:val="bottom"/>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811" w:type="dxa"/>
            <w:vAlign w:val="center"/>
          </w:tcPr>
          <w:p>
            <w:pPr>
              <w:spacing w:line="360" w:lineRule="auto"/>
              <w:jc w:val="both"/>
              <w:rPr>
                <w:rFonts w:hint="eastAsia" w:ascii="宋体" w:hAnsi="宋体" w:eastAsia="宋体" w:cs="宋体"/>
                <w:b w:val="0"/>
                <w:bCs w:val="0"/>
                <w:color w:val="C00000"/>
                <w:sz w:val="21"/>
                <w:szCs w:val="21"/>
                <w:lang w:val="en-US"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sz w:val="21"/>
                <w:szCs w:val="21"/>
                <w:lang w:val="en-US" w:eastAsia="zh-CN"/>
              </w:rPr>
              <w:t>休闲椅（休闲平凳）</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外形尺寸（mm）：不小于1200×360×430mm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器材不允许存在衣服、头发钩挂或缠绕危险；不存在和使用功能无关的凸出物；</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器材在正常使用过程中不应存在染色、掉沫及感官所能察觉到的较浓异味等现象；</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480" w:type="dxa"/>
            <w:vAlign w:val="center"/>
          </w:tcPr>
          <w:p>
            <w:pPr>
              <w:keepNext w:val="0"/>
              <w:keepLines w:val="0"/>
              <w:widowControl/>
              <w:suppressLineNumbers w:val="0"/>
              <w:spacing w:line="360" w:lineRule="auto"/>
              <w:jc w:val="center"/>
              <w:textAlignment w:val="bottom"/>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81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bCs/>
                <w:kern w:val="0"/>
                <w:sz w:val="21"/>
                <w:szCs w:val="21"/>
                <w:highlight w:val="none"/>
              </w:rPr>
              <w:t>★</w:t>
            </w:r>
            <w:r>
              <w:rPr>
                <w:rFonts w:hint="eastAsia" w:ascii="宋体" w:hAnsi="宋体" w:eastAsia="宋体" w:cs="宋体"/>
                <w:b w:val="0"/>
                <w:bCs w:val="0"/>
                <w:sz w:val="21"/>
                <w:szCs w:val="21"/>
                <w:lang w:val="en-US" w:eastAsia="zh-CN"/>
              </w:rPr>
              <w:t>两位漫步机（二位/两联太空漫步机）</w:t>
            </w:r>
          </w:p>
        </w:tc>
        <w:tc>
          <w:tcPr>
            <w:tcW w:w="7630" w:type="dxa"/>
            <w:vAlign w:val="center"/>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主要承载立柱规格（mm）：钢管Φ不小于114×3</w:t>
            </w:r>
          </w:p>
          <w:p>
            <w:pPr>
              <w:spacing w:line="36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主要承载横梁规格（mm）：钢管Φ不小</w:t>
            </w:r>
            <w:r>
              <w:rPr>
                <w:rFonts w:hint="eastAsia" w:ascii="宋体" w:hAnsi="宋体" w:eastAsia="宋体" w:cs="宋体"/>
                <w:b w:val="0"/>
                <w:bCs w:val="0"/>
                <w:sz w:val="21"/>
                <w:szCs w:val="21"/>
                <w:highlight w:val="none"/>
                <w:lang w:val="en-US" w:eastAsia="zh-CN"/>
              </w:rPr>
              <w:t>于60×3</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摆杆选用不小于Φ60×3mm的钢管；</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摆杆有限位装置，单侧摆动幅度不大于65°</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立柱与摆杆之间距离应不小于60mm；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相邻两踏板之间距离不小于100mm；</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脚踏板前后设有防撞缓冲垫，且用不锈钢防盗螺丝紧固；</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不存在衣服头发钩挂或缠绕危险；不存在和使用功能无关的凸出物；</w:t>
            </w:r>
          </w:p>
          <w:p>
            <w:pPr>
              <w:spacing w:line="360" w:lineRule="auto"/>
              <w:ind w:firstLine="422"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产品符合GB19272-2011【室外健身器材安全 通用要求】标准，具有国家体育用品质量监督检验中心的检验报告。具有NSCC国体认证证书。</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r>
    </w:tbl>
    <w:p>
      <w:pPr>
        <w:spacing w:line="500" w:lineRule="exact"/>
        <w:rPr>
          <w:rFonts w:ascii="宋体" w:hAnsi="宋体" w:eastAsia="宋体" w:cs="宋体"/>
          <w:b/>
          <w:bCs/>
          <w:sz w:val="24"/>
          <w:szCs w:val="24"/>
          <w:highlight w:val="none"/>
        </w:rPr>
      </w:pPr>
      <w:r>
        <w:rPr>
          <w:rFonts w:hint="eastAsia" w:ascii="宋体" w:hAnsi="宋体" w:eastAsia="宋体" w:cs="宋体"/>
          <w:bCs/>
          <w:sz w:val="24"/>
          <w:szCs w:val="24"/>
          <w:highlight w:val="none"/>
        </w:rPr>
        <w:t>二、</w:t>
      </w:r>
      <w:r>
        <w:rPr>
          <w:rFonts w:hint="eastAsia" w:ascii="宋体" w:hAnsi="宋体" w:eastAsia="宋体" w:cs="宋体"/>
          <w:b/>
          <w:bCs/>
          <w:sz w:val="24"/>
          <w:szCs w:val="24"/>
          <w:highlight w:val="none"/>
        </w:rPr>
        <w:t>其他要求：</w:t>
      </w:r>
    </w:p>
    <w:p>
      <w:pPr>
        <w:spacing w:line="440" w:lineRule="exact"/>
        <w:ind w:right="55" w:rightChars="26" w:firstLine="480" w:firstLineChars="200"/>
        <w:rPr>
          <w:rFonts w:ascii="宋体" w:hAnsi="宋体" w:eastAsia="宋体" w:cs="宋体"/>
          <w:b/>
          <w:bCs/>
          <w:kern w:val="0"/>
          <w:sz w:val="24"/>
          <w:szCs w:val="24"/>
          <w:highlight w:val="none"/>
        </w:rPr>
      </w:pPr>
      <w:r>
        <w:rPr>
          <w:rFonts w:hint="eastAsia" w:ascii="宋体" w:hAnsi="宋体" w:eastAsia="宋体" w:cs="宋体"/>
          <w:kern w:val="0"/>
          <w:sz w:val="24"/>
          <w:szCs w:val="24"/>
          <w:highlight w:val="none"/>
        </w:rPr>
        <w:t>1、为保证产品质量，采购需求中要求提供检验报告的健身器材产品必须符合参数要求，</w:t>
      </w:r>
      <w:r>
        <w:rPr>
          <w:rFonts w:hint="eastAsia" w:ascii="宋体" w:hAnsi="宋体" w:eastAsia="宋体" w:cs="宋体"/>
          <w:b/>
          <w:bCs/>
          <w:kern w:val="0"/>
          <w:sz w:val="24"/>
          <w:szCs w:val="24"/>
          <w:highlight w:val="none"/>
        </w:rPr>
        <w:t>符合GB19272-2011（室外健身器材的安全 通用要求）相关标准要求，提供检验报告原件扫描件加盖</w:t>
      </w:r>
      <w:r>
        <w:rPr>
          <w:rFonts w:hint="eastAsia" w:ascii="宋体" w:hAnsi="宋体" w:eastAsia="宋体" w:cs="宋体"/>
          <w:b/>
          <w:bCs w:val="0"/>
          <w:sz w:val="24"/>
        </w:rPr>
        <w:t>制造商</w:t>
      </w:r>
      <w:r>
        <w:rPr>
          <w:rFonts w:hint="eastAsia" w:ascii="宋体" w:hAnsi="宋体" w:cs="宋体"/>
          <w:b/>
          <w:bCs w:val="0"/>
          <w:sz w:val="24"/>
          <w:lang w:val="en-US" w:eastAsia="zh-CN"/>
        </w:rPr>
        <w:t>公</w:t>
      </w:r>
      <w:r>
        <w:rPr>
          <w:rFonts w:hint="eastAsia" w:ascii="宋体" w:hAnsi="宋体" w:eastAsia="宋体" w:cs="宋体"/>
          <w:b/>
          <w:bCs/>
          <w:kern w:val="0"/>
          <w:sz w:val="24"/>
          <w:szCs w:val="24"/>
          <w:highlight w:val="none"/>
        </w:rPr>
        <w:t>章，并获得NSCC国体认证（提供NSCC证书网页截图，查询渠道</w:t>
      </w:r>
      <w:r>
        <w:rPr>
          <w:highlight w:val="none"/>
        </w:rPr>
        <w:fldChar w:fldCharType="begin"/>
      </w:r>
      <w:r>
        <w:rPr>
          <w:highlight w:val="none"/>
        </w:rPr>
        <w:instrText xml:space="preserve"> HYPERLINK "http://www.nscc.com.cn" </w:instrText>
      </w:r>
      <w:r>
        <w:rPr>
          <w:highlight w:val="none"/>
        </w:rPr>
        <w:fldChar w:fldCharType="separate"/>
      </w:r>
      <w:r>
        <w:rPr>
          <w:rFonts w:hint="eastAsia"/>
          <w:highlight w:val="none"/>
        </w:rPr>
        <w:t>www.nscc.com.cn</w:t>
      </w:r>
      <w:r>
        <w:rPr>
          <w:rFonts w:hint="eastAsia"/>
          <w:highlight w:val="none"/>
        </w:rPr>
        <w:fldChar w:fldCharType="end"/>
      </w:r>
      <w:r>
        <w:rPr>
          <w:rFonts w:hint="eastAsia" w:ascii="宋体" w:hAnsi="宋体" w:eastAsia="宋体" w:cs="宋体"/>
          <w:b/>
          <w:bCs/>
          <w:kern w:val="0"/>
          <w:sz w:val="24"/>
          <w:szCs w:val="24"/>
          <w:highlight w:val="none"/>
        </w:rPr>
        <w:t>），提供N</w:t>
      </w:r>
      <w:r>
        <w:rPr>
          <w:rFonts w:ascii="宋体" w:hAnsi="宋体" w:eastAsia="宋体" w:cs="宋体"/>
          <w:b/>
          <w:bCs/>
          <w:kern w:val="0"/>
          <w:sz w:val="24"/>
          <w:szCs w:val="24"/>
          <w:highlight w:val="none"/>
        </w:rPr>
        <w:t>SCC</w:t>
      </w:r>
      <w:r>
        <w:rPr>
          <w:rFonts w:hint="eastAsia" w:ascii="宋体" w:hAnsi="宋体" w:eastAsia="宋体" w:cs="宋体"/>
          <w:b/>
          <w:bCs/>
          <w:kern w:val="0"/>
          <w:sz w:val="24"/>
          <w:szCs w:val="24"/>
          <w:highlight w:val="none"/>
        </w:rPr>
        <w:t>证书及确认函原件扫描件加盖制造商</w:t>
      </w:r>
      <w:r>
        <w:rPr>
          <w:rFonts w:hint="eastAsia" w:ascii="宋体" w:hAnsi="宋体" w:eastAsia="宋体" w:cs="宋体"/>
          <w:b/>
          <w:bCs/>
          <w:kern w:val="0"/>
          <w:sz w:val="24"/>
          <w:szCs w:val="24"/>
          <w:highlight w:val="none"/>
          <w:lang w:val="en-US" w:eastAsia="zh-CN"/>
        </w:rPr>
        <w:t>公</w:t>
      </w:r>
      <w:r>
        <w:rPr>
          <w:rFonts w:hint="eastAsia" w:ascii="宋体" w:hAnsi="宋体" w:eastAsia="宋体" w:cs="宋体"/>
          <w:b/>
          <w:bCs/>
          <w:kern w:val="0"/>
          <w:sz w:val="24"/>
          <w:szCs w:val="24"/>
          <w:highlight w:val="none"/>
        </w:rPr>
        <w:t>章。</w:t>
      </w:r>
    </w:p>
    <w:p>
      <w:pPr>
        <w:spacing w:line="440" w:lineRule="exact"/>
        <w:ind w:right="55" w:rightChars="26"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提供相应的产品检验报告</w:t>
      </w:r>
      <w:r>
        <w:rPr>
          <w:rFonts w:hint="eastAsia" w:ascii="宋体" w:hAnsi="宋体" w:eastAsia="宋体" w:cs="宋体"/>
          <w:color w:val="auto"/>
          <w:kern w:val="0"/>
          <w:sz w:val="24"/>
          <w:szCs w:val="24"/>
          <w:highlight w:val="none"/>
        </w:rPr>
        <w:t>（检验报告检测</w:t>
      </w:r>
      <w:r>
        <w:rPr>
          <w:rFonts w:hint="eastAsia" w:ascii="宋体" w:hAnsi="宋体" w:cs="宋体"/>
          <w:color w:val="auto"/>
          <w:kern w:val="0"/>
          <w:sz w:val="24"/>
          <w:szCs w:val="24"/>
          <w:highlight w:val="none"/>
          <w:lang w:eastAsia="zh-CN"/>
        </w:rPr>
        <w:t>及相应要求的</w:t>
      </w:r>
      <w:r>
        <w:rPr>
          <w:rFonts w:hint="eastAsia" w:ascii="宋体" w:hAnsi="宋体" w:cs="宋体"/>
          <w:color w:val="auto"/>
          <w:kern w:val="0"/>
          <w:sz w:val="24"/>
          <w:szCs w:val="24"/>
          <w:highlight w:val="none"/>
          <w:lang w:val="en-US" w:eastAsia="zh-CN"/>
        </w:rPr>
        <w:t>NSCC证书</w:t>
      </w:r>
      <w:r>
        <w:rPr>
          <w:rFonts w:hint="eastAsia" w:ascii="宋体" w:hAnsi="宋体" w:eastAsia="宋体" w:cs="宋体"/>
          <w:color w:val="auto"/>
          <w:kern w:val="0"/>
          <w:sz w:val="24"/>
          <w:szCs w:val="24"/>
          <w:highlight w:val="none"/>
        </w:rPr>
        <w:t>日期应在公告发布之日前，公告发布之日后</w:t>
      </w:r>
      <w:r>
        <w:rPr>
          <w:rFonts w:hint="eastAsia" w:ascii="宋体" w:hAnsi="宋体" w:eastAsia="宋体" w:cs="宋体"/>
          <w:kern w:val="0"/>
          <w:sz w:val="24"/>
          <w:szCs w:val="24"/>
          <w:highlight w:val="none"/>
        </w:rPr>
        <w:t>视为无效）。</w:t>
      </w:r>
    </w:p>
    <w:p>
      <w:pPr>
        <w:spacing w:line="440" w:lineRule="exact"/>
        <w:ind w:right="55" w:rightChars="26"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2、质保期：八年</w:t>
      </w:r>
    </w:p>
    <w:p>
      <w:pPr>
        <w:spacing w:line="440" w:lineRule="exact"/>
        <w:ind w:right="55" w:rightChars="26"/>
        <w:rPr>
          <w:rFonts w:ascii="宋体" w:hAnsi="宋体" w:eastAsia="宋体" w:cs="宋体"/>
          <w:b/>
          <w:bCs/>
          <w:sz w:val="24"/>
          <w:szCs w:val="24"/>
          <w:highlight w:val="none"/>
        </w:rPr>
      </w:pPr>
      <w:r>
        <w:rPr>
          <w:rFonts w:hint="eastAsia" w:ascii="宋体" w:hAnsi="宋体" w:eastAsia="宋体" w:cs="宋体"/>
          <w:b/>
          <w:bCs/>
          <w:sz w:val="24"/>
          <w:szCs w:val="24"/>
          <w:highlight w:val="none"/>
        </w:rPr>
        <w:t>三、验收标准：</w:t>
      </w:r>
    </w:p>
    <w:p>
      <w:pPr>
        <w:spacing w:line="440" w:lineRule="exact"/>
        <w:ind w:left="480" w:right="55" w:rightChars="26" w:firstLine="480" w:firstLineChars="200"/>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rPr>
        <w:t>1</w:t>
      </w:r>
      <w:r>
        <w:rPr>
          <w:rFonts w:hint="eastAsia" w:cs="宋体" w:asciiTheme="minorEastAsia" w:hAnsiTheme="minorEastAsia" w:eastAsiaTheme="minorEastAsia"/>
          <w:kern w:val="0"/>
          <w:sz w:val="24"/>
          <w:szCs w:val="24"/>
          <w:highlight w:val="none"/>
        </w:rPr>
        <w:t>、由采购人成立验收小组，按照采购合同的约定对中标人履约情况进行验收，包括对产品检验报告的验收</w:t>
      </w:r>
      <w:r>
        <w:rPr>
          <w:rFonts w:hint="eastAsia" w:cs="宋体" w:asciiTheme="minorEastAsia" w:hAnsiTheme="minorEastAsia" w:eastAsiaTheme="minorEastAsia"/>
          <w:kern w:val="0"/>
          <w:sz w:val="24"/>
          <w:szCs w:val="24"/>
          <w:highlight w:val="none"/>
          <w:lang w:val="zh-CN"/>
        </w:rPr>
        <w:t>。验收时按照采购合同的约定对履约情况进行确认。验收结束后，出具验收书，列明各项标准的验收情况及项目总体评价，由验收双方共同签署。</w:t>
      </w:r>
    </w:p>
    <w:p>
      <w:pPr>
        <w:spacing w:line="440" w:lineRule="exact"/>
        <w:ind w:left="480" w:right="55" w:rightChars="26" w:firstLine="480" w:firstLineChars="200"/>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rPr>
        <w:t>2</w:t>
      </w:r>
      <w:r>
        <w:rPr>
          <w:rFonts w:hint="eastAsia" w:cs="宋体" w:asciiTheme="minorEastAsia" w:hAnsiTheme="minorEastAsia" w:eastAsiaTheme="minorEastAsia"/>
          <w:kern w:val="0"/>
          <w:sz w:val="24"/>
          <w:szCs w:val="24"/>
          <w:highlight w:val="none"/>
          <w:lang w:val="zh-CN"/>
        </w:rPr>
        <w:t>、本项目投标报价为总包价，包含货物采购、包装、运输、装卸、质保、第三方验收、税金等一切费用，如有</w:t>
      </w:r>
      <w:r>
        <w:rPr>
          <w:rFonts w:hint="eastAsia" w:cs="宋体" w:asciiTheme="minorEastAsia" w:hAnsiTheme="minorEastAsia" w:eastAsiaTheme="minorEastAsia"/>
          <w:kern w:val="0"/>
          <w:sz w:val="24"/>
          <w:szCs w:val="24"/>
          <w:highlight w:val="none"/>
          <w:lang w:val="en-US" w:eastAsia="zh-CN"/>
        </w:rPr>
        <w:t>招标</w:t>
      </w:r>
      <w:r>
        <w:rPr>
          <w:rFonts w:hint="eastAsia" w:cs="宋体" w:asciiTheme="minorEastAsia" w:hAnsiTheme="minorEastAsia" w:eastAsiaTheme="minorEastAsia"/>
          <w:kern w:val="0"/>
          <w:sz w:val="24"/>
          <w:szCs w:val="24"/>
          <w:highlight w:val="none"/>
          <w:lang w:val="zh-CN"/>
        </w:rPr>
        <w:t>文件中没有明确，而本项目必须的各种材料，均应包括在本项目中，采购人不再另行进行支付有关款项。</w:t>
      </w:r>
    </w:p>
    <w:p>
      <w:pPr>
        <w:spacing w:line="440" w:lineRule="exact"/>
        <w:ind w:left="480" w:right="55" w:rightChars="26" w:firstLine="480" w:firstLineChars="200"/>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rPr>
        <w:t>、交付日期：合同签订之日起30日历天。</w:t>
      </w:r>
    </w:p>
    <w:p>
      <w:pPr>
        <w:spacing w:line="440" w:lineRule="exact"/>
        <w:ind w:right="55" w:rightChars="26"/>
        <w:rPr>
          <w:rFonts w:ascii="宋体" w:hAnsi="宋体" w:eastAsia="宋体" w:cs="宋体"/>
          <w:bCs/>
          <w:sz w:val="24"/>
          <w:szCs w:val="24"/>
        </w:rPr>
      </w:pPr>
      <w:r>
        <w:rPr>
          <w:rFonts w:hint="eastAsia" w:ascii="宋体" w:hAnsi="宋体" w:eastAsia="宋体" w:cs="宋体"/>
          <w:b/>
          <w:bCs/>
          <w:sz w:val="24"/>
          <w:szCs w:val="24"/>
        </w:rPr>
        <w:t>四、本项目采购预算</w:t>
      </w:r>
      <w:r>
        <w:rPr>
          <w:rFonts w:hint="eastAsia" w:ascii="宋体" w:hAnsi="宋体" w:eastAsia="宋体" w:cs="宋体"/>
          <w:bCs/>
          <w:sz w:val="24"/>
          <w:szCs w:val="24"/>
        </w:rPr>
        <w:t>：</w:t>
      </w:r>
      <w:r>
        <w:rPr>
          <w:rFonts w:hint="eastAsia" w:ascii="宋体" w:hAnsi="宋体" w:eastAsia="宋体" w:cs="宋体"/>
          <w:bCs/>
          <w:sz w:val="24"/>
          <w:szCs w:val="24"/>
          <w:lang w:val="en-US" w:eastAsia="zh-CN"/>
        </w:rPr>
        <w:t>2000000.00</w:t>
      </w:r>
      <w:r>
        <w:rPr>
          <w:rFonts w:hint="eastAsia" w:ascii="宋体" w:hAnsi="宋体" w:eastAsia="宋体" w:cs="宋体"/>
          <w:bCs/>
          <w:sz w:val="24"/>
          <w:szCs w:val="24"/>
        </w:rPr>
        <w:t>元，此预算价为最高限价，超出最高限价的投标无效。</w:t>
      </w:r>
    </w:p>
    <w:p>
      <w:pPr>
        <w:spacing w:line="440" w:lineRule="exact"/>
        <w:ind w:right="55" w:rightChars="26"/>
        <w:rPr>
          <w:rFonts w:ascii="宋体" w:hAnsi="宋体" w:eastAsia="宋体" w:cs="宋体"/>
          <w:b/>
          <w:bCs/>
          <w:sz w:val="24"/>
          <w:szCs w:val="24"/>
        </w:rPr>
      </w:pPr>
      <w:r>
        <w:rPr>
          <w:rFonts w:hint="eastAsia" w:ascii="宋体" w:hAnsi="宋体" w:eastAsia="宋体" w:cs="宋体"/>
          <w:b/>
          <w:bCs/>
          <w:sz w:val="24"/>
          <w:szCs w:val="24"/>
        </w:rPr>
        <w:t>五、资金支付：</w:t>
      </w:r>
    </w:p>
    <w:p>
      <w:pPr>
        <w:keepNext w:val="0"/>
        <w:keepLines w:val="0"/>
        <w:pageBreakBefore w:val="0"/>
        <w:kinsoku/>
        <w:wordWrap/>
        <w:overflowPunct/>
        <w:topLinePunct w:val="0"/>
        <w:autoSpaceDE/>
        <w:autoSpaceDN/>
        <w:bidi w:val="0"/>
        <w:spacing w:line="360" w:lineRule="auto"/>
        <w:ind w:firstLine="360" w:firstLineChars="150"/>
        <w:textAlignment w:val="auto"/>
        <w:rPr>
          <w:rFonts w:hint="eastAsia" w:ascii="宋体" w:hAnsi="宋体" w:cs="宋体"/>
          <w:kern w:val="0"/>
          <w:sz w:val="24"/>
          <w:lang w:eastAsia="zh-CN"/>
        </w:rPr>
      </w:pPr>
      <w:r>
        <w:rPr>
          <w:rFonts w:hint="eastAsia" w:ascii="宋体" w:hAnsi="宋体" w:cs="宋体"/>
          <w:kern w:val="0"/>
          <w:sz w:val="24"/>
        </w:rPr>
        <w:t>1、支付方式：</w:t>
      </w:r>
      <w:r>
        <w:rPr>
          <w:rFonts w:hint="eastAsia" w:ascii="宋体" w:hAnsi="宋体" w:cs="宋体"/>
          <w:kern w:val="0"/>
          <w:sz w:val="24"/>
          <w:szCs w:val="24"/>
        </w:rPr>
        <w:t>银行转账</w:t>
      </w:r>
      <w:r>
        <w:rPr>
          <w:rFonts w:hint="eastAsia" w:ascii="宋体" w:hAnsi="宋体" w:cs="宋体"/>
          <w:kern w:val="0"/>
          <w:sz w:val="24"/>
          <w:lang w:eastAsia="zh-CN"/>
        </w:rPr>
        <w:t>。</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cs="宋体"/>
          <w:b/>
          <w:sz w:val="24"/>
        </w:rPr>
      </w:pPr>
      <w:r>
        <w:rPr>
          <w:rFonts w:hint="eastAsia" w:ascii="宋体" w:hAnsi="宋体" w:cs="宋体"/>
          <w:kern w:val="0"/>
          <w:sz w:val="24"/>
        </w:rPr>
        <w:t>2、支付时间及条件：</w:t>
      </w:r>
      <w:r>
        <w:rPr>
          <w:rFonts w:hint="eastAsia" w:ascii="宋体" w:hAnsi="宋体" w:cs="宋体"/>
          <w:kern w:val="0"/>
          <w:sz w:val="24"/>
          <w:lang w:eastAsia="zh-CN"/>
        </w:rPr>
        <w:t>经采购人验收合格后一次性付清</w:t>
      </w:r>
      <w:r>
        <w:rPr>
          <w:rFonts w:hint="eastAsia" w:ascii="宋体" w:hAnsi="宋体" w:cs="宋体"/>
          <w:b/>
          <w:sz w:val="24"/>
        </w:rPr>
        <w:t>。</w:t>
      </w:r>
    </w:p>
    <w:p>
      <w:pPr>
        <w:pStyle w:val="62"/>
        <w:ind w:firstLine="482"/>
        <w:contextualSpacing/>
        <w:jc w:val="left"/>
        <w:rPr>
          <w:rFonts w:ascii="宋体" w:hAnsi="宋体" w:cs="宋体"/>
          <w:b/>
          <w:sz w:val="24"/>
          <w:szCs w:val="24"/>
        </w:rPr>
      </w:pPr>
    </w:p>
    <w:p>
      <w:pPr>
        <w:pStyle w:val="62"/>
        <w:ind w:firstLine="482"/>
        <w:contextualSpacing/>
        <w:jc w:val="left"/>
        <w:rPr>
          <w:rFonts w:ascii="宋体" w:hAnsi="宋体" w:cs="宋体"/>
          <w:b/>
          <w:sz w:val="24"/>
          <w:szCs w:val="24"/>
        </w:rPr>
      </w:pPr>
    </w:p>
    <w:p>
      <w:pPr>
        <w:ind w:firstLine="420" w:firstLineChars="200"/>
        <w:contextualSpacing/>
        <w:jc w:val="left"/>
      </w:pPr>
      <w: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400" w:lineRule="exact"/>
              <w:jc w:val="left"/>
              <w:rPr>
                <w:rFonts w:ascii="宋体" w:hAnsi="宋体"/>
                <w:color w:val="auto"/>
                <w:sz w:val="24"/>
                <w:szCs w:val="24"/>
              </w:rPr>
            </w:pPr>
            <w:r>
              <w:rPr>
                <w:rFonts w:hint="eastAsia" w:ascii="宋体" w:hAnsi="宋体"/>
                <w:sz w:val="24"/>
                <w:szCs w:val="24"/>
              </w:rPr>
              <w:t>项目名称：</w:t>
            </w:r>
            <w:r>
              <w:rPr>
                <w:rFonts w:hint="eastAsia" w:ascii="宋体" w:hAnsi="宋体"/>
                <w:sz w:val="24"/>
                <w:szCs w:val="24"/>
                <w:lang w:val="en-US" w:eastAsia="zh-CN"/>
              </w:rPr>
              <w:t>长葛市体育发展中心15分钟健身圈购置体育健身器材项目 （不见面开标）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color w:val="auto"/>
                <w:sz w:val="24"/>
                <w:szCs w:val="24"/>
              </w:rPr>
              <w:t>项目编号：长招采公字【202</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010</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vAlign w:val="top"/>
          </w:tcPr>
          <w:p>
            <w:pPr>
              <w:widowControl/>
              <w:spacing w:before="31" w:line="360" w:lineRule="auto"/>
              <w:jc w:val="left"/>
              <w:rPr>
                <w:rFonts w:hint="eastAsia" w:ascii="宋体" w:hAnsi="宋体"/>
                <w:sz w:val="24"/>
                <w:szCs w:val="24"/>
              </w:rPr>
            </w:pPr>
            <w:r>
              <w:rPr>
                <w:rFonts w:hint="eastAsia" w:ascii="宋体" w:hAnsi="宋体"/>
                <w:sz w:val="24"/>
                <w:szCs w:val="24"/>
              </w:rPr>
              <w:t>采购人：长葛市体育发展中心</w:t>
            </w:r>
          </w:p>
          <w:p>
            <w:pPr>
              <w:widowControl/>
              <w:spacing w:before="31" w:line="360" w:lineRule="auto"/>
              <w:jc w:val="left"/>
              <w:rPr>
                <w:rFonts w:hint="eastAsia" w:ascii="宋体" w:hAnsi="宋体"/>
                <w:sz w:val="24"/>
                <w:szCs w:val="24"/>
              </w:rPr>
            </w:pPr>
            <w:r>
              <w:rPr>
                <w:rFonts w:hint="eastAsia" w:ascii="宋体" w:hAnsi="宋体"/>
                <w:sz w:val="24"/>
                <w:szCs w:val="24"/>
              </w:rPr>
              <w:t>联系人：</w:t>
            </w:r>
            <w:r>
              <w:rPr>
                <w:rFonts w:hint="eastAsia" w:ascii="宋体" w:hAnsi="宋体"/>
                <w:sz w:val="24"/>
                <w:szCs w:val="24"/>
                <w:lang w:eastAsia="zh-CN"/>
              </w:rPr>
              <w:t>栾先生</w:t>
            </w:r>
            <w:r>
              <w:rPr>
                <w:rFonts w:hint="eastAsia" w:ascii="宋体" w:hAnsi="宋体"/>
                <w:sz w:val="24"/>
                <w:szCs w:val="24"/>
              </w:rPr>
              <w:t xml:space="preserve">   </w:t>
            </w:r>
          </w:p>
          <w:p>
            <w:pPr>
              <w:widowControl/>
              <w:spacing w:before="31" w:line="360" w:lineRule="auto"/>
              <w:jc w:val="left"/>
              <w:rPr>
                <w:rFonts w:hint="eastAsia" w:ascii="宋体" w:hAnsi="宋体"/>
                <w:sz w:val="24"/>
                <w:szCs w:val="24"/>
              </w:rPr>
            </w:pPr>
            <w:r>
              <w:rPr>
                <w:rFonts w:hint="eastAsia" w:ascii="宋体" w:hAnsi="宋体"/>
                <w:sz w:val="24"/>
                <w:szCs w:val="24"/>
              </w:rPr>
              <w:t>联系方式：</w:t>
            </w:r>
            <w:r>
              <w:rPr>
                <w:rFonts w:hint="eastAsia" w:ascii="宋体" w:hAnsi="宋体"/>
                <w:sz w:val="24"/>
                <w:szCs w:val="24"/>
                <w:lang w:eastAsia="zh-CN"/>
              </w:rPr>
              <w:t xml:space="preserve">13027671306 </w:t>
            </w:r>
            <w:r>
              <w:rPr>
                <w:rFonts w:hint="eastAsia" w:ascii="宋体" w:hAnsi="宋体"/>
                <w:sz w:val="24"/>
                <w:szCs w:val="24"/>
              </w:rPr>
              <w:t xml:space="preserve"> </w:t>
            </w:r>
          </w:p>
          <w:p>
            <w:pPr>
              <w:widowControl/>
              <w:spacing w:before="31" w:line="360" w:lineRule="auto"/>
              <w:jc w:val="left"/>
              <w:rPr>
                <w:rFonts w:ascii="宋体" w:hAnsi="宋体"/>
                <w:bCs/>
                <w:sz w:val="24"/>
                <w:szCs w:val="24"/>
              </w:rPr>
            </w:pPr>
            <w:r>
              <w:rPr>
                <w:rFonts w:hint="eastAsia" w:ascii="宋体" w:hAnsi="宋体"/>
                <w:sz w:val="24"/>
                <w:szCs w:val="24"/>
              </w:rPr>
              <w:t>地址：长葛市葛天大道商务区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60" w:lineRule="exact"/>
              <w:rPr>
                <w:rFonts w:hint="eastAsia" w:ascii="宋体" w:hAnsi="宋体"/>
                <w:sz w:val="24"/>
                <w:szCs w:val="24"/>
              </w:rPr>
            </w:pPr>
            <w:r>
              <w:rPr>
                <w:rFonts w:hint="eastAsia" w:ascii="宋体" w:hAnsi="宋体"/>
                <w:sz w:val="24"/>
                <w:szCs w:val="24"/>
              </w:rPr>
              <w:t xml:space="preserve">代理机构：河南晟加工程咨询有限公司 </w:t>
            </w:r>
          </w:p>
          <w:p>
            <w:pPr>
              <w:autoSpaceDE w:val="0"/>
              <w:autoSpaceDN w:val="0"/>
              <w:spacing w:line="460" w:lineRule="exact"/>
              <w:rPr>
                <w:rFonts w:hint="eastAsia" w:ascii="宋体" w:hAnsi="宋体"/>
                <w:sz w:val="24"/>
                <w:szCs w:val="24"/>
              </w:rPr>
            </w:pPr>
            <w:r>
              <w:rPr>
                <w:rFonts w:hint="eastAsia" w:ascii="宋体" w:hAnsi="宋体"/>
                <w:sz w:val="24"/>
                <w:szCs w:val="24"/>
              </w:rPr>
              <w:t xml:space="preserve">联系人：王女士   </w:t>
            </w:r>
          </w:p>
          <w:p>
            <w:pPr>
              <w:autoSpaceDE w:val="0"/>
              <w:autoSpaceDN w:val="0"/>
              <w:spacing w:line="460" w:lineRule="exact"/>
              <w:rPr>
                <w:rFonts w:hint="eastAsia" w:ascii="宋体" w:hAnsi="宋体"/>
                <w:sz w:val="24"/>
                <w:szCs w:val="24"/>
              </w:rPr>
            </w:pPr>
            <w:r>
              <w:rPr>
                <w:rFonts w:hint="eastAsia" w:ascii="宋体" w:hAnsi="宋体"/>
                <w:sz w:val="24"/>
                <w:szCs w:val="24"/>
              </w:rPr>
              <w:t>联系方式：13733699192</w:t>
            </w:r>
          </w:p>
          <w:p>
            <w:pPr>
              <w:autoSpaceDE w:val="0"/>
              <w:autoSpaceDN w:val="0"/>
              <w:spacing w:line="460" w:lineRule="exact"/>
              <w:rPr>
                <w:rFonts w:ascii="宋体" w:hAnsi="宋体"/>
                <w:sz w:val="24"/>
                <w:szCs w:val="24"/>
              </w:rPr>
            </w:pPr>
            <w:r>
              <w:rPr>
                <w:rFonts w:hint="eastAsia" w:ascii="宋体" w:hAnsi="宋体"/>
                <w:sz w:val="24"/>
                <w:szCs w:val="24"/>
              </w:rPr>
              <w:t>代理机构地址</w:t>
            </w:r>
            <w:r>
              <w:rPr>
                <w:rFonts w:hint="eastAsia" w:ascii="宋体" w:hAnsi="宋体"/>
                <w:sz w:val="24"/>
                <w:szCs w:val="24"/>
                <w:lang w:eastAsia="zh-CN"/>
              </w:rPr>
              <w:t>：</w:t>
            </w:r>
            <w:r>
              <w:rPr>
                <w:rFonts w:hint="eastAsia" w:ascii="宋体" w:hAnsi="宋体"/>
                <w:sz w:val="24"/>
                <w:szCs w:val="24"/>
              </w:rPr>
              <w:t>河南省郑州市金水区东风路3号附3号财智名座28层2816号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spacing w:line="500" w:lineRule="exact"/>
              <w:ind w:firstLine="480" w:firstLineChars="200"/>
              <w:rPr>
                <w:rFonts w:ascii="宋体" w:hAnsi="宋体"/>
                <w:kern w:val="0"/>
                <w:sz w:val="24"/>
                <w:szCs w:val="24"/>
              </w:rPr>
            </w:pPr>
            <w:r>
              <w:rPr>
                <w:rFonts w:hint="eastAsia" w:ascii="宋体" w:hAnsi="宋体"/>
                <w:kern w:val="0"/>
                <w:sz w:val="24"/>
                <w:szCs w:val="24"/>
                <w:lang w:val="en-US" w:eastAsia="zh-CN"/>
              </w:rPr>
              <w:t>一、</w:t>
            </w:r>
            <w:r>
              <w:rPr>
                <w:rFonts w:hint="eastAsia" w:ascii="宋体" w:hAnsi="宋体"/>
                <w:kern w:val="0"/>
                <w:sz w:val="24"/>
                <w:szCs w:val="24"/>
              </w:rPr>
              <w:t>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lang w:val="en-US" w:eastAsia="zh-CN"/>
              </w:rPr>
              <w:t>二、</w:t>
            </w:r>
            <w:r>
              <w:rPr>
                <w:rFonts w:hint="eastAsia" w:ascii="宋体" w:hAnsi="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三、</w:t>
            </w:r>
            <w:r>
              <w:rPr>
                <w:rFonts w:hint="eastAsia" w:ascii="宋体" w:hAnsi="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四、</w:t>
            </w:r>
            <w:r>
              <w:rPr>
                <w:rFonts w:hint="eastAsia" w:ascii="宋体" w:hAnsi="宋体"/>
                <w:kern w:val="0"/>
                <w:sz w:val="24"/>
                <w:szCs w:val="24"/>
              </w:rPr>
              <w:t>本项目不接受联合体投标。</w:t>
            </w:r>
          </w:p>
          <w:p>
            <w:pPr>
              <w:pStyle w:val="26"/>
              <w:keepNext w:val="0"/>
              <w:keepLines w:val="0"/>
              <w:pageBreakBefore w:val="0"/>
              <w:widowControl/>
              <w:kinsoku/>
              <w:overflowPunct/>
              <w:topLinePunct w:val="0"/>
              <w:bidi w:val="0"/>
              <w:spacing w:line="360" w:lineRule="auto"/>
              <w:ind w:firstLine="482" w:firstLineChars="200"/>
              <w:contextualSpacing/>
              <w:jc w:val="left"/>
              <w:textAlignment w:val="auto"/>
              <w:rPr>
                <w:rFonts w:hint="eastAsia" w:eastAsia="宋体"/>
                <w:lang w:val="en-US" w:eastAsia="zh-CN"/>
              </w:rPr>
            </w:pPr>
            <w:r>
              <w:rPr>
                <w:rFonts w:hint="eastAsia" w:cs="宋体"/>
                <w:b/>
                <w:bCs/>
                <w:kern w:val="0"/>
                <w:lang w:val="en-US" w:eastAsia="zh-CN"/>
              </w:rPr>
              <w:t>五、</w:t>
            </w:r>
            <w:r>
              <w:rPr>
                <w:rFonts w:hint="eastAsia" w:ascii="宋体" w:hAnsi="宋体" w:cs="宋体"/>
                <w:b/>
                <w:bCs/>
                <w:kern w:val="0"/>
                <w:lang w:val="en-US" w:eastAsia="zh-CN"/>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sz w:val="24"/>
                <w:lang w:val="en-US" w:eastAsia="zh-CN"/>
              </w:rPr>
              <w:t>2000000</w:t>
            </w:r>
            <w:r>
              <w:rPr>
                <w:rFonts w:hint="eastAsia" w:ascii="宋体" w:hAnsi="宋体" w:cs="宋体"/>
                <w:b/>
                <w:sz w:val="24"/>
              </w:rPr>
              <w:t>.00元，投标报价不得超过预算金额（最高限价），否则为无效报价。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2022年8月10日9时00分（北京时间）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val="en-US" w:eastAsia="zh-CN"/>
              </w:rPr>
              <w:t>一</w:t>
            </w:r>
            <w:r>
              <w:rPr>
                <w:rFonts w:hint="eastAsia" w:ascii="宋体" w:hAnsi="宋体"/>
                <w:sz w:val="24"/>
                <w:szCs w:val="24"/>
              </w:rPr>
              <w:t>室（长葛市葛天大道东段商务区6#楼</w:t>
            </w:r>
            <w:r>
              <w:rPr>
                <w:rFonts w:hint="eastAsia" w:ascii="宋体" w:hAnsi="宋体"/>
                <w:sz w:val="24"/>
                <w:szCs w:val="24"/>
                <w:lang w:val="en-US" w:eastAsia="zh-CN"/>
              </w:rPr>
              <w:t xml:space="preserve">5 </w:t>
            </w:r>
            <w:r>
              <w:rPr>
                <w:rFonts w:hint="eastAsia" w:ascii="宋体" w:hAnsi="宋体"/>
                <w:sz w:val="24"/>
                <w:szCs w:val="24"/>
              </w:rPr>
              <w:t>楼</w:t>
            </w:r>
            <w:r>
              <w:rPr>
                <w:rFonts w:hint="eastAsia" w:ascii="宋体" w:hAnsi="宋体"/>
                <w:sz w:val="24"/>
                <w:szCs w:val="24"/>
                <w:lang w:val="en-US" w:eastAsia="zh-CN"/>
              </w:rPr>
              <w:t>506</w:t>
            </w:r>
            <w:r>
              <w:rPr>
                <w:rFonts w:hint="eastAsia" w:ascii="宋体" w:hAnsi="宋体"/>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4"/>
                <w:rFonts w:ascii="宋体" w:hAnsi="宋体"/>
                <w:bCs/>
                <w:sz w:val="24"/>
                <w:szCs w:val="24"/>
              </w:rPr>
              <w:t>www.creditchina.gov.cn</w:t>
            </w:r>
            <w:r>
              <w:rPr>
                <w:rStyle w:val="34"/>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4"/>
                <w:rFonts w:ascii="宋体" w:hAnsi="宋体"/>
                <w:bCs/>
                <w:sz w:val="24"/>
                <w:szCs w:val="24"/>
              </w:rPr>
              <w:t>www.ccgp.gov.cn</w:t>
            </w:r>
            <w:r>
              <w:rPr>
                <w:rStyle w:val="34"/>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中标人在接到中标通知时，须向代理公司发送投标报价及分项报价一览表（包含主要中标标的的名称、规格型号、数量、单价、服务要求等）电子文档，并同时电话告知。联系电话：</w:t>
            </w:r>
            <w:r>
              <w:rPr>
                <w:rFonts w:hint="eastAsia" w:ascii="宋体" w:hAnsi="宋体"/>
                <w:bCs/>
                <w:sz w:val="24"/>
                <w:szCs w:val="24"/>
                <w:lang w:val="en-US" w:eastAsia="zh-CN"/>
              </w:rPr>
              <w:t>13733699192</w:t>
            </w:r>
            <w:r>
              <w:rPr>
                <w:rFonts w:hint="eastAsia" w:ascii="宋体" w:hAnsi="宋体"/>
                <w:bCs/>
                <w:sz w:val="24"/>
                <w:szCs w:val="24"/>
              </w:rPr>
              <w:t>；邮箱：</w:t>
            </w:r>
            <w:r>
              <w:rPr>
                <w:rFonts w:hint="eastAsia" w:ascii="宋体" w:hAnsi="宋体"/>
                <w:bCs/>
                <w:sz w:val="24"/>
                <w:szCs w:val="24"/>
                <w:lang w:val="en-US" w:eastAsia="zh-CN"/>
              </w:rPr>
              <w:t>419245953@qq</w:t>
            </w:r>
            <w:r>
              <w:rPr>
                <w:rFonts w:hint="eastAsia" w:ascii="宋体" w:hAnsi="宋体"/>
                <w:bCs/>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rPr>
            </w:pPr>
            <w:r>
              <w:rPr>
                <w:sz w:val="24"/>
              </w:rPr>
              <w:t xml:space="preserve">1、根据工信部等部委发布的《关于印发中小企业划型标准规定的通知》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autoSpaceDE w:val="0"/>
              <w:autoSpaceDN w:val="0"/>
              <w:adjustRightInd w:val="0"/>
              <w:snapToGrid w:val="0"/>
              <w:spacing w:line="360" w:lineRule="auto"/>
              <w:rPr>
                <w:sz w:val="24"/>
              </w:rPr>
            </w:pPr>
            <w:r>
              <w:rPr>
                <w:sz w:val="24"/>
              </w:rPr>
              <w:t xml:space="preserve">2、本次采购标的对应的中小企业划分标准所属行业：其他未列明行业。 </w:t>
            </w:r>
          </w:p>
          <w:p>
            <w:pPr>
              <w:autoSpaceDE w:val="0"/>
              <w:autoSpaceDN w:val="0"/>
              <w:adjustRightInd w:val="0"/>
              <w:snapToGrid w:val="0"/>
              <w:spacing w:line="360" w:lineRule="auto"/>
              <w:rPr>
                <w:sz w:val="24"/>
              </w:rPr>
            </w:pPr>
            <w:r>
              <w:rPr>
                <w:sz w:val="24"/>
              </w:rPr>
              <w:t>3、根据财政部、工业和信息化部发布的《政府采购促进中小企业发展管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对小型和微型企业投标价格给予20%（10%-20%）的扣除，用扣除后的价格参与评审。</w:t>
            </w:r>
          </w:p>
          <w:p>
            <w:pPr>
              <w:autoSpaceDE w:val="0"/>
              <w:autoSpaceDN w:val="0"/>
              <w:adjustRightInd w:val="0"/>
              <w:snapToGrid w:val="0"/>
              <w:spacing w:line="360" w:lineRule="auto"/>
              <w:rPr>
                <w:sz w:val="24"/>
              </w:rPr>
            </w:pPr>
            <w:r>
              <w:rPr>
                <w:sz w:val="24"/>
              </w:rPr>
              <w:t xml:space="preserve"> 4、以联合体形式参加政府采购活动，联合体各方均为中小企业的，联合 体视同中小企业。其中，联合体各方均为小微企业的，联合体视同小微 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28"/>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63"/>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7"/>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3"/>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3"/>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8"/>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8"/>
          <w:rFonts w:hint="eastAsia" w:ascii="宋体" w:hAnsi="宋体"/>
          <w:sz w:val="24"/>
          <w:szCs w:val="24"/>
          <w:lang w:val="zh-CN"/>
        </w:rPr>
        <w:t>件，解密时限为</w:t>
      </w:r>
      <w:r>
        <w:rPr>
          <w:rStyle w:val="58"/>
          <w:rFonts w:ascii="宋体" w:hAnsi="宋体"/>
          <w:sz w:val="24"/>
          <w:szCs w:val="24"/>
          <w:lang w:val="zh-CN"/>
        </w:rPr>
        <w:t>120</w:t>
      </w:r>
      <w:r>
        <w:rPr>
          <w:rStyle w:val="58"/>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cs="宋体"/>
          <w:color w:val="000000"/>
          <w:kern w:val="0"/>
        </w:rPr>
      </w:pPr>
      <w:r>
        <w:rPr>
          <w:rStyle w:val="58"/>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8"/>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8"/>
          <w:rFonts w:ascii="宋体" w:hAnsi="宋体"/>
          <w:sz w:val="24"/>
          <w:szCs w:val="24"/>
          <w:lang w:val="zh-CN"/>
        </w:rPr>
      </w:pPr>
      <w:r>
        <w:rPr>
          <w:rStyle w:val="58"/>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8"/>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“投标人须知前附表”中规定中标人提交履约担保的，中标人应当按要求向采购人提交。履约担保的数额不得超过政府采购合同金额的10%。</w:t>
      </w:r>
    </w:p>
    <w:p>
      <w:pPr>
        <w:numPr>
          <w:ilvl w:val="0"/>
          <w:numId w:val="0"/>
        </w:num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41.</w:t>
      </w:r>
      <w:r>
        <w:rPr>
          <w:rFonts w:hint="eastAsia" w:ascii="宋体" w:hAnsi="宋体" w:eastAsia="宋体" w:cs="宋体"/>
          <w:b/>
          <w:kern w:val="0"/>
          <w:sz w:val="24"/>
          <w:szCs w:val="24"/>
          <w:lang w:val="en-US" w:eastAsia="zh-CN" w:bidi="ar-SA"/>
        </w:rPr>
        <w:t>政府采购合同融资</w:t>
      </w:r>
    </w:p>
    <w:p>
      <w:pPr>
        <w:numPr>
          <w:ilvl w:val="0"/>
          <w:numId w:val="0"/>
        </w:numPr>
        <w:autoSpaceDE w:val="0"/>
        <w:autoSpaceDN w:val="0"/>
        <w:spacing w:line="360" w:lineRule="auto"/>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41.1 缓解中小企业融资难题</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41.2 合作金融机构（排名不分先后）</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合作金融机构名称：中原银行许昌分行（小微金融部）</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联系人及电话：陈阳 13137407575 方金龙 15836539901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地址：许昌市建安大道与紫云路交汇处中原银行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合作金融机构名称：浦发银行许昌分行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联系人及电话：赵勇 0374-7313569、7313502 18937459920</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地址：许昌市许继大道1163号许继花园</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合作金融机构名称：交通银行许昌分行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联系人：宋纪刚 0374-2369912 13733951305</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地址：许昌市莲城大道114号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合作金融机构名称：光大银行许昌分行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联系人：李东磊 0374-2928168 18569936868</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地址：许昌市魏都区八一路文峰路交叉口西北角</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合作金融机构名称：招商银行许昌分行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联系人及电话：崔星迪 0374-5376058 18839983051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地址：许昌市建安大道中段新天下AB座</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合作金融机构名称：邮储银行许昌市分行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联系人及电话：张彦峰13839001972 武松涛18839902679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徐亚爽15038297574</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地址：许昌市莲城大道邮储银行莲城支行二楼</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合作金融机构名称：中国银行许昌分行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联系人及电话：白炜 13938772680 刘晓飞 0374-3338596</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地址：许昌市魏都区建设路1488号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联系人：韩晨 13253490679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地址：郑州市金水区经三路北26号中信银行郑州红专路支行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41.3 “许昌市政府采购合同融资金融产品推介名录”链接</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http://xuchang.hngp.gov.cn/xuchang/content?infoId=1606365368231095&amp;channelCode=H711001</w:t>
      </w: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9"/>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19"/>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bookmarkStart w:id="9" w:name="_GoBack"/>
      <w:bookmarkEnd w:id="9"/>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2"/>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19"/>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eastAsia="宋体" w:cs="Calibri"/>
                <w:b/>
                <w:kern w:val="2"/>
                <w:sz w:val="22"/>
                <w:szCs w:val="22"/>
                <w:lang w:val="en-US" w:eastAsia="zh-CN" w:bidi="ar-SA"/>
              </w:rPr>
            </w:pPr>
            <w:r>
              <w:rPr>
                <w:rFonts w:hint="eastAsia" w:ascii="宋体" w:hAnsi="宋体"/>
                <w:b/>
                <w:sz w:val="22"/>
                <w:szCs w:val="22"/>
                <w:lang w:val="en-US" w:eastAsia="zh-CN"/>
              </w:rPr>
              <w:t>9</w:t>
            </w:r>
          </w:p>
        </w:tc>
        <w:tc>
          <w:tcPr>
            <w:tcW w:w="2410" w:type="dxa"/>
            <w:vAlign w:val="center"/>
          </w:tcPr>
          <w:p>
            <w:pPr>
              <w:spacing w:line="360" w:lineRule="auto"/>
              <w:rPr>
                <w:rFonts w:hint="eastAsia" w:ascii="宋体" w:hAnsi="宋体" w:eastAsia="宋体" w:cs="Calibri"/>
                <w:b/>
                <w:bCs/>
                <w:kern w:val="2"/>
                <w:sz w:val="22"/>
                <w:szCs w:val="22"/>
                <w:lang w:val="en-US" w:eastAsia="zh-CN" w:bidi="ar-SA"/>
              </w:rPr>
            </w:pPr>
            <w:r>
              <w:rPr>
                <w:rFonts w:hint="eastAsia" w:ascii="宋体" w:hAnsi="宋体"/>
                <w:b/>
                <w:bCs/>
                <w:sz w:val="22"/>
                <w:szCs w:val="22"/>
                <w:lang w:val="en-US" w:eastAsia="zh-CN"/>
              </w:rPr>
              <w:t>中小企业</w:t>
            </w:r>
          </w:p>
        </w:tc>
        <w:tc>
          <w:tcPr>
            <w:tcW w:w="5954" w:type="dxa"/>
            <w:vAlign w:val="center"/>
          </w:tcPr>
          <w:p>
            <w:pPr>
              <w:numPr>
                <w:ilvl w:val="0"/>
                <w:numId w:val="0"/>
              </w:numPr>
              <w:spacing w:line="276" w:lineRule="auto"/>
              <w:ind w:left="0" w:leftChars="0" w:firstLine="0" w:firstLineChars="0"/>
              <w:rPr>
                <w:rFonts w:hint="eastAsia" w:ascii="宋体" w:hAnsi="宋体" w:eastAsia="宋体" w:cs="宋体"/>
                <w:bCs/>
                <w:kern w:val="2"/>
                <w:sz w:val="22"/>
                <w:szCs w:val="22"/>
                <w:lang w:val="en-US" w:eastAsia="zh-CN" w:bidi="ar-SA"/>
              </w:rPr>
            </w:pPr>
            <w:r>
              <w:rPr>
                <w:rFonts w:ascii="宋体" w:hAnsi="宋体" w:eastAsia="宋体" w:cs="宋体"/>
                <w:b/>
                <w:bCs/>
                <w:sz w:val="24"/>
                <w:szCs w:val="24"/>
              </w:rPr>
              <w:t xml:space="preserve">中小企业出具《中小企业声明函》 </w:t>
            </w:r>
          </w:p>
        </w:tc>
      </w:tr>
    </w:tbl>
    <w:p>
      <w:pPr>
        <w:pStyle w:val="19"/>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9"/>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03"/>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1484"/>
        <w:gridCol w:w="63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2807" w:type="dxa"/>
            <w:gridSpan w:val="2"/>
            <w:vAlign w:val="center"/>
          </w:tcPr>
          <w:p>
            <w:pPr>
              <w:spacing w:before="132" w:line="240" w:lineRule="auto"/>
              <w:jc w:val="center"/>
              <w:rPr>
                <w:rFonts w:hint="eastAsia" w:ascii="宋体" w:hAnsi="宋体" w:eastAsia="宋体" w:cs="宋体"/>
                <w:color w:val="auto"/>
                <w:sz w:val="24"/>
                <w:szCs w:val="24"/>
              </w:rPr>
            </w:pPr>
            <w:r>
              <w:rPr>
                <w:rFonts w:hint="eastAsia" w:ascii="宋体" w:hAnsi="宋体" w:eastAsia="宋体" w:cs="宋体"/>
                <w:color w:val="auto"/>
                <w:spacing w:val="-14"/>
                <w:sz w:val="24"/>
                <w:szCs w:val="24"/>
              </w:rPr>
              <w:t>分值构成(总分 100 分)</w:t>
            </w:r>
          </w:p>
        </w:tc>
        <w:tc>
          <w:tcPr>
            <w:tcW w:w="6377" w:type="dxa"/>
            <w:vAlign w:val="center"/>
          </w:tcPr>
          <w:p>
            <w:pPr>
              <w:spacing w:before="132" w:line="240" w:lineRule="auto"/>
              <w:ind w:left="1371"/>
              <w:jc w:val="both"/>
              <w:rPr>
                <w:rFonts w:hint="eastAsia"/>
              </w:rPr>
            </w:pPr>
            <w:r>
              <w:rPr>
                <w:rFonts w:hint="eastAsia"/>
              </w:rPr>
              <w:t xml:space="preserve">价格分值： </w:t>
            </w:r>
            <w:r>
              <w:rPr>
                <w:rFonts w:hint="eastAsia"/>
                <w:lang w:val="en-US" w:eastAsia="zh-CN"/>
              </w:rPr>
              <w:t>40</w:t>
            </w:r>
            <w:r>
              <w:rPr>
                <w:rFonts w:hint="eastAsia"/>
              </w:rPr>
              <w:t xml:space="preserve"> 分</w:t>
            </w:r>
          </w:p>
          <w:p>
            <w:pPr>
              <w:spacing w:before="133" w:line="240" w:lineRule="auto"/>
              <w:ind w:left="1374"/>
              <w:jc w:val="both"/>
              <w:rPr>
                <w:rFonts w:hint="eastAsia"/>
              </w:rPr>
            </w:pPr>
            <w:r>
              <w:rPr>
                <w:rFonts w:hint="eastAsia"/>
              </w:rPr>
              <w:t xml:space="preserve">商务部分： </w:t>
            </w:r>
            <w:r>
              <w:rPr>
                <w:rFonts w:hint="eastAsia"/>
                <w:lang w:val="en-US" w:eastAsia="zh-CN"/>
              </w:rPr>
              <w:t>20</w:t>
            </w:r>
            <w:r>
              <w:rPr>
                <w:rFonts w:hint="eastAsia"/>
              </w:rPr>
              <w:t>分</w:t>
            </w:r>
          </w:p>
          <w:p>
            <w:pPr>
              <w:spacing w:before="218" w:line="240" w:lineRule="auto"/>
              <w:ind w:left="1371"/>
              <w:jc w:val="both"/>
              <w:rPr>
                <w:rFonts w:hint="eastAsia"/>
              </w:rPr>
            </w:pPr>
            <w:r>
              <w:rPr>
                <w:rFonts w:hint="eastAsia" w:ascii="宋体" w:hAnsi="宋体" w:eastAsia="宋体" w:cs="宋体"/>
                <w:color w:val="auto"/>
                <w:spacing w:val="-21"/>
                <w:sz w:val="24"/>
                <w:szCs w:val="24"/>
              </w:rPr>
              <w:t>技</w:t>
            </w:r>
            <w:r>
              <w:rPr>
                <w:rFonts w:hint="eastAsia" w:ascii="宋体" w:hAnsi="宋体" w:eastAsia="宋体" w:cs="宋体"/>
                <w:color w:val="auto"/>
                <w:spacing w:val="-15"/>
                <w:sz w:val="24"/>
                <w:szCs w:val="24"/>
              </w:rPr>
              <w:t xml:space="preserve">术部分： </w:t>
            </w:r>
            <w:r>
              <w:rPr>
                <w:rFonts w:hint="eastAsia" w:ascii="宋体" w:hAnsi="宋体" w:cs="宋体"/>
                <w:color w:val="auto"/>
                <w:spacing w:val="-15"/>
                <w:sz w:val="24"/>
                <w:szCs w:val="24"/>
                <w:lang w:val="en-US" w:eastAsia="zh-CN"/>
              </w:rPr>
              <w:t>40</w:t>
            </w:r>
            <w:r>
              <w:rPr>
                <w:rFonts w:hint="eastAsia" w:ascii="宋体" w:hAnsi="宋体" w:eastAsia="宋体" w:cs="宋体"/>
                <w:color w:val="auto"/>
                <w:spacing w:val="-1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323" w:type="dxa"/>
            <w:vAlign w:val="center"/>
          </w:tcPr>
          <w:p>
            <w:pPr>
              <w:spacing w:before="132" w:line="240" w:lineRule="auto"/>
              <w:jc w:val="cente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评审项</w:t>
            </w:r>
          </w:p>
        </w:tc>
        <w:tc>
          <w:tcPr>
            <w:tcW w:w="1484" w:type="dxa"/>
            <w:vAlign w:val="center"/>
          </w:tcPr>
          <w:p>
            <w:pPr>
              <w:spacing w:before="132" w:line="240" w:lineRule="auto"/>
              <w:jc w:val="cente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评分因素</w:t>
            </w:r>
          </w:p>
        </w:tc>
        <w:tc>
          <w:tcPr>
            <w:tcW w:w="6377" w:type="dxa"/>
            <w:vAlign w:val="center"/>
          </w:tcPr>
          <w:p>
            <w:pPr>
              <w:spacing w:before="132" w:line="240" w:lineRule="auto"/>
              <w:jc w:val="cente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评标标准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323" w:type="dxa"/>
            <w:vAlign w:val="center"/>
          </w:tcPr>
          <w:p>
            <w:pPr>
              <w:spacing w:line="240" w:lineRule="auto"/>
              <w:jc w:val="center"/>
              <w:rPr>
                <w:rFonts w:hint="eastAsia" w:ascii="宋体" w:hAnsi="宋体" w:eastAsia="宋体" w:cs="宋体"/>
                <w:color w:val="auto"/>
                <w:sz w:val="24"/>
                <w:szCs w:val="24"/>
              </w:rPr>
            </w:pPr>
          </w:p>
          <w:p>
            <w:pPr>
              <w:spacing w:before="69" w:line="240" w:lineRule="auto"/>
              <w:ind w:right="261"/>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价格</w:t>
            </w:r>
            <w:r>
              <w:rPr>
                <w:rFonts w:hint="eastAsia" w:ascii="宋体" w:hAnsi="宋体" w:eastAsia="宋体" w:cs="宋体"/>
                <w:color w:val="auto"/>
                <w:spacing w:val="-2"/>
                <w:sz w:val="24"/>
                <w:szCs w:val="24"/>
                <w:lang w:val="en-US" w:eastAsia="zh-CN"/>
              </w:rPr>
              <w:t>部</w:t>
            </w:r>
            <w:r>
              <w:rPr>
                <w:rFonts w:hint="eastAsia" w:ascii="宋体" w:hAnsi="宋体" w:eastAsia="宋体" w:cs="宋体"/>
                <w:color w:val="auto"/>
                <w:spacing w:val="-2"/>
                <w:sz w:val="24"/>
                <w:szCs w:val="24"/>
              </w:rPr>
              <w:t>分</w:t>
            </w:r>
          </w:p>
          <w:p>
            <w:pPr>
              <w:spacing w:before="69" w:line="240" w:lineRule="auto"/>
              <w:ind w:right="261"/>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w:t>
            </w:r>
            <w:r>
              <w:rPr>
                <w:rFonts w:hint="eastAsia" w:ascii="宋体" w:hAnsi="宋体" w:cs="宋体"/>
                <w:color w:val="auto"/>
                <w:spacing w:val="4"/>
                <w:sz w:val="24"/>
                <w:szCs w:val="24"/>
                <w:lang w:val="en-US" w:eastAsia="zh-CN"/>
              </w:rPr>
              <w:t>40</w:t>
            </w:r>
            <w:r>
              <w:rPr>
                <w:rFonts w:hint="eastAsia" w:ascii="宋体" w:hAnsi="宋体" w:eastAsia="宋体" w:cs="宋体"/>
                <w:color w:val="auto"/>
                <w:spacing w:val="4"/>
                <w:sz w:val="24"/>
                <w:szCs w:val="24"/>
              </w:rPr>
              <w:t>分)</w:t>
            </w:r>
          </w:p>
        </w:tc>
        <w:tc>
          <w:tcPr>
            <w:tcW w:w="1484" w:type="dxa"/>
            <w:vAlign w:val="center"/>
          </w:tcPr>
          <w:p>
            <w:pPr>
              <w:spacing w:line="240" w:lineRule="auto"/>
              <w:ind w:left="112"/>
              <w:jc w:val="center"/>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投标价格</w:t>
            </w:r>
          </w:p>
          <w:p>
            <w:pPr>
              <w:spacing w:line="240" w:lineRule="auto"/>
              <w:ind w:left="112"/>
              <w:jc w:val="center"/>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w:t>
            </w:r>
            <w:r>
              <w:rPr>
                <w:rFonts w:hint="eastAsia" w:ascii="宋体" w:hAnsi="宋体" w:cs="宋体"/>
                <w:color w:val="auto"/>
                <w:spacing w:val="-12"/>
                <w:position w:val="19"/>
                <w:sz w:val="24"/>
                <w:szCs w:val="24"/>
                <w:lang w:val="en-US" w:eastAsia="zh-CN"/>
              </w:rPr>
              <w:t>40</w:t>
            </w:r>
            <w:r>
              <w:rPr>
                <w:rFonts w:hint="eastAsia" w:ascii="宋体" w:hAnsi="宋体" w:eastAsia="宋体" w:cs="宋体"/>
                <w:color w:val="auto"/>
                <w:spacing w:val="-12"/>
                <w:position w:val="19"/>
                <w:sz w:val="24"/>
                <w:szCs w:val="24"/>
              </w:rPr>
              <w:t xml:space="preserve"> 分)</w:t>
            </w:r>
          </w:p>
        </w:tc>
        <w:tc>
          <w:tcPr>
            <w:tcW w:w="6377" w:type="dxa"/>
            <w:vAlign w:val="center"/>
          </w:tcPr>
          <w:p>
            <w:pPr>
              <w:spacing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有效</w:t>
            </w:r>
            <w:r>
              <w:rPr>
                <w:rFonts w:hint="eastAsia" w:ascii="宋体" w:hAnsi="宋体" w:cs="宋体"/>
                <w:color w:val="auto"/>
                <w:spacing w:val="-12"/>
                <w:position w:val="19"/>
                <w:sz w:val="24"/>
                <w:szCs w:val="24"/>
                <w:lang w:val="en-US" w:eastAsia="zh-CN"/>
              </w:rPr>
              <w:t>投标人</w:t>
            </w:r>
            <w:r>
              <w:rPr>
                <w:rFonts w:hint="eastAsia" w:ascii="宋体" w:hAnsi="宋体" w:eastAsia="宋体" w:cs="宋体"/>
                <w:color w:val="auto"/>
                <w:spacing w:val="-12"/>
                <w:position w:val="19"/>
                <w:sz w:val="24"/>
                <w:szCs w:val="24"/>
              </w:rPr>
              <w:t>中投标价格最低的投标报价为评标基准价，其价格分为满分。</w:t>
            </w:r>
          </w:p>
          <w:p>
            <w:pPr>
              <w:spacing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其他</w:t>
            </w:r>
            <w:r>
              <w:rPr>
                <w:rFonts w:hint="eastAsia" w:ascii="宋体" w:hAnsi="宋体" w:cs="宋体"/>
                <w:color w:val="auto"/>
                <w:spacing w:val="-12"/>
                <w:position w:val="19"/>
                <w:sz w:val="24"/>
                <w:szCs w:val="24"/>
                <w:lang w:val="en-US" w:eastAsia="zh-CN"/>
              </w:rPr>
              <w:t>投标人</w:t>
            </w:r>
            <w:r>
              <w:rPr>
                <w:rFonts w:hint="eastAsia" w:ascii="宋体" w:hAnsi="宋体" w:eastAsia="宋体" w:cs="宋体"/>
                <w:color w:val="auto"/>
                <w:spacing w:val="-12"/>
                <w:position w:val="19"/>
                <w:sz w:val="24"/>
                <w:szCs w:val="24"/>
              </w:rPr>
              <w:t>的价格分统一按照下列公式计算：</w:t>
            </w:r>
          </w:p>
          <w:p>
            <w:pPr>
              <w:spacing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投标报价得分=(评标基准价／投标报价)×</w:t>
            </w:r>
            <w:r>
              <w:rPr>
                <w:rFonts w:hint="eastAsia" w:ascii="宋体" w:hAnsi="宋体" w:cs="宋体"/>
                <w:color w:val="auto"/>
                <w:spacing w:val="-12"/>
                <w:position w:val="19"/>
                <w:sz w:val="24"/>
                <w:szCs w:val="24"/>
                <w:lang w:val="en-US" w:eastAsia="zh-CN"/>
              </w:rPr>
              <w:t>4</w:t>
            </w:r>
            <w:r>
              <w:rPr>
                <w:rFonts w:hint="eastAsia" w:ascii="宋体" w:hAnsi="宋体" w:eastAsia="宋体" w:cs="宋体"/>
                <w:color w:val="auto"/>
                <w:spacing w:val="-12"/>
                <w:position w:val="19"/>
                <w:sz w:val="24"/>
                <w:szCs w:val="24"/>
              </w:rPr>
              <w:t>0%×100。</w:t>
            </w:r>
          </w:p>
          <w:p>
            <w:pPr>
              <w:spacing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注：分值计算保留小数点后两位，小数点后第三位“四舍五入”。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23" w:type="dxa"/>
            <w:vMerge w:val="restart"/>
            <w:tcBorders>
              <w:bottom w:val="nil"/>
            </w:tcBorders>
            <w:vAlign w:val="center"/>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68" w:line="240" w:lineRule="auto"/>
              <w:ind w:left="256" w:right="261" w:firstLine="2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技术部</w:t>
            </w:r>
            <w:r>
              <w:rPr>
                <w:rFonts w:hint="eastAsia" w:ascii="宋体" w:hAnsi="宋体" w:eastAsia="宋体" w:cs="宋体"/>
                <w:color w:val="auto"/>
                <w:spacing w:val="-1"/>
                <w:sz w:val="24"/>
                <w:szCs w:val="24"/>
              </w:rPr>
              <w:t>分</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w:t>
            </w:r>
            <w:r>
              <w:rPr>
                <w:rFonts w:hint="eastAsia" w:ascii="宋体" w:hAnsi="宋体" w:cs="宋体"/>
                <w:color w:val="auto"/>
                <w:spacing w:val="4"/>
                <w:sz w:val="24"/>
                <w:szCs w:val="24"/>
                <w:lang w:val="en-US" w:eastAsia="zh-CN"/>
              </w:rPr>
              <w:t>40</w:t>
            </w:r>
            <w:r>
              <w:rPr>
                <w:rFonts w:hint="eastAsia" w:ascii="宋体" w:hAnsi="宋体" w:eastAsia="宋体" w:cs="宋体"/>
                <w:color w:val="auto"/>
                <w:spacing w:val="4"/>
                <w:sz w:val="24"/>
                <w:szCs w:val="24"/>
              </w:rPr>
              <w:t>分)</w:t>
            </w:r>
          </w:p>
        </w:tc>
        <w:tc>
          <w:tcPr>
            <w:tcW w:w="1484" w:type="dxa"/>
            <w:vAlign w:val="center"/>
          </w:tcPr>
          <w:p>
            <w:pPr>
              <w:spacing w:line="240" w:lineRule="auto"/>
              <w:ind w:left="112"/>
              <w:jc w:val="center"/>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技术规格、参数与要求响应(</w:t>
            </w:r>
            <w:r>
              <w:rPr>
                <w:rFonts w:hint="eastAsia" w:ascii="宋体" w:hAnsi="宋体" w:cs="宋体"/>
                <w:color w:val="auto"/>
                <w:spacing w:val="-12"/>
                <w:position w:val="19"/>
                <w:sz w:val="24"/>
                <w:szCs w:val="24"/>
                <w:lang w:val="en-US" w:eastAsia="zh-CN"/>
              </w:rPr>
              <w:t>20</w:t>
            </w:r>
            <w:r>
              <w:rPr>
                <w:rFonts w:hint="eastAsia" w:ascii="宋体" w:hAnsi="宋体" w:eastAsia="宋体" w:cs="宋体"/>
                <w:color w:val="auto"/>
                <w:spacing w:val="-12"/>
                <w:position w:val="19"/>
                <w:sz w:val="24"/>
                <w:szCs w:val="24"/>
              </w:rPr>
              <w:t>分)</w:t>
            </w:r>
          </w:p>
        </w:tc>
        <w:tc>
          <w:tcPr>
            <w:tcW w:w="6377" w:type="dxa"/>
            <w:vAlign w:val="center"/>
          </w:tcPr>
          <w:p>
            <w:pPr>
              <w:spacing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 xml:space="preserve">所投产品技术参数优于招标文件技术参数要求的， 每有一项加 </w:t>
            </w:r>
            <w:r>
              <w:rPr>
                <w:rFonts w:hint="eastAsia" w:ascii="宋体" w:hAnsi="宋体" w:eastAsia="宋体" w:cs="宋体"/>
                <w:color w:val="auto"/>
                <w:spacing w:val="-12"/>
                <w:position w:val="19"/>
                <w:sz w:val="24"/>
                <w:szCs w:val="24"/>
                <w:lang w:val="en-US" w:eastAsia="zh-CN"/>
              </w:rPr>
              <w:t>2</w:t>
            </w:r>
            <w:r>
              <w:rPr>
                <w:rFonts w:hint="eastAsia" w:ascii="宋体" w:hAnsi="宋体" w:eastAsia="宋体" w:cs="宋体"/>
                <w:color w:val="auto"/>
                <w:spacing w:val="-12"/>
                <w:position w:val="19"/>
                <w:sz w:val="24"/>
                <w:szCs w:val="24"/>
              </w:rPr>
              <w:t xml:space="preserve"> 分，最多加 </w:t>
            </w:r>
            <w:r>
              <w:rPr>
                <w:rFonts w:hint="eastAsia" w:ascii="宋体" w:hAnsi="宋体" w:cs="宋体"/>
                <w:color w:val="auto"/>
                <w:spacing w:val="-12"/>
                <w:position w:val="19"/>
                <w:sz w:val="24"/>
                <w:szCs w:val="24"/>
                <w:lang w:val="en-US" w:eastAsia="zh-CN"/>
              </w:rPr>
              <w:t>20</w:t>
            </w:r>
            <w:r>
              <w:rPr>
                <w:rFonts w:hint="eastAsia" w:ascii="宋体" w:hAnsi="宋体" w:eastAsia="宋体" w:cs="宋体"/>
                <w:color w:val="auto"/>
                <w:spacing w:val="-12"/>
                <w:position w:val="19"/>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323" w:type="dxa"/>
            <w:vMerge w:val="continue"/>
            <w:tcBorders>
              <w:top w:val="nil"/>
              <w:bottom w:val="nil"/>
            </w:tcBorders>
            <w:vAlign w:val="center"/>
          </w:tcPr>
          <w:p>
            <w:pPr>
              <w:spacing w:line="240" w:lineRule="auto"/>
              <w:jc w:val="center"/>
              <w:rPr>
                <w:rFonts w:hint="eastAsia" w:ascii="宋体" w:hAnsi="宋体" w:eastAsia="宋体" w:cs="宋体"/>
                <w:color w:val="auto"/>
                <w:sz w:val="24"/>
                <w:szCs w:val="24"/>
              </w:rPr>
            </w:pPr>
          </w:p>
        </w:tc>
        <w:tc>
          <w:tcPr>
            <w:tcW w:w="1484" w:type="dxa"/>
            <w:vAlign w:val="center"/>
          </w:tcPr>
          <w:p>
            <w:pPr>
              <w:spacing w:line="240" w:lineRule="auto"/>
              <w:ind w:left="112"/>
              <w:jc w:val="center"/>
              <w:rPr>
                <w:rFonts w:hint="eastAsia" w:ascii="宋体" w:hAnsi="宋体" w:eastAsia="宋体" w:cs="宋体"/>
                <w:color w:val="auto"/>
                <w:spacing w:val="-12"/>
                <w:position w:val="19"/>
                <w:sz w:val="24"/>
                <w:szCs w:val="24"/>
              </w:rPr>
            </w:pPr>
          </w:p>
          <w:p>
            <w:pPr>
              <w:spacing w:line="240" w:lineRule="auto"/>
              <w:ind w:left="112"/>
              <w:jc w:val="center"/>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售后服务(10 分)</w:t>
            </w:r>
          </w:p>
        </w:tc>
        <w:tc>
          <w:tcPr>
            <w:tcW w:w="6377" w:type="dxa"/>
            <w:vAlign w:val="center"/>
          </w:tcPr>
          <w:p>
            <w:pPr>
              <w:spacing w:line="240" w:lineRule="auto"/>
              <w:ind w:left="112"/>
              <w:jc w:val="both"/>
              <w:rPr>
                <w:rFonts w:hint="eastAsia" w:ascii="宋体" w:hAnsi="宋体" w:eastAsia="宋体" w:cs="宋体"/>
                <w:color w:val="auto"/>
                <w:spacing w:val="-12"/>
                <w:position w:val="19"/>
                <w:sz w:val="24"/>
                <w:szCs w:val="24"/>
                <w:lang w:eastAsia="zh-CN"/>
              </w:rPr>
            </w:pPr>
            <w:r>
              <w:rPr>
                <w:rFonts w:hint="eastAsia" w:ascii="宋体" w:hAnsi="宋体" w:eastAsia="宋体" w:cs="宋体"/>
                <w:color w:val="auto"/>
                <w:spacing w:val="-12"/>
                <w:position w:val="19"/>
                <w:sz w:val="24"/>
                <w:szCs w:val="24"/>
              </w:rPr>
              <w:t>投标人做出的售后服务承诺(人员培训、设备安装调试、 技术指导、巡检维修)，质量保证期内的免费维修承诺等条款以及承诺投标产品的保修时间、保修期内的保修内容与范围、维修响应 时间等方面进行横行比较打分</w:t>
            </w:r>
            <w:r>
              <w:rPr>
                <w:rFonts w:hint="eastAsia" w:ascii="宋体" w:hAnsi="宋体" w:eastAsia="宋体" w:cs="宋体"/>
                <w:color w:val="auto"/>
                <w:spacing w:val="-12"/>
                <w:position w:val="19"/>
                <w:sz w:val="24"/>
                <w:szCs w:val="24"/>
                <w:lang w:eastAsia="zh-CN"/>
              </w:rPr>
              <w:t>。</w:t>
            </w:r>
            <w:r>
              <w:rPr>
                <w:rFonts w:hint="eastAsia" w:ascii="宋体" w:hAnsi="宋体" w:eastAsia="宋体" w:cs="宋体"/>
                <w:color w:val="auto"/>
                <w:spacing w:val="-12"/>
                <w:position w:val="19"/>
                <w:sz w:val="24"/>
                <w:szCs w:val="24"/>
              </w:rPr>
              <w:t>根据各投标人制定的实施计划， 计划清楚、详尽、合理、可靠的得 10 分</w:t>
            </w:r>
            <w:r>
              <w:rPr>
                <w:rFonts w:hint="eastAsia" w:ascii="宋体" w:hAnsi="宋体" w:eastAsia="宋体" w:cs="宋体"/>
                <w:color w:val="auto"/>
                <w:spacing w:val="-12"/>
                <w:position w:val="19"/>
                <w:sz w:val="24"/>
                <w:szCs w:val="24"/>
                <w:lang w:eastAsia="zh-CN"/>
              </w:rPr>
              <w:t>；</w:t>
            </w:r>
            <w:r>
              <w:rPr>
                <w:rFonts w:hint="eastAsia" w:ascii="宋体" w:hAnsi="宋体" w:eastAsia="宋体" w:cs="宋体"/>
                <w:color w:val="auto"/>
                <w:spacing w:val="-12"/>
                <w:position w:val="19"/>
                <w:sz w:val="24"/>
                <w:szCs w:val="24"/>
              </w:rPr>
              <w:t xml:space="preserve"> 仅有简单描述的得 5 分</w:t>
            </w:r>
            <w:r>
              <w:rPr>
                <w:rFonts w:hint="eastAsia" w:ascii="宋体" w:hAnsi="宋体" w:eastAsia="宋体" w:cs="宋体"/>
                <w:color w:val="auto"/>
                <w:spacing w:val="-12"/>
                <w:position w:val="19"/>
                <w:sz w:val="24"/>
                <w:szCs w:val="24"/>
                <w:lang w:eastAsia="zh-CN"/>
              </w:rPr>
              <w:t>；</w:t>
            </w:r>
            <w:r>
              <w:rPr>
                <w:rFonts w:hint="eastAsia" w:ascii="宋体" w:hAnsi="宋体" w:eastAsia="宋体" w:cs="宋体"/>
                <w:color w:val="auto"/>
                <w:spacing w:val="-12"/>
                <w:position w:val="19"/>
                <w:sz w:val="24"/>
                <w:szCs w:val="24"/>
              </w:rPr>
              <w:t xml:space="preserve"> 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323" w:type="dxa"/>
            <w:vMerge w:val="continue"/>
            <w:tcBorders>
              <w:top w:val="nil"/>
            </w:tcBorders>
            <w:vAlign w:val="center"/>
          </w:tcPr>
          <w:p>
            <w:pPr>
              <w:spacing w:line="240" w:lineRule="auto"/>
              <w:jc w:val="center"/>
              <w:rPr>
                <w:rFonts w:hint="eastAsia" w:ascii="宋体" w:hAnsi="宋体" w:eastAsia="宋体" w:cs="宋体"/>
                <w:color w:val="auto"/>
                <w:sz w:val="24"/>
                <w:szCs w:val="24"/>
              </w:rPr>
            </w:pPr>
          </w:p>
        </w:tc>
        <w:tc>
          <w:tcPr>
            <w:tcW w:w="1484" w:type="dxa"/>
            <w:vAlign w:val="center"/>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68" w:line="240" w:lineRule="auto"/>
              <w:ind w:left="15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项目实</w:t>
            </w:r>
            <w:r>
              <w:rPr>
                <w:rFonts w:hint="eastAsia" w:ascii="宋体" w:hAnsi="宋体" w:eastAsia="宋体" w:cs="宋体"/>
                <w:color w:val="auto"/>
                <w:spacing w:val="-1"/>
                <w:sz w:val="24"/>
                <w:szCs w:val="24"/>
              </w:rPr>
              <w:t>施</w:t>
            </w:r>
            <w:r>
              <w:rPr>
                <w:rFonts w:hint="eastAsia" w:ascii="宋体" w:hAnsi="宋体" w:cs="宋体"/>
                <w:color w:val="auto"/>
                <w:spacing w:val="-1"/>
                <w:sz w:val="24"/>
                <w:szCs w:val="24"/>
                <w:lang w:val="en-US" w:eastAsia="zh-CN"/>
              </w:rPr>
              <w:t>方案</w:t>
            </w:r>
            <w:r>
              <w:rPr>
                <w:rFonts w:hint="eastAsia" w:ascii="宋体" w:hAnsi="宋体" w:eastAsia="宋体" w:cs="宋体"/>
                <w:color w:val="auto"/>
                <w:spacing w:val="8"/>
                <w:sz w:val="24"/>
                <w:szCs w:val="24"/>
              </w:rPr>
              <w:t>(</w:t>
            </w:r>
            <w:r>
              <w:rPr>
                <w:rFonts w:hint="eastAsia" w:ascii="宋体" w:hAnsi="宋体" w:eastAsia="宋体" w:cs="宋体"/>
                <w:color w:val="auto"/>
                <w:spacing w:val="5"/>
                <w:sz w:val="24"/>
                <w:szCs w:val="24"/>
              </w:rPr>
              <w:t>10 分)</w:t>
            </w:r>
          </w:p>
        </w:tc>
        <w:tc>
          <w:tcPr>
            <w:tcW w:w="6377" w:type="dxa"/>
            <w:vAlign w:val="center"/>
          </w:tcPr>
          <w:p>
            <w:pPr>
              <w:spacing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投标产品的供货、调试、验收标准及方案(方案应具体、详细、可 行， 有利于项目实施，符合国家相关标准规定) ；根据各投标人制 定的实施计划， 计划清楚、详尽、合理、可靠的得 10 分</w:t>
            </w:r>
            <w:r>
              <w:rPr>
                <w:rFonts w:hint="eastAsia" w:ascii="宋体" w:hAnsi="宋体" w:eastAsia="宋体" w:cs="宋体"/>
                <w:color w:val="auto"/>
                <w:spacing w:val="-12"/>
                <w:position w:val="19"/>
                <w:sz w:val="24"/>
                <w:szCs w:val="24"/>
                <w:lang w:eastAsia="zh-CN"/>
              </w:rPr>
              <w:t>；</w:t>
            </w:r>
            <w:r>
              <w:rPr>
                <w:rFonts w:hint="eastAsia" w:ascii="宋体" w:hAnsi="宋体" w:eastAsia="宋体" w:cs="宋体"/>
                <w:color w:val="auto"/>
                <w:spacing w:val="-12"/>
                <w:position w:val="19"/>
                <w:sz w:val="24"/>
                <w:szCs w:val="24"/>
              </w:rPr>
              <w:t xml:space="preserve"> 仅有简单描述的得 5 分</w:t>
            </w:r>
            <w:r>
              <w:rPr>
                <w:rFonts w:hint="eastAsia" w:ascii="宋体" w:hAnsi="宋体" w:eastAsia="宋体" w:cs="宋体"/>
                <w:color w:val="auto"/>
                <w:spacing w:val="-12"/>
                <w:position w:val="19"/>
                <w:sz w:val="24"/>
                <w:szCs w:val="24"/>
                <w:lang w:eastAsia="zh-CN"/>
              </w:rPr>
              <w:t>；</w:t>
            </w:r>
            <w:r>
              <w:rPr>
                <w:rFonts w:hint="eastAsia" w:ascii="宋体" w:hAnsi="宋体" w:eastAsia="宋体" w:cs="宋体"/>
                <w:color w:val="auto"/>
                <w:spacing w:val="-12"/>
                <w:position w:val="19"/>
                <w:sz w:val="24"/>
                <w:szCs w:val="24"/>
              </w:rPr>
              <w:t xml:space="preserve"> 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23" w:type="dxa"/>
            <w:vMerge w:val="restart"/>
            <w:vAlign w:val="center"/>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69" w:line="240" w:lineRule="auto"/>
              <w:ind w:left="256" w:right="261" w:firstLine="24"/>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商</w:t>
            </w:r>
            <w:r>
              <w:rPr>
                <w:rFonts w:hint="eastAsia" w:ascii="宋体" w:hAnsi="宋体" w:eastAsia="宋体" w:cs="宋体"/>
                <w:color w:val="auto"/>
                <w:spacing w:val="-3"/>
                <w:sz w:val="24"/>
                <w:szCs w:val="24"/>
              </w:rPr>
              <w:t>务</w:t>
            </w:r>
            <w:r>
              <w:rPr>
                <w:rFonts w:hint="eastAsia" w:ascii="宋体" w:hAnsi="宋体" w:eastAsia="宋体" w:cs="宋体"/>
                <w:color w:val="auto"/>
                <w:spacing w:val="-2"/>
                <w:sz w:val="24"/>
                <w:szCs w:val="24"/>
              </w:rPr>
              <w:t>部分</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w:t>
            </w:r>
            <w:r>
              <w:rPr>
                <w:rFonts w:hint="eastAsia" w:ascii="宋体" w:hAnsi="宋体" w:cs="宋体"/>
                <w:color w:val="auto"/>
                <w:spacing w:val="4"/>
                <w:sz w:val="24"/>
                <w:szCs w:val="24"/>
                <w:lang w:val="en-US" w:eastAsia="zh-CN"/>
              </w:rPr>
              <w:t>20</w:t>
            </w:r>
            <w:r>
              <w:rPr>
                <w:rFonts w:hint="eastAsia" w:ascii="宋体" w:hAnsi="宋体" w:eastAsia="宋体" w:cs="宋体"/>
                <w:color w:val="auto"/>
                <w:spacing w:val="4"/>
                <w:sz w:val="24"/>
                <w:szCs w:val="24"/>
              </w:rPr>
              <w:t>分)</w:t>
            </w:r>
          </w:p>
        </w:tc>
        <w:tc>
          <w:tcPr>
            <w:tcW w:w="1484" w:type="dxa"/>
            <w:vAlign w:val="center"/>
          </w:tcPr>
          <w:p>
            <w:pPr>
              <w:spacing w:before="131" w:line="240" w:lineRule="auto"/>
              <w:jc w:val="center"/>
              <w:rPr>
                <w:rFonts w:hint="eastAsia" w:ascii="宋体" w:hAnsi="宋体" w:eastAsia="宋体" w:cs="宋体"/>
                <w:color w:val="auto"/>
                <w:sz w:val="24"/>
                <w:szCs w:val="24"/>
              </w:rPr>
            </w:pPr>
            <w:r>
              <w:rPr>
                <w:rFonts w:hint="eastAsia" w:ascii="宋体" w:hAnsi="宋体" w:eastAsia="宋体" w:cs="宋体"/>
                <w:color w:val="auto"/>
                <w:spacing w:val="-2"/>
                <w:position w:val="19"/>
                <w:sz w:val="24"/>
                <w:szCs w:val="24"/>
              </w:rPr>
              <w:t>业</w:t>
            </w:r>
            <w:r>
              <w:rPr>
                <w:rFonts w:hint="eastAsia" w:ascii="宋体" w:hAnsi="宋体" w:eastAsia="宋体" w:cs="宋体"/>
                <w:color w:val="auto"/>
                <w:spacing w:val="-1"/>
                <w:position w:val="19"/>
                <w:sz w:val="24"/>
                <w:szCs w:val="24"/>
              </w:rPr>
              <w:t>绩(</w:t>
            </w:r>
            <w:r>
              <w:rPr>
                <w:rFonts w:hint="eastAsia" w:ascii="宋体" w:hAnsi="宋体" w:eastAsia="宋体" w:cs="宋体"/>
                <w:color w:val="auto"/>
                <w:spacing w:val="-1"/>
                <w:position w:val="19"/>
                <w:sz w:val="24"/>
                <w:szCs w:val="24"/>
                <w:lang w:val="en-US" w:eastAsia="zh-CN"/>
              </w:rPr>
              <w:t>6</w:t>
            </w:r>
            <w:r>
              <w:rPr>
                <w:rFonts w:hint="eastAsia" w:ascii="宋体" w:hAnsi="宋体" w:eastAsia="宋体" w:cs="宋体"/>
                <w:color w:val="auto"/>
                <w:spacing w:val="-1"/>
                <w:position w:val="19"/>
                <w:sz w:val="24"/>
                <w:szCs w:val="24"/>
              </w:rPr>
              <w:t xml:space="preserve"> 分)</w:t>
            </w:r>
          </w:p>
        </w:tc>
        <w:tc>
          <w:tcPr>
            <w:tcW w:w="6377" w:type="dxa"/>
            <w:vAlign w:val="center"/>
          </w:tcPr>
          <w:p>
            <w:pPr>
              <w:spacing w:before="131" w:line="240" w:lineRule="auto"/>
              <w:ind w:left="112"/>
              <w:jc w:val="both"/>
              <w:rPr>
                <w:rFonts w:hint="eastAsia" w:ascii="宋体" w:hAnsi="宋体" w:eastAsia="宋体" w:cs="宋体"/>
                <w:color w:val="auto"/>
                <w:sz w:val="24"/>
                <w:szCs w:val="24"/>
                <w:highlight w:val="none"/>
              </w:rPr>
            </w:pPr>
            <w:r>
              <w:rPr>
                <w:rFonts w:hint="eastAsia" w:ascii="宋体" w:hAnsi="宋体" w:eastAsia="宋体" w:cs="宋体"/>
                <w:color w:val="auto"/>
                <w:spacing w:val="-12"/>
                <w:position w:val="19"/>
                <w:sz w:val="24"/>
                <w:szCs w:val="24"/>
                <w:highlight w:val="none"/>
              </w:rPr>
              <w:t>投标人或所投</w:t>
            </w:r>
            <w:r>
              <w:rPr>
                <w:rFonts w:hint="eastAsia" w:ascii="宋体" w:hAnsi="宋体" w:cs="宋体"/>
                <w:color w:val="auto"/>
                <w:spacing w:val="-12"/>
                <w:position w:val="19"/>
                <w:sz w:val="24"/>
                <w:szCs w:val="24"/>
                <w:highlight w:val="none"/>
                <w:lang w:eastAsia="zh-CN"/>
              </w:rPr>
              <w:t>产品</w:t>
            </w:r>
            <w:r>
              <w:rPr>
                <w:rFonts w:hint="eastAsia" w:ascii="宋体" w:hAnsi="宋体" w:eastAsia="宋体" w:cs="宋体"/>
                <w:color w:val="auto"/>
                <w:spacing w:val="-12"/>
                <w:position w:val="19"/>
                <w:sz w:val="24"/>
                <w:szCs w:val="24"/>
                <w:highlight w:val="none"/>
              </w:rPr>
              <w:t>制造商</w:t>
            </w:r>
            <w:r>
              <w:rPr>
                <w:rFonts w:hint="eastAsia" w:ascii="宋体" w:hAnsi="宋体" w:cs="宋体"/>
                <w:color w:val="auto"/>
                <w:spacing w:val="-12"/>
                <w:position w:val="19"/>
                <w:sz w:val="24"/>
                <w:szCs w:val="24"/>
                <w:highlight w:val="none"/>
                <w:lang w:val="en-US" w:eastAsia="zh-CN"/>
              </w:rPr>
              <w:t>提供2019年1月1日以来</w:t>
            </w:r>
            <w:r>
              <w:rPr>
                <w:rFonts w:hint="eastAsia" w:ascii="宋体" w:hAnsi="宋体" w:eastAsia="宋体" w:cs="宋体"/>
                <w:color w:val="auto"/>
                <w:spacing w:val="-12"/>
                <w:position w:val="19"/>
                <w:sz w:val="24"/>
                <w:szCs w:val="24"/>
                <w:highlight w:val="none"/>
              </w:rPr>
              <w:t xml:space="preserve">类似产品业绩，每提供 1 </w:t>
            </w:r>
            <w:r>
              <w:rPr>
                <w:rFonts w:hint="eastAsia" w:ascii="宋体" w:hAnsi="宋体" w:cs="宋体"/>
                <w:color w:val="auto"/>
                <w:spacing w:val="-12"/>
                <w:position w:val="19"/>
                <w:sz w:val="24"/>
                <w:szCs w:val="24"/>
                <w:highlight w:val="none"/>
                <w:lang w:val="en-US" w:eastAsia="zh-CN"/>
              </w:rPr>
              <w:t>份</w:t>
            </w:r>
            <w:r>
              <w:rPr>
                <w:rFonts w:hint="eastAsia" w:ascii="宋体" w:hAnsi="宋体" w:eastAsia="宋体" w:cs="宋体"/>
                <w:color w:val="auto"/>
                <w:spacing w:val="-12"/>
                <w:position w:val="19"/>
                <w:sz w:val="24"/>
                <w:szCs w:val="24"/>
                <w:highlight w:val="none"/>
              </w:rPr>
              <w:t>得</w:t>
            </w:r>
            <w:r>
              <w:rPr>
                <w:rFonts w:hint="eastAsia" w:ascii="宋体" w:hAnsi="宋体" w:eastAsia="宋体" w:cs="宋体"/>
                <w:color w:val="auto"/>
                <w:spacing w:val="-12"/>
                <w:position w:val="19"/>
                <w:sz w:val="24"/>
                <w:szCs w:val="24"/>
                <w:highlight w:val="none"/>
                <w:lang w:val="en-US" w:eastAsia="zh-CN"/>
              </w:rPr>
              <w:t>2</w:t>
            </w:r>
            <w:r>
              <w:rPr>
                <w:rFonts w:hint="eastAsia" w:ascii="宋体" w:hAnsi="宋体" w:eastAsia="宋体" w:cs="宋体"/>
                <w:color w:val="auto"/>
                <w:spacing w:val="-12"/>
                <w:position w:val="19"/>
                <w:sz w:val="24"/>
                <w:szCs w:val="24"/>
                <w:highlight w:val="none"/>
              </w:rPr>
              <w:t xml:space="preserve">分，最高得 </w:t>
            </w:r>
            <w:r>
              <w:rPr>
                <w:rFonts w:hint="eastAsia" w:ascii="宋体" w:hAnsi="宋体" w:eastAsia="宋体" w:cs="宋体"/>
                <w:color w:val="auto"/>
                <w:spacing w:val="-12"/>
                <w:position w:val="19"/>
                <w:sz w:val="24"/>
                <w:szCs w:val="24"/>
                <w:highlight w:val="none"/>
                <w:lang w:val="en-US" w:eastAsia="zh-CN"/>
              </w:rPr>
              <w:t>6</w:t>
            </w:r>
            <w:r>
              <w:rPr>
                <w:rFonts w:hint="eastAsia" w:ascii="宋体" w:hAnsi="宋体" w:eastAsia="宋体" w:cs="宋体"/>
                <w:color w:val="auto"/>
                <w:spacing w:val="-12"/>
                <w:position w:val="19"/>
                <w:sz w:val="24"/>
                <w:szCs w:val="24"/>
                <w:highlight w:val="none"/>
              </w:rPr>
              <w:t>分， 没有不得分。（投标文件中附合同（或协议书）、中标(成交)公示网页截图、中标通知书或竣工备案表等的原件扫描件或图片</w:t>
            </w:r>
            <w:r>
              <w:rPr>
                <w:rFonts w:hint="eastAsia" w:ascii="宋体" w:hAnsi="宋体" w:cs="宋体"/>
                <w:color w:val="auto"/>
                <w:spacing w:val="-12"/>
                <w:position w:val="19"/>
                <w:sz w:val="24"/>
                <w:szCs w:val="24"/>
                <w:highlight w:val="none"/>
                <w:lang w:eastAsia="zh-CN"/>
              </w:rPr>
              <w:t>，</w:t>
            </w:r>
            <w:r>
              <w:rPr>
                <w:rFonts w:hint="eastAsia" w:ascii="宋体" w:hAnsi="宋体" w:cs="宋体"/>
                <w:color w:val="auto"/>
                <w:spacing w:val="-12"/>
                <w:position w:val="19"/>
                <w:sz w:val="24"/>
                <w:szCs w:val="24"/>
                <w:highlight w:val="none"/>
                <w:lang w:val="en-US" w:eastAsia="zh-CN"/>
              </w:rPr>
              <w:t>缺一不可</w:t>
            </w:r>
            <w:r>
              <w:rPr>
                <w:rFonts w:hint="eastAsia" w:ascii="宋体" w:hAnsi="宋体" w:eastAsia="宋体" w:cs="宋体"/>
                <w:color w:val="auto"/>
                <w:spacing w:val="-12"/>
                <w:position w:val="19"/>
                <w:sz w:val="24"/>
                <w:szCs w:val="24"/>
                <w:highlight w:val="none"/>
              </w:rPr>
              <w:t>，以合同签订时间为准，未提供的不得分）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1323" w:type="dxa"/>
            <w:vMerge w:val="continue"/>
            <w:vAlign w:val="center"/>
          </w:tcPr>
          <w:p>
            <w:pPr>
              <w:spacing w:line="240" w:lineRule="auto"/>
              <w:jc w:val="center"/>
              <w:rPr>
                <w:rFonts w:hint="eastAsia" w:ascii="宋体" w:hAnsi="宋体" w:eastAsia="宋体" w:cs="宋体"/>
                <w:color w:val="auto"/>
                <w:sz w:val="24"/>
                <w:szCs w:val="24"/>
              </w:rPr>
            </w:pPr>
          </w:p>
        </w:tc>
        <w:tc>
          <w:tcPr>
            <w:tcW w:w="1484" w:type="dxa"/>
            <w:vAlign w:val="center"/>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pacing w:val="-12"/>
                <w:position w:val="19"/>
                <w:sz w:val="24"/>
                <w:szCs w:val="24"/>
                <w:lang w:val="zh-CN"/>
              </w:rPr>
            </w:pPr>
            <w:r>
              <w:rPr>
                <w:rFonts w:hint="eastAsia" w:ascii="宋体" w:hAnsi="宋体" w:eastAsia="宋体" w:cs="宋体"/>
                <w:color w:val="auto"/>
                <w:spacing w:val="-12"/>
                <w:position w:val="19"/>
                <w:sz w:val="24"/>
                <w:szCs w:val="24"/>
                <w:lang w:val="zh-CN"/>
              </w:rPr>
              <w:t>企业实力</w:t>
            </w:r>
          </w:p>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pacing w:val="-12"/>
                <w:position w:val="19"/>
                <w:sz w:val="24"/>
                <w:szCs w:val="24"/>
              </w:rPr>
              <w:t>(</w:t>
            </w:r>
            <w:r>
              <w:rPr>
                <w:rFonts w:hint="eastAsia" w:ascii="宋体" w:hAnsi="宋体" w:cs="宋体"/>
                <w:color w:val="auto"/>
                <w:spacing w:val="-12"/>
                <w:position w:val="19"/>
                <w:sz w:val="24"/>
                <w:szCs w:val="24"/>
                <w:lang w:val="en-US" w:eastAsia="zh-CN"/>
              </w:rPr>
              <w:t>8</w:t>
            </w:r>
            <w:r>
              <w:rPr>
                <w:rFonts w:hint="eastAsia" w:ascii="宋体" w:hAnsi="宋体" w:eastAsia="宋体" w:cs="宋体"/>
                <w:color w:val="auto"/>
                <w:spacing w:val="-12"/>
                <w:position w:val="19"/>
                <w:sz w:val="24"/>
                <w:szCs w:val="24"/>
              </w:rPr>
              <w:t>分)</w:t>
            </w:r>
          </w:p>
        </w:tc>
        <w:tc>
          <w:tcPr>
            <w:tcW w:w="6377" w:type="dxa"/>
            <w:vAlign w:val="center"/>
          </w:tcPr>
          <w:p>
            <w:pPr>
              <w:spacing w:before="131" w:line="240" w:lineRule="auto"/>
              <w:ind w:left="112"/>
              <w:jc w:val="both"/>
              <w:rPr>
                <w:rFonts w:hint="eastAsia" w:ascii="宋体" w:hAnsi="宋体" w:eastAsia="宋体" w:cs="宋体"/>
                <w:color w:val="auto"/>
                <w:spacing w:val="-12"/>
                <w:position w:val="19"/>
                <w:sz w:val="24"/>
                <w:szCs w:val="24"/>
                <w:highlight w:val="none"/>
              </w:rPr>
            </w:pPr>
            <w:r>
              <w:rPr>
                <w:rFonts w:hint="eastAsia" w:ascii="宋体" w:hAnsi="宋体" w:eastAsia="宋体" w:cs="宋体"/>
                <w:color w:val="auto"/>
                <w:spacing w:val="-12"/>
                <w:position w:val="19"/>
                <w:sz w:val="24"/>
                <w:szCs w:val="24"/>
                <w:highlight w:val="none"/>
              </w:rPr>
              <w:t>1、投标人或所投</w:t>
            </w:r>
            <w:r>
              <w:rPr>
                <w:rFonts w:hint="eastAsia" w:ascii="宋体" w:hAnsi="宋体" w:cs="宋体"/>
                <w:color w:val="auto"/>
                <w:spacing w:val="-12"/>
                <w:position w:val="19"/>
                <w:sz w:val="24"/>
                <w:szCs w:val="24"/>
                <w:highlight w:val="none"/>
                <w:lang w:eastAsia="zh-CN"/>
              </w:rPr>
              <w:t>产品</w:t>
            </w:r>
            <w:r>
              <w:rPr>
                <w:rFonts w:hint="eastAsia" w:ascii="宋体" w:hAnsi="宋体" w:eastAsia="宋体" w:cs="宋体"/>
                <w:color w:val="auto"/>
                <w:spacing w:val="-12"/>
                <w:position w:val="19"/>
                <w:sz w:val="24"/>
                <w:szCs w:val="24"/>
                <w:highlight w:val="none"/>
              </w:rPr>
              <w:t xml:space="preserve">制造商具有有效期内所投保产品质量险、产品责任险、 公众责任险，人身意外伤害险， 每提供一个得 </w:t>
            </w:r>
            <w:r>
              <w:rPr>
                <w:rFonts w:hint="eastAsia" w:ascii="宋体" w:hAnsi="宋体" w:cs="宋体"/>
                <w:color w:val="auto"/>
                <w:spacing w:val="-12"/>
                <w:position w:val="19"/>
                <w:sz w:val="24"/>
                <w:szCs w:val="24"/>
                <w:highlight w:val="none"/>
                <w:lang w:val="en-US" w:eastAsia="zh-CN"/>
              </w:rPr>
              <w:t>1</w:t>
            </w:r>
            <w:r>
              <w:rPr>
                <w:rFonts w:hint="eastAsia" w:ascii="宋体" w:hAnsi="宋体" w:eastAsia="宋体" w:cs="宋体"/>
                <w:color w:val="auto"/>
                <w:spacing w:val="-12"/>
                <w:position w:val="19"/>
                <w:sz w:val="24"/>
                <w:szCs w:val="24"/>
                <w:highlight w:val="none"/>
              </w:rPr>
              <w:t xml:space="preserve">分， 最高得 </w:t>
            </w:r>
            <w:r>
              <w:rPr>
                <w:rFonts w:hint="eastAsia" w:ascii="宋体" w:hAnsi="宋体" w:cs="宋体"/>
                <w:color w:val="auto"/>
                <w:spacing w:val="-12"/>
                <w:position w:val="19"/>
                <w:sz w:val="24"/>
                <w:szCs w:val="24"/>
                <w:highlight w:val="none"/>
                <w:lang w:val="en-US" w:eastAsia="zh-CN"/>
              </w:rPr>
              <w:t>4</w:t>
            </w:r>
            <w:r>
              <w:rPr>
                <w:rFonts w:hint="eastAsia" w:ascii="宋体" w:hAnsi="宋体" w:eastAsia="宋体" w:cs="宋体"/>
                <w:color w:val="auto"/>
                <w:spacing w:val="-12"/>
                <w:position w:val="19"/>
                <w:sz w:val="24"/>
                <w:szCs w:val="24"/>
                <w:highlight w:val="none"/>
              </w:rPr>
              <w:t>分， 没有不得分。</w:t>
            </w:r>
            <w:r>
              <w:rPr>
                <w:rFonts w:hint="eastAsia" w:ascii="宋体" w:hAnsi="宋体" w:eastAsia="宋体" w:cs="宋体"/>
                <w:color w:val="auto"/>
                <w:spacing w:val="-12"/>
                <w:position w:val="19"/>
                <w:sz w:val="24"/>
                <w:szCs w:val="24"/>
                <w:highlight w:val="none"/>
                <w:lang w:eastAsia="zh-CN"/>
              </w:rPr>
              <w:t>（</w:t>
            </w:r>
            <w:r>
              <w:rPr>
                <w:rFonts w:hint="eastAsia" w:ascii="宋体" w:hAnsi="宋体" w:eastAsia="宋体" w:cs="宋体"/>
                <w:color w:val="auto"/>
                <w:spacing w:val="-12"/>
                <w:position w:val="19"/>
                <w:sz w:val="24"/>
                <w:szCs w:val="24"/>
                <w:highlight w:val="none"/>
              </w:rPr>
              <w:t>注：提供保单和发票扫描件。</w:t>
            </w:r>
            <w:r>
              <w:rPr>
                <w:rFonts w:hint="eastAsia" w:ascii="宋体" w:hAnsi="宋体" w:eastAsia="宋体" w:cs="宋体"/>
                <w:color w:val="auto"/>
                <w:spacing w:val="-12"/>
                <w:position w:val="19"/>
                <w:sz w:val="24"/>
                <w:szCs w:val="24"/>
                <w:highlight w:val="none"/>
                <w:lang w:eastAsia="zh-CN"/>
              </w:rPr>
              <w:t>）</w:t>
            </w:r>
          </w:p>
          <w:p>
            <w:pPr>
              <w:spacing w:before="131" w:line="240" w:lineRule="auto"/>
              <w:ind w:left="112"/>
              <w:jc w:val="both"/>
              <w:rPr>
                <w:rFonts w:hint="eastAsia" w:ascii="宋体" w:hAnsi="宋体" w:eastAsia="宋体" w:cs="宋体"/>
                <w:color w:val="auto"/>
                <w:sz w:val="24"/>
                <w:szCs w:val="24"/>
                <w:highlight w:val="none"/>
              </w:rPr>
            </w:pPr>
            <w:r>
              <w:rPr>
                <w:rFonts w:hint="eastAsia" w:ascii="宋体" w:hAnsi="宋体" w:eastAsia="宋体" w:cs="宋体"/>
                <w:color w:val="auto"/>
                <w:spacing w:val="-12"/>
                <w:position w:val="19"/>
                <w:sz w:val="24"/>
                <w:szCs w:val="24"/>
                <w:highlight w:val="none"/>
              </w:rPr>
              <w:t>2、投标人或所投</w:t>
            </w:r>
            <w:r>
              <w:rPr>
                <w:rFonts w:hint="eastAsia" w:ascii="宋体" w:hAnsi="宋体" w:cs="宋体"/>
                <w:color w:val="auto"/>
                <w:spacing w:val="-12"/>
                <w:position w:val="19"/>
                <w:sz w:val="24"/>
                <w:szCs w:val="24"/>
                <w:highlight w:val="none"/>
                <w:lang w:eastAsia="zh-CN"/>
              </w:rPr>
              <w:t>产品</w:t>
            </w:r>
            <w:r>
              <w:rPr>
                <w:rFonts w:hint="eastAsia" w:ascii="宋体" w:hAnsi="宋体" w:eastAsia="宋体" w:cs="宋体"/>
                <w:color w:val="auto"/>
                <w:spacing w:val="-12"/>
                <w:position w:val="19"/>
                <w:sz w:val="24"/>
                <w:szCs w:val="24"/>
                <w:highlight w:val="none"/>
              </w:rPr>
              <w:t>制造商工业和信息化部门颁发的标准化示范</w:t>
            </w:r>
            <w:r>
              <w:rPr>
                <w:rFonts w:hint="eastAsia" w:ascii="宋体" w:hAnsi="宋体" w:cs="宋体"/>
                <w:color w:val="auto"/>
                <w:spacing w:val="-12"/>
                <w:position w:val="19"/>
                <w:sz w:val="24"/>
                <w:szCs w:val="24"/>
                <w:highlight w:val="none"/>
                <w:lang w:val="en-US" w:eastAsia="zh-CN"/>
              </w:rPr>
              <w:t>企业（且在有效期内）</w:t>
            </w:r>
            <w:r>
              <w:rPr>
                <w:rFonts w:hint="eastAsia" w:ascii="宋体" w:hAnsi="宋体" w:eastAsia="宋体" w:cs="宋体"/>
                <w:color w:val="auto"/>
                <w:spacing w:val="-12"/>
                <w:position w:val="19"/>
                <w:sz w:val="24"/>
                <w:szCs w:val="24"/>
                <w:highlight w:val="none"/>
              </w:rPr>
              <w:t xml:space="preserve">的得 </w:t>
            </w:r>
            <w:r>
              <w:rPr>
                <w:rFonts w:hint="eastAsia" w:ascii="宋体" w:hAnsi="宋体" w:cs="宋体"/>
                <w:color w:val="auto"/>
                <w:spacing w:val="-12"/>
                <w:position w:val="19"/>
                <w:sz w:val="24"/>
                <w:szCs w:val="24"/>
                <w:highlight w:val="none"/>
                <w:lang w:val="en-US" w:eastAsia="zh-CN"/>
              </w:rPr>
              <w:t>4</w:t>
            </w:r>
            <w:r>
              <w:rPr>
                <w:rFonts w:hint="eastAsia" w:ascii="宋体" w:hAnsi="宋体" w:eastAsia="宋体" w:cs="宋体"/>
                <w:color w:val="auto"/>
                <w:spacing w:val="-12"/>
                <w:position w:val="19"/>
                <w:sz w:val="24"/>
                <w:szCs w:val="24"/>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trPr>
        <w:tc>
          <w:tcPr>
            <w:tcW w:w="1323" w:type="dxa"/>
            <w:vMerge w:val="continue"/>
            <w:vAlign w:val="center"/>
          </w:tcPr>
          <w:p>
            <w:pPr>
              <w:spacing w:line="240" w:lineRule="auto"/>
              <w:jc w:val="center"/>
              <w:rPr>
                <w:rFonts w:hint="eastAsia" w:ascii="宋体" w:hAnsi="宋体" w:eastAsia="宋体" w:cs="宋体"/>
                <w:color w:val="auto"/>
                <w:sz w:val="24"/>
                <w:szCs w:val="24"/>
              </w:rPr>
            </w:pPr>
          </w:p>
        </w:tc>
        <w:tc>
          <w:tcPr>
            <w:tcW w:w="1484" w:type="dxa"/>
            <w:vAlign w:val="center"/>
          </w:tcPr>
          <w:p>
            <w:pPr>
              <w:spacing w:before="69" w:line="240" w:lineRule="auto"/>
              <w:jc w:val="center"/>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相关证书</w:t>
            </w:r>
          </w:p>
          <w:p>
            <w:pPr>
              <w:spacing w:before="69" w:line="240" w:lineRule="auto"/>
              <w:jc w:val="center"/>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lang w:val="zh-CN"/>
              </w:rPr>
              <w:t>（</w:t>
            </w:r>
            <w:r>
              <w:rPr>
                <w:rFonts w:hint="eastAsia" w:ascii="宋体" w:hAnsi="宋体" w:eastAsia="宋体" w:cs="宋体"/>
                <w:color w:val="auto"/>
                <w:spacing w:val="-12"/>
                <w:position w:val="19"/>
                <w:sz w:val="24"/>
                <w:szCs w:val="24"/>
                <w:lang w:val="en-US" w:eastAsia="zh-CN"/>
              </w:rPr>
              <w:t>6</w:t>
            </w:r>
            <w:r>
              <w:rPr>
                <w:rFonts w:hint="eastAsia" w:ascii="宋体" w:hAnsi="宋体" w:eastAsia="宋体" w:cs="宋体"/>
                <w:color w:val="auto"/>
                <w:spacing w:val="-12"/>
                <w:position w:val="19"/>
                <w:sz w:val="24"/>
                <w:szCs w:val="24"/>
                <w:lang w:val="zh-CN"/>
              </w:rPr>
              <w:t>分）</w:t>
            </w:r>
          </w:p>
        </w:tc>
        <w:tc>
          <w:tcPr>
            <w:tcW w:w="6377" w:type="dxa"/>
            <w:vAlign w:val="center"/>
          </w:tcPr>
          <w:p>
            <w:pPr>
              <w:spacing w:before="131"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1、投标人或所投</w:t>
            </w:r>
            <w:r>
              <w:rPr>
                <w:rFonts w:hint="eastAsia" w:ascii="宋体" w:hAnsi="宋体" w:cs="宋体"/>
                <w:color w:val="auto"/>
                <w:spacing w:val="-12"/>
                <w:position w:val="19"/>
                <w:sz w:val="24"/>
                <w:szCs w:val="24"/>
                <w:lang w:eastAsia="zh-CN"/>
              </w:rPr>
              <w:t>产品</w:t>
            </w:r>
            <w:r>
              <w:rPr>
                <w:rFonts w:hint="eastAsia" w:ascii="宋体" w:hAnsi="宋体" w:eastAsia="宋体" w:cs="宋体"/>
                <w:color w:val="auto"/>
                <w:spacing w:val="-12"/>
                <w:position w:val="19"/>
                <w:sz w:val="24"/>
                <w:szCs w:val="24"/>
              </w:rPr>
              <w:t>制造商提供资信等级评为AAA级的得3分、AA级的得2分、A级的得1分。</w:t>
            </w:r>
          </w:p>
          <w:p>
            <w:pPr>
              <w:spacing w:before="131" w:line="240" w:lineRule="auto"/>
              <w:ind w:left="112"/>
              <w:jc w:val="both"/>
              <w:rPr>
                <w:rFonts w:hint="eastAsia" w:ascii="宋体" w:hAnsi="宋体" w:eastAsia="宋体" w:cs="宋体"/>
                <w:color w:val="auto"/>
                <w:spacing w:val="-12"/>
                <w:position w:val="19"/>
                <w:sz w:val="24"/>
                <w:szCs w:val="24"/>
              </w:rPr>
            </w:pPr>
            <w:r>
              <w:rPr>
                <w:rFonts w:hint="eastAsia" w:ascii="宋体" w:hAnsi="宋体" w:eastAsia="宋体" w:cs="宋体"/>
                <w:color w:val="auto"/>
                <w:spacing w:val="-12"/>
                <w:position w:val="19"/>
                <w:sz w:val="24"/>
                <w:szCs w:val="24"/>
              </w:rPr>
              <w:t>2、投标人或所投</w:t>
            </w:r>
            <w:r>
              <w:rPr>
                <w:rFonts w:hint="eastAsia" w:ascii="宋体" w:hAnsi="宋体" w:cs="宋体"/>
                <w:color w:val="auto"/>
                <w:spacing w:val="-12"/>
                <w:position w:val="19"/>
                <w:sz w:val="24"/>
                <w:szCs w:val="24"/>
                <w:lang w:eastAsia="zh-CN"/>
              </w:rPr>
              <w:t>产品</w:t>
            </w:r>
            <w:r>
              <w:rPr>
                <w:rFonts w:hint="eastAsia" w:ascii="宋体" w:hAnsi="宋体" w:eastAsia="宋体" w:cs="宋体"/>
                <w:color w:val="auto"/>
                <w:spacing w:val="-12"/>
                <w:position w:val="19"/>
                <w:sz w:val="24"/>
                <w:szCs w:val="24"/>
              </w:rPr>
              <w:t>制造商</w:t>
            </w:r>
            <w:r>
              <w:rPr>
                <w:rFonts w:hint="eastAsia" w:ascii="宋体" w:hAnsi="宋体" w:eastAsia="宋体" w:cs="宋体"/>
                <w:color w:val="auto"/>
                <w:spacing w:val="-12"/>
                <w:position w:val="19"/>
                <w:sz w:val="24"/>
                <w:szCs w:val="24"/>
                <w:lang w:val="zh-CN"/>
              </w:rPr>
              <w:t>具有质量管理体系认证证书、职业健康安全管理体系认证证书、环境管理体系认证证书的，每提供一份得1分，共</w:t>
            </w:r>
            <w:r>
              <w:rPr>
                <w:rFonts w:hint="eastAsia" w:ascii="宋体" w:hAnsi="宋体" w:eastAsia="宋体" w:cs="宋体"/>
                <w:color w:val="auto"/>
                <w:spacing w:val="-12"/>
                <w:position w:val="19"/>
                <w:sz w:val="24"/>
                <w:szCs w:val="24"/>
              </w:rPr>
              <w:t>3分。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lang w:val="en-US" w:eastAsia="zh-CN"/>
              </w:rPr>
              <w:t>6</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pPr>
              <w:widowControl/>
              <w:adjustRightInd w:val="0"/>
              <w:spacing w:line="360" w:lineRule="auto"/>
              <w:ind w:left="-88" w:leftChars="-42" w:firstLine="449" w:firstLineChars="214"/>
              <w:jc w:val="left"/>
              <w:rPr>
                <w:lang w:val="zh-CN"/>
              </w:rPr>
            </w:pPr>
            <w:r>
              <w:rPr>
                <w:lang w:val="zh-CN"/>
              </w:rPr>
              <w:t>评标基准价</w:t>
            </w:r>
            <w:r>
              <w:rPr>
                <w:rFonts w:hint="eastAsia"/>
                <w:lang w:val="zh-CN"/>
              </w:rPr>
              <w:t>=评标价格的最低价</w:t>
            </w:r>
          </w:p>
          <w:p>
            <w:pPr>
              <w:adjustRightInd w:val="0"/>
              <w:spacing w:line="360" w:lineRule="auto"/>
              <w:ind w:left="-88" w:leftChars="-42" w:firstLine="449" w:firstLineChars="214"/>
              <w:jc w:val="left"/>
              <w:rPr>
                <w:rFonts w:hint="eastAsia"/>
                <w:lang w:val="zh-CN"/>
              </w:rPr>
            </w:pPr>
            <w:r>
              <w:rPr>
                <w:lang w:val="zh-CN"/>
              </w:rPr>
              <w:t>其他投标报价得分</w:t>
            </w:r>
            <w:r>
              <w:rPr>
                <w:rFonts w:hint="eastAsia"/>
                <w:lang w:val="zh-CN"/>
              </w:rPr>
              <w:t>=（</w:t>
            </w:r>
            <w:r>
              <w:rPr>
                <w:lang w:val="zh-CN"/>
              </w:rPr>
              <w:t>评标基准价</w:t>
            </w:r>
            <w:r>
              <w:rPr>
                <w:rFonts w:hint="eastAsia"/>
                <w:lang w:val="zh-CN"/>
              </w:rPr>
              <w:t>/评标价格）</w:t>
            </w:r>
            <w:r>
              <w:rPr>
                <w:lang w:val="zh-CN"/>
              </w:rPr>
              <w:t>×</w:t>
            </w:r>
            <w:r>
              <w:rPr>
                <w:rFonts w:hint="eastAsia"/>
                <w:lang w:val="zh-CN"/>
              </w:rPr>
              <w:t>评标标准中价格分值</w:t>
            </w:r>
          </w:p>
          <w:p>
            <w:pPr>
              <w:pStyle w:val="27"/>
              <w:rPr>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19"/>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6"/>
        <w:spacing w:line="360" w:lineRule="auto"/>
      </w:pPr>
      <w:r>
        <w:rPr>
          <w:rFonts w:hint="eastAsia"/>
        </w:rPr>
        <w:t>甲方：</w:t>
      </w:r>
      <w:r>
        <w:rPr>
          <w:rFonts w:hint="eastAsia"/>
          <w:u w:val="single"/>
        </w:rPr>
        <w:t>（采购人全称）</w:t>
      </w:r>
    </w:p>
    <w:p>
      <w:pPr>
        <w:pStyle w:val="26"/>
        <w:spacing w:before="0" w:beforeAutospacing="0" w:after="0" w:afterAutospacing="0" w:line="360" w:lineRule="auto"/>
        <w:contextualSpacing/>
      </w:pPr>
      <w:r>
        <w:rPr>
          <w:rFonts w:hint="eastAsia"/>
        </w:rPr>
        <w:t>乙方：</w:t>
      </w:r>
      <w:r>
        <w:rPr>
          <w:rFonts w:hint="eastAsia"/>
          <w:u w:val="single"/>
        </w:rPr>
        <w:t>（中标人全称）</w:t>
      </w:r>
    </w:p>
    <w:p>
      <w:pPr>
        <w:pStyle w:val="26"/>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6"/>
        <w:spacing w:before="0" w:beforeAutospacing="0" w:after="0" w:afterAutospacing="0" w:line="360" w:lineRule="auto"/>
        <w:ind w:firstLine="482"/>
        <w:contextualSpacing/>
      </w:pPr>
      <w:r>
        <w:rPr>
          <w:rFonts w:hint="eastAsia"/>
        </w:rPr>
        <w:t>1、下列合同文件是构成本合同不可分割的部分：</w:t>
      </w:r>
    </w:p>
    <w:p>
      <w:pPr>
        <w:pStyle w:val="26"/>
        <w:spacing w:before="0" w:beforeAutospacing="0" w:after="0" w:afterAutospacing="0" w:line="360" w:lineRule="auto"/>
        <w:ind w:firstLine="482"/>
        <w:contextualSpacing/>
      </w:pPr>
      <w:r>
        <w:rPr>
          <w:rFonts w:hint="eastAsia"/>
        </w:rPr>
        <w:t>1.1合同条款；</w:t>
      </w:r>
    </w:p>
    <w:p>
      <w:pPr>
        <w:pStyle w:val="26"/>
        <w:spacing w:before="0" w:beforeAutospacing="0" w:after="0" w:afterAutospacing="0" w:line="360" w:lineRule="auto"/>
        <w:ind w:firstLine="482"/>
        <w:contextualSpacing/>
      </w:pPr>
      <w:r>
        <w:rPr>
          <w:rFonts w:hint="eastAsia"/>
        </w:rPr>
        <w:t>1.2招标文件、乙方的投标文件；</w:t>
      </w:r>
    </w:p>
    <w:p>
      <w:pPr>
        <w:pStyle w:val="26"/>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6"/>
        <w:spacing w:before="0" w:beforeAutospacing="0" w:after="0" w:afterAutospacing="0" w:line="360" w:lineRule="auto"/>
        <w:ind w:firstLine="482"/>
        <w:contextualSpacing/>
      </w:pPr>
      <w:r>
        <w:rPr>
          <w:rFonts w:hint="eastAsia"/>
        </w:rPr>
        <w:t>2、合同标的</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3、合同总金额</w:t>
      </w:r>
    </w:p>
    <w:p>
      <w:pPr>
        <w:pStyle w:val="26"/>
        <w:spacing w:before="0" w:beforeAutospacing="0" w:after="0" w:afterAutospacing="0" w:line="360" w:lineRule="auto"/>
        <w:ind w:firstLine="482"/>
        <w:contextualSpacing/>
      </w:pPr>
      <w:r>
        <w:rPr>
          <w:rFonts w:hint="eastAsia"/>
        </w:rPr>
        <w:t>3.1合同总金额为人民币大写：元（￥）。</w:t>
      </w:r>
    </w:p>
    <w:p>
      <w:pPr>
        <w:pStyle w:val="26"/>
        <w:spacing w:before="0" w:beforeAutospacing="0" w:after="0" w:afterAutospacing="0" w:line="360" w:lineRule="auto"/>
        <w:ind w:firstLine="482"/>
        <w:contextualSpacing/>
      </w:pPr>
      <w:r>
        <w:rPr>
          <w:rFonts w:hint="eastAsia"/>
        </w:rPr>
        <w:t>4、合同标的交付时间、地点和条件</w:t>
      </w:r>
    </w:p>
    <w:p>
      <w:pPr>
        <w:pStyle w:val="26"/>
        <w:spacing w:before="0" w:beforeAutospacing="0" w:after="0" w:afterAutospacing="0" w:line="360" w:lineRule="auto"/>
        <w:ind w:firstLine="482"/>
        <w:contextualSpacing/>
      </w:pPr>
      <w:r>
        <w:rPr>
          <w:rFonts w:hint="eastAsia"/>
        </w:rPr>
        <w:t>4.1交付时间：；</w:t>
      </w:r>
    </w:p>
    <w:p>
      <w:pPr>
        <w:pStyle w:val="26"/>
        <w:spacing w:before="0" w:beforeAutospacing="0" w:after="0" w:afterAutospacing="0" w:line="360" w:lineRule="auto"/>
        <w:ind w:firstLine="482"/>
        <w:contextualSpacing/>
      </w:pPr>
      <w:r>
        <w:rPr>
          <w:rFonts w:hint="eastAsia"/>
        </w:rPr>
        <w:t>4.2交付地点：；</w:t>
      </w:r>
    </w:p>
    <w:p>
      <w:pPr>
        <w:pStyle w:val="26"/>
        <w:spacing w:before="0" w:beforeAutospacing="0" w:after="0" w:afterAutospacing="0" w:line="360" w:lineRule="auto"/>
        <w:ind w:firstLine="482"/>
        <w:contextualSpacing/>
      </w:pPr>
      <w:r>
        <w:rPr>
          <w:rFonts w:hint="eastAsia"/>
        </w:rPr>
        <w:t>4.3交付条件：。</w:t>
      </w:r>
    </w:p>
    <w:p>
      <w:pPr>
        <w:pStyle w:val="26"/>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6、验收</w:t>
      </w:r>
    </w:p>
    <w:p>
      <w:pPr>
        <w:pStyle w:val="26"/>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6.2本项目是否邀请其他投标人参与验收：</w:t>
      </w:r>
    </w:p>
    <w:p>
      <w:pPr>
        <w:pStyle w:val="26"/>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7、合同款项的支付应按照招标文件的规定进行，具体如下：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6"/>
        <w:spacing w:before="0" w:beforeAutospacing="0" w:after="0" w:afterAutospacing="0" w:line="360" w:lineRule="auto"/>
        <w:ind w:firstLine="482"/>
        <w:contextualSpacing/>
      </w:pPr>
      <w:r>
        <w:rPr>
          <w:rFonts w:hint="eastAsia"/>
        </w:rPr>
        <w:t>8、履约担保</w:t>
      </w:r>
    </w:p>
    <w:p>
      <w:pPr>
        <w:pStyle w:val="26"/>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9、合同有效期</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10、违约责任</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11、知识产权</w:t>
      </w:r>
    </w:p>
    <w:p>
      <w:pPr>
        <w:pStyle w:val="26"/>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12、解决争议的方法</w:t>
      </w:r>
    </w:p>
    <w:p>
      <w:pPr>
        <w:pStyle w:val="26"/>
        <w:spacing w:before="0" w:beforeAutospacing="0" w:after="0" w:afterAutospacing="0" w:line="360" w:lineRule="auto"/>
        <w:ind w:firstLine="482"/>
        <w:contextualSpacing/>
      </w:pPr>
      <w:r>
        <w:rPr>
          <w:rFonts w:hint="eastAsia"/>
        </w:rPr>
        <w:t>12.1甲、乙双方协商解决。</w:t>
      </w:r>
    </w:p>
    <w:p>
      <w:pPr>
        <w:pStyle w:val="26"/>
        <w:spacing w:before="0" w:beforeAutospacing="0" w:after="0" w:afterAutospacing="0" w:line="360" w:lineRule="auto"/>
        <w:ind w:firstLine="482"/>
        <w:contextualSpacing/>
      </w:pPr>
      <w:r>
        <w:rPr>
          <w:rFonts w:hint="eastAsia"/>
        </w:rPr>
        <w:t>12.2若协商解决不成，则通过下列途径之一解决：</w:t>
      </w:r>
    </w:p>
    <w:p>
      <w:pPr>
        <w:pStyle w:val="26"/>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13、不可抗力</w:t>
      </w:r>
    </w:p>
    <w:p>
      <w:pPr>
        <w:pStyle w:val="26"/>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0" w:beforeAutospacing="0" w:after="0" w:afterAutospacing="0" w:line="360" w:lineRule="auto"/>
        <w:ind w:firstLine="482"/>
        <w:contextualSpacing/>
      </w:pPr>
      <w:r>
        <w:rPr>
          <w:rFonts w:hint="eastAsia"/>
        </w:rPr>
        <w:t>14、合同条款</w:t>
      </w:r>
    </w:p>
    <w:p>
      <w:pPr>
        <w:pStyle w:val="26"/>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6"/>
        <w:spacing w:before="0" w:beforeAutospacing="0" w:after="0" w:afterAutospacing="0" w:line="360" w:lineRule="auto"/>
        <w:ind w:firstLine="482"/>
        <w:contextualSpacing/>
      </w:pPr>
      <w:r>
        <w:rPr>
          <w:rFonts w:hint="eastAsia"/>
        </w:rPr>
        <w:t>15、其他约定</w:t>
      </w:r>
    </w:p>
    <w:p>
      <w:pPr>
        <w:pStyle w:val="26"/>
        <w:spacing w:before="0" w:beforeAutospacing="0" w:after="0" w:afterAutospacing="0" w:line="360" w:lineRule="auto"/>
        <w:ind w:firstLine="482"/>
        <w:contextualSpacing/>
      </w:pPr>
      <w:r>
        <w:rPr>
          <w:rFonts w:hint="eastAsia"/>
        </w:rPr>
        <w:t>15.1合同文件与本合同具有同等法律效力。</w:t>
      </w:r>
    </w:p>
    <w:p>
      <w:pPr>
        <w:pStyle w:val="26"/>
        <w:spacing w:before="0" w:beforeAutospacing="0" w:after="0" w:afterAutospacing="0" w:line="360" w:lineRule="auto"/>
        <w:ind w:firstLine="482"/>
        <w:contextualSpacing/>
      </w:pPr>
      <w:r>
        <w:rPr>
          <w:rFonts w:hint="eastAsia"/>
        </w:rPr>
        <w:t>15.2本合同未尽事宜，双方可另行补充。</w:t>
      </w:r>
    </w:p>
    <w:p>
      <w:pPr>
        <w:pStyle w:val="26"/>
        <w:spacing w:before="0" w:beforeAutospacing="0" w:after="0" w:afterAutospacing="0" w:line="360" w:lineRule="auto"/>
        <w:ind w:firstLine="482"/>
        <w:contextualSpacing/>
      </w:pPr>
      <w:r>
        <w:rPr>
          <w:rFonts w:hint="eastAsia"/>
        </w:rPr>
        <w:t>15.3合同生效：自签订之日起生效。</w:t>
      </w:r>
    </w:p>
    <w:p>
      <w:pPr>
        <w:pStyle w:val="26"/>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6"/>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6"/>
        <w:spacing w:before="0" w:beforeAutospacing="0" w:after="0" w:afterAutospacing="0"/>
        <w:contextualSpacing/>
      </w:pPr>
    </w:p>
    <w:p>
      <w:pPr>
        <w:pStyle w:val="26"/>
        <w:spacing w:before="0" w:beforeAutospacing="0" w:after="0" w:afterAutospacing="0"/>
        <w:contextualSpacing/>
      </w:pPr>
    </w:p>
    <w:p>
      <w:pPr>
        <w:pStyle w:val="26"/>
        <w:spacing w:before="0" w:beforeAutospacing="0" w:after="0" w:afterAutospacing="0" w:line="360" w:lineRule="auto"/>
        <w:contextualSpacing/>
      </w:pPr>
      <w:r>
        <w:rPr>
          <w:rFonts w:hint="eastAsia"/>
        </w:rPr>
        <w:t>甲方：                        乙方：</w:t>
      </w:r>
    </w:p>
    <w:p>
      <w:pPr>
        <w:pStyle w:val="26"/>
        <w:spacing w:before="0" w:beforeAutospacing="0" w:after="0" w:afterAutospacing="0" w:line="360" w:lineRule="auto"/>
        <w:contextualSpacing/>
      </w:pPr>
      <w:r>
        <w:rPr>
          <w:rFonts w:hint="eastAsia"/>
        </w:rPr>
        <w:t>住所：                        住所：</w:t>
      </w:r>
    </w:p>
    <w:p>
      <w:pPr>
        <w:pStyle w:val="26"/>
        <w:spacing w:before="0" w:beforeAutospacing="0" w:after="0" w:afterAutospacing="0" w:line="360" w:lineRule="auto"/>
        <w:contextualSpacing/>
      </w:pPr>
      <w:r>
        <w:rPr>
          <w:rFonts w:hint="eastAsia"/>
        </w:rPr>
        <w:t>法定代表人（单位负责人）：              法定代表人（单位负责人）：</w:t>
      </w:r>
    </w:p>
    <w:p>
      <w:pPr>
        <w:pStyle w:val="26"/>
        <w:spacing w:before="0" w:beforeAutospacing="0" w:after="0" w:afterAutospacing="0" w:line="360" w:lineRule="auto"/>
        <w:contextualSpacing/>
      </w:pPr>
      <w:r>
        <w:rPr>
          <w:rFonts w:hint="eastAsia"/>
        </w:rPr>
        <w:t>联系方法：                      联系方法：</w:t>
      </w:r>
    </w:p>
    <w:p>
      <w:pPr>
        <w:pStyle w:val="26"/>
        <w:spacing w:before="0" w:beforeAutospacing="0" w:after="0" w:afterAutospacing="0" w:line="360" w:lineRule="auto"/>
        <w:contextualSpacing/>
      </w:pPr>
      <w:r>
        <w:rPr>
          <w:rFonts w:hint="eastAsia"/>
        </w:rPr>
        <w:t>开户银行：                      开户银行：</w:t>
      </w:r>
    </w:p>
    <w:p>
      <w:pPr>
        <w:pStyle w:val="26"/>
        <w:spacing w:before="0" w:beforeAutospacing="0" w:after="0" w:afterAutospacing="0" w:line="360" w:lineRule="auto"/>
        <w:contextualSpacing/>
      </w:pPr>
      <w:r>
        <w:rPr>
          <w:rFonts w:hint="eastAsia"/>
        </w:rPr>
        <w:t>账号：                        账号：</w:t>
      </w:r>
    </w:p>
    <w:p>
      <w:pPr>
        <w:pStyle w:val="26"/>
        <w:spacing w:before="0" w:beforeAutospacing="0" w:after="0" w:afterAutospacing="0" w:line="360" w:lineRule="auto"/>
        <w:contextualSpacing/>
      </w:pPr>
      <w:r>
        <w:rPr>
          <w:rFonts w:hint="eastAsia"/>
        </w:rPr>
        <w:t>签订地点：</w:t>
      </w:r>
    </w:p>
    <w:p>
      <w:pPr>
        <w:pStyle w:val="26"/>
        <w:spacing w:before="0" w:beforeAutospacing="0" w:after="0" w:afterAutospacing="0" w:line="360" w:lineRule="auto"/>
        <w:contextualSpacing/>
      </w:pPr>
      <w:r>
        <w:rPr>
          <w:rFonts w:hint="eastAsia"/>
        </w:rPr>
        <w:t>签订日期：年月日</w:t>
      </w:r>
    </w:p>
    <w:p>
      <w:pPr>
        <w:pStyle w:val="19"/>
        <w:spacing w:line="360" w:lineRule="auto"/>
        <w:rPr>
          <w:rFonts w:hAnsi="宋体"/>
          <w:sz w:val="36"/>
          <w:szCs w:val="36"/>
        </w:rPr>
      </w:pPr>
    </w:p>
    <w:p>
      <w:pPr>
        <w:pStyle w:val="19"/>
        <w:adjustRightInd w:val="0"/>
        <w:snapToGrid w:val="0"/>
        <w:spacing w:line="440" w:lineRule="exact"/>
        <w:jc w:val="center"/>
        <w:rPr>
          <w:rFonts w:ascii="宋体" w:hAnsi="宋体"/>
          <w:b/>
          <w:sz w:val="36"/>
          <w:szCs w:val="36"/>
        </w:rPr>
      </w:pPr>
    </w:p>
    <w:p>
      <w:pPr>
        <w:pStyle w:val="19"/>
        <w:adjustRightInd w:val="0"/>
        <w:snapToGrid w:val="0"/>
        <w:spacing w:line="440" w:lineRule="exact"/>
        <w:jc w:val="center"/>
        <w:rPr>
          <w:rFonts w:ascii="宋体" w:hAnsi="宋体"/>
          <w:b/>
          <w:sz w:val="36"/>
          <w:szCs w:val="36"/>
        </w:rPr>
      </w:pPr>
    </w:p>
    <w:p>
      <w:pPr>
        <w:pStyle w:val="19"/>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7"/>
        <w:tabs>
          <w:tab w:val="left" w:pos="660"/>
        </w:tabs>
        <w:snapToGrid w:val="0"/>
        <w:spacing w:before="0" w:line="400" w:lineRule="exact"/>
        <w:rPr>
          <w:rFonts w:cs="黑体"/>
          <w:color w:val="auto"/>
          <w:kern w:val="2"/>
          <w:sz w:val="28"/>
          <w:szCs w:val="28"/>
          <w:lang w:val="zh-CN"/>
        </w:rPr>
      </w:pPr>
      <w:bookmarkStart w:id="3" w:name="_Toc174185203"/>
      <w:bookmarkStart w:id="4" w:name="_Toc184023138"/>
      <w:bookmarkStart w:id="5" w:name="_Toc186274126"/>
      <w:r>
        <w:rPr>
          <w:rFonts w:hint="eastAsia" w:cs="黑体"/>
          <w:color w:val="auto"/>
          <w:kern w:val="2"/>
          <w:sz w:val="28"/>
          <w:szCs w:val="28"/>
          <w:lang w:val="zh-CN"/>
        </w:rPr>
        <w:t>一、投标人应答索引表</w:t>
      </w:r>
      <w:bookmarkEnd w:id="3"/>
      <w:bookmarkEnd w:id="4"/>
      <w:bookmarkEnd w:id="5"/>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3751" w:type="dxa"/>
            <w:vAlign w:val="center"/>
          </w:tcPr>
          <w:p>
            <w:pPr>
              <w:pStyle w:val="19"/>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3751" w:type="dxa"/>
            <w:vAlign w:val="center"/>
          </w:tcPr>
          <w:p>
            <w:pPr>
              <w:pStyle w:val="19"/>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3751" w:type="dxa"/>
            <w:vAlign w:val="center"/>
          </w:tcPr>
          <w:p>
            <w:pPr>
              <w:pStyle w:val="19"/>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lang w:val="en-US" w:eastAsia="zh-CN"/>
              </w:rPr>
              <w:t>长葛市</w:t>
            </w:r>
            <w:r>
              <w:rPr>
                <w:rFonts w:hint="eastAsia" w:hAnsi="宋体"/>
                <w:color w:val="auto"/>
                <w:sz w:val="21"/>
                <w:szCs w:val="21"/>
              </w:rPr>
              <w:t>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1" w:type="dxa"/>
            <w:vAlign w:val="center"/>
          </w:tcPr>
          <w:p>
            <w:pPr>
              <w:pStyle w:val="1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1" w:type="dxa"/>
            <w:vAlign w:val="center"/>
          </w:tcPr>
          <w:p>
            <w:pPr>
              <w:pStyle w:val="1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1" w:type="dxa"/>
            <w:vAlign w:val="center"/>
          </w:tcPr>
          <w:p>
            <w:pPr>
              <w:pStyle w:val="1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1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19"/>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19"/>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7"/>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19"/>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9"/>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19"/>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lang w:val="en-US" w:eastAsia="zh-CN"/>
        </w:rPr>
        <w:t xml:space="preserve"> </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（项目名称、招标编号）采购的招标公告及投标邀请，_______（姓名和职务）被正式授权并代表投标人</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（投标人名称、地址）提交。</w:t>
      </w:r>
    </w:p>
    <w:p>
      <w:pPr>
        <w:pStyle w:val="1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lang w:val="en-US" w:eastAsia="zh-CN"/>
        </w:rPr>
        <w:t xml:space="preserve">          </w:t>
      </w:r>
      <w:r>
        <w:rPr>
          <w:rFonts w:hint="eastAsia" w:ascii="宋体" w:hAnsi="宋体"/>
          <w:snapToGrid w:val="0"/>
          <w:szCs w:val="21"/>
        </w:rPr>
        <w:t>（项目名称、招标编号）招标文件的全部内容。</w:t>
      </w:r>
    </w:p>
    <w:p>
      <w:pPr>
        <w:pStyle w:val="1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6"/>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6"/>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6"/>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19"/>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19"/>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9"/>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19"/>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9"/>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r>
        <w:rPr>
          <w:rFonts w:hint="eastAsia" w:hAnsi="宋体"/>
          <w:sz w:val="21"/>
          <w:szCs w:val="21"/>
          <w:u w:val="none"/>
          <w:lang w:val="en-US" w:eastAsia="zh-CN"/>
        </w:rPr>
        <w:t xml:space="preserve">   </w:t>
      </w:r>
      <w:r>
        <w:rPr>
          <w:rFonts w:hint="eastAsia" w:hAnsi="宋体"/>
          <w:sz w:val="21"/>
          <w:szCs w:val="21"/>
          <w:u w:val="single"/>
          <w:lang w:val="en-US" w:eastAsia="zh-CN"/>
        </w:rPr>
        <w:t xml:space="preserve">   </w:t>
      </w:r>
      <w:r>
        <w:rPr>
          <w:rFonts w:hAnsi="宋体"/>
          <w:sz w:val="21"/>
          <w:szCs w:val="21"/>
          <w:u w:val="single"/>
        </w:rPr>
        <w:t xml:space="preserve"> </w:t>
      </w:r>
    </w:p>
    <w:p>
      <w:pPr>
        <w:pStyle w:val="69"/>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69"/>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69"/>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9"/>
        <w:spacing w:line="480" w:lineRule="auto"/>
        <w:ind w:firstLine="472" w:firstLineChars="225"/>
        <w:jc w:val="left"/>
        <w:rPr>
          <w:rFonts w:hAnsi="宋体"/>
          <w:sz w:val="21"/>
          <w:szCs w:val="21"/>
        </w:rPr>
      </w:pPr>
    </w:p>
    <w:p>
      <w:pPr>
        <w:pStyle w:val="69"/>
        <w:spacing w:line="480" w:lineRule="auto"/>
        <w:ind w:firstLine="472" w:firstLineChars="225"/>
        <w:jc w:val="left"/>
        <w:rPr>
          <w:rFonts w:hAnsi="宋体"/>
          <w:sz w:val="21"/>
          <w:szCs w:val="21"/>
        </w:rPr>
      </w:pPr>
    </w:p>
    <w:p>
      <w:pPr>
        <w:pStyle w:val="69"/>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9"/>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4"/>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5"/>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hint="eastAsia" w:ascii="宋体" w:hAnsi="宋体" w:cs="宋体"/>
          <w:u w:val="single"/>
          <w:lang w:val="en-US" w:eastAsia="zh-CN"/>
        </w:rPr>
        <w:t xml:space="preserve">     </w:t>
      </w:r>
      <w:r>
        <w:rPr>
          <w:rFonts w:ascii="宋体" w:hAnsi="宋体" w:cs="宋体"/>
          <w:lang w:val="zh-CN"/>
        </w:rPr>
        <w:t>年</w:t>
      </w:r>
      <w:r>
        <w:rPr>
          <w:rFonts w:hint="eastAsia" w:ascii="宋体" w:hAnsi="宋体" w:cs="宋体"/>
          <w:u w:val="single"/>
          <w:lang w:val="en-US" w:eastAsia="zh-CN"/>
        </w:rPr>
        <w:t xml:space="preserve">    </w:t>
      </w:r>
      <w:r>
        <w:rPr>
          <w:rFonts w:ascii="宋体" w:hAnsi="宋体" w:cs="宋体"/>
          <w:lang w:val="zh-CN"/>
        </w:rPr>
        <w:t>月</w:t>
      </w:r>
      <w:r>
        <w:rPr>
          <w:rFonts w:hint="eastAsia" w:ascii="宋体" w:hAnsi="宋体" w:cs="宋体"/>
          <w:u w:val="single"/>
          <w:lang w:val="en-US" w:eastAsia="zh-CN"/>
        </w:rPr>
        <w:t xml:space="preserve">    </w:t>
      </w:r>
      <w:r>
        <w:rPr>
          <w:rFonts w:ascii="宋体" w:hAnsi="宋体" w:cs="宋体"/>
          <w:lang w:val="zh-CN"/>
        </w:rPr>
        <w:t>日</w:t>
      </w:r>
      <w:r>
        <w:rPr>
          <w:rFonts w:hint="eastAsia" w:ascii="宋体" w:hAnsi="宋体" w:cs="宋体"/>
          <w:u w:val="single"/>
          <w:lang w:val="en-US" w:eastAsia="zh-CN"/>
        </w:rPr>
        <w:t xml:space="preserve">      </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5"/>
        <w:rPr>
          <w:rFonts w:ascii="宋体" w:cs="宋体"/>
          <w:sz w:val="24"/>
          <w:lang w:val="zh-CN"/>
        </w:rPr>
      </w:pPr>
    </w:p>
    <w:p>
      <w:pPr>
        <w:pStyle w:val="15"/>
        <w:rPr>
          <w:rFonts w:ascii="宋体" w:cs="宋体"/>
          <w:sz w:val="24"/>
          <w:lang w:val="zh-CN"/>
        </w:rPr>
      </w:pPr>
    </w:p>
    <w:p>
      <w:pPr>
        <w:pStyle w:val="15"/>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3"/>
      <w:bookmarkStart w:id="8"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hint="eastAsia" w:ascii="宋体" w:hAnsi="宋体" w:cs="黑体"/>
          <w:b/>
          <w:bCs/>
          <w:sz w:val="28"/>
          <w:szCs w:val="28"/>
          <w:lang w:val="en-US" w:eastAsia="zh-CN"/>
        </w:rPr>
      </w:pPr>
      <w:r>
        <w:rPr>
          <w:rFonts w:hint="eastAsia" w:ascii="宋体" w:hAnsi="宋体" w:cs="黑体"/>
          <w:b/>
          <w:bCs/>
          <w:sz w:val="28"/>
          <w:szCs w:val="28"/>
          <w:lang w:val="en-US" w:eastAsia="zh-CN"/>
        </w:rPr>
        <w:t>4.11监狱企业证明函</w:t>
      </w:r>
    </w:p>
    <w:p>
      <w:pPr>
        <w:autoSpaceDE w:val="0"/>
        <w:autoSpaceDN w:val="0"/>
        <w:adjustRightInd w:val="0"/>
        <w:spacing w:line="360" w:lineRule="auto"/>
        <w:ind w:firstLine="562"/>
        <w:jc w:val="left"/>
        <w:rPr>
          <w:rFonts w:hint="eastAsia" w:ascii="宋体" w:hAnsi="宋体"/>
          <w:b w:val="0"/>
          <w:bCs w:val="0"/>
          <w:sz w:val="24"/>
          <w:szCs w:val="24"/>
          <w:lang w:val="en-US" w:eastAsia="zh-CN"/>
        </w:rPr>
      </w:pP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b w:val="0"/>
          <w:bCs w:val="0"/>
          <w:sz w:val="24"/>
          <w:szCs w:val="24"/>
          <w:lang w:val="en-US" w:eastAsia="zh-CN"/>
        </w:rPr>
        <w:t>根据《财政部 司法部关于政府采购支持监狱企业发展有关问题的通知》（财库[2014]68 号）的规定，</w:t>
      </w:r>
      <w:r>
        <w:rPr>
          <w:rFonts w:hint="eastAsia" w:ascii="宋体" w:hAnsi="宋体" w:cs="黑体"/>
          <w:b w:val="0"/>
          <w:bCs w:val="0"/>
          <w:sz w:val="24"/>
          <w:szCs w:val="24"/>
          <w:u w:val="single"/>
          <w:lang w:val="en-US" w:eastAsia="zh-CN"/>
        </w:rPr>
        <w:t xml:space="preserve">（填写投标人全称）    </w:t>
      </w:r>
      <w:r>
        <w:rPr>
          <w:rFonts w:hint="eastAsia" w:ascii="宋体" w:hAnsi="宋体" w:cs="黑体"/>
          <w:b w:val="0"/>
          <w:bCs w:val="0"/>
          <w:sz w:val="24"/>
          <w:szCs w:val="24"/>
          <w:lang w:val="en-US" w:eastAsia="zh-CN"/>
        </w:rPr>
        <w:t xml:space="preserve">为监狱企业。 </w:t>
      </w: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特此声明。</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省级以上监狱管理局、戒毒管理局（含新疆生产建设兵团） （盖章）：</w:t>
      </w:r>
    </w:p>
    <w:p>
      <w:pPr>
        <w:autoSpaceDE w:val="0"/>
        <w:autoSpaceDN w:val="0"/>
        <w:adjustRightInd w:val="0"/>
        <w:spacing w:line="360" w:lineRule="auto"/>
        <w:ind w:firstLine="2880" w:firstLineChars="1200"/>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 xml:space="preserve"> 日    期：      年    月    日 </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jc w:val="left"/>
        <w:rPr>
          <w:rFonts w:hint="eastAsia" w:ascii="宋体" w:hAnsi="宋体" w:cs="黑体"/>
          <w:b/>
          <w:bCs/>
          <w:sz w:val="24"/>
          <w:szCs w:val="24"/>
          <w:lang w:val="en-US" w:eastAsia="zh-CN"/>
        </w:rPr>
      </w:pPr>
      <w:r>
        <w:rPr>
          <w:rFonts w:hint="eastAsia" w:ascii="宋体" w:hAnsi="宋体" w:cs="黑体"/>
          <w:b/>
          <w:bCs/>
          <w:sz w:val="24"/>
          <w:szCs w:val="24"/>
          <w:lang w:val="en-US" w:eastAsia="zh-CN"/>
        </w:rPr>
        <w:t>注：符合条件的监狱企业请提供本函，不符合的不提供本函。</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1E3E148"/>
    <w:multiLevelType w:val="singleLevel"/>
    <w:tmpl w:val="61E3E148"/>
    <w:lvl w:ilvl="0" w:tentative="0">
      <w:start w:val="3"/>
      <w:numFmt w:val="chineseCounting"/>
      <w:suff w:val="space"/>
      <w:lvlText w:val="第%1章"/>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0"/>
  </w:num>
  <w:num w:numId="6">
    <w:abstractNumId w:val="5"/>
  </w:num>
  <w:num w:numId="7">
    <w:abstractNumId w:val="2"/>
  </w:num>
  <w:num w:numId="8">
    <w:abstractNumId w:val="3"/>
  </w:num>
  <w:num w:numId="9">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4D04C8"/>
    <w:rsid w:val="01644AC2"/>
    <w:rsid w:val="01827634"/>
    <w:rsid w:val="01DC7545"/>
    <w:rsid w:val="024E4096"/>
    <w:rsid w:val="029E4512"/>
    <w:rsid w:val="03404CB2"/>
    <w:rsid w:val="04503AB8"/>
    <w:rsid w:val="059E2362"/>
    <w:rsid w:val="065C5EC9"/>
    <w:rsid w:val="06C34B28"/>
    <w:rsid w:val="06FE6EE4"/>
    <w:rsid w:val="078415AA"/>
    <w:rsid w:val="08981E32"/>
    <w:rsid w:val="092E2D2F"/>
    <w:rsid w:val="09992E2C"/>
    <w:rsid w:val="0A947D29"/>
    <w:rsid w:val="0AA30DD1"/>
    <w:rsid w:val="0B144C5B"/>
    <w:rsid w:val="0B2C01E3"/>
    <w:rsid w:val="0B5774F3"/>
    <w:rsid w:val="0B755C6F"/>
    <w:rsid w:val="0C6236CC"/>
    <w:rsid w:val="0CE860F2"/>
    <w:rsid w:val="0D526618"/>
    <w:rsid w:val="0D8F0AE7"/>
    <w:rsid w:val="0EF16B77"/>
    <w:rsid w:val="0F084132"/>
    <w:rsid w:val="10665C36"/>
    <w:rsid w:val="120347F8"/>
    <w:rsid w:val="1251141E"/>
    <w:rsid w:val="12880B3F"/>
    <w:rsid w:val="12E56D70"/>
    <w:rsid w:val="12F277E1"/>
    <w:rsid w:val="14CD4BAE"/>
    <w:rsid w:val="159F4B24"/>
    <w:rsid w:val="15A54379"/>
    <w:rsid w:val="17AE7A49"/>
    <w:rsid w:val="18252C6E"/>
    <w:rsid w:val="18324810"/>
    <w:rsid w:val="196855D2"/>
    <w:rsid w:val="19A73051"/>
    <w:rsid w:val="1B691B1D"/>
    <w:rsid w:val="1D182F64"/>
    <w:rsid w:val="1E7F4932"/>
    <w:rsid w:val="1F01776F"/>
    <w:rsid w:val="1F2D536A"/>
    <w:rsid w:val="20983E80"/>
    <w:rsid w:val="20A62A68"/>
    <w:rsid w:val="20E93214"/>
    <w:rsid w:val="216C77D5"/>
    <w:rsid w:val="21FB109B"/>
    <w:rsid w:val="227212E6"/>
    <w:rsid w:val="22B45927"/>
    <w:rsid w:val="2344743B"/>
    <w:rsid w:val="241F431B"/>
    <w:rsid w:val="250C6474"/>
    <w:rsid w:val="25451A77"/>
    <w:rsid w:val="25792EDA"/>
    <w:rsid w:val="258F6F9E"/>
    <w:rsid w:val="2759655B"/>
    <w:rsid w:val="27A346C5"/>
    <w:rsid w:val="27D873D5"/>
    <w:rsid w:val="27EF1E43"/>
    <w:rsid w:val="284E2750"/>
    <w:rsid w:val="2863531A"/>
    <w:rsid w:val="2A496906"/>
    <w:rsid w:val="2BE47802"/>
    <w:rsid w:val="2D8F7E22"/>
    <w:rsid w:val="2E4E4421"/>
    <w:rsid w:val="2E6A2F15"/>
    <w:rsid w:val="2E9F6471"/>
    <w:rsid w:val="2F3451DA"/>
    <w:rsid w:val="300609CF"/>
    <w:rsid w:val="33217BB6"/>
    <w:rsid w:val="34B00527"/>
    <w:rsid w:val="34F34B99"/>
    <w:rsid w:val="3551718E"/>
    <w:rsid w:val="36392E40"/>
    <w:rsid w:val="36A60E51"/>
    <w:rsid w:val="38141BAE"/>
    <w:rsid w:val="3A5B5970"/>
    <w:rsid w:val="3AEF5189"/>
    <w:rsid w:val="3B0E3A29"/>
    <w:rsid w:val="3B52167D"/>
    <w:rsid w:val="3B5D75BF"/>
    <w:rsid w:val="3C202019"/>
    <w:rsid w:val="3F3356EF"/>
    <w:rsid w:val="400C234E"/>
    <w:rsid w:val="40997ABE"/>
    <w:rsid w:val="40E048EA"/>
    <w:rsid w:val="41B3283C"/>
    <w:rsid w:val="42D72C68"/>
    <w:rsid w:val="43881DC6"/>
    <w:rsid w:val="44280764"/>
    <w:rsid w:val="456D5AF0"/>
    <w:rsid w:val="461A7BE1"/>
    <w:rsid w:val="463B48FA"/>
    <w:rsid w:val="46C8397C"/>
    <w:rsid w:val="46EF383B"/>
    <w:rsid w:val="46F20E54"/>
    <w:rsid w:val="47257413"/>
    <w:rsid w:val="47513A5F"/>
    <w:rsid w:val="47BF3470"/>
    <w:rsid w:val="483A6210"/>
    <w:rsid w:val="483F1A3C"/>
    <w:rsid w:val="487A3D79"/>
    <w:rsid w:val="49581D9D"/>
    <w:rsid w:val="49892CA1"/>
    <w:rsid w:val="49DC45C8"/>
    <w:rsid w:val="49F033BE"/>
    <w:rsid w:val="4AC6547B"/>
    <w:rsid w:val="4B684AA2"/>
    <w:rsid w:val="4C7267CB"/>
    <w:rsid w:val="4C826C7F"/>
    <w:rsid w:val="4D0C075F"/>
    <w:rsid w:val="4D2228AE"/>
    <w:rsid w:val="4E1F4B42"/>
    <w:rsid w:val="4EE152B7"/>
    <w:rsid w:val="4F192207"/>
    <w:rsid w:val="503E05B4"/>
    <w:rsid w:val="51866DDC"/>
    <w:rsid w:val="51C573A5"/>
    <w:rsid w:val="5287044A"/>
    <w:rsid w:val="534424A1"/>
    <w:rsid w:val="53CD633C"/>
    <w:rsid w:val="5416328A"/>
    <w:rsid w:val="54BC281B"/>
    <w:rsid w:val="54FD2F1E"/>
    <w:rsid w:val="551746A1"/>
    <w:rsid w:val="55373247"/>
    <w:rsid w:val="560500D9"/>
    <w:rsid w:val="563D0878"/>
    <w:rsid w:val="571A4891"/>
    <w:rsid w:val="57372F57"/>
    <w:rsid w:val="57B24D89"/>
    <w:rsid w:val="58321F12"/>
    <w:rsid w:val="58401809"/>
    <w:rsid w:val="5919023C"/>
    <w:rsid w:val="592A15FB"/>
    <w:rsid w:val="59480E76"/>
    <w:rsid w:val="59D4215C"/>
    <w:rsid w:val="5AE33431"/>
    <w:rsid w:val="5BAD110F"/>
    <w:rsid w:val="5BAF5D36"/>
    <w:rsid w:val="5C680B04"/>
    <w:rsid w:val="5CD07751"/>
    <w:rsid w:val="5D2154CD"/>
    <w:rsid w:val="5D9C01AF"/>
    <w:rsid w:val="5DF83DAC"/>
    <w:rsid w:val="5E4D7FA1"/>
    <w:rsid w:val="5F396A27"/>
    <w:rsid w:val="5F6146EB"/>
    <w:rsid w:val="5F6E191C"/>
    <w:rsid w:val="5F7D28AD"/>
    <w:rsid w:val="5FE741C0"/>
    <w:rsid w:val="5FEC5F8C"/>
    <w:rsid w:val="61527D90"/>
    <w:rsid w:val="61BF6950"/>
    <w:rsid w:val="61E14DEB"/>
    <w:rsid w:val="623443F8"/>
    <w:rsid w:val="62643286"/>
    <w:rsid w:val="628F360F"/>
    <w:rsid w:val="63EF628D"/>
    <w:rsid w:val="647B35DC"/>
    <w:rsid w:val="64EE6D60"/>
    <w:rsid w:val="651D7929"/>
    <w:rsid w:val="652A6FF8"/>
    <w:rsid w:val="65C54570"/>
    <w:rsid w:val="68021898"/>
    <w:rsid w:val="6810758F"/>
    <w:rsid w:val="68FF4887"/>
    <w:rsid w:val="690575B6"/>
    <w:rsid w:val="69870A4B"/>
    <w:rsid w:val="699F4318"/>
    <w:rsid w:val="69B84A45"/>
    <w:rsid w:val="6B293A39"/>
    <w:rsid w:val="6B3A3145"/>
    <w:rsid w:val="6B605D28"/>
    <w:rsid w:val="6C7B1436"/>
    <w:rsid w:val="6CD444A5"/>
    <w:rsid w:val="6D00142F"/>
    <w:rsid w:val="6D161F9F"/>
    <w:rsid w:val="6D5D1B43"/>
    <w:rsid w:val="6F093CD0"/>
    <w:rsid w:val="6F405668"/>
    <w:rsid w:val="6F54344F"/>
    <w:rsid w:val="6F9C4A45"/>
    <w:rsid w:val="72423B78"/>
    <w:rsid w:val="72AB13C9"/>
    <w:rsid w:val="74396B7F"/>
    <w:rsid w:val="7449132F"/>
    <w:rsid w:val="74847FBB"/>
    <w:rsid w:val="74CB0F45"/>
    <w:rsid w:val="766E03D3"/>
    <w:rsid w:val="76834948"/>
    <w:rsid w:val="76A561B5"/>
    <w:rsid w:val="77172C2B"/>
    <w:rsid w:val="773653FB"/>
    <w:rsid w:val="77976575"/>
    <w:rsid w:val="78091F80"/>
    <w:rsid w:val="78850B64"/>
    <w:rsid w:val="78F1682E"/>
    <w:rsid w:val="7954430B"/>
    <w:rsid w:val="7966618D"/>
    <w:rsid w:val="7A6767AA"/>
    <w:rsid w:val="7AFD6D20"/>
    <w:rsid w:val="7B7A70C4"/>
    <w:rsid w:val="7BB22542"/>
    <w:rsid w:val="7C006C7B"/>
    <w:rsid w:val="7C752519"/>
    <w:rsid w:val="7E0959F9"/>
    <w:rsid w:val="7E167ABF"/>
    <w:rsid w:val="7E1A21DD"/>
    <w:rsid w:val="7E380B2F"/>
    <w:rsid w:val="7E526B6A"/>
    <w:rsid w:val="7E7712C6"/>
    <w:rsid w:val="7EC8692C"/>
    <w:rsid w:val="7EF87E11"/>
    <w:rsid w:val="7FC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6"/>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35"/>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4">
    <w:name w:val="heading 3"/>
    <w:basedOn w:val="1"/>
    <w:next w:val="1"/>
    <w:link w:val="37"/>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5">
    <w:name w:val="heading 4"/>
    <w:basedOn w:val="4"/>
    <w:next w:val="1"/>
    <w:link w:val="38"/>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39"/>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0"/>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8">
    <w:name w:val="heading 7"/>
    <w:basedOn w:val="1"/>
    <w:next w:val="1"/>
    <w:link w:val="41"/>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9">
    <w:name w:val="heading 8"/>
    <w:basedOn w:val="1"/>
    <w:next w:val="1"/>
    <w:link w:val="42"/>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43"/>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44"/>
    <w:unhideWhenUsed/>
    <w:qFormat/>
    <w:uiPriority w:val="0"/>
    <w:pPr>
      <w:ind w:firstLine="425"/>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unhideWhenUsed/>
    <w:qFormat/>
    <w:uiPriority w:val="99"/>
    <w:rPr>
      <w:rFonts w:ascii="Arial" w:hAnsi="Arial"/>
      <w:sz w:val="24"/>
    </w:rPr>
  </w:style>
  <w:style w:type="paragraph" w:styleId="15">
    <w:name w:val="Body Text"/>
    <w:basedOn w:val="1"/>
    <w:next w:val="16"/>
    <w:link w:val="45"/>
    <w:unhideWhenUsed/>
    <w:qFormat/>
    <w:uiPriority w:val="0"/>
    <w:pPr>
      <w:spacing w:after="120"/>
    </w:pPr>
    <w:rPr>
      <w:rFonts w:ascii="Calibri" w:hAnsi="Calibri" w:cs="Times New Roman"/>
      <w:kern w:val="0"/>
      <w:sz w:val="20"/>
    </w:rPr>
  </w:style>
  <w:style w:type="paragraph" w:styleId="16">
    <w:name w:val="Body Text 2"/>
    <w:basedOn w:val="1"/>
    <w:qFormat/>
    <w:uiPriority w:val="0"/>
    <w:pPr>
      <w:widowControl/>
      <w:spacing w:before="100" w:beforeAutospacing="1" w:after="100" w:afterAutospacing="1"/>
      <w:jc w:val="left"/>
    </w:pPr>
    <w:rPr>
      <w:rFonts w:ascii="宋体" w:hAnsi="宋体"/>
      <w:kern w:val="0"/>
      <w:sz w:val="24"/>
    </w:rPr>
  </w:style>
  <w:style w:type="paragraph" w:styleId="17">
    <w:name w:val="Body Text Indent"/>
    <w:basedOn w:val="1"/>
    <w:next w:val="1"/>
    <w:link w:val="47"/>
    <w:unhideWhenUsed/>
    <w:qFormat/>
    <w:uiPriority w:val="99"/>
    <w:pPr>
      <w:spacing w:after="120"/>
      <w:ind w:left="420" w:leftChars="200"/>
    </w:pPr>
    <w:rPr>
      <w:rFonts w:ascii="Calibri" w:hAnsi="Calibri" w:cs="Times New Roman"/>
      <w:kern w:val="0"/>
      <w:sz w:val="20"/>
    </w:rPr>
  </w:style>
  <w:style w:type="paragraph" w:styleId="18">
    <w:name w:val="Block Text"/>
    <w:basedOn w:val="1"/>
    <w:unhideWhenUsed/>
    <w:qFormat/>
    <w:uiPriority w:val="99"/>
    <w:pPr>
      <w:spacing w:after="120"/>
      <w:ind w:left="1440" w:leftChars="700" w:right="1440" w:rightChars="700"/>
    </w:pPr>
  </w:style>
  <w:style w:type="paragraph" w:styleId="19">
    <w:name w:val="Plain Text"/>
    <w:basedOn w:val="1"/>
    <w:link w:val="50"/>
    <w:unhideWhenUsed/>
    <w:qFormat/>
    <w:uiPriority w:val="0"/>
    <w:rPr>
      <w:rFonts w:cs="Times New Roman"/>
      <w:kern w:val="0"/>
      <w:sz w:val="24"/>
      <w:szCs w:val="24"/>
    </w:rPr>
  </w:style>
  <w:style w:type="paragraph" w:styleId="20">
    <w:name w:val="Date"/>
    <w:basedOn w:val="1"/>
    <w:next w:val="1"/>
    <w:link w:val="49"/>
    <w:qFormat/>
    <w:uiPriority w:val="0"/>
    <w:pPr>
      <w:ind w:left="100" w:leftChars="2500"/>
    </w:pPr>
    <w:rPr>
      <w:rFonts w:ascii="Calibri" w:hAnsi="Calibri" w:cs="Times New Roman"/>
      <w:kern w:val="0"/>
      <w:sz w:val="20"/>
    </w:rPr>
  </w:style>
  <w:style w:type="paragraph" w:styleId="21">
    <w:name w:val="Balloon Text"/>
    <w:basedOn w:val="1"/>
    <w:link w:val="102"/>
    <w:semiHidden/>
    <w:unhideWhenUsed/>
    <w:qFormat/>
    <w:uiPriority w:val="99"/>
    <w:rPr>
      <w:sz w:val="18"/>
      <w:szCs w:val="18"/>
    </w:rPr>
  </w:style>
  <w:style w:type="paragraph" w:styleId="22">
    <w:name w:val="footer"/>
    <w:basedOn w:val="1"/>
    <w:link w:val="51"/>
    <w:unhideWhenUsed/>
    <w:qFormat/>
    <w:uiPriority w:val="99"/>
    <w:pPr>
      <w:snapToGrid w:val="0"/>
      <w:jc w:val="left"/>
    </w:pPr>
    <w:rPr>
      <w:rFonts w:cs="Times New Roman"/>
      <w:kern w:val="0"/>
      <w:sz w:val="18"/>
      <w:szCs w:val="18"/>
    </w:rPr>
  </w:style>
  <w:style w:type="paragraph" w:styleId="23">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Message Header"/>
    <w:basedOn w:val="1"/>
    <w:link w:val="5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5">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Body Text First Indent"/>
    <w:basedOn w:val="15"/>
    <w:next w:val="28"/>
    <w:link w:val="46"/>
    <w:unhideWhenUsed/>
    <w:qFormat/>
    <w:uiPriority w:val="0"/>
    <w:pPr>
      <w:spacing w:before="100" w:beforeAutospacing="1"/>
      <w:ind w:firstLine="420" w:firstLineChars="100"/>
    </w:pPr>
    <w:rPr>
      <w:rFonts w:ascii="宋体" w:hAnsi="Times New Roman"/>
      <w:sz w:val="34"/>
      <w:szCs w:val="34"/>
    </w:rPr>
  </w:style>
  <w:style w:type="paragraph" w:styleId="28">
    <w:name w:val="Body Text First Indent 2"/>
    <w:basedOn w:val="17"/>
    <w:next w:val="1"/>
    <w:link w:val="48"/>
    <w:qFormat/>
    <w:uiPriority w:val="0"/>
    <w:pPr>
      <w:ind w:firstLine="420" w:firstLineChars="200"/>
    </w:pPr>
    <w:rPr>
      <w:rFonts w:ascii="Times New Roman" w:hAnsi="Times New Roman"/>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unhideWhenUsed/>
    <w:qFormat/>
    <w:uiPriority w:val="99"/>
    <w:rPr>
      <w:color w:val="000000"/>
      <w:u w:val="none"/>
    </w:rPr>
  </w:style>
  <w:style w:type="character" w:styleId="33">
    <w:name w:val="Emphasis"/>
    <w:basedOn w:val="31"/>
    <w:qFormat/>
    <w:uiPriority w:val="20"/>
  </w:style>
  <w:style w:type="character" w:styleId="34">
    <w:name w:val="Hyperlink"/>
    <w:basedOn w:val="31"/>
    <w:unhideWhenUsed/>
    <w:qFormat/>
    <w:uiPriority w:val="99"/>
    <w:rPr>
      <w:color w:val="000000"/>
      <w:u w:val="none"/>
    </w:rPr>
  </w:style>
  <w:style w:type="character" w:customStyle="1" w:styleId="35">
    <w:name w:val="标题 2 Char"/>
    <w:link w:val="2"/>
    <w:qFormat/>
    <w:uiPriority w:val="0"/>
    <w:rPr>
      <w:rFonts w:ascii="黑体" w:hAnsi="Arial" w:eastAsia="黑体" w:cs="宋体"/>
      <w:sz w:val="28"/>
      <w:szCs w:val="28"/>
    </w:rPr>
  </w:style>
  <w:style w:type="character" w:customStyle="1" w:styleId="36">
    <w:name w:val="标题 1 Char"/>
    <w:link w:val="3"/>
    <w:qFormat/>
    <w:uiPriority w:val="1"/>
    <w:rPr>
      <w:rFonts w:ascii="Times New Roman" w:hAnsi="Times New Roman" w:eastAsia="宋体" w:cs="Calibri"/>
      <w:b/>
      <w:kern w:val="44"/>
      <w:sz w:val="44"/>
      <w:szCs w:val="20"/>
    </w:rPr>
  </w:style>
  <w:style w:type="character" w:customStyle="1" w:styleId="37">
    <w:name w:val="标题 3 Char"/>
    <w:link w:val="4"/>
    <w:qFormat/>
    <w:uiPriority w:val="0"/>
    <w:rPr>
      <w:rFonts w:ascii="Calibri" w:hAnsi="Calibri" w:cs="Times New Roman"/>
      <w:b/>
      <w:kern w:val="2"/>
      <w:sz w:val="32"/>
      <w:szCs w:val="24"/>
    </w:rPr>
  </w:style>
  <w:style w:type="character" w:customStyle="1" w:styleId="38">
    <w:name w:val="标题 4 Char"/>
    <w:link w:val="5"/>
    <w:qFormat/>
    <w:uiPriority w:val="0"/>
    <w:rPr>
      <w:rFonts w:ascii="Arial" w:hAnsi="Arial" w:eastAsia="黑体" w:cs="Times New Roman"/>
      <w:b/>
      <w:kern w:val="2"/>
      <w:sz w:val="28"/>
      <w:szCs w:val="24"/>
    </w:rPr>
  </w:style>
  <w:style w:type="character" w:customStyle="1" w:styleId="39">
    <w:name w:val="标题 5 Char"/>
    <w:link w:val="6"/>
    <w:semiHidden/>
    <w:qFormat/>
    <w:uiPriority w:val="0"/>
    <w:rPr>
      <w:rFonts w:ascii="Calibri" w:hAnsi="Calibri" w:cs="Times New Roman"/>
      <w:b/>
      <w:kern w:val="2"/>
      <w:sz w:val="28"/>
      <w:szCs w:val="24"/>
    </w:rPr>
  </w:style>
  <w:style w:type="character" w:customStyle="1" w:styleId="40">
    <w:name w:val="标题 6 Char"/>
    <w:link w:val="7"/>
    <w:semiHidden/>
    <w:qFormat/>
    <w:uiPriority w:val="0"/>
    <w:rPr>
      <w:rFonts w:ascii="Arial" w:hAnsi="Arial" w:eastAsia="黑体" w:cs="Times New Roman"/>
      <w:b/>
      <w:kern w:val="2"/>
      <w:sz w:val="24"/>
      <w:szCs w:val="24"/>
    </w:rPr>
  </w:style>
  <w:style w:type="character" w:customStyle="1" w:styleId="41">
    <w:name w:val="标题 7 Char"/>
    <w:link w:val="8"/>
    <w:semiHidden/>
    <w:qFormat/>
    <w:uiPriority w:val="0"/>
    <w:rPr>
      <w:rFonts w:ascii="Calibri" w:hAnsi="Calibri" w:cs="Times New Roman"/>
      <w:b/>
      <w:kern w:val="2"/>
      <w:sz w:val="24"/>
      <w:szCs w:val="24"/>
    </w:rPr>
  </w:style>
  <w:style w:type="character" w:customStyle="1" w:styleId="42">
    <w:name w:val="标题 8 Char"/>
    <w:link w:val="9"/>
    <w:semiHidden/>
    <w:qFormat/>
    <w:uiPriority w:val="0"/>
    <w:rPr>
      <w:rFonts w:ascii="Arial" w:hAnsi="Arial" w:eastAsia="黑体" w:cs="Times New Roman"/>
      <w:kern w:val="2"/>
      <w:sz w:val="24"/>
      <w:szCs w:val="24"/>
    </w:rPr>
  </w:style>
  <w:style w:type="character" w:customStyle="1" w:styleId="43">
    <w:name w:val="标题 9 Char"/>
    <w:link w:val="10"/>
    <w:semiHidden/>
    <w:qFormat/>
    <w:uiPriority w:val="0"/>
    <w:rPr>
      <w:rFonts w:ascii="Arial" w:hAnsi="Arial" w:eastAsia="黑体" w:cs="Times New Roman"/>
      <w:kern w:val="2"/>
      <w:sz w:val="21"/>
      <w:szCs w:val="24"/>
    </w:rPr>
  </w:style>
  <w:style w:type="character" w:customStyle="1" w:styleId="44">
    <w:name w:val="正文缩进 Char1"/>
    <w:link w:val="12"/>
    <w:qFormat/>
    <w:uiPriority w:val="0"/>
    <w:rPr>
      <w:kern w:val="2"/>
      <w:sz w:val="21"/>
      <w:szCs w:val="21"/>
    </w:rPr>
  </w:style>
  <w:style w:type="character" w:customStyle="1" w:styleId="45">
    <w:name w:val="正文文本 Char"/>
    <w:link w:val="15"/>
    <w:qFormat/>
    <w:uiPriority w:val="0"/>
    <w:rPr>
      <w:rFonts w:ascii="Calibri" w:hAnsi="Calibri" w:eastAsia="宋体" w:cs="Calibri"/>
      <w:szCs w:val="21"/>
    </w:rPr>
  </w:style>
  <w:style w:type="character" w:customStyle="1" w:styleId="46">
    <w:name w:val="正文首行缩进 Char"/>
    <w:link w:val="27"/>
    <w:qFormat/>
    <w:uiPriority w:val="0"/>
    <w:rPr>
      <w:rFonts w:ascii="宋体" w:hAnsi="Times New Roman" w:eastAsia="宋体" w:cs="宋体"/>
      <w:kern w:val="0"/>
      <w:sz w:val="34"/>
      <w:szCs w:val="34"/>
    </w:rPr>
  </w:style>
  <w:style w:type="character" w:customStyle="1" w:styleId="47">
    <w:name w:val="正文文本缩进 Char"/>
    <w:link w:val="17"/>
    <w:qFormat/>
    <w:uiPriority w:val="99"/>
    <w:rPr>
      <w:rFonts w:ascii="Calibri" w:hAnsi="Calibri" w:eastAsia="宋体" w:cs="Calibri"/>
      <w:szCs w:val="21"/>
    </w:rPr>
  </w:style>
  <w:style w:type="character" w:customStyle="1" w:styleId="48">
    <w:name w:val="正文首行缩进 2 Char"/>
    <w:link w:val="28"/>
    <w:qFormat/>
    <w:uiPriority w:val="0"/>
    <w:rPr>
      <w:rFonts w:ascii="Times New Roman" w:hAnsi="Times New Roman" w:eastAsia="宋体" w:cs="Calibri"/>
      <w:szCs w:val="21"/>
    </w:rPr>
  </w:style>
  <w:style w:type="character" w:customStyle="1" w:styleId="49">
    <w:name w:val="日期 Char"/>
    <w:link w:val="20"/>
    <w:qFormat/>
    <w:uiPriority w:val="0"/>
    <w:rPr>
      <w:rFonts w:ascii="Calibri" w:hAnsi="Calibri" w:eastAsia="宋体" w:cs="Calibri"/>
      <w:szCs w:val="21"/>
    </w:rPr>
  </w:style>
  <w:style w:type="character" w:customStyle="1" w:styleId="50">
    <w:name w:val="纯文本 Char"/>
    <w:link w:val="19"/>
    <w:qFormat/>
    <w:uiPriority w:val="0"/>
    <w:rPr>
      <w:rFonts w:ascii="Times New Roman" w:hAnsi="Times New Roman" w:eastAsia="宋体" w:cs="Times New Roman"/>
      <w:kern w:val="0"/>
      <w:sz w:val="24"/>
      <w:szCs w:val="24"/>
    </w:rPr>
  </w:style>
  <w:style w:type="character" w:customStyle="1" w:styleId="51">
    <w:name w:val="页脚 Char"/>
    <w:link w:val="22"/>
    <w:qFormat/>
    <w:uiPriority w:val="99"/>
    <w:rPr>
      <w:rFonts w:ascii="Times New Roman" w:hAnsi="Times New Roman" w:eastAsia="宋体" w:cs="Times New Roman"/>
      <w:kern w:val="0"/>
      <w:sz w:val="18"/>
      <w:szCs w:val="18"/>
    </w:rPr>
  </w:style>
  <w:style w:type="character" w:customStyle="1" w:styleId="52">
    <w:name w:val="页眉 Char"/>
    <w:link w:val="23"/>
    <w:qFormat/>
    <w:uiPriority w:val="99"/>
    <w:rPr>
      <w:rFonts w:ascii="Calibri" w:hAnsi="Calibri" w:eastAsia="宋体" w:cs="Calibri"/>
      <w:sz w:val="18"/>
      <w:szCs w:val="21"/>
    </w:rPr>
  </w:style>
  <w:style w:type="character" w:customStyle="1" w:styleId="53">
    <w:name w:val="信息标题 Char"/>
    <w:link w:val="24"/>
    <w:qFormat/>
    <w:uiPriority w:val="99"/>
    <w:rPr>
      <w:rFonts w:ascii="Cambria" w:hAnsi="Cambria" w:eastAsia="宋体" w:cs="Cambria"/>
      <w:szCs w:val="21"/>
      <w:shd w:val="pct20" w:color="auto" w:fill="auto"/>
    </w:rPr>
  </w:style>
  <w:style w:type="character" w:customStyle="1" w:styleId="54">
    <w:name w:val="HTML 预设格式 Char"/>
    <w:link w:val="25"/>
    <w:qFormat/>
    <w:uiPriority w:val="0"/>
    <w:rPr>
      <w:rFonts w:ascii="Arial" w:hAnsi="Arial" w:cs="Arial"/>
      <w:sz w:val="24"/>
      <w:szCs w:val="24"/>
    </w:rPr>
  </w:style>
  <w:style w:type="character" w:customStyle="1" w:styleId="55">
    <w:name w:val="font151"/>
    <w:qFormat/>
    <w:uiPriority w:val="0"/>
    <w:rPr>
      <w:rFonts w:hint="eastAsia" w:ascii="宋体" w:hAnsi="宋体" w:eastAsia="宋体" w:cs="宋体"/>
      <w:color w:val="000000"/>
      <w:sz w:val="18"/>
      <w:szCs w:val="18"/>
      <w:u w:val="none"/>
    </w:rPr>
  </w:style>
  <w:style w:type="character" w:customStyle="1" w:styleId="56">
    <w:name w:val="font101"/>
    <w:qFormat/>
    <w:uiPriority w:val="0"/>
    <w:rPr>
      <w:rFonts w:hint="eastAsia" w:ascii="微软雅黑" w:hAnsi="微软雅黑" w:eastAsia="微软雅黑" w:cs="微软雅黑"/>
      <w:b/>
      <w:bCs/>
      <w:color w:val="000000"/>
      <w:sz w:val="18"/>
      <w:szCs w:val="18"/>
      <w:u w:val="none"/>
    </w:rPr>
  </w:style>
  <w:style w:type="character" w:customStyle="1" w:styleId="57">
    <w:name w:val="font51"/>
    <w:qFormat/>
    <w:uiPriority w:val="0"/>
    <w:rPr>
      <w:rFonts w:hint="eastAsia" w:ascii="微软雅黑" w:hAnsi="微软雅黑" w:eastAsia="微软雅黑" w:cs="微软雅黑"/>
      <w:color w:val="000000"/>
      <w:sz w:val="18"/>
      <w:szCs w:val="18"/>
      <w:u w:val="none"/>
    </w:rPr>
  </w:style>
  <w:style w:type="character" w:customStyle="1" w:styleId="58">
    <w:name w:val="NormalCharacter"/>
    <w:qFormat/>
    <w:uiPriority w:val="0"/>
  </w:style>
  <w:style w:type="character" w:customStyle="1" w:styleId="59">
    <w:name w:val="15"/>
    <w:qFormat/>
    <w:uiPriority w:val="0"/>
    <w:rPr>
      <w:rFonts w:hint="default" w:ascii="Times New Roman" w:hAnsi="Times New Roman" w:cs="Times New Roman"/>
      <w:color w:val="000000"/>
    </w:rPr>
  </w:style>
  <w:style w:type="character" w:customStyle="1" w:styleId="60">
    <w:name w:val="font161"/>
    <w:qFormat/>
    <w:uiPriority w:val="0"/>
    <w:rPr>
      <w:rFonts w:hint="eastAsia" w:ascii="微软雅黑" w:hAnsi="微软雅黑" w:eastAsia="微软雅黑" w:cs="微软雅黑"/>
      <w:color w:val="FF0000"/>
      <w:sz w:val="18"/>
      <w:szCs w:val="18"/>
      <w:u w:val="none"/>
    </w:rPr>
  </w:style>
  <w:style w:type="paragraph" w:customStyle="1" w:styleId="61">
    <w:name w:val="_Style 3"/>
    <w:basedOn w:val="1"/>
    <w:qFormat/>
    <w:uiPriority w:val="99"/>
    <w:pPr>
      <w:ind w:firstLine="420" w:firstLineChars="200"/>
    </w:pPr>
  </w:style>
  <w:style w:type="paragraph" w:customStyle="1" w:styleId="62">
    <w:name w:val="列出段落1"/>
    <w:basedOn w:val="1"/>
    <w:next w:val="63"/>
    <w:qFormat/>
    <w:uiPriority w:val="0"/>
    <w:pPr>
      <w:ind w:firstLine="420" w:firstLineChars="200"/>
    </w:pPr>
  </w:style>
  <w:style w:type="paragraph" w:styleId="63">
    <w:name w:val="List Paragraph"/>
    <w:basedOn w:val="1"/>
    <w:qFormat/>
    <w:uiPriority w:val="99"/>
    <w:pPr>
      <w:ind w:firstLine="420" w:firstLineChars="200"/>
    </w:pPr>
  </w:style>
  <w:style w:type="paragraph" w:customStyle="1" w:styleId="64">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5">
    <w:name w:val="日期1"/>
    <w:basedOn w:val="1"/>
    <w:next w:val="1"/>
    <w:qFormat/>
    <w:uiPriority w:val="0"/>
    <w:rPr>
      <w:rFonts w:cs="Times New Roman"/>
      <w:kern w:val="0"/>
      <w:sz w:val="24"/>
      <w:szCs w:val="24"/>
    </w:rPr>
  </w:style>
  <w:style w:type="paragraph" w:customStyle="1" w:styleId="66">
    <w:name w:val="HtmlNormal"/>
    <w:basedOn w:val="1"/>
    <w:qFormat/>
    <w:uiPriority w:val="0"/>
    <w:pPr>
      <w:jc w:val="left"/>
      <w:textAlignment w:val="baseline"/>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UserStyle_104"/>
    <w:basedOn w:val="1"/>
    <w:qFormat/>
    <w:uiPriority w:val="0"/>
    <w:pPr>
      <w:textAlignment w:val="baseline"/>
    </w:pPr>
    <w:rPr>
      <w:rFonts w:ascii="宋体" w:hAnsi="宋体"/>
      <w:szCs w:val="20"/>
      <w:lang w:val="zh-CN" w:bidi="zh-CN"/>
    </w:rPr>
  </w:style>
  <w:style w:type="paragraph" w:customStyle="1" w:styleId="72">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3">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font121"/>
    <w:qFormat/>
    <w:uiPriority w:val="0"/>
    <w:rPr>
      <w:rFonts w:hint="eastAsia" w:ascii="宋体" w:hAnsi="宋体" w:eastAsia="宋体" w:cs="宋体"/>
      <w:color w:val="FF0000"/>
      <w:sz w:val="16"/>
      <w:szCs w:val="16"/>
      <w:u w:val="none"/>
    </w:rPr>
  </w:style>
  <w:style w:type="character" w:customStyle="1" w:styleId="76">
    <w:name w:val="font21"/>
    <w:qFormat/>
    <w:uiPriority w:val="0"/>
    <w:rPr>
      <w:rFonts w:hint="eastAsia" w:ascii="宋体" w:hAnsi="宋体" w:eastAsia="宋体" w:cs="宋体"/>
      <w:color w:val="000000"/>
      <w:sz w:val="16"/>
      <w:szCs w:val="16"/>
      <w:u w:val="none"/>
    </w:rPr>
  </w:style>
  <w:style w:type="character" w:customStyle="1" w:styleId="77">
    <w:name w:val="font71"/>
    <w:qFormat/>
    <w:uiPriority w:val="0"/>
    <w:rPr>
      <w:rFonts w:hint="eastAsia" w:ascii="宋体" w:hAnsi="宋体" w:eastAsia="宋体" w:cs="宋体"/>
      <w:color w:val="000000"/>
      <w:sz w:val="16"/>
      <w:szCs w:val="16"/>
      <w:u w:val="none"/>
    </w:rPr>
  </w:style>
  <w:style w:type="character" w:customStyle="1" w:styleId="78">
    <w:name w:val="font81"/>
    <w:qFormat/>
    <w:uiPriority w:val="0"/>
    <w:rPr>
      <w:rFonts w:hint="eastAsia" w:ascii="宋体" w:hAnsi="宋体" w:eastAsia="宋体" w:cs="宋体"/>
      <w:color w:val="000000"/>
      <w:sz w:val="16"/>
      <w:szCs w:val="16"/>
      <w:u w:val="none"/>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正文首行缩进 Char1"/>
    <w:semiHidden/>
    <w:qFormat/>
    <w:uiPriority w:val="99"/>
    <w:rPr>
      <w:rFonts w:ascii="Times New Roman" w:hAnsi="Times New Roman" w:eastAsia="宋体" w:cs="Calibri"/>
      <w:szCs w:val="21"/>
    </w:rPr>
  </w:style>
  <w:style w:type="character" w:customStyle="1" w:styleId="81">
    <w:name w:val="信息标题 Char1"/>
    <w:semiHidden/>
    <w:qFormat/>
    <w:uiPriority w:val="99"/>
    <w:rPr>
      <w:rFonts w:ascii="Cambria" w:hAnsi="Cambria" w:eastAsia="宋体" w:cs="Times New Roman"/>
      <w:sz w:val="24"/>
      <w:szCs w:val="24"/>
      <w:shd w:val="pct20" w:color="auto" w:fill="auto"/>
    </w:rPr>
  </w:style>
  <w:style w:type="character" w:customStyle="1" w:styleId="82">
    <w:name w:val="正文缩进 Char"/>
    <w:qFormat/>
    <w:uiPriority w:val="0"/>
    <w:rPr>
      <w:rFonts w:ascii="Times New Roman" w:hAnsi="Times New Roman" w:eastAsia="宋体" w:cs="Times New Roman"/>
      <w:szCs w:val="21"/>
    </w:rPr>
  </w:style>
  <w:style w:type="character" w:customStyle="1" w:styleId="83">
    <w:name w:val="正文文本缩进 Char1"/>
    <w:semiHidden/>
    <w:qFormat/>
    <w:uiPriority w:val="99"/>
    <w:rPr>
      <w:rFonts w:ascii="Times New Roman" w:hAnsi="Times New Roman" w:eastAsia="宋体" w:cs="Calibri"/>
      <w:szCs w:val="21"/>
    </w:rPr>
  </w:style>
  <w:style w:type="character" w:customStyle="1" w:styleId="84">
    <w:name w:val="HTML 预设格式 Char1"/>
    <w:semiHidden/>
    <w:qFormat/>
    <w:uiPriority w:val="99"/>
    <w:rPr>
      <w:rFonts w:ascii="Courier New" w:hAnsi="Courier New" w:eastAsia="宋体" w:cs="Courier New"/>
      <w:sz w:val="20"/>
      <w:szCs w:val="20"/>
    </w:rPr>
  </w:style>
  <w:style w:type="character" w:customStyle="1" w:styleId="85">
    <w:name w:val="纯文本 Char2"/>
    <w:semiHidden/>
    <w:qFormat/>
    <w:uiPriority w:val="99"/>
    <w:rPr>
      <w:rFonts w:ascii="宋体" w:hAnsi="Courier New" w:cs="Courier New"/>
      <w:kern w:val="2"/>
      <w:sz w:val="21"/>
      <w:szCs w:val="21"/>
    </w:rPr>
  </w:style>
  <w:style w:type="table" w:customStyle="1" w:styleId="86">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8">
    <w:name w:val="ca-5"/>
    <w:basedOn w:val="31"/>
    <w:qFormat/>
    <w:uiPriority w:val="0"/>
  </w:style>
  <w:style w:type="character" w:customStyle="1" w:styleId="89">
    <w:name w:val="font11"/>
    <w:qFormat/>
    <w:uiPriority w:val="0"/>
    <w:rPr>
      <w:rFonts w:hint="eastAsia" w:ascii="宋体" w:hAnsi="宋体" w:eastAsia="宋体" w:cs="宋体"/>
      <w:color w:val="000000"/>
      <w:sz w:val="22"/>
      <w:szCs w:val="22"/>
      <w:u w:val="none"/>
    </w:rPr>
  </w:style>
  <w:style w:type="paragraph" w:customStyle="1" w:styleId="90">
    <w:name w:val="Other|1"/>
    <w:basedOn w:val="1"/>
    <w:qFormat/>
    <w:uiPriority w:val="0"/>
    <w:pPr>
      <w:spacing w:line="560" w:lineRule="exact"/>
    </w:pPr>
    <w:rPr>
      <w:rFonts w:ascii="宋体" w:hAnsi="宋体" w:cs="宋体"/>
      <w:sz w:val="15"/>
      <w:szCs w:val="15"/>
      <w:lang w:val="zh-TW" w:eastAsia="zh-TW" w:bidi="zh-TW"/>
    </w:rPr>
  </w:style>
  <w:style w:type="character" w:customStyle="1" w:styleId="91">
    <w:name w:val="right"/>
    <w:basedOn w:val="31"/>
    <w:qFormat/>
    <w:uiPriority w:val="0"/>
    <w:rPr>
      <w:color w:val="999999"/>
      <w:sz w:val="14"/>
      <w:szCs w:val="14"/>
    </w:rPr>
  </w:style>
  <w:style w:type="character" w:customStyle="1" w:styleId="92">
    <w:name w:val="red"/>
    <w:basedOn w:val="31"/>
    <w:qFormat/>
    <w:uiPriority w:val="0"/>
    <w:rPr>
      <w:color w:val="FF0000"/>
      <w:sz w:val="14"/>
      <w:szCs w:val="14"/>
    </w:rPr>
  </w:style>
  <w:style w:type="character" w:customStyle="1" w:styleId="93">
    <w:name w:val="red1"/>
    <w:basedOn w:val="31"/>
    <w:qFormat/>
    <w:uiPriority w:val="0"/>
    <w:rPr>
      <w:color w:val="FF0000"/>
      <w:sz w:val="14"/>
      <w:szCs w:val="14"/>
    </w:rPr>
  </w:style>
  <w:style w:type="character" w:customStyle="1" w:styleId="94">
    <w:name w:val="red2"/>
    <w:basedOn w:val="31"/>
    <w:qFormat/>
    <w:uiPriority w:val="0"/>
    <w:rPr>
      <w:color w:val="CC0000"/>
    </w:rPr>
  </w:style>
  <w:style w:type="character" w:customStyle="1" w:styleId="95">
    <w:name w:val="red3"/>
    <w:basedOn w:val="31"/>
    <w:qFormat/>
    <w:uiPriority w:val="0"/>
    <w:rPr>
      <w:color w:val="FF0000"/>
    </w:rPr>
  </w:style>
  <w:style w:type="character" w:customStyle="1" w:styleId="96">
    <w:name w:val="hover25"/>
    <w:basedOn w:val="31"/>
    <w:qFormat/>
    <w:uiPriority w:val="0"/>
  </w:style>
  <w:style w:type="character" w:customStyle="1" w:styleId="97">
    <w:name w:val="green"/>
    <w:basedOn w:val="31"/>
    <w:qFormat/>
    <w:uiPriority w:val="0"/>
    <w:rPr>
      <w:color w:val="66AE00"/>
      <w:sz w:val="14"/>
      <w:szCs w:val="14"/>
    </w:rPr>
  </w:style>
  <w:style w:type="character" w:customStyle="1" w:styleId="98">
    <w:name w:val="green1"/>
    <w:basedOn w:val="31"/>
    <w:qFormat/>
    <w:uiPriority w:val="0"/>
    <w:rPr>
      <w:color w:val="66AE00"/>
      <w:sz w:val="14"/>
      <w:szCs w:val="14"/>
    </w:rPr>
  </w:style>
  <w:style w:type="character" w:customStyle="1" w:styleId="99">
    <w:name w:val="active"/>
    <w:basedOn w:val="31"/>
    <w:qFormat/>
    <w:uiPriority w:val="0"/>
    <w:rPr>
      <w:color w:val="FFFFFF"/>
      <w:shd w:val="clear" w:color="auto" w:fill="2B7AFC"/>
    </w:rPr>
  </w:style>
  <w:style w:type="character" w:customStyle="1" w:styleId="100">
    <w:name w:val="blue"/>
    <w:basedOn w:val="31"/>
    <w:qFormat/>
    <w:uiPriority w:val="0"/>
    <w:rPr>
      <w:color w:val="0371C6"/>
      <w:sz w:val="16"/>
      <w:szCs w:val="16"/>
    </w:rPr>
  </w:style>
  <w:style w:type="character" w:customStyle="1" w:styleId="101">
    <w:name w:val="gb-jt"/>
    <w:basedOn w:val="31"/>
    <w:qFormat/>
    <w:uiPriority w:val="0"/>
  </w:style>
  <w:style w:type="character" w:customStyle="1" w:styleId="102">
    <w:name w:val="批注框文本 Char"/>
    <w:basedOn w:val="31"/>
    <w:link w:val="21"/>
    <w:semiHidden/>
    <w:qFormat/>
    <w:uiPriority w:val="99"/>
    <w:rPr>
      <w:rFonts w:cs="Calibri"/>
      <w:kern w:val="2"/>
      <w:sz w:val="18"/>
      <w:szCs w:val="18"/>
    </w:rPr>
  </w:style>
  <w:style w:type="table" w:customStyle="1" w:styleId="10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35569</Words>
  <Characters>38108</Characters>
  <Lines>326</Lines>
  <Paragraphs>91</Paragraphs>
  <TotalTime>4</TotalTime>
  <ScaleCrop>false</ScaleCrop>
  <LinksUpToDate>false</LinksUpToDate>
  <CharactersWithSpaces>39212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2022-07-08T13:25:00Z</dcterms:created>
  <dc:creator>中科经纬工程技术有限公司:闫鹏生</dc:creator>
  <cp:lastModifiedBy>YQ</cp:lastModifiedBy>
  <cp:lastPrinted>2022-07-14T03:08:00Z</cp:lastPrinted>
  <dcterms:modified xsi:type="dcterms:W3CDTF">2022-07-15T01:59:07Z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DD5CFD2E4A0744D09402BD169D4DC6B7</vt:lpwstr>
  </property>
</Properties>
</file>