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w w:val="90"/>
          <w:sz w:val="48"/>
          <w:szCs w:val="48"/>
          <w:lang w:val="en-US" w:eastAsia="zh-CN"/>
        </w:rPr>
      </w:pPr>
    </w:p>
    <w:p>
      <w:pPr>
        <w:jc w:val="center"/>
        <w:rPr>
          <w:rFonts w:hint="eastAsia" w:ascii="黑体" w:hAnsi="黑体" w:eastAsia="黑体" w:cs="黑体"/>
          <w:bCs/>
          <w:w w:val="90"/>
          <w:sz w:val="48"/>
          <w:szCs w:val="48"/>
          <w:lang w:val="en-US" w:eastAsia="zh-CN"/>
        </w:rPr>
      </w:pPr>
      <w:r>
        <w:rPr>
          <w:rFonts w:hint="eastAsia" w:ascii="黑体" w:hAnsi="黑体" w:eastAsia="黑体" w:cs="黑体"/>
          <w:bCs/>
          <w:w w:val="90"/>
          <w:sz w:val="48"/>
          <w:szCs w:val="48"/>
          <w:lang w:val="en-US" w:eastAsia="zh-CN"/>
        </w:rPr>
        <w:t>禹州市中心医院口腔CBCT医疗设备购置项目</w:t>
      </w:r>
    </w:p>
    <w:p>
      <w:pPr>
        <w:jc w:val="center"/>
        <w:rPr>
          <w:rFonts w:hint="eastAsia" w:ascii="黑体" w:hAnsi="黑体" w:eastAsia="黑体" w:cs="黑体"/>
          <w:bCs/>
          <w:w w:val="90"/>
          <w:sz w:val="48"/>
          <w:szCs w:val="48"/>
        </w:rPr>
      </w:pPr>
      <w:r>
        <w:rPr>
          <w:rFonts w:hint="eastAsia" w:ascii="黑体" w:hAnsi="黑体" w:eastAsia="黑体" w:cs="黑体"/>
          <w:bCs/>
          <w:w w:val="90"/>
          <w:sz w:val="48"/>
          <w:szCs w:val="48"/>
        </w:rPr>
        <w:t>（不见面开标）</w:t>
      </w:r>
    </w:p>
    <w:p>
      <w:pPr>
        <w:ind w:left="4859" w:hanging="4859" w:hangingChars="1100"/>
        <w:rPr>
          <w:rFonts w:asciiTheme="majorEastAsia" w:hAnsiTheme="majorEastAsia" w:eastAsiaTheme="majorEastAsia" w:cstheme="majorEastAsia"/>
          <w:b/>
          <w:bCs/>
          <w:sz w:val="44"/>
          <w:szCs w:val="44"/>
        </w:rPr>
      </w:pPr>
    </w:p>
    <w:p>
      <w:pPr>
        <w:rPr>
          <w:rFonts w:ascii="黑体" w:hAnsi="黑体" w:eastAsia="黑体" w:cs="黑体"/>
          <w:sz w:val="44"/>
          <w:szCs w:val="44"/>
        </w:rPr>
      </w:pPr>
    </w:p>
    <w:p>
      <w:pPr>
        <w:rPr>
          <w:rFonts w:ascii="微软简隶书" w:eastAsia="微软简隶书"/>
        </w:rPr>
      </w:pPr>
    </w:p>
    <w:p>
      <w:pPr>
        <w:pStyle w:val="2"/>
        <w:numPr>
          <w:numId w:val="0"/>
        </w:numPr>
        <w:ind w:leftChars="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9"/>
      </w:pPr>
    </w:p>
    <w:p>
      <w:pPr>
        <w:pStyle w:val="9"/>
      </w:pPr>
      <w:bookmarkStart w:id="11" w:name="_GoBack"/>
      <w:bookmarkEnd w:id="11"/>
    </w:p>
    <w:p>
      <w:pPr>
        <w:pStyle w:val="9"/>
      </w:pPr>
    </w:p>
    <w:p>
      <w:pPr>
        <w:rPr>
          <w:rFonts w:ascii="微软简隶书" w:eastAsia="微软简隶书"/>
        </w:rPr>
      </w:pPr>
    </w:p>
    <w:p>
      <w:pPr>
        <w:rPr>
          <w:rFonts w:ascii="微软简隶书" w:eastAsia="微软简隶书"/>
        </w:rPr>
      </w:pPr>
    </w:p>
    <w:p>
      <w:pPr>
        <w:rPr>
          <w:rFonts w:ascii="微软简隶书" w:eastAsia="微软简隶书"/>
        </w:rPr>
      </w:pP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采购编号：YZCG-DLT2022042</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禹州市中心医院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代理机构：中鼎万联建设项目管理有限公司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二〇二二年七月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spacing w:line="360" w:lineRule="auto"/>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360" w:lineRule="auto"/>
        <w:jc w:val="center"/>
        <w:rPr>
          <w:rFonts w:hint="eastAsia" w:asciiTheme="minorEastAsia" w:hAnsiTheme="minorEastAsia" w:eastAsiaTheme="minorEastAsia" w:cstheme="minorEastAsia"/>
          <w:b/>
          <w:bCs/>
          <w:i w:val="0"/>
          <w:iCs w:val="0"/>
          <w:sz w:val="30"/>
          <w:szCs w:val="30"/>
          <w:u w:val="none"/>
        </w:rPr>
      </w:pPr>
      <w:r>
        <w:rPr>
          <w:rFonts w:hint="eastAsia" w:asciiTheme="minorEastAsia" w:hAnsiTheme="minorEastAsia" w:eastAsiaTheme="minorEastAsia" w:cstheme="minorEastAsia"/>
          <w:b/>
          <w:bCs/>
          <w:i w:val="0"/>
          <w:iCs w:val="0"/>
          <w:sz w:val="30"/>
          <w:szCs w:val="30"/>
          <w:u w:val="none"/>
          <w:lang w:val="en-US" w:eastAsia="zh-CN"/>
        </w:rPr>
        <w:t>禹州市中心医院口腔CBCT医疗设备购置项目</w:t>
      </w:r>
      <w:r>
        <w:rPr>
          <w:rFonts w:hint="eastAsia" w:asciiTheme="minorEastAsia" w:hAnsiTheme="minorEastAsia" w:eastAsiaTheme="minorEastAsia" w:cstheme="minorEastAsia"/>
          <w:b/>
          <w:bCs/>
          <w:i w:val="0"/>
          <w:iCs w:val="0"/>
          <w:sz w:val="30"/>
          <w:szCs w:val="30"/>
          <w:u w:val="none"/>
        </w:rPr>
        <w:t>（不见面开标）</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i w:val="0"/>
          <w:iCs w:val="0"/>
          <w:sz w:val="30"/>
          <w:szCs w:val="30"/>
          <w:u w:val="none"/>
        </w:rPr>
        <w:t>竞争性谈判公告</w:t>
      </w:r>
    </w:p>
    <w:p>
      <w:pPr>
        <w:widowControl/>
        <w:shd w:val="clear" w:color="auto" w:fill="FFFFFF"/>
        <w:spacing w:line="360" w:lineRule="auto"/>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 xml:space="preserve">     </w:t>
      </w:r>
      <w:r>
        <w:rPr>
          <w:rFonts w:hint="eastAsia" w:asciiTheme="minorEastAsia" w:hAnsiTheme="minorEastAsia" w:eastAsiaTheme="minorEastAsia" w:cstheme="minorEastAsia"/>
          <w:sz w:val="21"/>
          <w:szCs w:val="21"/>
          <w:shd w:val="clear" w:color="auto" w:fill="FFFFFF"/>
        </w:rPr>
        <w:t>中鼎万联建设项目管理有限公司</w:t>
      </w:r>
      <w:r>
        <w:rPr>
          <w:rFonts w:hint="eastAsia" w:asciiTheme="minorEastAsia" w:hAnsiTheme="minorEastAsia" w:eastAsiaTheme="minorEastAsia" w:cstheme="minorEastAsia"/>
          <w:color w:val="000000"/>
          <w:sz w:val="21"/>
          <w:szCs w:val="21"/>
          <w:shd w:val="clear" w:color="auto" w:fill="FFFFFF"/>
        </w:rPr>
        <w:t>受</w:t>
      </w:r>
      <w:r>
        <w:rPr>
          <w:rFonts w:hint="eastAsia" w:asciiTheme="minorEastAsia" w:hAnsiTheme="minorEastAsia" w:eastAsiaTheme="minorEastAsia" w:cstheme="minorEastAsia"/>
          <w:color w:val="000000"/>
          <w:sz w:val="21"/>
          <w:szCs w:val="21"/>
          <w:shd w:val="clear" w:color="auto" w:fill="FFFFFF"/>
          <w:lang w:eastAsia="zh-CN"/>
        </w:rPr>
        <w:t>禹州市中心医院</w:t>
      </w:r>
      <w:r>
        <w:rPr>
          <w:rFonts w:hint="eastAsia" w:asciiTheme="minorEastAsia" w:hAnsiTheme="minorEastAsia" w:eastAsiaTheme="minorEastAsia" w:cstheme="minorEastAsia"/>
          <w:color w:val="000000"/>
          <w:sz w:val="21"/>
          <w:szCs w:val="21"/>
          <w:shd w:val="clear" w:color="auto" w:fill="FFFFFF"/>
        </w:rPr>
        <w:t>的委托，就“</w:t>
      </w:r>
      <w:r>
        <w:rPr>
          <w:rFonts w:hint="eastAsia" w:asciiTheme="minorEastAsia" w:hAnsiTheme="minorEastAsia" w:eastAsiaTheme="minorEastAsia" w:cstheme="minorEastAsia"/>
          <w:sz w:val="21"/>
          <w:szCs w:val="21"/>
          <w:u w:val="none"/>
          <w:lang w:val="en-US" w:eastAsia="zh-CN"/>
        </w:rPr>
        <w:t>禹州市中心医院口腔CBCT医疗设备购置项目</w:t>
      </w:r>
      <w:r>
        <w:rPr>
          <w:rFonts w:hint="eastAsia" w:asciiTheme="minorEastAsia" w:hAnsiTheme="minorEastAsia" w:eastAsiaTheme="minorEastAsia" w:cstheme="minorEastAsia"/>
          <w:sz w:val="21"/>
          <w:szCs w:val="21"/>
          <w:u w:val="none"/>
        </w:rPr>
        <w:t>（不见面开标）</w:t>
      </w:r>
      <w:r>
        <w:rPr>
          <w:rFonts w:hint="eastAsia" w:asciiTheme="minorEastAsia" w:hAnsiTheme="minorEastAsia" w:eastAsiaTheme="minorEastAsia" w:cstheme="minorEastAsia"/>
          <w:color w:val="000000"/>
          <w:sz w:val="21"/>
          <w:szCs w:val="21"/>
          <w:shd w:val="clear" w:color="auto" w:fill="FFFFFF"/>
        </w:rPr>
        <w:t>”进行竞争性谈判，欢迎合格的投标人前来投标。</w:t>
      </w:r>
    </w:p>
    <w:p>
      <w:pPr>
        <w:widowControl/>
        <w:numPr>
          <w:ilvl w:val="0"/>
          <w:numId w:val="5"/>
        </w:numPr>
        <w:shd w:val="clear" w:color="auto" w:fill="FFFFFF"/>
        <w:spacing w:line="360" w:lineRule="auto"/>
        <w:ind w:firstLine="482"/>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项目基本情况</w:t>
      </w:r>
    </w:p>
    <w:p>
      <w:pPr>
        <w:spacing w:line="360" w:lineRule="auto"/>
        <w:ind w:firstLine="420" w:firstLineChars="200"/>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rPr>
        <w:t>1、采购人：</w:t>
      </w:r>
      <w:r>
        <w:rPr>
          <w:rFonts w:hint="eastAsia" w:asciiTheme="minorEastAsia" w:hAnsiTheme="minorEastAsia" w:eastAsiaTheme="minorEastAsia" w:cstheme="minorEastAsia"/>
          <w:color w:val="000000"/>
          <w:sz w:val="21"/>
          <w:szCs w:val="21"/>
          <w:shd w:val="clear" w:color="auto" w:fill="FFFFFF"/>
          <w:lang w:eastAsia="zh-CN"/>
        </w:rPr>
        <w:t>禹州市中心医院</w:t>
      </w:r>
    </w:p>
    <w:p>
      <w:pPr>
        <w:spacing w:line="360" w:lineRule="auto"/>
        <w:ind w:firstLine="420" w:firstLineChars="200"/>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rPr>
        <w:t>2、项目名称：</w:t>
      </w:r>
      <w:r>
        <w:rPr>
          <w:rFonts w:hint="eastAsia" w:asciiTheme="minorEastAsia" w:hAnsiTheme="minorEastAsia" w:eastAsiaTheme="minorEastAsia" w:cstheme="minorEastAsia"/>
          <w:color w:val="000000"/>
          <w:sz w:val="21"/>
          <w:szCs w:val="21"/>
          <w:shd w:val="clear" w:color="auto" w:fill="FFFFFF"/>
          <w:lang w:eastAsia="zh-CN"/>
        </w:rPr>
        <w:t>禹州市中心医院口腔CBCT医疗设备购置项目（不见面开标）</w:t>
      </w:r>
    </w:p>
    <w:p>
      <w:pPr>
        <w:spacing w:line="360" w:lineRule="auto"/>
        <w:ind w:left="420" w:leftChars="200"/>
        <w:rPr>
          <w:rFonts w:hint="default"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rPr>
        <w:t>3、采购编号：YZCG-</w:t>
      </w:r>
      <w:r>
        <w:rPr>
          <w:rFonts w:hint="eastAsia" w:ascii="宋体" w:hAnsi="宋体" w:eastAsia="宋体" w:cs="宋体"/>
          <w:szCs w:val="21"/>
          <w:shd w:val="clear" w:color="auto" w:fill="FFFFFF"/>
        </w:rPr>
        <w:t>DLT</w:t>
      </w:r>
      <w:r>
        <w:rPr>
          <w:rFonts w:hint="eastAsia" w:asciiTheme="minorEastAsia" w:hAnsiTheme="minorEastAsia" w:eastAsiaTheme="minorEastAsia" w:cstheme="minorEastAsia"/>
          <w:color w:val="000000"/>
          <w:sz w:val="21"/>
          <w:szCs w:val="21"/>
          <w:shd w:val="clear" w:color="auto" w:fill="FFFFFF"/>
        </w:rPr>
        <w:t>20220</w:t>
      </w:r>
      <w:r>
        <w:rPr>
          <w:rFonts w:hint="eastAsia" w:asciiTheme="minorEastAsia" w:hAnsiTheme="minorEastAsia" w:cstheme="minorEastAsia"/>
          <w:color w:val="000000"/>
          <w:sz w:val="21"/>
          <w:szCs w:val="21"/>
          <w:shd w:val="clear" w:color="auto" w:fill="FFFFFF"/>
          <w:lang w:val="en-US" w:eastAsia="zh-CN"/>
        </w:rPr>
        <w:t>42</w:t>
      </w:r>
    </w:p>
    <w:p>
      <w:pPr>
        <w:spacing w:line="360" w:lineRule="auto"/>
        <w:ind w:firstLine="420" w:firstLineChars="200"/>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4、项目需求：</w:t>
      </w:r>
      <w:r>
        <w:rPr>
          <w:rFonts w:hint="eastAsia" w:asciiTheme="minorEastAsia" w:hAnsiTheme="minorEastAsia" w:eastAsiaTheme="minorEastAsia" w:cstheme="minorEastAsia"/>
          <w:sz w:val="21"/>
          <w:szCs w:val="21"/>
          <w:u w:val="none"/>
          <w:lang w:val="en-US" w:eastAsia="zh-CN"/>
        </w:rPr>
        <w:t>口腔CBCT医疗设备</w:t>
      </w:r>
      <w:r>
        <w:rPr>
          <w:rFonts w:hint="eastAsia" w:asciiTheme="minorEastAsia" w:hAnsiTheme="minorEastAsia" w:eastAsiaTheme="minorEastAsia" w:cstheme="minorEastAsia"/>
          <w:color w:val="000000"/>
          <w:sz w:val="21"/>
          <w:szCs w:val="21"/>
          <w:u w:val="none"/>
          <w:shd w:val="clear" w:color="auto" w:fill="FFFFFF"/>
        </w:rPr>
        <w:t>一</w:t>
      </w:r>
      <w:r>
        <w:rPr>
          <w:rFonts w:hint="eastAsia" w:asciiTheme="minorEastAsia" w:hAnsiTheme="minorEastAsia" w:eastAsiaTheme="minorEastAsia" w:cstheme="minorEastAsia"/>
          <w:color w:val="000000"/>
          <w:sz w:val="21"/>
          <w:szCs w:val="21"/>
          <w:u w:val="none"/>
          <w:shd w:val="clear" w:color="auto" w:fill="FFFFFF"/>
          <w:lang w:val="en-US" w:eastAsia="zh-CN"/>
        </w:rPr>
        <w:t>台</w:t>
      </w:r>
      <w:r>
        <w:rPr>
          <w:rFonts w:hint="eastAsia" w:ascii="宋体" w:hAnsi="宋体" w:eastAsia="宋体" w:cs="宋体"/>
          <w:szCs w:val="21"/>
          <w:shd w:val="clear" w:color="auto" w:fill="FFFFFF"/>
        </w:rPr>
        <w:t>（详见谈判文件）</w:t>
      </w:r>
    </w:p>
    <w:p>
      <w:pPr>
        <w:spacing w:line="360" w:lineRule="auto"/>
        <w:ind w:firstLine="420" w:firstLineChars="200"/>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5、</w:t>
      </w:r>
      <w:r>
        <w:rPr>
          <w:rFonts w:hint="eastAsia" w:asciiTheme="minorEastAsia" w:hAnsiTheme="minorEastAsia" w:cstheme="minorEastAsia"/>
          <w:color w:val="000000"/>
          <w:sz w:val="21"/>
          <w:szCs w:val="21"/>
          <w:shd w:val="clear" w:color="auto" w:fill="FFFFFF"/>
          <w:lang w:val="en-US" w:eastAsia="zh-CN"/>
        </w:rPr>
        <w:t>交付期限</w:t>
      </w:r>
      <w:r>
        <w:rPr>
          <w:rFonts w:hint="eastAsia" w:asciiTheme="minorEastAsia" w:hAnsiTheme="minorEastAsia" w:eastAsiaTheme="minorEastAsia" w:cstheme="minorEastAsia"/>
          <w:color w:val="000000"/>
          <w:sz w:val="21"/>
          <w:szCs w:val="21"/>
          <w:shd w:val="clear" w:color="auto" w:fill="FFFFFF"/>
        </w:rPr>
        <w:t>：</w:t>
      </w:r>
      <w:r>
        <w:rPr>
          <w:rFonts w:hint="eastAsia" w:asciiTheme="minorEastAsia" w:hAnsiTheme="minorEastAsia" w:eastAsiaTheme="minorEastAsia" w:cstheme="minorEastAsia"/>
          <w:color w:val="FF0000"/>
          <w:sz w:val="21"/>
          <w:szCs w:val="21"/>
          <w:shd w:val="clear" w:color="auto" w:fill="FFFFFF"/>
        </w:rPr>
        <w:t>签订合同后</w:t>
      </w:r>
      <w:r>
        <w:rPr>
          <w:rFonts w:hint="eastAsia" w:asciiTheme="minorEastAsia" w:hAnsiTheme="minorEastAsia" w:cstheme="minorEastAsia"/>
          <w:color w:val="FF0000"/>
          <w:sz w:val="21"/>
          <w:szCs w:val="21"/>
          <w:shd w:val="clear" w:color="auto" w:fill="FFFFFF"/>
          <w:lang w:val="en-US" w:eastAsia="zh-CN"/>
        </w:rPr>
        <w:t>20</w:t>
      </w:r>
      <w:r>
        <w:rPr>
          <w:rFonts w:hint="eastAsia" w:asciiTheme="minorEastAsia" w:hAnsiTheme="minorEastAsia" w:eastAsiaTheme="minorEastAsia" w:cstheme="minorEastAsia"/>
          <w:color w:val="FF0000"/>
          <w:sz w:val="21"/>
          <w:szCs w:val="21"/>
          <w:shd w:val="clear" w:color="auto" w:fill="FFFFFF"/>
        </w:rPr>
        <w:t>日历天内</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6、采购预算：</w:t>
      </w:r>
      <w:r>
        <w:rPr>
          <w:rFonts w:hint="eastAsia" w:asciiTheme="minorEastAsia" w:hAnsiTheme="minorEastAsia" w:eastAsiaTheme="minorEastAsia" w:cstheme="minorEastAsia"/>
          <w:color w:val="000000"/>
          <w:sz w:val="21"/>
          <w:szCs w:val="21"/>
          <w:shd w:val="clear" w:color="auto" w:fill="FFFFFF"/>
          <w:lang w:val="en-US" w:eastAsia="zh-CN"/>
        </w:rPr>
        <w:t>500000</w:t>
      </w:r>
      <w:r>
        <w:rPr>
          <w:rFonts w:hint="eastAsia" w:asciiTheme="minorEastAsia" w:hAnsiTheme="minorEastAsia" w:cstheme="minorEastAsia"/>
          <w:color w:val="000000"/>
          <w:sz w:val="21"/>
          <w:szCs w:val="21"/>
          <w:shd w:val="clear" w:color="auto" w:fill="FFFFFF"/>
          <w:lang w:val="en-US" w:eastAsia="zh-CN"/>
        </w:rPr>
        <w:t>.00</w:t>
      </w:r>
      <w:r>
        <w:rPr>
          <w:rFonts w:hint="eastAsia" w:asciiTheme="minorEastAsia" w:hAnsiTheme="minorEastAsia" w:eastAsiaTheme="minorEastAsia" w:cstheme="minorEastAsia"/>
          <w:color w:val="000000"/>
          <w:sz w:val="21"/>
          <w:szCs w:val="21"/>
          <w:shd w:val="clear" w:color="auto" w:fill="FFFFFF"/>
        </w:rPr>
        <w:t>元</w:t>
      </w:r>
    </w:p>
    <w:p>
      <w:pPr>
        <w:widowControl/>
        <w:shd w:val="clear" w:color="auto" w:fill="FFFFFF"/>
        <w:spacing w:line="360" w:lineRule="auto"/>
        <w:ind w:firstLine="310" w:firstLineChars="147"/>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二、需要落实的政府采购政策</w:t>
      </w:r>
    </w:p>
    <w:p>
      <w:pPr>
        <w:widowControl/>
        <w:shd w:val="clear" w:color="auto" w:fill="FFFFFF"/>
        <w:spacing w:line="360" w:lineRule="auto"/>
        <w:ind w:firstLine="420" w:firstLineChars="20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本项目落实节约能源、保护环境、扶持不发达地区和少数民族地区、促进中小企业、监狱企业发展等政府采购政策</w:t>
      </w:r>
      <w:r>
        <w:rPr>
          <w:rFonts w:hint="eastAsia" w:asciiTheme="minorEastAsia" w:hAnsiTheme="minorEastAsia" w:cstheme="minorEastAsia"/>
          <w:sz w:val="21"/>
          <w:szCs w:val="21"/>
          <w:lang w:eastAsia="zh-CN"/>
        </w:rPr>
        <w:t>，</w:t>
      </w:r>
      <w:r>
        <w:rPr>
          <w:rFonts w:hint="eastAsia" w:asciiTheme="minorEastAsia" w:hAnsiTheme="minorEastAsia" w:cstheme="minorEastAsia"/>
          <w:color w:val="FF0000"/>
          <w:sz w:val="21"/>
          <w:szCs w:val="21"/>
          <w:lang w:val="en-US" w:eastAsia="zh-CN"/>
        </w:rPr>
        <w:t>专门面向中小企业采购。</w:t>
      </w:r>
    </w:p>
    <w:p>
      <w:pPr>
        <w:widowControl/>
        <w:shd w:val="clear" w:color="auto" w:fill="FFFFFF"/>
        <w:spacing w:line="360" w:lineRule="auto"/>
        <w:ind w:firstLine="211" w:firstLineChars="100"/>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三、供应商资格要求</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1、符合《政府采购法》第二十二条之规定；</w:t>
      </w:r>
    </w:p>
    <w:p>
      <w:pPr>
        <w:spacing w:line="360" w:lineRule="auto"/>
        <w:ind w:firstLine="420" w:firstLineChars="200"/>
        <w:rPr>
          <w:rFonts w:hint="eastAsia" w:asciiTheme="minorEastAsia" w:hAnsiTheme="minorEastAsia" w:cstheme="minorEastAsia"/>
          <w:color w:val="FF0000"/>
          <w:sz w:val="21"/>
          <w:szCs w:val="21"/>
          <w:shd w:val="clear" w:color="auto" w:fill="FFFFFF"/>
          <w:lang w:eastAsia="zh-CN"/>
        </w:rPr>
      </w:pPr>
      <w:r>
        <w:rPr>
          <w:rFonts w:hint="eastAsia" w:asciiTheme="minorEastAsia" w:hAnsiTheme="minorEastAsia" w:eastAsiaTheme="minorEastAsia" w:cstheme="minorEastAsia"/>
          <w:color w:val="FF0000"/>
          <w:sz w:val="21"/>
          <w:szCs w:val="21"/>
          <w:shd w:val="clear" w:color="auto" w:fill="FFFFFF"/>
          <w:lang w:val="en-US" w:eastAsia="zh-CN"/>
        </w:rPr>
        <w:t>2、</w:t>
      </w:r>
      <w:r>
        <w:rPr>
          <w:rFonts w:hint="eastAsia" w:asciiTheme="minorEastAsia" w:hAnsiTheme="minorEastAsia" w:eastAsiaTheme="minorEastAsia" w:cstheme="minorEastAsia"/>
          <w:color w:val="FF0000"/>
          <w:sz w:val="21"/>
          <w:szCs w:val="21"/>
          <w:shd w:val="clear" w:color="auto" w:fill="FFFFFF"/>
        </w:rPr>
        <w:t>投标人应具有相应范围的《医疗器械生产许可证》或《医疗器械经营许可证》；</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3</w:t>
      </w:r>
      <w:r>
        <w:rPr>
          <w:rFonts w:hint="eastAsia" w:asciiTheme="minorEastAsia" w:hAnsiTheme="minorEastAsia" w:eastAsiaTheme="minorEastAsia" w:cstheme="minorEastAsia"/>
          <w:sz w:val="21"/>
          <w:szCs w:val="21"/>
          <w:shd w:val="clear" w:color="auto" w:fill="FFFFFF"/>
        </w:rPr>
        <w:t>、本项目不接受联合体投标。</w:t>
      </w:r>
    </w:p>
    <w:p>
      <w:pPr>
        <w:widowControl/>
        <w:shd w:val="clear" w:color="auto" w:fill="FFFFFF"/>
        <w:spacing w:line="360" w:lineRule="auto"/>
        <w:ind w:firstLine="482"/>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四、获取谈判文件的方式</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（一）持CA数字认证证书，登录《全国公共资源交易平台（河南省·许昌市）》“系统用户注册”入口</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Style w:val="28"/>
          <w:rFonts w:hint="eastAsia" w:asciiTheme="minorEastAsia" w:hAnsiTheme="minorEastAsia" w:eastAsiaTheme="minorEastAsia" w:cstheme="minorEastAsia"/>
          <w:color w:val="000000"/>
          <w:sz w:val="21"/>
          <w:szCs w:val="21"/>
          <w:shd w:val="clear" w:color="auto" w:fill="FFFFFF"/>
        </w:rPr>
        <w:t>http://ggzy.xuchang.gov.cn:8088/ggzy/eps/public/RegistAllJcxx.html）</w:t>
      </w:r>
      <w:r>
        <w:rPr>
          <w:rStyle w:val="28"/>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（二）在谈判响应截止时间前均可登录《全国公共资源交易平台（河南省·许昌市）》“投标人/供应商登录”入口</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Style w:val="28"/>
          <w:rFonts w:hint="eastAsia" w:asciiTheme="minorEastAsia" w:hAnsiTheme="minorEastAsia" w:eastAsiaTheme="minorEastAsia" w:cstheme="minorEastAsia"/>
          <w:color w:val="000000"/>
          <w:sz w:val="21"/>
          <w:szCs w:val="21"/>
          <w:shd w:val="clear" w:color="auto" w:fill="FFFFFF"/>
        </w:rPr>
        <w:t>（http://ggzy.xuchang.gov.cn:8088/ggzy/）</w:t>
      </w:r>
      <w:r>
        <w:rPr>
          <w:rStyle w:val="28"/>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自行免费下载竞争性谈判文件（详见“常见问题解答-交易系统操作手册”）。</w:t>
      </w:r>
    </w:p>
    <w:p>
      <w:pPr>
        <w:widowControl/>
        <w:shd w:val="clear" w:color="auto" w:fill="FFFFFF"/>
        <w:spacing w:line="360" w:lineRule="auto"/>
        <w:ind w:firstLine="422" w:firstLineChars="20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五、响应文件提交截止时间及谈判响应截止时间、谈判时间</w:t>
      </w:r>
    </w:p>
    <w:p>
      <w:pPr>
        <w:spacing w:line="360" w:lineRule="auto"/>
        <w:ind w:firstLine="640"/>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 xml:space="preserve">1、响应文件提交截止时间及谈判响应截止时间、谈判时间：2022年7月 </w:t>
      </w:r>
      <w:r>
        <w:rPr>
          <w:rFonts w:hint="eastAsia" w:asciiTheme="minorEastAsia" w:hAnsiTheme="minorEastAsia" w:eastAsiaTheme="minorEastAsia" w:cstheme="minorEastAsia"/>
          <w:color w:val="000000"/>
          <w:sz w:val="21"/>
          <w:szCs w:val="21"/>
          <w:shd w:val="clear" w:color="auto" w:fill="FFFFFF"/>
          <w:lang w:val="en-US" w:eastAsia="zh-CN"/>
        </w:rPr>
        <w:t>27</w:t>
      </w:r>
      <w:r>
        <w:rPr>
          <w:rFonts w:hint="eastAsia" w:asciiTheme="minorEastAsia" w:hAnsiTheme="minorEastAsia" w:eastAsiaTheme="minorEastAsia" w:cstheme="minorEastAsia"/>
          <w:color w:val="000000"/>
          <w:sz w:val="21"/>
          <w:szCs w:val="21"/>
          <w:shd w:val="clear" w:color="auto" w:fill="FFFFFF"/>
        </w:rPr>
        <w:t xml:space="preserve"> 日 8：30  （北京时间），逾期送达或不符合规定的响应文件恕不接受。</w:t>
      </w:r>
    </w:p>
    <w:p>
      <w:pPr>
        <w:spacing w:line="360" w:lineRule="auto"/>
        <w:ind w:firstLine="640"/>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2、响应文件开启时间：同响应文件提交截止时间。</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000000"/>
          <w:sz w:val="21"/>
          <w:szCs w:val="21"/>
          <w:shd w:val="clear" w:color="auto" w:fill="FFFFFF"/>
        </w:rPr>
      </w:pPr>
      <w:r>
        <w:rPr>
          <w:rFonts w:hint="eastAsia" w:asciiTheme="minorEastAsia" w:hAnsiTheme="minorEastAsia" w:eastAsiaTheme="minorEastAsia" w:cstheme="minorEastAsia"/>
          <w:b/>
          <w:bCs/>
          <w:color w:val="000000"/>
          <w:sz w:val="21"/>
          <w:szCs w:val="21"/>
          <w:shd w:val="clear" w:color="auto" w:fill="FFFFFF"/>
        </w:rPr>
        <w:t>六、谈判响应文件开启</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（二） 本项目为全流程电子化交易项目，供应商须提交电子响应文件。</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3、不见面开标大厅登录：供应商使用CA数字证书登录全国公共资源交易平台（河南省·许昌市）——进入公共资源交易系统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color w:val="000000"/>
          <w:sz w:val="21"/>
          <w:szCs w:val="21"/>
          <w:shd w:val="clear" w:color="auto" w:fill="FFFFFF"/>
        </w:rPr>
        <w:t>（http://ggzy.xuchang.gov.cn:8088/ggzy/）</w:t>
      </w:r>
      <w:r>
        <w:rPr>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——点击“项目信息——项目名称”——在系统操作导航栏点击“开标——不见面开标大厅”。</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七、本次谈判公告同时在《河南省政府采购网》、《全国公共资源交易平台（河南省·许昌市）》发布等。</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八、代理机构及采购单位地址、联系人、联系电话</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采购单位：禹州市中心医院</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地址：禹州市禹王大道东段</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联系人：刘女士        </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联系电话：15290919777    </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代理机构：中鼎万联建设项目管理有限公司</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联系人：肖先生          </w:t>
      </w:r>
    </w:p>
    <w:p>
      <w:pPr>
        <w:spacing w:line="360" w:lineRule="auto"/>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联系电话：13782206888</w:t>
      </w:r>
    </w:p>
    <w:p>
      <w:pPr>
        <w:spacing w:line="360" w:lineRule="auto"/>
        <w:ind w:firstLine="420" w:firstLineChars="200"/>
        <w:rPr>
          <w:rFonts w:cs="仿宋_GB2312" w:asciiTheme="minorEastAsia" w:hAnsiTheme="minorEastAsia"/>
          <w:color w:val="000000"/>
          <w:szCs w:val="21"/>
          <w:shd w:val="clear" w:color="auto" w:fill="FFFFFF"/>
        </w:rPr>
      </w:pPr>
      <w:r>
        <w:rPr>
          <w:rFonts w:hint="eastAsia" w:asciiTheme="minorEastAsia" w:hAnsiTheme="minorEastAsia" w:eastAsiaTheme="minorEastAsia" w:cstheme="minorEastAsia"/>
          <w:sz w:val="21"/>
          <w:szCs w:val="21"/>
          <w:shd w:val="clear" w:color="auto" w:fill="FFFFFF"/>
        </w:rPr>
        <w:t>监督单位：</w:t>
      </w:r>
      <w:r>
        <w:rPr>
          <w:rFonts w:hint="eastAsia" w:ascii="宋体" w:hAnsi="宋体" w:eastAsia="宋体" w:cs="宋体"/>
          <w:szCs w:val="21"/>
          <w:shd w:val="clear" w:color="auto" w:fill="FFFFFF"/>
        </w:rPr>
        <w:t>禹州市政府采购监督管理办公室</w:t>
      </w:r>
    </w:p>
    <w:p>
      <w:pPr>
        <w:spacing w:line="360" w:lineRule="auto"/>
        <w:ind w:firstLine="6720" w:firstLineChars="3200"/>
        <w:rPr>
          <w:rFonts w:hint="eastAsia" w:hAnsi="宋体"/>
          <w:b/>
          <w:sz w:val="28"/>
          <w:szCs w:val="28"/>
        </w:rPr>
      </w:pPr>
      <w:r>
        <w:rPr>
          <w:rFonts w:hint="eastAsia" w:cs="仿宋_GB2312" w:asciiTheme="minorEastAsia" w:hAnsiTheme="minorEastAsia"/>
          <w:color w:val="000000"/>
          <w:szCs w:val="21"/>
          <w:shd w:val="clear" w:color="auto" w:fill="FFFFFF"/>
        </w:rPr>
        <w:t>2022年 7月</w:t>
      </w:r>
      <w:r>
        <w:rPr>
          <w:rFonts w:hint="eastAsia" w:cs="仿宋_GB2312" w:asciiTheme="minorEastAsia" w:hAnsiTheme="minorEastAsia"/>
          <w:color w:val="000000"/>
          <w:szCs w:val="21"/>
          <w:shd w:val="clear" w:color="auto" w:fill="FFFFFF"/>
          <w:lang w:val="en-US" w:eastAsia="zh-CN"/>
        </w:rPr>
        <w:t>18</w:t>
      </w:r>
      <w:r>
        <w:rPr>
          <w:rFonts w:hint="eastAsia" w:cs="仿宋_GB2312" w:asciiTheme="minorEastAsia" w:hAnsiTheme="minorEastAsia"/>
          <w:color w:val="000000"/>
          <w:szCs w:val="21"/>
          <w:shd w:val="clear" w:color="auto" w:fill="FFFFFF"/>
        </w:rPr>
        <w:t>日</w:t>
      </w:r>
    </w:p>
    <w:p>
      <w:pPr>
        <w:tabs>
          <w:tab w:val="left" w:pos="7095"/>
        </w:tabs>
        <w:spacing w:line="360" w:lineRule="auto"/>
        <w:ind w:firstLine="422" w:firstLineChars="200"/>
        <w:contextualSpacing/>
        <w:rPr>
          <w:rFonts w:hint="eastAsia"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int="eastAsia"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354" w:firstLineChars="147"/>
        <w:contextualSpacing/>
        <w:jc w:val="left"/>
        <w:rPr>
          <w:rFonts w:hint="eastAsia" w:cs="宋体" w:asciiTheme="minorEastAsia" w:hAnsiTheme="minorEastAsia"/>
          <w:b/>
          <w:color w:val="000000"/>
          <w:kern w:val="0"/>
          <w:sz w:val="24"/>
          <w:szCs w:val="24"/>
          <w:lang w:val="zh-CN" w:eastAsia="zh-CN"/>
        </w:rPr>
      </w:pPr>
      <w:r>
        <w:rPr>
          <w:rFonts w:hint="eastAsia" w:cs="宋体" w:asciiTheme="minorEastAsia" w:hAnsiTheme="minorEastAsia"/>
          <w:b/>
          <w:color w:val="000000"/>
          <w:kern w:val="0"/>
          <w:sz w:val="24"/>
          <w:szCs w:val="24"/>
          <w:lang w:val="en-US" w:eastAsia="zh-CN"/>
        </w:rPr>
        <w:t>（一）</w:t>
      </w:r>
      <w:r>
        <w:rPr>
          <w:rFonts w:hint="eastAsia" w:cs="宋体" w:asciiTheme="minorEastAsia" w:hAnsiTheme="minorEastAsia"/>
          <w:b/>
          <w:color w:val="000000"/>
          <w:kern w:val="0"/>
          <w:sz w:val="24"/>
          <w:szCs w:val="24"/>
          <w:lang w:val="zh-CN" w:eastAsia="zh-CN"/>
        </w:rPr>
        <w:t>采购需求：</w:t>
      </w:r>
    </w:p>
    <w:p>
      <w:pPr>
        <w:widowControl/>
        <w:spacing w:line="360" w:lineRule="auto"/>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1</w:t>
      </w:r>
      <w:r>
        <w:rPr>
          <w:rFonts w:ascii="宋体" w:hAnsi="宋体" w:eastAsia="宋体" w:cs="宋体"/>
          <w:szCs w:val="21"/>
          <w:shd w:val="clear" w:color="auto" w:fill="FFFFFF"/>
        </w:rPr>
        <w:t>.</w:t>
      </w:r>
      <w:r>
        <w:rPr>
          <w:rFonts w:hint="eastAsia" w:ascii="宋体" w:hAnsi="宋体" w:eastAsia="宋体" w:cs="宋体"/>
          <w:szCs w:val="21"/>
          <w:shd w:val="clear" w:color="auto" w:fill="FFFFFF"/>
        </w:rPr>
        <w:t>设备名称：</w:t>
      </w:r>
      <w:r>
        <w:rPr>
          <w:rFonts w:hint="eastAsia" w:asciiTheme="minorEastAsia" w:hAnsiTheme="minorEastAsia" w:eastAsiaTheme="minorEastAsia" w:cstheme="minorEastAsia"/>
          <w:sz w:val="21"/>
          <w:szCs w:val="21"/>
          <w:u w:val="none"/>
          <w:lang w:val="en-US" w:eastAsia="zh-CN"/>
        </w:rPr>
        <w:t>口腔CBCT医疗设备</w:t>
      </w:r>
      <w:r>
        <w:rPr>
          <w:rFonts w:hint="eastAsia" w:ascii="宋体" w:hAnsi="宋体" w:eastAsia="宋体" w:cs="宋体"/>
          <w:szCs w:val="21"/>
          <w:shd w:val="clear" w:color="auto" w:fill="FFFFFF"/>
        </w:rPr>
        <w:t>。</w:t>
      </w:r>
    </w:p>
    <w:p>
      <w:pPr>
        <w:widowControl/>
        <w:spacing w:line="360" w:lineRule="auto"/>
        <w:ind w:firstLine="420" w:firstLineChars="200"/>
        <w:jc w:val="left"/>
      </w:pPr>
      <w:r>
        <w:rPr>
          <w:rFonts w:hint="eastAsia" w:ascii="宋体" w:hAnsi="宋体" w:eastAsia="宋体" w:cs="宋体"/>
          <w:szCs w:val="21"/>
          <w:shd w:val="clear" w:color="auto" w:fill="FFFFFF"/>
        </w:rPr>
        <w:t>2</w:t>
      </w:r>
      <w:r>
        <w:rPr>
          <w:rFonts w:ascii="宋体" w:hAnsi="宋体" w:eastAsia="宋体" w:cs="宋体"/>
          <w:szCs w:val="21"/>
          <w:shd w:val="clear" w:color="auto" w:fill="FFFFFF"/>
        </w:rPr>
        <w:t>.</w:t>
      </w:r>
      <w:r>
        <w:rPr>
          <w:rFonts w:hint="eastAsia" w:ascii="宋体" w:hAnsi="宋体" w:eastAsia="宋体" w:cs="宋体"/>
          <w:szCs w:val="21"/>
          <w:shd w:val="clear" w:color="auto" w:fill="FFFFFF"/>
        </w:rPr>
        <w:t>数量：1台。</w:t>
      </w:r>
    </w:p>
    <w:p>
      <w:pPr>
        <w:widowControl/>
        <w:shd w:val="clear" w:color="auto" w:fill="FFFFFF"/>
        <w:spacing w:line="360" w:lineRule="auto"/>
        <w:ind w:firstLine="354" w:firstLineChars="147"/>
        <w:contextualSpacing/>
        <w:jc w:val="left"/>
        <w:rPr>
          <w:rFonts w:hint="eastAsia" w:cs="宋体" w:asciiTheme="minorEastAsia" w:hAnsiTheme="minorEastAsia"/>
          <w:b/>
          <w:color w:val="000000"/>
          <w:kern w:val="0"/>
          <w:sz w:val="24"/>
          <w:szCs w:val="24"/>
          <w:lang w:val="zh-CN" w:eastAsia="zh-CN"/>
        </w:rPr>
      </w:pPr>
      <w:r>
        <w:rPr>
          <w:rFonts w:hint="eastAsia" w:cs="宋体" w:asciiTheme="minorEastAsia" w:hAnsiTheme="minorEastAsia"/>
          <w:b/>
          <w:color w:val="000000"/>
          <w:kern w:val="0"/>
          <w:sz w:val="24"/>
          <w:szCs w:val="24"/>
          <w:lang w:val="en-US" w:eastAsia="zh-CN"/>
        </w:rPr>
        <w:t>（二）参数要求</w:t>
      </w:r>
      <w:r>
        <w:rPr>
          <w:rFonts w:hint="eastAsia" w:cs="宋体" w:asciiTheme="minorEastAsia" w:hAnsiTheme="minorEastAsia"/>
          <w:b/>
          <w:color w:val="000000"/>
          <w:kern w:val="0"/>
          <w:sz w:val="24"/>
          <w:szCs w:val="24"/>
          <w:lang w:val="zh-CN" w:eastAsia="zh-CN"/>
        </w:rPr>
        <w:t>：</w:t>
      </w:r>
    </w:p>
    <w:p>
      <w:pPr>
        <w:spacing w:after="156" w:afterLines="50" w:line="360" w:lineRule="auto"/>
        <w:jc w:val="center"/>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主要技术参数及要求</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eastAsia="zh-CN"/>
        </w:rPr>
        <w:t>、</w:t>
      </w:r>
      <w:r>
        <w:rPr>
          <w:rFonts w:hint="eastAsia" w:ascii="宋体" w:hAnsi="宋体" w:eastAsia="宋体" w:cs="宋体"/>
          <w:sz w:val="21"/>
          <w:szCs w:val="21"/>
        </w:rPr>
        <w:t>基本要求</w:t>
      </w:r>
    </w:p>
    <w:p>
      <w:pPr>
        <w:spacing w:line="360" w:lineRule="auto"/>
        <w:jc w:val="left"/>
        <w:rPr>
          <w:rFonts w:hint="eastAsia" w:ascii="宋体" w:hAnsi="宋体" w:eastAsia="宋体" w:cs="宋体"/>
          <w:b/>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用于口腔科X射线的3D全方位摄影诊断，满足口内、口外、修复、种植、正畸、牙周等专业对三维影像的诊断需要，设备为三合一配置，可直接进行三维影像，二维全景及二维头颅片的拍摄。</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w:t>
      </w:r>
      <w:r>
        <w:rPr>
          <w:rFonts w:hint="eastAsia" w:ascii="宋体" w:hAnsi="宋体" w:eastAsia="宋体" w:cs="宋体"/>
          <w:sz w:val="21"/>
          <w:szCs w:val="21"/>
        </w:rPr>
        <w:t>技术要求</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设备安装尺寸≤120</w:t>
      </w:r>
      <w:r>
        <w:rPr>
          <w:rFonts w:hint="eastAsia" w:ascii="宋体" w:hAnsi="宋体" w:eastAsia="宋体" w:cs="宋体"/>
          <w:sz w:val="21"/>
          <w:szCs w:val="21"/>
          <w:lang w:val="en-US" w:eastAsia="zh-CN"/>
        </w:rPr>
        <w:t>9</w:t>
      </w:r>
      <w:r>
        <w:rPr>
          <w:rFonts w:hint="eastAsia" w:ascii="宋体" w:hAnsi="宋体" w:eastAsia="宋体" w:cs="宋体"/>
          <w:sz w:val="21"/>
          <w:szCs w:val="21"/>
        </w:rPr>
        <w:t>*183</w:t>
      </w:r>
      <w:r>
        <w:rPr>
          <w:rFonts w:hint="eastAsia" w:ascii="宋体" w:hAnsi="宋体" w:eastAsia="宋体" w:cs="宋体"/>
          <w:sz w:val="21"/>
          <w:szCs w:val="21"/>
          <w:lang w:val="en-US" w:eastAsia="zh-CN"/>
        </w:rPr>
        <w:t>5</w:t>
      </w:r>
      <w:r>
        <w:rPr>
          <w:rFonts w:hint="eastAsia" w:ascii="宋体" w:hAnsi="宋体" w:eastAsia="宋体" w:cs="宋体"/>
          <w:sz w:val="21"/>
          <w:szCs w:val="21"/>
        </w:rPr>
        <w:t>*2383mm（长*宽*高），设备设计精巧，对机房尺寸要求宽泛。</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定位</w:t>
      </w:r>
      <w:r>
        <w:rPr>
          <w:rFonts w:hint="eastAsia" w:ascii="宋体" w:hAnsi="宋体" w:eastAsia="宋体" w:cs="宋体"/>
          <w:sz w:val="21"/>
          <w:szCs w:val="21"/>
          <w:lang w:val="en-US" w:eastAsia="zh-CN"/>
        </w:rPr>
        <w:t>方式</w:t>
      </w:r>
      <w:r>
        <w:rPr>
          <w:rFonts w:hint="eastAsia" w:ascii="宋体" w:hAnsi="宋体" w:eastAsia="宋体" w:cs="宋体"/>
          <w:sz w:val="21"/>
          <w:szCs w:val="21"/>
        </w:rPr>
        <w:t>：开放式定位</w:t>
      </w:r>
      <w:r>
        <w:rPr>
          <w:rFonts w:hint="eastAsia" w:ascii="宋体" w:hAnsi="宋体" w:eastAsia="宋体" w:cs="宋体"/>
          <w:sz w:val="21"/>
          <w:szCs w:val="21"/>
          <w:lang w:eastAsia="zh-CN"/>
        </w:rPr>
        <w:t>，</w:t>
      </w:r>
      <w:r>
        <w:rPr>
          <w:rFonts w:hint="eastAsia" w:ascii="宋体" w:hAnsi="宋体" w:eastAsia="宋体" w:cs="宋体"/>
          <w:sz w:val="21"/>
          <w:szCs w:val="21"/>
        </w:rPr>
        <w:t>无需镜面反射定位，侧位进入，视线清晰，整个操作更加流畅</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自动准直器：根据临床所需要的成像视野大小，由计算机程序控制、微步进电机驱动的准直器自动控制射线束大小，无需手动调整准直器位置</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发生器类型：恒压高频直流输出</w:t>
      </w:r>
    </w:p>
    <w:p>
      <w:pPr>
        <w:numPr>
          <w:ilvl w:val="0"/>
          <w:numId w:val="6"/>
        </w:numPr>
        <w:spacing w:line="360" w:lineRule="auto"/>
        <w:ind w:leftChars="0"/>
        <w:jc w:val="left"/>
        <w:rPr>
          <w:rFonts w:hint="eastAsia" w:ascii="宋体" w:hAnsi="宋体" w:eastAsia="宋体" w:cs="宋体"/>
          <w:kern w:val="0"/>
          <w:sz w:val="21"/>
          <w:szCs w:val="21"/>
        </w:rPr>
      </w:pPr>
      <w:r>
        <w:rPr>
          <w:rFonts w:hint="eastAsia" w:ascii="宋体" w:hAnsi="宋体" w:eastAsia="宋体" w:cs="宋体"/>
          <w:sz w:val="21"/>
          <w:szCs w:val="21"/>
        </w:rPr>
        <w:t>电源电压：</w:t>
      </w:r>
      <w:r>
        <w:rPr>
          <w:rFonts w:hint="eastAsia" w:ascii="宋体" w:hAnsi="宋体" w:eastAsia="宋体" w:cs="宋体"/>
          <w:kern w:val="0"/>
          <w:sz w:val="21"/>
          <w:szCs w:val="21"/>
        </w:rPr>
        <w:t>AC 100~120V / AC 200~230V, 50/60Hz</w:t>
      </w:r>
    </w:p>
    <w:p>
      <w:pPr>
        <w:numPr>
          <w:ilvl w:val="0"/>
          <w:numId w:val="0"/>
        </w:num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管电压（kV）：60~</w:t>
      </w:r>
      <w:r>
        <w:rPr>
          <w:rFonts w:hint="eastAsia" w:ascii="宋体" w:hAnsi="宋体" w:eastAsia="宋体" w:cs="宋体"/>
          <w:sz w:val="21"/>
          <w:szCs w:val="21"/>
          <w:lang w:val="en-US" w:eastAsia="zh-CN"/>
        </w:rPr>
        <w:t>85</w:t>
      </w:r>
      <w:r>
        <w:rPr>
          <w:rFonts w:hint="eastAsia" w:ascii="宋体" w:hAnsi="宋体" w:eastAsia="宋体" w:cs="宋体"/>
          <w:sz w:val="21"/>
          <w:szCs w:val="21"/>
        </w:rPr>
        <w:t>kV</w:t>
      </w:r>
      <w:r>
        <w:rPr>
          <w:rFonts w:hint="eastAsia" w:ascii="宋体" w:hAnsi="宋体" w:eastAsia="宋体" w:cs="宋体"/>
          <w:sz w:val="21"/>
          <w:szCs w:val="21"/>
          <w:lang w:eastAsia="zh-CN"/>
        </w:rPr>
        <w:t>，</w:t>
      </w:r>
      <w:r>
        <w:rPr>
          <w:rFonts w:hint="eastAsia" w:ascii="宋体" w:hAnsi="宋体" w:eastAsia="宋体" w:cs="宋体"/>
          <w:sz w:val="21"/>
          <w:szCs w:val="21"/>
        </w:rPr>
        <w:t>管电流（mA）：4~12mA</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7、球馆</w:t>
      </w:r>
      <w:r>
        <w:rPr>
          <w:rFonts w:hint="eastAsia" w:ascii="宋体" w:hAnsi="宋体" w:eastAsia="宋体" w:cs="宋体"/>
          <w:sz w:val="21"/>
          <w:szCs w:val="21"/>
        </w:rPr>
        <w:t>焦点</w:t>
      </w:r>
      <w:bookmarkStart w:id="0" w:name="OLE_LINK3"/>
      <w:r>
        <w:rPr>
          <w:rFonts w:hint="eastAsia" w:ascii="宋体" w:hAnsi="宋体" w:eastAsia="宋体" w:cs="宋体"/>
          <w:sz w:val="21"/>
          <w:szCs w:val="21"/>
          <w:lang w:val="en-US" w:eastAsia="zh-CN"/>
        </w:rPr>
        <w:t>尺寸</w:t>
      </w:r>
      <w:r>
        <w:rPr>
          <w:rFonts w:hint="eastAsia" w:ascii="宋体" w:hAnsi="宋体" w:eastAsia="宋体" w:cs="宋体"/>
          <w:sz w:val="21"/>
          <w:szCs w:val="21"/>
        </w:rPr>
        <w:t>≤</w:t>
      </w:r>
      <w:bookmarkEnd w:id="0"/>
      <w:r>
        <w:rPr>
          <w:rFonts w:hint="eastAsia" w:ascii="宋体" w:hAnsi="宋体" w:eastAsia="宋体" w:cs="宋体"/>
          <w:sz w:val="21"/>
          <w:szCs w:val="21"/>
        </w:rPr>
        <w:t>0.5mm*0.5mm</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8、最短</w:t>
      </w:r>
      <w:r>
        <w:rPr>
          <w:rFonts w:hint="eastAsia" w:ascii="宋体" w:hAnsi="宋体" w:eastAsia="宋体" w:cs="宋体"/>
          <w:sz w:val="21"/>
          <w:szCs w:val="21"/>
        </w:rPr>
        <w:t>扫描时间：CT片≤</w:t>
      </w:r>
      <w:r>
        <w:rPr>
          <w:rFonts w:hint="eastAsia" w:ascii="宋体" w:hAnsi="宋体" w:eastAsia="宋体" w:cs="宋体"/>
          <w:sz w:val="21"/>
          <w:szCs w:val="21"/>
          <w:lang w:val="en-US" w:eastAsia="zh-CN"/>
        </w:rPr>
        <w:t>11</w:t>
      </w:r>
      <w:r>
        <w:rPr>
          <w:rFonts w:hint="eastAsia" w:ascii="宋体" w:hAnsi="宋体" w:eastAsia="宋体" w:cs="宋体"/>
          <w:sz w:val="21"/>
          <w:szCs w:val="21"/>
        </w:rPr>
        <w:t>秒</w:t>
      </w:r>
      <w:r>
        <w:rPr>
          <w:rFonts w:hint="eastAsia" w:ascii="宋体" w:hAnsi="宋体" w:eastAsia="宋体" w:cs="宋体"/>
          <w:sz w:val="21"/>
          <w:szCs w:val="21"/>
          <w:lang w:eastAsia="zh-CN"/>
        </w:rPr>
        <w:t>，</w:t>
      </w:r>
      <w:r>
        <w:rPr>
          <w:rFonts w:hint="eastAsia" w:ascii="宋体" w:hAnsi="宋体" w:eastAsia="宋体" w:cs="宋体"/>
          <w:sz w:val="21"/>
          <w:szCs w:val="21"/>
        </w:rPr>
        <w:t>全景片≤</w:t>
      </w:r>
      <w:r>
        <w:rPr>
          <w:rFonts w:hint="eastAsia" w:ascii="宋体" w:hAnsi="宋体" w:eastAsia="宋体" w:cs="宋体"/>
          <w:sz w:val="21"/>
          <w:szCs w:val="21"/>
          <w:lang w:val="en-US" w:eastAsia="zh-CN"/>
        </w:rPr>
        <w:t>10</w:t>
      </w:r>
      <w:r>
        <w:rPr>
          <w:rFonts w:hint="eastAsia" w:ascii="宋体" w:hAnsi="宋体" w:eastAsia="宋体" w:cs="宋体"/>
          <w:sz w:val="21"/>
          <w:szCs w:val="21"/>
        </w:rPr>
        <w:t>秒</w:t>
      </w:r>
      <w:r>
        <w:rPr>
          <w:rFonts w:hint="eastAsia" w:ascii="宋体" w:hAnsi="宋体" w:eastAsia="宋体" w:cs="宋体"/>
          <w:sz w:val="21"/>
          <w:szCs w:val="21"/>
          <w:lang w:eastAsia="zh-CN"/>
        </w:rPr>
        <w:t>，</w:t>
      </w:r>
      <w:r>
        <w:rPr>
          <w:rFonts w:hint="eastAsia" w:ascii="宋体" w:hAnsi="宋体" w:eastAsia="宋体" w:cs="宋体"/>
          <w:sz w:val="21"/>
          <w:szCs w:val="21"/>
        </w:rPr>
        <w:t>头颅片：≤</w:t>
      </w:r>
      <w:r>
        <w:rPr>
          <w:rFonts w:hint="eastAsia" w:ascii="宋体" w:hAnsi="宋体" w:eastAsia="宋体" w:cs="宋体"/>
          <w:sz w:val="21"/>
          <w:szCs w:val="21"/>
          <w:lang w:val="en-US"/>
        </w:rPr>
        <w:t>5</w:t>
      </w:r>
      <w:r>
        <w:rPr>
          <w:rFonts w:hint="eastAsia" w:ascii="宋体" w:hAnsi="宋体" w:eastAsia="宋体" w:cs="宋体"/>
          <w:sz w:val="21"/>
          <w:szCs w:val="21"/>
        </w:rPr>
        <w:t>秒</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数据获取探测器：平板探测器，像素尺寸≤100×100μｍ</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灰阶分辨率：≥1</w:t>
      </w:r>
      <w:r>
        <w:rPr>
          <w:rFonts w:hint="eastAsia" w:ascii="宋体" w:hAnsi="宋体" w:eastAsia="宋体" w:cs="宋体"/>
          <w:sz w:val="21"/>
          <w:szCs w:val="21"/>
          <w:lang w:val="en-US" w:eastAsia="zh-CN"/>
        </w:rPr>
        <w:t>2</w:t>
      </w:r>
      <w:r>
        <w:rPr>
          <w:rFonts w:hint="eastAsia" w:ascii="宋体" w:hAnsi="宋体" w:eastAsia="宋体" w:cs="宋体"/>
          <w:sz w:val="21"/>
          <w:szCs w:val="21"/>
        </w:rPr>
        <w:t>bit，保证影像更加清晰及细腻</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成像视野（直径×高）：要求</w:t>
      </w:r>
      <w:r>
        <w:rPr>
          <w:rFonts w:hint="eastAsia" w:ascii="宋体" w:hAnsi="宋体" w:eastAsia="宋体" w:cs="宋体"/>
          <w:sz w:val="21"/>
          <w:szCs w:val="21"/>
          <w:lang w:val="en-US" w:eastAsia="zh-CN"/>
        </w:rPr>
        <w:t>一次成像</w:t>
      </w:r>
      <w:r>
        <w:rPr>
          <w:rFonts w:hint="eastAsia" w:ascii="宋体" w:hAnsi="宋体" w:eastAsia="宋体" w:cs="宋体"/>
          <w:sz w:val="21"/>
          <w:szCs w:val="21"/>
        </w:rPr>
        <w:t>标准视野：≥Φ1</w:t>
      </w:r>
      <w:r>
        <w:rPr>
          <w:rFonts w:hint="eastAsia" w:ascii="宋体" w:hAnsi="宋体" w:eastAsia="宋体" w:cs="宋体"/>
          <w:sz w:val="21"/>
          <w:szCs w:val="21"/>
          <w:lang w:val="en-US"/>
        </w:rPr>
        <w:t>35</w:t>
      </w:r>
      <w:r>
        <w:rPr>
          <w:rFonts w:hint="eastAsia" w:ascii="宋体" w:hAnsi="宋体" w:eastAsia="宋体" w:cs="宋体"/>
          <w:sz w:val="21"/>
          <w:szCs w:val="21"/>
        </w:rPr>
        <w:t>×</w:t>
      </w:r>
      <w:r>
        <w:rPr>
          <w:rFonts w:hint="eastAsia" w:ascii="宋体" w:hAnsi="宋体" w:eastAsia="宋体" w:cs="宋体"/>
          <w:sz w:val="21"/>
          <w:szCs w:val="21"/>
          <w:lang w:val="en-US"/>
        </w:rPr>
        <w:t>80</w:t>
      </w:r>
      <w:r>
        <w:rPr>
          <w:rFonts w:hint="eastAsia" w:ascii="宋体" w:hAnsi="宋体" w:eastAsia="宋体" w:cs="宋体"/>
          <w:sz w:val="21"/>
          <w:szCs w:val="21"/>
        </w:rPr>
        <w:t>mm,最小视野≤Φ4</w:t>
      </w:r>
      <w:r>
        <w:rPr>
          <w:rFonts w:hint="eastAsia" w:ascii="宋体" w:hAnsi="宋体" w:eastAsia="宋体" w:cs="宋体"/>
          <w:sz w:val="21"/>
          <w:szCs w:val="21"/>
          <w:lang w:val="en-US" w:eastAsia="zh-CN"/>
        </w:rPr>
        <w:t>5</w:t>
      </w:r>
      <w:r>
        <w:rPr>
          <w:rFonts w:hint="eastAsia" w:ascii="宋体" w:hAnsi="宋体" w:eastAsia="宋体" w:cs="宋体"/>
          <w:sz w:val="21"/>
          <w:szCs w:val="21"/>
        </w:rPr>
        <w:t>×50mm；以针对不同诊断使用最小视野减少病人辐射剂量</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需配备三块独立的平板探测器，即3D,全景和头颅拍摄时分别用独立的探测器进行拍摄，</w:t>
      </w:r>
      <w:r>
        <w:rPr>
          <w:rFonts w:hint="eastAsia" w:ascii="宋体" w:hAnsi="宋体" w:eastAsia="宋体" w:cs="宋体"/>
          <w:sz w:val="21"/>
          <w:szCs w:val="21"/>
          <w:lang w:val="en-US" w:eastAsia="zh-CN"/>
        </w:rPr>
        <w:t>无需插拔，</w:t>
      </w:r>
      <w:r>
        <w:rPr>
          <w:rFonts w:hint="eastAsia" w:ascii="宋体" w:hAnsi="宋体" w:eastAsia="宋体" w:cs="宋体"/>
          <w:sz w:val="21"/>
          <w:szCs w:val="21"/>
        </w:rPr>
        <w:t>大大延长了各平板的使用寿命</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13、具备</w:t>
      </w:r>
      <w:r>
        <w:rPr>
          <w:rFonts w:hint="eastAsia" w:ascii="宋体" w:hAnsi="宋体" w:eastAsia="宋体" w:cs="宋体"/>
          <w:sz w:val="21"/>
          <w:szCs w:val="21"/>
          <w:lang w:val="fi-FI"/>
        </w:rPr>
        <w:t>标准全景程序</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14、具备</w:t>
      </w:r>
      <w:r>
        <w:rPr>
          <w:rFonts w:hint="eastAsia" w:ascii="宋体" w:hAnsi="宋体" w:eastAsia="宋体" w:cs="宋体"/>
          <w:sz w:val="21"/>
          <w:szCs w:val="21"/>
          <w:lang w:val="fi-FI"/>
        </w:rPr>
        <w:t>标准儿童全景程序</w:t>
      </w:r>
    </w:p>
    <w:p>
      <w:pPr>
        <w:numPr>
          <w:ilvl w:val="0"/>
          <w:numId w:val="0"/>
        </w:numPr>
        <w:spacing w:line="360" w:lineRule="auto"/>
        <w:ind w:leftChars="0"/>
        <w:jc w:val="left"/>
        <w:rPr>
          <w:rFonts w:hint="eastAsia" w:ascii="宋体" w:hAnsi="宋体" w:eastAsia="宋体" w:cs="宋体"/>
          <w:sz w:val="21"/>
          <w:szCs w:val="21"/>
          <w:lang w:val="fi-FI"/>
        </w:rPr>
      </w:pPr>
      <w:r>
        <w:rPr>
          <w:rFonts w:hint="eastAsia" w:ascii="宋体" w:hAnsi="宋体" w:eastAsia="宋体" w:cs="宋体"/>
          <w:sz w:val="21"/>
          <w:szCs w:val="21"/>
          <w:lang w:val="en-US" w:eastAsia="zh-CN"/>
        </w:rPr>
        <w:t>15、具备</w:t>
      </w:r>
      <w:r>
        <w:rPr>
          <w:rFonts w:hint="eastAsia" w:ascii="宋体" w:hAnsi="宋体" w:eastAsia="宋体" w:cs="宋体"/>
          <w:sz w:val="21"/>
          <w:szCs w:val="21"/>
          <w:lang w:val="fi-FI"/>
        </w:rPr>
        <w:t>改进正交性全景程序</w:t>
      </w:r>
    </w:p>
    <w:p>
      <w:pPr>
        <w:numPr>
          <w:ilvl w:val="0"/>
          <w:numId w:val="0"/>
        </w:numPr>
        <w:spacing w:line="360" w:lineRule="auto"/>
        <w:ind w:leftChars="0"/>
        <w:jc w:val="left"/>
        <w:rPr>
          <w:rFonts w:hint="eastAsia" w:ascii="宋体" w:hAnsi="宋体" w:eastAsia="宋体" w:cs="宋体"/>
          <w:sz w:val="21"/>
          <w:szCs w:val="21"/>
          <w:lang w:val="fi-FI"/>
        </w:rPr>
      </w:pPr>
      <w:r>
        <w:rPr>
          <w:rFonts w:hint="eastAsia" w:ascii="宋体" w:hAnsi="宋体" w:eastAsia="宋体" w:cs="宋体"/>
          <w:sz w:val="21"/>
          <w:szCs w:val="21"/>
          <w:lang w:val="en-US" w:eastAsia="zh-CN"/>
        </w:rPr>
        <w:t>16、具备</w:t>
      </w:r>
      <w:r>
        <w:rPr>
          <w:rFonts w:hint="eastAsia" w:ascii="宋体" w:hAnsi="宋体" w:eastAsia="宋体" w:cs="宋体"/>
          <w:sz w:val="21"/>
          <w:szCs w:val="21"/>
          <w:lang w:val="fi-FI"/>
        </w:rPr>
        <w:t>咬翼片</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17、具备</w:t>
      </w:r>
      <w:r>
        <w:rPr>
          <w:rFonts w:hint="eastAsia" w:ascii="宋体" w:hAnsi="宋体" w:eastAsia="宋体" w:cs="宋体"/>
          <w:sz w:val="21"/>
          <w:szCs w:val="21"/>
        </w:rPr>
        <w:t>颞颌关节</w:t>
      </w:r>
      <w:r>
        <w:rPr>
          <w:rFonts w:hint="eastAsia" w:ascii="宋体" w:hAnsi="宋体" w:eastAsia="宋体" w:cs="宋体"/>
          <w:sz w:val="21"/>
          <w:szCs w:val="21"/>
          <w:lang w:val="fi-FI"/>
        </w:rPr>
        <w:t>侧位程序</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18、具备</w:t>
      </w:r>
      <w:r>
        <w:rPr>
          <w:rFonts w:hint="eastAsia" w:ascii="宋体" w:hAnsi="宋体" w:eastAsia="宋体" w:cs="宋体"/>
          <w:sz w:val="21"/>
          <w:szCs w:val="21"/>
        </w:rPr>
        <w:t>颞颌关节正位程序</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19、具备</w:t>
      </w:r>
      <w:r>
        <w:rPr>
          <w:rFonts w:hint="eastAsia" w:ascii="宋体" w:hAnsi="宋体" w:eastAsia="宋体" w:cs="宋体"/>
          <w:sz w:val="21"/>
          <w:szCs w:val="21"/>
        </w:rPr>
        <w:t>颞颌关节正侧位程序</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20、具备</w:t>
      </w:r>
      <w:r>
        <w:rPr>
          <w:rFonts w:hint="eastAsia" w:ascii="宋体" w:hAnsi="宋体" w:eastAsia="宋体" w:cs="宋体"/>
          <w:sz w:val="21"/>
          <w:szCs w:val="21"/>
          <w:lang w:val="en-GB"/>
        </w:rPr>
        <w:t>上颌窦程序</w:t>
      </w:r>
    </w:p>
    <w:p>
      <w:pPr>
        <w:numPr>
          <w:ilvl w:val="0"/>
          <w:numId w:val="0"/>
        </w:numPr>
        <w:spacing w:line="360" w:lineRule="auto"/>
        <w:ind w:leftChars="0"/>
        <w:jc w:val="left"/>
        <w:rPr>
          <w:rFonts w:hint="eastAsia" w:ascii="宋体" w:hAnsi="宋体" w:eastAsia="宋体" w:cs="宋体"/>
          <w:sz w:val="21"/>
          <w:szCs w:val="21"/>
          <w:lang w:val="en-GB"/>
        </w:rPr>
      </w:pPr>
      <w:r>
        <w:rPr>
          <w:rFonts w:hint="eastAsia" w:ascii="宋体" w:hAnsi="宋体" w:eastAsia="宋体" w:cs="宋体"/>
          <w:sz w:val="21"/>
          <w:szCs w:val="21"/>
          <w:lang w:val="en-US" w:eastAsia="zh-CN"/>
        </w:rPr>
        <w:t>21、具备</w:t>
      </w:r>
      <w:r>
        <w:rPr>
          <w:rFonts w:hint="eastAsia" w:ascii="宋体" w:hAnsi="宋体" w:eastAsia="宋体" w:cs="宋体"/>
          <w:sz w:val="21"/>
          <w:szCs w:val="21"/>
          <w:lang w:val="en-GB"/>
        </w:rPr>
        <w:t>侧向上颌窦程序</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22、</w:t>
      </w:r>
      <w:r>
        <w:rPr>
          <w:rFonts w:hint="eastAsia" w:ascii="宋体" w:hAnsi="宋体" w:eastAsia="宋体" w:cs="宋体"/>
          <w:sz w:val="21"/>
          <w:szCs w:val="21"/>
        </w:rPr>
        <w:t>全景</w:t>
      </w:r>
      <w:bookmarkStart w:id="1" w:name="OLE_LINK1"/>
      <w:bookmarkStart w:id="2" w:name="OLE_LINK2"/>
      <w:r>
        <w:rPr>
          <w:rFonts w:hint="eastAsia" w:ascii="宋体" w:hAnsi="宋体" w:eastAsia="宋体" w:cs="宋体"/>
          <w:sz w:val="21"/>
          <w:szCs w:val="21"/>
        </w:rPr>
        <w:t>恒定放大倍数≤</w:t>
      </w:r>
      <w:bookmarkEnd w:id="1"/>
      <w:bookmarkEnd w:id="2"/>
      <w:r>
        <w:rPr>
          <w:rFonts w:hint="eastAsia" w:ascii="宋体" w:hAnsi="宋体" w:eastAsia="宋体" w:cs="宋体"/>
          <w:sz w:val="21"/>
          <w:szCs w:val="21"/>
        </w:rPr>
        <w:t>1.2</w:t>
      </w:r>
      <w:r>
        <w:rPr>
          <w:rFonts w:hint="eastAsia" w:ascii="宋体" w:hAnsi="宋体" w:eastAsia="宋体" w:cs="宋体"/>
          <w:sz w:val="21"/>
          <w:szCs w:val="21"/>
          <w:lang w:val="en-US" w:eastAsia="zh-CN"/>
        </w:rPr>
        <w:t>2</w:t>
      </w:r>
      <w:r>
        <w:rPr>
          <w:rFonts w:hint="eastAsia" w:ascii="宋体" w:hAnsi="宋体" w:eastAsia="宋体" w:cs="宋体"/>
          <w:sz w:val="21"/>
          <w:szCs w:val="21"/>
        </w:rPr>
        <w:t>；头颅定位恒定放大倍数≤1.1</w:t>
      </w:r>
      <w:r>
        <w:rPr>
          <w:rFonts w:hint="eastAsia" w:ascii="宋体" w:hAnsi="宋体" w:eastAsia="宋体" w:cs="宋体"/>
          <w:sz w:val="21"/>
          <w:szCs w:val="21"/>
          <w:lang w:val="en-US" w:eastAsia="zh-CN"/>
        </w:rPr>
        <w:t>5</w:t>
      </w:r>
    </w:p>
    <w:p>
      <w:pPr>
        <w:numPr>
          <w:ilvl w:val="0"/>
          <w:numId w:val="0"/>
        </w:numPr>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全景片可分九个区拍摄，并且任意选择曝光区域数量</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头颅定位成像功能种类：6+1种（即头影测量正位（后前/前后位）、侧位片、Submento头顶位、Water’s位、Towne’s位、掌骨片（正畸治疗前确定发育年龄））</w:t>
      </w:r>
      <w:r>
        <w:rPr>
          <w:rFonts w:hint="eastAsia" w:ascii="宋体" w:hAnsi="宋体" w:eastAsia="宋体" w:cs="宋体"/>
          <w:sz w:val="21"/>
          <w:szCs w:val="21"/>
          <w:lang w:eastAsia="zh-CN"/>
        </w:rPr>
        <w:t>。</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rPr>
        <w:t>头颅片拍摄有激光线定位</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rPr>
        <w:t>病人拍片时有语音提示功能</w:t>
      </w:r>
    </w:p>
    <w:p>
      <w:pPr>
        <w:numPr>
          <w:ilvl w:val="0"/>
          <w:numId w:val="0"/>
        </w:numPr>
        <w:spacing w:line="36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rPr>
        <w:t>曝光参数及拍摄程序调节集成在后处理软件</w:t>
      </w:r>
      <w:r>
        <w:rPr>
          <w:rFonts w:hint="eastAsia" w:ascii="宋体" w:hAnsi="宋体" w:eastAsia="宋体" w:cs="宋体"/>
          <w:sz w:val="21"/>
          <w:szCs w:val="21"/>
          <w:lang w:val="en-US" w:eastAsia="zh-CN"/>
        </w:rPr>
        <w:t>上在工作站屏幕上操作</w:t>
      </w:r>
      <w:r>
        <w:rPr>
          <w:rFonts w:hint="eastAsia" w:ascii="宋体" w:hAnsi="宋体" w:eastAsia="宋体" w:cs="宋体"/>
          <w:sz w:val="21"/>
          <w:szCs w:val="21"/>
        </w:rPr>
        <w:t>，且具备图形化定位提醒界面，方便操作者对病人进行摆位</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rPr>
        <w:t>软件兼容二维及三维影像：可连接并采集同品牌CT、全景机、牙片机、口腔内窥镜影像，实现二维及三维影像统一管理</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29、</w:t>
      </w:r>
      <w:r>
        <w:rPr>
          <w:rFonts w:hint="eastAsia" w:ascii="宋体" w:hAnsi="宋体" w:eastAsia="宋体" w:cs="宋体"/>
          <w:sz w:val="21"/>
          <w:szCs w:val="21"/>
        </w:rPr>
        <w:t>软件的基本三维处理：多平面重建，有标准的轴面、冠状面、矢状面视图，形成的三维影像有6种以上渲染方式可调，任意移动及旋转影像即时完成无需重新运算；有三维导航，结合旋转、缩放、透明化等功能</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30、</w:t>
      </w:r>
      <w:r>
        <w:rPr>
          <w:rFonts w:hint="eastAsia" w:ascii="宋体" w:hAnsi="宋体" w:eastAsia="宋体" w:cs="宋体"/>
          <w:sz w:val="21"/>
          <w:szCs w:val="21"/>
        </w:rPr>
        <w:t>具备重建全景模块：在三维影像中可重建曲面断层全景影像，曲面断层的位置、数量、厚度及间距均可调，符合科学的解剖结构成像，并且无伪影干扰诊断</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rPr>
        <w:t>具备序列纵断面重建：可任意选取纵断面的位置及数量，形成连续的纵断面影像，位置、数量、厚度及间距均可调</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具备种植计划模块</w:t>
      </w:r>
      <w:r>
        <w:rPr>
          <w:rFonts w:hint="eastAsia" w:ascii="宋体" w:hAnsi="宋体" w:eastAsia="宋体" w:cs="宋体"/>
          <w:sz w:val="21"/>
          <w:szCs w:val="21"/>
          <w:lang w:eastAsia="zh-CN"/>
        </w:rPr>
        <w:t>，</w:t>
      </w:r>
      <w:r>
        <w:rPr>
          <w:rFonts w:hint="eastAsia" w:ascii="宋体" w:hAnsi="宋体" w:eastAsia="宋体" w:cs="宋体"/>
          <w:sz w:val="21"/>
          <w:szCs w:val="21"/>
        </w:rPr>
        <w:t>同品牌种植计划模块，无须调用第三方软件，实时诊断分析提供种植体三维放置和神经管描绘工具，种植体库包含许多制造商的逼真种植体模型，极其有助于治疗计划，描绘工具可以清楚地标识下颌神经管。放置种植体后，可以进行种植体周围骨密度检测</w:t>
      </w:r>
    </w:p>
    <w:p>
      <w:pPr>
        <w:numPr>
          <w:ilvl w:val="0"/>
          <w:numId w:val="0"/>
        </w:numPr>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33、</w:t>
      </w:r>
      <w:r>
        <w:rPr>
          <w:rFonts w:hint="eastAsia" w:ascii="宋体" w:hAnsi="宋体" w:eastAsia="宋体" w:cs="宋体"/>
          <w:sz w:val="21"/>
          <w:szCs w:val="21"/>
        </w:rPr>
        <w:t>影像处理工具：二维影像编辑工具：图像移动、翻转、放大、对比度调节、亮度调节、画图标注；测量工具：距离、角度、骨密度测量、计算；三维影像显示： CT值调节、剖面影像</w:t>
      </w:r>
    </w:p>
    <w:p>
      <w:pPr>
        <w:numPr>
          <w:ilvl w:val="0"/>
          <w:numId w:val="0"/>
        </w:numPr>
        <w:spacing w:line="36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r>
        <w:rPr>
          <w:rFonts w:hint="eastAsia" w:ascii="宋体" w:hAnsi="宋体" w:eastAsia="宋体" w:cs="宋体"/>
          <w:sz w:val="21"/>
          <w:szCs w:val="21"/>
        </w:rPr>
        <w:t>具有影像数据输出功能：DICOM单个文件输出</w:t>
      </w:r>
      <w:r>
        <w:rPr>
          <w:rFonts w:hint="eastAsia" w:ascii="宋体" w:hAnsi="宋体" w:eastAsia="宋体" w:cs="宋体"/>
          <w:sz w:val="21"/>
          <w:szCs w:val="21"/>
          <w:lang w:eastAsia="zh-CN"/>
        </w:rPr>
        <w:t>，</w:t>
      </w:r>
      <w:r>
        <w:rPr>
          <w:rFonts w:hint="eastAsia" w:ascii="宋体" w:hAnsi="宋体" w:eastAsia="宋体" w:cs="宋体"/>
          <w:sz w:val="21"/>
          <w:szCs w:val="21"/>
        </w:rPr>
        <w:t>打印编辑器，可任意排版并打印</w:t>
      </w:r>
      <w:r>
        <w:rPr>
          <w:rFonts w:hint="eastAsia" w:ascii="宋体" w:hAnsi="宋体" w:eastAsia="宋体" w:cs="宋体"/>
          <w:sz w:val="21"/>
          <w:szCs w:val="21"/>
          <w:lang w:eastAsia="zh-CN"/>
        </w:rPr>
        <w:t>，</w:t>
      </w:r>
      <w:r>
        <w:rPr>
          <w:rFonts w:hint="eastAsia" w:ascii="宋体" w:hAnsi="宋体" w:eastAsia="宋体" w:cs="宋体"/>
          <w:sz w:val="21"/>
          <w:szCs w:val="21"/>
        </w:rPr>
        <w:t>全功能浏览器输出功能，可在任意电脑浏览三维影像</w:t>
      </w:r>
      <w:r>
        <w:rPr>
          <w:rFonts w:hint="eastAsia" w:ascii="宋体" w:hAnsi="宋体" w:eastAsia="宋体" w:cs="宋体"/>
          <w:sz w:val="21"/>
          <w:szCs w:val="21"/>
          <w:lang w:eastAsia="zh-CN"/>
        </w:rPr>
        <w:t>，</w:t>
      </w:r>
      <w:r>
        <w:rPr>
          <w:rFonts w:hint="eastAsia" w:ascii="宋体" w:hAnsi="宋体" w:eastAsia="宋体" w:cs="宋体"/>
          <w:sz w:val="21"/>
          <w:szCs w:val="21"/>
        </w:rPr>
        <w:t>直接刻录CD光盘，无需调用其他程序</w:t>
      </w:r>
    </w:p>
    <w:p>
      <w:pPr>
        <w:numPr>
          <w:ilvl w:val="0"/>
          <w:numId w:val="0"/>
        </w:numPr>
        <w:spacing w:line="360" w:lineRule="auto"/>
        <w:ind w:leftChars="0"/>
        <w:jc w:val="left"/>
        <w:rPr>
          <w:rFonts w:hint="default" w:ascii="宋体" w:hAnsi="宋体" w:eastAsia="宋体" w:cs="宋体"/>
          <w:b/>
          <w:sz w:val="21"/>
          <w:szCs w:val="21"/>
          <w:lang w:val="en-US" w:eastAsia="zh-CN"/>
        </w:rPr>
      </w:pPr>
      <w:r>
        <w:rPr>
          <w:rFonts w:hint="eastAsia" w:ascii="宋体" w:hAnsi="宋体" w:eastAsia="宋体" w:cs="宋体"/>
          <w:sz w:val="21"/>
          <w:szCs w:val="21"/>
          <w:lang w:val="en-US" w:eastAsia="zh-CN"/>
        </w:rPr>
        <w:t>备注：加*项需提供相应的证明资料。</w:t>
      </w:r>
    </w:p>
    <w:p>
      <w:pPr>
        <w:pStyle w:val="29"/>
        <w:spacing w:line="360" w:lineRule="auto"/>
        <w:ind w:firstLine="337" w:firstLineChars="140"/>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spacing w:line="360" w:lineRule="auto"/>
        <w:ind w:firstLine="420" w:firstLineChars="200"/>
        <w:contextualSpacing/>
        <w:rPr>
          <w:rFonts w:cs="仿宋_GB2312" w:asciiTheme="minorEastAsia" w:hAnsiTheme="minorEastAsia"/>
          <w:b/>
          <w:bCs/>
          <w:szCs w:val="21"/>
          <w:lang w:val="zh-CN"/>
        </w:rPr>
      </w:pPr>
      <w:r>
        <w:rPr>
          <w:rFonts w:hint="eastAsia" w:cs="仿宋_GB2312" w:asciiTheme="minorEastAsia" w:hAnsiTheme="minorEastAsia"/>
          <w:szCs w:val="21"/>
        </w:rPr>
        <w:t>1</w:t>
      </w:r>
      <w:r>
        <w:rPr>
          <w:rFonts w:hint="eastAsia" w:cs="仿宋_GB2312" w:asciiTheme="minorEastAsia" w:hAnsiTheme="minorEastAsia"/>
          <w:szCs w:val="21"/>
          <w:lang w:val="zh-CN"/>
        </w:rPr>
        <w:t>、投标人应就本项目完整投标，报价含税费等综合费用，</w:t>
      </w:r>
      <w:r>
        <w:rPr>
          <w:rFonts w:hint="eastAsia" w:cs="仿宋_GB2312" w:asciiTheme="minorEastAsia" w:hAnsiTheme="minorEastAsia"/>
          <w:b/>
          <w:bCs/>
          <w:szCs w:val="21"/>
          <w:lang w:val="zh-CN"/>
        </w:rPr>
        <w:t>否则为无效投标;</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2</w:t>
      </w:r>
      <w:r>
        <w:rPr>
          <w:rFonts w:hint="eastAsia" w:cs="仿宋_GB2312" w:asciiTheme="minorEastAsia" w:hAnsiTheme="minorEastAsia"/>
          <w:szCs w:val="21"/>
          <w:lang w:val="zh-CN"/>
        </w:rPr>
        <w:t>、所投产品必须符合招标文件规定标准的全新正品现货，</w:t>
      </w:r>
      <w:r>
        <w:rPr>
          <w:rFonts w:hint="eastAsia" w:cs="仿宋_GB2312" w:asciiTheme="minorEastAsia" w:hAnsiTheme="minorEastAsia"/>
          <w:b/>
          <w:bCs/>
          <w:szCs w:val="21"/>
          <w:lang w:val="zh-CN"/>
        </w:rPr>
        <w:t>否则为无效投标;</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3</w:t>
      </w:r>
      <w:r>
        <w:rPr>
          <w:rFonts w:hint="eastAsia" w:cs="仿宋_GB2312" w:asciiTheme="minorEastAsia" w:hAnsiTheme="minorEastAsia"/>
          <w:szCs w:val="21"/>
          <w:lang w:val="zh-CN"/>
        </w:rPr>
        <w:t>、投标文件中须有详细的实施（技术）方案，</w:t>
      </w:r>
      <w:r>
        <w:rPr>
          <w:rFonts w:hint="eastAsia" w:cs="仿宋_GB2312" w:asciiTheme="minorEastAsia" w:hAnsiTheme="minorEastAsia"/>
          <w:b/>
          <w:bCs/>
          <w:szCs w:val="21"/>
          <w:lang w:val="zh-CN"/>
        </w:rPr>
        <w:t>否则为无效投标。</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4</w:t>
      </w:r>
      <w:r>
        <w:rPr>
          <w:rFonts w:hint="eastAsia" w:cs="仿宋_GB2312" w:asciiTheme="minorEastAsia" w:hAnsiTheme="minorEastAsia"/>
          <w:szCs w:val="21"/>
          <w:lang w:val="zh-CN"/>
        </w:rPr>
        <w:t>、免费培训医师、技师、操作及维修人员，免费负责设备的安装及调试，公司信誉度高，具有完善的售后服务，设备出现故障, 接到通知后48小时内工程人员应到达现场，提供设备使用说明书和维修指导说明书，设备交付正常使用前所发生的所有费用均由公司承担，保修期：全部设备保修期≥2年。</w:t>
      </w:r>
    </w:p>
    <w:p>
      <w:pPr>
        <w:wordWrap w:val="0"/>
        <w:spacing w:line="360" w:lineRule="auto"/>
        <w:ind w:firstLine="420" w:firstLineChars="200"/>
        <w:contextualSpacing/>
        <w:rPr>
          <w:rFonts w:asciiTheme="minorEastAsia" w:hAnsiTheme="minorEastAsia"/>
          <w:color w:val="000000"/>
          <w:szCs w:val="21"/>
        </w:rPr>
      </w:pPr>
      <w:r>
        <w:rPr>
          <w:rFonts w:hint="eastAsia" w:cs="仿宋_GB2312" w:asciiTheme="minorEastAsia" w:hAnsiTheme="minorEastAsia"/>
          <w:szCs w:val="21"/>
        </w:rPr>
        <w:t>5</w:t>
      </w:r>
      <w:r>
        <w:rPr>
          <w:rFonts w:hint="eastAsia" w:cs="仿宋_GB2312" w:asciiTheme="minorEastAsia" w:hAnsiTheme="minorEastAsia"/>
          <w:szCs w:val="21"/>
          <w:lang w:val="zh-CN"/>
        </w:rPr>
        <w:t>、中标人需按合同约定时间供货，逾期1天扣除合同额的5%，中标人须现场提供技术指导，直至配合完成整个项目的竣工验收等工作。</w:t>
      </w:r>
    </w:p>
    <w:p>
      <w:pPr>
        <w:pStyle w:val="29"/>
        <w:spacing w:line="360" w:lineRule="auto"/>
        <w:ind w:firstLine="337" w:firstLineChars="140"/>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w:t>
      </w:r>
      <w:r>
        <w:rPr>
          <w:rFonts w:hint="eastAsia" w:cs="宋体" w:asciiTheme="minorEastAsia" w:hAnsiTheme="minorEastAsia"/>
          <w:b/>
          <w:color w:val="000000"/>
          <w:kern w:val="0"/>
          <w:sz w:val="24"/>
          <w:szCs w:val="24"/>
          <w:lang w:val="en-US" w:eastAsia="zh-CN"/>
        </w:rPr>
        <w:t>四</w:t>
      </w:r>
      <w:r>
        <w:rPr>
          <w:rFonts w:hint="eastAsia" w:cs="宋体" w:asciiTheme="minorEastAsia" w:hAnsiTheme="minorEastAsia"/>
          <w:b/>
          <w:color w:val="000000"/>
          <w:kern w:val="0"/>
          <w:sz w:val="24"/>
          <w:szCs w:val="24"/>
          <w:lang w:val="zh-CN"/>
        </w:rPr>
        <w:t>）验收标准</w:t>
      </w:r>
    </w:p>
    <w:p>
      <w:pPr>
        <w:pStyle w:val="21"/>
        <w:widowControl/>
        <w:shd w:val="clear" w:color="auto" w:fill="FFFFFF"/>
        <w:spacing w:line="360" w:lineRule="auto"/>
        <w:ind w:firstLine="420"/>
        <w:contextualSpacing/>
        <w:jc w:val="left"/>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topLinePunct/>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1、按照采购标的相关国家标准规范验收；</w:t>
      </w:r>
    </w:p>
    <w:p>
      <w:pPr>
        <w:wordWrap w:val="0"/>
        <w:topLinePunct/>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2、按照谈判文件要求、投标文件响应和承诺验收。</w:t>
      </w:r>
    </w:p>
    <w:p>
      <w:pPr>
        <w:widowControl/>
        <w:shd w:val="clear" w:color="auto" w:fill="FFFFFF"/>
        <w:spacing w:line="360" w:lineRule="auto"/>
        <w:ind w:firstLine="422" w:firstLineChars="200"/>
        <w:contextualSpacing/>
        <w:jc w:val="left"/>
        <w:rPr>
          <w:rFonts w:asciiTheme="minorEastAsia" w:hAnsiTheme="minorEastAsia"/>
          <w:b/>
          <w:color w:val="000000"/>
          <w:szCs w:val="21"/>
        </w:rPr>
      </w:pPr>
      <w:r>
        <w:rPr>
          <w:rFonts w:hint="eastAsia" w:asciiTheme="minorEastAsia" w:hAnsiTheme="minorEastAsia"/>
          <w:b/>
          <w:color w:val="000000"/>
          <w:szCs w:val="21"/>
        </w:rPr>
        <w:t>七、资金支付</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1、支付方式：按照合同约定，经验收合格后申请支付。</w:t>
      </w:r>
    </w:p>
    <w:p>
      <w:pPr>
        <w:wordWrap w:val="0"/>
        <w:spacing w:line="360" w:lineRule="auto"/>
        <w:ind w:firstLine="420" w:firstLineChars="200"/>
        <w:contextualSpacing/>
        <w:rPr>
          <w:rFonts w:hint="eastAsia" w:cs="宋体" w:asciiTheme="majorEastAsia" w:hAnsiTheme="majorEastAsia" w:eastAsiaTheme="majorEastAsia"/>
          <w:b/>
          <w:kern w:val="0"/>
          <w:sz w:val="32"/>
          <w:szCs w:val="32"/>
        </w:rPr>
      </w:pPr>
      <w:r>
        <w:rPr>
          <w:rFonts w:hint="eastAsia" w:cs="仿宋_GB2312" w:asciiTheme="minorEastAsia" w:hAnsiTheme="minorEastAsia"/>
          <w:szCs w:val="21"/>
          <w:lang w:val="zh-CN"/>
        </w:rPr>
        <w:t>2、支付时间及条件：以签订合同为准。</w:t>
      </w: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color w:val="000000"/>
                <w:sz w:val="21"/>
                <w:szCs w:val="21"/>
                <w:shd w:val="clear" w:color="auto" w:fill="FFFFFF"/>
                <w:lang w:eastAsia="zh-CN"/>
              </w:rPr>
              <w:t>禹州市中心医院口腔CBCT医疗设备购置项目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采购编号：</w:t>
            </w:r>
            <w:r>
              <w:rPr>
                <w:rFonts w:hint="eastAsia" w:asciiTheme="minorEastAsia" w:hAnsiTheme="minorEastAsia" w:eastAsiaTheme="minorEastAsia" w:cstheme="minorEastAsia"/>
                <w:color w:val="000000"/>
                <w:sz w:val="21"/>
                <w:szCs w:val="21"/>
                <w:shd w:val="clear" w:color="auto" w:fill="FFFFFF"/>
              </w:rPr>
              <w:t>YZCG-</w:t>
            </w:r>
            <w:r>
              <w:rPr>
                <w:rFonts w:hint="eastAsia" w:ascii="宋体" w:hAnsi="宋体" w:eastAsia="宋体" w:cs="宋体"/>
                <w:szCs w:val="21"/>
                <w:shd w:val="clear" w:color="auto" w:fill="FFFFFF"/>
              </w:rPr>
              <w:t>DLT</w:t>
            </w:r>
            <w:r>
              <w:rPr>
                <w:rFonts w:hint="eastAsia" w:asciiTheme="minorEastAsia" w:hAnsiTheme="minorEastAsia" w:eastAsiaTheme="minorEastAsia" w:cstheme="minorEastAsia"/>
                <w:color w:val="000000"/>
                <w:sz w:val="21"/>
                <w:szCs w:val="21"/>
                <w:shd w:val="clear" w:color="auto" w:fill="FFFFFF"/>
              </w:rPr>
              <w:t>20220</w:t>
            </w:r>
            <w:r>
              <w:rPr>
                <w:rFonts w:hint="eastAsia" w:asciiTheme="minorEastAsia" w:hAnsiTheme="minorEastAsia" w:cstheme="minorEastAsia"/>
                <w:color w:val="000000"/>
                <w:sz w:val="21"/>
                <w:szCs w:val="21"/>
                <w:shd w:val="clear" w:color="auto" w:fill="FFFFFF"/>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pacing w:line="360" w:lineRule="auto"/>
              <w:jc w:val="left"/>
              <w:rPr>
                <w:rFonts w:cs="仿宋_GB2312" w:asciiTheme="minorEastAsia" w:hAnsiTheme="minorEastAsia"/>
                <w:szCs w:val="21"/>
              </w:rPr>
            </w:pPr>
            <w:r>
              <w:rPr>
                <w:rFonts w:hint="eastAsia" w:cs="仿宋_GB2312" w:asciiTheme="minorEastAsia" w:hAnsiTheme="minorEastAsia"/>
                <w:szCs w:val="21"/>
              </w:rPr>
              <w:t>采购单位：禹州市中心医院</w:t>
            </w:r>
          </w:p>
          <w:p>
            <w:pPr>
              <w:widowControl/>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地址：禹州市禹王大道东段</w:t>
            </w:r>
          </w:p>
          <w:p>
            <w:pPr>
              <w:widowControl/>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 xml:space="preserve">联系人：刘女士        联系电话：15290919777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代理机构：中鼎万联建设项目管理有限公司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联系人：肖先生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联系电话：13782206888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0000FF"/>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w:t>
            </w:r>
            <w:r>
              <w:rPr>
                <w:rFonts w:hint="eastAsia"/>
                <w:lang w:val="en-US" w:eastAsia="zh-CN"/>
              </w:rPr>
              <w:t>2021年度</w:t>
            </w:r>
            <w:r>
              <w:rPr>
                <w:rFonts w:hint="eastAsia"/>
              </w:rPr>
              <w:t>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w:t>
            </w:r>
            <w:r>
              <w:rPr>
                <w:rFonts w:hint="eastAsia"/>
                <w:lang w:val="en-US" w:eastAsia="zh-CN"/>
              </w:rPr>
              <w:t>2021年度</w:t>
            </w:r>
            <w:r>
              <w:rPr>
                <w:rFonts w:hint="eastAsia"/>
              </w:rPr>
              <w:t>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w:t>
            </w:r>
            <w:r>
              <w:rPr>
                <w:rFonts w:hint="eastAsia" w:asciiTheme="majorEastAsia" w:hAnsiTheme="majorEastAsia" w:eastAsiaTheme="majorEastAsia" w:cstheme="majorEastAsia"/>
                <w:color w:val="auto"/>
                <w:szCs w:val="21"/>
              </w:rPr>
              <w:t>税收违法</w:t>
            </w:r>
            <w:r>
              <w:rPr>
                <w:rFonts w:hint="eastAsia" w:asciiTheme="majorEastAsia" w:hAnsiTheme="majorEastAsia" w:eastAsiaTheme="majorEastAsia" w:cstheme="majorEastAsia"/>
                <w:color w:val="auto"/>
                <w:szCs w:val="21"/>
                <w:lang w:eastAsia="zh-CN"/>
              </w:rPr>
              <w:t>黑</w:t>
            </w:r>
            <w:r>
              <w:rPr>
                <w:rFonts w:hint="eastAsia" w:asciiTheme="majorEastAsia" w:hAnsiTheme="majorEastAsia" w:eastAsiaTheme="majorEastAsia" w:cstheme="majorEastAsia"/>
                <w:color w:val="auto"/>
                <w:szCs w:val="21"/>
              </w:rPr>
              <w:t>名单</w:t>
            </w:r>
            <w:r>
              <w:t>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w:t>
            </w:r>
            <w:r>
              <w:rPr>
                <w:rFonts w:hint="eastAsia"/>
                <w:lang w:eastAsia="zh-CN"/>
              </w:rPr>
              <w:t>政务</w:t>
            </w:r>
            <w:r>
              <w:rPr>
                <w:rFonts w:hint="eastAsia"/>
              </w:rPr>
              <w:t>服务平台”网站（chinanpo.mca.gov.cn）严重违法失信社会组织名单的供应商（联合体形式投标的，联合体成员存在不良信用记录，视同联合体存在不良信用记录）。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w:t>
            </w:r>
            <w:r>
              <w:rPr>
                <w:rFonts w:hint="eastAsia"/>
                <w:lang w:eastAsia="zh-CN"/>
              </w:rPr>
              <w:t>政务</w:t>
            </w:r>
            <w:r>
              <w:rPr>
                <w:rFonts w:hint="eastAsia"/>
              </w:rPr>
              <w:t>服务平台”网站（chinanpo.mca.gov.cn）（仅查询社会组织）；</w:t>
            </w:r>
          </w:p>
          <w:p>
            <w:pPr>
              <w:spacing w:line="360" w:lineRule="auto"/>
              <w:rPr>
                <w:rFonts w:hint="eastAsia"/>
              </w:rPr>
            </w:pPr>
            <w:r>
              <w:rPr>
                <w:rFonts w:hint="eastAsia"/>
              </w:rPr>
              <w:t>2、截止时间：同投标截止时间；</w:t>
            </w:r>
          </w:p>
          <w:p>
            <w:pPr>
              <w:spacing w:line="360" w:lineRule="auto"/>
              <w:rPr>
                <w:rFonts w:hint="eastAsia"/>
              </w:rPr>
            </w:pPr>
            <w:r>
              <w:rPr>
                <w:rFonts w:hint="eastAsia"/>
                <w:lang w:val="en-US" w:eastAsia="zh-CN"/>
              </w:rPr>
              <w:t>3</w:t>
            </w:r>
            <w:r>
              <w:rPr>
                <w:rFonts w:hint="eastAsia"/>
              </w:rPr>
              <w:t>、信用信息的使用原则：经评标委员会认定的被列入失信被执行人、</w:t>
            </w:r>
            <w:r>
              <w:rPr>
                <w:rFonts w:hint="eastAsia" w:asciiTheme="majorEastAsia" w:hAnsiTheme="majorEastAsia" w:eastAsiaTheme="majorEastAsia" w:cstheme="majorEastAsia"/>
                <w:color w:val="auto"/>
                <w:szCs w:val="21"/>
              </w:rPr>
              <w:t>税收违法</w:t>
            </w:r>
            <w:r>
              <w:rPr>
                <w:rFonts w:hint="eastAsia" w:asciiTheme="majorEastAsia" w:hAnsiTheme="majorEastAsia" w:eastAsiaTheme="majorEastAsia" w:cstheme="majorEastAsia"/>
                <w:color w:val="auto"/>
                <w:szCs w:val="21"/>
                <w:lang w:eastAsia="zh-CN"/>
              </w:rPr>
              <w:t>黑</w:t>
            </w:r>
            <w:r>
              <w:rPr>
                <w:rFonts w:hint="eastAsia" w:asciiTheme="majorEastAsia" w:hAnsiTheme="majorEastAsia" w:eastAsiaTheme="majorEastAsia" w:cstheme="majorEastAsia"/>
                <w:color w:val="auto"/>
                <w:szCs w:val="21"/>
              </w:rPr>
              <w:t>名单</w:t>
            </w:r>
            <w:r>
              <w:rPr>
                <w:rFonts w:hint="eastAsia"/>
              </w:rPr>
              <w:t>、政府采购严重违法失信行为记录名单、严重违法失信社会组织名单的供应商，将拒绝其参与本次政府采购活动。</w:t>
            </w:r>
          </w:p>
          <w:p>
            <w:pPr>
              <w:spacing w:line="364" w:lineRule="auto"/>
              <w:ind w:right="43" w:rightChars="0" w:firstLine="422" w:firstLineChars="200"/>
              <w:rPr>
                <w:rFonts w:hint="default" w:eastAsiaTheme="minorEastAsia"/>
                <w:color w:val="0000FF"/>
                <w:lang w:val="en-US" w:eastAsia="zh-CN"/>
              </w:rPr>
            </w:pPr>
            <w:r>
              <w:rPr>
                <w:rFonts w:hint="eastAsia"/>
                <w:b/>
                <w:bCs/>
                <w:color w:val="FF0000"/>
                <w:lang w:val="en-US" w:eastAsia="zh-CN"/>
              </w:rPr>
              <w:t>注：第二至七项可用信用承诺书代替（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szCs w:val="21"/>
              </w:rPr>
              <w:t>本项目</w:t>
            </w: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hint="eastAsia" w:cs="仿宋_GB2312" w:asciiTheme="minorEastAsia" w:hAnsiTheme="minorEastAsia"/>
                <w:b/>
                <w:bCs/>
                <w:szCs w:val="21"/>
                <w:lang w:val="en-US" w:eastAsia="zh-CN"/>
              </w:rPr>
              <w:t>500000.00</w:t>
            </w:r>
            <w:r>
              <w:rPr>
                <w:rFonts w:hint="eastAsia" w:cs="仿宋_GB2312" w:asciiTheme="minorEastAsia" w:hAnsiTheme="minorEastAsia"/>
                <w:b/>
                <w:bCs/>
                <w:szCs w:val="21"/>
              </w:rPr>
              <w:t>元</w:t>
            </w:r>
            <w:r>
              <w:rPr>
                <w:rFonts w:hint="eastAsia" w:cs="仿宋_GB2312" w:asciiTheme="minorEastAsia" w:hAnsiTheme="minorEastAsia"/>
                <w:szCs w:val="21"/>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不组织</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不召开</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90天（自提交谈判响应文件的截止之日起算）</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成交供应商谈判</w:t>
            </w:r>
            <w:r>
              <w:rPr>
                <w:rFonts w:cs="仿宋_GB2312" w:asciiTheme="minorEastAsia" w:hAnsiTheme="minorEastAsia"/>
                <w:szCs w:val="21"/>
              </w:rPr>
              <w:t>有效期延</w:t>
            </w:r>
            <w:r>
              <w:rPr>
                <w:rFonts w:hint="eastAsia" w:cs="仿宋_GB2312" w:asciiTheme="minorEastAsia" w:hAnsiTheme="minorEastAsia"/>
                <w:szCs w:val="21"/>
              </w:rPr>
              <w:t>至合同</w:t>
            </w:r>
            <w:r>
              <w:rPr>
                <w:rFonts w:cs="仿宋_GB2312" w:asciiTheme="minorEastAsia" w:hAnsiTheme="minorEastAsia"/>
                <w:szCs w:val="21"/>
              </w:rPr>
              <w:t>验收之日</w:t>
            </w:r>
            <w:r>
              <w:rPr>
                <w:rFonts w:hint="eastAsia" w:cs="仿宋_GB2312" w:asciiTheme="minorEastAsia" w:hAnsiTheme="minorEastAsia"/>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szCs w:val="21"/>
              </w:rPr>
            </w:pPr>
            <w:r>
              <w:rPr>
                <w:rFonts w:hint="eastAsia" w:cs="仿宋_GB2312" w:asciiTheme="minorEastAsia" w:hAnsiTheme="minorEastAsia"/>
                <w:szCs w:val="21"/>
              </w:rPr>
              <w:t>2022年7月</w:t>
            </w:r>
            <w:r>
              <w:rPr>
                <w:rFonts w:hint="eastAsia" w:cs="仿宋_GB2312" w:asciiTheme="minorEastAsia" w:hAnsiTheme="minorEastAsia"/>
                <w:szCs w:val="21"/>
                <w:lang w:val="en-US" w:eastAsia="zh-CN"/>
              </w:rPr>
              <w:t>27</w:t>
            </w:r>
            <w:r>
              <w:rPr>
                <w:rFonts w:hint="eastAsia" w:cs="仿宋_GB2312" w:asciiTheme="minorEastAsia" w:hAnsiTheme="minorEastAsia"/>
                <w:szCs w:val="21"/>
              </w:rPr>
              <w:t>日8：30（北京时间）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ascii="宋体" w:hAnsi="宋体" w:eastAsia="宋体" w:cs="宋体"/>
                <w:bCs/>
                <w:szCs w:val="21"/>
              </w:rPr>
            </w:pPr>
            <w:r>
              <w:rPr>
                <w:rFonts w:hint="eastAsia" w:ascii="宋体" w:hAnsi="宋体" w:eastAsia="宋体" w:cs="宋体"/>
                <w:bCs/>
                <w:szCs w:val="21"/>
                <w:lang w:val="zh-CN"/>
              </w:rPr>
              <w:t>电子响应文件递交地点</w:t>
            </w:r>
            <w:r>
              <w:rPr>
                <w:rFonts w:hint="eastAsia" w:ascii="宋体" w:hAnsi="宋体" w:eastAsia="宋体" w:cs="宋体"/>
                <w:bCs/>
                <w:szCs w:val="21"/>
              </w:rPr>
              <w:t>：</w:t>
            </w:r>
            <w:r>
              <w:rPr>
                <w:rFonts w:hint="eastAsia" w:ascii="宋体" w:hAnsi="宋体" w:eastAsia="宋体" w:cs="宋体"/>
                <w:bCs/>
                <w:szCs w:val="21"/>
                <w:lang w:val="zh-CN"/>
              </w:rPr>
              <w:t>电子响应文件应按规定在响应截止时间</w:t>
            </w:r>
            <w:r>
              <w:rPr>
                <w:rFonts w:hint="eastAsia" w:ascii="宋体" w:hAnsi="宋体" w:eastAsia="宋体" w:cs="宋体"/>
                <w:bCs/>
                <w:szCs w:val="21"/>
              </w:rPr>
              <w:t>（</w:t>
            </w:r>
            <w:r>
              <w:rPr>
                <w:rFonts w:hint="eastAsia" w:ascii="宋体" w:hAnsi="宋体" w:eastAsia="宋体" w:cs="宋体"/>
                <w:bCs/>
                <w:szCs w:val="21"/>
                <w:lang w:val="zh-CN"/>
              </w:rPr>
              <w:t>开标时间</w:t>
            </w:r>
            <w:r>
              <w:rPr>
                <w:rFonts w:hint="eastAsia" w:ascii="宋体" w:hAnsi="宋体" w:eastAsia="宋体" w:cs="宋体"/>
                <w:bCs/>
                <w:szCs w:val="21"/>
              </w:rPr>
              <w:t>）</w:t>
            </w:r>
            <w:r>
              <w:rPr>
                <w:rFonts w:hint="eastAsia" w:ascii="宋体" w:hAnsi="宋体" w:eastAsia="宋体" w:cs="宋体"/>
                <w:bCs/>
                <w:szCs w:val="21"/>
                <w:lang w:val="zh-CN"/>
              </w:rPr>
              <w:t>之前成功提交至【全国公共资源交易平台</w:t>
            </w:r>
            <w:r>
              <w:rPr>
                <w:rFonts w:ascii="宋体" w:hAnsi="宋体" w:eastAsia="宋体" w:cs="宋体"/>
                <w:bCs/>
                <w:szCs w:val="21"/>
              </w:rPr>
              <w:t>(</w:t>
            </w:r>
            <w:r>
              <w:rPr>
                <w:rFonts w:hint="eastAsia" w:ascii="宋体" w:hAnsi="宋体" w:eastAsia="宋体" w:cs="宋体"/>
                <w:bCs/>
                <w:szCs w:val="21"/>
                <w:lang w:val="zh-CN"/>
              </w:rPr>
              <w:t>河南省</w:t>
            </w:r>
            <w:r>
              <w:rPr>
                <w:rFonts w:ascii="Segoe UI Emoji" w:hAnsi="Segoe UI Emoji" w:eastAsia="宋体" w:cs="Segoe UI Emoji"/>
                <w:bCs/>
                <w:szCs w:val="21"/>
              </w:rPr>
              <w:t>▪</w:t>
            </w:r>
            <w:r>
              <w:rPr>
                <w:rFonts w:hint="eastAsia" w:ascii="宋体" w:hAnsi="宋体" w:eastAsia="宋体" w:cs="宋体"/>
                <w:bCs/>
                <w:szCs w:val="21"/>
                <w:lang w:val="zh-CN"/>
              </w:rPr>
              <w:t>许昌市</w:t>
            </w:r>
            <w:r>
              <w:rPr>
                <w:rFonts w:ascii="宋体" w:hAnsi="宋体" w:eastAsia="宋体" w:cs="宋体"/>
                <w:bCs/>
                <w:szCs w:val="21"/>
              </w:rPr>
              <w:t>)</w:t>
            </w:r>
            <w:r>
              <w:rPr>
                <w:rFonts w:hint="eastAsia" w:ascii="宋体" w:hAnsi="宋体" w:eastAsia="宋体" w:cs="宋体"/>
                <w:bCs/>
                <w:szCs w:val="21"/>
                <w:lang w:val="zh-CN"/>
              </w:rPr>
              <w:t>】公共资源交易系统</w:t>
            </w:r>
            <w:r>
              <w:rPr>
                <w:rFonts w:hint="eastAsia" w:ascii="宋体" w:hAnsi="宋体" w:eastAsia="宋体" w:cs="宋体"/>
                <w:bCs/>
                <w:szCs w:val="21"/>
              </w:rPr>
              <w:t>（</w:t>
            </w:r>
            <w:r>
              <w:rPr>
                <w:rFonts w:ascii="宋体" w:hAnsi="宋体" w:eastAsia="宋体" w:cs="宋体"/>
                <w:bCs/>
                <w:szCs w:val="21"/>
              </w:rPr>
              <w:t>http://221.14.6.70:8088/ggzy/</w:t>
            </w:r>
            <w:r>
              <w:rPr>
                <w:rFonts w:hint="eastAsia" w:ascii="宋体" w:hAnsi="宋体" w:eastAsia="宋体" w:cs="宋体"/>
                <w:bCs/>
                <w:szCs w:val="21"/>
              </w:rPr>
              <w:t>）</w:t>
            </w:r>
            <w:r>
              <w:rPr>
                <w:rFonts w:hint="eastAsia" w:ascii="宋体" w:hAnsi="宋体" w:eastAsia="宋体" w:cs="宋体"/>
                <w:bCs/>
                <w:szCs w:val="21"/>
                <w:lang w:val="zh-CN"/>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评标地点：</w:t>
            </w:r>
            <w:r>
              <w:rPr>
                <w:rFonts w:hint="eastAsia" w:cs="仿宋_GB2312" w:asciiTheme="minorEastAsia" w:hAnsiTheme="minorEastAsia"/>
                <w:szCs w:val="21"/>
              </w:rPr>
              <w:t>禹州市公共资源交易中心开标二室（地址：禹州市行政服务中心楼九楼）（本项目采用远程不见面谈判，供应商无须到达现场）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本项目不收取。</w:t>
            </w:r>
          </w:p>
          <w:p>
            <w:pPr>
              <w:tabs>
                <w:tab w:val="left" w:pos="1260"/>
              </w:tabs>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谈判响应截止时间3个工作日前（澄清内容可能影响谈判响应文件编制的）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□纸质响应文件：正本一份，副本一份。使用格式为“投标文件（供打印）.PDF”的文件</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电子响应文件：</w:t>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XXX公司XXX采购编号.file）。</w:t>
            </w:r>
          </w:p>
          <w:p>
            <w:pPr>
              <w:autoSpaceDE w:val="0"/>
              <w:autoSpaceDN w:val="0"/>
              <w:adjustRightInd w:val="0"/>
              <w:spacing w:line="420" w:lineRule="exact"/>
              <w:rPr>
                <w:rFonts w:cs="仿宋_GB2312" w:asciiTheme="minorEastAsia" w:hAnsiTheme="minorEastAsia"/>
                <w:szCs w:val="21"/>
              </w:rPr>
            </w:pPr>
            <w:r>
              <w:rPr>
                <w:rFonts w:hint="eastAsia" w:cs="仿宋_GB2312" w:asciiTheme="minorEastAsia" w:hAnsiTheme="minorEastAsia"/>
                <w:szCs w:val="21"/>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采购单位委派代表参加谈判小组的，须向</w:t>
            </w:r>
            <w:r>
              <w:rPr>
                <w:rFonts w:hint="eastAsia" w:cs="仿宋_GB2312" w:asciiTheme="minorEastAsia" w:hAnsiTheme="minorEastAsia"/>
                <w:szCs w:val="21"/>
                <w:lang w:eastAsia="zh-CN"/>
              </w:rPr>
              <w:t>代理机构</w:t>
            </w:r>
            <w:r>
              <w:rPr>
                <w:rFonts w:hint="eastAsia" w:cs="仿宋_GB2312" w:asciiTheme="minorEastAsia" w:hAnsiTheme="minorEastAsia"/>
                <w:szCs w:val="21"/>
              </w:rPr>
              <w:t>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cs="仿宋_GB2312" w:asciiTheme="minorEastAsia" w:hAnsiTheme="minorEastAsia"/>
                <w:szCs w:val="21"/>
              </w:rPr>
              <w:t>否则不得享受相关中小企业扶持政策。</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2、本次</w:t>
            </w:r>
            <w:r>
              <w:rPr>
                <w:rFonts w:cs="仿宋_GB2312" w:asciiTheme="minorEastAsia" w:hAnsiTheme="minorEastAsia"/>
                <w:szCs w:val="21"/>
              </w:rPr>
              <w:t>采购标的对应的中小企业划分标准所属行业</w:t>
            </w:r>
            <w:r>
              <w:rPr>
                <w:rFonts w:hint="eastAsia" w:cs="仿宋_GB2312" w:asciiTheme="minorEastAsia" w:hAnsiTheme="minorEastAsia"/>
                <w:szCs w:val="21"/>
              </w:rPr>
              <w:t>：</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360" w:lineRule="auto"/>
              <w:contextualSpacing/>
              <w:rPr>
                <w:rFonts w:cs="仿宋_GB2312" w:asciiTheme="minorEastAsia" w:hAnsiTheme="minorEastAsia"/>
                <w:szCs w:val="21"/>
              </w:rPr>
            </w:pPr>
            <w:r>
              <w:rPr>
                <w:rFonts w:hint="eastAsia" w:cs="仿宋_GB2312" w:asciiTheme="minorEastAsia" w:hAnsiTheme="minorEastAsia"/>
                <w:szCs w:val="21"/>
              </w:rPr>
              <w:t>4、</w:t>
            </w:r>
            <w:r>
              <w:rPr>
                <w:rFonts w:cs="仿宋_GB2312" w:asciiTheme="minorEastAsia" w:hAnsiTheme="minorEastAsia"/>
                <w:szCs w:val="21"/>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5、</w:t>
            </w:r>
            <w:r>
              <w:rPr>
                <w:rFonts w:cs="仿宋_GB2312" w:asciiTheme="minorEastAsia" w:hAnsiTheme="minorEastAsia"/>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cs="仿宋_GB2312" w:asciiTheme="minorEastAsia" w:hAnsiTheme="minorEastAsia"/>
                <w:szCs w:val="21"/>
              </w:rPr>
              <w:t>6</w:t>
            </w:r>
            <w:r>
              <w:rPr>
                <w:rFonts w:cs="仿宋_GB2312" w:asciiTheme="minorEastAsia" w:hAnsiTheme="minorEastAsia"/>
                <w:szCs w:val="21"/>
              </w:rPr>
              <w:t>%（</w:t>
            </w:r>
            <w:r>
              <w:rPr>
                <w:rFonts w:hint="eastAsia" w:cs="仿宋_GB2312" w:asciiTheme="minorEastAsia" w:hAnsiTheme="minorEastAsia"/>
                <w:szCs w:val="21"/>
              </w:rPr>
              <w:t>4</w:t>
            </w:r>
            <w:r>
              <w:rPr>
                <w:rFonts w:cs="仿宋_GB2312" w:asciiTheme="minorEastAsia" w:hAnsiTheme="minorEastAsia"/>
                <w:szCs w:val="21"/>
              </w:rPr>
              <w:t>—</w:t>
            </w:r>
            <w:r>
              <w:rPr>
                <w:rFonts w:hint="eastAsia" w:cs="仿宋_GB2312" w:asciiTheme="minorEastAsia" w:hAnsiTheme="minorEastAsia"/>
                <w:szCs w:val="21"/>
              </w:rPr>
              <w:t>6</w:t>
            </w:r>
            <w:r>
              <w:rPr>
                <w:rFonts w:cs="仿宋_GB2312" w:asciiTheme="minorEastAsia" w:hAnsiTheme="minorEastAsia"/>
                <w:szCs w:val="21"/>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 w:val="13"/>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w:t>
            </w:r>
            <w:r>
              <w:rPr>
                <w:rFonts w:hint="eastAsia" w:ascii="宋体" w:hAnsi="宋体" w:cs="宋体"/>
                <w:szCs w:val="21"/>
              </w:rPr>
              <w:t>招标代理服务费由中标人支付，招标代理服务费参考《国家计委〈计价格〔</w:t>
            </w:r>
            <w:r>
              <w:rPr>
                <w:rFonts w:ascii="宋体" w:hAnsi="宋体" w:cs="宋体"/>
                <w:szCs w:val="21"/>
              </w:rPr>
              <w:t>2002</w:t>
            </w:r>
            <w:r>
              <w:rPr>
                <w:rFonts w:hint="eastAsia" w:ascii="宋体" w:hAnsi="宋体" w:cs="宋体"/>
                <w:szCs w:val="21"/>
              </w:rPr>
              <w:t>〕</w:t>
            </w:r>
            <w:r>
              <w:rPr>
                <w:rFonts w:ascii="宋体" w:hAnsi="宋体" w:cs="宋体"/>
                <w:szCs w:val="21"/>
              </w:rPr>
              <w:t>1980</w:t>
            </w:r>
            <w:r>
              <w:rPr>
                <w:rFonts w:hint="eastAsia" w:ascii="宋体" w:hAnsi="宋体" w:cs="宋体"/>
                <w:szCs w:val="21"/>
              </w:rPr>
              <w:t>号〉》及《国家发展改革委办公厅〈发改办价格〔</w:t>
            </w:r>
            <w:r>
              <w:rPr>
                <w:rFonts w:ascii="宋体" w:hAnsi="宋体" w:cs="宋体"/>
                <w:szCs w:val="21"/>
              </w:rPr>
              <w:t>2003</w:t>
            </w:r>
            <w:r>
              <w:rPr>
                <w:rFonts w:hint="eastAsia" w:ascii="宋体" w:hAnsi="宋体" w:cs="宋体"/>
                <w:szCs w:val="21"/>
              </w:rPr>
              <w:t>〕</w:t>
            </w:r>
            <w:r>
              <w:rPr>
                <w:rFonts w:ascii="宋体" w:hAnsi="宋体" w:cs="宋体"/>
                <w:szCs w:val="21"/>
              </w:rPr>
              <w:t>857</w:t>
            </w:r>
            <w:r>
              <w:rPr>
                <w:rFonts w:hint="eastAsia" w:ascii="宋体" w:hAnsi="宋体" w:cs="宋体"/>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color w:val="333333"/>
                <w:szCs w:val="21"/>
                <w:lang w:val="en-US" w:eastAsia="zh-CN"/>
              </w:rPr>
              <w:t>13782206888</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lang w:val="en-US" w:eastAsia="zh-CN"/>
              </w:rPr>
              <w:t>728053200@qq</w:t>
            </w:r>
            <w:r>
              <w:rPr>
                <w:rFonts w:hint="eastAsia" w:cs="宋体" w:asciiTheme="minorEastAsia" w:hAnsiTheme="minorEastAsia"/>
                <w:color w:val="333333"/>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r>
        <w:rPr>
          <w:rFonts w:hint="eastAsia" w:ascii="宋体" w:hAnsi="宋体"/>
          <w:szCs w:val="21"/>
        </w:rPr>
        <w:t>系指“供应商须知前附表”中所述的组织本次采购的</w:t>
      </w:r>
      <w:r>
        <w:rPr>
          <w:rFonts w:hint="eastAsia" w:ascii="宋体" w:hAnsi="宋体"/>
          <w:szCs w:val="21"/>
          <w:lang w:eastAsia="zh-CN"/>
        </w:rPr>
        <w:t>代理机构</w:t>
      </w:r>
      <w:r>
        <w:rPr>
          <w:rFonts w:hint="eastAsia" w:ascii="宋体" w:hAnsi="宋体"/>
          <w:szCs w:val="21"/>
        </w:rPr>
        <w:t>和采购人。</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val="en-US" w:eastAsia="zh-CN"/>
        </w:rPr>
        <w:t>采购</w:t>
      </w:r>
      <w:r>
        <w:rPr>
          <w:rFonts w:hint="eastAsia" w:ascii="宋体" w:hAnsi="宋体"/>
          <w:szCs w:val="21"/>
          <w:lang w:eastAsia="zh-CN"/>
        </w:rPr>
        <w:t>代理机构</w:t>
      </w:r>
      <w:r>
        <w:rPr>
          <w:rFonts w:hint="eastAsia" w:ascii="宋体" w:hAnsi="宋体"/>
          <w:szCs w:val="21"/>
        </w:rPr>
        <w:t>处按规定获取谈判文件，并按照谈判文件向采购人、</w:t>
      </w:r>
      <w:r>
        <w:rPr>
          <w:rFonts w:hint="eastAsia" w:ascii="宋体" w:hAnsi="宋体"/>
          <w:szCs w:val="21"/>
          <w:lang w:eastAsia="zh-CN"/>
        </w:rPr>
        <w:t>代理机构</w:t>
      </w:r>
      <w:r>
        <w:rPr>
          <w:rFonts w:hint="eastAsia" w:ascii="宋体" w:hAnsi="宋体"/>
          <w:szCs w:val="21"/>
        </w:rPr>
        <w:t>提交响应文件的供应商。</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8"/>
          <w:rFonts w:cs="宋体" w:asciiTheme="minorEastAsia" w:hAnsiTheme="minorEastAsia"/>
          <w:szCs w:val="21"/>
        </w:rPr>
        <w:t>www.chinanpo.gov.cn</w:t>
      </w:r>
      <w:r>
        <w:rPr>
          <w:rStyle w:val="28"/>
          <w:rFonts w:cs="宋体" w:asciiTheme="minorEastAsia" w:hAnsiTheme="minorEastAsia"/>
          <w:szCs w:val="21"/>
        </w:rPr>
        <w:fldChar w:fldCharType="end"/>
      </w:r>
      <w:r>
        <w:rPr>
          <w:rFonts w:hint="eastAsia" w:cs="宋体" w:asciiTheme="minorEastAsia" w:hAnsiTheme="minorEastAsia"/>
          <w:kern w:val="0"/>
          <w:szCs w:val="21"/>
        </w:rPr>
        <w:t>）；</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采购人</w:t>
      </w:r>
      <w:r>
        <w:rPr>
          <w:rFonts w:hint="eastAsia" w:cs="宋体" w:asciiTheme="minorEastAsia" w:hAnsiTheme="minorEastAsia"/>
          <w:kern w:val="0"/>
          <w:szCs w:val="21"/>
        </w:rPr>
        <w:t>根据采购项目的特殊要求规定供应商特定条件的，联合体各方中至少应当有一方符合采购规定的特定条件；</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3" w:name="baidusnap0"/>
      <w:bookmarkEnd w:id="3"/>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contextualSpacing/>
        <w:rPr>
          <w:rFonts w:cs="宋体" w:asciiTheme="minorEastAsia" w:hAnsiTheme="minorEastAsia"/>
          <w:kern w:val="0"/>
          <w:szCs w:val="21"/>
        </w:rPr>
      </w:pPr>
      <w:r>
        <w:rPr>
          <w:rFonts w:hint="eastAsia" w:ascii="宋体" w:hAnsi="宋体" w:cs="宋体"/>
          <w:szCs w:val="21"/>
        </w:rPr>
        <w:t>招标代理服务费由中标人支付，招标代理服务费参考《国家计委〈计价格〔</w:t>
      </w:r>
      <w:r>
        <w:rPr>
          <w:rFonts w:ascii="宋体" w:hAnsi="宋体" w:cs="宋体"/>
          <w:szCs w:val="21"/>
        </w:rPr>
        <w:t>2002</w:t>
      </w:r>
      <w:r>
        <w:rPr>
          <w:rFonts w:hint="eastAsia" w:ascii="宋体" w:hAnsi="宋体" w:cs="宋体"/>
          <w:szCs w:val="21"/>
        </w:rPr>
        <w:t>〕</w:t>
      </w:r>
      <w:r>
        <w:rPr>
          <w:rFonts w:ascii="宋体" w:hAnsi="宋体" w:cs="宋体"/>
          <w:szCs w:val="21"/>
        </w:rPr>
        <w:t>1980</w:t>
      </w:r>
      <w:r>
        <w:rPr>
          <w:rFonts w:hint="eastAsia" w:ascii="宋体" w:hAnsi="宋体" w:cs="宋体"/>
          <w:szCs w:val="21"/>
        </w:rPr>
        <w:t>号〉》及《国家发展改革委办公厅〈发改办价格〔</w:t>
      </w:r>
      <w:r>
        <w:rPr>
          <w:rFonts w:ascii="宋体" w:hAnsi="宋体" w:cs="宋体"/>
          <w:szCs w:val="21"/>
        </w:rPr>
        <w:t>2003</w:t>
      </w:r>
      <w:r>
        <w:rPr>
          <w:rFonts w:hint="eastAsia" w:ascii="宋体" w:hAnsi="宋体" w:cs="宋体"/>
          <w:szCs w:val="21"/>
        </w:rPr>
        <w:t>〕</w:t>
      </w:r>
      <w:r>
        <w:rPr>
          <w:rFonts w:ascii="宋体" w:hAnsi="宋体" w:cs="宋体"/>
          <w:szCs w:val="21"/>
        </w:rPr>
        <w:t>857</w:t>
      </w:r>
      <w:r>
        <w:rPr>
          <w:rFonts w:hint="eastAsia" w:ascii="宋体" w:hAnsi="宋体" w:cs="宋体"/>
          <w:szCs w:val="21"/>
        </w:rPr>
        <w:t>号〉》之有关规定内容收取。</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微软雅黑"/>
          <w:color w:val="000000"/>
        </w:rPr>
        <w:t>将予以拒绝。</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解密：</w:t>
      </w:r>
      <w:r>
        <w:rPr>
          <w:rFonts w:hint="eastAsia" w:cs="宋体" w:asciiTheme="minorEastAsia" w:hAnsiTheme="minorEastAsia"/>
          <w:kern w:val="0"/>
          <w:szCs w:val="21"/>
          <w:lang w:eastAsia="zh-CN"/>
        </w:rPr>
        <w:t>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负责记录。</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w:t>
      </w:r>
      <w:r>
        <w:rPr>
          <w:rFonts w:hint="eastAsia" w:cs="宋体" w:asciiTheme="minorEastAsia" w:hAnsiTheme="minorEastAsia"/>
          <w:kern w:val="0"/>
          <w:szCs w:val="21"/>
          <w:lang w:val="en-US" w:eastAsia="zh-CN"/>
        </w:rPr>
        <w:t>采购</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相关工作人员有需要回避的情形的，应当场提出询问或者回避申请。采购人、采购代理机构对供应商提出的询问或者回避申请应当及时处理。</w:t>
      </w:r>
    </w:p>
    <w:p>
      <w:pPr>
        <w:pStyle w:val="49"/>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32"/>
        </w:numPr>
        <w:autoSpaceDE w:val="0"/>
        <w:autoSpaceDN w:val="0"/>
        <w:spacing w:line="360" w:lineRule="auto"/>
        <w:ind w:firstLineChars="0"/>
        <w:contextualSpacing/>
        <w:rPr>
          <w:rFonts w:ascii="ˎ̥" w:hAnsi="ˎ̥"/>
          <w:vanish/>
        </w:rPr>
      </w:pP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3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3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3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36"/>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发现评审专家与参加采购活动的供应商有利害关系的,应当要求其回避。</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40"/>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contextualSpacing/>
        <w:rPr>
          <w:rFonts w:hint="eastAsia" w:cs="宋体" w:asciiTheme="minorEastAsia" w:hAnsiTheme="minorEastAsia"/>
          <w:color w:val="FF0000"/>
          <w:kern w:val="0"/>
          <w:szCs w:val="21"/>
        </w:rPr>
      </w:pPr>
      <w:r>
        <w:rPr>
          <w:rFonts w:hint="eastAsia" w:cs="宋体" w:asciiTheme="minorEastAsia" w:hAnsiTheme="minorEastAsia"/>
          <w:color w:val="FF0000"/>
          <w:kern w:val="0"/>
          <w:szCs w:val="21"/>
        </w:rPr>
        <w:t xml:space="preserve"> 27.1.1      未按照谈判文件的规定提交《禹州市政府采购供应商信用承诺函》的；</w:t>
      </w: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2"/>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未按照谈判文件的规定提交谈判承诺函的；</w:t>
      </w:r>
    </w:p>
    <w:p>
      <w:pPr>
        <w:pStyle w:val="49"/>
        <w:numPr>
          <w:ilvl w:val="2"/>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响应文件未按谈判文件要求签署、盖章的；</w:t>
      </w:r>
    </w:p>
    <w:p>
      <w:pPr>
        <w:pStyle w:val="49"/>
        <w:numPr>
          <w:ilvl w:val="2"/>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不具备谈判文件中规定的资格要求的；</w:t>
      </w:r>
    </w:p>
    <w:p>
      <w:pPr>
        <w:pStyle w:val="49"/>
        <w:numPr>
          <w:ilvl w:val="2"/>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报价超过谈判文件中规定的预算金额的；</w:t>
      </w:r>
    </w:p>
    <w:p>
      <w:pPr>
        <w:pStyle w:val="49"/>
        <w:numPr>
          <w:ilvl w:val="2"/>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投标文件内容模糊清，无法辨认的；</w:t>
      </w:r>
    </w:p>
    <w:p>
      <w:pPr>
        <w:pStyle w:val="49"/>
        <w:numPr>
          <w:ilvl w:val="2"/>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43"/>
        </w:numPr>
        <w:autoSpaceDE w:val="0"/>
        <w:autoSpaceDN w:val="0"/>
        <w:spacing w:line="360" w:lineRule="auto"/>
        <w:ind w:hanging="1384"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39"/>
        </w:numPr>
        <w:autoSpaceDE w:val="0"/>
        <w:autoSpaceDN w:val="0"/>
        <w:spacing w:line="360" w:lineRule="auto"/>
        <w:ind w:firstLineChars="0"/>
        <w:contextualSpacing/>
        <w:rPr>
          <w:rFonts w:hint="eastAsia" w:cs="宋体" w:asciiTheme="minorEastAsia" w:hAnsiTheme="minorEastAsia"/>
          <w:b/>
          <w:kern w:val="0"/>
          <w:szCs w:val="21"/>
        </w:rPr>
      </w:pPr>
      <w:r>
        <w:rPr>
          <w:rFonts w:hint="eastAsia" w:cs="宋体" w:asciiTheme="minorEastAsia" w:hAnsiTheme="minorEastAsia"/>
          <w:b/>
          <w:kern w:val="0"/>
          <w:szCs w:val="21"/>
        </w:rPr>
        <w:t>根据《河南省财政厅关于防范供应商串通投标促进政府采购公平竞争的通知》（豫财购﹝2021﹞6号）要求，参与同一个标段的供应商存在下列情形之一的，其谈判响应文件无效：</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   不同供应商的电子投标文件上传计算机的网卡MAC地址、CPU序列号和硬盘序列号等硬件信息相同的；</w:t>
      </w:r>
    </w:p>
    <w:p>
      <w:pPr>
        <w:pStyle w:val="49"/>
        <w:numPr>
          <w:ilvl w:val="1"/>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不同供应商的投标文件由同一电子设备编制、打印加密或者上传；</w:t>
      </w:r>
    </w:p>
    <w:p>
      <w:pPr>
        <w:pStyle w:val="49"/>
        <w:numPr>
          <w:ilvl w:val="1"/>
          <w:numId w:val="4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不同供应商的投标文件由同一电子设备打印、复印；</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   不同供应商的投标文件由同一人送达或者分发，或者不同供应商联系人为同一人或不同联系人的联系电话一致的；</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28.5     不同供应商的投标文件的内容存在两处以上细节错误一致；</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28.6  不同供应商的法定代表人、委托代理人、项目经理、项目负责人等由同一个单位缴纳社会保险或者领取报酬的；</w:t>
      </w:r>
    </w:p>
    <w:p>
      <w:pPr>
        <w:pStyle w:val="49"/>
        <w:numPr>
          <w:ilvl w:val="1"/>
          <w:numId w:val="4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不同供应商投标文件中法定代表人或者负责人签字出自同一人之手；</w:t>
      </w:r>
    </w:p>
    <w:p>
      <w:pPr>
        <w:pStyle w:val="49"/>
        <w:numPr>
          <w:ilvl w:val="1"/>
          <w:numId w:val="45"/>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其它涉嫌串通的情形。</w:t>
      </w:r>
    </w:p>
    <w:p>
      <w:pPr>
        <w:pStyle w:val="49"/>
        <w:numPr>
          <w:ilvl w:val="0"/>
          <w:numId w:val="4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 xml:space="preserve"> 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9"/>
        <w:numPr>
          <w:ilvl w:val="1"/>
          <w:numId w:val="4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法</w:t>
      </w:r>
      <w:r>
        <w:rPr>
          <w:rFonts w:cs="宋体" w:asciiTheme="minorEastAsia" w:hAnsiTheme="minorEastAsia"/>
          <w:kern w:val="0"/>
          <w:szCs w:val="21"/>
        </w:rPr>
        <w:t>律、法规和招标文件规定的其他无效情形。</w:t>
      </w:r>
    </w:p>
    <w:p>
      <w:pPr>
        <w:pStyle w:val="49"/>
        <w:autoSpaceDE w:val="0"/>
        <w:autoSpaceDN w:val="0"/>
        <w:spacing w:line="360" w:lineRule="auto"/>
        <w:ind w:left="1050" w:firstLine="0" w:firstLineChars="0"/>
        <w:contextualSpacing/>
        <w:rPr>
          <w:rFonts w:cs="宋体" w:asciiTheme="minorEastAsia" w:hAnsiTheme="minorEastAsia"/>
          <w:kern w:val="0"/>
          <w:szCs w:val="21"/>
        </w:rPr>
      </w:pPr>
    </w:p>
    <w:p>
      <w:pPr>
        <w:pStyle w:val="49"/>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hint="eastAsia" w:cs="微软雅黑"/>
          <w:color w:val="000000"/>
        </w:rPr>
        <w:t>在谈判中，谈判的任何一方不得透露与谈判有关的其他供应商的技术资料、价格和其他信息。</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cs="微软雅黑"/>
          <w:color w:val="000000"/>
        </w:rPr>
        <w:t xml:space="preserve"> </w:t>
      </w: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cs="微软雅黑"/>
          <w:color w:val="000000"/>
        </w:rPr>
        <w:t xml:space="preserve"> </w:t>
      </w: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最后报价是供应商响应文件的有效组成部分。</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已提交响应文件的供应商，在提交最后报价之前，可以根据谈判情况退出谈判</w:t>
      </w:r>
      <w:r>
        <w:rPr>
          <w:rFonts w:hint="eastAsia" w:ascii="ˎ̥" w:hAnsi="ˎ̥"/>
        </w:rPr>
        <w:t>。</w:t>
      </w:r>
    </w:p>
    <w:p>
      <w:pPr>
        <w:pStyle w:val="49"/>
        <w:numPr>
          <w:ilvl w:val="1"/>
          <w:numId w:val="4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 xml:space="preserve">  按照《关于推进全流程电子化交易和在线监管工作有关问题的通知》（许公管办[2019]3号）规定，评审专家应严格按照要求查看“硬件特征码相” 关信息并进行评审。</w:t>
      </w:r>
    </w:p>
    <w:p>
      <w:pPr>
        <w:pStyle w:val="49"/>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    评审方法与提出成交候选人</w:t>
      </w:r>
    </w:p>
    <w:p>
      <w:pPr>
        <w:autoSpaceDE w:val="0"/>
        <w:autoSpaceDN w:val="0"/>
        <w:spacing w:line="360" w:lineRule="auto"/>
        <w:ind w:firstLine="420" w:firstLineChars="20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1"/>
          <w:numId w:val="46"/>
        </w:numPr>
        <w:autoSpaceDE w:val="0"/>
        <w:autoSpaceDN w:val="0"/>
        <w:spacing w:line="360" w:lineRule="auto"/>
        <w:ind w:firstLineChars="0"/>
        <w:contextualSpacing/>
        <w:rPr>
          <w:rFonts w:hint="eastAsia" w:cs="宋体" w:asciiTheme="minorEastAsia" w:hAnsiTheme="minorEastAsia"/>
          <w:kern w:val="0"/>
          <w:szCs w:val="21"/>
        </w:rPr>
      </w:pPr>
      <w:r>
        <w:rPr>
          <w:rFonts w:hint="eastAsia" w:ascii="ˎ̥" w:hAnsi="ˎ̥"/>
        </w:rPr>
        <w:t xml:space="preserve"> </w:t>
      </w: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9"/>
        <w:numPr>
          <w:ilvl w:val="1"/>
          <w:numId w:val="4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w:t>
      </w:r>
      <w:r>
        <w:rPr>
          <w:rFonts w:ascii="ˎ̥" w:hAnsi="ˎ̥"/>
        </w:rPr>
        <w:t>采购人逾期未确定成交供应商且不提出异议的，视为确定评审报告提出的最后报价最低的供应商为成交供应商</w:t>
      </w:r>
      <w:r>
        <w:rPr>
          <w:rFonts w:hint="eastAsia" w:ascii="ˎ̥" w:hAnsi="ˎ̥"/>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46"/>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47"/>
        </w:numPr>
        <w:autoSpaceDE w:val="0"/>
        <w:autoSpaceDN w:val="0"/>
        <w:spacing w:line="360" w:lineRule="auto"/>
        <w:ind w:firstLineChars="0"/>
        <w:contextualSpacing/>
        <w:rPr>
          <w:rFonts w:asciiTheme="minorEastAsia" w:hAnsiTheme="minorEastAsia"/>
        </w:rPr>
      </w:pPr>
      <w:r>
        <w:rPr>
          <w:rFonts w:hint="eastAsia" w:asciiTheme="minorEastAsia" w:hAnsiTheme="minorEastAsia"/>
        </w:rPr>
        <w:t xml:space="preserve">   </w:t>
      </w:r>
      <w:r>
        <w:rPr>
          <w:rFonts w:asciiTheme="minorEastAsia" w:hAnsiTheme="minorEastAsia"/>
        </w:rPr>
        <w:t>因情况变化，不再符合规定的竞争性谈判采购方式适用情形的；</w:t>
      </w:r>
    </w:p>
    <w:p>
      <w:pPr>
        <w:pStyle w:val="49"/>
        <w:numPr>
          <w:ilvl w:val="1"/>
          <w:numId w:val="47"/>
        </w:numPr>
        <w:autoSpaceDE w:val="0"/>
        <w:autoSpaceDN w:val="0"/>
        <w:spacing w:line="360" w:lineRule="auto"/>
        <w:ind w:firstLineChars="0"/>
        <w:contextualSpacing/>
        <w:rPr>
          <w:rFonts w:asciiTheme="minorEastAsia" w:hAnsiTheme="minorEastAsia"/>
        </w:rPr>
      </w:pPr>
      <w:r>
        <w:rPr>
          <w:rFonts w:hint="eastAsia" w:asciiTheme="minorEastAsia" w:hAnsiTheme="minorEastAsia"/>
        </w:rPr>
        <w:t xml:space="preserve">   </w:t>
      </w:r>
      <w:r>
        <w:rPr>
          <w:rFonts w:asciiTheme="minorEastAsia" w:hAnsiTheme="minorEastAsia"/>
        </w:rPr>
        <w:t>出现影响采购公正的违法、违规行为的</w:t>
      </w:r>
      <w:r>
        <w:rPr>
          <w:rFonts w:hint="eastAsia" w:asciiTheme="minorEastAsia" w:hAnsiTheme="minorEastAsia"/>
        </w:rPr>
        <w:t>；</w:t>
      </w:r>
    </w:p>
    <w:p>
      <w:pPr>
        <w:autoSpaceDE w:val="0"/>
        <w:autoSpaceDN w:val="0"/>
        <w:spacing w:line="360" w:lineRule="auto"/>
        <w:ind w:firstLine="315" w:firstLineChars="150"/>
        <w:contextualSpacing/>
        <w:rPr>
          <w:rFonts w:asciiTheme="minorEastAsia" w:hAnsiTheme="minorEastAsia"/>
        </w:rPr>
      </w:pPr>
      <w:r>
        <w:rPr>
          <w:rFonts w:hint="eastAsia" w:asciiTheme="minorEastAsia" w:hAnsiTheme="minorEastAsia"/>
        </w:rPr>
        <w:t>33.3   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1"/>
          <w:numId w:val="4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采购人确认成交供应商后，采购人在公告成交结果的同时，向成交供应商发出成交通知书。</w:t>
      </w:r>
    </w:p>
    <w:p>
      <w:pPr>
        <w:pStyle w:val="49"/>
        <w:numPr>
          <w:ilvl w:val="1"/>
          <w:numId w:val="4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成交通知书发出后，采购人不得违法改变成交结果，成交供应商无正当理由不得放弃成交。</w:t>
      </w:r>
    </w:p>
    <w:p>
      <w:pPr>
        <w:pStyle w:val="49"/>
        <w:numPr>
          <w:ilvl w:val="1"/>
          <w:numId w:val="4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成交供应商在接到成交通知时，须向</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联系人。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 质疑提出与答复</w:t>
      </w:r>
    </w:p>
    <w:p>
      <w:pPr>
        <w:pStyle w:val="49"/>
        <w:numPr>
          <w:ilvl w:val="1"/>
          <w:numId w:val="4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105" w:firstLineChars="50"/>
        <w:contextualSpacing/>
        <w:rPr>
          <w:rFonts w:cs="宋体" w:asciiTheme="minorEastAsia" w:hAnsiTheme="minorEastAsia"/>
          <w:kern w:val="0"/>
          <w:szCs w:val="21"/>
        </w:rPr>
      </w:pPr>
      <w:r>
        <w:rPr>
          <w:rFonts w:hint="eastAsia" w:cs="宋体" w:asciiTheme="minorEastAsia" w:hAnsiTheme="minorEastAsia"/>
          <w:kern w:val="0"/>
          <w:szCs w:val="21"/>
        </w:rPr>
        <w:t>35.1.1 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9"/>
        <w:numPr>
          <w:ilvl w:val="2"/>
          <w:numId w:val="48"/>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对采购过程提出质疑的，为各采购程序环节结束之日起七个工作日内，以书面形式向采购人和采购代理机构一次性提出；</w:t>
      </w:r>
    </w:p>
    <w:p>
      <w:pPr>
        <w:pStyle w:val="49"/>
        <w:numPr>
          <w:ilvl w:val="2"/>
          <w:numId w:val="4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对成交结果提出质疑的，为成交结果公告期限届满之日起七个工作日内，以书面形式向采购人和采购代理机构一次性提出。</w:t>
      </w:r>
    </w:p>
    <w:p>
      <w:pPr>
        <w:pStyle w:val="49"/>
        <w:numPr>
          <w:ilvl w:val="0"/>
          <w:numId w:val="48"/>
        </w:numPr>
        <w:autoSpaceDE w:val="0"/>
        <w:autoSpaceDN w:val="0"/>
        <w:spacing w:line="360" w:lineRule="auto"/>
        <w:ind w:left="993" w:hanging="993" w:firstLineChars="0"/>
        <w:contextualSpacing/>
        <w:rPr>
          <w:rFonts w:hint="eastAsia"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9"/>
        <w:autoSpaceDE w:val="0"/>
        <w:autoSpaceDN w:val="0"/>
        <w:spacing w:line="360" w:lineRule="auto"/>
        <w:ind w:left="993"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36.1.1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autoSpaceDE w:val="0"/>
        <w:autoSpaceDN w:val="0"/>
        <w:spacing w:line="360" w:lineRule="auto"/>
        <w:ind w:left="993"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36.1.2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9"/>
        <w:numPr>
          <w:ilvl w:val="1"/>
          <w:numId w:val="4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9"/>
        <w:numPr>
          <w:ilvl w:val="1"/>
          <w:numId w:val="4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9"/>
      </w:pPr>
    </w:p>
    <w:p>
      <w:pPr>
        <w:pStyle w:val="49"/>
        <w:numPr>
          <w:ilvl w:val="0"/>
          <w:numId w:val="48"/>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9"/>
        <w:wordWrap w:val="0"/>
        <w:topLinePunct/>
        <w:autoSpaceDE w:val="0"/>
        <w:autoSpaceDN w:val="0"/>
        <w:adjustRightInd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39.1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39.2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地址：禹州市禹王大道与府东路交叉口</w:t>
      </w: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9"/>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 w:name="OLE_LINK6"/>
      <w:r>
        <w:rPr>
          <w:rFonts w:hint="eastAsia" w:cs="仿宋_GB2312" w:asciiTheme="minorEastAsia" w:hAnsiTheme="minorEastAsia"/>
          <w:szCs w:val="21"/>
          <w:lang w:val="zh-CN"/>
        </w:rPr>
        <w:t>财库[2014]68号</w:t>
      </w:r>
      <w:bookmarkEnd w:id="4"/>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（1）企业法人营业执照或营业执照。（企业提供）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（2）事业单位法人证书。（事业单位提供）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（3）执业许可证。（非企业专业服务机构提供）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（4）个体工商户营业执照。（个体工商户提供）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（5）自然人身份证明。（自然人提供）</w:t>
            </w:r>
          </w:p>
          <w:p>
            <w:pPr>
              <w:spacing w:line="360" w:lineRule="auto"/>
              <w:jc w:val="lef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3</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财务状况报告相关材料</w:t>
            </w:r>
          </w:p>
        </w:tc>
        <w:tc>
          <w:tcPr>
            <w:tcW w:w="5954" w:type="dxa"/>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（1）供应商是法人（法人包括企业法人、机关法人、事业单位法人和社会团体法人），提供本单位：</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w:t>
            </w:r>
            <w:r>
              <w:rPr>
                <w:rFonts w:hint="eastAsia" w:asciiTheme="majorEastAsia" w:hAnsiTheme="majorEastAsia" w:eastAsiaTheme="majorEastAsia" w:cstheme="majorEastAsia"/>
                <w:bCs/>
                <w:color w:val="auto"/>
                <w:szCs w:val="21"/>
                <w:lang w:val="en-US" w:eastAsia="zh-CN"/>
              </w:rPr>
              <w:t>2021年度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②基本开户银行出具的资信证明；</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（2）供应商（其他组织和自然人）提供本单位：</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w:t>
            </w:r>
            <w:r>
              <w:rPr>
                <w:rFonts w:hint="eastAsia" w:asciiTheme="majorEastAsia" w:hAnsiTheme="majorEastAsia" w:eastAsiaTheme="majorEastAsia" w:cstheme="majorEastAsia"/>
                <w:bCs/>
                <w:color w:val="auto"/>
                <w:szCs w:val="21"/>
                <w:lang w:val="en-US" w:eastAsia="zh-CN"/>
              </w:rPr>
              <w:t>2021年度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②银行出具的资信证明；</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4</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依法缴纳税收相关材料</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5</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依法缴纳社会保障资金的证明材料</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6</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履行合同所必须的设备和专业技术能力的证明材料</w:t>
            </w:r>
          </w:p>
        </w:tc>
        <w:tc>
          <w:tcPr>
            <w:tcW w:w="5954" w:type="dxa"/>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①与本项目响应相关设备的购置发票、专业技术人员职称证书、用工合同等；</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②供应商具备履行合同所必须的设备和专业技术能力承诺函或声明（承诺函或声明格式自拟）。</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7</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如无重大违法记录请按照谈判文件提供格式填写。</w:t>
            </w:r>
          </w:p>
          <w:p>
            <w:pPr>
              <w:spacing w:line="360" w:lineRule="auto"/>
              <w:jc w:val="lef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8</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信用记录查询及使用</w:t>
            </w:r>
          </w:p>
        </w:tc>
        <w:tc>
          <w:tcPr>
            <w:tcW w:w="5954" w:type="dxa"/>
          </w:tcPr>
          <w:p>
            <w:pPr>
              <w:wordWrap w:val="0"/>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政府采购活动中查询及使用供应商信用记录的具体要求为：供应商未被列入“信用中国”网站失信被执行人、</w:t>
            </w:r>
            <w:r>
              <w:rPr>
                <w:rFonts w:hint="eastAsia" w:ascii="宋体" w:hAnsi="宋体"/>
                <w:color w:val="auto"/>
                <w:sz w:val="21"/>
                <w:szCs w:val="21"/>
              </w:rPr>
              <w:t>税收违法</w:t>
            </w:r>
            <w:r>
              <w:rPr>
                <w:rFonts w:hint="eastAsia" w:ascii="宋体" w:hAnsi="宋体"/>
                <w:color w:val="auto"/>
                <w:sz w:val="21"/>
                <w:szCs w:val="21"/>
                <w:lang w:eastAsia="zh-CN"/>
              </w:rPr>
              <w:t>黑</w:t>
            </w:r>
            <w:r>
              <w:rPr>
                <w:rFonts w:hint="eastAsia" w:ascii="宋体" w:hAnsi="宋体"/>
                <w:color w:val="auto"/>
                <w:sz w:val="21"/>
                <w:szCs w:val="21"/>
              </w:rPr>
              <w:t>名单</w:t>
            </w:r>
            <w:r>
              <w:rPr>
                <w:rFonts w:hint="eastAsia" w:asciiTheme="majorEastAsia" w:hAnsiTheme="majorEastAsia" w:eastAsiaTheme="majorEastAsia" w:cstheme="majorEastAsia"/>
                <w:bCs/>
                <w:color w:val="auto"/>
                <w:szCs w:val="21"/>
              </w:rPr>
              <w:t>、 “中国政府采购网”政府采购严重违法失信行为记录名单、</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服务平台”网站（chinanpo.mca.gov.cn）严重违法失信社会组织名单的供应商</w:t>
            </w: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rPr>
              <w:t>（联合体形式投标的，联合体成员存在不良信用记录，视同联合体存在不良信用记录）。</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（1）查询渠道：</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hint="eastAsia" w:asciiTheme="majorEastAsia" w:hAnsiTheme="majorEastAsia" w:eastAsiaTheme="majorEastAsia" w:cstheme="majorEastAsia"/>
                <w:color w:val="auto"/>
                <w:szCs w:val="21"/>
              </w:rPr>
              <w:t>www.creditchina.gov.cn</w:t>
            </w:r>
            <w:r>
              <w:rPr>
                <w:rStyle w:val="28"/>
                <w:rFonts w:hint="eastAsia" w:asciiTheme="majorEastAsia" w:hAnsiTheme="majorEastAsia" w:eastAsiaTheme="majorEastAsia" w:cstheme="majorEastAsia"/>
                <w:color w:val="auto"/>
                <w:szCs w:val="21"/>
              </w:rPr>
              <w:fldChar w:fldCharType="end"/>
            </w:r>
            <w:r>
              <w:rPr>
                <w:rFonts w:hint="eastAsia" w:asciiTheme="majorEastAsia" w:hAnsiTheme="majorEastAsia" w:eastAsiaTheme="majorEastAsia" w:cstheme="majorEastAsia"/>
                <w:bCs/>
                <w:color w:val="auto"/>
                <w:szCs w:val="21"/>
              </w:rPr>
              <w:t>）</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②“中国政府采购网”（www.ccgp.gov.cn）</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r>
              <w:rPr>
                <w:rFonts w:hint="eastAsia" w:asciiTheme="majorEastAsia" w:hAnsiTheme="majorEastAsia" w:eastAsiaTheme="majorEastAsia" w:cstheme="majorEastAsia"/>
                <w:bCs/>
                <w:color w:val="auto"/>
                <w:szCs w:val="21"/>
              </w:rPr>
              <w:t>；</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（2）截止时间：同投标截止时间；</w:t>
            </w:r>
          </w:p>
          <w:p>
            <w:pPr>
              <w:spacing w:line="360" w:lineRule="auto"/>
              <w:rPr>
                <w:rFonts w:asciiTheme="majorEastAsia" w:hAnsiTheme="majorEastAsia" w:eastAsiaTheme="majorEastAsia" w:cstheme="majorEastAsia"/>
                <w:b/>
                <w:bCs/>
                <w:color w:val="auto"/>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）信用信息的使用原则：经采购人认定的被列入</w:t>
            </w:r>
            <w:r>
              <w:rPr>
                <w:rFonts w:hint="eastAsia" w:ascii="宋体" w:hAnsi="宋体" w:eastAsia="宋体" w:cs="宋体"/>
                <w:color w:val="auto"/>
                <w:kern w:val="0"/>
                <w:sz w:val="21"/>
                <w:szCs w:val="21"/>
              </w:rPr>
              <w:t>失信被执行人、</w:t>
            </w:r>
            <w:r>
              <w:rPr>
                <w:rFonts w:hint="eastAsia" w:asciiTheme="majorEastAsia" w:hAnsiTheme="majorEastAsia" w:eastAsiaTheme="majorEastAsia" w:cstheme="majorEastAsia"/>
                <w:color w:val="auto"/>
                <w:szCs w:val="21"/>
              </w:rPr>
              <w:t>税收违法</w:t>
            </w:r>
            <w:r>
              <w:rPr>
                <w:rFonts w:hint="eastAsia" w:asciiTheme="majorEastAsia" w:hAnsiTheme="majorEastAsia" w:eastAsiaTheme="majorEastAsia" w:cstheme="majorEastAsia"/>
                <w:color w:val="auto"/>
                <w:szCs w:val="21"/>
                <w:lang w:eastAsia="zh-CN"/>
              </w:rPr>
              <w:t>黑</w:t>
            </w:r>
            <w:r>
              <w:rPr>
                <w:rFonts w:hint="eastAsia" w:asciiTheme="majorEastAsia" w:hAnsiTheme="majorEastAsia" w:eastAsiaTheme="majorEastAsia" w:cstheme="majorEastAsia"/>
                <w:color w:val="auto"/>
                <w:szCs w:val="21"/>
              </w:rPr>
              <w:t>名单</w:t>
            </w:r>
            <w:r>
              <w:rPr>
                <w:rFonts w:hint="eastAsia" w:ascii="宋体" w:hAnsi="宋体" w:eastAsia="宋体" w:cs="宋体"/>
                <w:color w:val="auto"/>
                <w:kern w:val="0"/>
                <w:sz w:val="21"/>
                <w:szCs w:val="21"/>
              </w:rPr>
              <w:t>、</w:t>
            </w:r>
            <w:r>
              <w:rPr>
                <w:rFonts w:hint="eastAsia" w:ascii="宋体" w:hAnsi="宋体" w:eastAsia="宋体" w:cs="宋体"/>
                <w:color w:val="auto"/>
                <w:sz w:val="21"/>
                <w:szCs w:val="21"/>
                <w:shd w:val="clear" w:color="auto" w:fill="FFFFFF"/>
              </w:rPr>
              <w:t>政府采购严重违法失信行为记录名单</w:t>
            </w:r>
            <w:r>
              <w:rPr>
                <w:rFonts w:hint="eastAsia" w:ascii="宋体" w:hAnsi="宋体" w:eastAsia="宋体" w:cs="宋体"/>
                <w:bCs/>
                <w:color w:val="auto"/>
                <w:sz w:val="21"/>
                <w:szCs w:val="21"/>
              </w:rPr>
              <w:t>的投标人</w:t>
            </w:r>
            <w:r>
              <w:rPr>
                <w:rFonts w:hint="eastAsia" w:ascii="宋体" w:hAnsi="宋体" w:eastAsia="宋体" w:cs="宋体"/>
                <w:color w:val="auto"/>
                <w:sz w:val="21"/>
                <w:szCs w:val="21"/>
                <w:shd w:val="clear" w:color="auto" w:fill="FFFFFF"/>
              </w:rPr>
              <w:t>、</w:t>
            </w:r>
            <w:r>
              <w:rPr>
                <w:rFonts w:hint="eastAsia" w:ascii="宋体" w:hAnsi="宋体" w:eastAsia="宋体" w:cs="宋体"/>
                <w:color w:val="auto"/>
                <w:kern w:val="0"/>
                <w:sz w:val="21"/>
                <w:szCs w:val="21"/>
              </w:rPr>
              <w:t>严重违法失信社会组织</w:t>
            </w:r>
            <w:r>
              <w:rPr>
                <w:rFonts w:hint="eastAsia" w:ascii="宋体" w:hAnsi="宋体" w:eastAsia="宋体" w:cs="宋体"/>
                <w:bCs/>
                <w:color w:val="auto"/>
                <w:sz w:val="21"/>
                <w:szCs w:val="21"/>
              </w:rPr>
              <w:t>，将拒绝其参与本次政府采购活动。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9</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供应商须具备的特殊</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color w:val="auto"/>
                <w:szCs w:val="21"/>
              </w:rPr>
              <w:t>资质证书</w:t>
            </w:r>
          </w:p>
        </w:tc>
        <w:tc>
          <w:tcPr>
            <w:tcW w:w="5954"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eastAsia="zh-CN"/>
              </w:rPr>
              <w:t>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10</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谈判</w:t>
            </w:r>
            <w:r>
              <w:rPr>
                <w:rFonts w:hint="eastAsia" w:asciiTheme="majorEastAsia" w:hAnsiTheme="majorEastAsia" w:eastAsiaTheme="majorEastAsia" w:cstheme="majorEastAsia"/>
                <w:b/>
                <w:color w:val="auto"/>
                <w:szCs w:val="21"/>
                <w:lang w:val="zh-CN"/>
              </w:rPr>
              <w:t>报价</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11</w:t>
            </w:r>
          </w:p>
        </w:tc>
        <w:tc>
          <w:tcPr>
            <w:tcW w:w="2410" w:type="dxa"/>
            <w:vAlign w:val="center"/>
          </w:tcPr>
          <w:p>
            <w:pPr>
              <w:spacing w:line="360" w:lineRule="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响应承诺函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12</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联合体协议</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13</w:t>
            </w:r>
          </w:p>
        </w:tc>
        <w:tc>
          <w:tcPr>
            <w:tcW w:w="2410" w:type="dxa"/>
            <w:vAlign w:val="center"/>
          </w:tcPr>
          <w:p>
            <w:pPr>
              <w:spacing w:line="360" w:lineRule="auto"/>
              <w:contextualSpacing/>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供应商身份证明及授权</w:t>
            </w:r>
          </w:p>
        </w:tc>
        <w:tc>
          <w:tcPr>
            <w:tcW w:w="5954" w:type="dxa"/>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（1）法定代表人身份证明或提供法定代表人授权委托书及被授权人身份证明和社保证明。（法人提供）</w:t>
            </w:r>
          </w:p>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（2）单位负责人身份证明或提供单位负责人授权委托书及被授权人身份证明和社保证明。（非法人提供）</w:t>
            </w:r>
          </w:p>
          <w:p>
            <w:pPr>
              <w:spacing w:line="360" w:lineRule="auto"/>
              <w:rPr>
                <w:rFonts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注：</w:t>
            </w:r>
          </w:p>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③</w:t>
            </w:r>
            <w:r>
              <w:rPr>
                <w:rFonts w:hint="eastAsia" w:asciiTheme="majorEastAsia" w:hAnsiTheme="majorEastAsia" w:eastAsiaTheme="majorEastAsia" w:cstheme="majorEastAsia"/>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14</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Theme="majorEastAsia" w:hAnsiTheme="majorEastAsia" w:eastAsiaTheme="majorEastAsia" w:cstheme="maj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15</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为本项目提供整体设计、规范编制或者项目管理、监理、检测等服务的供应商不得参加本项目响应</w:t>
            </w:r>
          </w:p>
        </w:tc>
        <w:tc>
          <w:tcPr>
            <w:tcW w:w="5954" w:type="dxa"/>
            <w:vAlign w:val="center"/>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供应商提供未为本项目提供整体设计、规范编制或者项目管理、监理、检测等服务承诺函（承诺函格式自拟）。</w:t>
            </w:r>
          </w:p>
          <w:p>
            <w:pPr>
              <w:spacing w:line="360" w:lineRule="auto"/>
              <w:rPr>
                <w:rFonts w:asciiTheme="majorEastAsia" w:hAnsiTheme="majorEastAsia" w:eastAsiaTheme="majorEastAsia" w:cstheme="maj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3"/>
            <w:vAlign w:val="center"/>
          </w:tcPr>
          <w:p>
            <w:pPr>
              <w:spacing w:line="360" w:lineRule="auto"/>
              <w:rPr>
                <w:rFonts w:asciiTheme="majorEastAsia" w:hAnsiTheme="majorEastAsia" w:eastAsiaTheme="majorEastAsia" w:cstheme="majorEastAsia"/>
                <w:bCs/>
                <w:color w:val="auto"/>
                <w:szCs w:val="21"/>
              </w:rPr>
            </w:pPr>
            <w:r>
              <w:rPr>
                <w:rFonts w:hint="eastAsia"/>
                <w:b/>
                <w:bCs/>
                <w:lang w:val="en-US" w:eastAsia="zh-CN"/>
              </w:rPr>
              <w:t xml:space="preserve">   注：第3至8项可用信用承诺书代替（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w:t>
            </w:r>
          </w:p>
        </w:tc>
      </w:tr>
    </w:tbl>
    <w:p>
      <w:pPr>
        <w:pStyle w:val="13"/>
        <w:spacing w:line="360" w:lineRule="auto"/>
        <w:ind w:firstLine="482" w:firstLineChars="200"/>
        <w:contextualSpacing/>
        <w:rPr>
          <w:rFonts w:cs="仿宋_GB2312" w:asciiTheme="minorEastAsia" w:hAnsiTheme="minorEastAsia" w:eastAsiaTheme="minorEastAsia"/>
          <w:b/>
          <w:szCs w:val="24"/>
        </w:rPr>
      </w:pP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3"/>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49"/>
        </w:numPr>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ascii="ˎ̥" w:hAnsi="ˎ̥"/>
        </w:rPr>
      </w:pP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hint="eastAsia" w:ascii="ˎ̥" w:hAnsi="ˎ̥"/>
          <w:color w:val="FF0000"/>
          <w:sz w:val="21"/>
          <w:szCs w:val="21"/>
        </w:rPr>
        <w:t>《关于进一步加大政府采购支持中小企业力度的通知》（财库〔2022〕19号）</w:t>
      </w:r>
      <w:r>
        <w:rPr>
          <w:rFonts w:ascii="ˎ̥" w:hAnsi="ˎ̥"/>
          <w:sz w:val="21"/>
          <w:szCs w:val="21"/>
        </w:rPr>
        <w:t>规定的小微企业报价</w:t>
      </w:r>
      <w:r>
        <w:rPr>
          <w:rFonts w:hint="eastAsia" w:ascii="ˎ̥" w:hAnsi="ˎ̥"/>
          <w:sz w:val="21"/>
          <w:szCs w:val="21"/>
        </w:rPr>
        <w:t>给予</w:t>
      </w:r>
      <w:r>
        <w:rPr>
          <w:rFonts w:hint="eastAsia" w:ascii="ˎ̥" w:hAnsi="ˎ̥"/>
          <w:color w:val="FF0000"/>
          <w:sz w:val="21"/>
          <w:szCs w:val="21"/>
        </w:rPr>
        <w:t>20%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FF0000"/>
          <w:sz w:val="21"/>
          <w:szCs w:val="21"/>
          <w:lang w:val="en-US" w:eastAsia="zh-CN"/>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hint="eastAsia"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color w:val="FF0000"/>
          <w:szCs w:val="21"/>
          <w:lang w:val="zh-CN"/>
        </w:rPr>
        <w:t>20</w:t>
      </w:r>
      <w:r>
        <w:rPr>
          <w:rFonts w:hint="eastAsia" w:cs="仿宋_GB2312" w:asciiTheme="minorEastAsia" w:hAnsiTheme="minorEastAsia" w:eastAsiaTheme="minorEastAsia"/>
          <w:color w:val="FF0000"/>
          <w:sz w:val="21"/>
          <w:szCs w:val="21"/>
          <w:lang w:val="zh-CN"/>
        </w:rPr>
        <w:t>%</w:t>
      </w:r>
      <w:r>
        <w:rPr>
          <w:rFonts w:hint="eastAsia" w:cs="仿宋_GB2312" w:asciiTheme="minorEastAsia" w:hAnsiTheme="minorEastAsia" w:eastAsia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13"/>
        <w:numPr>
          <w:ilvl w:val="0"/>
          <w:numId w:val="0"/>
        </w:numPr>
        <w:spacing w:line="360" w:lineRule="auto"/>
        <w:ind w:firstLine="843" w:firstLineChars="300"/>
        <w:contextualSpacing/>
        <w:jc w:val="left"/>
        <w:rPr>
          <w:rFonts w:hint="eastAsia" w:cs="仿宋_GB2312" w:asciiTheme="minorEastAsia" w:hAnsiTheme="minorEastAsia"/>
          <w:szCs w:val="21"/>
          <w:lang w:val="zh-CN"/>
        </w:rPr>
      </w:pPr>
      <w:r>
        <w:rPr>
          <w:rFonts w:hint="eastAsia" w:cs="仿宋_GB2312" w:asciiTheme="minorEastAsia" w:hAnsiTheme="minorEastAsia" w:eastAsiaTheme="minorEastAsia"/>
          <w:b/>
          <w:color w:val="FF0000"/>
          <w:sz w:val="28"/>
          <w:szCs w:val="28"/>
          <w:lang w:val="en-US" w:eastAsia="zh-CN"/>
        </w:rPr>
        <w:t>※</w:t>
      </w:r>
      <w:r>
        <w:rPr>
          <w:rFonts w:hint="eastAsia" w:cs="仿宋_GB2312" w:asciiTheme="minorEastAsia" w:hAnsiTheme="minorEastAsia" w:eastAsiaTheme="minorEastAsia"/>
          <w:b/>
          <w:color w:val="FF0000"/>
          <w:sz w:val="28"/>
          <w:szCs w:val="28"/>
          <w:lang w:val="zh-CN"/>
        </w:rPr>
        <w:t>（</w:t>
      </w:r>
      <w:r>
        <w:rPr>
          <w:rFonts w:hint="eastAsia" w:cs="仿宋_GB2312" w:asciiTheme="minorEastAsia" w:hAnsiTheme="minorEastAsia" w:eastAsiaTheme="minorEastAsia"/>
          <w:b/>
          <w:color w:val="FF0000"/>
          <w:sz w:val="28"/>
          <w:szCs w:val="28"/>
          <w:lang w:val="en-US" w:eastAsia="zh-CN"/>
        </w:rPr>
        <w:t>本项目专门面向中小企业采购，不需要价格调整。</w:t>
      </w:r>
      <w:r>
        <w:rPr>
          <w:rFonts w:hint="eastAsia" w:cs="仿宋_GB2312" w:asciiTheme="minorEastAsia" w:hAnsiTheme="minorEastAsia" w:eastAsiaTheme="minorEastAsia"/>
          <w:b/>
          <w:color w:val="FF0000"/>
          <w:sz w:val="28"/>
          <w:szCs w:val="28"/>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宋体" w:hAnsi="宋体" w:cs="Courier New"/>
          <w:szCs w:val="21"/>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br w:type="page"/>
      </w:r>
    </w:p>
    <w:p>
      <w:pPr>
        <w:numPr>
          <w:ilvl w:val="0"/>
          <w:numId w:val="50"/>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1.以下的响应文件格式为通用的格式，供应商在制作响应文件时应以竞争性</w:t>
      </w:r>
      <w:r>
        <w:rPr>
          <w:rFonts w:hint="eastAsia" w:ascii="宋体" w:hAnsi="宋体" w:eastAsia="宋体" w:cs="黑体"/>
          <w:b/>
          <w:color w:val="000000"/>
          <w:kern w:val="0"/>
          <w:sz w:val="24"/>
          <w:szCs w:val="24"/>
          <w:lang w:val="en-US" w:eastAsia="zh-CN"/>
        </w:rPr>
        <w:t>谈判</w:t>
      </w:r>
      <w:r>
        <w:rPr>
          <w:rFonts w:hint="eastAsia" w:ascii="宋体" w:hAnsi="宋体" w:eastAsia="宋体" w:cs="黑体"/>
          <w:b/>
          <w:color w:val="000000"/>
          <w:kern w:val="0"/>
          <w:sz w:val="24"/>
          <w:szCs w:val="24"/>
        </w:rPr>
        <w:t>文件内容要求为准，选择相应的响应文件格式。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2.没有给定格式的，供应商可以自行设计。</w:t>
      </w:r>
    </w:p>
    <w:p>
      <w:pPr>
        <w:spacing w:line="480" w:lineRule="auto"/>
        <w:jc w:val="center"/>
        <w:rPr>
          <w:rFonts w:ascii="宋体" w:hAnsi="宋体" w:cs="宋体"/>
          <w:sz w:val="24"/>
        </w:rPr>
      </w:pPr>
      <w:r>
        <w:br w:type="page"/>
      </w:r>
      <w:r>
        <w:rPr>
          <w:rFonts w:hint="eastAsia"/>
          <w:lang w:val="en-US" w:eastAsia="zh-CN"/>
        </w:rPr>
        <w:t xml:space="preserve">  </w:t>
      </w:r>
      <w:r>
        <w:rPr>
          <w:rFonts w:hint="eastAsia"/>
          <w:u w:val="single"/>
          <w:lang w:val="en-US" w:eastAsia="zh-CN"/>
        </w:rPr>
        <w:t xml:space="preserve">                                      </w:t>
      </w:r>
      <w:r>
        <w:rPr>
          <w:rFonts w:hint="eastAsia" w:ascii="宋体" w:hAnsi="宋体" w:cs="宋体"/>
          <w:sz w:val="36"/>
          <w:szCs w:val="36"/>
          <w:u w:val="single"/>
        </w:rPr>
        <w:t>（项目名称）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56"/>
          <w:szCs w:val="56"/>
        </w:rPr>
      </w:pPr>
      <w:r>
        <w:rPr>
          <w:rFonts w:hint="eastAsia" w:ascii="宋体" w:hAnsi="宋体" w:cs="宋体"/>
          <w:b/>
          <w:bCs/>
          <w:sz w:val="56"/>
          <w:szCs w:val="56"/>
          <w:lang w:val="en-US" w:eastAsia="zh-CN"/>
        </w:rPr>
        <w:t>竞争性谈判</w:t>
      </w:r>
      <w:r>
        <w:rPr>
          <w:rFonts w:hint="eastAsia" w:ascii="宋体" w:hAnsi="宋体" w:cs="宋体"/>
          <w:b/>
          <w:bCs/>
          <w:sz w:val="56"/>
          <w:szCs w:val="56"/>
        </w:rPr>
        <w:t>响应文件</w:t>
      </w:r>
    </w:p>
    <w:p>
      <w:pPr>
        <w:spacing w:line="380" w:lineRule="exact"/>
        <w:rPr>
          <w:rFonts w:ascii="宋体" w:hAnsi="宋体" w:cs="宋体"/>
          <w:sz w:val="24"/>
        </w:rPr>
      </w:pPr>
    </w:p>
    <w:p>
      <w:pPr>
        <w:spacing w:line="380" w:lineRule="exact"/>
        <w:rPr>
          <w:rFonts w:ascii="宋体" w:hAnsi="宋体" w:cs="宋体"/>
          <w:sz w:val="24"/>
        </w:rPr>
      </w:pPr>
    </w:p>
    <w:p>
      <w:pPr>
        <w:pStyle w:val="2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60" w:lineRule="auto"/>
        <w:ind w:left="0" w:leftChars="0" w:firstLine="2108" w:firstLineChars="750"/>
        <w:rPr>
          <w:rFonts w:ascii="宋体" w:hAnsi="宋体" w:eastAsia="宋体" w:cs="宋体"/>
          <w:b/>
          <w:bCs/>
          <w:sz w:val="28"/>
          <w:szCs w:val="28"/>
          <w:u w:val="single"/>
        </w:rPr>
      </w:pPr>
      <w:r>
        <w:rPr>
          <w:rFonts w:hint="eastAsia" w:ascii="宋体" w:hAnsi="宋体" w:eastAsia="宋体" w:cs="宋体"/>
          <w:b/>
          <w:bCs/>
          <w:sz w:val="28"/>
          <w:szCs w:val="28"/>
        </w:rPr>
        <w:t>采购编号：</w:t>
      </w:r>
    </w:p>
    <w:p>
      <w:pPr>
        <w:spacing w:line="360" w:lineRule="auto"/>
        <w:ind w:left="0" w:leftChars="0" w:firstLine="2108" w:firstLineChars="750"/>
        <w:rPr>
          <w:rFonts w:ascii="宋体" w:hAnsi="宋体" w:eastAsia="宋体" w:cs="宋体"/>
          <w:b/>
          <w:bCs/>
          <w:sz w:val="28"/>
          <w:szCs w:val="28"/>
        </w:rPr>
      </w:pPr>
      <w:bookmarkStart w:id="5" w:name="_Toc27760_WPSOffice_Level1"/>
      <w:bookmarkStart w:id="6" w:name="_Toc7428_WPSOffice_Level1"/>
      <w:r>
        <w:rPr>
          <w:rFonts w:hint="eastAsia" w:ascii="宋体" w:hAnsi="宋体" w:eastAsia="宋体" w:cs="宋体"/>
          <w:b/>
          <w:bCs/>
          <w:sz w:val="28"/>
          <w:szCs w:val="28"/>
        </w:rPr>
        <w:t>供应商：（全称并加盖公章）</w:t>
      </w:r>
      <w:bookmarkEnd w:id="5"/>
      <w:bookmarkEnd w:id="6"/>
    </w:p>
    <w:p>
      <w:pPr>
        <w:spacing w:line="360" w:lineRule="auto"/>
        <w:ind w:left="0" w:leftChars="0" w:firstLine="2108" w:firstLineChars="750"/>
        <w:rPr>
          <w:rFonts w:ascii="宋体" w:hAnsi="宋体" w:eastAsia="宋体" w:cs="宋体"/>
          <w:b/>
          <w:bCs/>
          <w:sz w:val="28"/>
          <w:szCs w:val="28"/>
        </w:rPr>
      </w:pPr>
      <w:bookmarkStart w:id="7" w:name="_Toc28157_WPSOffice_Level1"/>
      <w:bookmarkStart w:id="8" w:name="_Toc4840_WPSOffice_Level1"/>
      <w:r>
        <w:rPr>
          <w:rFonts w:hint="eastAsia" w:ascii="宋体" w:hAnsi="宋体" w:eastAsia="宋体" w:cs="宋体"/>
          <w:b/>
          <w:bCs/>
          <w:sz w:val="28"/>
          <w:szCs w:val="28"/>
        </w:rPr>
        <w:t>法定代表人或委托代理人（签字）：</w:t>
      </w:r>
      <w:bookmarkEnd w:id="7"/>
      <w:bookmarkEnd w:id="8"/>
    </w:p>
    <w:p>
      <w:pPr>
        <w:spacing w:line="360" w:lineRule="auto"/>
        <w:ind w:left="0" w:leftChars="0" w:firstLine="2108" w:firstLineChars="750"/>
        <w:rPr>
          <w:rFonts w:hint="eastAsia" w:ascii="宋体" w:hAnsi="宋体" w:eastAsia="宋体" w:cs="宋体"/>
          <w:b/>
          <w:bCs/>
          <w:sz w:val="28"/>
          <w:szCs w:val="28"/>
        </w:rPr>
      </w:pPr>
      <w:bookmarkStart w:id="9" w:name="_Toc15640_WPSOffice_Level1"/>
      <w:bookmarkStart w:id="10" w:name="_Toc2311_WPSOffice_Level1"/>
      <w:r>
        <w:rPr>
          <w:rFonts w:hint="eastAsia" w:ascii="宋体" w:hAnsi="宋体" w:eastAsia="宋体" w:cs="宋体"/>
          <w:b/>
          <w:bCs/>
          <w:sz w:val="28"/>
          <w:szCs w:val="28"/>
        </w:rPr>
        <w:t>日期：年月日</w:t>
      </w:r>
      <w:bookmarkEnd w:id="9"/>
      <w:bookmarkEnd w:id="10"/>
    </w:p>
    <w:p>
      <w:pPr>
        <w:jc w:val="center"/>
        <w:rPr>
          <w:rFonts w:ascii="宋体" w:hAnsi="宋体" w:eastAsia="宋体" w:cs="黑体"/>
          <w:b/>
          <w:bCs/>
          <w:sz w:val="44"/>
          <w:szCs w:val="44"/>
          <w:lang w:val="zh-CN"/>
        </w:rPr>
      </w:pPr>
      <w:r>
        <w:rPr>
          <w:rFonts w:hint="eastAsia" w:ascii="宋体" w:hAnsi="宋体" w:eastAsia="宋体" w:cs="黑体"/>
          <w:b/>
          <w:bCs/>
          <w:sz w:val="44"/>
          <w:szCs w:val="44"/>
          <w:lang w:val="zh-CN"/>
        </w:rPr>
        <w:br w:type="page"/>
      </w: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一、供应商应答索引表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w:t>
      </w:r>
      <w:r>
        <w:rPr>
          <w:rFonts w:hint="eastAsia" w:ascii="宋体" w:hAnsi="宋体" w:cs="黑体"/>
          <w:b/>
          <w:bCs/>
          <w:sz w:val="32"/>
          <w:szCs w:val="32"/>
          <w:lang w:val="en-US" w:eastAsia="zh-CN"/>
        </w:rPr>
        <w:t>报价</w:t>
      </w:r>
      <w:r>
        <w:rPr>
          <w:rFonts w:hint="eastAsia" w:ascii="宋体" w:hAnsi="宋体" w:cs="黑体"/>
          <w:b/>
          <w:bCs/>
          <w:sz w:val="32"/>
          <w:szCs w:val="32"/>
          <w:lang w:val="zh-CN"/>
        </w:rPr>
        <w:t>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hint="eastAsia"/>
        </w:rPr>
      </w:pPr>
      <w:r>
        <w:rPr>
          <w:rFonts w:hint="eastAsia" w:ascii="宋体" w:hAnsi="宋体" w:cs="黑体"/>
          <w:b/>
          <w:bCs/>
          <w:sz w:val="32"/>
          <w:szCs w:val="32"/>
          <w:lang w:val="zh-CN"/>
        </w:rPr>
        <w:t>五、</w:t>
      </w:r>
      <w:r>
        <w:rPr>
          <w:rFonts w:ascii="宋体" w:hAnsi="宋体" w:cs="黑体"/>
          <w:b/>
          <w:bCs/>
          <w:sz w:val="32"/>
          <w:szCs w:val="32"/>
          <w:lang w:val="zh-CN"/>
        </w:rPr>
        <w:t>其他资料（若有）</w:t>
      </w:r>
    </w:p>
    <w:p>
      <w:r>
        <w:rPr>
          <w:rFonts w:hint="eastAsia" w:ascii="宋体" w:hAnsi="宋体" w:eastAsia="宋体" w:cs="宋体"/>
          <w:b/>
          <w:bCs/>
          <w:sz w:val="28"/>
          <w:szCs w:val="28"/>
        </w:rPr>
        <w:br w:type="page"/>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eastAsia="zh-CN"/>
        </w:rPr>
        <w:t>一、</w:t>
      </w:r>
      <w:r>
        <w:rPr>
          <w:rFonts w:hint="eastAsia" w:cs="黑体" w:asciiTheme="minorEastAsia" w:hAnsiTheme="minorEastAsia" w:eastAsiaTheme="minorEastAsia"/>
          <w:color w:val="auto"/>
          <w:kern w:val="2"/>
          <w:sz w:val="28"/>
          <w:szCs w:val="28"/>
          <w:lang w:val="zh-CN"/>
        </w:rPr>
        <w:t>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lang w:val="en-US" w:eastAsia="zh-CN"/>
              </w:rPr>
              <w:t>报价</w:t>
            </w:r>
            <w:r>
              <w:rPr>
                <w:rFonts w:hint="eastAsia" w:hAnsi="宋体"/>
                <w:color w:val="auto"/>
                <w:kern w:val="0"/>
                <w:sz w:val="21"/>
                <w:szCs w:val="21"/>
              </w:rPr>
              <w:t>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3751" w:type="dxa"/>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color w:val="auto"/>
                <w:sz w:val="21"/>
                <w:szCs w:val="21"/>
                <w:lang w:val="zh-CN"/>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7</w:t>
            </w:r>
          </w:p>
        </w:tc>
        <w:tc>
          <w:tcPr>
            <w:tcW w:w="3751" w:type="dxa"/>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8</w:t>
            </w:r>
          </w:p>
        </w:tc>
        <w:tc>
          <w:tcPr>
            <w:tcW w:w="3751" w:type="dxa"/>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color w:val="auto"/>
                <w:kern w:val="2"/>
                <w:sz w:val="21"/>
                <w:szCs w:val="21"/>
                <w:lang w:val="zh-CN" w:eastAsia="zh-CN" w:bidi="ar-SA"/>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9</w:t>
            </w:r>
          </w:p>
        </w:tc>
        <w:tc>
          <w:tcPr>
            <w:tcW w:w="3751" w:type="dxa"/>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10</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11</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asciiTheme="majorEastAsia" w:hAnsiTheme="majorEastAsia" w:eastAsiaTheme="majorEastAsia" w:cstheme="majorEastAsia"/>
                <w:bCs/>
                <w:color w:val="auto"/>
                <w:sz w:val="21"/>
                <w:szCs w:val="21"/>
                <w:lang w:val="en-US" w:eastAsia="zh-CN"/>
              </w:rPr>
              <w:t>供应商</w:t>
            </w:r>
            <w:r>
              <w:rPr>
                <w:rFonts w:hint="eastAsia" w:asciiTheme="majorEastAsia" w:hAnsiTheme="majorEastAsia" w:eastAsiaTheme="majorEastAsia" w:cstheme="majorEastAsia"/>
                <w:bCs/>
                <w:color w:val="auto"/>
                <w:sz w:val="21"/>
                <w:szCs w:val="21"/>
                <w:lang w:val="zh-CN"/>
              </w:rPr>
              <w:t>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12</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cs="仿宋_GB2312" w:asciiTheme="minorEastAsia" w:hAnsiTheme="minorEastAsia"/>
                <w:color w:val="auto"/>
                <w:sz w:val="21"/>
                <w:szCs w:val="21"/>
                <w:lang w:val="en-US" w:eastAsia="zh-CN"/>
              </w:rPr>
              <w:t>供应商</w:t>
            </w:r>
            <w:r>
              <w:rPr>
                <w:rFonts w:hint="eastAsia" w:cs="仿宋_GB2312" w:asciiTheme="minorEastAsia" w:hAnsiTheme="minorEastAsia"/>
                <w:color w:val="auto"/>
                <w:sz w:val="21"/>
                <w:szCs w:val="21"/>
                <w:lang w:val="zh-CN"/>
              </w:rPr>
              <w:t>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13</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zh-CN" w:eastAsia="zh-CN" w:bidi="ar-SA"/>
              </w:rPr>
            </w:pPr>
            <w:r>
              <w:rPr>
                <w:rFonts w:hint="eastAsia" w:hAnsi="宋体" w:cs="微软雅黑"/>
                <w:bCs/>
                <w:kern w:val="0"/>
                <w:sz w:val="21"/>
                <w:szCs w:val="21"/>
              </w:rPr>
              <w:t>投标分项报价表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14</w:t>
            </w:r>
          </w:p>
        </w:tc>
        <w:tc>
          <w:tcPr>
            <w:tcW w:w="3751" w:type="dxa"/>
            <w:tcBorders>
              <w:top w:val="double" w:color="auto" w:sz="4" w:space="0"/>
            </w:tcBorders>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技术规格偏离表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15</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9</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21</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22</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en-US" w:eastAsia="zh-CN" w:bidi="ar-SA"/>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kern w:val="2"/>
                <w:sz w:val="21"/>
                <w:szCs w:val="21"/>
                <w:lang w:val="zh-CN" w:eastAsia="zh-CN" w:bidi="ar-SA"/>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vAlign w:val="center"/>
          </w:tcPr>
          <w:p>
            <w:pPr>
              <w:pStyle w:val="13"/>
              <w:kinsoku w:val="0"/>
              <w:overflowPunct w:val="0"/>
              <w:autoSpaceDE w:val="0"/>
              <w:autoSpaceDN w:val="0"/>
              <w:spacing w:line="320" w:lineRule="exact"/>
              <w:rPr>
                <w:rFonts w:hAnsi="宋体" w:eastAsia="宋体" w:cs="微软雅黑" w:asciiTheme="minorHAnsi"/>
                <w:bCs/>
                <w:kern w:val="0"/>
                <w:sz w:val="21"/>
                <w:szCs w:val="21"/>
                <w:lang w:val="zh-CN" w:eastAsia="zh-CN" w:bidi="ar-SA"/>
              </w:rPr>
            </w:pPr>
            <w:r>
              <w:rPr>
                <w:rFonts w:hint="eastAsia" w:hAnsi="宋体" w:cs="微软雅黑"/>
                <w:bCs/>
                <w:kern w:val="0"/>
                <w:sz w:val="21"/>
                <w:szCs w:val="21"/>
              </w:rPr>
              <w:t>其它资料</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both"/>
        <w:rPr>
          <w:rFonts w:asciiTheme="majorEastAsia" w:hAnsiTheme="majorEastAsia" w:eastAsiaTheme="majorEastAsia"/>
          <w:b/>
          <w:snapToGrid w:val="0"/>
          <w:kern w:val="0"/>
          <w:sz w:val="28"/>
          <w:szCs w:val="28"/>
        </w:rPr>
      </w:pPr>
    </w:p>
    <w:p>
      <w:pPr>
        <w:rPr>
          <w:rFonts w:hint="eastAsia"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br w:type="page"/>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spacing w:line="360" w:lineRule="auto"/>
        <w:contextualSpacing/>
        <w:rPr>
          <w:rFonts w:hint="default" w:asciiTheme="minorEastAsia" w:hAnsiTheme="minorEastAsia" w:eastAsiaTheme="minorEastAsia"/>
          <w:color w:val="000000"/>
          <w:szCs w:val="21"/>
          <w:lang w:val="en-US" w:eastAsia="zh-CN"/>
        </w:rPr>
      </w:pPr>
      <w:r>
        <w:rPr>
          <w:rFonts w:hint="eastAsia" w:asciiTheme="minorEastAsia" w:hAnsiTheme="minorEastAsia"/>
          <w:color w:val="000000"/>
          <w:szCs w:val="21"/>
          <w:lang w:val="en-US" w:eastAsia="zh-CN"/>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黑体" w:asciiTheme="minorEastAsia" w:hAnsiTheme="minorEastAsia"/>
          <w:b/>
          <w:bCs/>
          <w:sz w:val="44"/>
          <w:szCs w:val="44"/>
          <w:lang w:val="zh-CN"/>
        </w:rPr>
      </w:pPr>
      <w:r>
        <w:rPr>
          <w:rFonts w:hint="eastAsia" w:cs="宋体" w:asciiTheme="minorEastAsia" w:hAnsiTheme="minorEastAsia"/>
          <w:szCs w:val="21"/>
          <w:lang w:val="zh-CN"/>
        </w:rPr>
        <w:t>2、如谈判公告明确项目交付日期以年为单位，本表应填写完成该项目的年限。</w:t>
      </w:r>
    </w:p>
    <w:p>
      <w:pP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（项目名称、项目编号）采购的竞争性谈判公告及谈判邀请，_______（姓名和职务）被正式授权并代表供应商（供应商名称、地址）提交。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lang w:val="en-US" w:eastAsia="zh-CN"/>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val="en-US"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rPr>
          <w:rFonts w:cs="宋体" w:asciiTheme="minorEastAsia" w:hAnsiTheme="minorEastAsia"/>
          <w:szCs w:val="21"/>
        </w:rPr>
      </w:pPr>
    </w:p>
    <w:p>
      <w:pPr>
        <w:rPr>
          <w:rFonts w:hint="eastAsia"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3.4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Theme="minorEastAsia" w:hAnsiTheme="minorEastAsia"/>
          <w:snapToGrid w:val="0"/>
          <w:kern w:val="0"/>
          <w:szCs w:val="21"/>
          <w:u w:val="single"/>
        </w:rPr>
        <w:t>（采购人名称）</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日　  期：      年    月    日</w:t>
      </w:r>
    </w:p>
    <w:p>
      <w:r>
        <w:rPr>
          <w:rFonts w:hint="eastAsia" w:cs="Arial" w:asciiTheme="minorEastAsia" w:hAnsiTheme="minorEastAsia"/>
          <w:color w:val="000000"/>
          <w:szCs w:val="21"/>
        </w:rPr>
        <w:br w:type="page"/>
      </w:r>
    </w:p>
    <w:p>
      <w:pPr>
        <w:rPr>
          <w:rFonts w:cs="宋体" w:asciiTheme="minorEastAsia" w:hAnsiTheme="minorEastAsia"/>
          <w:szCs w:val="21"/>
          <w:lang w:val="zh-CN"/>
        </w:rPr>
      </w:pPr>
      <w:r>
        <w:rPr>
          <w:rFonts w:cs="宋体" w:asciiTheme="minorEastAsia" w:hAnsiTheme="minorEastAsia"/>
          <w:szCs w:val="21"/>
          <w:lang w:val="zh-CN"/>
        </w:rPr>
        <w:t>附件</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禹州市政府采购供应商信用承诺函</w:t>
      </w:r>
    </w:p>
    <w:p>
      <w:pPr>
        <w:rPr>
          <w:rFonts w:cs="宋体" w:asciiTheme="minorEastAsia" w:hAnsiTheme="minorEastAsia"/>
          <w:szCs w:val="21"/>
          <w:lang w:val="zh-CN"/>
        </w:rPr>
      </w:pPr>
      <w:r>
        <w:rPr>
          <w:rFonts w:hint="eastAsia" w:cs="宋体" w:asciiTheme="minorEastAsia" w:hAnsiTheme="minorEastAsia"/>
          <w:szCs w:val="21"/>
          <w:lang w:val="zh-CN"/>
        </w:rPr>
        <w:t xml:space="preserve"> </w:t>
      </w: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9"/>
        <w:rPr>
          <w:rFonts w:ascii="宋体" w:cs="宋体"/>
          <w:sz w:val="24"/>
          <w:lang w:val="zh-CN"/>
        </w:rPr>
      </w:pPr>
    </w:p>
    <w:p>
      <w:pPr>
        <w:pStyle w:val="9"/>
        <w:rPr>
          <w:rFonts w:ascii="宋体" w:cs="宋体"/>
          <w:sz w:val="24"/>
          <w:lang w:val="zh-CN"/>
        </w:rPr>
      </w:pPr>
    </w:p>
    <w:p>
      <w:pPr>
        <w:pStyle w:val="9"/>
        <w:rPr>
          <w:rFonts w:ascii="宋体" w:cs="宋体"/>
          <w:sz w:val="24"/>
          <w:lang w:val="zh-CN"/>
        </w:rPr>
      </w:pPr>
    </w:p>
    <w:p>
      <w:pPr>
        <w:spacing w:line="360" w:lineRule="auto"/>
        <w:jc w:val="center"/>
        <w:rPr>
          <w:rFonts w:hint="eastAsia"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5供应商</w:t>
      </w:r>
      <w:r>
        <w:rPr>
          <w:rFonts w:hint="eastAsia" w:ascii="宋体" w:hAnsi="宋体"/>
          <w:b/>
          <w:bCs/>
          <w:sz w:val="24"/>
          <w:szCs w:val="24"/>
        </w:rPr>
        <w:t>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outlineLvl w:val="0"/>
        <w:rPr>
          <w:rFonts w:ascii="宋体" w:cs="宋体"/>
          <w:sz w:val="24"/>
          <w:lang w:val="zh-CN"/>
        </w:rPr>
      </w:pPr>
    </w:p>
    <w:p>
      <w:pPr>
        <w:pStyle w:val="6"/>
        <w:rPr>
          <w:lang w:val="zh-CN"/>
        </w:rPr>
      </w:pPr>
    </w:p>
    <w:p>
      <w:pPr>
        <w:pStyle w:val="6"/>
        <w:rPr>
          <w:lang w:val="zh-CN"/>
        </w:rPr>
      </w:pPr>
    </w:p>
    <w:p>
      <w:pPr>
        <w:pStyle w:val="6"/>
        <w:rPr>
          <w:lang w:val="zh-CN"/>
        </w:rPr>
      </w:pPr>
    </w:p>
    <w:p>
      <w:pPr>
        <w:pStyle w:val="6"/>
        <w:rPr>
          <w:lang w:val="zh-CN"/>
        </w:rPr>
      </w:pPr>
    </w:p>
    <w:p>
      <w:pPr>
        <w:autoSpaceDE w:val="0"/>
        <w:autoSpaceDN w:val="0"/>
        <w:adjustRightInd w:val="0"/>
        <w:spacing w:line="360" w:lineRule="auto"/>
        <w:jc w:val="center"/>
        <w:outlineLvl w:val="0"/>
        <w:rPr>
          <w:rFonts w:ascii="宋体" w:hAnsi="宋体" w:cs="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6供应商</w:t>
      </w:r>
      <w:r>
        <w:rPr>
          <w:rFonts w:hint="eastAsia" w:ascii="宋体" w:hAnsi="宋体"/>
          <w:b/>
          <w:bCs/>
          <w:sz w:val="24"/>
          <w:szCs w:val="24"/>
        </w:rPr>
        <w:t>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pStyle w:val="9"/>
        <w:rPr>
          <w:rFonts w:ascii="宋体" w:cs="宋体"/>
          <w:sz w:val="24"/>
          <w:lang w:val="zh-CN"/>
        </w:rPr>
      </w:pPr>
    </w:p>
    <w:p>
      <w:pPr>
        <w:pStyle w:val="9"/>
        <w:rPr>
          <w:rFonts w:ascii="宋体" w:cs="宋体"/>
          <w:sz w:val="24"/>
          <w:lang w:val="zh-CN"/>
        </w:rPr>
      </w:pPr>
    </w:p>
    <w:p>
      <w:pPr>
        <w:pStyle w:val="9"/>
        <w:rPr>
          <w:rFonts w:ascii="宋体" w:cs="宋体"/>
          <w:sz w:val="24"/>
          <w:lang w:val="zh-CN"/>
        </w:rPr>
      </w:pPr>
    </w:p>
    <w:p>
      <w:pPr>
        <w:pStyle w:val="9"/>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四、符合性审查相关材料</w:t>
      </w:r>
    </w:p>
    <w:p>
      <w:pPr>
        <w:pStyle w:val="29"/>
        <w:ind w:firstLine="0" w:firstLineChars="0"/>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4.1分项报价表(格式自拟）</w:t>
      </w:r>
    </w:p>
    <w:p>
      <w:pPr>
        <w:autoSpaceDE w:val="0"/>
        <w:autoSpaceDN w:val="0"/>
        <w:adjustRightInd w:val="0"/>
        <w:spacing w:line="480" w:lineRule="auto"/>
        <w:rPr>
          <w:rFonts w:cs="宋体" w:asciiTheme="minorEastAsia" w:hAnsiTheme="minorEastAsia"/>
          <w:szCs w:val="21"/>
        </w:rPr>
      </w:pPr>
      <w:r>
        <w:rPr>
          <w:rFonts w:cs="宋体" w:asciiTheme="minorEastAsia" w:hAnsiTheme="minorEastAsia"/>
          <w:szCs w:val="21"/>
        </w:rPr>
        <w:t>采购编号</w:t>
      </w:r>
      <w:r>
        <w:rPr>
          <w:rFonts w:hint="eastAsia" w:cs="宋体" w:asciiTheme="minorEastAsia" w:hAnsiTheme="minorEastAsia"/>
          <w:szCs w:val="21"/>
        </w:rPr>
        <w:t>：</w:t>
      </w:r>
    </w:p>
    <w:p>
      <w:pPr>
        <w:autoSpaceDE w:val="0"/>
        <w:autoSpaceDN w:val="0"/>
        <w:adjustRightInd w:val="0"/>
        <w:spacing w:line="360" w:lineRule="auto"/>
        <w:outlineLvl w:val="0"/>
        <w:rPr>
          <w:rFonts w:ascii="宋体"/>
          <w:b/>
          <w:snapToGrid w:val="0"/>
          <w:kern w:val="0"/>
          <w:szCs w:val="21"/>
        </w:rPr>
      </w:pPr>
      <w:r>
        <w:rPr>
          <w:rFonts w:hint="eastAsia" w:ascii="宋体" w:hAnsi="宋体"/>
          <w:szCs w:val="21"/>
        </w:rPr>
        <w:t>项目名称：                                                       单位：元（人民币）</w:t>
      </w:r>
    </w:p>
    <w:tbl>
      <w:tblPr>
        <w:tblStyle w:val="24"/>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Cs w:val="21"/>
                <w:lang w:val="zh-CN"/>
              </w:rPr>
            </w:pPr>
            <w:r>
              <w:rPr>
                <w:rFonts w:hint="eastAsia" w:ascii="宋体" w:hAnsi="宋体" w:cs="宋体"/>
                <w:b/>
                <w:szCs w:val="21"/>
                <w:lang w:val="zh-CN"/>
              </w:rPr>
              <w:t>货物服务名称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40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r>
      <w:tr>
        <w:tblPrEx>
          <w:tblCellMar>
            <w:top w:w="0" w:type="dxa"/>
            <w:left w:w="108" w:type="dxa"/>
            <w:bottom w:w="0" w:type="dxa"/>
            <w:right w:w="108" w:type="dxa"/>
          </w:tblCellMar>
        </w:tblPrEx>
        <w:trPr>
          <w:trHeight w:val="48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Cs w:val="21"/>
              </w:rPr>
            </w:pPr>
          </w:p>
        </w:tc>
      </w:tr>
      <w:tr>
        <w:tblPrEx>
          <w:tblCellMar>
            <w:top w:w="0" w:type="dxa"/>
            <w:left w:w="108" w:type="dxa"/>
            <w:bottom w:w="0" w:type="dxa"/>
            <w:right w:w="108" w:type="dxa"/>
          </w:tblCellMar>
        </w:tblPrEx>
        <w:trPr>
          <w:trHeight w:val="527"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320" w:lineRule="exact"/>
        <w:rPr>
          <w:rFonts w:ascii="等线" w:hAnsi="等线" w:eastAsia="等线" w:cs="宋体"/>
          <w:sz w:val="24"/>
          <w:szCs w:val="24"/>
          <w:lang w:val="zh-CN"/>
        </w:rPr>
      </w:pPr>
      <w:r>
        <w:rPr>
          <w:rFonts w:ascii="等线" w:hAnsi="等线" w:eastAsia="等线" w:cs="宋体"/>
          <w:b/>
          <w:bCs/>
          <w:sz w:val="24"/>
          <w:szCs w:val="24"/>
          <w:lang w:val="zh-CN"/>
        </w:rPr>
        <w:t>填写说</w:t>
      </w:r>
      <w:r>
        <w:rPr>
          <w:rFonts w:hint="eastAsia" w:ascii="等线" w:hAnsi="等线" w:eastAsia="等线" w:cs="宋体"/>
          <w:b/>
          <w:bCs/>
          <w:sz w:val="24"/>
          <w:szCs w:val="24"/>
          <w:lang w:val="zh-CN"/>
        </w:rPr>
        <w:t>明</w:t>
      </w:r>
      <w:r>
        <w:rPr>
          <w:rFonts w:hint="eastAsia" w:ascii="等线" w:hAnsi="等线" w:eastAsia="等线" w:cs="宋体"/>
          <w:sz w:val="24"/>
          <w:szCs w:val="24"/>
          <w:lang w:val="zh-CN"/>
        </w:rPr>
        <w:t>：</w:t>
      </w:r>
    </w:p>
    <w:p>
      <w:pPr>
        <w:autoSpaceDE w:val="0"/>
        <w:autoSpaceDN w:val="0"/>
        <w:adjustRightInd w:val="0"/>
        <w:spacing w:line="320" w:lineRule="exact"/>
        <w:rPr>
          <w:rFonts w:ascii="等线" w:hAnsi="等线" w:eastAsia="等线" w:cs="宋体"/>
          <w:sz w:val="24"/>
          <w:szCs w:val="24"/>
          <w:lang w:val="zh-CN"/>
        </w:rPr>
      </w:pPr>
      <w:r>
        <w:rPr>
          <w:rFonts w:ascii="等线" w:hAnsi="等线" w:eastAsia="等线" w:cs="宋体"/>
          <w:sz w:val="24"/>
          <w:szCs w:val="24"/>
          <w:lang w:val="zh-CN"/>
        </w:rPr>
        <w:t xml:space="preserve">1. </w:t>
      </w:r>
      <w:r>
        <w:rPr>
          <w:rFonts w:hint="eastAsia" w:ascii="等线" w:hAnsi="等线" w:eastAsia="等线" w:cs="宋体"/>
          <w:sz w:val="24"/>
          <w:szCs w:val="24"/>
          <w:lang w:val="zh-CN"/>
        </w:rPr>
        <w:t>如果以</w:t>
      </w:r>
      <w:r>
        <w:rPr>
          <w:rFonts w:ascii="等线" w:hAnsi="等线" w:eastAsia="等线" w:cs="宋体"/>
          <w:sz w:val="24"/>
          <w:szCs w:val="24"/>
          <w:lang w:val="zh-CN"/>
        </w:rPr>
        <w:t>单</w:t>
      </w:r>
      <w:r>
        <w:rPr>
          <w:rFonts w:hint="eastAsia" w:ascii="等线" w:hAnsi="等线" w:eastAsia="等线" w:cs="宋体"/>
          <w:sz w:val="24"/>
          <w:szCs w:val="24"/>
          <w:lang w:val="zh-CN"/>
        </w:rPr>
        <w:t>价</w:t>
      </w:r>
      <w:r>
        <w:rPr>
          <w:rFonts w:ascii="等线" w:hAnsi="等线" w:eastAsia="等线" w:cs="宋体"/>
          <w:sz w:val="24"/>
          <w:szCs w:val="24"/>
          <w:lang w:val="zh-CN"/>
        </w:rPr>
        <w:t>计</w:t>
      </w:r>
      <w:r>
        <w:rPr>
          <w:rFonts w:hint="eastAsia" w:ascii="等线" w:hAnsi="等线" w:eastAsia="等线" w:cs="宋体"/>
          <w:sz w:val="24"/>
          <w:szCs w:val="24"/>
          <w:lang w:val="zh-CN"/>
        </w:rPr>
        <w:t>算的</w:t>
      </w:r>
      <w:r>
        <w:rPr>
          <w:rFonts w:ascii="等线" w:hAnsi="等线" w:eastAsia="等线" w:cs="宋体"/>
          <w:sz w:val="24"/>
          <w:szCs w:val="24"/>
          <w:lang w:val="zh-CN"/>
        </w:rPr>
        <w:t>结</w:t>
      </w:r>
      <w:r>
        <w:rPr>
          <w:rFonts w:hint="eastAsia" w:ascii="等线" w:hAnsi="等线" w:eastAsia="等线" w:cs="宋体"/>
          <w:sz w:val="24"/>
          <w:szCs w:val="24"/>
          <w:lang w:val="zh-CN"/>
        </w:rPr>
        <w:t>果与</w:t>
      </w:r>
      <w:r>
        <w:rPr>
          <w:rFonts w:ascii="等线" w:hAnsi="等线" w:eastAsia="等线" w:cs="宋体"/>
          <w:sz w:val="24"/>
          <w:szCs w:val="24"/>
          <w:lang w:val="zh-CN"/>
        </w:rPr>
        <w:t>总</w:t>
      </w:r>
      <w:r>
        <w:rPr>
          <w:rFonts w:hint="eastAsia" w:ascii="等线" w:hAnsi="等线" w:eastAsia="等线" w:cs="宋体"/>
          <w:sz w:val="24"/>
          <w:szCs w:val="24"/>
          <w:lang w:val="zh-CN"/>
        </w:rPr>
        <w:t>价不一致，</w:t>
      </w:r>
      <w:r>
        <w:rPr>
          <w:rFonts w:ascii="等线" w:hAnsi="等线" w:eastAsia="等线" w:cs="宋体"/>
          <w:sz w:val="24"/>
          <w:szCs w:val="24"/>
          <w:lang w:val="zh-CN"/>
        </w:rPr>
        <w:t>则</w:t>
      </w:r>
      <w:r>
        <w:rPr>
          <w:rFonts w:hint="eastAsia" w:ascii="等线" w:hAnsi="等线" w:eastAsia="等线" w:cs="宋体"/>
          <w:sz w:val="24"/>
          <w:szCs w:val="24"/>
          <w:lang w:val="zh-CN"/>
        </w:rPr>
        <w:t>以</w:t>
      </w:r>
      <w:r>
        <w:rPr>
          <w:rFonts w:ascii="等线" w:hAnsi="等线" w:eastAsia="等线" w:cs="宋体"/>
          <w:sz w:val="24"/>
          <w:szCs w:val="24"/>
          <w:lang w:val="zh-CN"/>
        </w:rPr>
        <w:t>单</w:t>
      </w:r>
      <w:r>
        <w:rPr>
          <w:rFonts w:hint="eastAsia" w:ascii="等线" w:hAnsi="等线" w:eastAsia="等线" w:cs="宋体"/>
          <w:sz w:val="24"/>
          <w:szCs w:val="24"/>
          <w:lang w:val="zh-CN"/>
        </w:rPr>
        <w:t>价</w:t>
      </w:r>
      <w:r>
        <w:rPr>
          <w:rFonts w:ascii="等线" w:hAnsi="等线" w:eastAsia="等线" w:cs="宋体"/>
          <w:sz w:val="24"/>
          <w:szCs w:val="24"/>
          <w:lang w:val="zh-CN"/>
        </w:rPr>
        <w:t>为</w:t>
      </w:r>
      <w:r>
        <w:rPr>
          <w:rFonts w:hint="eastAsia" w:ascii="等线" w:hAnsi="等线" w:eastAsia="等线" w:cs="宋体"/>
          <w:sz w:val="24"/>
          <w:szCs w:val="24"/>
          <w:lang w:val="zh-CN"/>
        </w:rPr>
        <w:t>准修正</w:t>
      </w:r>
      <w:r>
        <w:rPr>
          <w:rFonts w:ascii="等线" w:hAnsi="等线" w:eastAsia="等线" w:cs="宋体"/>
          <w:sz w:val="24"/>
          <w:szCs w:val="24"/>
          <w:lang w:val="zh-CN"/>
        </w:rPr>
        <w:t>总</w:t>
      </w:r>
      <w:r>
        <w:rPr>
          <w:rFonts w:hint="eastAsia" w:ascii="等线" w:hAnsi="等线" w:eastAsia="等线" w:cs="宋体"/>
          <w:sz w:val="24"/>
          <w:szCs w:val="24"/>
          <w:lang w:val="zh-CN"/>
        </w:rPr>
        <w:t>价。</w:t>
      </w:r>
    </w:p>
    <w:p>
      <w:pPr>
        <w:autoSpaceDE w:val="0"/>
        <w:autoSpaceDN w:val="0"/>
        <w:adjustRightInd w:val="0"/>
        <w:spacing w:line="320" w:lineRule="exact"/>
        <w:rPr>
          <w:rFonts w:ascii="等线" w:hAnsi="等线" w:eastAsia="等线" w:cs="宋体"/>
          <w:sz w:val="24"/>
          <w:szCs w:val="24"/>
          <w:lang w:val="zh-CN"/>
        </w:rPr>
      </w:pPr>
      <w:r>
        <w:rPr>
          <w:rFonts w:ascii="等线" w:hAnsi="等线" w:eastAsia="等线" w:cs="宋体"/>
          <w:sz w:val="24"/>
          <w:szCs w:val="24"/>
          <w:lang w:val="zh-CN"/>
        </w:rPr>
        <w:t xml:space="preserve">2. </w:t>
      </w:r>
      <w:r>
        <w:rPr>
          <w:rFonts w:hint="eastAsia" w:ascii="等线" w:hAnsi="等线" w:eastAsia="等线" w:cs="宋体"/>
          <w:sz w:val="24"/>
          <w:szCs w:val="24"/>
          <w:lang w:val="zh-CN"/>
        </w:rPr>
        <w:t>投</w:t>
      </w:r>
      <w:r>
        <w:rPr>
          <w:rFonts w:ascii="等线" w:hAnsi="等线" w:eastAsia="等线" w:cs="宋体"/>
          <w:sz w:val="24"/>
          <w:szCs w:val="24"/>
          <w:lang w:val="zh-CN"/>
        </w:rPr>
        <w:t>标</w:t>
      </w:r>
      <w:r>
        <w:rPr>
          <w:rFonts w:hint="eastAsia" w:ascii="等线" w:hAnsi="等线" w:eastAsia="等线" w:cs="宋体"/>
          <w:sz w:val="24"/>
          <w:szCs w:val="24"/>
          <w:lang w:val="zh-CN"/>
        </w:rPr>
        <w:t>明</w:t>
      </w:r>
      <w:r>
        <w:rPr>
          <w:rFonts w:ascii="等线" w:hAnsi="等线" w:eastAsia="等线" w:cs="宋体"/>
          <w:sz w:val="24"/>
          <w:szCs w:val="24"/>
          <w:lang w:val="zh-CN"/>
        </w:rPr>
        <w:t>细报价应按</w:t>
      </w:r>
      <w:r>
        <w:rPr>
          <w:rFonts w:hint="eastAsia" w:ascii="等线" w:hAnsi="等线" w:eastAsia="等线" w:cs="宋体"/>
          <w:sz w:val="24"/>
          <w:szCs w:val="24"/>
          <w:lang w:val="zh-CN"/>
        </w:rPr>
        <w:t>投</w:t>
      </w:r>
      <w:r>
        <w:rPr>
          <w:rFonts w:ascii="等线" w:hAnsi="等线" w:eastAsia="等线" w:cs="宋体"/>
          <w:sz w:val="24"/>
          <w:szCs w:val="24"/>
          <w:lang w:val="zh-CN"/>
        </w:rPr>
        <w:t>标</w:t>
      </w:r>
      <w:r>
        <w:rPr>
          <w:rFonts w:hint="eastAsia" w:ascii="等线" w:hAnsi="等线" w:eastAsia="等线" w:cs="宋体"/>
          <w:sz w:val="24"/>
          <w:szCs w:val="24"/>
          <w:lang w:val="zh-CN"/>
        </w:rPr>
        <w:t>序</w:t>
      </w:r>
      <w:r>
        <w:rPr>
          <w:rFonts w:ascii="等线" w:hAnsi="等线" w:eastAsia="等线" w:cs="宋体"/>
          <w:sz w:val="24"/>
          <w:szCs w:val="24"/>
          <w:lang w:val="zh-CN"/>
        </w:rPr>
        <w:t>号</w:t>
      </w:r>
      <w:r>
        <w:rPr>
          <w:rFonts w:hint="eastAsia" w:ascii="等线" w:hAnsi="等线" w:eastAsia="等线" w:cs="宋体"/>
          <w:sz w:val="24"/>
          <w:szCs w:val="24"/>
          <w:lang w:val="zh-CN"/>
        </w:rPr>
        <w:t>填列。</w:t>
      </w:r>
    </w:p>
    <w:p>
      <w:pPr>
        <w:autoSpaceDE w:val="0"/>
        <w:autoSpaceDN w:val="0"/>
        <w:adjustRightInd w:val="0"/>
        <w:spacing w:line="320" w:lineRule="exact"/>
        <w:rPr>
          <w:rFonts w:ascii="等线" w:hAnsi="等线" w:eastAsia="等线" w:cs="宋体"/>
          <w:sz w:val="24"/>
          <w:szCs w:val="24"/>
          <w:lang w:val="zh-CN"/>
        </w:rPr>
      </w:pPr>
    </w:p>
    <w:p>
      <w:pPr>
        <w:autoSpaceDE w:val="0"/>
        <w:autoSpaceDN w:val="0"/>
        <w:adjustRightInd w:val="0"/>
        <w:spacing w:line="320" w:lineRule="exact"/>
        <w:rPr>
          <w:rFonts w:ascii="等线" w:hAnsi="等线" w:eastAsia="等线" w:cs="宋体"/>
          <w:sz w:val="24"/>
          <w:szCs w:val="24"/>
          <w:lang w:val="zh-CN"/>
        </w:rPr>
      </w:pPr>
      <w:r>
        <w:rPr>
          <w:rFonts w:hint="eastAsia" w:ascii="等线" w:hAnsi="等线" w:eastAsia="等线" w:cs="宋体"/>
          <w:sz w:val="24"/>
          <w:szCs w:val="24"/>
          <w:lang w:val="zh-CN"/>
        </w:rPr>
        <w:t>供应商名</w:t>
      </w:r>
      <w:r>
        <w:rPr>
          <w:rFonts w:ascii="等线" w:hAnsi="等线" w:eastAsia="等线" w:cs="宋体"/>
          <w:sz w:val="24"/>
          <w:szCs w:val="24"/>
          <w:lang w:val="zh-CN"/>
        </w:rPr>
        <w:t>称</w:t>
      </w:r>
      <w:r>
        <w:rPr>
          <w:rFonts w:hint="eastAsia" w:ascii="等线" w:hAnsi="等线" w:eastAsia="等线" w:cs="宋体"/>
          <w:sz w:val="24"/>
          <w:szCs w:val="24"/>
          <w:lang w:val="zh-CN"/>
        </w:rPr>
        <w:t>（并加</w:t>
      </w:r>
      <w:r>
        <w:rPr>
          <w:rFonts w:ascii="等线" w:hAnsi="等线" w:eastAsia="等线" w:cs="宋体"/>
          <w:sz w:val="24"/>
          <w:szCs w:val="24"/>
          <w:lang w:val="zh-CN"/>
        </w:rPr>
        <w:t>盖</w:t>
      </w:r>
      <w:r>
        <w:rPr>
          <w:rFonts w:hint="eastAsia" w:ascii="等线" w:hAnsi="等线" w:eastAsia="等线" w:cs="宋体"/>
          <w:sz w:val="24"/>
          <w:szCs w:val="24"/>
          <w:lang w:val="zh-CN"/>
        </w:rPr>
        <w:t>公章）：</w:t>
      </w:r>
    </w:p>
    <w:p>
      <w:pPr>
        <w:autoSpaceDE w:val="0"/>
        <w:autoSpaceDN w:val="0"/>
        <w:adjustRightInd w:val="0"/>
        <w:spacing w:line="320" w:lineRule="exact"/>
        <w:rPr>
          <w:rFonts w:ascii="等线" w:hAnsi="等线" w:eastAsia="等线" w:cs="宋体"/>
          <w:sz w:val="24"/>
          <w:szCs w:val="24"/>
          <w:lang w:val="zh-CN"/>
        </w:rPr>
      </w:pPr>
      <w:r>
        <w:rPr>
          <w:rFonts w:hint="eastAsia" w:ascii="等线" w:hAnsi="等线" w:eastAsia="等线" w:cs="宋体"/>
          <w:sz w:val="24"/>
          <w:szCs w:val="24"/>
          <w:lang w:val="zh-CN"/>
        </w:rPr>
        <w:t>法定代表人（代表人）或其授</w:t>
      </w:r>
      <w:r>
        <w:rPr>
          <w:rFonts w:ascii="等线" w:hAnsi="等线" w:eastAsia="等线" w:cs="宋体"/>
          <w:sz w:val="24"/>
          <w:szCs w:val="24"/>
          <w:lang w:val="zh-CN"/>
        </w:rPr>
        <w:t>权</w:t>
      </w:r>
      <w:r>
        <w:rPr>
          <w:rFonts w:hint="eastAsia" w:ascii="等线" w:hAnsi="等线" w:eastAsia="等线" w:cs="宋体"/>
          <w:sz w:val="24"/>
          <w:szCs w:val="24"/>
          <w:lang w:val="zh-CN"/>
        </w:rPr>
        <w:t>委托人：（法定代表人（代表人）可签字或加盖名章，授权委托人必须签字）</w:t>
      </w:r>
    </w:p>
    <w:p>
      <w:pPr>
        <w:autoSpaceDE w:val="0"/>
        <w:autoSpaceDN w:val="0"/>
        <w:adjustRightInd w:val="0"/>
        <w:spacing w:line="320" w:lineRule="exact"/>
        <w:rPr>
          <w:rFonts w:ascii="等线" w:hAnsi="等线" w:eastAsia="等线" w:cs="宋体"/>
          <w:sz w:val="24"/>
          <w:szCs w:val="24"/>
          <w:lang w:val="zh-CN"/>
        </w:rPr>
      </w:pPr>
      <w:r>
        <w:rPr>
          <w:rFonts w:ascii="等线" w:hAnsi="等线" w:eastAsia="等线" w:cs="宋体"/>
          <w:sz w:val="24"/>
          <w:szCs w:val="24"/>
          <w:lang w:val="zh-CN"/>
        </w:rPr>
        <w:t>签</w:t>
      </w:r>
      <w:r>
        <w:rPr>
          <w:rFonts w:hint="eastAsia" w:ascii="等线" w:hAnsi="等线" w:eastAsia="等线" w:cs="宋体"/>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ascii="宋体" w:hAnsi="宋体"/>
          <w:b/>
          <w:bCs/>
          <w:sz w:val="24"/>
          <w:szCs w:val="24"/>
        </w:rPr>
      </w:pPr>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10057" w:type="dxa"/>
        <w:tblInd w:w="0" w:type="dxa"/>
        <w:tblLayout w:type="fixed"/>
        <w:tblCellMar>
          <w:top w:w="0" w:type="dxa"/>
          <w:left w:w="108" w:type="dxa"/>
          <w:bottom w:w="0" w:type="dxa"/>
          <w:right w:w="108" w:type="dxa"/>
        </w:tblCellMar>
      </w:tblPr>
      <w:tblGrid>
        <w:gridCol w:w="674"/>
        <w:gridCol w:w="1728"/>
        <w:gridCol w:w="1418"/>
        <w:gridCol w:w="1418"/>
        <w:gridCol w:w="1417"/>
        <w:gridCol w:w="1985"/>
        <w:gridCol w:w="1417"/>
      </w:tblGrid>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货物服务名称</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bCs/>
                <w:szCs w:val="21"/>
              </w:rPr>
            </w:pPr>
            <w:r>
              <w:rPr>
                <w:rFonts w:hint="eastAsia" w:ascii="宋体" w:hAnsi="宋体" w:eastAsia="宋体" w:cs="宋体"/>
                <w:b/>
                <w:bCs/>
                <w:szCs w:val="21"/>
              </w:rPr>
              <w:t>规格型号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谈判文件</w:t>
            </w:r>
          </w:p>
          <w:p>
            <w:pPr>
              <w:jc w:val="center"/>
              <w:rPr>
                <w:rFonts w:ascii="宋体" w:hAnsi="宋体" w:eastAsia="宋体" w:cs="宋体"/>
                <w:b/>
                <w:bCs/>
                <w:szCs w:val="21"/>
              </w:rPr>
            </w:pPr>
            <w:r>
              <w:rPr>
                <w:rFonts w:hint="eastAsia" w:ascii="宋体" w:hAnsi="宋体" w:eastAsia="宋体" w:cs="宋体"/>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响应文件</w:t>
            </w:r>
          </w:p>
          <w:p>
            <w:pPr>
              <w:jc w:val="center"/>
              <w:rPr>
                <w:rFonts w:ascii="宋体" w:hAnsi="宋体" w:eastAsia="宋体" w:cs="宋体"/>
                <w:b/>
                <w:bCs/>
                <w:szCs w:val="21"/>
              </w:rPr>
            </w:pPr>
            <w:r>
              <w:rPr>
                <w:rFonts w:hint="eastAsia" w:ascii="宋体" w:hAnsi="宋体" w:eastAsia="宋体" w:cs="宋体"/>
                <w:b/>
                <w:bCs/>
                <w:szCs w:val="21"/>
              </w:rPr>
              <w:t>技术参数</w:t>
            </w:r>
          </w:p>
        </w:tc>
        <w:tc>
          <w:tcPr>
            <w:tcW w:w="198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偏离</w:t>
            </w:r>
          </w:p>
          <w:p>
            <w:pPr>
              <w:jc w:val="center"/>
              <w:rPr>
                <w:rFonts w:ascii="宋体" w:hAnsi="Calibri"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偏离内容</w:t>
            </w:r>
          </w:p>
          <w:p>
            <w:pPr>
              <w:jc w:val="center"/>
              <w:rPr>
                <w:rFonts w:ascii="宋体" w:hAnsi="宋体" w:eastAsia="宋体" w:cs="宋体"/>
                <w:b/>
                <w:bCs/>
                <w:szCs w:val="21"/>
              </w:rPr>
            </w:pPr>
            <w:r>
              <w:rPr>
                <w:rFonts w:hint="eastAsia" w:ascii="宋体" w:hAnsi="宋体" w:eastAsia="宋体" w:cs="宋体"/>
                <w:b/>
                <w:bCs/>
                <w:szCs w:val="21"/>
              </w:rPr>
              <w:t>说明</w:t>
            </w:r>
          </w:p>
        </w:tc>
      </w:tr>
      <w:tr>
        <w:tblPrEx>
          <w:tblCellMar>
            <w:top w:w="0" w:type="dxa"/>
            <w:left w:w="108" w:type="dxa"/>
            <w:bottom w:w="0" w:type="dxa"/>
            <w:right w:w="108" w:type="dxa"/>
          </w:tblCellMar>
        </w:tblPrEx>
        <w:trPr>
          <w:trHeight w:val="57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szCs w:val="21"/>
              </w:rPr>
            </w:pPr>
          </w:p>
        </w:tc>
      </w:tr>
      <w:tr>
        <w:tblPrEx>
          <w:tblCellMar>
            <w:top w:w="0" w:type="dxa"/>
            <w:left w:w="108" w:type="dxa"/>
            <w:bottom w:w="0" w:type="dxa"/>
            <w:right w:w="108" w:type="dxa"/>
          </w:tblCellMar>
        </w:tblPrEx>
        <w:trPr>
          <w:trHeight w:val="55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Cs/>
                <w:szCs w:val="21"/>
              </w:rPr>
            </w:pPr>
            <w:r>
              <w:rPr>
                <w:rFonts w:hint="eastAsia" w:ascii="宋体" w:hAnsi="宋体" w:eastAsia="宋体" w:cs="Times New Roman"/>
                <w:szCs w:val="21"/>
              </w:rPr>
              <w:t>…</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pStyle w:val="29"/>
      </w:pPr>
    </w:p>
    <w:p>
      <w:pPr>
        <w:autoSpaceDE w:val="0"/>
        <w:autoSpaceDN w:val="0"/>
        <w:adjustRightInd w:val="0"/>
        <w:spacing w:line="480" w:lineRule="auto"/>
        <w:rPr>
          <w:rFonts w:cs="宋体" w:asciiTheme="minorEastAsia" w:hAnsiTheme="minorEastAsia"/>
          <w:szCs w:val="21"/>
        </w:rPr>
      </w:pPr>
    </w:p>
    <w:p>
      <w:pPr>
        <w:pStyle w:val="2"/>
        <w:numPr>
          <w:ilvl w:val="3"/>
          <w:numId w:val="0"/>
        </w:numPr>
        <w:ind w:leftChars="0"/>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 </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技术方案（</w:t>
      </w:r>
      <w:r>
        <w:rPr>
          <w:rFonts w:hint="eastAsia" w:ascii="宋体" w:hAnsi="宋体"/>
          <w:b/>
          <w:bCs/>
          <w:color w:val="000000"/>
          <w:sz w:val="24"/>
          <w:szCs w:val="24"/>
          <w:lang w:val="en-US" w:eastAsia="zh-CN"/>
        </w:rPr>
        <w:t>实施</w:t>
      </w:r>
      <w:r>
        <w:rPr>
          <w:rFonts w:hint="eastAsia" w:ascii="宋体" w:hAnsi="宋体"/>
          <w:b/>
          <w:bCs/>
          <w:color w:val="000000"/>
          <w:sz w:val="24"/>
          <w:szCs w:val="24"/>
        </w:rPr>
        <w:t>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numPr>
          <w:ilvl w:val="3"/>
          <w:numId w:val="0"/>
        </w:numPr>
      </w:pPr>
    </w:p>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ascii="宋体" w:hAnsi="宋体"/>
          <w:b/>
          <w:bCs/>
          <w:color w:val="000000"/>
          <w:sz w:val="24"/>
          <w:szCs w:val="24"/>
        </w:rPr>
        <w:t>中小企业声明函（</w:t>
      </w:r>
      <w:r>
        <w:rPr>
          <w:rFonts w:hint="eastAsia" w:ascii="宋体" w:hAnsi="宋体"/>
          <w:b/>
          <w:bCs/>
          <w:color w:val="000000"/>
          <w:sz w:val="24"/>
          <w:szCs w:val="24"/>
        </w:rPr>
        <w:t>工</w:t>
      </w:r>
      <w:r>
        <w:rPr>
          <w:rFonts w:ascii="宋体" w:hAnsi="宋体"/>
          <w:b/>
          <w:bCs/>
          <w:color w:val="000000"/>
          <w:sz w:val="24"/>
          <w:szCs w:val="24"/>
        </w:rPr>
        <w:t>程）</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w:t>
      </w:r>
      <w:r>
        <w:rPr>
          <w:rFonts w:hint="eastAsia"/>
        </w:rPr>
        <w:t>工</w:t>
      </w:r>
      <w:r>
        <w:t>程全部由符合政策要求的中小企业制造。相关企业（含联合体中的中小企业、签订分包意向协议的中小企业）的具体情况如下：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pStyle w:val="2"/>
        <w:numPr>
          <w:ilvl w:val="3"/>
          <w:numId w:val="0"/>
        </w:numPr>
        <w:ind w:leftChars="0"/>
        <w:rPr>
          <w:rFonts w:hint="eastAsia"/>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cs="黑体" w:asciiTheme="minorEastAsia" w:hAnsiTheme="minorEastAsia"/>
          <w:b/>
          <w:bCs/>
          <w:sz w:val="44"/>
          <w:szCs w:val="44"/>
          <w:lang w:val="zh-CN"/>
        </w:rPr>
      </w:pPr>
      <w:r>
        <w:rPr>
          <w:rFonts w:hint="eastAsia" w:ascii="宋体" w:hAnsi="宋体" w:cs="Arial"/>
          <w:kern w:val="0"/>
          <w:szCs w:val="21"/>
        </w:rPr>
        <w:t>供应商所投产品涉及国家有属强制性规定的，须承诺其所投产品符合国家强制性要求（如CCC认证，格式自拟）</w:t>
      </w:r>
    </w:p>
    <w:p/>
    <w:p/>
    <w:p/>
    <w:p/>
    <w:p/>
    <w:p/>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9"/>
        <w:ind w:firstLine="480"/>
        <w:rPr>
          <w:rFonts w:cs="宋体" w:asciiTheme="minorEastAsia" w:hAnsiTheme="minorEastAsia"/>
          <w:sz w:val="24"/>
          <w:szCs w:val="24"/>
          <w:lang w:val="zh-CN"/>
        </w:rPr>
      </w:pPr>
    </w:p>
    <w:p>
      <w:pPr>
        <w:pStyle w:val="29"/>
        <w:ind w:firstLine="480"/>
        <w:rPr>
          <w:rFonts w:cs="宋体" w:asciiTheme="minorEastAsia" w:hAnsiTheme="minorEastAsia"/>
          <w:sz w:val="24"/>
          <w:szCs w:val="24"/>
          <w:lang w:val="zh-CN"/>
        </w:rPr>
      </w:pPr>
    </w:p>
    <w:p>
      <w:pPr>
        <w:pStyle w:val="29"/>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sectPr>
      <w:footerReference r:id="rId3" w:type="default"/>
      <w:pgSz w:w="11906" w:h="16838"/>
      <w:pgMar w:top="1928" w:right="1417"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1E683"/>
    <w:multiLevelType w:val="singleLevel"/>
    <w:tmpl w:val="87E1E683"/>
    <w:lvl w:ilvl="0" w:tentative="0">
      <w:start w:val="3"/>
      <w:numFmt w:val="chineseCounting"/>
      <w:suff w:val="nothing"/>
      <w:lvlText w:val="（%1）"/>
      <w:lvlJc w:val="left"/>
      <w:rPr>
        <w:rFonts w:hint="eastAsia"/>
      </w:rPr>
    </w:lvl>
  </w:abstractNum>
  <w:abstractNum w:abstractNumId="1">
    <w:nsid w:val="AC2421DE"/>
    <w:multiLevelType w:val="singleLevel"/>
    <w:tmpl w:val="AC2421DE"/>
    <w:lvl w:ilvl="0" w:tentative="0">
      <w:start w:val="8"/>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C425714"/>
    <w:multiLevelType w:val="singleLevel"/>
    <w:tmpl w:val="0C425714"/>
    <w:lvl w:ilvl="0" w:tentative="0">
      <w:start w:val="5"/>
      <w:numFmt w:val="decimal"/>
      <w:suff w:val="nothing"/>
      <w:lvlText w:val="%1、"/>
      <w:lvlJc w:val="left"/>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68B4E7D"/>
    <w:multiLevelType w:val="multilevel"/>
    <w:tmpl w:val="268B4E7D"/>
    <w:lvl w:ilvl="0" w:tentative="0">
      <w:start w:val="28"/>
      <w:numFmt w:val="decimal"/>
      <w:lvlText w:val="%1"/>
      <w:lvlJc w:val="left"/>
      <w:pPr>
        <w:ind w:left="420" w:hanging="420"/>
      </w:pPr>
      <w:rPr>
        <w:rFonts w:hint="default"/>
      </w:rPr>
    </w:lvl>
    <w:lvl w:ilvl="1" w:tentative="0">
      <w:start w:val="7"/>
      <w:numFmt w:val="decimal"/>
      <w:lvlText w:val="%1.%2"/>
      <w:lvlJc w:val="left"/>
      <w:pPr>
        <w:ind w:left="1050" w:hanging="420"/>
      </w:pPr>
      <w:rPr>
        <w:rFonts w:hint="default"/>
      </w:rPr>
    </w:lvl>
    <w:lvl w:ilvl="2" w:tentative="0">
      <w:start w:val="1"/>
      <w:numFmt w:val="decimal"/>
      <w:lvlText w:val="%1.%2.%3"/>
      <w:lvlJc w:val="left"/>
      <w:pPr>
        <w:ind w:left="1980" w:hanging="720"/>
      </w:pPr>
      <w:rPr>
        <w:rFonts w:hint="default"/>
      </w:rPr>
    </w:lvl>
    <w:lvl w:ilvl="3" w:tentative="0">
      <w:start w:val="1"/>
      <w:numFmt w:val="decimal"/>
      <w:lvlText w:val="%1.%2.%3.%4"/>
      <w:lvlJc w:val="left"/>
      <w:pPr>
        <w:ind w:left="2970" w:hanging="1080"/>
      </w:pPr>
      <w:rPr>
        <w:rFonts w:hint="default"/>
      </w:rPr>
    </w:lvl>
    <w:lvl w:ilvl="4" w:tentative="0">
      <w:start w:val="1"/>
      <w:numFmt w:val="decimal"/>
      <w:lvlText w:val="%1.%2.%3.%4.%5"/>
      <w:lvlJc w:val="left"/>
      <w:pPr>
        <w:ind w:left="3600" w:hanging="1080"/>
      </w:pPr>
      <w:rPr>
        <w:rFonts w:hint="default"/>
      </w:rPr>
    </w:lvl>
    <w:lvl w:ilvl="5" w:tentative="0">
      <w:start w:val="1"/>
      <w:numFmt w:val="decimal"/>
      <w:lvlText w:val="%1.%2.%3.%4.%5.%6"/>
      <w:lvlJc w:val="left"/>
      <w:pPr>
        <w:ind w:left="4590" w:hanging="1440"/>
      </w:pPr>
      <w:rPr>
        <w:rFonts w:hint="default"/>
      </w:rPr>
    </w:lvl>
    <w:lvl w:ilvl="6" w:tentative="0">
      <w:start w:val="1"/>
      <w:numFmt w:val="decimal"/>
      <w:lvlText w:val="%1.%2.%3.%4.%5.%6.%7"/>
      <w:lvlJc w:val="left"/>
      <w:pPr>
        <w:ind w:left="5220" w:hanging="1440"/>
      </w:pPr>
      <w:rPr>
        <w:rFonts w:hint="default"/>
      </w:rPr>
    </w:lvl>
    <w:lvl w:ilvl="7" w:tentative="0">
      <w:start w:val="1"/>
      <w:numFmt w:val="decimal"/>
      <w:lvlText w:val="%1.%2.%3.%4.%5.%6.%7.%8"/>
      <w:lvlJc w:val="left"/>
      <w:pPr>
        <w:ind w:left="6210" w:hanging="1800"/>
      </w:pPr>
      <w:rPr>
        <w:rFonts w:hint="default"/>
      </w:rPr>
    </w:lvl>
    <w:lvl w:ilvl="8" w:tentative="0">
      <w:start w:val="1"/>
      <w:numFmt w:val="decimal"/>
      <w:lvlText w:val="%1.%2.%3.%4.%5.%6.%7.%8.%9"/>
      <w:lvlJc w:val="left"/>
      <w:pPr>
        <w:ind w:left="6840" w:hanging="1800"/>
      </w:pPr>
      <w:rPr>
        <w:rFonts w:hint="default"/>
      </w:rPr>
    </w:lvl>
  </w:abstractNum>
  <w:abstractNum w:abstractNumId="1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2C7A7622"/>
    <w:multiLevelType w:val="singleLevel"/>
    <w:tmpl w:val="2C7A7622"/>
    <w:lvl w:ilvl="0" w:tentative="0">
      <w:start w:val="1"/>
      <w:numFmt w:val="chineseCounting"/>
      <w:suff w:val="space"/>
      <w:lvlText w:val="第%1章"/>
      <w:lvlJc w:val="left"/>
      <w:rPr>
        <w:rFonts w:hint="eastAsia"/>
      </w:r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45F74EBF"/>
    <w:multiLevelType w:val="multilevel"/>
    <w:tmpl w:val="45F74EBF"/>
    <w:lvl w:ilvl="0" w:tentative="0">
      <w:start w:val="28"/>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8">
    <w:nsid w:val="4F17597A"/>
    <w:multiLevelType w:val="multilevel"/>
    <w:tmpl w:val="4F17597A"/>
    <w:lvl w:ilvl="0" w:tentative="0">
      <w:start w:val="35"/>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59F817E8"/>
    <w:multiLevelType w:val="singleLevel"/>
    <w:tmpl w:val="59F817E8"/>
    <w:lvl w:ilvl="0" w:tentative="0">
      <w:start w:val="1"/>
      <w:numFmt w:val="chineseCounting"/>
      <w:pStyle w:val="59"/>
      <w:suff w:val="nothing"/>
      <w:lvlText w:val="%1、"/>
      <w:lvlJc w:val="left"/>
    </w:lvl>
  </w:abstractNum>
  <w:abstractNum w:abstractNumId="33">
    <w:nsid w:val="5A051E9E"/>
    <w:multiLevelType w:val="singleLevel"/>
    <w:tmpl w:val="5A051E9E"/>
    <w:lvl w:ilvl="0" w:tentative="0">
      <w:start w:val="1"/>
      <w:numFmt w:val="chineseCounting"/>
      <w:suff w:val="nothing"/>
      <w:lvlText w:val="%1、"/>
      <w:lvlJc w:val="left"/>
    </w:lvl>
  </w:abstractNum>
  <w:abstractNum w:abstractNumId="34">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79209FB"/>
    <w:multiLevelType w:val="multilevel"/>
    <w:tmpl w:val="679209FB"/>
    <w:lvl w:ilvl="0" w:tentative="0">
      <w:start w:val="33"/>
      <w:numFmt w:val="decimal"/>
      <w:lvlText w:val="%1"/>
      <w:lvlJc w:val="left"/>
      <w:pPr>
        <w:ind w:left="420" w:hanging="420"/>
      </w:pPr>
      <w:rPr>
        <w:rFonts w:hint="default"/>
      </w:rPr>
    </w:lvl>
    <w:lvl w:ilvl="1" w:tentative="0">
      <w:start w:val="1"/>
      <w:numFmt w:val="decimal"/>
      <w:lvlText w:val="%1.%2"/>
      <w:lvlJc w:val="left"/>
      <w:pPr>
        <w:ind w:left="840" w:hanging="42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37">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B15616B"/>
    <w:multiLevelType w:val="multilevel"/>
    <w:tmpl w:val="6B15616B"/>
    <w:lvl w:ilvl="0" w:tentative="0">
      <w:start w:val="29"/>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5">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8EA6F9B"/>
    <w:multiLevelType w:val="multilevel"/>
    <w:tmpl w:val="78EA6F9B"/>
    <w:lvl w:ilvl="0" w:tentative="0">
      <w:start w:val="27"/>
      <w:numFmt w:val="decimal"/>
      <w:lvlText w:val="%1"/>
      <w:lvlJc w:val="left"/>
      <w:pPr>
        <w:ind w:left="630" w:hanging="630"/>
      </w:pPr>
      <w:rPr>
        <w:rFonts w:hint="default"/>
      </w:rPr>
    </w:lvl>
    <w:lvl w:ilvl="1" w:tentative="0">
      <w:start w:val="1"/>
      <w:numFmt w:val="decimal"/>
      <w:lvlText w:val="%1.%2"/>
      <w:lvlJc w:val="left"/>
      <w:pPr>
        <w:ind w:left="682" w:hanging="630"/>
      </w:pPr>
      <w:rPr>
        <w:rFonts w:hint="default"/>
      </w:rPr>
    </w:lvl>
    <w:lvl w:ilvl="2" w:tentative="0">
      <w:start w:val="2"/>
      <w:numFmt w:val="decimal"/>
      <w:lvlText w:val="%1.%2.%3"/>
      <w:lvlJc w:val="left"/>
      <w:pPr>
        <w:ind w:left="824" w:hanging="720"/>
      </w:pPr>
      <w:rPr>
        <w:rFonts w:hint="default"/>
      </w:rPr>
    </w:lvl>
    <w:lvl w:ilvl="3" w:tentative="0">
      <w:start w:val="1"/>
      <w:numFmt w:val="decimal"/>
      <w:lvlText w:val="%1.%2.%3.%4"/>
      <w:lvlJc w:val="left"/>
      <w:pPr>
        <w:ind w:left="1236" w:hanging="1080"/>
      </w:pPr>
      <w:rPr>
        <w:rFonts w:hint="default"/>
      </w:rPr>
    </w:lvl>
    <w:lvl w:ilvl="4" w:tentative="0">
      <w:start w:val="1"/>
      <w:numFmt w:val="decimal"/>
      <w:lvlText w:val="%1.%2.%3.%4.%5"/>
      <w:lvlJc w:val="left"/>
      <w:pPr>
        <w:ind w:left="1288" w:hanging="1080"/>
      </w:pPr>
      <w:rPr>
        <w:rFonts w:hint="default"/>
      </w:rPr>
    </w:lvl>
    <w:lvl w:ilvl="5" w:tentative="0">
      <w:start w:val="1"/>
      <w:numFmt w:val="decimal"/>
      <w:lvlText w:val="%1.%2.%3.%4.%5.%6"/>
      <w:lvlJc w:val="left"/>
      <w:pPr>
        <w:ind w:left="1700" w:hanging="1440"/>
      </w:pPr>
      <w:rPr>
        <w:rFonts w:hint="default"/>
      </w:rPr>
    </w:lvl>
    <w:lvl w:ilvl="6" w:tentative="0">
      <w:start w:val="1"/>
      <w:numFmt w:val="decimal"/>
      <w:lvlText w:val="%1.%2.%3.%4.%5.%6.%7"/>
      <w:lvlJc w:val="left"/>
      <w:pPr>
        <w:ind w:left="1752" w:hanging="1440"/>
      </w:pPr>
      <w:rPr>
        <w:rFonts w:hint="default"/>
      </w:rPr>
    </w:lvl>
    <w:lvl w:ilvl="7" w:tentative="0">
      <w:start w:val="1"/>
      <w:numFmt w:val="decimal"/>
      <w:lvlText w:val="%1.%2.%3.%4.%5.%6.%7.%8"/>
      <w:lvlJc w:val="left"/>
      <w:pPr>
        <w:ind w:left="2164" w:hanging="1800"/>
      </w:pPr>
      <w:rPr>
        <w:rFonts w:hint="default"/>
      </w:rPr>
    </w:lvl>
    <w:lvl w:ilvl="8" w:tentative="0">
      <w:start w:val="1"/>
      <w:numFmt w:val="decimal"/>
      <w:lvlText w:val="%1.%2.%3.%4.%5.%6.%7.%8.%9"/>
      <w:lvlJc w:val="left"/>
      <w:pPr>
        <w:ind w:left="2216" w:hanging="1800"/>
      </w:pPr>
      <w:rPr>
        <w:rFonts w:hint="default"/>
      </w:rPr>
    </w:lvl>
  </w:abstractNum>
  <w:abstractNum w:abstractNumId="48">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32"/>
  </w:num>
  <w:num w:numId="4">
    <w:abstractNumId w:val="21"/>
  </w:num>
  <w:num w:numId="5">
    <w:abstractNumId w:val="33"/>
  </w:num>
  <w:num w:numId="6">
    <w:abstractNumId w:val="8"/>
  </w:num>
  <w:num w:numId="7">
    <w:abstractNumId w:val="14"/>
  </w:num>
  <w:num w:numId="8">
    <w:abstractNumId w:val="15"/>
  </w:num>
  <w:num w:numId="9">
    <w:abstractNumId w:val="38"/>
  </w:num>
  <w:num w:numId="10">
    <w:abstractNumId w:val="48"/>
  </w:num>
  <w:num w:numId="11">
    <w:abstractNumId w:val="46"/>
  </w:num>
  <w:num w:numId="12">
    <w:abstractNumId w:val="37"/>
  </w:num>
  <w:num w:numId="13">
    <w:abstractNumId w:val="20"/>
  </w:num>
  <w:num w:numId="14">
    <w:abstractNumId w:val="16"/>
  </w:num>
  <w:num w:numId="15">
    <w:abstractNumId w:val="40"/>
  </w:num>
  <w:num w:numId="16">
    <w:abstractNumId w:val="35"/>
  </w:num>
  <w:num w:numId="17">
    <w:abstractNumId w:val="45"/>
  </w:num>
  <w:num w:numId="18">
    <w:abstractNumId w:val="29"/>
  </w:num>
  <w:num w:numId="19">
    <w:abstractNumId w:val="11"/>
  </w:num>
  <w:num w:numId="20">
    <w:abstractNumId w:val="31"/>
  </w:num>
  <w:num w:numId="21">
    <w:abstractNumId w:val="6"/>
  </w:num>
  <w:num w:numId="22">
    <w:abstractNumId w:val="19"/>
  </w:num>
  <w:num w:numId="23">
    <w:abstractNumId w:val="30"/>
  </w:num>
  <w:num w:numId="24">
    <w:abstractNumId w:val="5"/>
  </w:num>
  <w:num w:numId="25">
    <w:abstractNumId w:val="43"/>
  </w:num>
  <w:num w:numId="26">
    <w:abstractNumId w:val="10"/>
  </w:num>
  <w:num w:numId="27">
    <w:abstractNumId w:val="23"/>
  </w:num>
  <w:num w:numId="28">
    <w:abstractNumId w:val="25"/>
  </w:num>
  <w:num w:numId="29">
    <w:abstractNumId w:val="17"/>
  </w:num>
  <w:num w:numId="30">
    <w:abstractNumId w:val="34"/>
  </w:num>
  <w:num w:numId="31">
    <w:abstractNumId w:val="22"/>
  </w:num>
  <w:num w:numId="32">
    <w:abstractNumId w:val="42"/>
  </w:num>
  <w:num w:numId="33">
    <w:abstractNumId w:val="26"/>
  </w:num>
  <w:num w:numId="34">
    <w:abstractNumId w:val="44"/>
  </w:num>
  <w:num w:numId="35">
    <w:abstractNumId w:val="12"/>
  </w:num>
  <w:num w:numId="36">
    <w:abstractNumId w:val="4"/>
  </w:num>
  <w:num w:numId="37">
    <w:abstractNumId w:val="9"/>
  </w:num>
  <w:num w:numId="38">
    <w:abstractNumId w:val="7"/>
  </w:num>
  <w:num w:numId="39">
    <w:abstractNumId w:val="24"/>
  </w:num>
  <w:num w:numId="40">
    <w:abstractNumId w:val="13"/>
  </w:num>
  <w:num w:numId="41">
    <w:abstractNumId w:val="39"/>
  </w:num>
  <w:num w:numId="42">
    <w:abstractNumId w:val="47"/>
  </w:num>
  <w:num w:numId="43">
    <w:abstractNumId w:val="49"/>
  </w:num>
  <w:num w:numId="44">
    <w:abstractNumId w:val="27"/>
  </w:num>
  <w:num w:numId="45">
    <w:abstractNumId w:val="18"/>
  </w:num>
  <w:num w:numId="46">
    <w:abstractNumId w:val="41"/>
  </w:num>
  <w:num w:numId="47">
    <w:abstractNumId w:val="36"/>
  </w:num>
  <w:num w:numId="48">
    <w:abstractNumId w:val="28"/>
  </w:num>
  <w:num w:numId="49">
    <w:abstractNumId w:val="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0YzQzMGFjMjUzMGYwODMwZjhmZTEzMTA0N2U0NTcifQ=="/>
  </w:docVars>
  <w:rsids>
    <w:rsidRoot w:val="00D51569"/>
    <w:rsid w:val="000069EC"/>
    <w:rsid w:val="00007470"/>
    <w:rsid w:val="000112AC"/>
    <w:rsid w:val="0001195E"/>
    <w:rsid w:val="0001598A"/>
    <w:rsid w:val="000173D4"/>
    <w:rsid w:val="000227BF"/>
    <w:rsid w:val="00024286"/>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1D1B"/>
    <w:rsid w:val="000A73BC"/>
    <w:rsid w:val="000B3383"/>
    <w:rsid w:val="000B4057"/>
    <w:rsid w:val="000B4BAC"/>
    <w:rsid w:val="000B6526"/>
    <w:rsid w:val="000B7263"/>
    <w:rsid w:val="000C0D70"/>
    <w:rsid w:val="000C2A7B"/>
    <w:rsid w:val="000D1CF1"/>
    <w:rsid w:val="000D30B8"/>
    <w:rsid w:val="000D6633"/>
    <w:rsid w:val="000D798A"/>
    <w:rsid w:val="000E2FFC"/>
    <w:rsid w:val="000E3DDB"/>
    <w:rsid w:val="000E57E7"/>
    <w:rsid w:val="000F1E89"/>
    <w:rsid w:val="0010014D"/>
    <w:rsid w:val="001145D4"/>
    <w:rsid w:val="00121FD7"/>
    <w:rsid w:val="001223EF"/>
    <w:rsid w:val="001236A3"/>
    <w:rsid w:val="001415B4"/>
    <w:rsid w:val="00146AB6"/>
    <w:rsid w:val="00152541"/>
    <w:rsid w:val="00154EA8"/>
    <w:rsid w:val="0016405F"/>
    <w:rsid w:val="00165E49"/>
    <w:rsid w:val="00165F8E"/>
    <w:rsid w:val="0016779A"/>
    <w:rsid w:val="00167F93"/>
    <w:rsid w:val="00170DCF"/>
    <w:rsid w:val="0017154C"/>
    <w:rsid w:val="00171A4A"/>
    <w:rsid w:val="001749D2"/>
    <w:rsid w:val="00174C63"/>
    <w:rsid w:val="0017584B"/>
    <w:rsid w:val="00177319"/>
    <w:rsid w:val="00177379"/>
    <w:rsid w:val="00183B7D"/>
    <w:rsid w:val="00184437"/>
    <w:rsid w:val="00191A00"/>
    <w:rsid w:val="00193679"/>
    <w:rsid w:val="001957E3"/>
    <w:rsid w:val="0019757C"/>
    <w:rsid w:val="001A2E65"/>
    <w:rsid w:val="001B0DF5"/>
    <w:rsid w:val="001C0A13"/>
    <w:rsid w:val="001C26CD"/>
    <w:rsid w:val="001C2B6A"/>
    <w:rsid w:val="001C338B"/>
    <w:rsid w:val="001C761E"/>
    <w:rsid w:val="001D06FF"/>
    <w:rsid w:val="001D1CBB"/>
    <w:rsid w:val="001D33AD"/>
    <w:rsid w:val="001D33DA"/>
    <w:rsid w:val="001D4C00"/>
    <w:rsid w:val="001E25D9"/>
    <w:rsid w:val="001E592F"/>
    <w:rsid w:val="001F7199"/>
    <w:rsid w:val="002078AE"/>
    <w:rsid w:val="00210B90"/>
    <w:rsid w:val="00213F11"/>
    <w:rsid w:val="00214892"/>
    <w:rsid w:val="00215340"/>
    <w:rsid w:val="00224D01"/>
    <w:rsid w:val="00231307"/>
    <w:rsid w:val="00234627"/>
    <w:rsid w:val="002426C4"/>
    <w:rsid w:val="002436B4"/>
    <w:rsid w:val="00246A17"/>
    <w:rsid w:val="00252623"/>
    <w:rsid w:val="00255732"/>
    <w:rsid w:val="002615C0"/>
    <w:rsid w:val="0026523E"/>
    <w:rsid w:val="002659C7"/>
    <w:rsid w:val="00266F45"/>
    <w:rsid w:val="00267EE6"/>
    <w:rsid w:val="002709BD"/>
    <w:rsid w:val="002732E0"/>
    <w:rsid w:val="002847E1"/>
    <w:rsid w:val="00286684"/>
    <w:rsid w:val="002871DE"/>
    <w:rsid w:val="002872FE"/>
    <w:rsid w:val="0029125D"/>
    <w:rsid w:val="0029513F"/>
    <w:rsid w:val="002976A8"/>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2ADC"/>
    <w:rsid w:val="00303F10"/>
    <w:rsid w:val="0030443F"/>
    <w:rsid w:val="00307D84"/>
    <w:rsid w:val="0031002E"/>
    <w:rsid w:val="003119FE"/>
    <w:rsid w:val="003158D3"/>
    <w:rsid w:val="003169BF"/>
    <w:rsid w:val="00325512"/>
    <w:rsid w:val="0032784A"/>
    <w:rsid w:val="00330D3D"/>
    <w:rsid w:val="00333841"/>
    <w:rsid w:val="0033421C"/>
    <w:rsid w:val="003347F9"/>
    <w:rsid w:val="00336F5A"/>
    <w:rsid w:val="003518EF"/>
    <w:rsid w:val="003541F2"/>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721"/>
    <w:rsid w:val="003E7C66"/>
    <w:rsid w:val="00410B19"/>
    <w:rsid w:val="00416591"/>
    <w:rsid w:val="00435E0B"/>
    <w:rsid w:val="00440D16"/>
    <w:rsid w:val="0044232F"/>
    <w:rsid w:val="00444482"/>
    <w:rsid w:val="004464C2"/>
    <w:rsid w:val="0044735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1102"/>
    <w:rsid w:val="005711DE"/>
    <w:rsid w:val="00572786"/>
    <w:rsid w:val="00573241"/>
    <w:rsid w:val="00575C9D"/>
    <w:rsid w:val="005779B2"/>
    <w:rsid w:val="00581F58"/>
    <w:rsid w:val="00586CD2"/>
    <w:rsid w:val="005940FF"/>
    <w:rsid w:val="00596914"/>
    <w:rsid w:val="005A0342"/>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8118F"/>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3C"/>
    <w:rsid w:val="007873DE"/>
    <w:rsid w:val="0078798E"/>
    <w:rsid w:val="00790546"/>
    <w:rsid w:val="007908B6"/>
    <w:rsid w:val="00791B7A"/>
    <w:rsid w:val="007A1051"/>
    <w:rsid w:val="007B0C20"/>
    <w:rsid w:val="007C0625"/>
    <w:rsid w:val="007C1B4F"/>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21A"/>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3134"/>
    <w:rsid w:val="008F4729"/>
    <w:rsid w:val="008F52FA"/>
    <w:rsid w:val="008F67AC"/>
    <w:rsid w:val="008F7EDB"/>
    <w:rsid w:val="00900F1C"/>
    <w:rsid w:val="00910752"/>
    <w:rsid w:val="00914A10"/>
    <w:rsid w:val="00923781"/>
    <w:rsid w:val="0093043A"/>
    <w:rsid w:val="009316AE"/>
    <w:rsid w:val="0093555D"/>
    <w:rsid w:val="009372E9"/>
    <w:rsid w:val="009378B5"/>
    <w:rsid w:val="009420C2"/>
    <w:rsid w:val="00946F0D"/>
    <w:rsid w:val="00951D5E"/>
    <w:rsid w:val="00952AB2"/>
    <w:rsid w:val="009564F5"/>
    <w:rsid w:val="00956AB1"/>
    <w:rsid w:val="0096341B"/>
    <w:rsid w:val="00965EE4"/>
    <w:rsid w:val="0096737D"/>
    <w:rsid w:val="009703B2"/>
    <w:rsid w:val="00971959"/>
    <w:rsid w:val="00971CF1"/>
    <w:rsid w:val="00971DF8"/>
    <w:rsid w:val="009748D7"/>
    <w:rsid w:val="009757E6"/>
    <w:rsid w:val="00983B30"/>
    <w:rsid w:val="009853BF"/>
    <w:rsid w:val="0098663F"/>
    <w:rsid w:val="00992A2E"/>
    <w:rsid w:val="00992AB2"/>
    <w:rsid w:val="00994115"/>
    <w:rsid w:val="0099755A"/>
    <w:rsid w:val="009A0424"/>
    <w:rsid w:val="009A0D67"/>
    <w:rsid w:val="009A10C2"/>
    <w:rsid w:val="009A31BA"/>
    <w:rsid w:val="009A3E46"/>
    <w:rsid w:val="009A42AD"/>
    <w:rsid w:val="009B2566"/>
    <w:rsid w:val="009B77DF"/>
    <w:rsid w:val="009C12AB"/>
    <w:rsid w:val="009C20C0"/>
    <w:rsid w:val="009C29B9"/>
    <w:rsid w:val="009C465D"/>
    <w:rsid w:val="009C7CEB"/>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80F9C"/>
    <w:rsid w:val="00A83F4F"/>
    <w:rsid w:val="00A94D7E"/>
    <w:rsid w:val="00A95C8D"/>
    <w:rsid w:val="00A95EA0"/>
    <w:rsid w:val="00A96F5A"/>
    <w:rsid w:val="00AA020A"/>
    <w:rsid w:val="00AA0B3A"/>
    <w:rsid w:val="00AA1E4D"/>
    <w:rsid w:val="00AA23BA"/>
    <w:rsid w:val="00AA4A00"/>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319A"/>
    <w:rsid w:val="00B17A0C"/>
    <w:rsid w:val="00B22360"/>
    <w:rsid w:val="00B22DAC"/>
    <w:rsid w:val="00B25D67"/>
    <w:rsid w:val="00B26927"/>
    <w:rsid w:val="00B3585D"/>
    <w:rsid w:val="00B35F15"/>
    <w:rsid w:val="00B3774D"/>
    <w:rsid w:val="00B44C64"/>
    <w:rsid w:val="00B51CBD"/>
    <w:rsid w:val="00B52793"/>
    <w:rsid w:val="00B5412E"/>
    <w:rsid w:val="00B603AB"/>
    <w:rsid w:val="00B6230B"/>
    <w:rsid w:val="00B62649"/>
    <w:rsid w:val="00B62715"/>
    <w:rsid w:val="00B66290"/>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1ECE"/>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1FDD"/>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D7ECC"/>
    <w:rsid w:val="00CE67CF"/>
    <w:rsid w:val="00CE778C"/>
    <w:rsid w:val="00CF1B6F"/>
    <w:rsid w:val="00CF35E8"/>
    <w:rsid w:val="00D02114"/>
    <w:rsid w:val="00D027ED"/>
    <w:rsid w:val="00D03A94"/>
    <w:rsid w:val="00D112A5"/>
    <w:rsid w:val="00D16DEC"/>
    <w:rsid w:val="00D17F85"/>
    <w:rsid w:val="00D23C5E"/>
    <w:rsid w:val="00D26DE5"/>
    <w:rsid w:val="00D30AC2"/>
    <w:rsid w:val="00D30CA6"/>
    <w:rsid w:val="00D31AF4"/>
    <w:rsid w:val="00D3525E"/>
    <w:rsid w:val="00D47B48"/>
    <w:rsid w:val="00D51569"/>
    <w:rsid w:val="00D51C46"/>
    <w:rsid w:val="00D62770"/>
    <w:rsid w:val="00D70A72"/>
    <w:rsid w:val="00D72B4C"/>
    <w:rsid w:val="00D75B1F"/>
    <w:rsid w:val="00D75FD1"/>
    <w:rsid w:val="00D82300"/>
    <w:rsid w:val="00D82E65"/>
    <w:rsid w:val="00D955CB"/>
    <w:rsid w:val="00DA2DBB"/>
    <w:rsid w:val="00DB0E94"/>
    <w:rsid w:val="00DB3D3C"/>
    <w:rsid w:val="00DB6873"/>
    <w:rsid w:val="00DC1A17"/>
    <w:rsid w:val="00DC2D6F"/>
    <w:rsid w:val="00DC4C01"/>
    <w:rsid w:val="00DD3761"/>
    <w:rsid w:val="00DD3EB1"/>
    <w:rsid w:val="00DD5E68"/>
    <w:rsid w:val="00DE518C"/>
    <w:rsid w:val="00DE5717"/>
    <w:rsid w:val="00DE7EB2"/>
    <w:rsid w:val="00E07755"/>
    <w:rsid w:val="00E13097"/>
    <w:rsid w:val="00E218F5"/>
    <w:rsid w:val="00E225D8"/>
    <w:rsid w:val="00E32724"/>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A3F3E"/>
    <w:rsid w:val="00EB066C"/>
    <w:rsid w:val="00EB129D"/>
    <w:rsid w:val="00EB28B0"/>
    <w:rsid w:val="00EC484B"/>
    <w:rsid w:val="00EC4B87"/>
    <w:rsid w:val="00EC5194"/>
    <w:rsid w:val="00EC600B"/>
    <w:rsid w:val="00ED5C44"/>
    <w:rsid w:val="00ED7296"/>
    <w:rsid w:val="00ED72AF"/>
    <w:rsid w:val="00EE03C4"/>
    <w:rsid w:val="00EE07D8"/>
    <w:rsid w:val="00EE49D9"/>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4291"/>
    <w:rsid w:val="00F77BE2"/>
    <w:rsid w:val="00F80181"/>
    <w:rsid w:val="00F80C67"/>
    <w:rsid w:val="00F82BA2"/>
    <w:rsid w:val="00F85E6B"/>
    <w:rsid w:val="00FA44E8"/>
    <w:rsid w:val="00FA6EDD"/>
    <w:rsid w:val="00FB02D9"/>
    <w:rsid w:val="00FB2E22"/>
    <w:rsid w:val="00FB5348"/>
    <w:rsid w:val="00FB5796"/>
    <w:rsid w:val="00FB6F1A"/>
    <w:rsid w:val="00FC04EC"/>
    <w:rsid w:val="00FC302B"/>
    <w:rsid w:val="00FC5DCD"/>
    <w:rsid w:val="00FE5AD6"/>
    <w:rsid w:val="00FE6AEA"/>
    <w:rsid w:val="00FF04A6"/>
    <w:rsid w:val="01536131"/>
    <w:rsid w:val="01CD2E9D"/>
    <w:rsid w:val="02FF50B9"/>
    <w:rsid w:val="04D9620E"/>
    <w:rsid w:val="05096B07"/>
    <w:rsid w:val="07264BF4"/>
    <w:rsid w:val="07733ED3"/>
    <w:rsid w:val="079A26F9"/>
    <w:rsid w:val="09060D1F"/>
    <w:rsid w:val="095A5BE3"/>
    <w:rsid w:val="0B3B0D6F"/>
    <w:rsid w:val="0BAA380B"/>
    <w:rsid w:val="0F5E7F49"/>
    <w:rsid w:val="127C278F"/>
    <w:rsid w:val="13706DBD"/>
    <w:rsid w:val="158C7B18"/>
    <w:rsid w:val="18153CE9"/>
    <w:rsid w:val="18AB354E"/>
    <w:rsid w:val="1B8F7DF4"/>
    <w:rsid w:val="1D3D2567"/>
    <w:rsid w:val="1D461856"/>
    <w:rsid w:val="1DCD0BAA"/>
    <w:rsid w:val="1DE978C4"/>
    <w:rsid w:val="225D0766"/>
    <w:rsid w:val="24E915BF"/>
    <w:rsid w:val="27821D05"/>
    <w:rsid w:val="284941DC"/>
    <w:rsid w:val="2A9B65A1"/>
    <w:rsid w:val="2AA71F8F"/>
    <w:rsid w:val="2ACF0CFE"/>
    <w:rsid w:val="2D031BEA"/>
    <w:rsid w:val="2D8100B3"/>
    <w:rsid w:val="2E2F517B"/>
    <w:rsid w:val="2E520B79"/>
    <w:rsid w:val="301A7EDF"/>
    <w:rsid w:val="306C2972"/>
    <w:rsid w:val="31E67F54"/>
    <w:rsid w:val="32493792"/>
    <w:rsid w:val="332B43CF"/>
    <w:rsid w:val="34AE374B"/>
    <w:rsid w:val="35AD3EF5"/>
    <w:rsid w:val="371619FA"/>
    <w:rsid w:val="37914F3F"/>
    <w:rsid w:val="3AB0548E"/>
    <w:rsid w:val="3B2D1E32"/>
    <w:rsid w:val="40AC3AB1"/>
    <w:rsid w:val="417325FA"/>
    <w:rsid w:val="41E424CB"/>
    <w:rsid w:val="437A7903"/>
    <w:rsid w:val="44EC0FE3"/>
    <w:rsid w:val="454D157F"/>
    <w:rsid w:val="45577DDC"/>
    <w:rsid w:val="47727699"/>
    <w:rsid w:val="482309D4"/>
    <w:rsid w:val="48B75ABF"/>
    <w:rsid w:val="48E5193B"/>
    <w:rsid w:val="4AFF3A2E"/>
    <w:rsid w:val="4C5D11DF"/>
    <w:rsid w:val="4D3B000E"/>
    <w:rsid w:val="4D4C2A70"/>
    <w:rsid w:val="4D4D6AF7"/>
    <w:rsid w:val="4D6F2CBC"/>
    <w:rsid w:val="50997066"/>
    <w:rsid w:val="512B716F"/>
    <w:rsid w:val="51C5511B"/>
    <w:rsid w:val="550C0202"/>
    <w:rsid w:val="563D389F"/>
    <w:rsid w:val="5FCA2E7D"/>
    <w:rsid w:val="619D13EA"/>
    <w:rsid w:val="65F21201"/>
    <w:rsid w:val="66A36C22"/>
    <w:rsid w:val="66E331C8"/>
    <w:rsid w:val="6AB25FC0"/>
    <w:rsid w:val="6B073D21"/>
    <w:rsid w:val="6CEE0A8E"/>
    <w:rsid w:val="70A46938"/>
    <w:rsid w:val="72097843"/>
    <w:rsid w:val="725310CC"/>
    <w:rsid w:val="72827E86"/>
    <w:rsid w:val="748365FF"/>
    <w:rsid w:val="775748F9"/>
    <w:rsid w:val="780B3F55"/>
    <w:rsid w:val="781B03FC"/>
    <w:rsid w:val="7C2A3FDB"/>
    <w:rsid w:val="7C433F8A"/>
    <w:rsid w:val="7D465B6C"/>
    <w:rsid w:val="7E76666C"/>
    <w:rsid w:val="7F075501"/>
    <w:rsid w:val="7F327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4"/>
    <w:qFormat/>
    <w:uiPriority w:val="0"/>
    <w:rPr>
      <w:rFonts w:ascii="Times New Roman" w:hAnsi="Times New Roman" w:eastAsia="宋体" w:cs="Times New Roman"/>
      <w:color w:val="FF0000"/>
      <w:sz w:val="24"/>
      <w:szCs w:val="24"/>
    </w:rPr>
  </w:style>
  <w:style w:type="paragraph" w:styleId="9">
    <w:name w:val="Body Text"/>
    <w:basedOn w:val="1"/>
    <w:link w:val="35"/>
    <w:semiHidden/>
    <w:unhideWhenUsed/>
    <w:qFormat/>
    <w:uiPriority w:val="99"/>
    <w:pPr>
      <w:spacing w:after="120"/>
    </w:pPr>
  </w:style>
  <w:style w:type="paragraph" w:styleId="10">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8"/>
    <w:qFormat/>
    <w:uiPriority w:val="0"/>
    <w:rPr>
      <w:rFonts w:eastAsia="宋体"/>
      <w:sz w:val="24"/>
    </w:rPr>
  </w:style>
  <w:style w:type="paragraph" w:styleId="14">
    <w:name w:val="Date"/>
    <w:basedOn w:val="1"/>
    <w:next w:val="1"/>
    <w:link w:val="39"/>
    <w:unhideWhenUsed/>
    <w:qFormat/>
    <w:uiPriority w:val="99"/>
    <w:pPr>
      <w:ind w:left="100" w:leftChars="2500"/>
    </w:pPr>
  </w:style>
  <w:style w:type="paragraph" w:styleId="15">
    <w:name w:val="Balloon Text"/>
    <w:basedOn w:val="1"/>
    <w:link w:val="41"/>
    <w:semiHidden/>
    <w:unhideWhenUsed/>
    <w:qFormat/>
    <w:uiPriority w:val="99"/>
    <w:rPr>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2"/>
    <w:basedOn w:val="1"/>
    <w:qFormat/>
    <w:uiPriority w:val="0"/>
    <w:pPr>
      <w:spacing w:after="120" w:line="480" w:lineRule="auto"/>
    </w:pPr>
  </w:style>
  <w:style w:type="paragraph" w:styleId="20">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next w:val="23"/>
    <w:link w:val="4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0"/>
    <w:next w:val="1"/>
    <w:link w:val="62"/>
    <w:semiHidden/>
    <w:unhideWhenUsed/>
    <w:qFormat/>
    <w:uiPriority w:val="99"/>
    <w:pPr>
      <w:adjustRightInd/>
      <w:spacing w:line="240" w:lineRule="auto"/>
      <w:ind w:firstLine="420" w:firstLineChars="200"/>
      <w:jc w:val="both"/>
      <w:textAlignment w:val="auto"/>
    </w:pPr>
    <w:rPr>
      <w:kern w:val="2"/>
      <w:sz w:val="21"/>
      <w:szCs w:val="22"/>
    </w:r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0"/>
    <w:rPr>
      <w:color w:val="0000FF"/>
      <w:u w:val="single"/>
    </w:rPr>
  </w:style>
  <w:style w:type="paragraph" w:customStyle="1" w:styleId="29">
    <w:name w:val="列出段落1"/>
    <w:basedOn w:val="1"/>
    <w:qFormat/>
    <w:uiPriority w:val="34"/>
    <w:pPr>
      <w:ind w:firstLine="420" w:firstLineChars="200"/>
    </w:pPr>
  </w:style>
  <w:style w:type="character" w:customStyle="1" w:styleId="30">
    <w:name w:val="标题 1 Char"/>
    <w:basedOn w:val="25"/>
    <w:link w:val="3"/>
    <w:qFormat/>
    <w:uiPriority w:val="0"/>
    <w:rPr>
      <w:rFonts w:ascii="Calibri" w:hAnsi="Calibri"/>
      <w:b/>
      <w:bCs/>
      <w:kern w:val="44"/>
      <w:sz w:val="44"/>
      <w:szCs w:val="44"/>
    </w:rPr>
  </w:style>
  <w:style w:type="character" w:customStyle="1" w:styleId="31">
    <w:name w:val="标题 2 Char"/>
    <w:basedOn w:val="25"/>
    <w:link w:val="4"/>
    <w:qFormat/>
    <w:uiPriority w:val="0"/>
    <w:rPr>
      <w:rFonts w:ascii="Arial" w:hAnsi="Arial" w:eastAsia="黑体"/>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2"/>
    <w:qFormat/>
    <w:uiPriority w:val="0"/>
    <w:rPr>
      <w:rFonts w:ascii="Arial" w:hAnsi="Arial" w:eastAsia="黑体"/>
      <w:b/>
      <w:bCs/>
      <w:sz w:val="28"/>
      <w:szCs w:val="28"/>
    </w:rPr>
  </w:style>
  <w:style w:type="character" w:customStyle="1" w:styleId="34">
    <w:name w:val="正文文本 3 Char"/>
    <w:basedOn w:val="25"/>
    <w:link w:val="8"/>
    <w:qFormat/>
    <w:uiPriority w:val="0"/>
    <w:rPr>
      <w:rFonts w:ascii="Times New Roman" w:hAnsi="Times New Roman" w:eastAsia="宋体" w:cs="Times New Roman"/>
      <w:color w:val="FF0000"/>
      <w:sz w:val="24"/>
      <w:szCs w:val="24"/>
    </w:rPr>
  </w:style>
  <w:style w:type="character" w:customStyle="1" w:styleId="35">
    <w:name w:val="正文文本 Char"/>
    <w:basedOn w:val="25"/>
    <w:link w:val="9"/>
    <w:semiHidden/>
    <w:qFormat/>
    <w:uiPriority w:val="99"/>
  </w:style>
  <w:style w:type="character" w:customStyle="1" w:styleId="36">
    <w:name w:val="正文文本缩进 Char"/>
    <w:basedOn w:val="25"/>
    <w:link w:val="10"/>
    <w:qFormat/>
    <w:uiPriority w:val="0"/>
  </w:style>
  <w:style w:type="character" w:customStyle="1" w:styleId="37">
    <w:name w:val="正文文本缩进 Char1"/>
    <w:basedOn w:val="25"/>
    <w:link w:val="10"/>
    <w:qFormat/>
    <w:uiPriority w:val="0"/>
    <w:rPr>
      <w:kern w:val="0"/>
      <w:sz w:val="24"/>
      <w:szCs w:val="20"/>
    </w:rPr>
  </w:style>
  <w:style w:type="character" w:customStyle="1" w:styleId="38">
    <w:name w:val="纯文本 Char"/>
    <w:basedOn w:val="25"/>
    <w:link w:val="13"/>
    <w:qFormat/>
    <w:uiPriority w:val="0"/>
    <w:rPr>
      <w:rFonts w:eastAsia="宋体"/>
      <w:sz w:val="24"/>
    </w:rPr>
  </w:style>
  <w:style w:type="character" w:customStyle="1" w:styleId="39">
    <w:name w:val="日期 Char"/>
    <w:basedOn w:val="25"/>
    <w:link w:val="14"/>
    <w:qFormat/>
    <w:uiPriority w:val="99"/>
  </w:style>
  <w:style w:type="character" w:customStyle="1" w:styleId="40">
    <w:name w:val="批注框文本 Char"/>
    <w:basedOn w:val="25"/>
    <w:link w:val="15"/>
    <w:semiHidden/>
    <w:qFormat/>
    <w:uiPriority w:val="99"/>
    <w:rPr>
      <w:sz w:val="18"/>
      <w:szCs w:val="18"/>
    </w:rPr>
  </w:style>
  <w:style w:type="character" w:customStyle="1" w:styleId="41">
    <w:name w:val="批注框文本 Char1"/>
    <w:basedOn w:val="25"/>
    <w:link w:val="15"/>
    <w:semiHidden/>
    <w:qFormat/>
    <w:uiPriority w:val="99"/>
    <w:rPr>
      <w:sz w:val="18"/>
      <w:szCs w:val="18"/>
    </w:rPr>
  </w:style>
  <w:style w:type="character" w:customStyle="1" w:styleId="42">
    <w:name w:val="页脚 Char"/>
    <w:basedOn w:val="25"/>
    <w:link w:val="16"/>
    <w:qFormat/>
    <w:uiPriority w:val="99"/>
    <w:rPr>
      <w:sz w:val="18"/>
      <w:szCs w:val="18"/>
    </w:rPr>
  </w:style>
  <w:style w:type="character" w:customStyle="1" w:styleId="43">
    <w:name w:val="页眉 Char"/>
    <w:basedOn w:val="25"/>
    <w:link w:val="17"/>
    <w:qFormat/>
    <w:uiPriority w:val="99"/>
    <w:rPr>
      <w:sz w:val="18"/>
      <w:szCs w:val="18"/>
    </w:rPr>
  </w:style>
  <w:style w:type="character" w:customStyle="1" w:styleId="44">
    <w:name w:val="HTML 预设格式 Char"/>
    <w:basedOn w:val="25"/>
    <w:link w:val="20"/>
    <w:semiHidden/>
    <w:qFormat/>
    <w:uiPriority w:val="99"/>
    <w:rPr>
      <w:rFonts w:ascii="宋体" w:hAnsi="宋体" w:eastAsia="宋体" w:cs="宋体"/>
      <w:kern w:val="0"/>
      <w:sz w:val="24"/>
      <w:szCs w:val="24"/>
    </w:rPr>
  </w:style>
  <w:style w:type="character" w:customStyle="1" w:styleId="45">
    <w:name w:val="HTML 预设格式 Char1"/>
    <w:basedOn w:val="25"/>
    <w:link w:val="20"/>
    <w:semiHidden/>
    <w:qFormat/>
    <w:uiPriority w:val="99"/>
    <w:rPr>
      <w:rFonts w:ascii="Courier New" w:hAnsi="Courier New" w:cs="Courier New"/>
      <w:sz w:val="20"/>
      <w:szCs w:val="20"/>
    </w:rPr>
  </w:style>
  <w:style w:type="character" w:customStyle="1" w:styleId="46">
    <w:name w:val="正文首行缩进 Char"/>
    <w:basedOn w:val="35"/>
    <w:link w:val="22"/>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5"/>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0">
    <w:name w:val="style4"/>
    <w:basedOn w:val="1"/>
    <w:next w:val="61"/>
    <w:qFormat/>
    <w:uiPriority w:val="0"/>
    <w:pPr>
      <w:widowControl/>
      <w:spacing w:before="280" w:after="280"/>
    </w:pPr>
    <w:rPr>
      <w:rFonts w:ascii="宋体" w:hAnsi="Times New Roman" w:eastAsia="宋体" w:cs="Times New Roman"/>
      <w:sz w:val="18"/>
    </w:rPr>
  </w:style>
  <w:style w:type="paragraph" w:customStyle="1" w:styleId="6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2">
    <w:name w:val="正文首行缩进 2 Char"/>
    <w:basedOn w:val="37"/>
    <w:link w:val="23"/>
    <w:semiHidden/>
    <w:qFormat/>
    <w:uiPriority w:val="99"/>
    <w:rPr>
      <w:rFonts w:asciiTheme="minorHAnsi" w:hAnsiTheme="minorHAnsi" w:eastAsiaTheme="minorEastAsia" w:cstheme="minorBidi"/>
      <w:kern w:val="2"/>
      <w:sz w:val="21"/>
      <w:szCs w:val="22"/>
    </w:rPr>
  </w:style>
  <w:style w:type="paragraph" w:customStyle="1" w:styleId="63">
    <w:name w:val="*正文"/>
    <w:basedOn w:val="1"/>
    <w:qFormat/>
    <w:uiPriority w:val="0"/>
    <w:pPr>
      <w:keepNext/>
      <w:keepLines/>
      <w:spacing w:line="360" w:lineRule="auto"/>
      <w:ind w:firstLine="200" w:firstLineChars="200"/>
    </w:pPr>
    <w:rPr>
      <w:rFonts w:ascii="宋体" w:hAnsi="宋体"/>
    </w:rPr>
  </w:style>
  <w:style w:type="paragraph" w:customStyle="1" w:styleId="64">
    <w:name w:val="List Paragraph1"/>
    <w:basedOn w:val="1"/>
    <w:qFormat/>
    <w:uiPriority w:val="0"/>
    <w:pPr>
      <w:ind w:firstLine="420" w:firstLineChars="200"/>
    </w:pPr>
    <w:rPr>
      <w:rFonts w:ascii="Calibri" w:hAnsi="Calibri" w:cs="宋体"/>
    </w:rPr>
  </w:style>
  <w:style w:type="character" w:customStyle="1" w:styleId="65">
    <w:name w:val="font01"/>
    <w:basedOn w:val="25"/>
    <w:qFormat/>
    <w:uiPriority w:val="0"/>
    <w:rPr>
      <w:rFonts w:hint="eastAsia" w:ascii="宋体" w:hAnsi="宋体" w:eastAsia="宋体" w:cs="宋体"/>
      <w:color w:val="000000"/>
      <w:sz w:val="22"/>
      <w:szCs w:val="22"/>
      <w:u w:val="none"/>
    </w:rPr>
  </w:style>
  <w:style w:type="character" w:customStyle="1" w:styleId="66">
    <w:name w:val="font31"/>
    <w:basedOn w:val="25"/>
    <w:qFormat/>
    <w:uiPriority w:val="0"/>
    <w:rPr>
      <w:rFonts w:ascii="Calibri" w:hAnsi="Calibri" w:cs="Calibri"/>
      <w:b/>
      <w:color w:val="000000"/>
      <w:sz w:val="18"/>
      <w:szCs w:val="18"/>
      <w:u w:val="none"/>
    </w:rPr>
  </w:style>
  <w:style w:type="character" w:customStyle="1" w:styleId="67">
    <w:name w:val="font121"/>
    <w:basedOn w:val="25"/>
    <w:qFormat/>
    <w:uiPriority w:val="0"/>
    <w:rPr>
      <w:rFonts w:hint="eastAsia" w:ascii="宋体" w:hAnsi="宋体" w:eastAsia="宋体" w:cs="宋体"/>
      <w:color w:val="000000"/>
      <w:sz w:val="18"/>
      <w:szCs w:val="18"/>
      <w:u w:val="none"/>
    </w:rPr>
  </w:style>
  <w:style w:type="character" w:customStyle="1" w:styleId="68">
    <w:name w:val="font91"/>
    <w:basedOn w:val="25"/>
    <w:qFormat/>
    <w:uiPriority w:val="0"/>
    <w:rPr>
      <w:rFonts w:hint="eastAsia" w:ascii="宋体" w:hAnsi="宋体" w:eastAsia="宋体" w:cs="宋体"/>
      <w:color w:val="000000"/>
      <w:sz w:val="18"/>
      <w:szCs w:val="18"/>
      <w:u w:val="none"/>
    </w:rPr>
  </w:style>
  <w:style w:type="character" w:customStyle="1" w:styleId="69">
    <w:name w:val="font112"/>
    <w:basedOn w:val="25"/>
    <w:qFormat/>
    <w:uiPriority w:val="0"/>
    <w:rPr>
      <w:rFonts w:hint="eastAsia" w:ascii="宋体" w:hAnsi="宋体" w:eastAsia="宋体" w:cs="宋体"/>
      <w:color w:val="FF0000"/>
      <w:sz w:val="18"/>
      <w:szCs w:val="18"/>
      <w:u w:val="none"/>
    </w:rPr>
  </w:style>
  <w:style w:type="character" w:customStyle="1" w:styleId="70">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1">
    <w:name w:val="UserStyle_1"/>
    <w:basedOn w:val="70"/>
    <w:qFormat/>
    <w:uiPriority w:val="0"/>
    <w:rPr>
      <w:rFonts w:ascii="宋体" w:hAnsi="宋体" w:eastAsia="宋体"/>
      <w:color w:val="000000"/>
      <w:sz w:val="24"/>
      <w:szCs w:val="24"/>
    </w:rPr>
  </w:style>
  <w:style w:type="character" w:customStyle="1" w:styleId="72">
    <w:name w:val="UserStyle_0"/>
    <w:basedOn w:val="70"/>
    <w:qFormat/>
    <w:uiPriority w:val="0"/>
    <w:rPr>
      <w:rFonts w:ascii="MS Gothic" w:hAnsi="MS Gothic" w:eastAsia="MS Gothic"/>
      <w:color w:val="000000"/>
      <w:sz w:val="24"/>
      <w:szCs w:val="24"/>
    </w:rPr>
  </w:style>
  <w:style w:type="paragraph" w:customStyle="1" w:styleId="73">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4">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5">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6">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7">
    <w:name w:val="默认"/>
    <w:qFormat/>
    <w:uiPriority w:val="0"/>
    <w:pPr>
      <w:spacing w:before="160"/>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AE0E1-2F27-4B9D-8233-405546C76B3D}">
  <ds:schemaRefs/>
</ds:datastoreItem>
</file>

<file path=docProps/app.xml><?xml version="1.0" encoding="utf-8"?>
<Properties xmlns="http://schemas.openxmlformats.org/officeDocument/2006/extended-properties" xmlns:vt="http://schemas.openxmlformats.org/officeDocument/2006/docPropsVTypes">
  <Template>Normal</Template>
  <Pages>65</Pages>
  <Words>31685</Words>
  <Characters>33043</Characters>
  <Lines>257</Lines>
  <Paragraphs>72</Paragraphs>
  <TotalTime>13</TotalTime>
  <ScaleCrop>false</ScaleCrop>
  <LinksUpToDate>false</LinksUpToDate>
  <CharactersWithSpaces>33889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2022-07-06T01:14:00Z</dcterms:created>
  <dc:creator>许昌市公共资源交易中心:孟莉</dc:creator>
  <cp:lastModifiedBy>周子雯</cp:lastModifiedBy>
  <cp:lastPrinted>2022-07-18T02:15:00Z</cp:lastPrinted>
  <dcterms:modified xsi:type="dcterms:W3CDTF">2022-07-18T02:31:06Z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8362D8B143CA4CC9857394FCA408D8B7</vt:lpwstr>
  </property>
</Properties>
</file>