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eastAsia="zh-CN"/>
        </w:rPr>
        <w:t>禹州市教育体育局</w:t>
      </w:r>
      <w:r>
        <w:rPr>
          <w:rFonts w:hint="eastAsia" w:asciiTheme="majorEastAsia" w:hAnsiTheme="majorEastAsia" w:eastAsiaTheme="majorEastAsia" w:cstheme="majorEastAsia"/>
          <w:b/>
          <w:bCs/>
          <w:sz w:val="44"/>
          <w:szCs w:val="44"/>
          <w:lang w:val="en-US" w:eastAsia="zh-CN"/>
        </w:rPr>
        <w:t>梁北镇箕啊社区学校</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新建餐厅</w:t>
      </w:r>
      <w:r>
        <w:rPr>
          <w:rFonts w:hint="eastAsia" w:asciiTheme="majorEastAsia" w:hAnsiTheme="majorEastAsia" w:eastAsiaTheme="majorEastAsia" w:cstheme="majorEastAsia"/>
          <w:b/>
          <w:bCs/>
          <w:sz w:val="44"/>
          <w:szCs w:val="44"/>
        </w:rPr>
        <w:t>项目（不见面开标）</w:t>
      </w:r>
    </w:p>
    <w:p>
      <w:pPr>
        <w:ind w:left="4859" w:hanging="4859" w:hangingChars="1100"/>
        <w:rPr>
          <w:rFonts w:asciiTheme="majorEastAsia" w:hAnsiTheme="majorEastAsia" w:eastAsiaTheme="majorEastAsia" w:cstheme="majorEastAsia"/>
          <w:b/>
          <w:bCs/>
          <w:sz w:val="44"/>
          <w:szCs w:val="44"/>
        </w:rPr>
      </w:pPr>
    </w:p>
    <w:p>
      <w:pPr>
        <w:rPr>
          <w:rFonts w:ascii="黑体" w:hAnsi="黑体" w:eastAsia="黑体" w:cs="黑体"/>
          <w:sz w:val="44"/>
          <w:szCs w:val="44"/>
        </w:rPr>
      </w:pPr>
    </w:p>
    <w:p>
      <w:pPr>
        <w:rPr>
          <w:rFonts w:ascii="微软简隶书" w:eastAsia="微软简隶书"/>
        </w:rPr>
      </w:pPr>
    </w:p>
    <w:p>
      <w:pPr>
        <w:rPr>
          <w:rFonts w:ascii="华文隶书" w:eastAsia="华文隶书"/>
          <w:bCs/>
          <w:w w:val="90"/>
          <w:sz w:val="96"/>
        </w:rPr>
      </w:pPr>
    </w:p>
    <w:p>
      <w:pPr>
        <w:jc w:val="center"/>
        <w:rPr>
          <w:rFonts w:ascii="黑体" w:hAnsi="黑体" w:eastAsia="黑体" w:cs="黑体"/>
          <w:bCs/>
          <w:w w:val="90"/>
          <w:sz w:val="72"/>
          <w:szCs w:val="72"/>
        </w:rPr>
      </w:pPr>
      <w:r>
        <w:rPr>
          <w:rFonts w:hint="eastAsia" w:ascii="黑体" w:hAnsi="黑体" w:eastAsia="黑体" w:cs="黑体"/>
          <w:bCs/>
          <w:w w:val="90"/>
          <w:sz w:val="72"/>
          <w:szCs w:val="72"/>
        </w:rPr>
        <w:t>竞争性谈判文件</w:t>
      </w:r>
    </w:p>
    <w:p>
      <w:pPr>
        <w:rPr>
          <w:rFonts w:ascii="微软简隶书" w:eastAsia="微软简隶书"/>
        </w:rPr>
      </w:pPr>
    </w:p>
    <w:p>
      <w:pPr>
        <w:rPr>
          <w:rFonts w:ascii="微软简隶书" w:eastAsia="微软简隶书"/>
        </w:rPr>
      </w:pPr>
    </w:p>
    <w:p>
      <w:pPr>
        <w:pStyle w:val="2"/>
      </w:pPr>
    </w:p>
    <w:p>
      <w:pPr>
        <w:rPr>
          <w:rFonts w:ascii="微软简隶书" w:eastAsia="微软简隶书"/>
        </w:rPr>
      </w:pPr>
    </w:p>
    <w:p>
      <w:pPr>
        <w:pStyle w:val="34"/>
        <w:rPr>
          <w:rFonts w:ascii="微软简隶书" w:eastAsia="微软简隶书"/>
        </w:rPr>
      </w:pPr>
    </w:p>
    <w:p>
      <w:pPr>
        <w:pStyle w:val="34"/>
        <w:rPr>
          <w:rFonts w:ascii="微软简隶书" w:eastAsia="微软简隶书"/>
        </w:rPr>
      </w:pPr>
    </w:p>
    <w:p>
      <w:pPr>
        <w:pStyle w:val="34"/>
        <w:rPr>
          <w:rFonts w:ascii="微软简隶书" w:eastAsia="微软简隶书"/>
        </w:rPr>
      </w:pPr>
    </w:p>
    <w:p>
      <w:pPr>
        <w:rPr>
          <w:rFonts w:ascii="微软简隶书" w:eastAsia="微软简隶书"/>
        </w:rPr>
      </w:pPr>
    </w:p>
    <w:p>
      <w:pPr>
        <w:rPr>
          <w:rFonts w:ascii="微软简隶书" w:eastAsia="微软简隶书"/>
        </w:rPr>
      </w:pPr>
    </w:p>
    <w:p>
      <w:pPr>
        <w:ind w:firstLine="1066" w:firstLineChars="295"/>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采购编号：</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YZCG-</w:t>
      </w:r>
      <w:r>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t>DLT-</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2022048</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采购单位：禹州市教育体育局</w:t>
      </w:r>
    </w:p>
    <w:p>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开信项目管理集团有限公司</w:t>
      </w:r>
    </w:p>
    <w:p>
      <w:pPr>
        <w:rPr>
          <w:rFonts w:asciiTheme="majorEastAsia" w:hAnsiTheme="majorEastAsia" w:eastAsiaTheme="majorEastAsia" w:cstheme="majorEastAsia"/>
          <w:b/>
          <w:bCs/>
          <w:sz w:val="36"/>
          <w:szCs w:val="36"/>
        </w:rPr>
      </w:pPr>
    </w:p>
    <w:p>
      <w:pPr>
        <w:pStyle w:val="2"/>
        <w:rPr>
          <w:rFonts w:asciiTheme="majorEastAsia" w:hAnsiTheme="majorEastAsia" w:eastAsiaTheme="majorEastAsia" w:cstheme="majorEastAsia"/>
          <w:b/>
          <w:bCs/>
          <w:sz w:val="36"/>
          <w:szCs w:val="36"/>
        </w:rPr>
      </w:pPr>
    </w:p>
    <w:p>
      <w:pPr>
        <w:pStyle w:val="3"/>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eastAsia="zh-CN"/>
        </w:rPr>
        <w:t>二</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七</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center"/>
        <w:rPr>
          <w:rFonts w:cs="黑体" w:asciiTheme="minorEastAsia" w:hAnsiTheme="minorEastAsia"/>
          <w:b/>
          <w:bCs/>
          <w:sz w:val="44"/>
          <w:szCs w:val="44"/>
          <w:lang w:val="zh-CN"/>
        </w:rPr>
        <w:sectPr>
          <w:pgSz w:w="11906" w:h="16838"/>
          <w:pgMar w:top="1270" w:right="1253" w:bottom="1270" w:left="1253" w:header="851" w:footer="765" w:gutter="0"/>
          <w:cols w:space="0" w:num="1"/>
          <w:docGrid w:type="lines" w:linePitch="312" w:charSpace="0"/>
        </w:sectPr>
      </w:pPr>
    </w:p>
    <w:p>
      <w:pPr>
        <w:widowControl/>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hint="eastAsia" w:asciiTheme="majorEastAsia" w:hAnsiTheme="majorEastAsia" w:eastAsiaTheme="majorEastAsia" w:cstheme="majorEastAsia"/>
          <w:b/>
          <w:bCs/>
          <w:color w:val="auto"/>
          <w:sz w:val="32"/>
          <w:szCs w:val="32"/>
          <w:lang w:val="zh-CN" w:eastAsia="zh-CN"/>
        </w:rPr>
      </w:pPr>
      <w:r>
        <w:rPr>
          <w:rFonts w:hint="eastAsia" w:asciiTheme="majorEastAsia" w:hAnsiTheme="majorEastAsia" w:eastAsiaTheme="majorEastAsia" w:cstheme="majorEastAsia"/>
          <w:b/>
          <w:bCs/>
          <w:color w:val="auto"/>
          <w:sz w:val="32"/>
          <w:szCs w:val="32"/>
          <w:lang w:val="zh-CN"/>
        </w:rPr>
        <w:t>第一章 谈判</w:t>
      </w:r>
      <w:r>
        <w:rPr>
          <w:rFonts w:hint="eastAsia" w:asciiTheme="majorEastAsia" w:hAnsiTheme="majorEastAsia" w:eastAsiaTheme="majorEastAsia" w:cstheme="majorEastAsia"/>
          <w:b/>
          <w:bCs/>
          <w:color w:val="auto"/>
          <w:sz w:val="32"/>
          <w:szCs w:val="32"/>
          <w:lang w:val="en-US" w:eastAsia="zh-CN"/>
        </w:rPr>
        <w:t>公告</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w:t>
      </w:r>
      <w:r>
        <w:rPr>
          <w:rFonts w:hint="eastAsia" w:cs="宋体" w:asciiTheme="majorEastAsia" w:hAnsiTheme="majorEastAsia" w:eastAsiaTheme="majorEastAsia"/>
          <w:b/>
          <w:kern w:val="0"/>
          <w:sz w:val="32"/>
          <w:szCs w:val="32"/>
          <w:lang w:val="en-US" w:eastAsia="zh-CN"/>
        </w:rPr>
        <w:t>公告</w:t>
      </w:r>
    </w:p>
    <w:p>
      <w:pPr>
        <w:spacing w:line="440" w:lineRule="exact"/>
        <w:ind w:firstLine="422" w:firstLineChars="200"/>
        <w:jc w:val="left"/>
        <w:rPr>
          <w:rFonts w:hint="eastAsia" w:asciiTheme="majorEastAsia" w:hAnsiTheme="majorEastAsia" w:eastAsiaTheme="majorEastAsia" w:cstheme="majorEastAsia"/>
          <w:b/>
          <w:bCs/>
          <w:szCs w:val="21"/>
          <w:lang w:eastAsia="zh-CN"/>
        </w:rPr>
      </w:pPr>
      <w:r>
        <w:rPr>
          <w:rFonts w:hint="eastAsia" w:asciiTheme="majorEastAsia" w:hAnsiTheme="majorEastAsia" w:eastAsiaTheme="majorEastAsia" w:cstheme="majorEastAsia"/>
          <w:b/>
          <w:bCs/>
          <w:szCs w:val="21"/>
          <w:lang w:eastAsia="zh-CN"/>
        </w:rPr>
        <w:t>项目概况</w:t>
      </w:r>
    </w:p>
    <w:p>
      <w:pPr>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禹州市教育体育局</w:t>
      </w:r>
      <w:r>
        <w:rPr>
          <w:rFonts w:hint="eastAsia" w:asciiTheme="majorEastAsia" w:hAnsiTheme="majorEastAsia" w:eastAsiaTheme="majorEastAsia" w:cstheme="majorEastAsia"/>
          <w:szCs w:val="21"/>
          <w:lang w:val="en-US" w:eastAsia="zh-CN"/>
        </w:rPr>
        <w:t>梁北镇箕啊社区学校新建餐厅</w:t>
      </w:r>
      <w:r>
        <w:rPr>
          <w:rFonts w:hint="eastAsia" w:asciiTheme="majorEastAsia" w:hAnsiTheme="majorEastAsia" w:eastAsiaTheme="majorEastAsia" w:cstheme="majorEastAsia"/>
          <w:szCs w:val="21"/>
        </w:rPr>
        <w:t>项目的潜在投标人应在全国公共资源交易平台（河南省.许昌市）“投标人/供应商登录”入口获取招标文件</w:t>
      </w:r>
      <w:r>
        <w:rPr>
          <w:rFonts w:hint="eastAsia" w:asciiTheme="majorEastAsia" w:hAnsiTheme="majorEastAsia" w:eastAsiaTheme="majorEastAsia" w:cstheme="majorEastAsia"/>
          <w:szCs w:val="21"/>
          <w:lang w:eastAsia="zh-CN"/>
        </w:rPr>
        <w:t>，并于</w:t>
      </w:r>
      <w:r>
        <w:rPr>
          <w:rFonts w:hint="eastAsia" w:asciiTheme="majorEastAsia" w:hAnsiTheme="majorEastAsia" w:eastAsiaTheme="majorEastAsia" w:cstheme="majorEastAsia"/>
          <w:szCs w:val="21"/>
          <w:lang w:val="en-US" w:eastAsia="zh-CN"/>
        </w:rPr>
        <w:t>2022</w:t>
      </w:r>
      <w:r>
        <w:rPr>
          <w:rFonts w:hint="eastAsia" w:asciiTheme="majorEastAsia" w:hAnsiTheme="majorEastAsia" w:eastAsiaTheme="majorEastAsia" w:cstheme="majorEastAsia"/>
          <w:szCs w:val="21"/>
        </w:rPr>
        <w:t>年</w:t>
      </w:r>
      <w:r>
        <w:rPr>
          <w:rFonts w:hint="eastAsia" w:asciiTheme="majorEastAsia" w:hAnsiTheme="majorEastAsia" w:eastAsiaTheme="majorEastAsia" w:cstheme="majorEastAsia"/>
          <w:szCs w:val="21"/>
          <w:lang w:val="en-US" w:eastAsia="zh-CN"/>
        </w:rPr>
        <w:t xml:space="preserve"> 08 </w:t>
      </w:r>
      <w:r>
        <w:rPr>
          <w:rFonts w:hint="eastAsia" w:asciiTheme="majorEastAsia" w:hAnsiTheme="majorEastAsia" w:eastAsiaTheme="majorEastAsia" w:cstheme="majorEastAsia"/>
          <w:szCs w:val="21"/>
        </w:rPr>
        <w:t>月</w:t>
      </w:r>
      <w:r>
        <w:rPr>
          <w:rFonts w:hint="eastAsia" w:asciiTheme="majorEastAsia" w:hAnsiTheme="majorEastAsia" w:eastAsiaTheme="majorEastAsia" w:cstheme="majorEastAsia"/>
          <w:szCs w:val="21"/>
          <w:lang w:val="en-US" w:eastAsia="zh-CN"/>
        </w:rPr>
        <w:t xml:space="preserve"> 01 </w:t>
      </w:r>
      <w:r>
        <w:rPr>
          <w:rFonts w:hint="eastAsia" w:asciiTheme="majorEastAsia" w:hAnsiTheme="majorEastAsia" w:eastAsiaTheme="majorEastAsia" w:cstheme="majorEastAsia"/>
          <w:szCs w:val="21"/>
        </w:rPr>
        <w:t>日</w:t>
      </w:r>
      <w:r>
        <w:rPr>
          <w:rFonts w:hint="eastAsia" w:asciiTheme="majorEastAsia" w:hAnsiTheme="majorEastAsia" w:eastAsiaTheme="majorEastAsia" w:cstheme="majorEastAsia"/>
          <w:szCs w:val="21"/>
          <w:lang w:val="en-US" w:eastAsia="zh-CN"/>
        </w:rPr>
        <w:t xml:space="preserve"> 08</w:t>
      </w:r>
      <w:r>
        <w:rPr>
          <w:rFonts w:hint="eastAsia" w:asciiTheme="majorEastAsia" w:hAnsiTheme="majorEastAsia" w:eastAsiaTheme="majorEastAsia" w:cstheme="majorEastAsia"/>
          <w:szCs w:val="21"/>
          <w:lang w:val="zh-CN"/>
        </w:rPr>
        <w:t xml:space="preserve"> </w:t>
      </w:r>
      <w:r>
        <w:rPr>
          <w:rFonts w:hint="eastAsia" w:asciiTheme="majorEastAsia" w:hAnsiTheme="majorEastAsia" w:eastAsiaTheme="majorEastAsia" w:cstheme="majorEastAsia"/>
          <w:szCs w:val="21"/>
        </w:rPr>
        <w:t>时</w:t>
      </w:r>
      <w:r>
        <w:rPr>
          <w:rFonts w:hint="eastAsia" w:asciiTheme="majorEastAsia" w:hAnsiTheme="majorEastAsia" w:eastAsiaTheme="majorEastAsia" w:cstheme="majorEastAsia"/>
          <w:szCs w:val="21"/>
          <w:lang w:val="en-US" w:eastAsia="zh-CN"/>
        </w:rPr>
        <w:t>30</w:t>
      </w:r>
      <w:r>
        <w:rPr>
          <w:rFonts w:hint="eastAsia" w:asciiTheme="majorEastAsia" w:hAnsiTheme="majorEastAsia" w:eastAsiaTheme="majorEastAsia" w:cstheme="majorEastAsia"/>
          <w:szCs w:val="21"/>
        </w:rPr>
        <w:t>分</w:t>
      </w:r>
      <w:r>
        <w:rPr>
          <w:rFonts w:hint="eastAsia" w:asciiTheme="majorEastAsia" w:hAnsiTheme="majorEastAsia" w:eastAsiaTheme="majorEastAsia" w:cstheme="majorEastAsia"/>
          <w:szCs w:val="21"/>
          <w:lang w:eastAsia="zh-CN"/>
        </w:rPr>
        <w:t>（北京时间）前递交响应文件。</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一、项目基本情况</w:t>
      </w:r>
    </w:p>
    <w:p>
      <w:pPr>
        <w:spacing w:line="440" w:lineRule="exact"/>
        <w:ind w:firstLine="420" w:firstLineChars="200"/>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 xml:space="preserve">1.项目编号：  </w:t>
      </w:r>
      <w:r>
        <w:rPr>
          <w:rFonts w:hint="eastAsia" w:asciiTheme="majorEastAsia" w:hAnsiTheme="majorEastAsia" w:eastAsiaTheme="majorEastAsia" w:cstheme="majorEastAsia"/>
          <w:szCs w:val="21"/>
          <w:lang w:val="en-US" w:eastAsia="zh-CN"/>
        </w:rPr>
        <w:t>YZCG-DLT-2022048</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2.项目名称：</w:t>
      </w:r>
      <w:r>
        <w:rPr>
          <w:rFonts w:hint="eastAsia" w:asciiTheme="majorEastAsia" w:hAnsiTheme="majorEastAsia" w:eastAsiaTheme="majorEastAsia" w:cstheme="majorEastAsia"/>
          <w:szCs w:val="21"/>
          <w:lang w:eastAsia="zh-CN"/>
        </w:rPr>
        <w:t>禹州市教育体育局</w:t>
      </w:r>
      <w:r>
        <w:rPr>
          <w:rFonts w:hint="eastAsia" w:asciiTheme="majorEastAsia" w:hAnsiTheme="majorEastAsia" w:eastAsiaTheme="majorEastAsia" w:cstheme="majorEastAsia"/>
          <w:szCs w:val="21"/>
          <w:lang w:val="en-US" w:eastAsia="zh-CN"/>
        </w:rPr>
        <w:t>梁北镇箕啊社区学校新建餐厅</w:t>
      </w:r>
      <w:r>
        <w:rPr>
          <w:rFonts w:hint="eastAsia" w:asciiTheme="majorEastAsia" w:hAnsiTheme="majorEastAsia" w:eastAsiaTheme="majorEastAsia" w:cstheme="majorEastAsia"/>
          <w:szCs w:val="21"/>
        </w:rPr>
        <w:t xml:space="preserve">项目 </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3.采购方式：竞争性谈判</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4.预算金额：</w:t>
      </w:r>
      <w:r>
        <w:rPr>
          <w:rFonts w:hint="eastAsia" w:ascii="宋体" w:hAnsi="宋体" w:eastAsia="宋体" w:cs="宋体"/>
          <w:color w:val="000000"/>
          <w:kern w:val="0"/>
          <w:szCs w:val="21"/>
          <w:lang w:val="en-US" w:eastAsia="zh-CN"/>
        </w:rPr>
        <w:t>1335391.06</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元</w:t>
      </w:r>
    </w:p>
    <w:p>
      <w:pPr>
        <w:spacing w:line="440" w:lineRule="exact"/>
        <w:ind w:firstLine="630" w:firstLineChars="3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最高限价：</w:t>
      </w:r>
      <w:r>
        <w:rPr>
          <w:rFonts w:hint="eastAsia" w:ascii="宋体" w:hAnsi="宋体" w:eastAsia="宋体" w:cs="宋体"/>
          <w:color w:val="000000"/>
          <w:kern w:val="0"/>
          <w:szCs w:val="21"/>
          <w:lang w:val="en-US" w:eastAsia="zh-CN"/>
        </w:rPr>
        <w:t>1335391.06</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元</w:t>
      </w:r>
      <w:r>
        <w:rPr>
          <w:rFonts w:hint="eastAsia" w:asciiTheme="majorEastAsia" w:hAnsiTheme="majorEastAsia" w:eastAsiaTheme="majorEastAsia" w:cstheme="majorEastAsia"/>
          <w:szCs w:val="21"/>
        </w:rPr>
        <w:t xml:space="preserve"> </w:t>
      </w:r>
    </w:p>
    <w:tbl>
      <w:tblPr>
        <w:tblStyle w:val="26"/>
        <w:tblW w:w="4500"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24"/>
        <w:gridCol w:w="2122"/>
        <w:gridCol w:w="2970"/>
        <w:gridCol w:w="1273"/>
        <w:gridCol w:w="16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0" w:type="pct"/>
            <w:noWrap w:val="0"/>
            <w:vAlign w:val="center"/>
          </w:tcPr>
          <w:p>
            <w:pPr>
              <w:pStyle w:val="4"/>
              <w:jc w:val="center"/>
              <w:rPr>
                <w:rFonts w:hint="default"/>
                <w:sz w:val="21"/>
                <w:szCs w:val="21"/>
                <w:lang w:val="en-US" w:eastAsia="zh-CN"/>
              </w:rPr>
            </w:pPr>
            <w:r>
              <w:rPr>
                <w:rFonts w:hint="default"/>
                <w:sz w:val="21"/>
                <w:szCs w:val="21"/>
                <w:lang w:val="en-US" w:eastAsia="zh-CN"/>
              </w:rPr>
              <w:t>序号</w:t>
            </w:r>
          </w:p>
        </w:tc>
        <w:tc>
          <w:tcPr>
            <w:tcW w:w="1250" w:type="pct"/>
            <w:noWrap w:val="0"/>
            <w:vAlign w:val="center"/>
          </w:tcPr>
          <w:p>
            <w:pPr>
              <w:pStyle w:val="4"/>
              <w:jc w:val="center"/>
              <w:rPr>
                <w:rFonts w:hint="default"/>
                <w:sz w:val="21"/>
                <w:szCs w:val="21"/>
                <w:lang w:val="en-US" w:eastAsia="zh-CN"/>
              </w:rPr>
            </w:pPr>
            <w:r>
              <w:rPr>
                <w:rFonts w:hint="default"/>
                <w:sz w:val="21"/>
                <w:szCs w:val="21"/>
                <w:lang w:val="en-US" w:eastAsia="zh-CN"/>
              </w:rPr>
              <w:t>包号</w:t>
            </w:r>
          </w:p>
        </w:tc>
        <w:tc>
          <w:tcPr>
            <w:tcW w:w="1750" w:type="pct"/>
            <w:noWrap w:val="0"/>
            <w:vAlign w:val="center"/>
          </w:tcPr>
          <w:p>
            <w:pPr>
              <w:pStyle w:val="4"/>
              <w:jc w:val="center"/>
              <w:rPr>
                <w:rFonts w:hint="default"/>
                <w:sz w:val="21"/>
                <w:szCs w:val="21"/>
                <w:lang w:val="en-US" w:eastAsia="zh-CN"/>
              </w:rPr>
            </w:pPr>
            <w:r>
              <w:rPr>
                <w:rFonts w:hint="default"/>
                <w:sz w:val="21"/>
                <w:szCs w:val="21"/>
                <w:lang w:val="en-US" w:eastAsia="zh-CN"/>
              </w:rPr>
              <w:t>包名称</w:t>
            </w:r>
          </w:p>
        </w:tc>
        <w:tc>
          <w:tcPr>
            <w:tcW w:w="750" w:type="pct"/>
            <w:noWrap w:val="0"/>
            <w:vAlign w:val="center"/>
          </w:tcPr>
          <w:p>
            <w:pPr>
              <w:pStyle w:val="4"/>
              <w:rPr>
                <w:rFonts w:hint="default"/>
                <w:sz w:val="21"/>
                <w:szCs w:val="21"/>
                <w:lang w:val="en-US" w:eastAsia="zh-CN"/>
              </w:rPr>
            </w:pPr>
            <w:r>
              <w:rPr>
                <w:rFonts w:hint="default"/>
                <w:sz w:val="21"/>
                <w:szCs w:val="21"/>
                <w:lang w:val="en-US" w:eastAsia="zh-CN"/>
              </w:rPr>
              <w:t>包预算（元）</w:t>
            </w:r>
          </w:p>
        </w:tc>
        <w:tc>
          <w:tcPr>
            <w:tcW w:w="1000" w:type="pct"/>
            <w:noWrap w:val="0"/>
            <w:vAlign w:val="center"/>
          </w:tcPr>
          <w:p>
            <w:pPr>
              <w:pStyle w:val="4"/>
              <w:rPr>
                <w:rFonts w:hint="default"/>
                <w:sz w:val="21"/>
                <w:szCs w:val="21"/>
                <w:lang w:val="en-US" w:eastAsia="zh-CN"/>
              </w:rPr>
            </w:pPr>
            <w:r>
              <w:rPr>
                <w:rFonts w:hint="default"/>
                <w:sz w:val="21"/>
                <w:szCs w:val="21"/>
                <w:lang w:val="en-US" w:eastAsia="zh-CN"/>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0" w:type="auto"/>
            <w:noWrap w:val="0"/>
            <w:vAlign w:val="center"/>
          </w:tcPr>
          <w:p>
            <w:pPr>
              <w:pStyle w:val="4"/>
              <w:jc w:val="center"/>
              <w:rPr>
                <w:rFonts w:hint="default"/>
                <w:sz w:val="21"/>
                <w:szCs w:val="21"/>
                <w:lang w:val="en-US" w:eastAsia="zh-CN"/>
              </w:rPr>
            </w:pPr>
            <w:r>
              <w:rPr>
                <w:rFonts w:hint="default"/>
                <w:sz w:val="21"/>
                <w:szCs w:val="21"/>
                <w:lang w:val="en-US" w:eastAsia="zh-CN"/>
              </w:rPr>
              <w:t>1</w:t>
            </w:r>
          </w:p>
        </w:tc>
        <w:tc>
          <w:tcPr>
            <w:tcW w:w="0" w:type="auto"/>
            <w:noWrap w:val="0"/>
            <w:vAlign w:val="center"/>
          </w:tcPr>
          <w:p>
            <w:pPr>
              <w:pStyle w:val="4"/>
              <w:jc w:val="center"/>
              <w:rPr>
                <w:rFonts w:hint="default"/>
                <w:sz w:val="21"/>
                <w:szCs w:val="21"/>
                <w:lang w:val="en-US" w:eastAsia="zh-CN"/>
              </w:rPr>
            </w:pPr>
            <w:r>
              <w:rPr>
                <w:rFonts w:hint="default"/>
                <w:sz w:val="21"/>
                <w:szCs w:val="21"/>
                <w:lang w:val="en-US" w:eastAsia="zh-CN"/>
              </w:rPr>
              <w:t>YZCG-DLT-2022048</w:t>
            </w:r>
          </w:p>
        </w:tc>
        <w:tc>
          <w:tcPr>
            <w:tcW w:w="0" w:type="auto"/>
            <w:noWrap w:val="0"/>
            <w:vAlign w:val="center"/>
          </w:tcPr>
          <w:p>
            <w:pPr>
              <w:pStyle w:val="4"/>
              <w:rPr>
                <w:rFonts w:hint="default"/>
                <w:sz w:val="21"/>
                <w:szCs w:val="21"/>
                <w:lang w:val="en-US" w:eastAsia="zh-CN"/>
              </w:rPr>
            </w:pPr>
            <w:r>
              <w:rPr>
                <w:rFonts w:hint="default"/>
                <w:sz w:val="21"/>
                <w:szCs w:val="21"/>
                <w:lang w:val="en-US" w:eastAsia="zh-CN"/>
              </w:rPr>
              <w:t>禹州市教育体育局梁北镇箕啊社区学校新建餐厅项目</w:t>
            </w:r>
          </w:p>
        </w:tc>
        <w:tc>
          <w:tcPr>
            <w:tcW w:w="0" w:type="auto"/>
            <w:noWrap w:val="0"/>
            <w:vAlign w:val="center"/>
          </w:tcPr>
          <w:p>
            <w:pPr>
              <w:pStyle w:val="4"/>
              <w:jc w:val="center"/>
              <w:rPr>
                <w:rFonts w:hint="default"/>
                <w:sz w:val="21"/>
                <w:szCs w:val="21"/>
                <w:lang w:val="en-US" w:eastAsia="zh-CN"/>
              </w:rPr>
            </w:pPr>
            <w:r>
              <w:rPr>
                <w:rFonts w:hint="default"/>
                <w:sz w:val="21"/>
                <w:szCs w:val="21"/>
                <w:lang w:val="en-US" w:eastAsia="zh-CN"/>
              </w:rPr>
              <w:t>1335391.06</w:t>
            </w:r>
          </w:p>
        </w:tc>
        <w:tc>
          <w:tcPr>
            <w:tcW w:w="0" w:type="auto"/>
            <w:noWrap w:val="0"/>
            <w:vAlign w:val="center"/>
          </w:tcPr>
          <w:p>
            <w:pPr>
              <w:pStyle w:val="4"/>
              <w:jc w:val="center"/>
              <w:rPr>
                <w:rFonts w:hint="default"/>
                <w:sz w:val="21"/>
                <w:szCs w:val="21"/>
                <w:lang w:val="en-US" w:eastAsia="zh-CN"/>
              </w:rPr>
            </w:pPr>
            <w:r>
              <w:rPr>
                <w:rFonts w:hint="default"/>
                <w:sz w:val="21"/>
                <w:szCs w:val="21"/>
                <w:lang w:val="en-US" w:eastAsia="zh-CN"/>
              </w:rPr>
              <w:t>1335391.06</w:t>
            </w:r>
          </w:p>
        </w:tc>
      </w:tr>
    </w:tbl>
    <w:p>
      <w:pPr>
        <w:pStyle w:val="2"/>
      </w:pP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5.采购需求：</w:t>
      </w:r>
      <w:r>
        <w:rPr>
          <w:rFonts w:hint="eastAsia" w:asciiTheme="majorEastAsia" w:hAnsiTheme="majorEastAsia" w:eastAsiaTheme="majorEastAsia" w:cstheme="majorEastAsia"/>
          <w:szCs w:val="21"/>
          <w:lang w:eastAsia="zh-CN"/>
        </w:rPr>
        <w:t>禹州市教育体育局</w:t>
      </w:r>
      <w:r>
        <w:rPr>
          <w:rFonts w:hint="eastAsia" w:asciiTheme="majorEastAsia" w:hAnsiTheme="majorEastAsia" w:eastAsiaTheme="majorEastAsia" w:cstheme="majorEastAsia"/>
          <w:szCs w:val="21"/>
          <w:lang w:val="en-US" w:eastAsia="zh-CN"/>
        </w:rPr>
        <w:t>梁北镇箕啊社区学校新建餐厅</w:t>
      </w:r>
      <w:r>
        <w:rPr>
          <w:rFonts w:hint="eastAsia" w:asciiTheme="majorEastAsia" w:hAnsiTheme="majorEastAsia" w:eastAsiaTheme="majorEastAsia" w:cstheme="majorEastAsia"/>
          <w:szCs w:val="21"/>
        </w:rPr>
        <w:t>项目</w:t>
      </w:r>
      <w:r>
        <w:rPr>
          <w:rFonts w:hint="eastAsia" w:ascii="宋体" w:hAnsi="宋体" w:eastAsia="宋体" w:cs="宋体"/>
          <w:color w:val="000000"/>
          <w:kern w:val="0"/>
          <w:szCs w:val="21"/>
        </w:rPr>
        <w:t>（详见谈判文件）</w:t>
      </w:r>
    </w:p>
    <w:p>
      <w:pPr>
        <w:spacing w:line="440" w:lineRule="exact"/>
        <w:ind w:firstLine="420" w:firstLineChars="200"/>
        <w:jc w:val="lef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6.</w:t>
      </w:r>
      <w:r>
        <w:rPr>
          <w:rFonts w:hint="eastAsia" w:asciiTheme="majorEastAsia" w:hAnsiTheme="majorEastAsia" w:eastAsiaTheme="majorEastAsia" w:cstheme="majorEastAsia"/>
          <w:szCs w:val="21"/>
          <w:lang w:val="en-US" w:eastAsia="zh-CN"/>
        </w:rPr>
        <w:t>采购范围：施工图纸及工程清单范围内的全部内容</w:t>
      </w:r>
    </w:p>
    <w:p>
      <w:pPr>
        <w:spacing w:line="440" w:lineRule="exact"/>
        <w:ind w:firstLine="420" w:firstLineChars="200"/>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7.计划工期</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lang w:val="en-US" w:eastAsia="zh-CN"/>
        </w:rPr>
        <w:t>9</w:t>
      </w:r>
      <w:r>
        <w:rPr>
          <w:rFonts w:hint="eastAsia" w:asciiTheme="majorEastAsia" w:hAnsiTheme="majorEastAsia" w:eastAsiaTheme="majorEastAsia" w:cstheme="majorEastAsia"/>
          <w:szCs w:val="21"/>
        </w:rPr>
        <w:t>0日</w:t>
      </w:r>
      <w:r>
        <w:rPr>
          <w:rFonts w:hint="eastAsia" w:asciiTheme="majorEastAsia" w:hAnsiTheme="majorEastAsia" w:eastAsiaTheme="majorEastAsia" w:cstheme="majorEastAsia"/>
          <w:szCs w:val="21"/>
          <w:lang w:val="en-US" w:eastAsia="zh-CN"/>
        </w:rPr>
        <w:t>历天</w:t>
      </w:r>
    </w:p>
    <w:p>
      <w:pPr>
        <w:pStyle w:val="3"/>
        <w:spacing w:line="360" w:lineRule="auto"/>
        <w:ind w:firstLine="420"/>
        <w:rPr>
          <w:rFonts w:hint="eastAsia"/>
          <w:lang w:eastAsia="zh-CN"/>
        </w:rPr>
      </w:pPr>
      <w:r>
        <w:rPr>
          <w:rFonts w:hint="eastAsia" w:hAnsi="宋体" w:cs="宋体"/>
          <w:sz w:val="21"/>
          <w:szCs w:val="21"/>
          <w:lang w:val="en-US" w:eastAsia="zh-CN"/>
        </w:rPr>
        <w:t>8.</w:t>
      </w:r>
      <w:r>
        <w:rPr>
          <w:rFonts w:hint="eastAsia" w:ascii="宋体" w:hAnsi="宋体" w:eastAsia="宋体" w:cs="宋体"/>
          <w:sz w:val="21"/>
          <w:szCs w:val="21"/>
          <w:lang w:val="en-US" w:eastAsia="zh-CN"/>
        </w:rPr>
        <w:t>质量标准：符合国家或行业规定的合格标准</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9</w:t>
      </w:r>
      <w:r>
        <w:rPr>
          <w:rFonts w:hint="eastAsia" w:asciiTheme="majorEastAsia" w:hAnsiTheme="majorEastAsia" w:eastAsiaTheme="majorEastAsia" w:cstheme="majorEastAsia"/>
          <w:szCs w:val="21"/>
        </w:rPr>
        <w:t>.本项目是否接受联合体投标：否</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10</w:t>
      </w:r>
      <w:r>
        <w:rPr>
          <w:rFonts w:hint="eastAsia" w:asciiTheme="majorEastAsia" w:hAnsiTheme="majorEastAsia" w:eastAsiaTheme="majorEastAsia" w:cstheme="majorEastAsia"/>
          <w:szCs w:val="21"/>
        </w:rPr>
        <w:t>.是否接受进口产品：否</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二、申请人资格要求：</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1.满足《中华人民共和国政府采购法》第二十二条规定；</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2.落实政府采购政策满足的资格要求：</w:t>
      </w:r>
    </w:p>
    <w:p>
      <w:pPr>
        <w:spacing w:line="360" w:lineRule="auto"/>
        <w:ind w:firstLine="525" w:firstLineChars="250"/>
        <w:rPr>
          <w:rFonts w:hint="eastAsia" w:ascii="宋体" w:hAnsi="宋体" w:eastAsia="宋体" w:cs="宋体"/>
          <w:color w:val="auto"/>
          <w:sz w:val="21"/>
          <w:szCs w:val="21"/>
          <w:highlight w:val="none"/>
          <w:shd w:val="clear" w:color="auto" w:fill="FFFFFF"/>
          <w:lang w:eastAsia="zh-CN"/>
        </w:rPr>
      </w:pPr>
      <w:r>
        <w:rPr>
          <w:rFonts w:hint="eastAsia" w:asciiTheme="majorEastAsia" w:hAnsiTheme="majorEastAsia" w:eastAsiaTheme="majorEastAsia" w:cstheme="majorEastAsia"/>
          <w:szCs w:val="21"/>
        </w:rPr>
        <w:t>本项目</w:t>
      </w:r>
      <w:r>
        <w:rPr>
          <w:rFonts w:ascii="宋体" w:hAnsi="宋体" w:eastAsia="宋体" w:cs="宋体"/>
          <w:sz w:val="21"/>
          <w:szCs w:val="21"/>
        </w:rPr>
        <w:t>专门面向中小企业采购的项目。</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3.本项目的</w:t>
      </w:r>
      <w:r>
        <w:rPr>
          <w:rFonts w:hint="eastAsia" w:asciiTheme="majorEastAsia" w:hAnsiTheme="majorEastAsia" w:eastAsiaTheme="majorEastAsia" w:cstheme="majorEastAsia"/>
          <w:szCs w:val="21"/>
          <w:lang w:val="en-US" w:eastAsia="zh-CN"/>
        </w:rPr>
        <w:t>特定</w:t>
      </w:r>
      <w:r>
        <w:rPr>
          <w:rFonts w:hint="eastAsia" w:asciiTheme="majorEastAsia" w:hAnsiTheme="majorEastAsia" w:eastAsiaTheme="majorEastAsia" w:cstheme="majorEastAsia"/>
          <w:szCs w:val="21"/>
        </w:rPr>
        <w:t>资格要求</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具备独立法人资格；具备建筑工程施工总承包三级及以上资质，且具有有效安全生产许可证；拟派项目经理须为建筑工程专业二级及以上注册建造师执业资格并具有有效的安全生产考核合格证（B类）,且未担任其他在施建设工程项目的项目经理。</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三、获取采购文件</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即日起至谈判响应截止时间前均可登录《全国公共资源交易平台（河南省·许昌市）》“投标人/供应商登录”入口（http://ggzy.xuchang.gov.cn:8088/ggzy/）自行免费下载竞争性谈判文件。</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四、响应文件提交</w:t>
      </w:r>
    </w:p>
    <w:p>
      <w:pPr>
        <w:spacing w:line="440" w:lineRule="exact"/>
        <w:ind w:firstLine="420" w:firstLineChars="200"/>
        <w:jc w:val="left"/>
        <w:rPr>
          <w:rFonts w:asciiTheme="majorEastAsia" w:hAnsiTheme="majorEastAsia" w:eastAsiaTheme="majorEastAsia" w:cstheme="majorEastAsia"/>
          <w:color w:val="0000FF"/>
          <w:szCs w:val="21"/>
        </w:rPr>
      </w:pPr>
      <w:r>
        <w:rPr>
          <w:rFonts w:hint="eastAsia" w:asciiTheme="majorEastAsia" w:hAnsiTheme="majorEastAsia" w:eastAsiaTheme="majorEastAsia" w:cstheme="majorEastAsia"/>
          <w:szCs w:val="21"/>
        </w:rPr>
        <w:t>1.时间：2022年</w:t>
      </w:r>
      <w:r>
        <w:rPr>
          <w:rFonts w:hint="eastAsia" w:asciiTheme="majorEastAsia" w:hAnsiTheme="majorEastAsia" w:eastAsiaTheme="majorEastAsia" w:cstheme="majorEastAsia"/>
          <w:szCs w:val="21"/>
          <w:lang w:val="en-US" w:eastAsia="zh-CN"/>
        </w:rPr>
        <w:t>08</w:t>
      </w:r>
      <w:r>
        <w:rPr>
          <w:rFonts w:hint="eastAsia" w:asciiTheme="majorEastAsia" w:hAnsiTheme="majorEastAsia" w:eastAsiaTheme="majorEastAsia" w:cstheme="majorEastAsia"/>
          <w:szCs w:val="21"/>
        </w:rPr>
        <w:t>月</w:t>
      </w:r>
      <w:r>
        <w:rPr>
          <w:rFonts w:hint="eastAsia" w:asciiTheme="majorEastAsia" w:hAnsiTheme="majorEastAsia" w:eastAsiaTheme="majorEastAsia" w:cstheme="majorEastAsia"/>
          <w:szCs w:val="21"/>
          <w:lang w:val="en-US" w:eastAsia="zh-CN"/>
        </w:rPr>
        <w:t>01</w:t>
      </w:r>
      <w:r>
        <w:rPr>
          <w:rFonts w:hint="eastAsia" w:asciiTheme="majorEastAsia" w:hAnsiTheme="majorEastAsia" w:eastAsiaTheme="majorEastAsia" w:cstheme="majorEastAsia"/>
          <w:szCs w:val="21"/>
        </w:rPr>
        <w:t>日</w:t>
      </w:r>
      <w:r>
        <w:rPr>
          <w:rFonts w:hint="eastAsia" w:asciiTheme="majorEastAsia" w:hAnsiTheme="majorEastAsia" w:eastAsiaTheme="majorEastAsia" w:cstheme="majorEastAsia"/>
          <w:szCs w:val="21"/>
          <w:lang w:val="en-US" w:eastAsia="zh-CN"/>
        </w:rPr>
        <w:t>08</w:t>
      </w:r>
      <w:r>
        <w:rPr>
          <w:rFonts w:hint="eastAsia" w:asciiTheme="majorEastAsia" w:hAnsiTheme="majorEastAsia" w:eastAsiaTheme="majorEastAsia" w:cstheme="majorEastAsia"/>
          <w:szCs w:val="21"/>
        </w:rPr>
        <w:t>时</w:t>
      </w:r>
      <w:r>
        <w:rPr>
          <w:rFonts w:hint="eastAsia" w:asciiTheme="majorEastAsia" w:hAnsiTheme="majorEastAsia" w:eastAsiaTheme="majorEastAsia" w:cstheme="majorEastAsia"/>
          <w:szCs w:val="21"/>
          <w:lang w:val="en-US" w:eastAsia="zh-CN"/>
        </w:rPr>
        <w:t>30</w:t>
      </w:r>
      <w:r>
        <w:rPr>
          <w:rFonts w:hint="eastAsia" w:asciiTheme="majorEastAsia" w:hAnsiTheme="majorEastAsia" w:eastAsiaTheme="majorEastAsia" w:cstheme="majorEastAsia"/>
          <w:szCs w:val="21"/>
        </w:rPr>
        <w:t>分（北京时间）</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2.地点：本项目采用网上响应，请符合响应条件的供应商使用CA数字证书加密上传响应文件。</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五、响应文件开启</w:t>
      </w:r>
    </w:p>
    <w:p>
      <w:pPr>
        <w:spacing w:line="440" w:lineRule="exact"/>
        <w:ind w:firstLine="420" w:firstLineChars="200"/>
        <w:jc w:val="left"/>
        <w:rPr>
          <w:rFonts w:asciiTheme="majorEastAsia" w:hAnsiTheme="majorEastAsia" w:eastAsiaTheme="majorEastAsia" w:cstheme="majorEastAsia"/>
          <w:color w:val="0000FF"/>
          <w:szCs w:val="21"/>
        </w:rPr>
      </w:pPr>
      <w:r>
        <w:rPr>
          <w:rFonts w:hint="eastAsia" w:asciiTheme="majorEastAsia" w:hAnsiTheme="majorEastAsia" w:eastAsiaTheme="majorEastAsia" w:cstheme="majorEastAsia"/>
          <w:szCs w:val="21"/>
        </w:rPr>
        <w:t>1.时间：2022年</w:t>
      </w:r>
      <w:r>
        <w:rPr>
          <w:rFonts w:hint="eastAsia" w:asciiTheme="majorEastAsia" w:hAnsiTheme="majorEastAsia" w:eastAsiaTheme="majorEastAsia" w:cstheme="majorEastAsia"/>
          <w:szCs w:val="21"/>
          <w:lang w:val="en-US" w:eastAsia="zh-CN"/>
        </w:rPr>
        <w:t>08</w:t>
      </w:r>
      <w:r>
        <w:rPr>
          <w:rFonts w:hint="eastAsia" w:asciiTheme="majorEastAsia" w:hAnsiTheme="majorEastAsia" w:eastAsiaTheme="majorEastAsia" w:cstheme="majorEastAsia"/>
          <w:szCs w:val="21"/>
        </w:rPr>
        <w:t>月</w:t>
      </w:r>
      <w:r>
        <w:rPr>
          <w:rFonts w:hint="eastAsia" w:asciiTheme="majorEastAsia" w:hAnsiTheme="majorEastAsia" w:eastAsiaTheme="majorEastAsia" w:cstheme="majorEastAsia"/>
          <w:szCs w:val="21"/>
          <w:lang w:val="en-US" w:eastAsia="zh-CN"/>
        </w:rPr>
        <w:t xml:space="preserve">01 </w:t>
      </w:r>
      <w:r>
        <w:rPr>
          <w:rFonts w:hint="eastAsia" w:asciiTheme="majorEastAsia" w:hAnsiTheme="majorEastAsia" w:eastAsiaTheme="majorEastAsia" w:cstheme="majorEastAsia"/>
          <w:szCs w:val="21"/>
        </w:rPr>
        <w:t>日</w:t>
      </w:r>
      <w:r>
        <w:rPr>
          <w:rFonts w:hint="eastAsia" w:asciiTheme="majorEastAsia" w:hAnsiTheme="majorEastAsia" w:eastAsiaTheme="majorEastAsia" w:cstheme="majorEastAsia"/>
          <w:szCs w:val="21"/>
          <w:lang w:val="en-US" w:eastAsia="zh-CN"/>
        </w:rPr>
        <w:t>08</w:t>
      </w:r>
      <w:r>
        <w:rPr>
          <w:rFonts w:hint="eastAsia" w:asciiTheme="majorEastAsia" w:hAnsiTheme="majorEastAsia" w:eastAsiaTheme="majorEastAsia" w:cstheme="majorEastAsia"/>
          <w:szCs w:val="21"/>
        </w:rPr>
        <w:t>时</w:t>
      </w:r>
      <w:r>
        <w:rPr>
          <w:rFonts w:hint="eastAsia" w:asciiTheme="majorEastAsia" w:hAnsiTheme="majorEastAsia" w:eastAsiaTheme="majorEastAsia" w:cstheme="majorEastAsia"/>
          <w:szCs w:val="21"/>
          <w:lang w:val="en-US" w:eastAsia="zh-CN"/>
        </w:rPr>
        <w:t>30</w:t>
      </w:r>
      <w:r>
        <w:rPr>
          <w:rFonts w:hint="eastAsia" w:asciiTheme="majorEastAsia" w:hAnsiTheme="majorEastAsia" w:eastAsiaTheme="majorEastAsia" w:cstheme="majorEastAsia"/>
          <w:szCs w:val="21"/>
        </w:rPr>
        <w:t>分（北京时间）</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六、发布公告的媒介及</w:t>
      </w:r>
      <w:r>
        <w:rPr>
          <w:rFonts w:hint="eastAsia" w:asciiTheme="majorEastAsia" w:hAnsiTheme="majorEastAsia" w:eastAsiaTheme="majorEastAsia" w:cstheme="majorEastAsia"/>
          <w:szCs w:val="21"/>
          <w:lang w:val="en-US" w:eastAsia="zh-CN"/>
        </w:rPr>
        <w:t>谈判</w:t>
      </w:r>
      <w:r>
        <w:rPr>
          <w:rFonts w:hint="eastAsia" w:asciiTheme="majorEastAsia" w:hAnsiTheme="majorEastAsia" w:eastAsiaTheme="majorEastAsia" w:cstheme="majorEastAsia"/>
          <w:szCs w:val="21"/>
        </w:rPr>
        <w:t>公告期限</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本次</w:t>
      </w:r>
      <w:r>
        <w:rPr>
          <w:rFonts w:hint="eastAsia" w:asciiTheme="majorEastAsia" w:hAnsiTheme="majorEastAsia" w:eastAsiaTheme="majorEastAsia" w:cstheme="majorEastAsia"/>
          <w:szCs w:val="21"/>
          <w:lang w:val="en-US" w:eastAsia="zh-CN"/>
        </w:rPr>
        <w:t>谈判</w:t>
      </w:r>
      <w:r>
        <w:rPr>
          <w:rFonts w:hint="eastAsia" w:asciiTheme="majorEastAsia" w:hAnsiTheme="majorEastAsia" w:eastAsiaTheme="majorEastAsia" w:cstheme="majorEastAsia"/>
          <w:szCs w:val="21"/>
        </w:rPr>
        <w:t xml:space="preserve">公告在《河南省政府采购网》《全国公共资源交易平台（河南省·许昌市）》上发布。 </w:t>
      </w:r>
      <w:r>
        <w:rPr>
          <w:rFonts w:hint="eastAsia" w:asciiTheme="majorEastAsia" w:hAnsiTheme="majorEastAsia" w:eastAsiaTheme="majorEastAsia" w:cstheme="majorEastAsia"/>
          <w:szCs w:val="21"/>
          <w:lang w:val="en-US" w:eastAsia="zh-CN"/>
        </w:rPr>
        <w:t>谈判</w:t>
      </w:r>
      <w:r>
        <w:rPr>
          <w:rFonts w:hint="eastAsia" w:asciiTheme="majorEastAsia" w:hAnsiTheme="majorEastAsia" w:eastAsiaTheme="majorEastAsia" w:cstheme="majorEastAsia"/>
          <w:szCs w:val="21"/>
        </w:rPr>
        <w:t>公告期限为三个工作日。</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七、凡对本次招标提出询问，请按照以下方式联系</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1.采购人信息</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名称：禹州市教育体育局</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地址：禹州市禹王大道</w:t>
      </w:r>
    </w:p>
    <w:p>
      <w:pPr>
        <w:spacing w:line="440" w:lineRule="exact"/>
        <w:ind w:firstLine="420" w:firstLineChars="200"/>
        <w:jc w:val="left"/>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 xml:space="preserve">联系人：连先生  </w:t>
      </w:r>
    </w:p>
    <w:p>
      <w:pPr>
        <w:spacing w:line="440" w:lineRule="exact"/>
        <w:ind w:firstLine="420" w:firstLineChars="200"/>
        <w:jc w:val="left"/>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 xml:space="preserve">联系方式：0374-8880080 </w:t>
      </w:r>
    </w:p>
    <w:p>
      <w:pPr>
        <w:pStyle w:val="24"/>
        <w:widowControl/>
        <w:shd w:val="clear" w:color="auto" w:fill="FFFFFF"/>
        <w:spacing w:line="460" w:lineRule="exact"/>
        <w:ind w:firstLine="420" w:firstLineChars="200"/>
        <w:contextualSpacing/>
        <w:jc w:val="left"/>
        <w:rPr>
          <w:rFonts w:hint="eastAsia" w:ascii="宋体" w:hAnsi="宋体" w:cs="宋体"/>
          <w:color w:val="000000"/>
          <w:sz w:val="21"/>
          <w:szCs w:val="21"/>
        </w:rPr>
      </w:pPr>
      <w:r>
        <w:rPr>
          <w:rFonts w:hint="eastAsia" w:ascii="宋体" w:hAnsi="宋体" w:cs="宋体"/>
          <w:color w:val="000000"/>
          <w:sz w:val="21"/>
          <w:szCs w:val="21"/>
          <w:lang w:val="en-US" w:eastAsia="zh-CN"/>
        </w:rPr>
        <w:t>2.</w:t>
      </w:r>
      <w:r>
        <w:rPr>
          <w:rFonts w:hint="eastAsia" w:ascii="宋体" w:hAnsi="宋体" w:cs="宋体"/>
          <w:color w:val="000000"/>
          <w:sz w:val="21"/>
          <w:szCs w:val="21"/>
        </w:rPr>
        <w:t>代理机构：</w:t>
      </w:r>
      <w:r>
        <w:rPr>
          <w:rFonts w:hint="eastAsia" w:ascii="宋体" w:hAnsi="宋体" w:cs="宋体"/>
          <w:color w:val="000000"/>
          <w:sz w:val="21"/>
          <w:szCs w:val="21"/>
          <w:lang w:eastAsia="zh-CN"/>
        </w:rPr>
        <w:t>开信项目管理集团</w:t>
      </w:r>
      <w:r>
        <w:rPr>
          <w:rFonts w:hint="eastAsia" w:ascii="宋体" w:hAnsi="宋体" w:cs="宋体"/>
          <w:color w:val="000000"/>
          <w:sz w:val="21"/>
          <w:szCs w:val="21"/>
        </w:rPr>
        <w:t>有限公司</w:t>
      </w:r>
    </w:p>
    <w:p>
      <w:pPr>
        <w:pStyle w:val="24"/>
        <w:widowControl/>
        <w:shd w:val="clear" w:color="auto" w:fill="FFFFFF"/>
        <w:spacing w:line="460" w:lineRule="exact"/>
        <w:ind w:firstLine="420" w:firstLineChars="200"/>
        <w:contextualSpacing/>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地址：郑州市高新区大学科技园东区10号楼10层</w:t>
      </w:r>
    </w:p>
    <w:p>
      <w:pPr>
        <w:pStyle w:val="24"/>
        <w:widowControl/>
        <w:shd w:val="clear" w:color="auto" w:fill="FFFFFF"/>
        <w:spacing w:line="460" w:lineRule="exact"/>
        <w:ind w:firstLine="420" w:firstLineChars="200"/>
        <w:contextualSpacing/>
        <w:jc w:val="left"/>
        <w:rPr>
          <w:rFonts w:ascii="宋体" w:hAnsi="宋体" w:cs="宋体"/>
          <w:color w:val="000000"/>
          <w:sz w:val="21"/>
          <w:szCs w:val="21"/>
        </w:rPr>
      </w:pPr>
      <w:r>
        <w:rPr>
          <w:rFonts w:hint="eastAsia" w:ascii="宋体" w:hAnsi="宋体" w:cs="宋体"/>
          <w:color w:val="000000"/>
          <w:sz w:val="21"/>
          <w:szCs w:val="21"/>
        </w:rPr>
        <w:t>联系人：</w:t>
      </w:r>
      <w:r>
        <w:rPr>
          <w:rFonts w:hint="eastAsia" w:ascii="宋体" w:hAnsi="宋体" w:cs="宋体"/>
          <w:color w:val="000000"/>
          <w:sz w:val="21"/>
          <w:szCs w:val="21"/>
          <w:lang w:eastAsia="zh-CN"/>
        </w:rPr>
        <w:t>陈</w:t>
      </w:r>
      <w:r>
        <w:rPr>
          <w:rFonts w:hint="eastAsia" w:ascii="宋体" w:hAnsi="宋体" w:cs="宋体"/>
          <w:color w:val="000000"/>
          <w:sz w:val="21"/>
          <w:szCs w:val="21"/>
        </w:rPr>
        <w:t xml:space="preserve">先生   </w:t>
      </w:r>
    </w:p>
    <w:p>
      <w:pPr>
        <w:pStyle w:val="24"/>
        <w:widowControl/>
        <w:shd w:val="clear" w:color="auto" w:fill="FFFFFF"/>
        <w:spacing w:line="460" w:lineRule="exact"/>
        <w:ind w:firstLine="420" w:firstLineChars="200"/>
        <w:contextualSpacing/>
        <w:jc w:val="left"/>
        <w:rPr>
          <w:rFonts w:asciiTheme="majorEastAsia" w:hAnsiTheme="majorEastAsia" w:eastAsiaTheme="majorEastAsia" w:cstheme="majorEastAsia"/>
          <w:bCs/>
          <w:szCs w:val="21"/>
        </w:rPr>
      </w:pPr>
      <w:r>
        <w:rPr>
          <w:rFonts w:hint="eastAsia" w:ascii="宋体" w:hAnsi="宋体" w:cs="宋体"/>
          <w:color w:val="000000"/>
          <w:sz w:val="21"/>
          <w:szCs w:val="21"/>
        </w:rPr>
        <w:t>联系电话：0374-</w:t>
      </w:r>
      <w:r>
        <w:rPr>
          <w:rFonts w:hint="eastAsia" w:ascii="宋体" w:hAnsi="宋体" w:cs="宋体"/>
          <w:color w:val="000000"/>
          <w:sz w:val="21"/>
          <w:szCs w:val="21"/>
          <w:lang w:val="en-US" w:eastAsia="zh-CN"/>
        </w:rPr>
        <w:t>8119989</w:t>
      </w:r>
    </w:p>
    <w:p>
      <w:pPr>
        <w:spacing w:line="440" w:lineRule="exact"/>
        <w:ind w:firstLine="420" w:firstLineChars="200"/>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Cs/>
          <w:szCs w:val="21"/>
        </w:rPr>
        <w:t>3.监督单位：禹州市政府采购监督管理办公室</w:t>
      </w:r>
    </w:p>
    <w:p>
      <w:pPr>
        <w:spacing w:line="440" w:lineRule="exact"/>
        <w:ind w:firstLine="422" w:firstLineChars="200"/>
        <w:jc w:val="left"/>
        <w:rPr>
          <w:rFonts w:asciiTheme="majorEastAsia" w:hAnsiTheme="majorEastAsia" w:eastAsiaTheme="majorEastAsia" w:cstheme="majorEastAsia"/>
          <w:b/>
          <w:szCs w:val="21"/>
        </w:rPr>
      </w:pPr>
    </w:p>
    <w:p>
      <w:pPr>
        <w:spacing w:line="440" w:lineRule="exact"/>
        <w:jc w:val="left"/>
        <w:rPr>
          <w:rFonts w:asciiTheme="majorEastAsia" w:hAnsiTheme="majorEastAsia" w:eastAsiaTheme="majorEastAsia" w:cstheme="majorEastAsia"/>
          <w:b/>
          <w:color w:val="auto"/>
          <w:szCs w:val="21"/>
        </w:rPr>
      </w:pPr>
    </w:p>
    <w:p>
      <w:pPr>
        <w:spacing w:line="440" w:lineRule="exact"/>
        <w:ind w:firstLine="422" w:firstLineChars="200"/>
        <w:jc w:val="left"/>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温馨提示：</w:t>
      </w:r>
    </w:p>
    <w:p>
      <w:pPr>
        <w:tabs>
          <w:tab w:val="left" w:pos="7095"/>
        </w:tabs>
        <w:spacing w:line="360" w:lineRule="auto"/>
        <w:ind w:firstLine="422" w:firstLineChars="200"/>
        <w:contextualSpacing/>
        <w:rPr>
          <w:rFonts w:hAnsi="宋体"/>
          <w:b/>
          <w:color w:val="auto"/>
          <w:szCs w:val="21"/>
        </w:rPr>
      </w:pPr>
      <w:r>
        <w:rPr>
          <w:rFonts w:hint="eastAsia" w:hAnsi="宋体"/>
          <w:b/>
          <w:color w:val="auto"/>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供应商应按谈判文件规定编制、提交、解密电子响应文件。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电子文件下载、制作、提交期间和远程不见面谈判（</w:t>
      </w:r>
      <w:r>
        <w:rPr>
          <w:rFonts w:hint="eastAsia" w:hAnsi="宋体"/>
          <w:color w:val="auto"/>
          <w:szCs w:val="21"/>
        </w:rPr>
        <w:t>电子响应文件的解密</w:t>
      </w:r>
      <w:r>
        <w:rPr>
          <w:rFonts w:hint="eastAsia" w:hAnsi="宋体"/>
          <w:b/>
          <w:color w:val="auto"/>
          <w:szCs w:val="21"/>
        </w:rPr>
        <w:t>）环节，供应商须使用同一个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rFonts w:hint="eastAsia"/>
          <w:color w:val="auto"/>
        </w:rPr>
        <w:t>http://ggzy.xuchang.gov.cn:8088/ggzy/</w:t>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电子响应文件应按规定在谈判响应截止时间（谈判时间）之前成功提交至《全国公共资源交易平台(河南省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rFonts w:hint="eastAsia"/>
          <w:color w:val="auto"/>
        </w:rPr>
        <w:t>http://ggzy.xuchang.gov.cn:8088/ggzy/</w:t>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rFonts w:hint="eastAsia"/>
          <w:color w:val="auto"/>
        </w:rPr>
        <w:t>http://ggzy.xuchang.gov.cn:8088/ggzy/</w:t>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5.远程不见面谈判（</w:t>
      </w:r>
      <w:r>
        <w:rPr>
          <w:rFonts w:hint="eastAsia" w:hAnsi="宋体"/>
          <w:b/>
          <w:color w:val="auto"/>
          <w:szCs w:val="21"/>
        </w:rPr>
        <w:t>电子响应文件的解密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1</w:t>
      </w:r>
      <w:r>
        <w:rPr>
          <w:rFonts w:hint="eastAsia" w:hAnsi="宋体"/>
          <w:color w:val="auto"/>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color w:val="auto"/>
          <w:kern w:val="0"/>
          <w:szCs w:val="21"/>
        </w:rPr>
        <w:t>因供应商原因解密失败的，其响应文件将被拒绝。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rPr>
      </w:pPr>
      <w:r>
        <w:rPr>
          <w:rFonts w:hint="eastAsia" w:asciiTheme="minorEastAsia" w:hAnsiTheme="minorEastAsia"/>
          <w:b/>
          <w:color w:val="auto"/>
          <w:szCs w:val="21"/>
        </w:rPr>
        <w:t>6.评审依据</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firstLine="420" w:firstLineChars="200"/>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注：①谈判小组要求供应商提交最后报价时，在谈判小组规定时间内，供应商未提交最后报价则以其初次提交响应文件报价为最后报价。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②谈判文件第二章“采购需求”中“采购清单”以工程量清单提供的，供应商应以工程量清单方式提交最后报价。</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③请供应商根据项目情况，可提前准备分项报价。</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（2）谈判小组如要求供应商提供“澄清、说明或者更正”；“按照谈判文件的变动情况和谈判小组的要求重新提交响应文件”；“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pStyle w:val="34"/>
        <w:rPr>
          <w:color w:val="auto"/>
        </w:rPr>
      </w:pPr>
      <w:r>
        <w:rPr>
          <w:color w:val="auto"/>
        </w:rPr>
        <w:br w:type="page"/>
      </w:r>
    </w:p>
    <w:p>
      <w:pPr>
        <w:tabs>
          <w:tab w:val="left" w:pos="7095"/>
        </w:tabs>
        <w:spacing w:line="360" w:lineRule="auto"/>
        <w:ind w:firstLine="643" w:firstLineChars="200"/>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widowControl/>
        <w:numPr>
          <w:ilvl w:val="0"/>
          <w:numId w:val="5"/>
        </w:numPr>
        <w:spacing w:line="360" w:lineRule="auto"/>
        <w:ind w:firstLine="422" w:firstLineChars="200"/>
        <w:contextualSpacing/>
        <w:jc w:val="left"/>
        <w:rPr>
          <w:rFonts w:cs="黑体" w:asciiTheme="minorEastAsia" w:hAnsiTheme="minorEastAsia"/>
          <w:b/>
          <w:bCs/>
          <w:color w:val="auto"/>
          <w:szCs w:val="21"/>
          <w:shd w:val="clear" w:color="auto" w:fill="FFFFFF"/>
        </w:rPr>
      </w:pPr>
      <w:r>
        <w:rPr>
          <w:rFonts w:hint="eastAsia" w:cs="黑体" w:asciiTheme="minorEastAsia" w:hAnsiTheme="minorEastAsia"/>
          <w:b/>
          <w:bCs/>
          <w:color w:val="auto"/>
          <w:szCs w:val="21"/>
          <w:shd w:val="clear" w:color="auto" w:fill="FFFFFF"/>
        </w:rPr>
        <w:t>本项目需实现的功能或者目标</w:t>
      </w:r>
    </w:p>
    <w:p>
      <w:pPr>
        <w:widowControl/>
        <w:spacing w:line="360" w:lineRule="auto"/>
        <w:ind w:firstLine="420" w:firstLineChars="200"/>
        <w:contextualSpacing/>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szCs w:val="21"/>
          <w:lang w:eastAsia="zh-CN"/>
        </w:rPr>
        <w:t>禹州市教育体育局</w:t>
      </w:r>
      <w:r>
        <w:rPr>
          <w:rFonts w:hint="eastAsia" w:asciiTheme="majorEastAsia" w:hAnsiTheme="majorEastAsia" w:eastAsiaTheme="majorEastAsia" w:cstheme="majorEastAsia"/>
          <w:szCs w:val="21"/>
          <w:lang w:val="en-US" w:eastAsia="zh-CN"/>
        </w:rPr>
        <w:t>梁北镇箕啊社区学校新建餐厅</w:t>
      </w:r>
      <w:r>
        <w:rPr>
          <w:rFonts w:hint="eastAsia" w:asciiTheme="majorEastAsia" w:hAnsiTheme="majorEastAsia" w:eastAsiaTheme="majorEastAsia" w:cstheme="majorEastAsia"/>
          <w:szCs w:val="21"/>
        </w:rPr>
        <w:t>项目</w:t>
      </w:r>
      <w:r>
        <w:rPr>
          <w:rFonts w:hint="eastAsia" w:asciiTheme="majorEastAsia" w:hAnsiTheme="majorEastAsia" w:eastAsiaTheme="majorEastAsia" w:cstheme="majorEastAsia"/>
          <w:color w:val="auto"/>
          <w:szCs w:val="21"/>
        </w:rPr>
        <w:t>。</w:t>
      </w:r>
    </w:p>
    <w:p>
      <w:pPr>
        <w:spacing w:line="360" w:lineRule="auto"/>
        <w:ind w:firstLine="422" w:firstLineChars="200"/>
        <w:contextualSpacing/>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二、项目概况及内容：</w:t>
      </w:r>
    </w:p>
    <w:p>
      <w:pPr>
        <w:spacing w:line="360" w:lineRule="auto"/>
        <w:ind w:firstLine="420" w:firstLineChars="200"/>
        <w:contextualSpacing/>
        <w:rPr>
          <w:rFonts w:cs="宋体" w:asciiTheme="minorEastAsia" w:hAnsiTheme="minorEastAsia"/>
          <w:bCs/>
          <w:color w:val="auto"/>
          <w:kern w:val="0"/>
          <w:szCs w:val="21"/>
          <w:lang w:val="zh-CN"/>
        </w:rPr>
      </w:pPr>
      <w:r>
        <w:rPr>
          <w:rFonts w:hint="eastAsia" w:cs="宋体" w:asciiTheme="minorEastAsia" w:hAnsiTheme="minorEastAsia"/>
          <w:bCs/>
          <w:color w:val="auto"/>
          <w:kern w:val="0"/>
          <w:szCs w:val="21"/>
          <w:lang w:val="zh-CN"/>
        </w:rPr>
        <w:t>详见工程量清单和图纸。</w:t>
      </w:r>
    </w:p>
    <w:p>
      <w:pPr>
        <w:spacing w:line="360" w:lineRule="auto"/>
        <w:ind w:firstLine="422" w:firstLineChars="200"/>
        <w:contextualSpacing/>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三、采购标的执行标准</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按照国家相关标准执行。</w:t>
      </w:r>
    </w:p>
    <w:p>
      <w:pPr>
        <w:wordWrap w:val="0"/>
        <w:topLinePunct/>
        <w:spacing w:line="360" w:lineRule="auto"/>
        <w:ind w:firstLine="422" w:firstLineChars="200"/>
        <w:rPr>
          <w:rFonts w:cs="宋体" w:asciiTheme="minorEastAsia" w:hAnsiTheme="minorEastAsia"/>
          <w:b/>
          <w:color w:val="auto"/>
          <w:kern w:val="0"/>
          <w:szCs w:val="21"/>
        </w:rPr>
      </w:pPr>
      <w:r>
        <w:rPr>
          <w:rFonts w:hint="eastAsia" w:cs="宋体" w:asciiTheme="minorEastAsia" w:hAnsiTheme="minorEastAsia"/>
          <w:b/>
          <w:color w:val="auto"/>
          <w:kern w:val="0"/>
          <w:szCs w:val="21"/>
          <w:lang w:val="zh-CN"/>
        </w:rPr>
        <w:t>四、服务标准、期限、</w:t>
      </w:r>
      <w:r>
        <w:rPr>
          <w:rFonts w:hint="eastAsia" w:cs="宋体" w:asciiTheme="minorEastAsia" w:hAnsiTheme="minorEastAsia"/>
          <w:b/>
          <w:color w:val="auto"/>
          <w:kern w:val="0"/>
          <w:szCs w:val="21"/>
        </w:rPr>
        <w:t>技术、</w:t>
      </w:r>
      <w:r>
        <w:rPr>
          <w:rFonts w:hint="eastAsia" w:cs="宋体" w:asciiTheme="minorEastAsia" w:hAnsiTheme="minorEastAsia"/>
          <w:b/>
          <w:color w:val="auto"/>
          <w:kern w:val="0"/>
          <w:szCs w:val="21"/>
          <w:lang w:val="zh-CN"/>
        </w:rPr>
        <w:t>效率等要求</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质量要求：</w:t>
      </w:r>
      <w:r>
        <w:rPr>
          <w:rFonts w:hint="eastAsia" w:ascii="宋体" w:hAnsi="宋体" w:eastAsia="宋体" w:cs="宋体"/>
          <w:sz w:val="21"/>
          <w:szCs w:val="21"/>
          <w:lang w:val="en-US" w:eastAsia="zh-CN"/>
        </w:rPr>
        <w:t>符合国家或行业规定的合格标准</w:t>
      </w:r>
      <w:r>
        <w:rPr>
          <w:rFonts w:hint="eastAsia" w:ascii="宋体" w:cs="宋体"/>
          <w:color w:val="auto"/>
          <w:szCs w:val="21"/>
        </w:rPr>
        <w:t>。</w:t>
      </w:r>
    </w:p>
    <w:p>
      <w:pPr>
        <w:wordWrap w:val="0"/>
        <w:topLinePunct/>
        <w:spacing w:line="360" w:lineRule="auto"/>
        <w:ind w:firstLine="420" w:firstLineChars="200"/>
        <w:rPr>
          <w:rFonts w:ascii="宋体" w:cs="宋体"/>
          <w:color w:val="auto"/>
          <w:szCs w:val="21"/>
          <w:lang w:val="zh-CN"/>
        </w:rPr>
      </w:pPr>
      <w:r>
        <w:rPr>
          <w:rFonts w:hint="eastAsia" w:asciiTheme="majorEastAsia" w:hAnsiTheme="majorEastAsia" w:eastAsiaTheme="majorEastAsia" w:cstheme="majorEastAsia"/>
          <w:color w:val="auto"/>
          <w:szCs w:val="21"/>
        </w:rPr>
        <w:t>合同履行期限：签订合同后90日内完成</w:t>
      </w:r>
      <w:r>
        <w:rPr>
          <w:rFonts w:hint="eastAsia" w:ascii="宋体" w:cs="宋体"/>
          <w:color w:val="auto"/>
          <w:szCs w:val="21"/>
          <w:lang w:val="zh-CN"/>
        </w:rPr>
        <w:t>。</w:t>
      </w:r>
    </w:p>
    <w:p>
      <w:pPr>
        <w:wordWrap w:val="0"/>
        <w:topLinePunct/>
        <w:spacing w:line="360" w:lineRule="auto"/>
        <w:ind w:firstLine="420" w:firstLineChars="200"/>
        <w:rPr>
          <w:rFonts w:ascii="宋体" w:cs="宋体"/>
          <w:color w:val="auto"/>
          <w:szCs w:val="21"/>
        </w:rPr>
      </w:pPr>
      <w:r>
        <w:rPr>
          <w:rFonts w:hint="eastAsia" w:ascii="宋体" w:cs="宋体"/>
          <w:color w:val="auto"/>
          <w:szCs w:val="21"/>
          <w:lang w:val="zh-CN"/>
        </w:rPr>
        <w:t>谈判响应供应商在成交后未经业主允许，不得更换项目经理及主要技术负责人；</w:t>
      </w:r>
      <w:r>
        <w:rPr>
          <w:rFonts w:hint="eastAsia" w:ascii="宋体" w:cs="宋体"/>
          <w:color w:val="auto"/>
          <w:szCs w:val="21"/>
        </w:rPr>
        <w:t>如果合同执行期间，现场技术人员不能胜任本职工作的，业主有权要求其更换，</w:t>
      </w:r>
      <w:r>
        <w:rPr>
          <w:rFonts w:hint="eastAsia" w:ascii="宋体" w:cs="宋体"/>
          <w:color w:val="auto"/>
          <w:szCs w:val="21"/>
          <w:lang w:val="zh-CN"/>
        </w:rPr>
        <w:t>更换的人员水平不低于被替换人员水平，且不得影响工程进展。</w:t>
      </w:r>
      <w:r>
        <w:rPr>
          <w:rFonts w:hint="eastAsia" w:ascii="宋体" w:cs="宋体"/>
          <w:color w:val="auto"/>
          <w:szCs w:val="21"/>
        </w:rPr>
        <w:t>投标供应商需要响应此要求。</w:t>
      </w:r>
    </w:p>
    <w:p>
      <w:pPr>
        <w:widowControl/>
        <w:ind w:firstLine="420" w:firstLineChars="200"/>
        <w:jc w:val="left"/>
        <w:rPr>
          <w:color w:val="auto"/>
        </w:rPr>
      </w:pPr>
      <w:r>
        <w:rPr>
          <w:rFonts w:hint="eastAsia" w:ascii="宋体" w:hAnsi="宋体" w:eastAsia="宋体" w:cs="宋体"/>
          <w:color w:val="auto"/>
          <w:kern w:val="0"/>
          <w:szCs w:val="21"/>
        </w:rPr>
        <w:t xml:space="preserve">供应商须有合理的技术方案，且技术方案需技术负责人审核并签字。否则为无效响应。 </w:t>
      </w:r>
    </w:p>
    <w:p>
      <w:pPr>
        <w:wordWrap w:val="0"/>
        <w:topLinePunct/>
        <w:spacing w:line="360" w:lineRule="auto"/>
        <w:ind w:firstLine="422" w:firstLineChars="200"/>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五、验收标准</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1、按照采购标的相关国家标准规范验收；</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2、按照谈判文件要求、投标文件响应和承诺验收。</w:t>
      </w:r>
    </w:p>
    <w:p>
      <w:pPr>
        <w:widowControl/>
        <w:spacing w:line="360" w:lineRule="auto"/>
        <w:ind w:firstLine="422" w:firstLineChars="200"/>
        <w:contextualSpacing/>
        <w:jc w:val="left"/>
        <w:rPr>
          <w:rFonts w:cs="宋体" w:asciiTheme="minorEastAsia" w:hAnsiTheme="minorEastAsia"/>
          <w:b/>
          <w:color w:val="auto"/>
          <w:kern w:val="0"/>
          <w:szCs w:val="21"/>
          <w:lang w:val="zh-CN"/>
        </w:rPr>
      </w:pPr>
      <w:r>
        <w:rPr>
          <w:rFonts w:hint="eastAsia" w:cs="宋体" w:asciiTheme="minorEastAsia" w:hAnsiTheme="minorEastAsia"/>
          <w:b/>
          <w:color w:val="auto"/>
          <w:kern w:val="0"/>
          <w:szCs w:val="21"/>
        </w:rPr>
        <w:t>六</w:t>
      </w:r>
      <w:r>
        <w:rPr>
          <w:rFonts w:hint="eastAsia" w:cs="宋体" w:asciiTheme="minorEastAsia" w:hAnsiTheme="minorEastAsia"/>
          <w:b/>
          <w:color w:val="auto"/>
          <w:kern w:val="0"/>
          <w:szCs w:val="21"/>
          <w:lang w:val="zh-CN"/>
        </w:rPr>
        <w:t>、特别提示：</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rPr>
        <w:t>1</w:t>
      </w:r>
      <w:r>
        <w:rPr>
          <w:rFonts w:hint="eastAsia" w:ascii="宋体" w:cs="宋体"/>
          <w:color w:val="auto"/>
          <w:szCs w:val="21"/>
          <w:lang w:val="zh-CN"/>
        </w:rPr>
        <w:t>、投标人应就该项目完整投标（报价含运输费、税费等综合费用），否则为无效响应文件。</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rPr>
        <w:t>2</w:t>
      </w:r>
      <w:r>
        <w:rPr>
          <w:rFonts w:hint="eastAsia" w:ascii="宋体" w:cs="宋体"/>
          <w:color w:val="auto"/>
          <w:szCs w:val="21"/>
          <w:lang w:val="zh-CN"/>
        </w:rPr>
        <w:t>、投标商必须由法定代表人或其授权代表在网络端参加开标会议，随时接受谈判小组询问，并予作出相应解答。</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rPr>
        <w:t>3</w:t>
      </w:r>
      <w:r>
        <w:rPr>
          <w:rFonts w:hint="eastAsia" w:ascii="宋体" w:cs="宋体"/>
          <w:color w:val="auto"/>
          <w:szCs w:val="21"/>
          <w:lang w:val="zh-CN"/>
        </w:rPr>
        <w:t>、采购人确定成交人后，中标人须向代理机构发送投标报价及分项报价一览表电子档，并同时通知代理机构。</w:t>
      </w:r>
    </w:p>
    <w:p>
      <w:pPr>
        <w:wordWrap w:val="0"/>
        <w:topLinePunct/>
        <w:spacing w:line="360" w:lineRule="auto"/>
        <w:ind w:firstLine="420" w:firstLineChars="200"/>
        <w:rPr>
          <w:rFonts w:ascii="宋体" w:cs="宋体"/>
          <w:color w:val="auto"/>
          <w:szCs w:val="21"/>
        </w:rPr>
      </w:pPr>
      <w:r>
        <w:rPr>
          <w:rFonts w:hint="eastAsia" w:ascii="宋体" w:cs="宋体"/>
          <w:color w:val="auto"/>
          <w:szCs w:val="21"/>
        </w:rPr>
        <w:t>4、付款方式 ：以签订合同内容为准。</w:t>
      </w:r>
    </w:p>
    <w:p>
      <w:pPr>
        <w:pStyle w:val="34"/>
        <w:rPr>
          <w:color w:val="auto"/>
        </w:rPr>
      </w:pPr>
      <w:r>
        <w:rPr>
          <w:color w:val="auto"/>
        </w:rPr>
        <w:br w:type="page"/>
      </w:r>
    </w:p>
    <w:p>
      <w:pPr>
        <w:topLinePunct/>
        <w:spacing w:line="360" w:lineRule="auto"/>
        <w:ind w:firstLine="643" w:firstLineChars="20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vAlign w:val="top"/>
          </w:tcPr>
          <w:p>
            <w:pPr>
              <w:spacing w:line="440" w:lineRule="exact"/>
              <w:jc w:val="left"/>
              <w:rPr>
                <w:color w:val="auto"/>
              </w:rPr>
            </w:pPr>
            <w:r>
              <w:rPr>
                <w:rFonts w:hint="eastAsia"/>
                <w:lang w:eastAsia="zh-CN"/>
              </w:rPr>
              <w:t>禹州市教育体育局</w:t>
            </w:r>
            <w:r>
              <w:rPr>
                <w:rFonts w:hint="eastAsia"/>
                <w:lang w:val="en-US" w:eastAsia="zh-CN"/>
              </w:rPr>
              <w:t>梁北镇箕啊社区学校新建餐厅</w:t>
            </w:r>
            <w:r>
              <w:rPr>
                <w:rFonts w:hint="eastAsia"/>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名称：禹州市教育体育局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地址：禹州市禹王大道</w:t>
            </w:r>
          </w:p>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联系人：连先生</w:t>
            </w:r>
          </w:p>
          <w:p>
            <w:pPr>
              <w:spacing w:line="440" w:lineRule="exact"/>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szCs w:val="21"/>
              </w:rPr>
              <w:t>联系方式：</w:t>
            </w:r>
            <w:r>
              <w:rPr>
                <w:rFonts w:hint="eastAsia" w:asciiTheme="majorEastAsia" w:hAnsiTheme="majorEastAsia" w:eastAsiaTheme="majorEastAsia" w:cstheme="majorEastAsia"/>
                <w:color w:val="000000" w:themeColor="text1"/>
                <w:szCs w:val="21"/>
                <w14:textFill>
                  <w14:solidFill>
                    <w14:schemeClr w14:val="tx1"/>
                  </w14:solidFill>
                </w14:textFill>
              </w:rPr>
              <w:t xml:space="preserve">0374-8880080  </w:t>
            </w:r>
            <w:r>
              <w:rPr>
                <w:rFonts w:hint="eastAsia" w:asciiTheme="majorEastAsia" w:hAnsiTheme="majorEastAsia" w:eastAsiaTheme="majorEastAsia" w:cstheme="majorEastAsia"/>
                <w:szCs w:val="21"/>
              </w:rPr>
              <w:t xml:space="preserve">  </w:t>
            </w:r>
            <w:r>
              <w:rPr>
                <w:rFonts w:hint="eastAsia" w:cs="仿宋_GB2312"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spacing w:line="440" w:lineRule="exact"/>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名称：</w:t>
            </w:r>
            <w:r>
              <w:rPr>
                <w:rFonts w:hint="eastAsia" w:cs="仿宋_GB2312" w:asciiTheme="minorEastAsia" w:hAnsiTheme="minorEastAsia"/>
                <w:szCs w:val="21"/>
                <w:lang w:eastAsia="zh-CN"/>
              </w:rPr>
              <w:t>开信项目管理集团有限公司</w:t>
            </w:r>
          </w:p>
          <w:p>
            <w:pPr>
              <w:spacing w:line="440" w:lineRule="exact"/>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地址：</w:t>
            </w:r>
            <w:r>
              <w:rPr>
                <w:rFonts w:hint="eastAsia" w:ascii="宋体" w:hAnsi="宋体" w:cs="宋体"/>
                <w:color w:val="000000"/>
                <w:sz w:val="21"/>
                <w:szCs w:val="21"/>
                <w:lang w:val="en-US" w:eastAsia="zh-CN"/>
              </w:rPr>
              <w:t>郑州市高新区大学科技园东区10号楼10层</w:t>
            </w:r>
            <w:r>
              <w:rPr>
                <w:rFonts w:hint="eastAsia" w:asciiTheme="majorEastAsia" w:hAnsiTheme="majorEastAsia" w:eastAsiaTheme="majorEastAsia" w:cstheme="majorEastAsia"/>
                <w:bCs/>
                <w:szCs w:val="21"/>
              </w:rPr>
              <w:t xml:space="preserve">  </w:t>
            </w:r>
          </w:p>
          <w:p>
            <w:pPr>
              <w:pStyle w:val="24"/>
              <w:widowControl/>
              <w:shd w:val="clear" w:color="auto" w:fill="FFFFFF"/>
              <w:spacing w:line="460" w:lineRule="exact"/>
              <w:contextualSpacing/>
              <w:jc w:val="left"/>
              <w:rPr>
                <w:rFonts w:ascii="宋体" w:hAnsi="宋体" w:cs="宋体"/>
                <w:color w:val="000000"/>
                <w:sz w:val="21"/>
                <w:szCs w:val="21"/>
              </w:rPr>
            </w:pPr>
            <w:r>
              <w:rPr>
                <w:rFonts w:hint="eastAsia" w:ascii="宋体" w:hAnsi="宋体" w:cs="宋体"/>
                <w:color w:val="000000"/>
                <w:sz w:val="21"/>
                <w:szCs w:val="21"/>
              </w:rPr>
              <w:t>联系人：</w:t>
            </w:r>
            <w:r>
              <w:rPr>
                <w:rFonts w:hint="eastAsia" w:ascii="宋体" w:hAnsi="宋体" w:cs="宋体"/>
                <w:color w:val="000000"/>
                <w:sz w:val="21"/>
                <w:szCs w:val="21"/>
                <w:lang w:eastAsia="zh-CN"/>
              </w:rPr>
              <w:t>陈</w:t>
            </w:r>
            <w:r>
              <w:rPr>
                <w:rFonts w:hint="eastAsia" w:ascii="宋体" w:hAnsi="宋体" w:cs="宋体"/>
                <w:color w:val="000000"/>
                <w:sz w:val="21"/>
                <w:szCs w:val="21"/>
              </w:rPr>
              <w:t xml:space="preserve">先生   </w:t>
            </w:r>
          </w:p>
          <w:p>
            <w:pPr>
              <w:pStyle w:val="24"/>
              <w:widowControl/>
              <w:shd w:val="clear" w:color="auto" w:fill="FFFFFF"/>
              <w:spacing w:line="460" w:lineRule="exact"/>
              <w:contextualSpacing/>
              <w:jc w:val="left"/>
              <w:rPr>
                <w:rFonts w:cs="仿宋_GB2312" w:asciiTheme="minorEastAsia" w:hAnsiTheme="minorEastAsia" w:eastAsiaTheme="majorEastAsia"/>
                <w:color w:val="auto"/>
                <w:szCs w:val="21"/>
              </w:rPr>
            </w:pPr>
            <w:r>
              <w:rPr>
                <w:rFonts w:hint="eastAsia" w:ascii="宋体" w:hAnsi="宋体" w:cs="宋体"/>
                <w:color w:val="000000"/>
                <w:sz w:val="21"/>
                <w:szCs w:val="21"/>
              </w:rPr>
              <w:t>联系电话：0374-</w:t>
            </w:r>
            <w:r>
              <w:rPr>
                <w:rFonts w:hint="eastAsia" w:ascii="宋体" w:hAnsi="宋体" w:cs="宋体"/>
                <w:color w:val="000000"/>
                <w:sz w:val="21"/>
                <w:szCs w:val="21"/>
                <w:lang w:val="en-US" w:eastAsia="zh-CN"/>
              </w:rPr>
              <w:t>8119989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4</w:t>
            </w:r>
          </w:p>
        </w:tc>
        <w:tc>
          <w:tcPr>
            <w:tcW w:w="2268" w:type="dxa"/>
            <w:vAlign w:val="center"/>
          </w:tcPr>
          <w:p>
            <w:pPr>
              <w:autoSpaceDE w:val="0"/>
              <w:autoSpaceDN w:val="0"/>
              <w:adjustRightInd w:val="0"/>
              <w:spacing w:line="276" w:lineRule="auto"/>
              <w:jc w:val="center"/>
              <w:rPr>
                <w:rFonts w:hint="default" w:cs="仿宋_GB2312" w:asciiTheme="minorEastAsia" w:hAnsiTheme="minorEastAsia" w:eastAsiaTheme="minorEastAsia"/>
                <w:color w:val="auto"/>
                <w:szCs w:val="21"/>
                <w:lang w:val="en-US" w:eastAsia="zh-CN"/>
              </w:rPr>
            </w:pPr>
            <w:r>
              <w:rPr>
                <w:rFonts w:hint="eastAsia" w:ascii="宋体" w:hAnsi="宋体" w:cs="宋体"/>
                <w:color w:val="000000"/>
                <w:sz w:val="21"/>
                <w:szCs w:val="21"/>
                <w:lang w:val="en-US" w:eastAsia="zh-CN"/>
              </w:rPr>
              <w:t>项目地点</w:t>
            </w:r>
          </w:p>
        </w:tc>
        <w:tc>
          <w:tcPr>
            <w:tcW w:w="6813" w:type="dxa"/>
            <w:vAlign w:val="center"/>
          </w:tcPr>
          <w:p>
            <w:pPr>
              <w:pStyle w:val="24"/>
              <w:widowControl/>
              <w:shd w:val="clear" w:color="auto" w:fill="FFFFFF"/>
              <w:spacing w:line="460" w:lineRule="exact"/>
              <w:contextualSpacing/>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禹州境内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eastAsia="zh-CN"/>
              </w:rPr>
            </w:pPr>
            <w:r>
              <w:rPr>
                <w:rFonts w:hint="eastAsia" w:cs="黑体" w:asciiTheme="minorEastAsia" w:hAnsiTheme="minorEastAsia"/>
                <w:color w:val="auto"/>
                <w:szCs w:val="21"/>
                <w:lang w:val="en-US" w:eastAsia="zh-CN"/>
              </w:rPr>
              <w:t>5</w:t>
            </w:r>
          </w:p>
        </w:tc>
        <w:tc>
          <w:tcPr>
            <w:tcW w:w="2268" w:type="dxa"/>
            <w:vAlign w:val="center"/>
          </w:tcPr>
          <w:p>
            <w:pPr>
              <w:autoSpaceDE w:val="0"/>
              <w:autoSpaceDN w:val="0"/>
              <w:adjustRightInd w:val="0"/>
              <w:spacing w:line="276"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资金来源</w:t>
            </w:r>
          </w:p>
        </w:tc>
        <w:tc>
          <w:tcPr>
            <w:tcW w:w="6813" w:type="dxa"/>
            <w:vAlign w:val="center"/>
          </w:tcPr>
          <w:p>
            <w:pPr>
              <w:pStyle w:val="24"/>
              <w:widowControl/>
              <w:shd w:val="clear" w:color="auto" w:fill="FFFFFF"/>
              <w:spacing w:line="460" w:lineRule="exact"/>
              <w:contextualSpacing/>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eastAsia="zh-CN"/>
              </w:rPr>
            </w:pPr>
            <w:r>
              <w:rPr>
                <w:rFonts w:hint="eastAsia" w:cs="黑体" w:asciiTheme="minorEastAsia" w:hAnsiTheme="minorEastAsia"/>
                <w:color w:val="auto"/>
                <w:szCs w:val="21"/>
                <w:lang w:val="en-US" w:eastAsia="zh-CN"/>
              </w:rPr>
              <w:t>6</w:t>
            </w:r>
          </w:p>
        </w:tc>
        <w:tc>
          <w:tcPr>
            <w:tcW w:w="2268" w:type="dxa"/>
            <w:vAlign w:val="center"/>
          </w:tcPr>
          <w:p>
            <w:pPr>
              <w:autoSpaceDE w:val="0"/>
              <w:autoSpaceDN w:val="0"/>
              <w:adjustRightInd w:val="0"/>
              <w:spacing w:line="276" w:lineRule="auto"/>
              <w:jc w:val="center"/>
              <w:rPr>
                <w:rFonts w:hint="default" w:cs="仿宋_GB2312" w:asciiTheme="minorEastAsia" w:hAnsiTheme="minorEastAsia" w:eastAsiaTheme="minorEastAsia"/>
                <w:color w:val="auto"/>
                <w:szCs w:val="21"/>
                <w:lang w:val="en-US" w:eastAsia="zh-CN"/>
              </w:rPr>
            </w:pPr>
            <w:r>
              <w:rPr>
                <w:rFonts w:hint="eastAsia" w:ascii="宋体" w:hAnsi="宋体" w:cs="宋体"/>
                <w:color w:val="000000"/>
                <w:sz w:val="21"/>
                <w:szCs w:val="21"/>
                <w:lang w:val="en-US" w:eastAsia="zh-CN"/>
              </w:rPr>
              <w:t>工期</w:t>
            </w:r>
          </w:p>
        </w:tc>
        <w:tc>
          <w:tcPr>
            <w:tcW w:w="6813" w:type="dxa"/>
            <w:vAlign w:val="center"/>
          </w:tcPr>
          <w:p>
            <w:pPr>
              <w:pStyle w:val="24"/>
              <w:widowControl/>
              <w:shd w:val="clear" w:color="auto" w:fill="FFFFFF"/>
              <w:spacing w:line="460" w:lineRule="exact"/>
              <w:contextualSpacing/>
              <w:jc w:val="center"/>
              <w:rPr>
                <w:rFonts w:hint="eastAsia" w:ascii="宋体" w:hAnsi="宋体" w:eastAsia="宋体" w:cs="宋体"/>
                <w:sz w:val="21"/>
                <w:szCs w:val="21"/>
                <w:lang w:val="en-US" w:eastAsia="zh-CN"/>
              </w:rPr>
            </w:pPr>
            <w:r>
              <w:rPr>
                <w:rFonts w:hint="eastAsia" w:asciiTheme="majorEastAsia" w:hAnsiTheme="majorEastAsia" w:eastAsiaTheme="majorEastAsia" w:cstheme="majorEastAsia"/>
                <w:szCs w:val="21"/>
                <w:lang w:val="en-US" w:eastAsia="zh-CN"/>
              </w:rPr>
              <w:t>9</w:t>
            </w:r>
            <w:r>
              <w:rPr>
                <w:rFonts w:hint="eastAsia" w:asciiTheme="majorEastAsia" w:hAnsiTheme="majorEastAsia" w:eastAsiaTheme="majorEastAsia" w:cstheme="majorEastAsia"/>
                <w:szCs w:val="21"/>
              </w:rPr>
              <w:t>0日</w:t>
            </w:r>
            <w:r>
              <w:rPr>
                <w:rFonts w:hint="eastAsia" w:asciiTheme="majorEastAsia" w:hAnsiTheme="majorEastAsia" w:eastAsiaTheme="majorEastAsia" w:cstheme="majorEastAsia"/>
                <w:szCs w:val="21"/>
                <w:lang w:val="en-US" w:eastAsia="zh-CN"/>
              </w:rPr>
              <w:t>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eastAsia="zh-CN"/>
              </w:rPr>
            </w:pPr>
            <w:r>
              <w:rPr>
                <w:rFonts w:hint="eastAsia" w:cs="黑体" w:asciiTheme="minorEastAsia" w:hAnsiTheme="minorEastAsia"/>
                <w:color w:val="auto"/>
                <w:szCs w:val="21"/>
                <w:lang w:val="en-US" w:eastAsia="zh-CN"/>
              </w:rPr>
              <w:t>7</w:t>
            </w:r>
          </w:p>
        </w:tc>
        <w:tc>
          <w:tcPr>
            <w:tcW w:w="2268" w:type="dxa"/>
            <w:vAlign w:val="center"/>
          </w:tcPr>
          <w:p>
            <w:pPr>
              <w:autoSpaceDE w:val="0"/>
              <w:autoSpaceDN w:val="0"/>
              <w:adjustRightInd w:val="0"/>
              <w:spacing w:line="276" w:lineRule="auto"/>
              <w:jc w:val="center"/>
              <w:rPr>
                <w:rFonts w:hint="default" w:cs="仿宋_GB2312" w:asciiTheme="minorEastAsia" w:hAnsiTheme="minorEastAsia" w:eastAsiaTheme="minorEastAsia"/>
                <w:color w:val="auto"/>
                <w:szCs w:val="21"/>
                <w:lang w:val="en-US" w:eastAsia="zh-CN"/>
              </w:rPr>
            </w:pPr>
            <w:r>
              <w:rPr>
                <w:rFonts w:hint="eastAsia" w:asciiTheme="majorEastAsia" w:hAnsiTheme="majorEastAsia" w:eastAsiaTheme="majorEastAsia" w:cstheme="majorEastAsia"/>
                <w:szCs w:val="21"/>
                <w:lang w:val="en-US" w:eastAsia="zh-CN"/>
              </w:rPr>
              <w:t>采购范围</w:t>
            </w:r>
          </w:p>
        </w:tc>
        <w:tc>
          <w:tcPr>
            <w:tcW w:w="6813" w:type="dxa"/>
            <w:vAlign w:val="center"/>
          </w:tcPr>
          <w:p>
            <w:pPr>
              <w:pStyle w:val="24"/>
              <w:widowControl/>
              <w:shd w:val="clear" w:color="auto" w:fill="FFFFFF"/>
              <w:spacing w:line="460" w:lineRule="exact"/>
              <w:contextualSpacing/>
              <w:jc w:val="center"/>
              <w:rPr>
                <w:rFonts w:hint="eastAsia" w:ascii="宋体" w:hAnsi="宋体" w:eastAsia="宋体" w:cs="宋体"/>
                <w:sz w:val="21"/>
                <w:szCs w:val="21"/>
                <w:lang w:val="en-US" w:eastAsia="zh-CN"/>
              </w:rPr>
            </w:pPr>
            <w:r>
              <w:rPr>
                <w:rFonts w:hint="eastAsia" w:asciiTheme="majorEastAsia" w:hAnsiTheme="majorEastAsia" w:eastAsiaTheme="majorEastAsia" w:cstheme="majorEastAsia"/>
                <w:szCs w:val="21"/>
                <w:lang w:val="en-US" w:eastAsia="zh-CN"/>
              </w:rPr>
              <w:t>施工图纸及工程清单范围内的全部内容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eastAsia="zh-CN"/>
              </w:rPr>
            </w:pPr>
            <w:r>
              <w:rPr>
                <w:rFonts w:hint="eastAsia" w:cs="黑体" w:asciiTheme="minorEastAsia" w:hAnsiTheme="minorEastAsia"/>
                <w:color w:val="auto"/>
                <w:szCs w:val="21"/>
                <w:lang w:val="en-US" w:eastAsia="zh-CN"/>
              </w:rPr>
              <w:t>8</w:t>
            </w:r>
          </w:p>
        </w:tc>
        <w:tc>
          <w:tcPr>
            <w:tcW w:w="2268" w:type="dxa"/>
            <w:vAlign w:val="center"/>
          </w:tcPr>
          <w:p>
            <w:pPr>
              <w:autoSpaceDE w:val="0"/>
              <w:autoSpaceDN w:val="0"/>
              <w:adjustRightInd w:val="0"/>
              <w:spacing w:line="276" w:lineRule="auto"/>
              <w:jc w:val="center"/>
              <w:rPr>
                <w:rFonts w:hint="default" w:cs="仿宋_GB2312" w:asciiTheme="minorEastAsia" w:hAnsiTheme="minorEastAsia" w:eastAsiaTheme="minorEastAsia"/>
                <w:color w:val="auto"/>
                <w:szCs w:val="21"/>
                <w:lang w:val="en-US" w:eastAsia="zh-CN"/>
              </w:rPr>
            </w:pPr>
            <w:r>
              <w:rPr>
                <w:rFonts w:hint="eastAsia" w:ascii="宋体" w:hAnsi="宋体" w:eastAsia="宋体" w:cs="宋体"/>
                <w:sz w:val="21"/>
                <w:szCs w:val="21"/>
                <w:lang w:val="en-US" w:eastAsia="zh-CN"/>
              </w:rPr>
              <w:t>质量标准</w:t>
            </w:r>
          </w:p>
        </w:tc>
        <w:tc>
          <w:tcPr>
            <w:tcW w:w="6813" w:type="dxa"/>
            <w:vAlign w:val="center"/>
          </w:tcPr>
          <w:p>
            <w:pPr>
              <w:pStyle w:val="24"/>
              <w:widowControl/>
              <w:shd w:val="clear" w:color="auto" w:fill="FFFFFF"/>
              <w:spacing w:line="46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符合国家或行业规定的合格标准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color w:val="auto"/>
                <w:szCs w:val="21"/>
                <w:lang w:val="en-US" w:eastAsia="zh-CN"/>
              </w:rPr>
            </w:pPr>
            <w:r>
              <w:rPr>
                <w:rFonts w:hint="eastAsia" w:cs="黑体" w:asciiTheme="minorEastAsia" w:hAnsiTheme="minorEastAsia"/>
                <w:color w:val="auto"/>
                <w:szCs w:val="21"/>
                <w:lang w:val="en-US" w:eastAsia="zh-CN"/>
              </w:rPr>
              <w:t>9</w:t>
            </w:r>
          </w:p>
        </w:tc>
        <w:tc>
          <w:tcPr>
            <w:tcW w:w="2268" w:type="dxa"/>
            <w:vAlign w:val="center"/>
          </w:tcPr>
          <w:p>
            <w:pPr>
              <w:autoSpaceDE w:val="0"/>
              <w:autoSpaceDN w:val="0"/>
              <w:adjustRightInd w:val="0"/>
              <w:spacing w:line="276" w:lineRule="auto"/>
              <w:jc w:val="center"/>
              <w:rPr>
                <w:rFonts w:hint="eastAsia" w:asciiTheme="majorEastAsia" w:hAnsiTheme="majorEastAsia" w:eastAsiaTheme="majorEastAsia" w:cstheme="majorEastAsia"/>
                <w:szCs w:val="21"/>
                <w:lang w:val="en-US" w:eastAsia="zh-CN"/>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rFonts w:hint="eastAsia"/>
                <w:color w:val="auto"/>
                <w:lang w:val="zh-CN"/>
              </w:rPr>
            </w:pPr>
            <w:r>
              <w:rPr>
                <w:rFonts w:hint="eastAsia"/>
                <w:color w:val="auto"/>
                <w:lang w:val="zh-CN"/>
              </w:rPr>
              <w:t>6、民办非企业单位登记证书。（民办非企业单位提供）</w:t>
            </w:r>
          </w:p>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二、</w:t>
            </w:r>
            <w:r>
              <w:rPr>
                <w:rFonts w:hint="eastAsia" w:asciiTheme="majorEastAsia" w:hAnsiTheme="majorEastAsia" w:eastAsiaTheme="majorEastAsia" w:cstheme="majorEastAsia"/>
                <w:szCs w:val="21"/>
              </w:rPr>
              <w:t>本项目的</w:t>
            </w:r>
            <w:r>
              <w:rPr>
                <w:rFonts w:hint="eastAsia" w:asciiTheme="majorEastAsia" w:hAnsiTheme="majorEastAsia" w:eastAsiaTheme="majorEastAsia" w:cstheme="majorEastAsia"/>
                <w:szCs w:val="21"/>
                <w:lang w:val="en-US" w:eastAsia="zh-CN"/>
              </w:rPr>
              <w:t>特定</w:t>
            </w:r>
            <w:r>
              <w:rPr>
                <w:rFonts w:hint="eastAsia" w:asciiTheme="majorEastAsia" w:hAnsiTheme="majorEastAsia" w:eastAsiaTheme="majorEastAsia" w:cstheme="majorEastAsia"/>
                <w:szCs w:val="21"/>
              </w:rPr>
              <w:t>资格要求</w:t>
            </w:r>
          </w:p>
          <w:p>
            <w:pPr>
              <w:spacing w:line="440" w:lineRule="exact"/>
              <w:ind w:firstLine="420" w:firstLineChars="200"/>
              <w:jc w:val="left"/>
              <w:rPr>
                <w:lang w:val="zh-CN"/>
              </w:rPr>
            </w:pPr>
            <w:r>
              <w:rPr>
                <w:rFonts w:hint="eastAsia" w:asciiTheme="majorEastAsia" w:hAnsiTheme="majorEastAsia" w:eastAsiaTheme="majorEastAsia" w:cstheme="majorEastAsia"/>
                <w:szCs w:val="21"/>
              </w:rPr>
              <w:t>投标人具备独立法人资格；具备建筑工程施工总承包三级及以上资质，且具有有效安全生产许可证；拟派项目经理须为建筑工程专业二级及以上注册建造师执业资格并具有有效的安全生产考核合格证（B类）,且未担任其他在施建设工程项目的项目经理。</w:t>
            </w:r>
          </w:p>
          <w:p>
            <w:pPr>
              <w:autoSpaceDE w:val="0"/>
              <w:autoSpaceDN w:val="0"/>
              <w:adjustRightInd w:val="0"/>
              <w:spacing w:line="360" w:lineRule="auto"/>
              <w:jc w:val="left"/>
              <w:rPr>
                <w:color w:val="auto"/>
              </w:rPr>
            </w:pPr>
            <w:r>
              <w:rPr>
                <w:rFonts w:hint="eastAsia"/>
                <w:color w:val="auto"/>
                <w:lang w:val="en-US" w:eastAsia="zh-CN"/>
              </w:rPr>
              <w:t>三</w:t>
            </w:r>
            <w:r>
              <w:rPr>
                <w:rFonts w:hint="eastAsia"/>
                <w:color w:val="auto"/>
              </w:rPr>
              <w:t>、财务状况报告相关材料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①2021年度经审计的财务报告；</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①2021年度经审计的财务报告；</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lang w:val="en-US" w:eastAsia="zh-CN"/>
              </w:rPr>
              <w:t>四</w:t>
            </w:r>
            <w:r>
              <w:rPr>
                <w:rFonts w:hint="eastAsia"/>
                <w:color w:val="auto"/>
              </w:rPr>
              <w:t>、依法缴纳税收相关材料</w:t>
            </w:r>
          </w:p>
          <w:p>
            <w:pPr>
              <w:autoSpaceDE w:val="0"/>
              <w:autoSpaceDN w:val="0"/>
              <w:adjustRightInd w:val="0"/>
              <w:spacing w:line="360" w:lineRule="auto"/>
              <w:ind w:right="-11"/>
              <w:rPr>
                <w:rFonts w:hint="eastAsia"/>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spacing w:line="360" w:lineRule="auto"/>
              <w:rPr>
                <w:rFonts w:hint="eastAsia"/>
                <w:color w:val="auto"/>
              </w:rPr>
            </w:pPr>
            <w:r>
              <w:rPr>
                <w:rFonts w:hint="eastAsia"/>
                <w:color w:val="auto"/>
                <w:lang w:val="en-US" w:eastAsia="zh-CN"/>
              </w:rPr>
              <w:t>五</w:t>
            </w:r>
            <w:r>
              <w:rPr>
                <w:rFonts w:hint="eastAsia"/>
                <w:color w:val="auto"/>
                <w:lang w:eastAsia="zh-CN"/>
              </w:rPr>
              <w:t>、</w:t>
            </w:r>
            <w:r>
              <w:rPr>
                <w:rFonts w:hint="eastAsia"/>
                <w:color w:val="auto"/>
              </w:rPr>
              <w:t>依法缴纳社会保障资金的证明材料</w:t>
            </w:r>
          </w:p>
          <w:p>
            <w:pPr>
              <w:spacing w:line="360" w:lineRule="auto"/>
              <w:rPr>
                <w:rFonts w:hint="eastAsia"/>
                <w:color w:val="auto"/>
                <w:lang w:val="zh-CN"/>
              </w:rPr>
            </w:pPr>
            <w:r>
              <w:rPr>
                <w:rFonts w:hint="eastAsia"/>
                <w:color w:val="auto"/>
              </w:rPr>
              <w:t>投标人提供参加本次政府采购项目投标截止时间前六个月内任意一个月缴纳社会保险凭据。（依法不需要缴纳社会保障资金的投标人，应提供相应文件证明依法不需要缴纳社会保障资金）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en-US" w:eastAsia="zh-CN"/>
              </w:rPr>
              <w:t>六</w:t>
            </w:r>
            <w:r>
              <w:rPr>
                <w:rFonts w:hint="eastAsia"/>
                <w:color w:val="auto"/>
                <w:lang w:val="zh-CN"/>
              </w:rPr>
              <w:t>、履行合同所必须的设备和专业技术能力的证明材料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lang w:val="en-US" w:eastAsia="zh-CN"/>
              </w:rPr>
              <w:t>七</w:t>
            </w:r>
            <w:r>
              <w:rPr>
                <w:rFonts w:hint="eastAsia"/>
                <w:color w:val="auto"/>
              </w:rPr>
              <w:t>、</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”。重大违法记录，是指供应商因违法经营受到刑事处罚或者责令停产停业、吊销许可证或者执照、较大数额罚款等行政处罚。</w:t>
            </w:r>
          </w:p>
          <w:p>
            <w:pPr>
              <w:autoSpaceDE w:val="0"/>
              <w:autoSpaceDN w:val="0"/>
              <w:spacing w:line="360" w:lineRule="auto"/>
              <w:contextualSpacing/>
              <w:jc w:val="left"/>
              <w:rPr>
                <w:color w:val="auto"/>
              </w:rPr>
            </w:pPr>
            <w:r>
              <w:rPr>
                <w:rFonts w:hint="eastAsia"/>
                <w:color w:val="auto"/>
                <w:lang w:val="en-US" w:eastAsia="zh-CN"/>
              </w:rPr>
              <w:t>八</w:t>
            </w:r>
            <w:r>
              <w:rPr>
                <w:rFonts w:hint="eastAsia"/>
                <w:color w:val="auto"/>
                <w:lang w:val="zh-CN"/>
              </w:rPr>
              <w:t>、</w:t>
            </w:r>
            <w:r>
              <w:rPr>
                <w:rFonts w:hint="eastAsia"/>
                <w:color w:val="auto"/>
              </w:rPr>
              <w:t>未被列入“信用中国”网站(www.creditchina.gov.cn)失信被执行人、税收违法黑名单、政府采购严重违法失信名单的供应商；“中国政府采购网” (www.ccgp.gov.cn)政府采购严重违法失信行为记录名单的供应商；“国家企业信用公示系统”网站（www.gsxt.gov.cn）严重违法失信企业名单（黑名单）的供应商；“中国社会组织</w:t>
            </w:r>
            <w:r>
              <w:rPr>
                <w:rFonts w:hint="eastAsia"/>
                <w:color w:val="auto"/>
                <w:lang w:eastAsia="zh-CN"/>
              </w:rPr>
              <w:t>政务</w:t>
            </w:r>
            <w:r>
              <w:rPr>
                <w:rFonts w:hint="eastAsia"/>
                <w:color w:val="auto"/>
              </w:rPr>
              <w:t>服务平台”网站（</w:t>
            </w:r>
            <w:r>
              <w:rPr>
                <w:rFonts w:cs="宋体" w:asciiTheme="minorEastAsia" w:hAnsiTheme="minorEastAsia"/>
                <w:color w:val="auto"/>
                <w:kern w:val="0"/>
                <w:szCs w:val="21"/>
              </w:rPr>
              <w:t>https://chinanpo.mca.gov.cn</w:t>
            </w:r>
            <w:r>
              <w:rPr>
                <w:rFonts w:hint="eastAsia"/>
                <w:color w:val="auto"/>
              </w:rPr>
              <w:t>）严重违法失信社会组织名单的供应商（联合体形式响应的，联合体成员存在不良信用记录，视同联合体存在不良信用记录）。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③“国家企业信用公示系统”网站（</w:t>
            </w:r>
            <w:r>
              <w:rPr>
                <w:color w:val="auto"/>
              </w:rPr>
              <w:fldChar w:fldCharType="begin"/>
            </w:r>
            <w:r>
              <w:rPr>
                <w:color w:val="auto"/>
              </w:rPr>
              <w:instrText xml:space="preserve"> HYPERLINK "http://www.gsxt.gov.cn" </w:instrText>
            </w:r>
            <w:r>
              <w:rPr>
                <w:color w:val="auto"/>
              </w:rPr>
              <w:fldChar w:fldCharType="separate"/>
            </w:r>
            <w:r>
              <w:rPr>
                <w:rFonts w:hint="eastAsia"/>
                <w:color w:val="auto"/>
              </w:rPr>
              <w:t>www.gsxt.gov.cn</w:t>
            </w:r>
            <w:r>
              <w:rPr>
                <w:rFonts w:hint="eastAsia"/>
                <w:color w:val="auto"/>
              </w:rPr>
              <w:fldChar w:fldCharType="end"/>
            </w:r>
            <w:r>
              <w:rPr>
                <w:rFonts w:hint="eastAsia"/>
                <w:color w:val="auto"/>
              </w:rPr>
              <w:t>）</w:t>
            </w:r>
          </w:p>
          <w:p>
            <w:pPr>
              <w:spacing w:line="360" w:lineRule="auto"/>
              <w:rPr>
                <w:color w:val="auto"/>
              </w:rPr>
            </w:pPr>
            <w:r>
              <w:rPr>
                <w:rFonts w:hint="eastAsia"/>
                <w:color w:val="auto"/>
              </w:rPr>
              <w:t>④“中国社会组织</w:t>
            </w:r>
            <w:r>
              <w:rPr>
                <w:rFonts w:hint="eastAsia"/>
                <w:color w:val="auto"/>
                <w:lang w:eastAsia="zh-CN"/>
              </w:rPr>
              <w:t>政务</w:t>
            </w:r>
            <w:r>
              <w:rPr>
                <w:rFonts w:hint="eastAsia"/>
                <w:color w:val="auto"/>
              </w:rPr>
              <w:t>服务平台”网站（</w:t>
            </w:r>
            <w:r>
              <w:rPr>
                <w:rFonts w:cs="宋体" w:asciiTheme="minorEastAsia" w:hAnsiTheme="minorEastAsia"/>
                <w:color w:val="auto"/>
                <w:kern w:val="0"/>
                <w:szCs w:val="21"/>
              </w:rPr>
              <w:t>https://chinanpo.mca.gov.cn</w:t>
            </w:r>
            <w:r>
              <w:rPr>
                <w:rFonts w:hint="eastAsia"/>
                <w:color w:val="auto"/>
              </w:rPr>
              <w:t>）（仅查询社会组织）；</w:t>
            </w:r>
          </w:p>
          <w:p>
            <w:pPr>
              <w:autoSpaceDE w:val="0"/>
              <w:autoSpaceDN w:val="0"/>
              <w:spacing w:line="360" w:lineRule="auto"/>
              <w:contextualSpacing/>
              <w:rPr>
                <w:color w:val="auto"/>
              </w:rPr>
            </w:pPr>
            <w:r>
              <w:rPr>
                <w:rFonts w:hint="eastAsia"/>
                <w:color w:val="auto"/>
              </w:rPr>
              <w:t>2、截止时间：同投标截止时间；</w:t>
            </w:r>
          </w:p>
          <w:p>
            <w:pPr>
              <w:autoSpaceDE w:val="0"/>
              <w:autoSpaceDN w:val="0"/>
              <w:spacing w:line="360" w:lineRule="auto"/>
              <w:contextualSpacing/>
              <w:rPr>
                <w:rFonts w:hint="eastAsia"/>
                <w:color w:val="auto"/>
              </w:rPr>
            </w:pPr>
            <w:r>
              <w:rPr>
                <w:rFonts w:hint="eastAsia"/>
                <w:color w:val="auto"/>
                <w:lang w:val="en-US" w:eastAsia="zh-CN"/>
              </w:rPr>
              <w:t>3</w:t>
            </w:r>
            <w:r>
              <w:rPr>
                <w:rFonts w:hint="eastAsia"/>
                <w:color w:val="auto"/>
              </w:rPr>
              <w:t>、信用信息的使用原则：经采购人认定的被列入失信被执行人、</w:t>
            </w:r>
            <w:r>
              <w:rPr>
                <w:rFonts w:hint="eastAsia"/>
                <w:color w:val="auto"/>
                <w:lang w:val="en-US" w:eastAsia="zh-CN"/>
              </w:rPr>
              <w:t>重大税收违法失信主体</w:t>
            </w:r>
            <w:r>
              <w:rPr>
                <w:rFonts w:hint="eastAsia"/>
                <w:color w:val="auto"/>
              </w:rPr>
              <w:t>、政府采购严重违法失信名单、政府采购严重违法失信行为记录名单、严重违法失信企业名单（黑名单）、严重违法失信社会组织名单的投标人，将拒绝其参与本次政府采购活动。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360" w:lineRule="auto"/>
              <w:ind w:firstLine="422" w:firstLineChars="200"/>
              <w:contextualSpacing/>
              <w:rPr>
                <w:rFonts w:hint="eastAsia" w:ascii="宋体" w:hAnsi="宋体" w:eastAsia="宋体" w:cs="宋体"/>
                <w:sz w:val="21"/>
                <w:szCs w:val="21"/>
                <w:lang w:val="en-US" w:eastAsia="zh-CN"/>
              </w:rPr>
            </w:pPr>
            <w:r>
              <w:rPr>
                <w:rFonts w:hint="eastAsia"/>
                <w:b/>
                <w:bCs/>
                <w:color w:val="auto"/>
                <w:lang w:val="en-US" w:eastAsia="zh-CN"/>
              </w:rPr>
              <w:t>注：第三至八项可用禹州市政府采购供应商信用承诺函代替（格式详见附件），采购人有权在签订合同前要求中标供应商提供相关证明材料以核实中标供应商承诺事项的真实性。供应商在中标(成交)后,应将上述要求由信用承诺书替代的证明材料提交采购人、代理机构核验。经核验无误后,由采购人、代理机构发出中标(成交)通知书。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rPr>
            </w:pPr>
            <w:r>
              <w:rPr>
                <w:rFonts w:hint="eastAsia" w:cs="黑体" w:asciiTheme="minorEastAsia" w:hAnsiTheme="minorEastAsia"/>
                <w:color w:val="auto"/>
                <w:szCs w:val="21"/>
                <w:lang w:val="en-US" w:eastAsia="zh-CN"/>
              </w:rPr>
              <w:t>10</w:t>
            </w:r>
          </w:p>
        </w:tc>
        <w:tc>
          <w:tcPr>
            <w:tcW w:w="2268" w:type="dxa"/>
            <w:vAlign w:val="center"/>
          </w:tcPr>
          <w:p>
            <w:pPr>
              <w:autoSpaceDE w:val="0"/>
              <w:autoSpaceDN w:val="0"/>
              <w:adjustRightInd w:val="0"/>
              <w:spacing w:line="276" w:lineRule="auto"/>
              <w:jc w:val="center"/>
              <w:rPr>
                <w:rFonts w:hint="eastAsia"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hint="eastAsia" w:ascii="宋体" w:hAnsi="宋体" w:cs="宋体"/>
                <w:color w:val="000000"/>
                <w:sz w:val="21"/>
                <w:szCs w:val="21"/>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rPr>
            </w:pPr>
            <w:r>
              <w:rPr>
                <w:rFonts w:hint="eastAsia" w:cs="黑体" w:asciiTheme="minorEastAsia" w:hAnsiTheme="minorEastAsia"/>
                <w:color w:val="auto"/>
                <w:szCs w:val="21"/>
                <w:lang w:val="en-US" w:eastAsia="zh-CN"/>
              </w:rPr>
              <w:t>11</w:t>
            </w:r>
          </w:p>
        </w:tc>
        <w:tc>
          <w:tcPr>
            <w:tcW w:w="2268" w:type="dxa"/>
            <w:vAlign w:val="center"/>
          </w:tcPr>
          <w:p>
            <w:pPr>
              <w:autoSpaceDE w:val="0"/>
              <w:autoSpaceDN w:val="0"/>
              <w:adjustRightInd w:val="0"/>
              <w:spacing w:line="276" w:lineRule="auto"/>
              <w:jc w:val="center"/>
              <w:rPr>
                <w:rFonts w:hint="eastAsia"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宋体" w:asciiTheme="minorEastAsia" w:hAnsiTheme="minorEastAsia"/>
                <w:bCs/>
                <w:color w:val="auto"/>
                <w:szCs w:val="21"/>
              </w:rPr>
              <w:t>预算金额</w:t>
            </w:r>
          </w:p>
        </w:tc>
        <w:tc>
          <w:tcPr>
            <w:tcW w:w="6813" w:type="dxa"/>
            <w:vAlign w:val="center"/>
          </w:tcPr>
          <w:p>
            <w:pPr>
              <w:autoSpaceDE w:val="0"/>
              <w:autoSpaceDN w:val="0"/>
              <w:adjustRightInd w:val="0"/>
              <w:spacing w:line="276" w:lineRule="auto"/>
              <w:rPr>
                <w:rFonts w:hint="eastAsia" w:ascii="宋体" w:hAnsi="宋体" w:cs="宋体"/>
                <w:color w:val="000000"/>
                <w:sz w:val="21"/>
                <w:szCs w:val="21"/>
              </w:rPr>
            </w:pPr>
            <w:r>
              <w:rPr>
                <w:rFonts w:hint="eastAsia" w:ascii="宋体" w:hAnsi="宋体" w:eastAsia="宋体" w:cs="宋体"/>
                <w:color w:val="000000"/>
                <w:kern w:val="0"/>
                <w:szCs w:val="21"/>
                <w:lang w:val="en-US" w:eastAsia="zh-CN"/>
              </w:rPr>
              <w:t>1335391.06</w:t>
            </w:r>
            <w:r>
              <w:rPr>
                <w:rFonts w:hint="eastAsia" w:cs="宋体" w:asciiTheme="minorEastAsia" w:hAnsiTheme="minorEastAsia"/>
                <w:bCs/>
                <w:color w:val="auto"/>
                <w:szCs w:val="21"/>
                <w:lang w:val="zh-CN"/>
              </w:rPr>
              <w:t>元，超出</w:t>
            </w:r>
            <w:r>
              <w:rPr>
                <w:rFonts w:hint="eastAsia" w:cs="宋体" w:asciiTheme="minorEastAsia" w:hAnsiTheme="minorEastAsia"/>
                <w:bCs/>
                <w:color w:val="auto"/>
                <w:szCs w:val="21"/>
              </w:rPr>
              <w:t>预算金额</w:t>
            </w:r>
            <w:r>
              <w:rPr>
                <w:rFonts w:hint="eastAsia" w:cs="宋体" w:asciiTheme="minorEastAsia" w:hAnsiTheme="minorEastAsia"/>
                <w:bCs/>
                <w:color w:val="auto"/>
                <w:szCs w:val="21"/>
                <w:lang w:val="zh-CN"/>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rPr>
            </w:pPr>
            <w:r>
              <w:rPr>
                <w:rFonts w:hint="eastAsia" w:cs="黑体" w:asciiTheme="minorEastAsia" w:hAnsiTheme="minorEastAsia"/>
                <w:color w:val="auto"/>
                <w:szCs w:val="21"/>
                <w:lang w:val="en-US" w:eastAsia="zh-CN"/>
              </w:rPr>
              <w:t>12</w:t>
            </w:r>
          </w:p>
        </w:tc>
        <w:tc>
          <w:tcPr>
            <w:tcW w:w="2268" w:type="dxa"/>
            <w:vAlign w:val="center"/>
          </w:tcPr>
          <w:p>
            <w:pPr>
              <w:autoSpaceDE w:val="0"/>
              <w:autoSpaceDN w:val="0"/>
              <w:adjustRightInd w:val="0"/>
              <w:spacing w:line="276" w:lineRule="auto"/>
              <w:jc w:val="center"/>
              <w:rPr>
                <w:rFonts w:hint="eastAsia" w:cs="仿宋_GB2312" w:asciiTheme="minorEastAsia" w:hAnsiTheme="minorEastAsia"/>
                <w:color w:val="auto"/>
                <w:szCs w:val="21"/>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hint="eastAsia" w:ascii="宋体" w:hAnsi="宋体" w:cs="宋体"/>
                <w:color w:val="000000"/>
                <w:sz w:val="21"/>
                <w:szCs w:val="21"/>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13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color w:val="auto"/>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15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16</w:t>
            </w:r>
          </w:p>
        </w:tc>
        <w:tc>
          <w:tcPr>
            <w:tcW w:w="2268"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17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highlight w:val="none"/>
                <w:shd w:val="clear" w:color="auto" w:fill="FFFFFF"/>
              </w:rPr>
              <w:t>响应文件提交截止、</w:t>
            </w:r>
            <w:r>
              <w:rPr>
                <w:rFonts w:hint="eastAsia" w:cs="宋体" w:asciiTheme="minorEastAsia" w:hAnsiTheme="minorEastAsia"/>
                <w:bCs/>
                <w:color w:val="auto"/>
                <w:szCs w:val="21"/>
                <w:highlight w:val="none"/>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022年</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08</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月</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01</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日</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08</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时</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30</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分</w:t>
            </w:r>
            <w:r>
              <w:rPr>
                <w:rFonts w:hint="eastAsia" w:cs="宋体" w:asciiTheme="minorEastAsia" w:hAnsiTheme="minorEastAsia"/>
                <w:bCs/>
                <w:color w:val="000000" w:themeColor="text1"/>
                <w:szCs w:val="21"/>
                <w:highlight w:val="none"/>
                <w:lang w:val="zh-CN"/>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asciiTheme="minorEastAsia" w:hAnsiTheme="minorEastAsia"/>
                <w:color w:val="auto"/>
                <w:szCs w:val="21"/>
              </w:rPr>
            </w:pPr>
            <w:r>
              <w:rPr>
                <w:rFonts w:hint="eastAsia" w:cs="仿宋_GB2312" w:asciiTheme="minorEastAsia" w:hAnsiTheme="minorEastAsia"/>
                <w:color w:val="000000" w:themeColor="text1"/>
                <w:szCs w:val="21"/>
                <w14:textFill>
                  <w14:solidFill>
                    <w14:schemeClr w14:val="tx1"/>
                  </w14:solidFill>
                </w14:textFill>
              </w:rPr>
              <w:t>禹州市公共资源交易中心开标</w:t>
            </w:r>
            <w:r>
              <w:rPr>
                <w:rFonts w:hint="eastAsia" w:cs="仿宋_GB2312" w:asciiTheme="minorEastAsia" w:hAnsiTheme="minorEastAsia"/>
                <w:color w:val="000000" w:themeColor="text1"/>
                <w:szCs w:val="21"/>
                <w:lang w:val="en-US" w:eastAsia="zh-CN"/>
                <w14:textFill>
                  <w14:solidFill>
                    <w14:schemeClr w14:val="tx1"/>
                  </w14:solidFill>
                </w14:textFill>
              </w:rPr>
              <w:t>一</w:t>
            </w:r>
            <w:r>
              <w:rPr>
                <w:rFonts w:hint="eastAsia" w:cs="仿宋_GB2312" w:asciiTheme="minorEastAsia" w:hAnsiTheme="minorEastAsia"/>
                <w:color w:val="000000" w:themeColor="text1"/>
                <w:szCs w:val="21"/>
                <w14:textFill>
                  <w14:solidFill>
                    <w14:schemeClr w14:val="tx1"/>
                  </w14:solidFill>
                </w14:textFill>
              </w:rPr>
              <w:t>室（地址：禹州市行政服务中心楼九楼）（</w:t>
            </w:r>
            <w:r>
              <w:rPr>
                <w:rFonts w:hint="eastAsia" w:cs="Arial" w:asciiTheme="minorEastAsia" w:hAnsiTheme="minorEastAsia"/>
                <w:b/>
                <w:color w:val="000000" w:themeColor="text1"/>
                <w:szCs w:val="21"/>
                <w14:textFill>
                  <w14:solidFill>
                    <w14:schemeClr w14:val="tx1"/>
                  </w14:solidFill>
                </w14:textFill>
              </w:rPr>
              <w:t>本项目采用远程不见面谈判，供应商无须到达现场</w:t>
            </w:r>
            <w:r>
              <w:rPr>
                <w:rFonts w:hint="eastAsia" w:cs="Arial" w:asciiTheme="minorEastAsia" w:hAnsi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19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tc>
        <w:tc>
          <w:tcPr>
            <w:tcW w:w="6813" w:type="dxa"/>
            <w:tcBorders>
              <w:top w:val="single" w:color="auto" w:sz="4" w:space="0"/>
            </w:tcBorders>
            <w:vAlign w:val="center"/>
          </w:tcPr>
          <w:p>
            <w:pPr>
              <w:pStyle w:val="2"/>
              <w:spacing w:line="360" w:lineRule="auto"/>
              <w:rPr>
                <w:rFonts w:cs="仿宋_GB2312" w:asciiTheme="minorEastAsia" w:hAnsiTheme="minorEastAsia"/>
                <w:color w:val="auto"/>
                <w:szCs w:val="21"/>
              </w:rPr>
            </w:pPr>
            <w:r>
              <w:rPr>
                <w:rFonts w:hint="eastAsia"/>
                <w:color w:val="auto"/>
              </w:rPr>
              <w:t>谈</w:t>
            </w:r>
            <w:r>
              <w:rPr>
                <w:rFonts w:hint="eastAsia" w:cs="宋体" w:asciiTheme="minorEastAsia" w:hAnsiTheme="minorEastAsia"/>
                <w:color w:val="auto"/>
                <w:szCs w:val="21"/>
              </w:rPr>
              <w:t>判文件每份售价人民币0元。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21</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highlight w:val="red"/>
                <w:lang w:val="zh-CN"/>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highlight w:val="red"/>
                <w:lang w:val="zh-CN"/>
              </w:rPr>
            </w:pPr>
            <w:r>
              <w:rPr>
                <w:rFonts w:hint="eastAsia" w:cs="宋体" w:asciiTheme="minorEastAsia" w:hAnsiTheme="minorEastAsia"/>
                <w:color w:val="auto"/>
                <w:szCs w:val="21"/>
              </w:rPr>
              <w:t>谈判公告、成交公告、变更（更正）公告、现场勘察答复等相关信息同时在以下网站发布：</w:t>
            </w:r>
            <w:r>
              <w:rPr>
                <w:rFonts w:hint="eastAsia" w:asciiTheme="majorEastAsia" w:hAnsiTheme="majorEastAsia" w:eastAsiaTheme="majorEastAsia" w:cstheme="majorEastAsia"/>
                <w:color w:val="auto"/>
                <w:szCs w:val="21"/>
              </w:rPr>
              <w:t>《河南省政府采购网》、《全国公共资源交易平台（河南省·许昌市）》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22</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仿宋_GB2312" w:asciiTheme="minorEastAsia" w:hAnsiTheme="minorEastAsia"/>
                <w:color w:val="auto"/>
                <w:szCs w:val="21"/>
                <w:lang w:val="zh-CN"/>
              </w:rPr>
            </w:pPr>
            <w:r>
              <w:rPr>
                <w:rFonts w:hint="eastAsia" w:cs="宋体" w:asciiTheme="minorEastAsia" w:hAnsiTheme="minorEastAsia"/>
                <w:bCs/>
                <w:color w:val="auto"/>
                <w:szCs w:val="21"/>
                <w:lang w:val="zh-CN"/>
              </w:rPr>
              <w:t>谈判公告期满之日起</w:t>
            </w:r>
            <w:r>
              <w:rPr>
                <w:rFonts w:hint="eastAsia" w:cs="宋体" w:asciiTheme="minorEastAsia" w:hAnsiTheme="minorEastAsia"/>
                <w:bCs/>
                <w:color w:val="auto"/>
                <w:szCs w:val="21"/>
              </w:rPr>
              <w:t>7</w:t>
            </w:r>
            <w:r>
              <w:rPr>
                <w:rFonts w:hint="eastAsia" w:cs="宋体" w:asciiTheme="minorEastAsia" w:hAnsiTheme="minorEastAsia"/>
                <w:bCs/>
                <w:color w:val="auto"/>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24</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color w:val="auto"/>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TimesNewRomanPSMT" w:asciiTheme="minorEastAsia" w:hAnsiTheme="minorEastAsia"/>
                <w:color w:val="auto"/>
                <w:szCs w:val="21"/>
                <w:lang w:val="en-US" w:eastAsia="zh-CN"/>
              </w:rPr>
              <w:t>25</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TimesNewRomanPSMT" w:asciiTheme="minorEastAsia" w:hAnsiTheme="minorEastAsia"/>
                <w:color w:val="auto"/>
                <w:szCs w:val="21"/>
                <w:lang w:val="en-US" w:eastAsia="zh-CN"/>
              </w:rPr>
              <w:t>26</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ascii="宋体" w:hAnsi="宋体" w:cs="仿宋_GB2312"/>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bCs/>
                <w:color w:val="auto"/>
                <w:szCs w:val="21"/>
              </w:rPr>
              <w:t>谈</w:t>
            </w:r>
            <w:r>
              <w:rPr>
                <w:rFonts w:hint="eastAsia" w:ascii="宋体" w:hAnsi="宋体" w:cs="仿宋_GB2312"/>
                <w:color w:val="auto"/>
                <w:szCs w:val="21"/>
                <w:lang w:val="zh-CN"/>
              </w:rPr>
              <w:t>判小组 共3人（其中采购人代表1人，评审专家2人），评审专家从政府采购评审专家库中随机抽取。</w:t>
            </w:r>
          </w:p>
          <w:p>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cs="仿宋_GB2312"/>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TimesNewRomanPSMT"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30</w:t>
            </w:r>
          </w:p>
        </w:tc>
        <w:tc>
          <w:tcPr>
            <w:tcW w:w="2268" w:type="dxa"/>
            <w:vAlign w:val="center"/>
          </w:tcPr>
          <w:p>
            <w:pPr>
              <w:autoSpaceDE w:val="0"/>
              <w:autoSpaceDN w:val="0"/>
              <w:adjustRightInd w:val="0"/>
              <w:spacing w:line="360" w:lineRule="auto"/>
              <w:jc w:val="center"/>
              <w:rPr>
                <w:rFonts w:hint="eastAsia"/>
                <w:lang w:val="zh-CN"/>
              </w:rPr>
            </w:pPr>
            <w:r>
              <w:rPr>
                <w:rFonts w:hint="eastAsia"/>
                <w:lang w:val="zh-CN"/>
              </w:rPr>
              <w:t>中小企业有关政策</w:t>
            </w:r>
          </w:p>
          <w:p>
            <w:pPr>
              <w:pStyle w:val="2"/>
              <w:rPr>
                <w:rFonts w:cs="仿宋_GB2312" w:asciiTheme="minorEastAsia" w:hAnsiTheme="minorEastAsia"/>
                <w:color w:val="auto"/>
                <w:szCs w:val="21"/>
              </w:rPr>
            </w:pPr>
            <w:r>
              <w:rPr>
                <w:rFonts w:hint="eastAsia" w:cstheme="minorBidi"/>
                <w:b/>
                <w:bCs/>
                <w:color w:val="auto"/>
                <w:kern w:val="2"/>
                <w:sz w:val="21"/>
                <w:szCs w:val="22"/>
                <w:lang w:val="en-US" w:eastAsia="zh-CN" w:bidi="ar-SA"/>
              </w:rPr>
              <w:t>（</w:t>
            </w:r>
            <w:r>
              <w:rPr>
                <w:rFonts w:hint="eastAsia" w:asciiTheme="minorHAnsi" w:hAnsiTheme="minorHAnsi" w:eastAsiaTheme="minorEastAsia" w:cstheme="minorBidi"/>
                <w:b/>
                <w:bCs/>
                <w:color w:val="auto"/>
                <w:kern w:val="2"/>
                <w:sz w:val="21"/>
                <w:szCs w:val="22"/>
                <w:lang w:val="en-US" w:eastAsia="zh-CN" w:bidi="ar-SA"/>
              </w:rPr>
              <w:t>因本项目为专门面向中小企业采购，不享受价格折扣</w:t>
            </w:r>
            <w:r>
              <w:rPr>
                <w:rFonts w:hint="eastAsia" w:cstheme="minorBidi"/>
                <w:b/>
                <w:bCs/>
                <w:color w:val="auto"/>
                <w:kern w:val="2"/>
                <w:sz w:val="21"/>
                <w:szCs w:val="22"/>
                <w:lang w:val="en-US" w:eastAsia="zh-CN" w:bidi="ar-SA"/>
              </w:rPr>
              <w:t>）</w:t>
            </w:r>
          </w:p>
        </w:tc>
        <w:tc>
          <w:tcPr>
            <w:tcW w:w="6813" w:type="dxa"/>
            <w:vAlign w:val="center"/>
          </w:tcPr>
          <w:p>
            <w:pPr>
              <w:autoSpaceDE w:val="0"/>
              <w:autoSpaceDN w:val="0"/>
              <w:adjustRightInd w:val="0"/>
              <w:spacing w:line="360" w:lineRule="auto"/>
              <w:contextualSpacing/>
            </w:pPr>
            <w:r>
              <w:rPr>
                <w:rFonts w:hint="eastAsia"/>
              </w:rPr>
              <w:t>1、根据工信部等部委发布的《关于印发中小企业划型标准规定的通知》（工信部联企业〔2011〕300号），按照本次采购标的所属行业的划型标准，符合条件的中小企业应按照招标文件格式要求提供《中小企业声明函》，</w:t>
            </w:r>
            <w:r>
              <w:t>否则不得享受相关中小企业扶持政策。</w:t>
            </w:r>
          </w:p>
          <w:p>
            <w:pPr>
              <w:autoSpaceDE w:val="0"/>
              <w:autoSpaceDN w:val="0"/>
              <w:adjustRightInd w:val="0"/>
              <w:spacing w:line="360" w:lineRule="auto"/>
              <w:contextualSpacing/>
              <w:rPr>
                <w:rFonts w:hint="eastAsia"/>
                <w:lang w:eastAsia="zh-CN"/>
              </w:rPr>
            </w:pPr>
            <w:r>
              <w:rPr>
                <w:rFonts w:hint="eastAsia"/>
              </w:rPr>
              <w:t>2、本次</w:t>
            </w:r>
            <w:r>
              <w:t>采购标的对应的中小企业划分标准所属行业</w:t>
            </w:r>
            <w:r>
              <w:rPr>
                <w:rFonts w:hint="eastAsia"/>
              </w:rPr>
              <w:t>：</w:t>
            </w:r>
            <w:r>
              <w:rPr>
                <w:rFonts w:hint="eastAsia"/>
                <w:lang w:eastAsia="zh-CN"/>
              </w:rPr>
              <w:t>其他未列明行业</w:t>
            </w:r>
          </w:p>
          <w:p>
            <w:pPr>
              <w:autoSpaceDE w:val="0"/>
              <w:autoSpaceDN w:val="0"/>
              <w:adjustRightInd w:val="0"/>
              <w:spacing w:line="360" w:lineRule="auto"/>
              <w:contextualSpacing/>
              <w:rPr>
                <w:rFonts w:hint="default"/>
                <w:lang w:val="en-US" w:eastAsia="zh-CN"/>
              </w:rPr>
            </w:pPr>
            <w:r>
              <w:rPr>
                <w:rFonts w:hint="eastAsia"/>
              </w:rPr>
              <w:t>3、如果本项目非专门面向中小企业采购</w:t>
            </w:r>
            <w:r>
              <w:rPr>
                <w:rFonts w:hint="eastAsia"/>
                <w:lang w:eastAsia="zh-CN"/>
              </w:rPr>
              <w:t>，</w:t>
            </w:r>
            <w:r>
              <w:rPr>
                <w:rFonts w:hint="eastAsia"/>
              </w:rPr>
              <w:t>根据财政部、工业和信息化部发布的《政府采购促进中小企业发展管理办法》（财库〔2020〕46号）</w:t>
            </w:r>
            <w:r>
              <w:rPr>
                <w:rFonts w:hint="eastAsia"/>
                <w:lang w:eastAsia="zh-CN"/>
              </w:rPr>
              <w:t>、</w:t>
            </w:r>
            <w:r>
              <w:rPr>
                <w:rFonts w:hint="eastAsia"/>
              </w:rPr>
              <w:t>《关于进一步加大政府采购支持中小企业力度的通知》（财库〔2022〕19号）规定，对小型和微型企业投标价格给予5%的扣除，用扣除后的价格参与评审。</w:t>
            </w:r>
          </w:p>
          <w:p>
            <w:pPr>
              <w:spacing w:line="360" w:lineRule="auto"/>
              <w:contextualSpacing/>
            </w:pPr>
            <w:r>
              <w:rPr>
                <w:rFonts w:hint="eastAsia"/>
              </w:rPr>
              <w:t>4、</w:t>
            </w:r>
            <w: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pPr>
            <w:r>
              <w:rPr>
                <w:rFonts w:hint="eastAsia"/>
              </w:rPr>
              <w:t>5、</w:t>
            </w:r>
            <w: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pPr>
            <w:r>
              <w:rPr>
                <w:rFonts w:hint="eastAsia"/>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TimesNewRomanPSMT"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31</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33</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34</w:t>
            </w:r>
          </w:p>
        </w:tc>
        <w:tc>
          <w:tcPr>
            <w:tcW w:w="2268" w:type="dxa"/>
            <w:vAlign w:val="center"/>
          </w:tcPr>
          <w:p>
            <w:pPr>
              <w:autoSpaceDE w:val="0"/>
              <w:autoSpaceDN w:val="0"/>
              <w:adjustRightInd w:val="0"/>
              <w:spacing w:line="360" w:lineRule="auto"/>
              <w:jc w:val="center"/>
              <w:rPr>
                <w:lang w:val="zh-CN"/>
              </w:rPr>
            </w:pPr>
            <w:r>
              <w:rPr>
                <w:rFonts w:hint="eastAsia" w:cs="宋体" w:asciiTheme="minorEastAsia" w:hAnsiTheme="minorEastAsia"/>
                <w:color w:val="auto"/>
                <w:szCs w:val="21"/>
                <w:lang w:val="zh-CN"/>
              </w:rPr>
              <w:t>代理服务费</w:t>
            </w:r>
          </w:p>
        </w:tc>
        <w:tc>
          <w:tcPr>
            <w:tcW w:w="6813" w:type="dxa"/>
            <w:vAlign w:val="center"/>
          </w:tcPr>
          <w:p>
            <w:pPr>
              <w:autoSpaceDE w:val="0"/>
              <w:autoSpaceDN w:val="0"/>
              <w:adjustRightInd w:val="0"/>
              <w:spacing w:line="360" w:lineRule="auto"/>
              <w:rPr>
                <w:lang w:val="zh-CN"/>
              </w:rPr>
            </w:pPr>
            <w:r>
              <w:rPr>
                <w:rFonts w:hint="eastAsia" w:cs="宋体" w:asciiTheme="minorEastAsia" w:hAnsiTheme="minorEastAsia"/>
                <w:color w:val="auto"/>
                <w:szCs w:val="21"/>
              </w:rPr>
              <w:t>按照发改计价格[2002]1980号，发改价格〔2015〕299号文件有关规定计取。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ascii="ˎ̥" w:hAnsi="ˎ̥"/>
                <w:color w:val="auto"/>
              </w:rPr>
            </w:pPr>
            <w:r>
              <w:rPr>
                <w:rFonts w:hint="eastAsia" w:cs="宋体" w:asciiTheme="minorEastAsia" w:hAnsiTheme="minorEastAsia"/>
                <w:color w:val="auto"/>
                <w:szCs w:val="21"/>
                <w:lang w:val="zh-CN"/>
              </w:rPr>
              <w:t>中标人在接到中标通知时，须向代理机构发送投标报价及分项报价一览表（包含主要中标标的的名称、规格型号、数量、单价、服务要求等）电子文档。</w:t>
            </w:r>
            <w:r>
              <w:rPr>
                <w:rFonts w:hint="eastAsia" w:ascii="宋体" w:cs="宋体"/>
                <w:color w:val="FF0000"/>
                <w:sz w:val="21"/>
                <w:szCs w:val="21"/>
                <w:lang w:val="zh-CN"/>
              </w:rPr>
              <w:t>联系电话：</w:t>
            </w:r>
            <w:r>
              <w:rPr>
                <w:rFonts w:hint="eastAsia" w:ascii="宋体" w:cs="宋体"/>
                <w:color w:val="FF0000"/>
                <w:sz w:val="21"/>
                <w:szCs w:val="21"/>
                <w:lang w:val="en-US" w:eastAsia="zh-CN"/>
              </w:rPr>
              <w:t xml:space="preserve">0374-8119989  </w:t>
            </w:r>
            <w:r>
              <w:rPr>
                <w:rFonts w:hint="eastAsia" w:ascii="宋体" w:cs="宋体"/>
                <w:color w:val="FF0000"/>
                <w:sz w:val="21"/>
                <w:szCs w:val="21"/>
                <w:lang w:val="zh-CN"/>
              </w:rPr>
              <w:t>邮箱</w:t>
            </w:r>
            <w:r>
              <w:rPr>
                <w:rFonts w:hint="eastAsia" w:ascii="宋体" w:cs="宋体"/>
                <w:color w:val="FF0000"/>
                <w:sz w:val="21"/>
                <w:szCs w:val="21"/>
                <w:lang w:val="en-US" w:eastAsia="zh-CN"/>
              </w:rPr>
              <w:t>487105845</w:t>
            </w:r>
            <w:r>
              <w:rPr>
                <w:rFonts w:hint="eastAsia" w:ascii="宋体" w:cs="宋体"/>
                <w:color w:val="FF0000"/>
                <w:sz w:val="21"/>
                <w:szCs w:val="21"/>
              </w:rPr>
              <w:t>@</w:t>
            </w:r>
            <w:r>
              <w:rPr>
                <w:rFonts w:hint="eastAsia" w:ascii="宋体" w:cs="宋体"/>
                <w:color w:val="FF0000"/>
                <w:sz w:val="21"/>
                <w:szCs w:val="21"/>
                <w:lang w:val="en-US" w:eastAsia="zh-CN"/>
              </w:rPr>
              <w:t>qq</w:t>
            </w:r>
            <w:r>
              <w:rPr>
                <w:rFonts w:hint="eastAsia" w:ascii="宋体" w:cs="宋体"/>
                <w:color w:val="FF0000"/>
                <w:sz w:val="21"/>
                <w:szCs w:val="21"/>
              </w:rPr>
              <w:t>.com</w:t>
            </w:r>
            <w:r>
              <w:rPr>
                <w:rFonts w:hint="eastAsia" w:ascii="宋体" w:cs="宋体"/>
                <w:color w:val="FF0000"/>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37</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adjustRightInd w:val="0"/>
              <w:spacing w:line="360" w:lineRule="auto"/>
              <w:ind w:right="-11"/>
              <w:rPr>
                <w:rFonts w:ascii="ˎ̥" w:hAnsi="ˎ̥"/>
                <w:color w:val="auto"/>
              </w:rPr>
            </w:pPr>
            <w:r>
              <w:rPr>
                <w:rFonts w:hint="eastAsia" w:ascii="ˎ̥" w:hAnsi="ˎ̥"/>
                <w:color w:val="auto"/>
              </w:rPr>
              <w:t>注：</w:t>
            </w:r>
          </w:p>
          <w:p>
            <w:pPr>
              <w:autoSpaceDE w:val="0"/>
              <w:autoSpaceDN w:val="0"/>
              <w:adjustRightInd w:val="0"/>
              <w:spacing w:line="360" w:lineRule="auto"/>
              <w:ind w:right="-11"/>
              <w:rPr>
                <w:rFonts w:ascii="ˎ̥" w:hAnsi="ˎ̥"/>
                <w:color w:val="auto"/>
              </w:rPr>
            </w:pPr>
            <w:r>
              <w:rPr>
                <w:rFonts w:hint="eastAsia" w:ascii="ˎ̥" w:hAnsi="ˎ̥"/>
                <w:color w:val="auto"/>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ind w:right="-11"/>
              <w:rPr>
                <w:rFonts w:ascii="ˎ̥" w:hAnsi="ˎ̥"/>
                <w:color w:val="auto"/>
              </w:rPr>
            </w:pPr>
            <w:r>
              <w:rPr>
                <w:rFonts w:hint="eastAsia" w:ascii="ˎ̥" w:hAnsi="ˎ̥"/>
                <w:color w:val="auto"/>
              </w:rPr>
              <w:t>②采购文件第二章“采购需求”中“采购清单”以工程量清单提供的，供应商应以工程量清单方式提交最后报价。</w:t>
            </w:r>
          </w:p>
          <w:p>
            <w:pPr>
              <w:autoSpaceDE w:val="0"/>
              <w:autoSpaceDN w:val="0"/>
              <w:adjustRightInd w:val="0"/>
              <w:spacing w:line="360" w:lineRule="auto"/>
              <w:ind w:right="-11"/>
              <w:rPr>
                <w:rFonts w:cs="宋体" w:asciiTheme="minorEastAsia" w:hAnsiTheme="minorEastAsia"/>
                <w:color w:val="auto"/>
                <w:szCs w:val="21"/>
              </w:rPr>
            </w:pPr>
            <w:r>
              <w:rPr>
                <w:rFonts w:hint="eastAsia" w:ascii="ˎ̥" w:hAnsi="ˎ̥"/>
                <w:color w:val="auto"/>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38</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color w:val="auto"/>
              </w:rPr>
            </w:pPr>
            <w:r>
              <w:rPr>
                <w:rFonts w:hint="eastAsia"/>
                <w:color w:val="auto"/>
              </w:rPr>
              <w:t>1、按照《关于推进全流程电子化交易和在线监管工作有关问题的通知》（许公管办[2019]3号）规定：</w:t>
            </w:r>
          </w:p>
          <w:p>
            <w:pP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响应</w:t>
            </w:r>
            <w:r>
              <w:rPr>
                <w:color w:val="auto"/>
              </w:rPr>
              <w:t>事宜</w:t>
            </w:r>
            <w:r>
              <w:rPr>
                <w:rFonts w:hint="eastAsia"/>
                <w:color w:val="auto"/>
              </w:rPr>
              <w:t>’，其投标无效。</w:t>
            </w:r>
          </w:p>
          <w:p>
            <w:pPr>
              <w:autoSpaceDE w:val="0"/>
              <w:autoSpaceDN w:val="0"/>
              <w:adjustRightInd w:val="0"/>
              <w:spacing w:line="360" w:lineRule="auto"/>
              <w:contextualSpacing/>
              <w:rPr>
                <w:color w:val="auto"/>
              </w:rPr>
            </w:pPr>
            <w:r>
              <w:rPr>
                <w:rFonts w:hint="eastAsia"/>
                <w:color w:val="auto"/>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color w:val="auto"/>
              </w:rPr>
            </w:pPr>
            <w:r>
              <w:rPr>
                <w:rFonts w:hint="eastAsia" w:ascii="ˎ̥" w:hAnsi="ˎ̥"/>
                <w:color w:val="auto"/>
              </w:rPr>
              <w:t>2、项目编号以本谈判文件中的采购编号为准。</w:t>
            </w:r>
          </w:p>
          <w:p>
            <w:pPr>
              <w:pStyle w:val="2"/>
              <w:rPr>
                <w:rFonts w:cs="宋体" w:asciiTheme="minorEastAsia" w:hAnsiTheme="minorEastAsia"/>
                <w:color w:val="auto"/>
                <w:szCs w:val="21"/>
                <w:lang w:val="zh-CN"/>
              </w:rPr>
            </w:pPr>
            <w:r>
              <w:rPr>
                <w:rFonts w:hint="eastAsia" w:ascii="ˎ̥" w:hAnsi="ˎ̥"/>
                <w:color w:val="auto"/>
              </w:rPr>
              <w:t>3、谈判文件第八章  响应文件有关格式的先后顺序不做无效响应。</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pStyle w:val="34"/>
        <w:rPr>
          <w:color w:val="auto"/>
        </w:rPr>
      </w:pPr>
      <w:r>
        <w:rPr>
          <w:color w:val="auto"/>
        </w:rPr>
        <w:br w:type="page"/>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1.适用范围</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1.1本谈判文件仅适用于本次“采购邀请”</w:t>
      </w:r>
      <w:r>
        <w:rPr>
          <w:rFonts w:hint="eastAsia" w:ascii="宋体" w:hAnsi="宋体"/>
          <w:color w:val="auto"/>
          <w:szCs w:val="21"/>
        </w:rPr>
        <w:t xml:space="preserve"> 和“供应商须知前附表”中所述采购项目的采购。</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3"/>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系指“供应商须知前附表”中所述的组织本次采购的采购人和采购代理机构。</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w:t>
      </w:r>
    </w:p>
    <w:p>
      <w:pPr>
        <w:autoSpaceDE w:val="0"/>
        <w:autoSpaceDN w:val="0"/>
        <w:spacing w:line="360" w:lineRule="auto"/>
        <w:contextualSpacing/>
        <w:rPr>
          <w:rFonts w:cs="宋体" w:asciiTheme="minorEastAsia" w:hAnsiTheme="minorEastAsia"/>
          <w:color w:val="auto"/>
          <w:kern w:val="0"/>
          <w:szCs w:val="21"/>
        </w:rPr>
      </w:pPr>
      <w:r>
        <w:rPr>
          <w:rFonts w:cs="宋体" w:asciiTheme="minorEastAsia" w:hAnsiTheme="minorEastAsia"/>
          <w:color w:val="auto"/>
          <w:kern w:val="0"/>
          <w:szCs w:val="21"/>
        </w:rPr>
        <w:t>可提供本国产品，也可以提供进口产品。</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2.9谈判文件中凡标有“★”的条款均系实质性要求条款。</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w:t>
      </w:r>
      <w:r>
        <w:rPr>
          <w:rFonts w:hint="eastAsia" w:cs="宋体" w:asciiTheme="minorEastAsia" w:hAnsiTheme="minorEastAsia"/>
          <w:color w:val="auto"/>
          <w:kern w:val="0"/>
          <w:szCs w:val="21"/>
          <w:lang w:val="en-US" w:eastAsia="zh-CN"/>
        </w:rPr>
        <w:t xml:space="preserve"> </w:t>
      </w:r>
      <w:r>
        <w:rPr>
          <w:rFonts w:hint="eastAsia" w:cs="宋体" w:asciiTheme="minorEastAsia" w:hAnsiTheme="minorEastAsia"/>
          <w:color w:val="auto"/>
          <w:kern w:val="0"/>
          <w:szCs w:val="21"/>
        </w:rPr>
        <w:t>供应商未被列入失信被执行人、税收违法</w:t>
      </w:r>
      <w:r>
        <w:rPr>
          <w:rFonts w:hint="eastAsia" w:cs="宋体" w:asciiTheme="minorEastAsia" w:hAnsiTheme="minorEastAsia"/>
          <w:color w:val="auto"/>
          <w:kern w:val="0"/>
          <w:szCs w:val="21"/>
          <w:lang w:eastAsia="zh-CN"/>
        </w:rPr>
        <w:t>黑</w:t>
      </w:r>
      <w:r>
        <w:rPr>
          <w:rFonts w:hint="eastAsia" w:cs="宋体" w:asciiTheme="minorEastAsia" w:hAnsiTheme="minorEastAsia"/>
          <w:color w:val="auto"/>
          <w:kern w:val="0"/>
          <w:szCs w:val="21"/>
        </w:rPr>
        <w:t>名单、政府采购严重违法失信名单、政府采购严重违法失信行为记录名单、严重违法失信企业名单（黑名单）的供应商、严重违法失信社会组织名单（联合体形式投标的，联合体成员存在不良信用记录，视同联合体存在不良信用记录）。</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3.3.1查询渠道：“信用中国”网站（www.creditchina.gov.cn）、“中国政府采购网”（www.ccgp.gov.cn）、“国家企业信用公示系统”网站（</w:t>
      </w:r>
      <w:r>
        <w:rPr>
          <w:color w:val="auto"/>
        </w:rPr>
        <w:fldChar w:fldCharType="begin"/>
      </w:r>
      <w:r>
        <w:rPr>
          <w:color w:val="auto"/>
        </w:rPr>
        <w:instrText xml:space="preserve"> HYPERLINK "http://www.gsxt.gov.cn" </w:instrText>
      </w:r>
      <w:r>
        <w:rPr>
          <w:color w:val="auto"/>
        </w:rPr>
        <w:fldChar w:fldCharType="separate"/>
      </w:r>
      <w:r>
        <w:rPr>
          <w:rFonts w:hint="eastAsia" w:cs="宋体" w:asciiTheme="minorEastAsia" w:hAnsiTheme="minorEastAsia"/>
          <w:color w:val="auto"/>
          <w:kern w:val="0"/>
          <w:szCs w:val="21"/>
        </w:rPr>
        <w:t>www.gsxt.gov.cn</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）、“中国社会组织</w:t>
      </w:r>
      <w:r>
        <w:rPr>
          <w:rFonts w:hint="eastAsia" w:cs="宋体" w:asciiTheme="minorEastAsia" w:hAnsiTheme="minorEastAsia"/>
          <w:color w:val="auto"/>
          <w:kern w:val="0"/>
          <w:szCs w:val="21"/>
          <w:lang w:eastAsia="zh-CN"/>
        </w:rPr>
        <w:t>政务</w:t>
      </w:r>
      <w:r>
        <w:rPr>
          <w:rFonts w:hint="eastAsia" w:cs="宋体" w:asciiTheme="minorEastAsia" w:hAnsiTheme="minorEastAsia"/>
          <w:color w:val="auto"/>
          <w:kern w:val="0"/>
          <w:szCs w:val="21"/>
        </w:rPr>
        <w:t>服务平台”网站（</w:t>
      </w:r>
      <w:r>
        <w:rPr>
          <w:rFonts w:cs="宋体" w:asciiTheme="minorEastAsia" w:hAnsiTheme="minorEastAsia"/>
          <w:color w:val="auto"/>
          <w:kern w:val="0"/>
          <w:szCs w:val="21"/>
        </w:rPr>
        <w:t>chinanpo.mca.gov.cn</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3.3.2截止时间：同谈判响应截止时间；</w:t>
      </w:r>
    </w:p>
    <w:p>
      <w:pPr>
        <w:pStyle w:val="53"/>
        <w:autoSpaceDE w:val="0"/>
        <w:autoSpaceDN w:val="0"/>
        <w:spacing w:line="360" w:lineRule="auto"/>
        <w:contextualSpacing/>
        <w:rPr>
          <w:rFonts w:ascii="宋体" w:hAnsi="宋体" w:cs="微软雅黑"/>
          <w:bCs/>
          <w:color w:val="auto"/>
          <w:szCs w:val="21"/>
        </w:rPr>
      </w:pPr>
      <w:r>
        <w:rPr>
          <w:rFonts w:hint="eastAsia" w:ascii="宋体" w:hAnsi="宋体" w:cs="微软雅黑"/>
          <w:bCs/>
          <w:color w:val="auto"/>
          <w:szCs w:val="21"/>
        </w:rPr>
        <w:t>3.3.</w:t>
      </w:r>
      <w:r>
        <w:rPr>
          <w:rFonts w:hint="eastAsia" w:ascii="宋体" w:hAnsi="宋体" w:cs="微软雅黑"/>
          <w:bCs/>
          <w:color w:val="auto"/>
          <w:szCs w:val="21"/>
          <w:lang w:val="en-US" w:eastAsia="zh-CN"/>
        </w:rPr>
        <w:t>3</w:t>
      </w:r>
      <w:r>
        <w:rPr>
          <w:rFonts w:hint="eastAsia" w:ascii="宋体" w:hAnsi="宋体" w:cs="微软雅黑"/>
          <w:bCs/>
          <w:color w:val="auto"/>
          <w:szCs w:val="21"/>
        </w:rPr>
        <w:t>信用信息的使用原则：经谈判小组认定的被列入失信被执行人、</w:t>
      </w:r>
      <w:r>
        <w:rPr>
          <w:rFonts w:hint="eastAsia" w:ascii="宋体" w:hAnsi="宋体" w:cs="微软雅黑"/>
          <w:bCs/>
          <w:color w:val="auto"/>
          <w:szCs w:val="21"/>
          <w:lang w:eastAsia="zh-CN"/>
        </w:rPr>
        <w:t>税收违法黑</w:t>
      </w:r>
      <w:r>
        <w:rPr>
          <w:rFonts w:hint="eastAsia" w:ascii="宋体" w:hAnsi="宋体" w:cs="微软雅黑"/>
          <w:bCs/>
          <w:color w:val="auto"/>
          <w:szCs w:val="21"/>
        </w:rPr>
        <w:t>名单、政府采购严重违法失信名单、政府采购严重违法失信行为记录名单、严重违法失信企业名单（黑名单）、严重违法失信社会组织名单的投标人，将拒绝其参与本次政府采购活动。</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3"/>
        <w:autoSpaceDE w:val="0"/>
        <w:autoSpaceDN w:val="0"/>
        <w:spacing w:line="360" w:lineRule="auto"/>
        <w:ind w:left="6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 在响应文件中向采购人提交联合体协议书，明确联合体各方承担的工作和义务；</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 联合体中有同类资质的供应商按联合体分工承担相同工作的，应当按照资质等级较低的供应商确定资质等级；</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 招标人根据采购项目的特殊要求规定供应商特定条件的，联合体各方中至少应当有一方符合采购规定的特定条件；</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 联合体各方不得再单独参加或者与其他供应商另外组成联合体参加同一合同项下的政府采购活动；</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3.6.5 </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 法律、行政法规规定的其他条件。</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4.合格的货物和服务</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4.4根据财政部、工业和信息化部、国家质检总局、国家认监委联合发布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6.信息发布</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按照发改计价格[2002]1980号，发改价格〔2015〕299号文件有关规定计取。</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8.其他</w:t>
      </w:r>
    </w:p>
    <w:p>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9.谈判文件构成</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10.谈判文件的澄清或修改</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11.响应文件的语言及计量单位</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12.报价</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w:t>
      </w:r>
      <w:r>
        <w:rPr>
          <w:rFonts w:hint="eastAsia" w:cs="宋体" w:asciiTheme="minorEastAsia" w:hAnsiTheme="minorEastAsia"/>
          <w:color w:val="auto"/>
          <w:kern w:val="0"/>
          <w:szCs w:val="21"/>
          <w:lang w:val="en-US" w:eastAsia="zh-CN"/>
        </w:rPr>
        <w:t>5</w:t>
      </w:r>
      <w:r>
        <w:rPr>
          <w:rFonts w:hint="eastAsia" w:cs="宋体" w:asciiTheme="minorEastAsia" w:hAnsiTheme="minorEastAsia"/>
          <w:color w:val="auto"/>
          <w:kern w:val="0"/>
          <w:szCs w:val="21"/>
        </w:rPr>
        <w:t>报价不得高于本项目预算金额，且不低于成本价。供应商的响应报价高于预算金额（项目控制金额上限）的，该供应商的响应文件将被视为非实质性响应予以拒绝。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最低报价不能做为成交的保证。</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13.响应文件有效期</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14.响应文件构成</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14.3响应文件由资格证明材料、符合性证明材料、其它材料等组成。</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14.5供应商登录许昌公共资源交易系统下载“许昌投标文件制作系统SEARUN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”的文件用于电子响应使用。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电子响应文件制作技术咨询：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15.响应文件格式</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15.1供应商应按谈判文件提供的格式编写响应文件。谈判文件未提供标准格式的供应商可自行拟定。</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16.谈判保证金</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17.谈判文件的数量和签署盖章</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18.谈判响应截止时间</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18.1供应商必须在“采购邀请”和“供应商须知前附表”中规定的响应截止时间前，将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19.迟交的响应文件</w:t>
      </w:r>
    </w:p>
    <w:p>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谈判响应文件截止时间之后上传的响应文件，采购人、采购代理机构将拒绝接收。</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20.响应文件的修改和撤回</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21.除供应商须知前附表另有规定外，供应商所提交的电子响应文件不予退还。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3"/>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22.2.1.1供应商解密：供应商使用本单位CA数字证书进行远程解密。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22.2.1.2采购代理机构解密：采购代理机构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22.2.1.3供应商未在规定时间内解密或</w:t>
      </w:r>
      <w:r>
        <w:rPr>
          <w:rFonts w:hint="eastAsia" w:cs="宋体" w:asciiTheme="minorEastAsia" w:hAnsiTheme="minorEastAsia"/>
          <w:color w:val="auto"/>
          <w:kern w:val="0"/>
          <w:szCs w:val="21"/>
        </w:rPr>
        <w:t>因供应商原因解密失败的，其响应文件将被拒绝。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 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 响应文件解密过程由采购代理机构负责记录。</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 响应文件</w:t>
      </w:r>
      <w:r>
        <w:rPr>
          <w:rFonts w:hint="eastAsia" w:hAnsi="宋体"/>
          <w:color w:val="auto"/>
          <w:szCs w:val="21"/>
        </w:rPr>
        <w:t>解密活动结束时，供应商应在《开标记录表》上进行电子签章。供应商未签章的，视同认可解密结果。</w:t>
      </w:r>
    </w:p>
    <w:p>
      <w:pPr>
        <w:pStyle w:val="53"/>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谈判小组组成</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w:t>
      </w:r>
      <w:r>
        <w:rPr>
          <w:rFonts w:ascii="ˎ̥" w:hAnsi="ˎ̥"/>
          <w:color w:val="auto"/>
        </w:rPr>
        <w:t>达到公开招标数额标准的货物或者服务采购项目，或者达到招标规模标准的政府采购工程，竞争性谈判小组应当由5人以上单数组成</w:t>
      </w:r>
      <w:r>
        <w:rPr>
          <w:rFonts w:hint="eastAsia" w:ascii="ˎ̥" w:hAnsi="ˎ̥"/>
          <w:color w:val="auto"/>
        </w:rPr>
        <w:t>。</w:t>
      </w:r>
    </w:p>
    <w:p>
      <w:pPr>
        <w:pStyle w:val="53"/>
        <w:numPr>
          <w:ilvl w:val="1"/>
          <w:numId w:val="6"/>
        </w:numPr>
        <w:autoSpaceDE w:val="0"/>
        <w:autoSpaceDN w:val="0"/>
        <w:spacing w:line="360" w:lineRule="auto"/>
        <w:ind w:firstLineChars="0"/>
        <w:contextualSpacing/>
        <w:rPr>
          <w:rFonts w:ascii="ˎ̥" w:hAnsi="ˎ̥"/>
          <w:vanish/>
          <w:color w:val="auto"/>
        </w:rPr>
      </w:pP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23.1.3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23.1.4谈判小组成员与供应商存在下列利害关系之一的,应当回避：</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23.1.5参加采购活动前三年内,与供应商存在劳动关系,或者担任过供应商的董事、监事,或者是供应商的控股股东或实际控制人；</w:t>
      </w:r>
    </w:p>
    <w:p>
      <w:pPr>
        <w:pStyle w:val="53"/>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23.1.6与供</w:t>
      </w:r>
      <w:r>
        <w:rPr>
          <w:rFonts w:hint="eastAsia" w:ascii="ˎ̥" w:hAnsi="ˎ̥"/>
          <w:color w:val="auto"/>
        </w:rPr>
        <w:t>应商的法定代表人或者负责人有夫妻、直系血亲、三代以内旁系血亲或者近姻亲关系；</w:t>
      </w:r>
    </w:p>
    <w:p>
      <w:pPr>
        <w:pStyle w:val="53"/>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23.1.7</w:t>
      </w:r>
      <w:r>
        <w:rPr>
          <w:rFonts w:hint="eastAsia" w:ascii="ˎ̥" w:hAnsi="ˎ̥"/>
          <w:color w:val="auto"/>
        </w:rPr>
        <w:t>与供应商有其他可能影响政府采购活动公平、公正进行的关系。</w:t>
      </w:r>
    </w:p>
    <w:p>
      <w:pPr>
        <w:pStyle w:val="53"/>
        <w:numPr>
          <w:ilvl w:val="0"/>
          <w:numId w:val="7"/>
        </w:numPr>
        <w:autoSpaceDE w:val="0"/>
        <w:autoSpaceDN w:val="0"/>
        <w:spacing w:line="360" w:lineRule="auto"/>
        <w:ind w:firstLineChars="0"/>
        <w:contextualSpacing/>
        <w:rPr>
          <w:rFonts w:cs="宋体" w:asciiTheme="minorEastAsia" w:hAnsiTheme="minorEastAsia"/>
          <w:vanish/>
          <w:color w:val="auto"/>
          <w:kern w:val="0"/>
          <w:szCs w:val="21"/>
        </w:rPr>
      </w:pP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23.2评审专家发现本人与参加采购活动的供应商有利害关系的,应当主动提出回避。采购人或者采购代理机构发现评审专家与参加采购活动的供应商有利害关系的,应当要求其回避。</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23.3采购人不得担任谈判小组组长。</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23.4谈判小组成员名单在成交结果公告前应当保密。</w:t>
      </w:r>
    </w:p>
    <w:p>
      <w:pPr>
        <w:pStyle w:val="53"/>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资格审查和符合性审查</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pPr>
        <w:pStyle w:val="53"/>
        <w:autoSpaceDE w:val="0"/>
        <w:autoSpaceDN w:val="0"/>
        <w:spacing w:line="360" w:lineRule="auto"/>
        <w:ind w:firstLine="422"/>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3"/>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3"/>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3"/>
        <w:numPr>
          <w:ilvl w:val="1"/>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pPr>
        <w:pStyle w:val="53"/>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响应文件的澄清</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w:t>
      </w:r>
      <w:r>
        <w:rPr>
          <w:rFonts w:ascii="ˎ̥" w:hAnsi="ˎ̥"/>
          <w:color w:val="auto"/>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3"/>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响应文件报价出现前后不一致的修正</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27.1.5投标文件内容模糊不清，无法辨认的；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27.2.4不同供应商的响应文件异常一致或者投标报价呈规律性差异；</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3"/>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28.7最后报价是供应商响应文件的有效组成部分。</w:t>
      </w:r>
    </w:p>
    <w:p>
      <w:pPr>
        <w:pStyle w:val="53"/>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28.8已提交响应文件的供应商，在提交最后报价之前，可以根据谈判情况退出谈判。</w:t>
      </w:r>
    </w:p>
    <w:p>
      <w:pPr>
        <w:pStyle w:val="53"/>
        <w:autoSpaceDE w:val="0"/>
        <w:autoSpaceDN w:val="0"/>
        <w:spacing w:line="360" w:lineRule="auto"/>
        <w:ind w:left="-29"/>
        <w:contextualSpacing/>
        <w:rPr>
          <w:rFonts w:ascii="ˎ̥" w:hAnsi="ˎ̥"/>
          <w:color w:val="auto"/>
        </w:rPr>
      </w:pPr>
      <w:r>
        <w:rPr>
          <w:rFonts w:hint="eastAsia" w:ascii="宋体" w:hAnsi="宋体" w:eastAsia="宋体" w:cs="宋体"/>
          <w:color w:val="auto"/>
        </w:rPr>
        <w:t>28.9按</w:t>
      </w:r>
      <w:r>
        <w:rPr>
          <w:rFonts w:hint="eastAsia" w:ascii="ˎ̥" w:hAnsi="ˎ̥"/>
          <w:color w:val="auto"/>
        </w:rPr>
        <w:t>照《关于推进全流程电子化交易和在线监管工作有关问题的通知》（许公管办[2019]3号）规定，评审专家应严格按照要求查看“硬件特征码相”相关信息并进行评审。</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pPr>
        <w:pStyle w:val="53"/>
        <w:autoSpaceDE w:val="0"/>
        <w:autoSpaceDN w:val="0"/>
        <w:spacing w:line="360" w:lineRule="auto"/>
        <w:contextualSpacing/>
        <w:rPr>
          <w:rFonts w:cs="宋体" w:asciiTheme="minorEastAsia" w:hAnsiTheme="minorEastAsia"/>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30.确定成交供应商</w:t>
      </w:r>
    </w:p>
    <w:p>
      <w:pPr>
        <w:pStyle w:val="53"/>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rPr>
        <w:t>30.1采购人应当在收到评审报告后5个工作日内，从评审报告提出的成交候选人中，根据质量和服务均能满足采购文件实质性响应要求且最后报价最低的原则确定成交供应商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eastAsia="宋体" w:cs="宋体"/>
          <w:color w:val="auto"/>
        </w:rPr>
        <w:t>30.2采购</w:t>
      </w:r>
      <w:r>
        <w:rPr>
          <w:rFonts w:ascii="ˎ̥" w:hAnsi="ˎ̥"/>
          <w:color w:val="auto"/>
        </w:rPr>
        <w:t>人逾期未确定成交供应商且不提出异议的，视为确定评审报告提出的最后报价最低的供应商为成交供应商</w:t>
      </w:r>
      <w:r>
        <w:rPr>
          <w:rFonts w:hint="eastAsia" w:ascii="ˎ̥" w:hAnsi="ˎ̥"/>
          <w:color w:val="auto"/>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31.终止采购活动的情形</w:t>
      </w:r>
    </w:p>
    <w:p>
      <w:pPr>
        <w:pStyle w:val="53"/>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3"/>
        <w:numPr>
          <w:ilvl w:val="0"/>
          <w:numId w:val="10"/>
        </w:numPr>
        <w:autoSpaceDE w:val="0"/>
        <w:autoSpaceDN w:val="0"/>
        <w:spacing w:line="360" w:lineRule="auto"/>
        <w:ind w:firstLineChars="0"/>
        <w:contextualSpacing/>
        <w:rPr>
          <w:rFonts w:cs="宋体" w:asciiTheme="minorEastAsia" w:hAnsiTheme="minorEastAsia"/>
          <w:vanish/>
          <w:color w:val="auto"/>
          <w:kern w:val="0"/>
          <w:szCs w:val="21"/>
        </w:rPr>
      </w:pPr>
    </w:p>
    <w:p>
      <w:pPr>
        <w:pStyle w:val="53"/>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pPr>
        <w:pStyle w:val="53"/>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3"/>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pPr>
        <w:pStyle w:val="53"/>
        <w:numPr>
          <w:ilvl w:val="0"/>
          <w:numId w:val="1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成交公告、发出成交通知书</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3"/>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3"/>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3"/>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pStyle w:val="53"/>
        <w:autoSpaceDE w:val="0"/>
        <w:autoSpaceDN w:val="0"/>
        <w:spacing w:line="360" w:lineRule="auto"/>
        <w:contextualSpacing/>
        <w:rPr>
          <w:rFonts w:hint="default" w:cs="宋体" w:asciiTheme="minorEastAsia" w:hAnsiTheme="minorEastAsia"/>
          <w:color w:val="auto"/>
          <w:kern w:val="0"/>
          <w:szCs w:val="21"/>
          <w:lang w:val="en-US"/>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36. 政府采购合同融资</w:t>
      </w:r>
    </w:p>
    <w:p>
      <w:pPr>
        <w:pStyle w:val="53"/>
        <w:numPr>
          <w:ilvl w:val="1"/>
          <w:numId w:val="13"/>
        </w:numPr>
        <w:wordWrap w:val="0"/>
        <w:topLinePunct/>
        <w:autoSpaceDE w:val="0"/>
        <w:autoSpaceDN w:val="0"/>
        <w:adjustRightInd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16"/>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1、本</w:t>
      </w:r>
      <w:r>
        <w:rPr>
          <w:rFonts w:hint="eastAsia" w:cs="仿宋_GB2312" w:asciiTheme="minorEastAsia" w:hAnsiTheme="minorEastAsia"/>
          <w:color w:val="auto"/>
          <w:szCs w:val="21"/>
          <w:lang w:val="zh-CN"/>
        </w:rPr>
        <w:t>项目如为非专门面向中小企业采购的项目，根据财政部、工业和信息化部《政府采购促进中小企业发展管理办法》（财库[2020]46号）、</w:t>
      </w:r>
      <w:r>
        <w:rPr>
          <w:rFonts w:hint="eastAsia" w:cs="仿宋_GB2312" w:asciiTheme="minorEastAsia" w:hAnsiTheme="minorEastAsia"/>
          <w:color w:val="auto"/>
          <w:szCs w:val="21"/>
        </w:rPr>
        <w:t>《关于进一步加大政府采购支持中小企业力度的通知》（财库〔2022〕19号）</w:t>
      </w:r>
      <w:r>
        <w:rPr>
          <w:rFonts w:hint="eastAsia" w:cs="仿宋_GB2312" w:asciiTheme="minorEastAsia" w:hAnsiTheme="minorEastAsia"/>
          <w:color w:val="auto"/>
          <w:szCs w:val="21"/>
          <w:lang w:val="zh-CN"/>
        </w:rPr>
        <w:t>规定，对符合该办法规定的小型和微型企业报价给予</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的扣除，用扣除后的价格参与评审。</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2、在货物采购项目中，供应商提供的货物既有中小企业制造货物，也有大型企业制造货物的，不享受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hint="eastAsia" w:cs="仿宋_GB2312" w:asciiTheme="minorEastAsia" w:hAnsiTheme="minorEastAsia"/>
          <w:color w:val="auto"/>
          <w:szCs w:val="21"/>
        </w:rPr>
        <w:t>规定的中小企业扶持政策。</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5、按照本次采购标的所属行业的划型标准，符合条件的中小企业应按照招标文件格式要求提供《中小企业声明函》，否则不得享受相关中小企业扶持政策。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contextualSpacing/>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pPr>
        <w:pStyle w:val="16"/>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（2）资格审查中所涉及到的证书及材料，均须在电子投标文件中提供原件扫描件（或图片）。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2</w:t>
            </w:r>
          </w:p>
        </w:tc>
        <w:tc>
          <w:tcPr>
            <w:tcW w:w="2410" w:type="dxa"/>
            <w:vAlign w:val="center"/>
          </w:tcPr>
          <w:p>
            <w:pPr>
              <w:spacing w:line="360" w:lineRule="auto"/>
              <w:jc w:val="center"/>
              <w:rPr>
                <w:rFonts w:cs="宋体" w:asciiTheme="minorEastAsia" w:hAnsiTheme="minorEastAsia"/>
                <w:b/>
                <w:bCs w:val="0"/>
                <w:color w:val="auto"/>
                <w:szCs w:val="21"/>
                <w:lang w:val="zh-CN"/>
              </w:rPr>
            </w:pP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w:t>
            </w:r>
          </w:p>
          <w:p>
            <w:pPr>
              <w:spacing w:line="360" w:lineRule="auto"/>
              <w:jc w:val="center"/>
              <w:rPr>
                <w:rFonts w:hint="eastAsia" w:cs="宋体" w:asciiTheme="minorEastAsia" w:hAnsiTheme="minorEastAsia" w:eastAsiaTheme="minorEastAsia"/>
                <w:b/>
                <w:bCs w:val="0"/>
                <w:color w:val="auto"/>
                <w:kern w:val="2"/>
                <w:sz w:val="21"/>
                <w:szCs w:val="21"/>
                <w:lang w:val="zh-CN" w:eastAsia="zh-CN" w:bidi="ar-SA"/>
              </w:rPr>
            </w:pPr>
            <w:r>
              <w:rPr>
                <w:rFonts w:cs="宋体" w:asciiTheme="minorEastAsia" w:hAnsiTheme="minorEastAsia"/>
                <w:b/>
                <w:bCs w:val="0"/>
                <w:color w:val="auto"/>
                <w:szCs w:val="21"/>
                <w:lang w:val="zh-CN"/>
              </w:rPr>
              <w:t>供应商信用承诺函</w:t>
            </w:r>
          </w:p>
        </w:tc>
        <w:tc>
          <w:tcPr>
            <w:tcW w:w="5954" w:type="dxa"/>
            <w:vAlign w:val="center"/>
          </w:tcPr>
          <w:p>
            <w:pPr>
              <w:spacing w:line="360" w:lineRule="auto"/>
              <w:jc w:val="left"/>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3</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供应商须具备的特殊</w:t>
            </w:r>
          </w:p>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资质证书</w:t>
            </w:r>
          </w:p>
        </w:tc>
        <w:tc>
          <w:tcPr>
            <w:tcW w:w="5954" w:type="dxa"/>
            <w:vAlign w:val="center"/>
          </w:tcPr>
          <w:p>
            <w:pPr>
              <w:spacing w:line="360" w:lineRule="auto"/>
              <w:rPr>
                <w:rFonts w:asciiTheme="minorEastAsia" w:hAnsiTheme="minorEastAsia"/>
                <w:bCs/>
                <w:color w:val="auto"/>
                <w:szCs w:val="21"/>
              </w:rPr>
            </w:pPr>
            <w:r>
              <w:rPr>
                <w:rFonts w:hint="eastAsia" w:asciiTheme="minorEastAsia" w:hAnsiTheme="minorEastAsia"/>
                <w:bCs/>
                <w:color w:val="auto"/>
                <w:szCs w:val="21"/>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4</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w:t>
            </w:r>
            <w:r>
              <w:rPr>
                <w:rFonts w:hint="eastAsia" w:cs="仿宋_GB2312" w:asciiTheme="minorEastAsia" w:hAnsiTheme="minorEastAsia"/>
                <w:b/>
                <w:bCs w:val="0"/>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5</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6</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7</w:t>
            </w:r>
          </w:p>
        </w:tc>
        <w:tc>
          <w:tcPr>
            <w:tcW w:w="2410" w:type="dxa"/>
            <w:vAlign w:val="center"/>
          </w:tcPr>
          <w:p>
            <w:pPr>
              <w:spacing w:line="360" w:lineRule="auto"/>
              <w:contextualSpacing/>
              <w:jc w:val="center"/>
              <w:rPr>
                <w:rFonts w:asciiTheme="minorEastAsia" w:hAnsiTheme="minorEastAsia"/>
                <w:b/>
                <w:bCs w:val="0"/>
                <w:color w:val="auto"/>
                <w:szCs w:val="21"/>
              </w:rPr>
            </w:pPr>
            <w:r>
              <w:rPr>
                <w:rFonts w:hint="eastAsia" w:asciiTheme="minorEastAsia" w:hAnsiTheme="minorEastAsia"/>
                <w:b/>
                <w:bCs w:val="0"/>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8</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6"/>
        <w:spacing w:line="360" w:lineRule="auto"/>
        <w:ind w:firstLine="482" w:firstLineChars="200"/>
        <w:contextualSpacing/>
        <w:rPr>
          <w:rFonts w:cs="仿宋_GB2312" w:asciiTheme="minorEastAsia" w:hAnsiTheme="minorEastAsia" w:eastAsiaTheme="minorEastAsia"/>
          <w:b/>
          <w:color w:val="auto"/>
          <w:szCs w:val="24"/>
          <w:lang w:val="zh-CN"/>
        </w:rPr>
      </w:pP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6"/>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6"/>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谈判小组对符合资格的投标人的响应文件进行审查，以确定其是否满足谈判文件的商务、技术等实质性要求。</w:t>
      </w:r>
    </w:p>
    <w:p>
      <w:pPr>
        <w:pStyle w:val="16"/>
        <w:spacing w:line="360" w:lineRule="auto"/>
        <w:ind w:firstLine="480" w:firstLineChars="200"/>
        <w:contextualSpacing/>
        <w:jc w:val="left"/>
        <w:rPr>
          <w:rFonts w:cs="仿宋_GB2312" w:asciiTheme="minorEastAsia" w:hAnsiTheme="minorEastAsia"/>
          <w:color w:val="auto"/>
          <w:sz w:val="21"/>
          <w:szCs w:val="21"/>
          <w:lang w:val="zh-CN"/>
        </w:rPr>
      </w:pPr>
      <w:r>
        <w:rPr>
          <w:rFonts w:hint="eastAsia" w:ascii="楷体" w:hAnsi="楷体" w:eastAsia="楷体" w:cs="仿宋_GB2312"/>
          <w:color w:val="auto"/>
          <w:szCs w:val="24"/>
          <w:lang w:val="zh-CN"/>
        </w:rPr>
        <w:t>注：审查中所涉及到的证书及材料，均应在电子响应文件中提供原件扫描件（或图片）。</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w:t>
      </w:r>
      <w:r>
        <w:rPr>
          <w:rFonts w:hint="eastAsia" w:cs="仿宋_GB2312" w:asciiTheme="minorEastAsia" w:hAnsiTheme="minorEastAsia" w:eastAsiaTheme="minorEastAsia"/>
          <w:b/>
          <w:color w:val="auto"/>
          <w:sz w:val="21"/>
          <w:szCs w:val="21"/>
          <w:lang w:val="zh-CN"/>
        </w:rPr>
        <w:t>供应商</w:t>
      </w:r>
      <w:r>
        <w:rPr>
          <w:rFonts w:cs="仿宋_GB2312" w:asciiTheme="minorEastAsia" w:hAnsiTheme="minorEastAsia" w:eastAsiaTheme="minorEastAsia"/>
          <w:b/>
          <w:color w:val="auto"/>
          <w:sz w:val="21"/>
          <w:szCs w:val="21"/>
          <w:lang w:val="zh-CN"/>
        </w:rPr>
        <w:t>对</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文件有关事项作出澄清或者说明；</w:t>
      </w:r>
    </w:p>
    <w:p>
      <w:pPr>
        <w:pStyle w:val="16"/>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（二）落实政府采购政策及强制性认证</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hint="eastAsia" w:cs="仿宋_GB2312" w:asciiTheme="minorEastAsia" w:hAnsiTheme="minorEastAsia" w:eastAsiaTheme="minorEastAsia"/>
          <w:b/>
          <w:color w:val="auto"/>
          <w:sz w:val="21"/>
          <w:szCs w:val="21"/>
          <w:lang w:val="zh-CN"/>
        </w:rPr>
        <w:t>关于强制性产品认证</w:t>
      </w:r>
    </w:p>
    <w:p>
      <w:pPr>
        <w:pStyle w:val="53"/>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w:t>
      </w:r>
      <w:r>
        <w:rPr>
          <w:rFonts w:hint="eastAsia" w:cs="宋体" w:asciiTheme="minorEastAsia" w:hAnsiTheme="minorEastAsia"/>
          <w:color w:val="auto"/>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（2）供应商所响应产品如被列入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则响应文件中应根据本项目谈判文件“第二章 采购需求”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color w:val="auto"/>
          <w:kern w:val="0"/>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pStyle w:val="16"/>
        <w:spacing w:line="360" w:lineRule="auto"/>
        <w:ind w:firstLine="422"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eastAsiaTheme="minorEastAsia"/>
          <w:b/>
          <w:color w:val="auto"/>
          <w:sz w:val="21"/>
          <w:szCs w:val="21"/>
          <w:lang w:val="zh-CN"/>
        </w:rPr>
        <w:t>（三）</w:t>
      </w:r>
      <w:r>
        <w:rPr>
          <w:rFonts w:cs="仿宋_GB2312" w:asciiTheme="minorEastAsia" w:hAnsiTheme="minorEastAsia" w:eastAsiaTheme="minorEastAsia"/>
          <w:b/>
          <w:color w:val="auto"/>
          <w:sz w:val="21"/>
          <w:szCs w:val="21"/>
          <w:lang w:val="zh-CN"/>
        </w:rPr>
        <w:t>因落实政府采购政策进行价格调整的，以调整后的价格计算报价。</w:t>
      </w:r>
    </w:p>
    <w:p>
      <w:pPr>
        <w:pStyle w:val="16"/>
        <w:spacing w:line="360" w:lineRule="auto"/>
        <w:ind w:firstLine="480" w:firstLineChars="200"/>
        <w:contextualSpacing/>
        <w:rPr>
          <w:rFonts w:ascii="ˎ̥" w:hAnsi="ˎ̥"/>
          <w:color w:val="auto"/>
        </w:rPr>
      </w:pPr>
      <w:r>
        <w:rPr>
          <w:rFonts w:hint="eastAsia" w:ascii="宋体" w:hAnsi="宋体" w:cs="仿宋_GB2312"/>
          <w:color w:val="auto"/>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w:t>
      </w:r>
      <w:r>
        <w:rPr>
          <w:rFonts w:ascii="ˎ̥" w:hAnsi="ˎ̥"/>
          <w:color w:val="auto"/>
          <w:sz w:val="21"/>
          <w:szCs w:val="21"/>
        </w:rPr>
        <w:t>规定的小微企业报价</w:t>
      </w:r>
      <w:r>
        <w:rPr>
          <w:rFonts w:hint="eastAsia" w:ascii="ˎ̥" w:hAnsi="ˎ̥"/>
          <w:color w:val="auto"/>
          <w:sz w:val="21"/>
          <w:szCs w:val="21"/>
        </w:rPr>
        <w:t>给予5%的扣除，用扣除后的价格参与评审。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小型和微型企业不包含民办非企业单位。</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（2）</w:t>
      </w:r>
      <w:r>
        <w:rPr>
          <w:rFonts w:hint="eastAsia" w:cs="仿宋_GB2312" w:asciiTheme="minorEastAsia" w:hAnsiTheme="minorEastAsia"/>
          <w:color w:val="auto"/>
          <w:szCs w:val="21"/>
          <w:lang w:val="zh-CN"/>
        </w:rPr>
        <w:t>监狱企业视同小型、微型企业，对监狱企业价格给予</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auto"/>
          <w:sz w:val="21"/>
          <w:szCs w:val="21"/>
        </w:rPr>
      </w:pPr>
      <w:r>
        <w:rPr>
          <w:rFonts w:hint="eastAsia" w:ascii="宋体" w:hAnsi="宋体" w:cs="仿宋_GB2312"/>
          <w:color w:val="auto"/>
          <w:sz w:val="21"/>
          <w:szCs w:val="21"/>
          <w:lang w:val="zh-CN"/>
        </w:rPr>
        <w:t>（3）</w:t>
      </w:r>
      <w:r>
        <w:rPr>
          <w:rFonts w:hint="eastAsia" w:cs="仿宋_GB2312" w:asciiTheme="minorEastAsia" w:hAnsiTheme="minorEastAsia" w:eastAsiaTheme="minorEastAsia"/>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 w:val="21"/>
          <w:szCs w:val="21"/>
        </w:rPr>
        <w:t>5</w:t>
      </w:r>
      <w:r>
        <w:rPr>
          <w:rFonts w:hint="eastAsia" w:cs="仿宋_GB2312" w:asciiTheme="minorEastAsia" w:hAnsiTheme="minorEastAsia" w:eastAsiaTheme="minorEastAsia"/>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落实政府采购政策计算报价</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540"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693"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977"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540" w:type="dxa"/>
            <w:vAlign w:val="center"/>
          </w:tcPr>
          <w:p>
            <w:pPr>
              <w:jc w:val="center"/>
              <w:rPr>
                <w:rFonts w:ascii="宋体" w:hAnsi="宋体"/>
                <w:b/>
                <w:color w:val="auto"/>
                <w:szCs w:val="21"/>
                <w:lang w:val="en-GB"/>
              </w:rPr>
            </w:pPr>
            <w:r>
              <w:rPr>
                <w:rFonts w:hint="eastAsia" w:ascii="宋体" w:hAnsi="宋体"/>
                <w:color w:val="auto"/>
                <w:szCs w:val="21"/>
                <w:lang w:val="en-GB"/>
              </w:rPr>
              <w:t>非联合体供应商</w:t>
            </w:r>
          </w:p>
        </w:tc>
        <w:tc>
          <w:tcPr>
            <w:tcW w:w="2693"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lang w:val="en-US" w:eastAsia="zh-CN"/>
              </w:rPr>
              <w:t xml:space="preserve">  </w:t>
            </w:r>
            <w:r>
              <w:rPr>
                <w:rFonts w:hint="eastAsia" w:ascii="宋体" w:hAnsi="宋体"/>
                <w:color w:val="auto"/>
                <w:szCs w:val="21"/>
              </w:rPr>
              <w:t>%</w:t>
            </w:r>
          </w:p>
        </w:tc>
        <w:tc>
          <w:tcPr>
            <w:tcW w:w="2977" w:type="dxa"/>
            <w:vMerge w:val="restart"/>
            <w:shd w:val="clear" w:color="auto" w:fill="auto"/>
            <w:vAlign w:val="center"/>
          </w:tcPr>
          <w:p>
            <w:pPr>
              <w:jc w:val="center"/>
              <w:rPr>
                <w:color w:val="auto"/>
                <w:szCs w:val="21"/>
                <w:lang w:val="en-GB"/>
              </w:rPr>
            </w:pPr>
            <w:r>
              <w:rPr>
                <w:rFonts w:hint="eastAsia"/>
                <w:color w:val="auto"/>
                <w:szCs w:val="21"/>
                <w:lang w:val="en-GB"/>
              </w:rPr>
              <w:t>评审价格＝响应报价—</w:t>
            </w:r>
            <w:r>
              <w:rPr>
                <w:rFonts w:hint="eastAsia"/>
                <w:color w:val="auto"/>
                <w:szCs w:val="21"/>
              </w:rPr>
              <w:t>小型和微型企业产品的价格</w:t>
            </w:r>
            <w:r>
              <w:rPr>
                <w:rFonts w:hint="eastAsia" w:ascii="宋体" w:hAnsi="宋体"/>
                <w:color w:val="auto"/>
                <w:szCs w:val="21"/>
                <w:lang w:val="en-GB"/>
              </w:rPr>
              <w:t>×</w:t>
            </w:r>
            <w:r>
              <w:rPr>
                <w:rFonts w:hint="eastAsia" w:ascii="宋体" w:hAnsi="宋体"/>
                <w:color w:val="auto"/>
                <w:szCs w:val="21"/>
                <w:u w:val="single"/>
                <w:lang w:val="en-US" w:eastAsia="zh-CN"/>
              </w:rPr>
              <w:t xml:space="preserve">  </w:t>
            </w:r>
            <w:r>
              <w:rPr>
                <w:rFonts w:hint="eastAsia"/>
                <w:color w:val="auto"/>
                <w:szCs w:val="21"/>
                <w:lang w:val="en-GB"/>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540"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693"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lang w:val="en-US" w:eastAsia="zh-CN"/>
              </w:rPr>
              <w:t xml:space="preserve">  </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977"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对联合体或者大中型企业的报价扣除</w:t>
            </w:r>
            <w:r>
              <w:rPr>
                <w:rFonts w:hint="eastAsia" w:ascii="宋体" w:hAnsi="宋体"/>
                <w:color w:val="auto"/>
                <w:szCs w:val="21"/>
                <w:u w:val="single"/>
                <w:lang w:val="en-US" w:eastAsia="zh-CN"/>
              </w:rPr>
              <w:t xml:space="preserve">  </w:t>
            </w:r>
            <w:r>
              <w:rPr>
                <w:rFonts w:hint="eastAsia" w:ascii="宋体" w:hAnsi="宋体"/>
                <w:color w:val="auto"/>
                <w:szCs w:val="21"/>
                <w:lang w:val="en-GB"/>
              </w:rPr>
              <w:t>%</w:t>
            </w:r>
          </w:p>
        </w:tc>
        <w:tc>
          <w:tcPr>
            <w:tcW w:w="2977"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评审价格＝响应报价×</w:t>
            </w:r>
            <w:r>
              <w:rPr>
                <w:rFonts w:hint="eastAsia" w:ascii="宋体" w:hAnsi="宋体"/>
                <w:color w:val="auto"/>
                <w:szCs w:val="21"/>
              </w:rPr>
              <w:t>(1-</w:t>
            </w:r>
            <w:r>
              <w:rPr>
                <w:rFonts w:hint="eastAsia" w:ascii="宋体" w:hAnsi="宋体"/>
                <w:color w:val="auto"/>
                <w:szCs w:val="21"/>
                <w:u w:val="single"/>
                <w:lang w:val="en-US" w:eastAsia="zh-CN"/>
              </w:rPr>
              <w:t xml:space="preserve"> </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hint="eastAsia" w:ascii="宋体" w:hAnsi="宋体"/>
                <w:color w:val="auto"/>
                <w:szCs w:val="21"/>
                <w:u w:val="single"/>
                <w:lang w:val="en-US" w:eastAsia="zh-CN"/>
              </w:rPr>
              <w:t xml:space="preserve">   </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lang w:val="en-GB"/>
              </w:rPr>
            </w:pPr>
            <w:r>
              <w:rPr>
                <w:rFonts w:hint="eastAsia"/>
                <w:color w:val="auto"/>
                <w:szCs w:val="21"/>
                <w:lang w:val="en-GB"/>
              </w:rPr>
              <w:t>评审价格＝响应报价—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u w:val="single"/>
                <w:lang w:val="en-US" w:eastAsia="zh-CN"/>
              </w:rPr>
              <w:t xml:space="preserve">  </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hint="eastAsia" w:ascii="宋体" w:hAnsi="宋体"/>
                <w:color w:val="auto"/>
                <w:szCs w:val="21"/>
                <w:u w:val="single"/>
                <w:lang w:val="en-US" w:eastAsia="zh-CN"/>
              </w:rPr>
              <w:t xml:space="preserve">   </w:t>
            </w:r>
            <w:r>
              <w:rPr>
                <w:rFonts w:hint="eastAsia" w:ascii="宋体" w:hAnsi="宋体"/>
                <w:color w:val="auto"/>
                <w:szCs w:val="21"/>
              </w:rPr>
              <w:t>%</w:t>
            </w:r>
          </w:p>
        </w:tc>
        <w:tc>
          <w:tcPr>
            <w:tcW w:w="2977" w:type="dxa"/>
            <w:shd w:val="clear" w:color="auto" w:fill="auto"/>
            <w:vAlign w:val="center"/>
          </w:tcPr>
          <w:p>
            <w:pPr>
              <w:jc w:val="center"/>
              <w:rPr>
                <w:color w:val="auto"/>
                <w:szCs w:val="21"/>
                <w:lang w:val="en-GB"/>
              </w:rPr>
            </w:pPr>
            <w:r>
              <w:rPr>
                <w:rFonts w:hint="eastAsia"/>
                <w:color w:val="auto"/>
                <w:szCs w:val="21"/>
                <w:lang w:val="en-GB"/>
              </w:rPr>
              <w:t>评审价格＝响应报价—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u w:val="single"/>
                <w:lang w:val="en-US" w:eastAsia="zh-CN"/>
              </w:rPr>
              <w:t xml:space="preserve">  </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color w:val="auto"/>
                <w:lang w:val="zh-CN"/>
              </w:rPr>
            </w:pPr>
            <w:r>
              <w:rPr>
                <w:rFonts w:hint="eastAsia"/>
                <w:color w:val="auto"/>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hint="eastAsia"/>
                <w:color w:val="auto"/>
                <w:lang w:val="zh-CN"/>
              </w:rPr>
            </w:pPr>
            <w:r>
              <w:rPr>
                <w:rFonts w:hint="eastAsia"/>
                <w:color w:val="auto"/>
                <w:lang w:val="zh-CN"/>
              </w:rPr>
              <w:t>2、</w:t>
            </w:r>
            <w:r>
              <w:rPr>
                <w:color w:val="auto"/>
                <w:lang w:val="zh-CN"/>
              </w:rPr>
              <w:t>经</w:t>
            </w:r>
            <w:r>
              <w:rPr>
                <w:rFonts w:hint="eastAsia"/>
                <w:color w:val="auto"/>
                <w:lang w:val="zh-CN"/>
              </w:rPr>
              <w:t>谈判小组审查、评价</w:t>
            </w:r>
            <w:r>
              <w:rPr>
                <w:color w:val="auto"/>
                <w:lang w:val="zh-CN"/>
              </w:rPr>
              <w:t>，</w:t>
            </w:r>
            <w:r>
              <w:rPr>
                <w:rFonts w:hint="eastAsia"/>
                <w:b w:val="0"/>
                <w:bCs w:val="0"/>
                <w:color w:val="auto"/>
                <w:lang w:val="zh-CN"/>
              </w:rPr>
              <w:t>响应文件符合谈判文件实质性</w:t>
            </w:r>
            <w:r>
              <w:rPr>
                <w:b w:val="0"/>
                <w:bCs w:val="0"/>
                <w:color w:val="auto"/>
                <w:lang w:val="zh-CN"/>
              </w:rPr>
              <w:t>要求且</w:t>
            </w:r>
            <w:r>
              <w:rPr>
                <w:rFonts w:hint="eastAsia"/>
                <w:b w:val="0"/>
                <w:bCs w:val="0"/>
                <w:color w:val="auto"/>
                <w:lang w:val="zh-CN"/>
              </w:rPr>
              <w:t>进行了政策性价格扣除后，</w:t>
            </w:r>
            <w:r>
              <w:rPr>
                <w:b w:val="0"/>
                <w:bCs w:val="0"/>
                <w:color w:val="auto"/>
                <w:lang w:val="zh-CN"/>
              </w:rPr>
              <w:t>以</w:t>
            </w:r>
            <w:r>
              <w:rPr>
                <w:rFonts w:hint="eastAsia"/>
                <w:b w:val="0"/>
                <w:bCs w:val="0"/>
                <w:color w:val="auto"/>
                <w:lang w:val="zh-CN"/>
              </w:rPr>
              <w:t>评审价格由低到高的顺序提出</w:t>
            </w:r>
            <w:r>
              <w:rPr>
                <w:b w:val="0"/>
                <w:bCs w:val="0"/>
                <w:color w:val="auto"/>
                <w:lang w:val="zh-CN"/>
              </w:rPr>
              <w:t>3</w:t>
            </w:r>
            <w:r>
              <w:rPr>
                <w:rFonts w:hint="eastAsia"/>
                <w:b w:val="0"/>
                <w:bCs w:val="0"/>
                <w:color w:val="auto"/>
                <w:lang w:val="zh-CN"/>
              </w:rPr>
              <w:t>名成交候选人。</w:t>
            </w:r>
          </w:p>
          <w:p>
            <w:pPr>
              <w:pStyle w:val="25"/>
              <w:ind w:firstLine="420" w:firstLineChars="200"/>
              <w:rPr>
                <w:rFonts w:hint="eastAsia" w:eastAsia="宋体"/>
                <w:color w:val="auto"/>
                <w:lang w:val="en-US" w:eastAsia="zh-CN"/>
              </w:rPr>
            </w:pPr>
            <w:r>
              <w:rPr>
                <w:rFonts w:hint="eastAsia" w:asciiTheme="minorHAnsi" w:hAnsiTheme="minorHAnsi" w:eastAsiaTheme="minorEastAsia" w:cstheme="minorBidi"/>
                <w:b w:val="0"/>
                <w:bCs w:val="0"/>
                <w:color w:val="auto"/>
                <w:kern w:val="2"/>
                <w:sz w:val="21"/>
                <w:szCs w:val="22"/>
                <w:lang w:val="en-US" w:eastAsia="zh-CN" w:bidi="ar-SA"/>
              </w:rPr>
              <w:t>3、因本项目为专门面向中小企业采购，不享受价格折扣。</w:t>
            </w:r>
          </w:p>
        </w:tc>
      </w:tr>
    </w:tbl>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auto"/>
          <w:szCs w:val="21"/>
          <w:lang w:val="en-GB"/>
        </w:rPr>
      </w:pPr>
      <w:r>
        <w:rPr>
          <w:rFonts w:hint="eastAsia" w:cs="仿宋_GB2312" w:asciiTheme="minorEastAsia" w:hAnsiTheme="minorEastAsia"/>
          <w:color w:val="auto"/>
          <w:szCs w:val="21"/>
          <w:lang w:val="zh-CN"/>
        </w:rPr>
        <w:t>d、残疾人福利性单位属于小型、微型企业的，不重复享受政策。</w:t>
      </w:r>
    </w:p>
    <w:p>
      <w:pPr>
        <w:spacing w:line="360" w:lineRule="auto"/>
        <w:ind w:firstLine="420" w:firstLineChars="200"/>
        <w:rPr>
          <w:rFonts w:cs="仿宋_GB2312" w:asciiTheme="minorEastAsia" w:hAnsiTheme="minorEastAsia"/>
          <w:color w:val="auto"/>
          <w:szCs w:val="21"/>
          <w:lang w:val="zh-CN"/>
        </w:rPr>
      </w:pPr>
      <w:r>
        <w:rPr>
          <w:rFonts w:cs="仿宋_GB2312" w:asciiTheme="minorEastAsia" w:hAnsiTheme="minorEastAsia"/>
          <w:color w:val="auto"/>
          <w:szCs w:val="21"/>
          <w:lang w:val="zh-CN"/>
        </w:rPr>
        <w:t>E</w:t>
      </w:r>
      <w:r>
        <w:rPr>
          <w:rFonts w:hint="eastAsia" w:cs="仿宋_GB2312" w:asciiTheme="minorEastAsia" w:hAnsiTheme="minorEastAsia"/>
          <w:color w:val="auto"/>
          <w:szCs w:val="21"/>
          <w:lang w:val="zh-CN"/>
        </w:rPr>
        <w:t>、小型和微型企业不包括民办非企业单位。</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四、评审方法</w:t>
      </w:r>
    </w:p>
    <w:p>
      <w:pPr>
        <w:pStyle w:val="16"/>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lang w:val="zh-CN"/>
        </w:rPr>
        <w:t>3</w:t>
      </w:r>
      <w:r>
        <w:rPr>
          <w:rFonts w:hint="eastAsia" w:cs="仿宋_GB2312" w:asciiTheme="minorEastAsia" w:hAnsiTheme="minorEastAsia" w:eastAsiaTheme="minorEastAsia"/>
          <w:color w:val="auto"/>
          <w:sz w:val="21"/>
          <w:szCs w:val="21"/>
          <w:lang w:val="zh-CN"/>
        </w:rPr>
        <w:t>名成交候选人。根据规定</w:t>
      </w:r>
      <w:r>
        <w:rPr>
          <w:rFonts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lang w:val="zh-CN"/>
        </w:rPr>
        <w:t>采购人按照成交候选人排名顺序确定成交供应商。</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五、谈判小组编写评审报告。</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6"/>
        <w:spacing w:line="360" w:lineRule="auto"/>
        <w:contextualSpacing/>
        <w:rPr>
          <w:rFonts w:cs="仿宋_GB2312" w:asciiTheme="minorEastAsia" w:hAnsiTheme="minorEastAsia" w:eastAsiaTheme="minorEastAsia"/>
          <w:b/>
          <w:color w:val="auto"/>
          <w:sz w:val="21"/>
          <w:szCs w:val="21"/>
          <w:lang w:val="zh-CN"/>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pStyle w:val="16"/>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最终签定合同的主要条款不能与谈判文件有冲突）</w:t>
      </w:r>
    </w:p>
    <w:p>
      <w:pPr>
        <w:pStyle w:val="24"/>
        <w:spacing w:before="75" w:after="75" w:line="360" w:lineRule="auto"/>
        <w:rPr>
          <w:rFonts w:ascii="宋体" w:hAnsi="宋体" w:eastAsia="微软雅黑"/>
          <w:color w:val="auto"/>
          <w:u w:val="single"/>
        </w:rPr>
      </w:pP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p>
    <w:p>
      <w:pPr>
        <w:pStyle w:val="24"/>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、乙方的投标文件；</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、乙方投标文件的规定或约定，具体如下：</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、乙方投标文件的规定或约定进行，具体如下：</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w:t>
      </w:r>
      <w:r>
        <w:rPr>
          <w:rFonts w:hint="eastAsia" w:asciiTheme="minorEastAsia" w:hAnsiTheme="minorEastAsia" w:eastAsiaTheme="minorEastAsia"/>
          <w:color w:val="auto"/>
          <w:sz w:val="21"/>
          <w:szCs w:val="21"/>
        </w:rPr>
        <w:t>供应商</w:t>
      </w:r>
      <w:r>
        <w:rPr>
          <w:rFonts w:asciiTheme="minorEastAsia" w:hAnsiTheme="minorEastAsia" w:eastAsiaTheme="minorEastAsia"/>
          <w:color w:val="auto"/>
          <w:sz w:val="21"/>
          <w:szCs w:val="21"/>
        </w:rPr>
        <w:t>参与验收：</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的规定进行，具体如下：</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第五章已有规定的，双方均不得变更或调整；</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第五章未作规定的，双方可通过友好协商进行约定）</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4"/>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4"/>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6"/>
        <w:spacing w:line="360" w:lineRule="auto"/>
        <w:contextualSpacing/>
        <w:jc w:val="both"/>
        <w:rPr>
          <w:rFonts w:hint="eastAsia"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rPr>
      </w:pPr>
      <w:r>
        <w:rPr>
          <w:rFonts w:hint="eastAsia" w:cs="宋体" w:asciiTheme="majorEastAsia" w:hAnsiTheme="majorEastAsia" w:eastAsiaTheme="majorEastAsia"/>
          <w:b/>
          <w:color w:val="auto"/>
          <w:kern w:val="0"/>
          <w:sz w:val="24"/>
          <w:szCs w:val="24"/>
        </w:rPr>
        <w:t>（如涉及本项目的提供）</w:t>
      </w:r>
    </w:p>
    <w:p>
      <w:pPr>
        <w:spacing w:line="480" w:lineRule="exact"/>
        <w:ind w:firstLine="540" w:firstLineChars="192"/>
        <w:rPr>
          <w:rFonts w:ascii="宋体" w:hAnsi="宋体" w:eastAsia="宋体" w:cs="黑体"/>
          <w:b/>
          <w:color w:val="auto"/>
          <w:kern w:val="0"/>
          <w:sz w:val="28"/>
          <w:szCs w:val="28"/>
        </w:rPr>
      </w:pPr>
      <w:r>
        <w:rPr>
          <w:rFonts w:hint="eastAsia" w:ascii="宋体" w:hAnsi="宋体" w:eastAsia="宋体" w:cs="黑体"/>
          <w:b/>
          <w:color w:val="auto"/>
          <w:kern w:val="0"/>
          <w:sz w:val="28"/>
          <w:szCs w:val="28"/>
        </w:rPr>
        <w:t>注：</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1.以下的响应文件格式为通用的格式，投标人在制作响应文件时应以谈判文件内容要求为准，选择相应的响应文件格式。</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2.没有给定格式的，投标人可以自行设计。</w:t>
      </w: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rPr>
          <w:color w:val="auto"/>
          <w:lang w:val="zh-CN"/>
        </w:rPr>
      </w:pPr>
      <w:r>
        <w:rPr>
          <w:rFonts w:cs="黑体" w:asciiTheme="minorEastAsia" w:hAnsiTheme="minorEastAsia"/>
          <w:b/>
          <w:bCs/>
          <w:color w:val="auto"/>
          <w:sz w:val="44"/>
          <w:szCs w:val="44"/>
          <w:lang w:val="zh-CN"/>
        </w:rPr>
        <w:br w:type="page"/>
      </w:r>
    </w:p>
    <w:p>
      <w:pPr>
        <w:pStyle w:val="34"/>
        <w:rPr>
          <w:lang w:val="zh-CN"/>
        </w:rPr>
      </w:pPr>
    </w:p>
    <w:p>
      <w:pPr>
        <w:spacing w:line="360" w:lineRule="auto"/>
        <w:jc w:val="center"/>
        <w:rPr>
          <w:rFonts w:ascii="宋体" w:hAnsi="宋体"/>
          <w:b/>
          <w:sz w:val="36"/>
          <w:szCs w:val="36"/>
        </w:rPr>
      </w:pPr>
      <w:r>
        <w:rPr>
          <w:rFonts w:hint="eastAsia" w:ascii="宋体" w:hAnsi="宋体"/>
          <w:b/>
          <w:sz w:val="36"/>
          <w:szCs w:val="36"/>
          <w:u w:val="single"/>
        </w:rPr>
        <w:t xml:space="preserve">                   （项目名称）  </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72"/>
          <w:szCs w:val="72"/>
        </w:rPr>
      </w:pPr>
      <w:r>
        <w:rPr>
          <w:rFonts w:hint="eastAsia" w:ascii="宋体" w:hAnsi="宋体"/>
          <w:b/>
          <w:sz w:val="72"/>
          <w:szCs w:val="72"/>
        </w:rPr>
        <w:t xml:space="preserve">谈 判 响 应 文 件 </w:t>
      </w:r>
    </w:p>
    <w:p>
      <w:pPr>
        <w:spacing w:line="360" w:lineRule="auto"/>
        <w:jc w:val="center"/>
        <w:rPr>
          <w:rFonts w:ascii="宋体" w:hAnsi="宋体" w:cs="Lucida Sans Unicode"/>
          <w:b/>
          <w:sz w:val="36"/>
          <w:szCs w:val="36"/>
        </w:rPr>
      </w:pPr>
    </w:p>
    <w:p>
      <w:pPr>
        <w:pStyle w:val="5"/>
        <w:numPr>
          <w:ilvl w:val="0"/>
          <w:numId w:val="0"/>
        </w:numPr>
        <w:ind w:firstLine="2627" w:firstLineChars="727"/>
        <w:rPr>
          <w:rFonts w:ascii="宋体" w:hAnsi="宋体"/>
          <w:sz w:val="36"/>
          <w:szCs w:val="36"/>
        </w:rPr>
      </w:pPr>
      <w:r>
        <w:rPr>
          <w:rFonts w:hint="eastAsia" w:ascii="宋体" w:hAnsi="宋体"/>
          <w:sz w:val="36"/>
          <w:szCs w:val="36"/>
        </w:rPr>
        <w:t>项目编号：</w:t>
      </w: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spacing w:line="360" w:lineRule="auto"/>
        <w:rPr>
          <w:rFonts w:ascii="宋体" w:hAnsi="宋体"/>
          <w:b/>
          <w:sz w:val="36"/>
          <w:szCs w:val="36"/>
        </w:rPr>
      </w:pPr>
    </w:p>
    <w:p>
      <w:pPr>
        <w:spacing w:line="360" w:lineRule="auto"/>
        <w:ind w:firstLine="1261" w:firstLineChars="349"/>
        <w:rPr>
          <w:rFonts w:ascii="宋体" w:hAnsi="宋体"/>
          <w:b/>
          <w:sz w:val="36"/>
          <w:szCs w:val="36"/>
        </w:rPr>
      </w:pPr>
      <w:r>
        <w:rPr>
          <w:rFonts w:hint="eastAsia" w:ascii="宋体" w:hAnsi="宋体"/>
          <w:b/>
          <w:sz w:val="36"/>
          <w:szCs w:val="36"/>
        </w:rPr>
        <w:t>供 应 商：</w:t>
      </w:r>
      <w:r>
        <w:rPr>
          <w:rFonts w:hint="eastAsia" w:ascii="宋体" w:hAnsi="宋体"/>
          <w:bCs/>
          <w:sz w:val="36"/>
          <w:szCs w:val="36"/>
          <w:u w:val="single"/>
        </w:rPr>
        <w:t xml:space="preserve">                  </w:t>
      </w:r>
      <w:r>
        <w:rPr>
          <w:rFonts w:hint="eastAsia" w:ascii="宋体" w:hAnsi="宋体"/>
          <w:b/>
          <w:sz w:val="36"/>
          <w:szCs w:val="36"/>
        </w:rPr>
        <w:t>（加盖公章）</w:t>
      </w:r>
    </w:p>
    <w:p>
      <w:pPr>
        <w:spacing w:line="360" w:lineRule="auto"/>
        <w:ind w:firstLine="1261" w:firstLineChars="349"/>
        <w:rPr>
          <w:rFonts w:ascii="宋体" w:hAnsi="宋体"/>
          <w:b/>
          <w:sz w:val="36"/>
          <w:szCs w:val="36"/>
          <w:u w:val="single"/>
        </w:rPr>
      </w:pPr>
      <w:r>
        <w:rPr>
          <w:rFonts w:hint="eastAsia" w:ascii="宋体" w:hAnsi="宋体"/>
          <w:b/>
          <w:sz w:val="36"/>
          <w:szCs w:val="36"/>
        </w:rPr>
        <w:t>法定代表人或其委托代理人（签字）：</w:t>
      </w:r>
      <w:r>
        <w:rPr>
          <w:rFonts w:hint="eastAsia" w:ascii="宋体" w:hAnsi="宋体"/>
          <w:b/>
          <w:sz w:val="36"/>
          <w:szCs w:val="36"/>
          <w:u w:val="single"/>
        </w:rPr>
        <w:t xml:space="preserve">      </w:t>
      </w:r>
    </w:p>
    <w:p>
      <w:pPr>
        <w:spacing w:line="360" w:lineRule="auto"/>
        <w:ind w:firstLine="1261" w:firstLineChars="349"/>
        <w:rPr>
          <w:rFonts w:ascii="宋体" w:hAnsi="宋体" w:cs="Lucida Sans Unicode"/>
          <w:b/>
          <w:sz w:val="36"/>
          <w:szCs w:val="36"/>
        </w:rPr>
      </w:pPr>
      <w:r>
        <w:rPr>
          <w:rFonts w:hint="eastAsia" w:ascii="宋体" w:hAnsi="宋体" w:cs="Lucida Sans Unicode"/>
          <w:b/>
          <w:sz w:val="36"/>
          <w:szCs w:val="36"/>
        </w:rPr>
        <w:t>时    间：     年   月   日</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sz w:val="44"/>
          <w:szCs w:val="44"/>
          <w:lang w:val="zh-CN"/>
        </w:rPr>
      </w:pPr>
      <w:r>
        <w:rPr>
          <w:rFonts w:hint="eastAsia" w:ascii="宋体" w:hAnsi="宋体" w:eastAsia="宋体" w:cs="黑体"/>
          <w:b/>
          <w:bCs/>
          <w:sz w:val="44"/>
          <w:szCs w:val="44"/>
          <w:lang w:val="zh-CN"/>
        </w:rPr>
        <w:t>目</w:t>
      </w:r>
      <w:r>
        <w:rPr>
          <w:rFonts w:hint="eastAsia" w:ascii="宋体" w:hAnsi="宋体" w:eastAsia="宋体" w:cs="黑体"/>
          <w:b/>
          <w:bCs/>
          <w:sz w:val="44"/>
          <w:szCs w:val="44"/>
        </w:rPr>
        <w:t xml:space="preserve"> </w:t>
      </w:r>
      <w:r>
        <w:rPr>
          <w:rFonts w:hint="eastAsia" w:ascii="宋体" w:hAnsi="宋体" w:eastAsia="宋体" w:cs="黑体"/>
          <w:b/>
          <w:bCs/>
          <w:sz w:val="44"/>
          <w:szCs w:val="44"/>
          <w:lang w:val="zh-CN"/>
        </w:rPr>
        <w:t>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sz w:val="32"/>
          <w:szCs w:val="32"/>
          <w:lang w:val="zh-CN"/>
        </w:rPr>
      </w:pP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一、投标人应答索引表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二、第一次报价一览表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五、</w:t>
      </w:r>
      <w:r>
        <w:rPr>
          <w:rFonts w:ascii="宋体" w:hAnsi="宋体" w:cs="黑体"/>
          <w:b/>
          <w:bCs/>
          <w:sz w:val="32"/>
          <w:szCs w:val="32"/>
          <w:lang w:val="zh-CN"/>
        </w:rPr>
        <w:t>其他资料（若有）</w:t>
      </w:r>
    </w:p>
    <w:p>
      <w:pPr>
        <w:pStyle w:val="34"/>
        <w:rPr>
          <w:color w:val="auto"/>
          <w:lang w:val="zh-CN"/>
        </w:rPr>
      </w:pPr>
    </w:p>
    <w:p>
      <w:pPr>
        <w:pStyle w:val="34"/>
        <w:rPr>
          <w:color w:val="auto"/>
          <w:lang w:val="zh-CN"/>
        </w:rPr>
      </w:pPr>
    </w:p>
    <w:p>
      <w:pPr>
        <w:pStyle w:val="34"/>
        <w:rPr>
          <w:color w:val="auto"/>
          <w:lang w:val="zh-CN"/>
        </w:rPr>
      </w:pPr>
    </w:p>
    <w:p>
      <w:pPr>
        <w:pStyle w:val="34"/>
        <w:rPr>
          <w:color w:val="auto"/>
          <w:lang w:val="zh-CN"/>
        </w:rPr>
      </w:pPr>
    </w:p>
    <w:p>
      <w:pPr>
        <w:pStyle w:val="34"/>
        <w:rPr>
          <w:color w:val="auto"/>
          <w:lang w:val="zh-CN"/>
        </w:rPr>
      </w:pPr>
    </w:p>
    <w:p>
      <w:pPr>
        <w:pStyle w:val="34"/>
        <w:rPr>
          <w:color w:val="auto"/>
          <w:lang w:val="zh-CN"/>
        </w:rPr>
      </w:pPr>
    </w:p>
    <w:p>
      <w:pPr>
        <w:pStyle w:val="34"/>
        <w:rPr>
          <w:color w:val="auto"/>
          <w:lang w:val="zh-CN"/>
        </w:rPr>
      </w:pPr>
    </w:p>
    <w:p>
      <w:pPr>
        <w:pStyle w:val="34"/>
        <w:rPr>
          <w:color w:val="auto"/>
          <w:lang w:val="zh-CN"/>
        </w:rPr>
      </w:pPr>
    </w:p>
    <w:p>
      <w:pPr>
        <w:pStyle w:val="34"/>
        <w:rPr>
          <w:color w:val="auto"/>
          <w:lang w:val="zh-CN"/>
        </w:rPr>
      </w:pPr>
    </w:p>
    <w:p>
      <w:pPr>
        <w:pStyle w:val="34"/>
        <w:rPr>
          <w:color w:val="auto"/>
          <w:lang w:val="zh-CN"/>
        </w:rPr>
      </w:pPr>
    </w:p>
    <w:p>
      <w:pPr>
        <w:pStyle w:val="34"/>
        <w:rPr>
          <w:color w:val="auto"/>
          <w:lang w:val="zh-CN"/>
        </w:rPr>
      </w:pPr>
    </w:p>
    <w:p>
      <w:pPr>
        <w:pStyle w:val="34"/>
        <w:rPr>
          <w:color w:val="auto"/>
          <w:lang w:val="zh-CN"/>
        </w:rPr>
      </w:pPr>
    </w:p>
    <w:p>
      <w:pPr>
        <w:pStyle w:val="34"/>
        <w:rPr>
          <w:color w:val="auto"/>
          <w:lang w:val="zh-CN"/>
        </w:rPr>
      </w:pPr>
    </w:p>
    <w:p>
      <w:pPr>
        <w:pStyle w:val="34"/>
        <w:rPr>
          <w:color w:val="auto"/>
          <w:lang w:val="zh-CN"/>
        </w:rPr>
      </w:pPr>
    </w:p>
    <w:p>
      <w:pPr>
        <w:pStyle w:val="34"/>
        <w:rPr>
          <w:color w:val="auto"/>
          <w:lang w:val="zh-CN"/>
        </w:rPr>
      </w:pPr>
    </w:p>
    <w:p>
      <w:pPr>
        <w:pStyle w:val="34"/>
        <w:rPr>
          <w:color w:val="auto"/>
          <w:lang w:val="zh-CN"/>
        </w:rPr>
      </w:pPr>
    </w:p>
    <w:p>
      <w:pPr>
        <w:pStyle w:val="34"/>
        <w:rPr>
          <w:color w:val="auto"/>
          <w:lang w:val="zh-CN"/>
        </w:rPr>
      </w:pPr>
    </w:p>
    <w:p>
      <w:pPr>
        <w:pStyle w:val="34"/>
        <w:rPr>
          <w:color w:val="auto"/>
          <w:lang w:val="zh-CN"/>
        </w:rPr>
      </w:pPr>
    </w:p>
    <w:p>
      <w:pPr>
        <w:pStyle w:val="34"/>
        <w:rPr>
          <w:color w:val="auto"/>
          <w:lang w:val="zh-CN"/>
        </w:rPr>
      </w:pPr>
    </w:p>
    <w:p>
      <w:pPr>
        <w:pStyle w:val="34"/>
        <w:rPr>
          <w:color w:val="auto"/>
          <w:lang w:val="zh-CN"/>
        </w:rPr>
      </w:pPr>
    </w:p>
    <w:p>
      <w:pPr>
        <w:pStyle w:val="34"/>
        <w:rPr>
          <w:color w:val="auto"/>
          <w:lang w:val="zh-CN"/>
        </w:rPr>
      </w:pPr>
    </w:p>
    <w:p>
      <w:pPr>
        <w:pStyle w:val="34"/>
        <w:rPr>
          <w:color w:val="auto"/>
          <w:lang w:val="zh-CN"/>
        </w:rPr>
      </w:pPr>
    </w:p>
    <w:p>
      <w:pPr>
        <w:pStyle w:val="34"/>
        <w:rPr>
          <w:color w:val="auto"/>
          <w:lang w:val="zh-CN"/>
        </w:rPr>
      </w:pPr>
    </w:p>
    <w:p>
      <w:pPr>
        <w:pStyle w:val="34"/>
        <w:rPr>
          <w:color w:val="auto"/>
          <w:lang w:val="zh-CN"/>
        </w:rPr>
      </w:pPr>
    </w:p>
    <w:p>
      <w:pPr>
        <w:pStyle w:val="34"/>
        <w:rPr>
          <w:color w:val="auto"/>
          <w:lang w:val="zh-CN"/>
        </w:rPr>
      </w:pPr>
    </w:p>
    <w:p>
      <w:pPr>
        <w:pStyle w:val="34"/>
        <w:rPr>
          <w:color w:val="auto"/>
          <w:lang w:val="zh-CN"/>
        </w:rPr>
      </w:pPr>
    </w:p>
    <w:p>
      <w:pPr>
        <w:pStyle w:val="34"/>
        <w:rPr>
          <w:color w:val="auto"/>
          <w:lang w:val="zh-CN"/>
        </w:rPr>
      </w:pPr>
    </w:p>
    <w:p>
      <w:pPr>
        <w:pStyle w:val="34"/>
        <w:ind w:left="0" w:leftChars="0" w:firstLine="0" w:firstLineChars="0"/>
        <w:rPr>
          <w:color w:val="auto"/>
          <w:lang w:val="zh-CN"/>
        </w:rPr>
      </w:pPr>
    </w:p>
    <w:p>
      <w:pPr>
        <w:pStyle w:val="6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058"/>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2"/>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2"/>
            <w:vAlign w:val="center"/>
          </w:tcPr>
          <w:p>
            <w:pPr>
              <w:pStyle w:val="16"/>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2"/>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val="en-US" w:eastAsia="zh-CN"/>
              </w:rPr>
            </w:pPr>
            <w:r>
              <w:rPr>
                <w:rFonts w:hint="eastAsia" w:ascii="宋体" w:hAnsi="宋体" w:cs="微软雅黑"/>
                <w:color w:val="auto"/>
                <w:szCs w:val="21"/>
                <w:lang w:val="en-US" w:eastAsia="zh-CN"/>
              </w:rPr>
              <w:t>6</w:t>
            </w:r>
          </w:p>
        </w:tc>
        <w:tc>
          <w:tcPr>
            <w:tcW w:w="3751" w:type="dxa"/>
            <w:gridSpan w:val="2"/>
            <w:vAlign w:val="center"/>
          </w:tcPr>
          <w:p>
            <w:pPr>
              <w:pStyle w:val="16"/>
              <w:kinsoku w:val="0"/>
              <w:overflowPunct w:val="0"/>
              <w:autoSpaceDE w:val="0"/>
              <w:autoSpaceDN w:val="0"/>
              <w:spacing w:line="320" w:lineRule="exact"/>
              <w:rPr>
                <w:rFonts w:hint="eastAsia" w:hAnsi="宋体"/>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7</w:t>
            </w:r>
          </w:p>
        </w:tc>
        <w:tc>
          <w:tcPr>
            <w:tcW w:w="3751" w:type="dxa"/>
            <w:gridSpan w:val="2"/>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8</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zh-CN" w:eastAsia="zh-CN"/>
              </w:rPr>
            </w:pPr>
            <w:r>
              <w:rPr>
                <w:rFonts w:hint="eastAsia" w:asciiTheme="majorEastAsia" w:hAnsiTheme="majorEastAsia" w:eastAsiaTheme="majorEastAsia" w:cstheme="majorEastAsia"/>
                <w:bCs/>
                <w:color w:val="auto"/>
                <w:szCs w:val="21"/>
                <w:lang w:val="en-US" w:eastAsia="zh-CN"/>
              </w:rPr>
              <w:t>9</w:t>
            </w:r>
          </w:p>
        </w:tc>
        <w:tc>
          <w:tcPr>
            <w:tcW w:w="3751" w:type="dxa"/>
            <w:gridSpan w:val="2"/>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10</w:t>
            </w:r>
          </w:p>
        </w:tc>
        <w:tc>
          <w:tcPr>
            <w:tcW w:w="3751" w:type="dxa"/>
            <w:gridSpan w:val="2"/>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zh-CN" w:eastAsia="zh-CN"/>
              </w:rPr>
            </w:pPr>
            <w:r>
              <w:rPr>
                <w:rFonts w:hint="eastAsia" w:asciiTheme="majorEastAsia" w:hAnsiTheme="majorEastAsia" w:eastAsiaTheme="majorEastAsia" w:cstheme="majorEastAsia"/>
                <w:bCs/>
                <w:color w:val="auto"/>
                <w:szCs w:val="21"/>
                <w:lang w:val="zh-CN"/>
              </w:rPr>
              <w:t>1</w:t>
            </w:r>
            <w:r>
              <w:rPr>
                <w:rFonts w:hint="eastAsia" w:asciiTheme="majorEastAsia" w:hAnsiTheme="majorEastAsia" w:eastAsiaTheme="majorEastAsia" w:cstheme="majorEastAsia"/>
                <w:bCs/>
                <w:color w:val="auto"/>
                <w:szCs w:val="21"/>
                <w:lang w:val="en-US" w:eastAsia="zh-CN"/>
              </w:rPr>
              <w:t>1</w:t>
            </w:r>
          </w:p>
        </w:tc>
        <w:tc>
          <w:tcPr>
            <w:tcW w:w="3751" w:type="dxa"/>
            <w:gridSpan w:val="2"/>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2</w:t>
            </w:r>
          </w:p>
        </w:tc>
        <w:tc>
          <w:tcPr>
            <w:tcW w:w="3751" w:type="dxa"/>
            <w:gridSpan w:val="2"/>
            <w:tcBorders>
              <w:top w:val="doub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分项报价表（已标价工程量清单）</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3</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4</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15</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16</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17</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18</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19</w:t>
            </w:r>
          </w:p>
        </w:tc>
        <w:tc>
          <w:tcPr>
            <w:tcW w:w="1058" w:type="dxa"/>
            <w:tcBorders>
              <w:right w:val="sing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tcBorders>
              <w:left w:val="sing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6"/>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20</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6"/>
        <w:spacing w:line="360" w:lineRule="auto"/>
        <w:jc w:val="both"/>
        <w:rPr>
          <w:rFonts w:asciiTheme="majorEastAsia" w:hAnsiTheme="majorEastAsia" w:eastAsiaTheme="majorEastAsia"/>
          <w:b/>
          <w:snapToGrid w:val="0"/>
          <w:color w:val="auto"/>
          <w:kern w:val="0"/>
          <w:sz w:val="28"/>
          <w:szCs w:val="28"/>
        </w:rPr>
      </w:pPr>
    </w:p>
    <w:p>
      <w:pPr>
        <w:widowControl/>
        <w:jc w:val="center"/>
        <w:rPr>
          <w:rFonts w:hint="eastAsia" w:asciiTheme="majorEastAsia" w:hAnsiTheme="majorEastAsia" w:eastAsiaTheme="majorEastAsia"/>
          <w:b/>
          <w:snapToGrid w:val="0"/>
          <w:color w:val="auto"/>
          <w:kern w:val="0"/>
          <w:sz w:val="28"/>
          <w:szCs w:val="28"/>
        </w:rPr>
      </w:pPr>
    </w:p>
    <w:p>
      <w:pPr>
        <w:widowControl/>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二、报价一览表</w:t>
      </w:r>
    </w:p>
    <w:p>
      <w:pPr>
        <w:pStyle w:val="16"/>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rPr>
            </w:pPr>
            <w:r>
              <w:rPr>
                <w:rFonts w:hint="eastAsia" w:cs="宋体" w:asciiTheme="minorEastAsia" w:hAnsiTheme="minorEastAsia"/>
                <w:b/>
                <w:color w:val="auto"/>
                <w:szCs w:val="21"/>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bookmarkStart w:id="2" w:name="_GoBack"/>
      <w:bookmarkEnd w:id="2"/>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pStyle w:val="34"/>
        <w:rPr>
          <w:color w:val="auto"/>
          <w:lang w:val="zh-CN"/>
        </w:rPr>
      </w:pPr>
      <w:r>
        <w:rPr>
          <w:color w:val="auto"/>
          <w:lang w:val="zh-CN"/>
        </w:rPr>
        <w:br w:type="page"/>
      </w: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pPr>
        <w:pStyle w:val="16"/>
        <w:spacing w:line="360" w:lineRule="auto"/>
        <w:jc w:val="center"/>
        <w:rPr>
          <w:rFonts w:asciiTheme="majorEastAsia" w:hAnsiTheme="majorEastAsia" w:eastAsiaTheme="majorEastAsia"/>
          <w:b/>
          <w:snapToGrid w:val="0"/>
          <w:color w:val="auto"/>
          <w:kern w:val="0"/>
          <w:szCs w:val="24"/>
        </w:rPr>
      </w:pPr>
    </w:p>
    <w:p>
      <w:pPr>
        <w:pStyle w:val="16"/>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（项目名称、项目编号）采购的竞争性谈判公告及谈判邀请，</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（姓名和职务）被正式授权并代表供应商</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（供应商名称、地址）提交。</w:t>
      </w:r>
    </w:p>
    <w:p>
      <w:pPr>
        <w:pStyle w:val="16"/>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（项目名称、采购编号）谈判文件的全部内容。</w:t>
      </w:r>
    </w:p>
    <w:p>
      <w:pPr>
        <w:pStyle w:val="16"/>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一、按谈判文件提供的全部工程与相关服务的响应总价详见《报价一览表》。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w:t>
      </w:r>
      <w:r>
        <w:rPr>
          <w:rFonts w:hint="eastAsia" w:ascii="宋体" w:hAnsi="宋体"/>
          <w:color w:val="auto"/>
          <w:szCs w:val="21"/>
          <w:u w:val="single"/>
        </w:rPr>
        <w:t>90</w:t>
      </w:r>
      <w:r>
        <w:rPr>
          <w:rFonts w:hint="eastAsia" w:ascii="宋体" w:hAnsi="宋体"/>
          <w:color w:val="auto"/>
          <w:szCs w:val="21"/>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 </w:t>
      </w:r>
    </w:p>
    <w:p>
      <w:pPr>
        <w:pStyle w:val="16"/>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6"/>
        <w:adjustRightInd w:val="0"/>
        <w:snapToGrid w:val="0"/>
        <w:spacing w:line="360" w:lineRule="auto"/>
        <w:rPr>
          <w:rFonts w:asciiTheme="minorEastAsia" w:hAnsiTheme="minorEastAsia" w:eastAsiaTheme="minorEastAsia"/>
          <w:color w:val="auto"/>
          <w:sz w:val="21"/>
          <w:szCs w:val="21"/>
        </w:rPr>
      </w:pPr>
    </w:p>
    <w:p>
      <w:pPr>
        <w:pStyle w:val="16"/>
        <w:adjustRightInd w:val="0"/>
        <w:snapToGrid w:val="0"/>
        <w:spacing w:line="360" w:lineRule="auto"/>
        <w:rPr>
          <w:rFonts w:asciiTheme="minorEastAsia" w:hAnsiTheme="minorEastAsia" w:eastAsiaTheme="minorEastAsia"/>
          <w:color w:val="auto"/>
          <w:sz w:val="21"/>
          <w:szCs w:val="21"/>
        </w:rPr>
      </w:pPr>
    </w:p>
    <w:p>
      <w:pPr>
        <w:pStyle w:val="16"/>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址：邮政编码：</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u w:val="single"/>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日期：年月 日</w:t>
      </w:r>
    </w:p>
    <w:p>
      <w:pPr>
        <w:pStyle w:val="34"/>
        <w:rPr>
          <w:rFonts w:cs="宋体" w:asciiTheme="minorEastAsia" w:hAnsiTheme="minorEastAsia"/>
          <w:color w:val="auto"/>
          <w:szCs w:val="21"/>
        </w:rPr>
      </w:pPr>
    </w:p>
    <w:p>
      <w:pPr>
        <w:pStyle w:val="34"/>
        <w:rPr>
          <w:rFonts w:cs="宋体" w:asciiTheme="minorEastAsia" w:hAnsiTheme="minorEastAsia"/>
          <w:color w:val="auto"/>
          <w:szCs w:val="21"/>
        </w:rPr>
      </w:pPr>
    </w:p>
    <w:p>
      <w:pPr>
        <w:pStyle w:val="34"/>
        <w:rPr>
          <w:rFonts w:cs="宋体" w:asciiTheme="minorEastAsia" w:hAnsiTheme="minorEastAsia"/>
          <w:color w:val="auto"/>
          <w:szCs w:val="21"/>
        </w:rPr>
      </w:pPr>
    </w:p>
    <w:p>
      <w:pPr>
        <w:pStyle w:val="34"/>
        <w:rPr>
          <w:rFonts w:cs="宋体" w:asciiTheme="minorEastAsia" w:hAnsiTheme="minorEastAsia"/>
          <w:color w:val="auto"/>
          <w:szCs w:val="21"/>
        </w:rPr>
      </w:pPr>
    </w:p>
    <w:p>
      <w:pPr>
        <w:pStyle w:val="34"/>
        <w:rPr>
          <w:rFonts w:cs="宋体" w:asciiTheme="minorEastAsia" w:hAnsiTheme="minorEastAsia"/>
          <w:color w:val="auto"/>
          <w:szCs w:val="21"/>
        </w:rPr>
      </w:pPr>
    </w:p>
    <w:p>
      <w:pPr>
        <w:pStyle w:val="34"/>
        <w:rPr>
          <w:rFonts w:cs="宋体" w:asciiTheme="minorEastAsia" w:hAnsiTheme="minorEastAsia"/>
          <w:color w:val="auto"/>
          <w:szCs w:val="21"/>
        </w:rPr>
      </w:pPr>
    </w:p>
    <w:p>
      <w:pPr>
        <w:pStyle w:val="34"/>
        <w:rPr>
          <w:rFonts w:cs="宋体" w:asciiTheme="minorEastAsia" w:hAnsiTheme="minorEastAsia"/>
          <w:color w:val="auto"/>
          <w:szCs w:val="21"/>
        </w:rPr>
      </w:pPr>
    </w:p>
    <w:p>
      <w:pPr>
        <w:pStyle w:val="34"/>
        <w:rPr>
          <w:rFonts w:cs="宋体" w:asciiTheme="minorEastAsia" w:hAnsiTheme="minorEastAsia"/>
          <w:color w:val="auto"/>
          <w:szCs w:val="21"/>
        </w:rPr>
      </w:pPr>
    </w:p>
    <w:p>
      <w:pPr>
        <w:pStyle w:val="34"/>
        <w:rPr>
          <w:rFonts w:cs="宋体" w:asciiTheme="minorEastAsia" w:hAnsiTheme="minorEastAsia"/>
          <w:color w:val="auto"/>
          <w:szCs w:val="21"/>
        </w:rPr>
      </w:pPr>
    </w:p>
    <w:p>
      <w:pPr>
        <w:pStyle w:val="34"/>
        <w:rPr>
          <w:rFonts w:cs="宋体" w:asciiTheme="minorEastAsia" w:hAnsiTheme="minorEastAsia"/>
          <w:color w:val="auto"/>
          <w:szCs w:val="21"/>
        </w:rPr>
      </w:pPr>
    </w:p>
    <w:p>
      <w:pPr>
        <w:pStyle w:val="34"/>
        <w:rPr>
          <w:rFonts w:cs="宋体" w:asciiTheme="minorEastAsia" w:hAnsiTheme="minorEastAsia"/>
          <w:color w:val="auto"/>
          <w:szCs w:val="21"/>
        </w:rPr>
      </w:pPr>
    </w:p>
    <w:p>
      <w:pPr>
        <w:pStyle w:val="34"/>
        <w:rPr>
          <w:rFonts w:cs="宋体" w:asciiTheme="minorEastAsia" w:hAnsiTheme="minorEastAsia"/>
          <w:color w:val="auto"/>
          <w:szCs w:val="21"/>
        </w:rPr>
      </w:pPr>
    </w:p>
    <w:p>
      <w:pPr>
        <w:pStyle w:val="34"/>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5"/>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5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5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color w:val="auto"/>
          <w:sz w:val="21"/>
          <w:szCs w:val="21"/>
          <w:u w:val="single"/>
        </w:rPr>
        <w:t xml:space="preserve"> （</w:t>
      </w:r>
      <w:r>
        <w:rPr>
          <w:rFonts w:hint="eastAsia" w:asciiTheme="minorEastAsia" w:hAnsiTheme="minorEastAsia"/>
          <w:snapToGrid w:val="0"/>
          <w:color w:val="auto"/>
          <w:sz w:val="21"/>
          <w:szCs w:val="21"/>
          <w:u w:val="single"/>
        </w:rPr>
        <w:t>供应商名</w:t>
      </w:r>
      <w:r>
        <w:rPr>
          <w:rFonts w:asciiTheme="minorEastAsia" w:hAnsiTheme="minorEastAsia"/>
          <w:snapToGrid w:val="0"/>
          <w:color w:val="auto"/>
          <w:sz w:val="21"/>
          <w:szCs w:val="21"/>
          <w:u w:val="single"/>
        </w:rPr>
        <w:t>称</w:t>
      </w:r>
      <w:r>
        <w:rPr>
          <w:rFonts w:hint="eastAsia" w:asciiTheme="minorEastAsia" w:hAnsiTheme="minorEastAsia"/>
          <w:color w:val="auto"/>
          <w:sz w:val="21"/>
          <w:szCs w:val="21"/>
          <w:u w:val="single"/>
        </w:rPr>
        <w:t>）</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hint="eastAsia" w:asciiTheme="minorEastAsia" w:hAnsiTheme="minorEastAsia"/>
          <w:color w:val="auto"/>
          <w:sz w:val="21"/>
          <w:szCs w:val="21"/>
          <w:u w:val="single"/>
        </w:rPr>
        <w:t xml:space="preserve"> （</w:t>
      </w:r>
      <w:r>
        <w:rPr>
          <w:rFonts w:asciiTheme="minorEastAsia" w:hAnsiTheme="minorEastAsia"/>
          <w:color w:val="auto"/>
          <w:sz w:val="21"/>
          <w:szCs w:val="21"/>
          <w:u w:val="single"/>
        </w:rPr>
        <w:t>项目编号</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color w:val="auto"/>
          <w:sz w:val="21"/>
          <w:szCs w:val="21"/>
          <w:u w:val="single"/>
        </w:rPr>
        <w:t>项目</w:t>
      </w:r>
      <w:r>
        <w:rPr>
          <w:rFonts w:hint="eastAsia" w:asciiTheme="minorEastAsia" w:hAnsiTheme="minorEastAsia"/>
          <w:color w:val="auto"/>
          <w:sz w:val="21"/>
          <w:szCs w:val="21"/>
          <w:u w:val="single"/>
        </w:rPr>
        <w:t>名</w:t>
      </w:r>
      <w:r>
        <w:rPr>
          <w:rFonts w:asciiTheme="minorEastAsia" w:hAnsiTheme="minorEastAsia"/>
          <w:color w:val="auto"/>
          <w:sz w:val="21"/>
          <w:szCs w:val="21"/>
          <w:u w:val="single"/>
        </w:rPr>
        <w:t>称</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法定代表人（单位负责人）联系电话（手机）：</w:t>
      </w:r>
    </w:p>
    <w:p>
      <w:pPr>
        <w:pStyle w:val="55"/>
        <w:spacing w:line="480" w:lineRule="auto"/>
        <w:ind w:firstLine="472" w:firstLineChars="225"/>
        <w:jc w:val="left"/>
        <w:rPr>
          <w:rFonts w:asciiTheme="minorEastAsia" w:hAnsiTheme="minorEastAsia"/>
          <w:color w:val="auto"/>
          <w:sz w:val="21"/>
          <w:szCs w:val="21"/>
        </w:rPr>
      </w:pPr>
    </w:p>
    <w:p>
      <w:pPr>
        <w:pStyle w:val="55"/>
        <w:spacing w:line="480" w:lineRule="auto"/>
        <w:ind w:firstLine="472" w:firstLineChars="225"/>
        <w:jc w:val="left"/>
        <w:rPr>
          <w:rFonts w:asciiTheme="minorEastAsia" w:hAnsiTheme="minorEastAsia"/>
          <w:color w:val="auto"/>
          <w:sz w:val="21"/>
          <w:szCs w:val="21"/>
        </w:rPr>
      </w:pPr>
    </w:p>
    <w:p>
      <w:pPr>
        <w:pStyle w:val="55"/>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w:t>
      </w:r>
      <w:r>
        <w:rPr>
          <w:rFonts w:hint="eastAsia" w:asciiTheme="minorEastAsia" w:hAnsiTheme="minorEastAsia"/>
          <w:bCs/>
          <w:color w:val="auto"/>
          <w:sz w:val="21"/>
          <w:szCs w:val="21"/>
        </w:rPr>
        <w:t>扫描件，需清晰反映身份证有效期限】</w:t>
      </w:r>
    </w:p>
    <w:p>
      <w:pPr>
        <w:pStyle w:val="55"/>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58"/>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7"/>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pStyle w:val="34"/>
        <w:rPr>
          <w:rFonts w:asciiTheme="minorEastAsia" w:hAnsiTheme="minorEastAsia"/>
          <w:bCs/>
          <w:color w:val="auto"/>
          <w:kern w:val="12"/>
          <w:szCs w:val="21"/>
        </w:rPr>
      </w:pPr>
    </w:p>
    <w:p>
      <w:pPr>
        <w:pStyle w:val="34"/>
        <w:rPr>
          <w:rFonts w:asciiTheme="minorEastAsia" w:hAnsiTheme="minorEastAsia"/>
          <w:bCs/>
          <w:color w:val="auto"/>
          <w:kern w:val="12"/>
          <w:szCs w:val="21"/>
        </w:rPr>
      </w:pPr>
    </w:p>
    <w:p>
      <w:pPr>
        <w:pStyle w:val="34"/>
        <w:rPr>
          <w:rFonts w:asciiTheme="minorEastAsia" w:hAnsiTheme="minorEastAsia"/>
          <w:bCs/>
          <w:color w:val="auto"/>
          <w:kern w:val="12"/>
          <w:szCs w:val="21"/>
        </w:rPr>
      </w:pPr>
    </w:p>
    <w:p>
      <w:pPr>
        <w:pStyle w:val="34"/>
        <w:rPr>
          <w:rFonts w:asciiTheme="minorEastAsia" w:hAnsiTheme="minorEastAsia"/>
          <w:bCs/>
          <w:color w:val="auto"/>
          <w:kern w:val="12"/>
          <w:szCs w:val="21"/>
        </w:rPr>
      </w:pPr>
    </w:p>
    <w:p>
      <w:pPr>
        <w:spacing w:line="320" w:lineRule="exact"/>
        <w:ind w:firstLine="420" w:firstLineChars="200"/>
        <w:rPr>
          <w:rFonts w:asciiTheme="minorEastAsia" w:hAnsiTheme="minorEastAsia"/>
          <w:bCs/>
          <w:color w:val="auto"/>
          <w:kern w:val="12"/>
          <w:szCs w:val="21"/>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snapToGrid w:val="0"/>
          <w:color w:val="auto"/>
          <w:szCs w:val="21"/>
          <w:u w:val="single"/>
        </w:rPr>
        <w:t>姓名，职务</w:t>
      </w:r>
      <w:r>
        <w:rPr>
          <w:rFonts w:hint="eastAsia" w:cs="Arial" w:asciiTheme="minorEastAsia" w:hAnsiTheme="minorEastAsia"/>
          <w:color w:val="auto"/>
          <w:szCs w:val="21"/>
        </w:rPr>
        <w:t>以我方的名义参加贵方项目的谈判响应活动，并代表我方全权办理针对上述项目的谈判、响应文件澄清、签约等一切具体事务和签署相关文件。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授权代表：（签字或加盖名章）</w:t>
      </w:r>
    </w:p>
    <w:p>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c>
          <w:tcPr>
            <w:tcW w:w="4492"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r>
    </w:tbl>
    <w:p>
      <w:pPr>
        <w:widowControl/>
        <w:spacing w:before="100" w:beforeAutospacing="1" w:after="100" w:afterAutospacing="1" w:line="360" w:lineRule="auto"/>
        <w:jc w:val="center"/>
        <w:rPr>
          <w:rFonts w:ascii="宋体" w:hAnsi="宋体"/>
          <w:b/>
          <w:bCs/>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p>
    <w:p>
      <w:pPr>
        <w:autoSpaceDE w:val="0"/>
        <w:autoSpaceDN w:val="0"/>
        <w:adjustRightInd w:val="0"/>
        <w:spacing w:line="360" w:lineRule="auto"/>
        <w:jc w:val="center"/>
        <w:outlineLvl w:val="0"/>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pPr>
        <w:adjustRightInd w:val="0"/>
        <w:spacing w:line="360" w:lineRule="auto"/>
        <w:ind w:firstLine="441" w:firstLineChars="210"/>
        <w:contextualSpacing/>
        <w:rPr>
          <w:rFonts w:hint="eastAsia" w:cs="Arial" w:asciiTheme="minorEastAsia" w:hAnsiTheme="minorEastAsia"/>
          <w:color w:val="auto"/>
          <w:szCs w:val="21"/>
          <w:lang w:val="en-US" w:eastAsia="zh-CN"/>
        </w:rPr>
      </w:pPr>
      <w:r>
        <w:rPr>
          <w:rFonts w:hint="eastAsia" w:cs="Arial" w:asciiTheme="minorEastAsia" w:hAnsiTheme="minorEastAsia"/>
          <w:color w:val="auto"/>
          <w:szCs w:val="21"/>
        </w:rPr>
        <w:t>致  (采购人或采购代理机构)</w:t>
      </w:r>
      <w:r>
        <w:rPr>
          <w:rFonts w:hint="eastAsia" w:cs="Arial" w:asciiTheme="minorEastAsia" w:hAnsiTheme="minorEastAsia"/>
          <w:color w:val="auto"/>
          <w:szCs w:val="21"/>
          <w:lang w:val="en-US" w:eastAsia="zh-CN"/>
        </w:rPr>
        <w:t xml:space="preserve"> ：      </w:t>
      </w:r>
      <w:r>
        <w:rPr>
          <w:rFonts w:hint="eastAsia" w:cs="Arial" w:asciiTheme="minorEastAsia" w:hAnsiTheme="minorEastAsia"/>
          <w:color w:val="auto"/>
          <w:szCs w:val="21"/>
        </w:rPr>
        <w:t>统一社会信用代码(身份证号码)</w:t>
      </w:r>
      <w:r>
        <w:rPr>
          <w:rFonts w:hint="eastAsia" w:cs="Arial" w:asciiTheme="minorEastAsia" w:hAnsiTheme="minorEastAsia"/>
          <w:color w:val="auto"/>
          <w:szCs w:val="21"/>
          <w:lang w:val="en-US" w:eastAsia="zh-CN"/>
        </w:rPr>
        <w:t xml:space="preserve"> ：   </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单位名称(自然人姓名)</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法定代表人(负责人)</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联系地址和电话</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为维护公平、公正、公开的政府采购市场秩序,树立诚实守信的政府采购供应商形象,我单位(本人)自愿作出以下承诺</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一、我单位(本人)自愿参加本次政府采购活动,严格遵守《中华人民共和国政府采购法》及相关法律法规,依法诚信 经营,无条件遵守本次政府采购活动的各项规定,我单位(本人)郑重承诺,我单位(本人)符合《中华人民共和国政府采 购法》第二十二条规定和采购文件、本承诺书的条件</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(一)具有独立承担民事责任的能力</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(二)具有良好的商业信誉和健全的财务会计制度</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(三)具有履行合同所必需的设备和专业技术能力</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(四)有依法缴纳税收和社会保障资金的良好记录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(五)参加政府采购活动前三年内,在经营活动中没有重大违法记录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(六)未被列入经营异常名录或者严重违法失信名单、</w:t>
      </w:r>
      <w:r>
        <w:rPr>
          <w:rFonts w:hint="eastAsia" w:cs="Arial" w:asciiTheme="minorEastAsia" w:hAnsiTheme="minorEastAsia"/>
          <w:color w:val="auto"/>
          <w:szCs w:val="21"/>
          <w:lang w:eastAsia="zh-CN"/>
        </w:rPr>
        <w:t>失</w:t>
      </w:r>
      <w:r>
        <w:rPr>
          <w:rFonts w:hint="eastAsia" w:cs="Arial" w:asciiTheme="minorEastAsia" w:hAnsiTheme="minorEastAsia"/>
          <w:color w:val="auto"/>
          <w:szCs w:val="21"/>
        </w:rPr>
        <w:t>信被执行人,重大税收违法案件当事人名单、政府采购严重违法失信行为记录名单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(七)未被相关监管部门作出行政处罚且尚在处罚有效期的</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(八)未曾作出虚假采购承诺</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(九)符合法律、行政法规规定的其他条件。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 规定,处以采购金额千分之五以上千分之十以下的罚款,列入不良行为记录名单,在一至三年内禁止参加政府采购活动, 违法所得的,并处没收违法所得,情节严重的,由市场监管部门吊销营业执照;构成犯罪的,依法追究刑事责任;给他人造成损失的,并应依照有关民事法律规定承担民事责任。</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供应商（电子章）:</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法定代表人、负责人、本人、或授权代表（签字或电子印章）:</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日期：    年    月      日</w:t>
      </w:r>
    </w:p>
    <w:p>
      <w:pPr>
        <w:rPr>
          <w:rFonts w:ascii="仿宋" w:hAnsi="仿宋" w:eastAsia="仿宋" w:cs="华文仿宋"/>
          <w:color w:val="auto"/>
          <w:szCs w:val="21"/>
        </w:rPr>
      </w:pPr>
    </w:p>
    <w:p>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ind w:firstLine="420" w:firstLineChars="200"/>
        <w:rPr>
          <w:rFonts w:cs="宋体" w:asciiTheme="minorEastAsia" w:hAnsiTheme="minorEastAsia"/>
          <w:color w:val="auto"/>
          <w:sz w:val="24"/>
          <w:szCs w:val="24"/>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pStyle w:val="34"/>
        <w:ind w:left="0" w:leftChars="0" w:firstLine="0" w:firstLineChars="0"/>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（采购人）    </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年月日</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pStyle w:val="2"/>
        <w:rPr>
          <w:color w:val="auto"/>
          <w:lang w:val="zh-CN"/>
        </w:rPr>
      </w:pPr>
    </w:p>
    <w:p>
      <w:pPr>
        <w:pStyle w:val="32"/>
        <w:rPr>
          <w:color w:val="auto"/>
          <w:lang w:val="zh-CN"/>
        </w:rPr>
      </w:pPr>
    </w:p>
    <w:p>
      <w:pPr>
        <w:pStyle w:val="33"/>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3.6 其他资格证书或材料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rPr>
          <w:rFonts w:cs="黑体" w:asciiTheme="minorEastAsia" w:hAnsiTheme="minorEastAsia"/>
          <w:b/>
          <w:bCs/>
          <w:color w:val="auto"/>
          <w:sz w:val="28"/>
          <w:szCs w:val="28"/>
          <w:lang w:val="zh-CN"/>
        </w:rPr>
      </w:pPr>
    </w:p>
    <w:p>
      <w:pPr>
        <w:pStyle w:val="34"/>
        <w:rPr>
          <w:color w:val="auto"/>
          <w:lang w:val="zh-CN"/>
        </w:rPr>
      </w:pPr>
      <w:r>
        <w:rPr>
          <w:color w:val="auto"/>
          <w:lang w:val="zh-CN"/>
        </w:rPr>
        <w:br w:type="page"/>
      </w: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分项报价表</w:t>
      </w: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480" w:lineRule="auto"/>
        <w:jc w:val="center"/>
        <w:rPr>
          <w:rFonts w:ascii="宋体" w:hAnsi="宋体"/>
          <w:color w:val="auto"/>
          <w:sz w:val="24"/>
          <w:szCs w:val="24"/>
        </w:rPr>
      </w:pPr>
      <w:r>
        <w:rPr>
          <w:rFonts w:hint="eastAsia" w:ascii="宋体" w:hAnsi="宋体" w:cs="宋体"/>
          <w:color w:val="auto"/>
          <w:sz w:val="24"/>
          <w:szCs w:val="24"/>
          <w:lang w:val="zh-CN"/>
        </w:rPr>
        <w:t>（请按</w:t>
      </w:r>
      <w:r>
        <w:rPr>
          <w:rFonts w:hint="eastAsia" w:ascii="宋体" w:hAnsi="宋体" w:cs="仿宋_GB2312"/>
          <w:color w:val="auto"/>
          <w:sz w:val="24"/>
          <w:szCs w:val="24"/>
          <w:lang w:val="zh-CN"/>
        </w:rPr>
        <w:t>招标工程量清单</w:t>
      </w:r>
      <w:r>
        <w:rPr>
          <w:rFonts w:hint="eastAsia" w:ascii="宋体" w:hAnsi="宋体" w:cs="宋体"/>
          <w:color w:val="auto"/>
          <w:sz w:val="24"/>
          <w:szCs w:val="24"/>
          <w:lang w:val="zh-CN"/>
        </w:rPr>
        <w:t>填报，</w:t>
      </w:r>
      <w:r>
        <w:rPr>
          <w:rFonts w:hint="eastAsia" w:ascii="宋体" w:hAnsi="宋体" w:cs="宋体"/>
          <w:color w:val="auto"/>
          <w:sz w:val="24"/>
          <w:szCs w:val="24"/>
        </w:rPr>
        <w:t>附</w:t>
      </w:r>
      <w:r>
        <w:rPr>
          <w:rFonts w:hint="eastAsia" w:ascii="宋体" w:hAnsi="宋体"/>
          <w:color w:val="auto"/>
          <w:sz w:val="24"/>
          <w:szCs w:val="24"/>
        </w:rPr>
        <w:t>已标价的工程量清单</w:t>
      </w:r>
      <w:r>
        <w:rPr>
          <w:rFonts w:hint="eastAsia" w:ascii="宋体" w:hAnsi="宋体" w:cs="宋体"/>
          <w:color w:val="auto"/>
          <w:sz w:val="24"/>
          <w:szCs w:val="24"/>
          <w:lang w:val="zh-CN"/>
        </w:rPr>
        <w:t>）</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技术方案（实施方案）</w:t>
      </w:r>
    </w:p>
    <w:p>
      <w:pPr>
        <w:autoSpaceDE w:val="0"/>
        <w:autoSpaceDN w:val="0"/>
        <w:adjustRightInd w:val="0"/>
        <w:spacing w:line="360" w:lineRule="auto"/>
        <w:jc w:val="center"/>
        <w:outlineLvl w:val="0"/>
        <w:rPr>
          <w:rFonts w:ascii="宋体" w:hAnsi="宋体"/>
          <w:color w:val="auto"/>
          <w:sz w:val="24"/>
          <w:szCs w:val="24"/>
        </w:rPr>
      </w:pPr>
      <w:r>
        <w:rPr>
          <w:rFonts w:hint="eastAsia" w:ascii="宋体" w:hAnsi="宋体"/>
          <w:color w:val="auto"/>
          <w:sz w:val="24"/>
          <w:szCs w:val="24"/>
        </w:rPr>
        <w:t>（根据谈判文件规定及供应商自身条件编制）</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售后服务方案</w:t>
      </w:r>
    </w:p>
    <w:p>
      <w:pPr>
        <w:autoSpaceDE w:val="0"/>
        <w:autoSpaceDN w:val="0"/>
        <w:adjustRightInd w:val="0"/>
        <w:spacing w:line="360" w:lineRule="auto"/>
        <w:jc w:val="center"/>
        <w:outlineLvl w:val="0"/>
        <w:rPr>
          <w:rFonts w:ascii="宋体" w:hAnsi="宋体"/>
          <w:color w:val="auto"/>
          <w:sz w:val="24"/>
          <w:szCs w:val="24"/>
        </w:rPr>
      </w:pPr>
      <w:r>
        <w:rPr>
          <w:rFonts w:hint="eastAsia" w:ascii="宋体" w:hAnsi="宋体"/>
          <w:color w:val="auto"/>
          <w:sz w:val="24"/>
          <w:szCs w:val="24"/>
        </w:rPr>
        <w:t>（根据谈判文件规定及供应商自身条件编制）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pStyle w:val="34"/>
        <w:rPr>
          <w:color w:val="auto"/>
          <w:lang w:val="zh-CN"/>
        </w:rPr>
      </w:pPr>
    </w:p>
    <w:p>
      <w:pPr>
        <w:rPr>
          <w:rFonts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宋体" w:hAnsi="宋体"/>
          <w:color w:val="auto"/>
          <w:szCs w:val="21"/>
        </w:rPr>
      </w:pPr>
      <w:r>
        <w:rPr>
          <w:rFonts w:hint="eastAsia" w:ascii="宋体" w:hAnsi="宋体"/>
          <w:color w:val="auto"/>
          <w:szCs w:val="21"/>
        </w:rPr>
        <w:t>项目编号：</w:t>
      </w:r>
    </w:p>
    <w:p>
      <w:pPr>
        <w:snapToGrid w:val="0"/>
        <w:spacing w:line="360" w:lineRule="auto"/>
        <w:rPr>
          <w:rFonts w:hAnsi="宋体"/>
          <w:b/>
          <w:snapToGrid w:val="0"/>
          <w:color w:val="auto"/>
          <w:kern w:val="0"/>
          <w:szCs w:val="21"/>
        </w:rPr>
      </w:pPr>
      <w:r>
        <w:rPr>
          <w:rFonts w:hint="eastAsia" w:ascii="宋体" w:hAnsi="宋体"/>
          <w:color w:val="auto"/>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noWrap/>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noWrap/>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noWrap/>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w:t>
            </w:r>
          </w:p>
        </w:tc>
        <w:tc>
          <w:tcPr>
            <w:tcW w:w="1440" w:type="dxa"/>
            <w:shd w:val="clear" w:color="auto" w:fill="auto"/>
            <w:noWrap/>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noWrap/>
            <w:vAlign w:val="center"/>
          </w:tcPr>
          <w:p>
            <w:pPr>
              <w:pStyle w:val="10"/>
              <w:jc w:val="center"/>
              <w:rPr>
                <w:rFonts w:ascii="宋体" w:hAnsi="宋体" w:eastAsia="宋体" w:cs="Times New Roman"/>
                <w:b/>
                <w:bCs/>
                <w:color w:val="auto"/>
                <w:sz w:val="21"/>
                <w:szCs w:val="21"/>
              </w:rPr>
            </w:pPr>
            <w:r>
              <w:rPr>
                <w:rFonts w:hint="eastAsia" w:ascii="宋体" w:hAnsi="宋体" w:eastAsia="宋体" w:cs="Times New Roman"/>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noWrap/>
            <w:vAlign w:val="center"/>
          </w:tcPr>
          <w:p>
            <w:pPr>
              <w:pStyle w:val="10"/>
              <w:spacing w:line="360" w:lineRule="auto"/>
              <w:rPr>
                <w:rFonts w:ascii="宋体" w:hAnsi="宋体" w:eastAsia="宋体" w:cs="Times New Roman"/>
                <w:color w:val="auto"/>
                <w:sz w:val="21"/>
                <w:szCs w:val="21"/>
              </w:rPr>
            </w:pPr>
          </w:p>
        </w:tc>
        <w:tc>
          <w:tcPr>
            <w:tcW w:w="3579" w:type="dxa"/>
            <w:noWrap/>
            <w:vAlign w:val="center"/>
          </w:tcPr>
          <w:p>
            <w:pPr>
              <w:pStyle w:val="10"/>
              <w:spacing w:line="360" w:lineRule="auto"/>
              <w:rPr>
                <w:rFonts w:ascii="宋体" w:hAnsi="宋体" w:eastAsia="宋体" w:cs="Times New Roman"/>
                <w:color w:val="auto"/>
                <w:sz w:val="21"/>
                <w:szCs w:val="21"/>
              </w:rPr>
            </w:pPr>
          </w:p>
        </w:tc>
        <w:tc>
          <w:tcPr>
            <w:tcW w:w="1440" w:type="dxa"/>
            <w:noWrap/>
            <w:vAlign w:val="center"/>
          </w:tcPr>
          <w:p>
            <w:pPr>
              <w:pStyle w:val="10"/>
              <w:spacing w:line="360" w:lineRule="auto"/>
              <w:rPr>
                <w:rFonts w:ascii="宋体" w:hAnsi="宋体" w:eastAsia="宋体" w:cs="Times New Roman"/>
                <w:color w:val="auto"/>
                <w:sz w:val="21"/>
                <w:szCs w:val="21"/>
              </w:rPr>
            </w:pPr>
          </w:p>
        </w:tc>
        <w:tc>
          <w:tcPr>
            <w:tcW w:w="1706" w:type="dxa"/>
            <w:noWrap/>
            <w:vAlign w:val="center"/>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noWrap/>
            <w:vAlign w:val="center"/>
          </w:tcPr>
          <w:p>
            <w:pPr>
              <w:pStyle w:val="10"/>
              <w:spacing w:line="360" w:lineRule="auto"/>
              <w:rPr>
                <w:rFonts w:ascii="宋体" w:hAnsi="宋体" w:eastAsia="宋体" w:cs="Times New Roman"/>
                <w:color w:val="auto"/>
                <w:sz w:val="21"/>
                <w:szCs w:val="21"/>
              </w:rPr>
            </w:pPr>
          </w:p>
        </w:tc>
        <w:tc>
          <w:tcPr>
            <w:tcW w:w="3579" w:type="dxa"/>
            <w:noWrap/>
            <w:vAlign w:val="center"/>
          </w:tcPr>
          <w:p>
            <w:pPr>
              <w:pStyle w:val="10"/>
              <w:spacing w:line="360" w:lineRule="auto"/>
              <w:rPr>
                <w:rFonts w:ascii="宋体" w:hAnsi="宋体" w:eastAsia="宋体" w:cs="Times New Roman"/>
                <w:color w:val="auto"/>
                <w:sz w:val="21"/>
                <w:szCs w:val="21"/>
              </w:rPr>
            </w:pPr>
          </w:p>
        </w:tc>
        <w:tc>
          <w:tcPr>
            <w:tcW w:w="1440" w:type="dxa"/>
            <w:noWrap/>
            <w:vAlign w:val="center"/>
          </w:tcPr>
          <w:p>
            <w:pPr>
              <w:pStyle w:val="10"/>
              <w:spacing w:line="360" w:lineRule="auto"/>
              <w:rPr>
                <w:rFonts w:ascii="宋体" w:hAnsi="宋体" w:eastAsia="宋体" w:cs="Times New Roman"/>
                <w:color w:val="auto"/>
                <w:sz w:val="21"/>
                <w:szCs w:val="21"/>
              </w:rPr>
            </w:pPr>
          </w:p>
        </w:tc>
        <w:tc>
          <w:tcPr>
            <w:tcW w:w="1706" w:type="dxa"/>
            <w:noWrap/>
            <w:vAlign w:val="center"/>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noWrap/>
            <w:vAlign w:val="center"/>
          </w:tcPr>
          <w:p>
            <w:pPr>
              <w:pStyle w:val="10"/>
              <w:spacing w:line="360" w:lineRule="auto"/>
              <w:rPr>
                <w:rFonts w:ascii="宋体" w:hAnsi="宋体" w:eastAsia="宋体" w:cs="Times New Roman"/>
                <w:color w:val="auto"/>
                <w:sz w:val="21"/>
                <w:szCs w:val="21"/>
              </w:rPr>
            </w:pPr>
          </w:p>
        </w:tc>
        <w:tc>
          <w:tcPr>
            <w:tcW w:w="3579" w:type="dxa"/>
            <w:noWrap/>
            <w:vAlign w:val="center"/>
          </w:tcPr>
          <w:p>
            <w:pPr>
              <w:pStyle w:val="10"/>
              <w:spacing w:line="360" w:lineRule="auto"/>
              <w:rPr>
                <w:rFonts w:ascii="宋体" w:hAnsi="宋体" w:eastAsia="宋体" w:cs="Times New Roman"/>
                <w:color w:val="auto"/>
                <w:sz w:val="21"/>
                <w:szCs w:val="21"/>
              </w:rPr>
            </w:pPr>
          </w:p>
        </w:tc>
        <w:tc>
          <w:tcPr>
            <w:tcW w:w="1440" w:type="dxa"/>
            <w:noWrap/>
            <w:vAlign w:val="center"/>
          </w:tcPr>
          <w:p>
            <w:pPr>
              <w:pStyle w:val="10"/>
              <w:spacing w:line="360" w:lineRule="auto"/>
              <w:rPr>
                <w:rFonts w:ascii="宋体" w:hAnsi="宋体" w:eastAsia="宋体" w:cs="Times New Roman"/>
                <w:color w:val="auto"/>
                <w:sz w:val="21"/>
                <w:szCs w:val="21"/>
              </w:rPr>
            </w:pPr>
          </w:p>
        </w:tc>
        <w:tc>
          <w:tcPr>
            <w:tcW w:w="1706" w:type="dxa"/>
            <w:noWrap/>
            <w:vAlign w:val="center"/>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noWrap/>
            <w:vAlign w:val="center"/>
          </w:tcPr>
          <w:p>
            <w:pPr>
              <w:rPr>
                <w:rFonts w:ascii="宋体"/>
                <w:color w:val="auto"/>
                <w:szCs w:val="21"/>
              </w:rPr>
            </w:pPr>
          </w:p>
        </w:tc>
        <w:tc>
          <w:tcPr>
            <w:tcW w:w="3579" w:type="dxa"/>
            <w:noWrap/>
            <w:vAlign w:val="center"/>
          </w:tcPr>
          <w:p>
            <w:pPr>
              <w:rPr>
                <w:rFonts w:ascii="宋体"/>
                <w:color w:val="auto"/>
                <w:szCs w:val="21"/>
              </w:rPr>
            </w:pPr>
          </w:p>
        </w:tc>
        <w:tc>
          <w:tcPr>
            <w:tcW w:w="1440" w:type="dxa"/>
            <w:noWrap/>
            <w:vAlign w:val="center"/>
          </w:tcPr>
          <w:p>
            <w:pPr>
              <w:rPr>
                <w:rFonts w:ascii="宋体"/>
                <w:color w:val="auto"/>
                <w:szCs w:val="21"/>
              </w:rPr>
            </w:pPr>
          </w:p>
        </w:tc>
        <w:tc>
          <w:tcPr>
            <w:tcW w:w="1706" w:type="dxa"/>
            <w:noWrap/>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10"/>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noWrap/>
            <w:vAlign w:val="center"/>
          </w:tcPr>
          <w:p>
            <w:pPr>
              <w:rPr>
                <w:rFonts w:ascii="宋体"/>
                <w:color w:val="auto"/>
                <w:szCs w:val="21"/>
              </w:rPr>
            </w:pPr>
          </w:p>
        </w:tc>
        <w:tc>
          <w:tcPr>
            <w:tcW w:w="3579" w:type="dxa"/>
            <w:noWrap/>
            <w:vAlign w:val="center"/>
          </w:tcPr>
          <w:p>
            <w:pPr>
              <w:rPr>
                <w:rFonts w:ascii="宋体"/>
                <w:color w:val="auto"/>
                <w:szCs w:val="21"/>
              </w:rPr>
            </w:pPr>
          </w:p>
        </w:tc>
        <w:tc>
          <w:tcPr>
            <w:tcW w:w="1440" w:type="dxa"/>
            <w:noWrap/>
            <w:vAlign w:val="center"/>
          </w:tcPr>
          <w:p>
            <w:pPr>
              <w:rPr>
                <w:rFonts w:ascii="宋体"/>
                <w:color w:val="auto"/>
                <w:szCs w:val="21"/>
              </w:rPr>
            </w:pPr>
          </w:p>
        </w:tc>
        <w:tc>
          <w:tcPr>
            <w:tcW w:w="1706" w:type="dxa"/>
            <w:noWrap/>
            <w:vAlign w:val="center"/>
          </w:tcPr>
          <w:p>
            <w:pPr>
              <w:rPr>
                <w:rFonts w:ascii="宋体"/>
                <w:color w:val="auto"/>
                <w:szCs w:val="21"/>
              </w:rPr>
            </w:pPr>
          </w:p>
        </w:tc>
      </w:tr>
    </w:tbl>
    <w:p>
      <w:pPr>
        <w:autoSpaceDE w:val="0"/>
        <w:autoSpaceDN w:val="0"/>
        <w:adjustRightInd w:val="0"/>
        <w:spacing w:line="480" w:lineRule="auto"/>
        <w:rPr>
          <w:rFonts w:ascii="宋体" w:hAnsi="宋体" w:cs="宋体"/>
          <w:color w:val="auto"/>
          <w:szCs w:val="21"/>
          <w:lang w:val="zh-CN"/>
        </w:rPr>
      </w:pPr>
    </w:p>
    <w:p>
      <w:pPr>
        <w:autoSpaceDE w:val="0"/>
        <w:autoSpaceDN w:val="0"/>
        <w:adjustRightInd w:val="0"/>
        <w:spacing w:line="480" w:lineRule="auto"/>
        <w:rPr>
          <w:rFonts w:ascii="宋体" w:hAnsi="宋体" w:cs="宋体"/>
          <w:color w:val="auto"/>
          <w:szCs w:val="21"/>
          <w:u w:val="single"/>
          <w:lang w:val="zh-CN"/>
        </w:rPr>
      </w:pPr>
      <w:r>
        <w:rPr>
          <w:rFonts w:hint="eastAsia" w:ascii="宋体" w:hAnsi="宋体" w:cs="宋体"/>
          <w:color w:val="auto"/>
          <w:szCs w:val="21"/>
          <w:lang w:val="zh-CN"/>
        </w:rPr>
        <w:t>供应商名称（</w:t>
      </w:r>
      <w:r>
        <w:rPr>
          <w:rFonts w:hint="eastAsia" w:ascii="宋体" w:hAnsi="宋体" w:cs="Arial"/>
          <w:color w:val="auto"/>
          <w:szCs w:val="21"/>
        </w:rPr>
        <w:t>并加盖公章</w:t>
      </w:r>
      <w:r>
        <w:rPr>
          <w:rFonts w:hint="eastAsia" w:ascii="宋体" w:hAnsi="宋体" w:cs="宋体"/>
          <w:color w:val="auto"/>
          <w:szCs w:val="21"/>
          <w:lang w:val="zh-CN"/>
        </w:rPr>
        <w:t>）：</w:t>
      </w:r>
    </w:p>
    <w:p>
      <w:pPr>
        <w:pStyle w:val="34"/>
        <w:ind w:firstLine="0" w:firstLineChars="0"/>
        <w:rPr>
          <w:color w:val="auto"/>
        </w:rPr>
      </w:pPr>
      <w:r>
        <w:rPr>
          <w:rFonts w:hint="eastAsia"/>
          <w:color w:val="auto"/>
        </w:rPr>
        <w:t>日期：  年  月  日</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jc w:val="center"/>
        <w:rPr>
          <w:rFonts w:ascii="宋体" w:hAnsi="宋体"/>
          <w:b/>
          <w:bCs/>
          <w:color w:val="auto"/>
          <w:sz w:val="24"/>
          <w:szCs w:val="24"/>
        </w:rPr>
      </w:pPr>
      <w:r>
        <w:rPr>
          <w:rFonts w:hint="eastAsia" w:cs="黑体" w:asciiTheme="minorEastAsia" w:hAnsiTheme="minorEastAsia"/>
          <w:b/>
          <w:bCs/>
          <w:color w:val="auto"/>
          <w:sz w:val="28"/>
          <w:szCs w:val="28"/>
          <w:lang w:val="zh-CN"/>
        </w:rPr>
        <w:br w:type="page"/>
      </w:r>
      <w:r>
        <w:rPr>
          <w:rFonts w:hint="eastAsia" w:ascii="宋体" w:hAnsi="宋体"/>
          <w:b/>
          <w:bCs/>
          <w:color w:val="auto"/>
          <w:sz w:val="24"/>
          <w:szCs w:val="24"/>
        </w:rPr>
        <w:t>4.5 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本公司郑重声明，根据《政府采购促进中小企业发展管理办法》（财库[2020]46号）的规定，本公司参加</w:t>
      </w:r>
      <w:r>
        <w:rPr>
          <w:rFonts w:hint="eastAsia" w:ascii="宋体" w:hAnsi="宋体" w:cs="Arial"/>
          <w:color w:val="auto"/>
          <w:kern w:val="0"/>
          <w:szCs w:val="21"/>
          <w:u w:val="single"/>
        </w:rPr>
        <w:t>（单位名称）</w:t>
      </w:r>
      <w:r>
        <w:rPr>
          <w:rFonts w:hint="eastAsia" w:ascii="宋体" w:hAnsi="宋体" w:cs="Arial"/>
          <w:color w:val="auto"/>
          <w:kern w:val="0"/>
          <w:szCs w:val="21"/>
        </w:rPr>
        <w:t>的</w:t>
      </w:r>
      <w:r>
        <w:rPr>
          <w:rFonts w:hint="eastAsia" w:ascii="宋体" w:hAnsi="宋体" w:cs="Arial"/>
          <w:color w:val="auto"/>
          <w:kern w:val="0"/>
          <w:szCs w:val="21"/>
          <w:u w:val="single"/>
        </w:rPr>
        <w:t>（项目名称）</w:t>
      </w:r>
      <w:r>
        <w:rPr>
          <w:rFonts w:hint="eastAsia" w:ascii="宋体" w:hAnsi="宋体" w:cs="Arial"/>
          <w:color w:val="auto"/>
          <w:kern w:val="0"/>
          <w:szCs w:val="21"/>
        </w:rPr>
        <w:t>采购活动，工程的施工单位全部为符合政策要求的中小企业。相关企业(含联合体中的中小企业、签订分包意向协议的中小企业）的具体情况如下：</w:t>
      </w:r>
    </w:p>
    <w:p>
      <w:pPr>
        <w:widowControl/>
        <w:spacing w:before="100" w:beforeAutospacing="1" w:after="100" w:afterAutospacing="1" w:line="360" w:lineRule="auto"/>
        <w:ind w:firstLine="420" w:firstLineChars="200"/>
        <w:contextualSpacing/>
        <w:jc w:val="left"/>
        <w:rPr>
          <w:color w:val="auto"/>
          <w:szCs w:val="21"/>
          <w:u w:val="single"/>
        </w:rPr>
      </w:pPr>
      <w:r>
        <w:rPr>
          <w:rFonts w:hint="eastAsia" w:ascii="宋体" w:hAnsi="宋体" w:cs="Arial"/>
          <w:color w:val="auto"/>
          <w:kern w:val="0"/>
          <w:szCs w:val="21"/>
          <w:u w:val="single"/>
        </w:rPr>
        <w:t>（标的名称）</w:t>
      </w:r>
      <w:r>
        <w:rPr>
          <w:rFonts w:hint="eastAsia" w:ascii="宋体" w:hAnsi="宋体" w:cs="Arial"/>
          <w:color w:val="auto"/>
          <w:kern w:val="0"/>
          <w:szCs w:val="21"/>
        </w:rPr>
        <w:t>，属于</w:t>
      </w:r>
      <w:r>
        <w:rPr>
          <w:rFonts w:hint="eastAsia" w:ascii="宋体" w:hAnsi="宋体" w:cs="Arial"/>
          <w:color w:val="auto"/>
          <w:kern w:val="0"/>
          <w:szCs w:val="21"/>
          <w:u w:val="single"/>
        </w:rPr>
        <w:t>（采购文件中明确的所属行业）</w:t>
      </w:r>
      <w:r>
        <w:rPr>
          <w:rFonts w:hint="eastAsia" w:ascii="宋体" w:hAnsi="宋体" w:cs="Arial"/>
          <w:color w:val="auto"/>
          <w:kern w:val="0"/>
          <w:szCs w:val="21"/>
        </w:rPr>
        <w:t>；承建（承接）企业为</w:t>
      </w:r>
      <w:r>
        <w:rPr>
          <w:rFonts w:hint="eastAsia" w:ascii="宋体" w:hAnsi="宋体" w:cs="Arial"/>
          <w:color w:val="auto"/>
          <w:kern w:val="0"/>
          <w:szCs w:val="21"/>
          <w:u w:val="single"/>
        </w:rPr>
        <w:t>（企业名称）</w:t>
      </w:r>
      <w:r>
        <w:rPr>
          <w:rFonts w:hint="eastAsia" w:ascii="宋体" w:hAnsi="宋体" w:cs="Arial"/>
          <w:color w:val="auto"/>
          <w:kern w:val="0"/>
          <w:szCs w:val="21"/>
        </w:rPr>
        <w:t>，</w:t>
      </w:r>
      <w:r>
        <w:rPr>
          <w:rFonts w:hint="eastAsia"/>
          <w:color w:val="auto"/>
          <w:szCs w:val="21"/>
        </w:rPr>
        <w:t>从业人员人，营业收入万元，资产总额万元，属于</w:t>
      </w:r>
      <w:r>
        <w:rPr>
          <w:rFonts w:hint="eastAsia"/>
          <w:color w:val="auto"/>
          <w:szCs w:val="21"/>
          <w:u w:val="single"/>
        </w:rPr>
        <w:t>（中型企业、小型企业、微型企业）；</w:t>
      </w:r>
    </w:p>
    <w:p>
      <w:pPr>
        <w:pStyle w:val="25"/>
        <w:ind w:firstLineChars="200"/>
        <w:rPr>
          <w:color w:val="auto"/>
          <w:sz w:val="21"/>
          <w:szCs w:val="21"/>
        </w:rPr>
      </w:pPr>
      <w:r>
        <w:rPr>
          <w:rFonts w:hint="eastAsia"/>
          <w:color w:val="auto"/>
          <w:sz w:val="21"/>
          <w:szCs w:val="21"/>
        </w:rPr>
        <w:t>.........</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jc w:val="left"/>
        <w:rPr>
          <w:rFonts w:ascii="宋体" w:hAnsi="宋体" w:cs="Arial"/>
          <w:color w:val="auto"/>
          <w:kern w:val="0"/>
          <w:szCs w:val="21"/>
        </w:rPr>
      </w:pPr>
    </w:p>
    <w:p>
      <w:pPr>
        <w:widowControl/>
        <w:spacing w:before="100" w:beforeAutospacing="1" w:after="100" w:afterAutospacing="1" w:line="360" w:lineRule="auto"/>
        <w:ind w:left="3885" w:leftChars="1850"/>
        <w:contextualSpacing/>
        <w:jc w:val="left"/>
        <w:rPr>
          <w:rFonts w:hint="default" w:ascii="宋体" w:hAnsi="宋体" w:cs="Arial"/>
          <w:color w:val="auto"/>
          <w:kern w:val="0"/>
          <w:szCs w:val="21"/>
          <w:lang w:val="en-US"/>
        </w:rPr>
      </w:pPr>
      <w:r>
        <w:rPr>
          <w:rFonts w:hint="eastAsia" w:ascii="宋体" w:hAnsi="宋体" w:cs="Arial"/>
          <w:color w:val="auto"/>
          <w:kern w:val="0"/>
          <w:szCs w:val="21"/>
        </w:rPr>
        <w:t>供应商名称（盖章）：　　　　　　　　　</w:t>
      </w:r>
    </w:p>
    <w:p>
      <w:pPr>
        <w:widowControl/>
        <w:spacing w:before="100" w:beforeAutospacing="1" w:after="100" w:afterAutospacing="1" w:line="360" w:lineRule="auto"/>
        <w:ind w:left="3885" w:leftChars="1850"/>
        <w:contextualSpacing/>
        <w:jc w:val="left"/>
        <w:rPr>
          <w:rFonts w:ascii="宋体" w:hAnsi="宋体" w:cs="宋体"/>
          <w:color w:val="auto"/>
          <w:szCs w:val="21"/>
        </w:rPr>
      </w:pPr>
      <w:r>
        <w:rPr>
          <w:rFonts w:hint="eastAsia" w:ascii="宋体" w:hAnsi="宋体" w:cs="Arial"/>
          <w:color w:val="auto"/>
          <w:kern w:val="0"/>
          <w:szCs w:val="21"/>
        </w:rPr>
        <w:t xml:space="preserve">日　  期：      </w:t>
      </w:r>
      <w:r>
        <w:rPr>
          <w:rFonts w:hint="eastAsia" w:ascii="宋体" w:hAnsi="宋体" w:cs="宋体"/>
          <w:color w:val="auto"/>
          <w:szCs w:val="21"/>
        </w:rPr>
        <w:t>年    月    日</w:t>
      </w:r>
    </w:p>
    <w:p>
      <w:pPr>
        <w:widowControl/>
        <w:spacing w:before="100" w:beforeAutospacing="1" w:after="100" w:afterAutospacing="1" w:line="360" w:lineRule="auto"/>
        <w:jc w:val="left"/>
        <w:rPr>
          <w:rFonts w:ascii="宋体" w:hAnsi="宋体" w:cs="Arial"/>
          <w:color w:val="auto"/>
          <w:kern w:val="0"/>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autoSpaceDE w:val="0"/>
        <w:autoSpaceDN w:val="0"/>
        <w:adjustRightInd w:val="0"/>
        <w:spacing w:line="360" w:lineRule="auto"/>
        <w:jc w:val="center"/>
        <w:outlineLvl w:val="0"/>
        <w:rPr>
          <w:rFonts w:ascii="宋体" w:hAnsi="宋体"/>
          <w:b/>
          <w:bCs/>
          <w:color w:val="auto"/>
          <w:sz w:val="24"/>
          <w:szCs w:val="24"/>
        </w:rPr>
      </w:pPr>
    </w:p>
    <w:p>
      <w:pPr>
        <w:pStyle w:val="25"/>
        <w:ind w:firstLine="241"/>
        <w:rPr>
          <w:rFonts w:hAnsi="宋体"/>
          <w:b/>
          <w:bCs/>
          <w:color w:val="auto"/>
          <w:sz w:val="24"/>
          <w:szCs w:val="24"/>
        </w:rPr>
      </w:pPr>
    </w:p>
    <w:p>
      <w:pPr>
        <w:pStyle w:val="13"/>
        <w:ind w:left="420" w:firstLine="482"/>
        <w:rPr>
          <w:rFonts w:hint="default" w:ascii="宋体" w:hAnsi="宋体"/>
          <w:b/>
          <w:bCs/>
          <w:color w:val="auto"/>
          <w:szCs w:val="24"/>
          <w:lang w:eastAsia="zh-CN"/>
        </w:rPr>
      </w:pPr>
    </w:p>
    <w:p>
      <w:pPr>
        <w:rPr>
          <w:rFonts w:ascii="宋体" w:hAnsi="宋体"/>
          <w:b/>
          <w:bCs/>
          <w:color w:val="auto"/>
          <w:sz w:val="24"/>
          <w:szCs w:val="24"/>
        </w:rPr>
      </w:pPr>
    </w:p>
    <w:p>
      <w:pPr>
        <w:pStyle w:val="25"/>
        <w:ind w:firstLine="340"/>
        <w:rPr>
          <w:color w:val="auto"/>
        </w:rPr>
      </w:pPr>
    </w:p>
    <w:p>
      <w:pPr>
        <w:autoSpaceDE w:val="0"/>
        <w:autoSpaceDN w:val="0"/>
        <w:adjustRightInd w:val="0"/>
        <w:spacing w:line="360" w:lineRule="auto"/>
        <w:jc w:val="center"/>
        <w:outlineLvl w:val="0"/>
        <w:rPr>
          <w:rFonts w:ascii="宋体" w:hAnsi="宋体"/>
          <w:b/>
          <w:bCs/>
          <w:color w:val="auto"/>
          <w:sz w:val="24"/>
          <w:szCs w:val="24"/>
        </w:rPr>
      </w:pPr>
    </w:p>
    <w:p>
      <w:pPr>
        <w:pStyle w:val="34"/>
        <w:ind w:firstLine="482"/>
        <w:rPr>
          <w:rFonts w:ascii="宋体" w:hAnsi="宋体"/>
          <w:b/>
          <w:bCs/>
          <w:color w:val="auto"/>
          <w:sz w:val="24"/>
          <w:szCs w:val="24"/>
        </w:rPr>
      </w:pPr>
    </w:p>
    <w:p>
      <w:pPr>
        <w:pStyle w:val="34"/>
        <w:ind w:firstLine="482"/>
        <w:rPr>
          <w:rFonts w:ascii="宋体" w:hAnsi="宋体"/>
          <w:b/>
          <w:bCs/>
          <w:color w:val="auto"/>
          <w:sz w:val="24"/>
          <w:szCs w:val="24"/>
        </w:rPr>
      </w:pPr>
    </w:p>
    <w:p>
      <w:pPr>
        <w:pStyle w:val="34"/>
        <w:ind w:firstLine="482"/>
        <w:rPr>
          <w:rFonts w:ascii="宋体" w:hAnsi="宋体"/>
          <w:b/>
          <w:bCs/>
          <w:color w:val="auto"/>
          <w:sz w:val="24"/>
          <w:szCs w:val="24"/>
        </w:rPr>
      </w:pPr>
    </w:p>
    <w:p>
      <w:pPr>
        <w:pStyle w:val="34"/>
        <w:ind w:firstLine="482"/>
        <w:rPr>
          <w:rFonts w:ascii="宋体" w:hAnsi="宋体"/>
          <w:b/>
          <w:bCs/>
          <w:color w:val="auto"/>
          <w:sz w:val="24"/>
          <w:szCs w:val="24"/>
        </w:rPr>
      </w:pPr>
    </w:p>
    <w:p>
      <w:pPr>
        <w:pStyle w:val="34"/>
        <w:ind w:firstLine="482"/>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contextualSpacing/>
        <w:rPr>
          <w:rFonts w:ascii="宋体" w:hAnsi="宋体"/>
          <w:color w:val="auto"/>
          <w:szCs w:val="21"/>
        </w:rPr>
      </w:pPr>
      <w:r>
        <w:rPr>
          <w:rFonts w:hint="eastAsia" w:ascii="宋体" w:hAnsi="宋体" w:cs="宋体"/>
          <w:color w:val="auto"/>
          <w:szCs w:val="21"/>
          <w:lang w:val="zh-CN"/>
        </w:rPr>
        <w:t>供应商名称（</w:t>
      </w:r>
      <w:r>
        <w:rPr>
          <w:rFonts w:hint="eastAsia" w:ascii="宋体" w:hAnsi="宋体" w:cs="Arial"/>
          <w:color w:val="auto"/>
          <w:szCs w:val="21"/>
        </w:rPr>
        <w:t>并加盖公章</w:t>
      </w:r>
      <w:r>
        <w:rPr>
          <w:rFonts w:hint="eastAsia" w:ascii="宋体" w:hAnsi="宋体" w:cs="宋体"/>
          <w:color w:val="auto"/>
          <w:szCs w:val="21"/>
          <w:lang w:val="zh-CN"/>
        </w:rPr>
        <w:t>）：</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ascii="宋体" w:hAnsi="宋体" w:cs="宋体"/>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 所投产品符合国家强制性要求承诺函</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s="Arial"/>
          <w:color w:val="auto"/>
          <w:kern w:val="0"/>
          <w:szCs w:val="21"/>
        </w:rPr>
      </w:pPr>
      <w:r>
        <w:rPr>
          <w:rFonts w:hint="eastAsia" w:ascii="宋体" w:hAnsi="宋体" w:cs="Arial"/>
          <w:color w:val="auto"/>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ascii="宋体" w:hAnsi="宋体" w:cs="黑体"/>
          <w:b/>
          <w:bCs/>
          <w:color w:val="auto"/>
          <w:sz w:val="44"/>
          <w:szCs w:val="44"/>
          <w:lang w:val="zh-CN"/>
        </w:rPr>
      </w:pPr>
    </w:p>
    <w:p>
      <w:pPr>
        <w:rPr>
          <w:rFonts w:ascii="宋体" w:hAnsi="宋体" w:cs="黑体"/>
          <w:b/>
          <w:bCs/>
          <w:color w:val="auto"/>
          <w:sz w:val="44"/>
          <w:szCs w:val="44"/>
          <w:lang w:val="zh-CN"/>
        </w:rPr>
      </w:pPr>
    </w:p>
    <w:p>
      <w:pPr>
        <w:pStyle w:val="34"/>
        <w:rPr>
          <w:color w:val="auto"/>
          <w:lang w:val="zh-CN"/>
        </w:rPr>
      </w:pPr>
    </w:p>
    <w:p>
      <w:pPr>
        <w:pStyle w:val="34"/>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color w:val="auto"/>
          <w:szCs w:val="21"/>
        </w:rPr>
      </w:pPr>
      <w:r>
        <w:rPr>
          <w:rFonts w:ascii="宋体" w:hAnsi="宋体"/>
          <w:color w:val="auto"/>
          <w:szCs w:val="21"/>
        </w:rPr>
        <w:t>除</w:t>
      </w:r>
      <w:r>
        <w:rPr>
          <w:rFonts w:hint="eastAsia" w:ascii="宋体" w:hAnsi="宋体"/>
          <w:color w:val="auto"/>
          <w:szCs w:val="21"/>
        </w:rPr>
        <w:t>谈判</w:t>
      </w:r>
      <w:r>
        <w:rPr>
          <w:rFonts w:ascii="宋体" w:hAnsi="宋体"/>
          <w:color w:val="auto"/>
          <w:szCs w:val="21"/>
        </w:rPr>
        <w:t>文件另有规定外，</w:t>
      </w:r>
      <w:r>
        <w:rPr>
          <w:rFonts w:hint="eastAsia" w:ascii="宋体" w:hAnsi="宋体"/>
          <w:color w:val="auto"/>
          <w:szCs w:val="21"/>
        </w:rPr>
        <w:t>供应商</w:t>
      </w:r>
      <w:r>
        <w:rPr>
          <w:rFonts w:ascii="宋体" w:hAnsi="宋体"/>
          <w:color w:val="auto"/>
          <w:szCs w:val="21"/>
        </w:rPr>
        <w:t>认为需要提交的其他证明材料或资料加盖</w:t>
      </w:r>
      <w:r>
        <w:rPr>
          <w:rFonts w:hint="eastAsia" w:ascii="宋体" w:hAnsi="宋体"/>
          <w:color w:val="auto"/>
          <w:szCs w:val="21"/>
        </w:rPr>
        <w:t>供应商</w:t>
      </w:r>
      <w:r>
        <w:rPr>
          <w:rFonts w:ascii="宋体" w:hAnsi="宋体"/>
          <w:color w:val="auto"/>
          <w:szCs w:val="21"/>
        </w:rPr>
        <w:t>公章后应在</w:t>
      </w:r>
    </w:p>
    <w:p>
      <w:pPr>
        <w:spacing w:line="360" w:lineRule="auto"/>
        <w:jc w:val="center"/>
        <w:rPr>
          <w:rFonts w:ascii="宋体" w:hAnsi="宋体"/>
          <w:color w:val="auto"/>
          <w:szCs w:val="21"/>
        </w:rPr>
      </w:pPr>
      <w:r>
        <w:rPr>
          <w:rFonts w:ascii="宋体" w:hAnsi="宋体"/>
          <w:color w:val="auto"/>
          <w:szCs w:val="21"/>
        </w:rPr>
        <w:t>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rPr>
          <w:rFonts w:cs="宋体" w:asciiTheme="majorEastAsia" w:hAnsiTheme="majorEastAsia" w:eastAsiaTheme="majorEastAsia"/>
          <w:b/>
          <w:color w:val="auto"/>
          <w:kern w:val="0"/>
          <w:sz w:val="36"/>
          <w:szCs w:val="36"/>
        </w:rPr>
      </w:pPr>
    </w:p>
    <w:p>
      <w:pPr>
        <w:rPr>
          <w:color w:val="auto"/>
        </w:rPr>
      </w:pPr>
    </w:p>
    <w:sectPr>
      <w:footerReference r:id="rId3" w:type="default"/>
      <w:pgSz w:w="11906" w:h="16838"/>
      <w:pgMar w:top="1270" w:right="1253" w:bottom="1270" w:left="1253" w:header="851" w:footer="765"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pPr>
                            <w:pStyle w:val="19"/>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K4/jjjcAQAArQMAAA4AAAAAAAAA&#10;AQAgAAAAHwEAAGRycy9lMm9Eb2MueG1sUEsFBgAAAAAGAAYAWQEAAG0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5">
    <w:nsid w:val="2C7A7622"/>
    <w:multiLevelType w:val="singleLevel"/>
    <w:tmpl w:val="2C7A7622"/>
    <w:lvl w:ilvl="0" w:tentative="0">
      <w:start w:val="1"/>
      <w:numFmt w:val="chineseCounting"/>
      <w:suff w:val="space"/>
      <w:lvlText w:val="第%1章"/>
      <w:lvlJc w:val="left"/>
      <w:rPr>
        <w:rFonts w:hint="eastAsia"/>
      </w:rPr>
    </w:lvl>
  </w:abstractNum>
  <w:abstractNum w:abstractNumId="6">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59F817E8"/>
    <w:multiLevelType w:val="singleLevel"/>
    <w:tmpl w:val="59F817E8"/>
    <w:lvl w:ilvl="0" w:tentative="0">
      <w:start w:val="1"/>
      <w:numFmt w:val="chineseCounting"/>
      <w:pStyle w:val="63"/>
      <w:suff w:val="nothing"/>
      <w:lvlText w:val="%1、"/>
      <w:lvlJc w:val="left"/>
    </w:lvl>
  </w:abstractNum>
  <w:abstractNum w:abstractNumId="9">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754E4703"/>
    <w:multiLevelType w:val="singleLevel"/>
    <w:tmpl w:val="754E4703"/>
    <w:lvl w:ilvl="0" w:tentative="0">
      <w:start w:val="1"/>
      <w:numFmt w:val="chineseCounting"/>
      <w:suff w:val="nothing"/>
      <w:lvlText w:val="%1、"/>
      <w:lvlJc w:val="left"/>
      <w:rPr>
        <w:rFonts w:hint="eastAsia"/>
      </w:rPr>
    </w:lvl>
  </w:abstractNum>
  <w:num w:numId="1">
    <w:abstractNumId w:val="0"/>
  </w:num>
  <w:num w:numId="2">
    <w:abstractNumId w:val="1"/>
  </w:num>
  <w:num w:numId="3">
    <w:abstractNumId w:val="8"/>
  </w:num>
  <w:num w:numId="4">
    <w:abstractNumId w:val="5"/>
  </w:num>
  <w:num w:numId="5">
    <w:abstractNumId w:val="12"/>
  </w:num>
  <w:num w:numId="6">
    <w:abstractNumId w:val="11"/>
  </w:num>
  <w:num w:numId="7">
    <w:abstractNumId w:val="2"/>
  </w:num>
  <w:num w:numId="8">
    <w:abstractNumId w:val="9"/>
  </w:num>
  <w:num w:numId="9">
    <w:abstractNumId w:val="10"/>
  </w:num>
  <w:num w:numId="10">
    <w:abstractNumId w:val="6"/>
  </w:num>
  <w:num w:numId="11">
    <w:abstractNumId w:val="3"/>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NjNkMjBjMjE5Mzg3YmYzYzIyM2ExOTcxMGNiZWYifQ=="/>
  </w:docVars>
  <w:rsids>
    <w:rsidRoot w:val="00A57CA4"/>
    <w:rsid w:val="00191199"/>
    <w:rsid w:val="00283685"/>
    <w:rsid w:val="002E6555"/>
    <w:rsid w:val="0032527A"/>
    <w:rsid w:val="00374888"/>
    <w:rsid w:val="003D6AC5"/>
    <w:rsid w:val="00473ABB"/>
    <w:rsid w:val="00491FA9"/>
    <w:rsid w:val="00571ED4"/>
    <w:rsid w:val="006A2357"/>
    <w:rsid w:val="007029B2"/>
    <w:rsid w:val="007B5001"/>
    <w:rsid w:val="00807490"/>
    <w:rsid w:val="0084404A"/>
    <w:rsid w:val="00891766"/>
    <w:rsid w:val="008A1A0D"/>
    <w:rsid w:val="009252E6"/>
    <w:rsid w:val="009D20AA"/>
    <w:rsid w:val="00A57CA4"/>
    <w:rsid w:val="00A80C8B"/>
    <w:rsid w:val="00AB701C"/>
    <w:rsid w:val="00B33973"/>
    <w:rsid w:val="00B35798"/>
    <w:rsid w:val="00BD04FB"/>
    <w:rsid w:val="00D91711"/>
    <w:rsid w:val="00EA288B"/>
    <w:rsid w:val="00EF0C19"/>
    <w:rsid w:val="00EF3984"/>
    <w:rsid w:val="00FA19DF"/>
    <w:rsid w:val="00FA51D2"/>
    <w:rsid w:val="00FD75D3"/>
    <w:rsid w:val="00FE78CF"/>
    <w:rsid w:val="01224E56"/>
    <w:rsid w:val="02007362"/>
    <w:rsid w:val="02150A22"/>
    <w:rsid w:val="03917B05"/>
    <w:rsid w:val="05987807"/>
    <w:rsid w:val="0599227D"/>
    <w:rsid w:val="066418E1"/>
    <w:rsid w:val="07BA6BC3"/>
    <w:rsid w:val="089004FF"/>
    <w:rsid w:val="0A89109A"/>
    <w:rsid w:val="0ABE6D90"/>
    <w:rsid w:val="0C855C85"/>
    <w:rsid w:val="0CCA19EB"/>
    <w:rsid w:val="0D657CAA"/>
    <w:rsid w:val="0D8C6B36"/>
    <w:rsid w:val="0F05765B"/>
    <w:rsid w:val="0F2C050F"/>
    <w:rsid w:val="0F8A6A06"/>
    <w:rsid w:val="0FFF74D0"/>
    <w:rsid w:val="10AE4129"/>
    <w:rsid w:val="11A92500"/>
    <w:rsid w:val="13233D76"/>
    <w:rsid w:val="13C85277"/>
    <w:rsid w:val="13FD471D"/>
    <w:rsid w:val="143301CB"/>
    <w:rsid w:val="146E3278"/>
    <w:rsid w:val="1516608A"/>
    <w:rsid w:val="15AC6FF2"/>
    <w:rsid w:val="15B53FC1"/>
    <w:rsid w:val="15C13983"/>
    <w:rsid w:val="17561DF4"/>
    <w:rsid w:val="182E3098"/>
    <w:rsid w:val="183D201C"/>
    <w:rsid w:val="18C02D78"/>
    <w:rsid w:val="19D4440C"/>
    <w:rsid w:val="1A1C675F"/>
    <w:rsid w:val="1A77487F"/>
    <w:rsid w:val="1AB844B7"/>
    <w:rsid w:val="1BB84AA8"/>
    <w:rsid w:val="1D0A0FEB"/>
    <w:rsid w:val="1D6F0793"/>
    <w:rsid w:val="1DE97560"/>
    <w:rsid w:val="1E822CF2"/>
    <w:rsid w:val="1ED4318D"/>
    <w:rsid w:val="1ED80607"/>
    <w:rsid w:val="1F2D3CE5"/>
    <w:rsid w:val="1F4E25CE"/>
    <w:rsid w:val="1F77513E"/>
    <w:rsid w:val="201D6C5A"/>
    <w:rsid w:val="20EC630A"/>
    <w:rsid w:val="22207859"/>
    <w:rsid w:val="222714F5"/>
    <w:rsid w:val="22FC28ED"/>
    <w:rsid w:val="23843497"/>
    <w:rsid w:val="259E0CB0"/>
    <w:rsid w:val="269E413F"/>
    <w:rsid w:val="27D03E77"/>
    <w:rsid w:val="28516246"/>
    <w:rsid w:val="28986434"/>
    <w:rsid w:val="28BF35C3"/>
    <w:rsid w:val="29272ED2"/>
    <w:rsid w:val="29C25C3D"/>
    <w:rsid w:val="2A00446B"/>
    <w:rsid w:val="2A9634C2"/>
    <w:rsid w:val="2B872D8F"/>
    <w:rsid w:val="2D127755"/>
    <w:rsid w:val="2D803793"/>
    <w:rsid w:val="2D972D12"/>
    <w:rsid w:val="2E717347"/>
    <w:rsid w:val="2EC100D6"/>
    <w:rsid w:val="2F741A2C"/>
    <w:rsid w:val="309757B8"/>
    <w:rsid w:val="310C50EA"/>
    <w:rsid w:val="3229169D"/>
    <w:rsid w:val="32E45C0F"/>
    <w:rsid w:val="32F77579"/>
    <w:rsid w:val="32F817CE"/>
    <w:rsid w:val="33251567"/>
    <w:rsid w:val="332F2CAD"/>
    <w:rsid w:val="34605E94"/>
    <w:rsid w:val="35985041"/>
    <w:rsid w:val="35FD3A62"/>
    <w:rsid w:val="361615F9"/>
    <w:rsid w:val="366028D8"/>
    <w:rsid w:val="37420D15"/>
    <w:rsid w:val="38D27487"/>
    <w:rsid w:val="39102AA0"/>
    <w:rsid w:val="3A6F3262"/>
    <w:rsid w:val="3AAF4DCB"/>
    <w:rsid w:val="3BD5243D"/>
    <w:rsid w:val="3BE9676F"/>
    <w:rsid w:val="3BFC7063"/>
    <w:rsid w:val="3C0F6D5B"/>
    <w:rsid w:val="3C163ABE"/>
    <w:rsid w:val="3E443615"/>
    <w:rsid w:val="3ECA7C43"/>
    <w:rsid w:val="3EDE556C"/>
    <w:rsid w:val="3F13045A"/>
    <w:rsid w:val="3F44662E"/>
    <w:rsid w:val="4196207A"/>
    <w:rsid w:val="42C77C8E"/>
    <w:rsid w:val="42EA41FA"/>
    <w:rsid w:val="43D30172"/>
    <w:rsid w:val="446948B9"/>
    <w:rsid w:val="44923CB7"/>
    <w:rsid w:val="44B74D3D"/>
    <w:rsid w:val="44D04970"/>
    <w:rsid w:val="47223774"/>
    <w:rsid w:val="474858BD"/>
    <w:rsid w:val="4871195C"/>
    <w:rsid w:val="48A01213"/>
    <w:rsid w:val="49402FC0"/>
    <w:rsid w:val="4A430580"/>
    <w:rsid w:val="4C0D629C"/>
    <w:rsid w:val="4C106FFF"/>
    <w:rsid w:val="4D0349F6"/>
    <w:rsid w:val="4D624C77"/>
    <w:rsid w:val="4D8207D1"/>
    <w:rsid w:val="4DCE3A17"/>
    <w:rsid w:val="4DF46FDA"/>
    <w:rsid w:val="4E1C620B"/>
    <w:rsid w:val="4EB85D4E"/>
    <w:rsid w:val="500C0071"/>
    <w:rsid w:val="512E02FE"/>
    <w:rsid w:val="52C60B43"/>
    <w:rsid w:val="53254EE5"/>
    <w:rsid w:val="5365191E"/>
    <w:rsid w:val="53CB1933"/>
    <w:rsid w:val="54294154"/>
    <w:rsid w:val="546329B5"/>
    <w:rsid w:val="54D3463E"/>
    <w:rsid w:val="54F01B9A"/>
    <w:rsid w:val="558833E1"/>
    <w:rsid w:val="55962FE2"/>
    <w:rsid w:val="55E0043E"/>
    <w:rsid w:val="56460406"/>
    <w:rsid w:val="56EE036F"/>
    <w:rsid w:val="579D4F00"/>
    <w:rsid w:val="57AF0E9E"/>
    <w:rsid w:val="57D02989"/>
    <w:rsid w:val="587F280E"/>
    <w:rsid w:val="58976145"/>
    <w:rsid w:val="59AE24E7"/>
    <w:rsid w:val="59DD731B"/>
    <w:rsid w:val="5AB9700C"/>
    <w:rsid w:val="5B162D7D"/>
    <w:rsid w:val="5BDF1604"/>
    <w:rsid w:val="5C861130"/>
    <w:rsid w:val="5CA47F1B"/>
    <w:rsid w:val="5CD94B1D"/>
    <w:rsid w:val="5D2278CA"/>
    <w:rsid w:val="5D2F321C"/>
    <w:rsid w:val="5D527434"/>
    <w:rsid w:val="5DBE0B94"/>
    <w:rsid w:val="5DE856F2"/>
    <w:rsid w:val="5E0E2A89"/>
    <w:rsid w:val="5E343D6A"/>
    <w:rsid w:val="5E4341C8"/>
    <w:rsid w:val="5F5847E4"/>
    <w:rsid w:val="60661616"/>
    <w:rsid w:val="60BF597F"/>
    <w:rsid w:val="62645721"/>
    <w:rsid w:val="628430EB"/>
    <w:rsid w:val="62876205"/>
    <w:rsid w:val="62CE0B28"/>
    <w:rsid w:val="63676257"/>
    <w:rsid w:val="65547A1D"/>
    <w:rsid w:val="66BF5C89"/>
    <w:rsid w:val="67BA514F"/>
    <w:rsid w:val="68897804"/>
    <w:rsid w:val="6A0C16F7"/>
    <w:rsid w:val="6A9161EF"/>
    <w:rsid w:val="6AD57CEF"/>
    <w:rsid w:val="6B21102D"/>
    <w:rsid w:val="6B2314FC"/>
    <w:rsid w:val="6B4942B9"/>
    <w:rsid w:val="6BAF5CB1"/>
    <w:rsid w:val="6BF57989"/>
    <w:rsid w:val="6CE757D2"/>
    <w:rsid w:val="6D8E2E36"/>
    <w:rsid w:val="6DA06F88"/>
    <w:rsid w:val="6DC146BC"/>
    <w:rsid w:val="6E0527B4"/>
    <w:rsid w:val="6E3E62A8"/>
    <w:rsid w:val="6EAA1FFD"/>
    <w:rsid w:val="6FB92EDC"/>
    <w:rsid w:val="6FBC288E"/>
    <w:rsid w:val="70AC0ED6"/>
    <w:rsid w:val="714257AE"/>
    <w:rsid w:val="71921CC7"/>
    <w:rsid w:val="71EB7EA0"/>
    <w:rsid w:val="72BB46A5"/>
    <w:rsid w:val="72C65C4D"/>
    <w:rsid w:val="733F2D51"/>
    <w:rsid w:val="73666701"/>
    <w:rsid w:val="74705C41"/>
    <w:rsid w:val="74995829"/>
    <w:rsid w:val="75F763EB"/>
    <w:rsid w:val="76E075B5"/>
    <w:rsid w:val="778D3F3B"/>
    <w:rsid w:val="7798337A"/>
    <w:rsid w:val="77CB40DA"/>
    <w:rsid w:val="77D255EA"/>
    <w:rsid w:val="782F398E"/>
    <w:rsid w:val="79AE0905"/>
    <w:rsid w:val="79EC61F4"/>
    <w:rsid w:val="7ABE2599"/>
    <w:rsid w:val="7AD30342"/>
    <w:rsid w:val="7B5C1871"/>
    <w:rsid w:val="7D1714C6"/>
    <w:rsid w:val="7D405219"/>
    <w:rsid w:val="7D781125"/>
    <w:rsid w:val="7DF8516D"/>
    <w:rsid w:val="7E602D02"/>
    <w:rsid w:val="7E633B84"/>
    <w:rsid w:val="7F405C73"/>
    <w:rsid w:val="7F8D6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
    <w:unhideWhenUsed/>
    <w:qFormat/>
    <w:uiPriority w:val="99"/>
    <w:pPr>
      <w:spacing w:after="120"/>
    </w:pPr>
  </w:style>
  <w:style w:type="paragraph" w:customStyle="1" w:styleId="3">
    <w:name w:val="Default"/>
    <w:next w:val="4"/>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
    <w:name w:val="footnote text"/>
    <w:basedOn w:val="1"/>
    <w:qFormat/>
    <w:uiPriority w:val="99"/>
    <w:rPr>
      <w:sz w:val="20"/>
      <w:szCs w:val="20"/>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Body Text 3"/>
    <w:basedOn w:val="1"/>
    <w:link w:val="41"/>
    <w:qFormat/>
    <w:uiPriority w:val="0"/>
    <w:rPr>
      <w:rFonts w:ascii="Times New Roman" w:hAnsi="Times New Roman" w:eastAsia="宋体" w:cs="Times New Roman"/>
      <w:color w:val="FF0000"/>
      <w:sz w:val="24"/>
      <w:szCs w:val="24"/>
    </w:rPr>
  </w:style>
  <w:style w:type="paragraph" w:styleId="12">
    <w:name w:val="Body Text Indent"/>
    <w:basedOn w:val="1"/>
    <w:next w:val="13"/>
    <w:link w:val="44"/>
    <w:qFormat/>
    <w:uiPriority w:val="0"/>
    <w:pPr>
      <w:adjustRightInd w:val="0"/>
      <w:spacing w:after="120" w:line="360" w:lineRule="atLeast"/>
      <w:ind w:left="420" w:leftChars="200"/>
      <w:jc w:val="left"/>
      <w:textAlignment w:val="baseline"/>
    </w:pPr>
    <w:rPr>
      <w:kern w:val="0"/>
      <w:sz w:val="24"/>
      <w:szCs w:val="20"/>
    </w:rPr>
  </w:style>
  <w:style w:type="paragraph" w:styleId="13">
    <w:name w:val="Body Text First Indent 2"/>
    <w:basedOn w:val="12"/>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5"/>
    <w:qFormat/>
    <w:uiPriority w:val="0"/>
    <w:rPr>
      <w:rFonts w:eastAsia="宋体"/>
      <w:sz w:val="24"/>
    </w:rPr>
  </w:style>
  <w:style w:type="paragraph" w:styleId="17">
    <w:name w:val="Date"/>
    <w:basedOn w:val="1"/>
    <w:next w:val="1"/>
    <w:link w:val="46"/>
    <w:unhideWhenUsed/>
    <w:qFormat/>
    <w:uiPriority w:val="99"/>
    <w:pPr>
      <w:ind w:left="100" w:leftChars="2500"/>
    </w:pPr>
  </w:style>
  <w:style w:type="paragraph" w:styleId="18">
    <w:name w:val="Balloon Text"/>
    <w:basedOn w:val="1"/>
    <w:link w:val="48"/>
    <w:semiHidden/>
    <w:unhideWhenUsed/>
    <w:qFormat/>
    <w:uiPriority w:val="99"/>
    <w:rPr>
      <w:sz w:val="18"/>
      <w:szCs w:val="18"/>
    </w:rPr>
  </w:style>
  <w:style w:type="paragraph" w:styleId="19">
    <w:name w:val="footer"/>
    <w:basedOn w:val="1"/>
    <w:link w:val="40"/>
    <w:unhideWhenUsed/>
    <w:qFormat/>
    <w:uiPriority w:val="99"/>
    <w:pPr>
      <w:tabs>
        <w:tab w:val="center" w:pos="4153"/>
        <w:tab w:val="right" w:pos="8306"/>
      </w:tabs>
      <w:snapToGrid w:val="0"/>
      <w:jc w:val="left"/>
    </w:pPr>
    <w:rPr>
      <w:sz w:val="18"/>
      <w:szCs w:val="18"/>
    </w:rPr>
  </w:style>
  <w:style w:type="paragraph" w:styleId="20">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Body Text 2"/>
    <w:basedOn w:val="1"/>
    <w:qFormat/>
    <w:uiPriority w:val="0"/>
    <w:pPr>
      <w:spacing w:after="120" w:line="480" w:lineRule="auto"/>
    </w:pPr>
  </w:style>
  <w:style w:type="paragraph" w:styleId="23">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w:basedOn w:val="2"/>
    <w:next w:val="13"/>
    <w:link w:val="51"/>
    <w:qFormat/>
    <w:uiPriority w:val="0"/>
    <w:pPr>
      <w:ind w:firstLine="420" w:firstLineChars="100"/>
    </w:pPr>
    <w:rPr>
      <w:rFonts w:ascii="宋体" w:hAnsi="Times New Roman" w:eastAsia="宋体" w:cs="Times New Roman"/>
      <w:kern w:val="0"/>
      <w:sz w:val="34"/>
      <w:szCs w:val="20"/>
    </w:rPr>
  </w:style>
  <w:style w:type="character" w:styleId="28">
    <w:name w:val="Strong"/>
    <w:basedOn w:val="27"/>
    <w:qFormat/>
    <w:uiPriority w:val="22"/>
    <w:rPr>
      <w:b/>
      <w:bCs/>
    </w:rPr>
  </w:style>
  <w:style w:type="character" w:styleId="29">
    <w:name w:val="FollowedHyperlink"/>
    <w:basedOn w:val="27"/>
    <w:semiHidden/>
    <w:unhideWhenUsed/>
    <w:qFormat/>
    <w:uiPriority w:val="99"/>
    <w:rPr>
      <w:color w:val="444444"/>
      <w:sz w:val="21"/>
      <w:szCs w:val="21"/>
      <w:u w:val="none"/>
    </w:rPr>
  </w:style>
  <w:style w:type="character" w:styleId="30">
    <w:name w:val="Emphasis"/>
    <w:basedOn w:val="27"/>
    <w:qFormat/>
    <w:uiPriority w:val="20"/>
    <w:rPr>
      <w:i/>
      <w:iCs/>
    </w:rPr>
  </w:style>
  <w:style w:type="character" w:styleId="31">
    <w:name w:val="Hyperlink"/>
    <w:basedOn w:val="27"/>
    <w:unhideWhenUsed/>
    <w:qFormat/>
    <w:uiPriority w:val="99"/>
    <w:rPr>
      <w:color w:val="444444"/>
      <w:sz w:val="21"/>
      <w:szCs w:val="21"/>
      <w:u w:val="none"/>
    </w:rPr>
  </w:style>
  <w:style w:type="paragraph" w:customStyle="1" w:styleId="32">
    <w:name w:val="style4"/>
    <w:basedOn w:val="1"/>
    <w:next w:val="33"/>
    <w:qFormat/>
    <w:uiPriority w:val="0"/>
    <w:pPr>
      <w:widowControl/>
      <w:spacing w:before="280" w:after="280"/>
    </w:pPr>
    <w:rPr>
      <w:rFonts w:ascii="宋体" w:hAnsi="Times New Roman" w:eastAsia="宋体" w:cs="Times New Roman"/>
      <w:sz w:val="18"/>
    </w:rPr>
  </w:style>
  <w:style w:type="paragraph" w:customStyle="1" w:styleId="3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4">
    <w:name w:val="列出段落1"/>
    <w:basedOn w:val="1"/>
    <w:qFormat/>
    <w:uiPriority w:val="34"/>
    <w:pPr>
      <w:ind w:firstLine="420" w:firstLineChars="200"/>
    </w:pPr>
  </w:style>
  <w:style w:type="character" w:customStyle="1" w:styleId="35">
    <w:name w:val="标题 1 Char"/>
    <w:basedOn w:val="27"/>
    <w:link w:val="5"/>
    <w:qFormat/>
    <w:uiPriority w:val="0"/>
    <w:rPr>
      <w:rFonts w:ascii="Calibri" w:hAnsi="Calibri" w:eastAsia="宋体" w:cs="Times New Roman"/>
      <w:b/>
      <w:bCs/>
      <w:kern w:val="44"/>
      <w:sz w:val="44"/>
      <w:szCs w:val="44"/>
    </w:rPr>
  </w:style>
  <w:style w:type="character" w:customStyle="1" w:styleId="36">
    <w:name w:val="标题 2 Char"/>
    <w:basedOn w:val="27"/>
    <w:link w:val="6"/>
    <w:qFormat/>
    <w:uiPriority w:val="0"/>
    <w:rPr>
      <w:rFonts w:ascii="Arial" w:hAnsi="Arial" w:eastAsia="黑体" w:cs="Times New Roman"/>
      <w:b/>
      <w:bCs/>
      <w:kern w:val="0"/>
      <w:sz w:val="32"/>
      <w:szCs w:val="32"/>
    </w:rPr>
  </w:style>
  <w:style w:type="character" w:customStyle="1" w:styleId="37">
    <w:name w:val="标题 3 Char"/>
    <w:basedOn w:val="27"/>
    <w:link w:val="7"/>
    <w:qFormat/>
    <w:uiPriority w:val="0"/>
    <w:rPr>
      <w:rFonts w:ascii="宋体" w:hAnsi="宋体" w:eastAsia="宋体" w:cs="Times New Roman"/>
      <w:b/>
      <w:color w:val="000000"/>
      <w:kern w:val="0"/>
      <w:sz w:val="24"/>
      <w:szCs w:val="20"/>
      <w:lang w:val="en-GB"/>
    </w:rPr>
  </w:style>
  <w:style w:type="character" w:customStyle="1" w:styleId="38">
    <w:name w:val="标题 4 Char"/>
    <w:basedOn w:val="27"/>
    <w:link w:val="8"/>
    <w:qFormat/>
    <w:uiPriority w:val="0"/>
    <w:rPr>
      <w:rFonts w:ascii="Arial" w:hAnsi="Arial" w:eastAsia="黑体" w:cs="Times New Roman"/>
      <w:b/>
      <w:bCs/>
      <w:kern w:val="0"/>
      <w:sz w:val="28"/>
      <w:szCs w:val="28"/>
    </w:rPr>
  </w:style>
  <w:style w:type="character" w:customStyle="1" w:styleId="39">
    <w:name w:val="页眉 Char"/>
    <w:basedOn w:val="27"/>
    <w:link w:val="20"/>
    <w:qFormat/>
    <w:uiPriority w:val="99"/>
    <w:rPr>
      <w:sz w:val="18"/>
      <w:szCs w:val="18"/>
    </w:rPr>
  </w:style>
  <w:style w:type="character" w:customStyle="1" w:styleId="40">
    <w:name w:val="页脚 Char"/>
    <w:basedOn w:val="27"/>
    <w:link w:val="19"/>
    <w:qFormat/>
    <w:uiPriority w:val="99"/>
    <w:rPr>
      <w:sz w:val="18"/>
      <w:szCs w:val="18"/>
    </w:rPr>
  </w:style>
  <w:style w:type="character" w:customStyle="1" w:styleId="41">
    <w:name w:val="正文文本 3 Char"/>
    <w:basedOn w:val="27"/>
    <w:link w:val="11"/>
    <w:qFormat/>
    <w:uiPriority w:val="0"/>
    <w:rPr>
      <w:rFonts w:ascii="Times New Roman" w:hAnsi="Times New Roman" w:eastAsia="宋体" w:cs="Times New Roman"/>
      <w:color w:val="FF0000"/>
      <w:sz w:val="24"/>
      <w:szCs w:val="24"/>
    </w:rPr>
  </w:style>
  <w:style w:type="character" w:customStyle="1" w:styleId="42">
    <w:name w:val="正文文本 Char"/>
    <w:basedOn w:val="27"/>
    <w:link w:val="2"/>
    <w:qFormat/>
    <w:uiPriority w:val="99"/>
  </w:style>
  <w:style w:type="character" w:customStyle="1" w:styleId="43">
    <w:name w:val="正文文本缩进 Char1"/>
    <w:basedOn w:val="27"/>
    <w:link w:val="12"/>
    <w:qFormat/>
    <w:uiPriority w:val="0"/>
    <w:rPr>
      <w:kern w:val="0"/>
      <w:sz w:val="24"/>
      <w:szCs w:val="20"/>
    </w:rPr>
  </w:style>
  <w:style w:type="character" w:customStyle="1" w:styleId="44">
    <w:name w:val="正文文本缩进 Char"/>
    <w:basedOn w:val="27"/>
    <w:link w:val="12"/>
    <w:qFormat/>
    <w:uiPriority w:val="0"/>
  </w:style>
  <w:style w:type="character" w:customStyle="1" w:styleId="45">
    <w:name w:val="纯文本 Char"/>
    <w:basedOn w:val="27"/>
    <w:link w:val="16"/>
    <w:qFormat/>
    <w:uiPriority w:val="0"/>
    <w:rPr>
      <w:rFonts w:eastAsia="宋体"/>
      <w:sz w:val="24"/>
    </w:rPr>
  </w:style>
  <w:style w:type="character" w:customStyle="1" w:styleId="46">
    <w:name w:val="日期 Char"/>
    <w:basedOn w:val="27"/>
    <w:link w:val="17"/>
    <w:qFormat/>
    <w:uiPriority w:val="99"/>
  </w:style>
  <w:style w:type="character" w:customStyle="1" w:styleId="47">
    <w:name w:val="批注框文本 Char1"/>
    <w:basedOn w:val="27"/>
    <w:link w:val="18"/>
    <w:semiHidden/>
    <w:qFormat/>
    <w:uiPriority w:val="99"/>
    <w:rPr>
      <w:sz w:val="18"/>
      <w:szCs w:val="18"/>
    </w:rPr>
  </w:style>
  <w:style w:type="character" w:customStyle="1" w:styleId="48">
    <w:name w:val="批注框文本 Char"/>
    <w:basedOn w:val="27"/>
    <w:link w:val="18"/>
    <w:semiHidden/>
    <w:qFormat/>
    <w:uiPriority w:val="99"/>
    <w:rPr>
      <w:sz w:val="18"/>
      <w:szCs w:val="18"/>
    </w:rPr>
  </w:style>
  <w:style w:type="character" w:customStyle="1" w:styleId="49">
    <w:name w:val="HTML 预设格式 Char1"/>
    <w:basedOn w:val="27"/>
    <w:link w:val="23"/>
    <w:semiHidden/>
    <w:qFormat/>
    <w:uiPriority w:val="99"/>
    <w:rPr>
      <w:rFonts w:ascii="宋体" w:hAnsi="宋体" w:eastAsia="宋体" w:cs="宋体"/>
      <w:kern w:val="0"/>
      <w:sz w:val="24"/>
      <w:szCs w:val="24"/>
    </w:rPr>
  </w:style>
  <w:style w:type="character" w:customStyle="1" w:styleId="50">
    <w:name w:val="HTML 预设格式 Char"/>
    <w:basedOn w:val="27"/>
    <w:link w:val="23"/>
    <w:semiHidden/>
    <w:qFormat/>
    <w:uiPriority w:val="99"/>
    <w:rPr>
      <w:rFonts w:ascii="Courier New" w:hAnsi="Courier New" w:cs="Courier New"/>
      <w:sz w:val="20"/>
      <w:szCs w:val="20"/>
    </w:rPr>
  </w:style>
  <w:style w:type="character" w:customStyle="1" w:styleId="51">
    <w:name w:val="正文首行缩进 Char"/>
    <w:basedOn w:val="42"/>
    <w:link w:val="25"/>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styleId="53">
    <w:name w:val="List Paragraph"/>
    <w:basedOn w:val="1"/>
    <w:unhideWhenUsed/>
    <w:qFormat/>
    <w:uiPriority w:val="99"/>
    <w:pPr>
      <w:ind w:firstLine="420" w:firstLineChars="200"/>
    </w:pPr>
  </w:style>
  <w:style w:type="character" w:customStyle="1" w:styleId="54">
    <w:name w:val="正文文本缩进 Char Char"/>
    <w:link w:val="55"/>
    <w:qFormat/>
    <w:uiPriority w:val="0"/>
    <w:rPr>
      <w:rFonts w:ascii="宋体"/>
      <w:sz w:val="24"/>
    </w:rPr>
  </w:style>
  <w:style w:type="paragraph" w:customStyle="1" w:styleId="55">
    <w:name w:val="正文文本缩进1"/>
    <w:basedOn w:val="1"/>
    <w:link w:val="54"/>
    <w:qFormat/>
    <w:uiPriority w:val="0"/>
    <w:pPr>
      <w:spacing w:line="360" w:lineRule="auto"/>
      <w:ind w:firstLine="480" w:firstLineChars="200"/>
    </w:pPr>
    <w:rPr>
      <w:rFonts w:ascii="宋体"/>
      <w:sz w:val="24"/>
    </w:rPr>
  </w:style>
  <w:style w:type="character" w:customStyle="1" w:styleId="56">
    <w:name w:val="日期 Char Char"/>
    <w:link w:val="57"/>
    <w:qFormat/>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27"/>
    <w:qFormat/>
    <w:uiPriority w:val="0"/>
  </w:style>
  <w:style w:type="paragraph" w:customStyle="1" w:styleId="62">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hover18"/>
    <w:basedOn w:val="27"/>
    <w:qFormat/>
    <w:uiPriority w:val="0"/>
  </w:style>
  <w:style w:type="character" w:customStyle="1" w:styleId="65">
    <w:name w:val="hover"/>
    <w:basedOn w:val="27"/>
    <w:qFormat/>
    <w:uiPriority w:val="0"/>
  </w:style>
  <w:style w:type="character" w:customStyle="1" w:styleId="66">
    <w:name w:val="red3"/>
    <w:basedOn w:val="27"/>
    <w:qFormat/>
    <w:uiPriority w:val="0"/>
    <w:rPr>
      <w:color w:val="FF0000"/>
      <w:sz w:val="18"/>
      <w:szCs w:val="18"/>
    </w:rPr>
  </w:style>
  <w:style w:type="character" w:customStyle="1" w:styleId="67">
    <w:name w:val="red4"/>
    <w:basedOn w:val="27"/>
    <w:qFormat/>
    <w:uiPriority w:val="0"/>
    <w:rPr>
      <w:color w:val="FF0000"/>
      <w:sz w:val="18"/>
      <w:szCs w:val="18"/>
    </w:rPr>
  </w:style>
  <w:style w:type="character" w:customStyle="1" w:styleId="68">
    <w:name w:val="red5"/>
    <w:basedOn w:val="27"/>
    <w:qFormat/>
    <w:uiPriority w:val="0"/>
    <w:rPr>
      <w:color w:val="CC0000"/>
    </w:rPr>
  </w:style>
  <w:style w:type="character" w:customStyle="1" w:styleId="69">
    <w:name w:val="red6"/>
    <w:basedOn w:val="27"/>
    <w:qFormat/>
    <w:uiPriority w:val="0"/>
    <w:rPr>
      <w:color w:val="FF0000"/>
    </w:rPr>
  </w:style>
  <w:style w:type="character" w:customStyle="1" w:styleId="70">
    <w:name w:val="green"/>
    <w:basedOn w:val="27"/>
    <w:qFormat/>
    <w:uiPriority w:val="0"/>
    <w:rPr>
      <w:color w:val="66AE00"/>
      <w:sz w:val="18"/>
      <w:szCs w:val="18"/>
    </w:rPr>
  </w:style>
  <w:style w:type="character" w:customStyle="1" w:styleId="71">
    <w:name w:val="green1"/>
    <w:basedOn w:val="27"/>
    <w:qFormat/>
    <w:uiPriority w:val="0"/>
    <w:rPr>
      <w:color w:val="66AE00"/>
      <w:sz w:val="18"/>
      <w:szCs w:val="18"/>
    </w:rPr>
  </w:style>
  <w:style w:type="character" w:customStyle="1" w:styleId="72">
    <w:name w:val="hover25"/>
    <w:basedOn w:val="27"/>
    <w:qFormat/>
    <w:uiPriority w:val="0"/>
  </w:style>
  <w:style w:type="character" w:customStyle="1" w:styleId="73">
    <w:name w:val="blue"/>
    <w:basedOn w:val="27"/>
    <w:qFormat/>
    <w:uiPriority w:val="0"/>
    <w:rPr>
      <w:color w:val="0371C6"/>
      <w:sz w:val="21"/>
      <w:szCs w:val="21"/>
    </w:rPr>
  </w:style>
  <w:style w:type="character" w:customStyle="1" w:styleId="74">
    <w:name w:val="gb-jt"/>
    <w:basedOn w:val="27"/>
    <w:qFormat/>
    <w:uiPriority w:val="0"/>
  </w:style>
  <w:style w:type="character" w:customStyle="1" w:styleId="75">
    <w:name w:val="right"/>
    <w:basedOn w:val="27"/>
    <w:qFormat/>
    <w:uiPriority w:val="0"/>
    <w:rPr>
      <w:color w:val="999999"/>
      <w:sz w:val="18"/>
      <w:szCs w:val="18"/>
    </w:rPr>
  </w:style>
  <w:style w:type="character" w:customStyle="1" w:styleId="76">
    <w:name w:val="active4"/>
    <w:basedOn w:val="27"/>
    <w:qFormat/>
    <w:uiPriority w:val="0"/>
    <w:rPr>
      <w:color w:val="FFFFFF"/>
      <w:shd w:val="clear" w:color="auto" w:fill="2B7AFC"/>
    </w:rPr>
  </w:style>
  <w:style w:type="character" w:customStyle="1" w:styleId="77">
    <w:name w:val="red"/>
    <w:basedOn w:val="27"/>
    <w:qFormat/>
    <w:uiPriority w:val="0"/>
    <w:rPr>
      <w:color w:val="FF0000"/>
      <w:sz w:val="18"/>
      <w:szCs w:val="18"/>
    </w:rPr>
  </w:style>
  <w:style w:type="character" w:customStyle="1" w:styleId="78">
    <w:name w:val="red1"/>
    <w:basedOn w:val="27"/>
    <w:qFormat/>
    <w:uiPriority w:val="0"/>
    <w:rPr>
      <w:color w:val="FF0000"/>
      <w:sz w:val="18"/>
      <w:szCs w:val="18"/>
    </w:rPr>
  </w:style>
  <w:style w:type="character" w:customStyle="1" w:styleId="79">
    <w:name w:val="red2"/>
    <w:basedOn w:val="27"/>
    <w:qFormat/>
    <w:uiPriority w:val="0"/>
    <w:rPr>
      <w:color w:val="CC0000"/>
    </w:rPr>
  </w:style>
  <w:style w:type="character" w:customStyle="1" w:styleId="80">
    <w:name w:val="active"/>
    <w:basedOn w:val="27"/>
    <w:qFormat/>
    <w:uiPriority w:val="0"/>
    <w:rPr>
      <w:color w:val="FFFFFF"/>
      <w:shd w:val="clear" w:color="auto" w:fill="2B7AFC"/>
    </w:rPr>
  </w:style>
  <w:style w:type="character" w:customStyle="1" w:styleId="81">
    <w:name w:val="hover24"/>
    <w:basedOn w:val="2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29854</Words>
  <Characters>31833</Characters>
  <Lines>257</Lines>
  <Paragraphs>72</Paragraphs>
  <TotalTime>24</TotalTime>
  <ScaleCrop>false</ScaleCrop>
  <LinksUpToDate>false</LinksUpToDate>
  <CharactersWithSpaces>32679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开信项目管理集团有限公司:杜帅</cp:lastModifiedBy>
  <cp:lastPrinted>2022-07-18T04:58:00Z</cp:lastPrinted>
  <dcterms:modified xsi:type="dcterms:W3CDTF">2022-07-21T07:12:54Z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06BBA30524AF461390D53ED628FB97FA</vt:lpwstr>
  </property>
</Properties>
</file>