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禹州市教育体育局课桌凳学生床采购项目</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
          <w:bCs/>
          <w:w w:val="90"/>
          <w:sz w:val="96"/>
        </w:rPr>
      </w:pPr>
      <w:r>
        <w:rPr>
          <w:rFonts w:hint="eastAsia" w:ascii="华文隶书" w:eastAsia="华文隶书"/>
          <w:b/>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采购编号：YZCG-T2022023</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二〇二二年八月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48"/>
        <w:numPr>
          <w:ilvl w:val="0"/>
          <w:numId w:val="4"/>
        </w:numPr>
        <w:ind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禹州市政府采购中心受禹州市教育体育局的委托，就“</w:t>
      </w:r>
      <w:r>
        <w:rPr>
          <w:rFonts w:hint="eastAsia" w:asciiTheme="majorEastAsia" w:hAnsiTheme="majorEastAsia" w:eastAsiaTheme="majorEastAsia" w:cstheme="majorEastAsia"/>
          <w:szCs w:val="21"/>
          <w:lang w:val="zh-CN"/>
        </w:rPr>
        <w:t>禹州市</w:t>
      </w:r>
      <w:r>
        <w:rPr>
          <w:rFonts w:hint="eastAsia" w:asciiTheme="majorEastAsia" w:hAnsiTheme="majorEastAsia" w:eastAsiaTheme="majorEastAsia" w:cstheme="majorEastAsia"/>
          <w:szCs w:val="21"/>
        </w:rPr>
        <w:t>教育体育局课桌凳学生床采购项目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”进行竞争性谈判，欢迎合格的投标人前来投标。</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val="zh-CN"/>
        </w:rPr>
        <w:t>禹州市</w:t>
      </w:r>
      <w:r>
        <w:rPr>
          <w:rFonts w:hint="eastAsia" w:asciiTheme="majorEastAsia" w:hAnsiTheme="majorEastAsia" w:eastAsiaTheme="majorEastAsia" w:cstheme="majorEastAsia"/>
          <w:szCs w:val="21"/>
        </w:rPr>
        <w:t>教育体育局课桌凳学生床采购项目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3、采购编号：YZCG-T2022023</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4、项目需求：课桌凳、学生床、文件柜等一批（详见谈判文件）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5、合同履约期限：合同签订后30日历天内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6、采购预算：1018500元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ggzy.xuchang.gov.cn:8088/ggzy/eps/public/RegistAllJcxx.html</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1、响应文件提交截止时间及谈判响应截止时间、谈判时间：2022年8月 12日 10：30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1"/>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6"/>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地址：禹州市禹王大道东段111号</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联系人：代先生  联系电话：0374-8880023</w:t>
      </w:r>
    </w:p>
    <w:p>
      <w:pPr>
        <w:pStyle w:val="2"/>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（一）本项目需实现的功能或者目标</w:t>
      </w:r>
    </w:p>
    <w:p>
      <w:pPr>
        <w:widowControl/>
        <w:shd w:val="clear" w:color="auto" w:fill="FFFFFF"/>
        <w:spacing w:line="560" w:lineRule="exact"/>
        <w:ind w:firstLine="600"/>
        <w:jc w:val="left"/>
        <w:rPr>
          <w:rFonts w:hint="eastAsia" w:cs="仿宋" w:asciiTheme="minorEastAsia" w:hAnsiTheme="minorEastAsia"/>
          <w:kern w:val="0"/>
          <w:szCs w:val="21"/>
        </w:rPr>
      </w:pPr>
      <w:r>
        <w:rPr>
          <w:rFonts w:hint="eastAsia" w:cs="仿宋" w:asciiTheme="minorEastAsia" w:hAnsiTheme="minorEastAsia"/>
          <w:kern w:val="0"/>
          <w:szCs w:val="21"/>
        </w:rPr>
        <w:t>满足中小学校师生对课桌凳、学生床、文件柜等的使用要求，以及国家相关安全、环保、质量等要求。</w:t>
      </w:r>
    </w:p>
    <w:p>
      <w:pPr>
        <w:widowControl/>
        <w:numPr>
          <w:ilvl w:val="0"/>
          <w:numId w:val="18"/>
        </w:numPr>
        <w:shd w:val="clear" w:color="auto" w:fill="FFFFFF"/>
        <w:spacing w:line="560" w:lineRule="exact"/>
        <w:ind w:firstLine="600"/>
        <w:jc w:val="left"/>
        <w:rPr>
          <w:rFonts w:hint="eastAsia" w:ascii="仿宋" w:hAnsi="仿宋" w:eastAsia="仿宋" w:cs="仿宋"/>
          <w:sz w:val="28"/>
          <w:szCs w:val="28"/>
        </w:rPr>
      </w:pPr>
      <w:r>
        <w:rPr>
          <w:rFonts w:hint="eastAsia" w:ascii="仿宋" w:hAnsi="仿宋" w:eastAsia="仿宋" w:cs="仿宋"/>
          <w:kern w:val="0"/>
          <w:sz w:val="28"/>
          <w:szCs w:val="28"/>
        </w:rPr>
        <w:t>采购清单</w:t>
      </w:r>
    </w:p>
    <w:tbl>
      <w:tblPr>
        <w:tblStyle w:val="24"/>
        <w:tblpPr w:leftFromText="180" w:rightFromText="180" w:vertAnchor="text" w:horzAnchor="page" w:tblpX="1170"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81"/>
        <w:gridCol w:w="4848"/>
        <w:gridCol w:w="425"/>
        <w:gridCol w:w="7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asciiTheme="minorEastAsia" w:hAnsiTheme="minorEastAsia"/>
                <w:sz w:val="24"/>
                <w:szCs w:val="24"/>
              </w:rPr>
            </w:pPr>
            <w:r>
              <w:rPr>
                <w:rFonts w:hint="eastAsia" w:asciiTheme="minorEastAsia" w:hAnsiTheme="minorEastAsia"/>
                <w:sz w:val="24"/>
                <w:szCs w:val="24"/>
              </w:rPr>
              <w:t>序号</w:t>
            </w:r>
          </w:p>
        </w:tc>
        <w:tc>
          <w:tcPr>
            <w:tcW w:w="6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cs="仿宋" w:asciiTheme="minorEastAsia" w:hAnsiTheme="minorEastAsia"/>
                <w:kern w:val="0"/>
                <w:sz w:val="24"/>
                <w:szCs w:val="24"/>
              </w:rPr>
            </w:pPr>
            <w:r>
              <w:rPr>
                <w:rFonts w:hint="eastAsia" w:cs="仿宋" w:asciiTheme="minorEastAsia" w:hAnsiTheme="minorEastAsia"/>
                <w:kern w:val="0"/>
                <w:sz w:val="24"/>
                <w:szCs w:val="24"/>
              </w:rPr>
              <w:t>产品名称</w:t>
            </w:r>
          </w:p>
        </w:tc>
        <w:tc>
          <w:tcPr>
            <w:tcW w:w="4848"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inorEastAsia" w:hAnsiTheme="minorEastAsia"/>
                <w:kern w:val="0"/>
                <w:sz w:val="24"/>
                <w:szCs w:val="24"/>
              </w:rPr>
            </w:pPr>
            <w:r>
              <w:rPr>
                <w:rFonts w:hint="eastAsia" w:cs="仿宋" w:asciiTheme="minorEastAsia" w:hAnsiTheme="minorEastAsia"/>
                <w:kern w:val="0"/>
                <w:sz w:val="24"/>
                <w:szCs w:val="24"/>
              </w:rPr>
              <w:t>规格标准</w:t>
            </w:r>
          </w:p>
        </w:tc>
        <w:tc>
          <w:tcPr>
            <w:tcW w:w="42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asciiTheme="minorEastAsia" w:hAnsiTheme="minorEastAsia"/>
                <w:sz w:val="24"/>
                <w:szCs w:val="24"/>
              </w:rPr>
            </w:pPr>
            <w:r>
              <w:rPr>
                <w:rFonts w:hint="eastAsia" w:asciiTheme="minorEastAsia" w:hAnsiTheme="minorEastAsia"/>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asciiTheme="minorEastAsia" w:hAnsiTheme="minorEastAsia"/>
                <w:b/>
                <w:sz w:val="24"/>
                <w:szCs w:val="24"/>
              </w:rPr>
            </w:pPr>
            <w:r>
              <w:rPr>
                <w:rFonts w:hint="eastAsia" w:asciiTheme="minorEastAsia" w:hAnsiTheme="minorEastAsia"/>
                <w:b/>
                <w:sz w:val="24"/>
                <w:szCs w:val="24"/>
              </w:rPr>
              <w:t>数量</w:t>
            </w:r>
          </w:p>
        </w:tc>
        <w:tc>
          <w:tcPr>
            <w:tcW w:w="24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hint="eastAsia" w:asciiTheme="minorEastAsia" w:hAnsiTheme="minorEastAsia"/>
                <w:sz w:val="24"/>
                <w:szCs w:val="24"/>
              </w:rPr>
            </w:pPr>
            <w:r>
              <w:rPr>
                <w:rFonts w:hint="eastAsia" w:asciiTheme="minorEastAsia" w:hAnsiTheme="minorEastAsia"/>
                <w:sz w:val="24"/>
                <w:szCs w:val="24"/>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1</w:t>
            </w:r>
          </w:p>
        </w:tc>
        <w:tc>
          <w:tcPr>
            <w:tcW w:w="68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cs="仿宋" w:asciiTheme="minorEastAsia" w:hAnsiTheme="minorEastAsia"/>
                <w:kern w:val="0"/>
                <w:sz w:val="24"/>
                <w:szCs w:val="24"/>
              </w:rPr>
            </w:pPr>
            <w:r>
              <w:rPr>
                <w:rFonts w:hint="eastAsia" w:cs="仿宋" w:asciiTheme="minorEastAsia" w:hAnsiTheme="minorEastAsia"/>
                <w:kern w:val="0"/>
                <w:sz w:val="24"/>
                <w:szCs w:val="24"/>
              </w:rPr>
              <w:t>学生课桌凳</w:t>
            </w:r>
          </w:p>
        </w:tc>
        <w:tc>
          <w:tcPr>
            <w:tcW w:w="484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kern w:val="0"/>
                <w:sz w:val="24"/>
                <w:szCs w:val="24"/>
              </w:rPr>
            </w:pPr>
            <w:r>
              <w:rPr>
                <w:rFonts w:hint="eastAsia" w:cs="仿宋" w:asciiTheme="minorEastAsia" w:hAnsiTheme="minorEastAsia"/>
                <w:kern w:val="0"/>
                <w:sz w:val="24"/>
                <w:szCs w:val="24"/>
              </w:rPr>
              <w:t>双柱双层注塑封边课桌：</w:t>
            </w:r>
          </w:p>
          <w:p>
            <w:pPr>
              <w:rPr>
                <w:rFonts w:cs="仿宋" w:asciiTheme="minorEastAsia" w:hAnsiTheme="minorEastAsia"/>
                <w:kern w:val="0"/>
                <w:sz w:val="24"/>
                <w:szCs w:val="24"/>
              </w:rPr>
            </w:pPr>
            <w:r>
              <w:rPr>
                <w:rFonts w:hint="eastAsia" w:cs="仿宋" w:asciiTheme="minorEastAsia" w:hAnsiTheme="minorEastAsia"/>
                <w:kern w:val="0"/>
                <w:sz w:val="24"/>
                <w:szCs w:val="24"/>
              </w:rPr>
              <w:t>1、课桌面板尺寸及要求：桌面尺寸规格605×450mm采用厚度18mm优质白橡色高密度双饰面中纤板，注塑封边一次成型；课桌左上方有一个φ75mm的水杯槽，右上方有一个规格：460*35mm的笔槽，深5mm；在笔槽下方带有长300mm的刻度尺；课桌前端有一个“冂”字型档条，防止文具滑落，总长≥1100mm；课桌前端带有鸭嘴边，靠近学生胸前内凹成弧形（桌面最窄处为430mm）；笔槽、水杯槽与桌面注塑封边连为一体。桌面具有环保、防水、耐磨、耐热、耐酸碱、耐烟灼、耐撞击，不变形、不起皮等性能。桌面场景贴合学生身体，符合人体工程学，四周边缘平整圆滑，安全坚固，课桌面板为白橡色，笔槽、水杯槽与桌面注塑封边为灰色。</w:t>
            </w:r>
          </w:p>
          <w:p>
            <w:pPr>
              <w:rPr>
                <w:rFonts w:cs="仿宋" w:asciiTheme="minorEastAsia" w:hAnsiTheme="minorEastAsia"/>
                <w:kern w:val="0"/>
                <w:sz w:val="24"/>
                <w:szCs w:val="24"/>
              </w:rPr>
            </w:pPr>
            <w:r>
              <w:rPr>
                <w:rFonts w:hint="eastAsia" w:cs="仿宋" w:asciiTheme="minorEastAsia" w:hAnsiTheme="minorEastAsia"/>
                <w:kern w:val="0"/>
                <w:sz w:val="24"/>
                <w:szCs w:val="24"/>
              </w:rPr>
              <w:t>2、桌子升降片总高为470mm；上宽为360mm，下宽为240mm。上斗前端高度为180mm，上斗后端高度为200mm。下斗前端高度为280mm，下斗后端高度为270mm。上下书包斗带有倾斜角度，防止书包滑落，两排升降孔分别为9个孔、孔距为30mm，升降孔左右间距为110mm。升降片前端上下须卷圆边防止剐蹭。四周有加强筋，增加侧板支撑力。桌子升降片上带有能安装铁挂钩与塑料挂钩的孔，桌子升降侧板采用1.0mm的冷轧钢板,必须一次冲压成型，不允许电焊拼接，敲打，耐受力（钢材各项化学成分，屈服点，抗拉强度、延伸率、冷弯实验等指标符合现行国家标准）。厚度允许正偏离，其它尺寸允许正负偏离2mm。</w:t>
            </w:r>
          </w:p>
          <w:p>
            <w:pPr>
              <w:rPr>
                <w:rFonts w:cs="仿宋" w:asciiTheme="minorEastAsia" w:hAnsiTheme="minorEastAsia"/>
                <w:kern w:val="0"/>
                <w:sz w:val="24"/>
                <w:szCs w:val="24"/>
              </w:rPr>
            </w:pPr>
            <w:r>
              <w:rPr>
                <w:rFonts w:hint="eastAsia" w:cs="仿宋" w:asciiTheme="minorEastAsia" w:hAnsiTheme="minorEastAsia"/>
                <w:kern w:val="0"/>
                <w:sz w:val="24"/>
                <w:szCs w:val="24"/>
              </w:rPr>
              <w:t>3、桌腿:桌底底腿采用20mm×50mm×1.2mm厚优质扁圆管，底腿立柱用20mm×50mm×1.2mm厚的优质扁圆管,颜色为驼灰色。</w:t>
            </w:r>
          </w:p>
          <w:p>
            <w:pPr>
              <w:rPr>
                <w:rFonts w:cs="仿宋" w:asciiTheme="minorEastAsia" w:hAnsiTheme="minorEastAsia"/>
                <w:kern w:val="0"/>
                <w:sz w:val="24"/>
                <w:szCs w:val="24"/>
              </w:rPr>
            </w:pPr>
            <w:r>
              <w:rPr>
                <w:rFonts w:hint="eastAsia" w:cs="仿宋" w:asciiTheme="minorEastAsia" w:hAnsiTheme="minorEastAsia"/>
                <w:kern w:val="0"/>
                <w:sz w:val="24"/>
                <w:szCs w:val="24"/>
              </w:rPr>
              <w:t>可升降课凳（双立柱钢木结构）：</w:t>
            </w:r>
          </w:p>
          <w:p>
            <w:pPr>
              <w:rPr>
                <w:rFonts w:cs="仿宋" w:asciiTheme="minorEastAsia" w:hAnsiTheme="minorEastAsia"/>
                <w:kern w:val="0"/>
                <w:sz w:val="24"/>
                <w:szCs w:val="24"/>
              </w:rPr>
            </w:pPr>
            <w:r>
              <w:rPr>
                <w:rFonts w:hint="eastAsia" w:cs="仿宋" w:asciiTheme="minorEastAsia" w:hAnsiTheme="minorEastAsia"/>
                <w:kern w:val="0"/>
                <w:sz w:val="24"/>
                <w:szCs w:val="24"/>
              </w:rPr>
              <w:t>1、规格尺寸：学生凳尺寸：长340mm(±2mm) ×宽240mm(±2mm)×18mm，采用材料为优质白橡色高密度双饰面中纤板。注塑封边一体成型，颜色为灰色，四角圆弧设计，凳面与主体采用穿透式螺丝连接，螺母为防滑止退母。</w:t>
            </w:r>
          </w:p>
          <w:p>
            <w:pPr>
              <w:rPr>
                <w:rFonts w:cs="仿宋" w:asciiTheme="minorEastAsia" w:hAnsiTheme="minorEastAsia"/>
                <w:kern w:val="0"/>
                <w:sz w:val="24"/>
                <w:szCs w:val="24"/>
              </w:rPr>
            </w:pPr>
            <w:r>
              <w:rPr>
                <w:rFonts w:hint="eastAsia" w:cs="仿宋" w:asciiTheme="minorEastAsia" w:hAnsiTheme="minorEastAsia"/>
                <w:kern w:val="0"/>
                <w:sz w:val="24"/>
                <w:szCs w:val="24"/>
              </w:rPr>
              <w:t>3、脚套：整体采用合成橡胶，脚套顶部设有加强筋处理，耐磨、耐老化，脚套底部采用螺丝固定或冲压成凸型，防止脚套不易脱落。</w:t>
            </w:r>
          </w:p>
          <w:p>
            <w:pPr>
              <w:rPr>
                <w:rFonts w:cs="仿宋" w:asciiTheme="minorEastAsia" w:hAnsiTheme="minorEastAsia"/>
                <w:kern w:val="0"/>
                <w:sz w:val="24"/>
                <w:szCs w:val="24"/>
              </w:rPr>
            </w:pPr>
            <w:r>
              <w:rPr>
                <w:rFonts w:hint="eastAsia" w:cs="仿宋" w:asciiTheme="minorEastAsia" w:hAnsiTheme="minorEastAsia"/>
                <w:kern w:val="0"/>
                <w:sz w:val="24"/>
                <w:szCs w:val="24"/>
              </w:rPr>
              <w:t>4、凳脚：凳脚采用1.2mm厚50mm×20mm椭圆管,两侧均为双竖管，配耐磨塑料脚套，侧板采用≥0.8mm厚冷轧钢板。</w:t>
            </w:r>
          </w:p>
          <w:p>
            <w:pPr>
              <w:rPr>
                <w:rFonts w:hint="eastAsia" w:cs="仿宋" w:asciiTheme="minorEastAsia" w:hAnsiTheme="minorEastAsia"/>
                <w:kern w:val="0"/>
                <w:sz w:val="24"/>
                <w:szCs w:val="24"/>
              </w:rPr>
            </w:pPr>
            <w:r>
              <w:rPr>
                <w:rFonts w:hint="eastAsia" w:cs="仿宋" w:asciiTheme="minorEastAsia" w:hAnsiTheme="minorEastAsia"/>
                <w:kern w:val="0"/>
                <w:sz w:val="24"/>
                <w:szCs w:val="24"/>
              </w:rPr>
              <w:t>5、钢制部分采用二氧化碳保护焊接，表面粉末静电喷塑，光洁度90%以上，硬度达0.4，冲击力&gt;4N/M。表面平整，色泽鲜明，面板具有耐磨、耐划痕、耐酸碱、耐烫、耐污染优点，全部采用止退螺丝帽加固。</w:t>
            </w:r>
          </w:p>
          <w:p>
            <w:pPr>
              <w:ind w:firstLine="480" w:firstLineChars="200"/>
              <w:rPr>
                <w:rFonts w:hint="eastAsia" w:cs="仿宋" w:asciiTheme="minorEastAsia" w:hAnsiTheme="minorEastAsia"/>
                <w:kern w:val="0"/>
                <w:sz w:val="24"/>
                <w:szCs w:val="24"/>
              </w:rPr>
            </w:pPr>
            <w:r>
              <w:rPr>
                <w:rFonts w:hint="eastAsia" w:cs="仿宋" w:asciiTheme="minorEastAsia" w:hAnsiTheme="minorEastAsia"/>
                <w:kern w:val="0"/>
                <w:sz w:val="24"/>
                <w:szCs w:val="24"/>
              </w:rPr>
              <w:t>提供质量监督检验中心出具的“碳素钢板”检测报告，检验依据参照GB/T3325-2017、QB/T 3826-1999,检验项目包含而不限于：外观性能要求[金属件（涂层）]、理化性能要求[附着力（应不低于1级）]、耐腐蚀（中性盐雾试验（NSS法）≥1000h（涂层本身的耐腐蚀等级10级、涂层对基体的保护等级10级），全部符合标准要求。（检测报告封面须有CMA、CAL、CNAS标志）投标人须提供官网链接查询截图。</w:t>
            </w:r>
          </w:p>
          <w:p>
            <w:pPr>
              <w:ind w:firstLine="480" w:firstLineChars="200"/>
              <w:rPr>
                <w:rFonts w:cs="仿宋" w:asciiTheme="minorEastAsia" w:hAnsiTheme="minorEastAsia"/>
                <w:kern w:val="0"/>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套</w:t>
            </w:r>
          </w:p>
        </w:tc>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b/>
                <w:sz w:val="24"/>
                <w:szCs w:val="24"/>
              </w:rPr>
            </w:pPr>
            <w:r>
              <w:rPr>
                <w:rFonts w:hint="eastAsia" w:asciiTheme="minorEastAsia" w:hAnsiTheme="minorEastAsia"/>
                <w:b/>
                <w:sz w:val="24"/>
                <w:szCs w:val="24"/>
              </w:rPr>
              <w:t>2600</w:t>
            </w:r>
          </w:p>
        </w:tc>
        <w:tc>
          <w:tcPr>
            <w:tcW w:w="24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asciiTheme="minorEastAsia" w:hAnsiTheme="minorEastAsia"/>
                <w:sz w:val="24"/>
                <w:szCs w:val="24"/>
              </w:rPr>
              <w:drawing>
                <wp:inline distT="0" distB="0" distL="0" distR="0">
                  <wp:extent cx="1371600" cy="1828800"/>
                  <wp:effectExtent l="19050" t="0" r="0" b="0"/>
                  <wp:docPr id="1" name="图片 5" descr="C:\Users\ADMINI~1\AppData\Local\Temp\WeChat Files\f6d7d6720c795622bfec02e73693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1\AppData\Local\Temp\WeChat Files\f6d7d6720c795622bfec02e736935fb.jpg"/>
                          <pic:cNvPicPr>
                            <a:picLocks noChangeAspect="1" noChangeArrowheads="1"/>
                          </pic:cNvPicPr>
                        </pic:nvPicPr>
                        <pic:blipFill>
                          <a:blip r:embed="rId5"/>
                          <a:srcRect/>
                          <a:stretch>
                            <a:fillRect/>
                          </a:stretch>
                        </pic:blipFill>
                        <pic:spPr>
                          <a:xfrm>
                            <a:off x="0" y="0"/>
                            <a:ext cx="1371600" cy="1828800"/>
                          </a:xfrm>
                          <a:prstGeom prst="rect">
                            <a:avLst/>
                          </a:prstGeom>
                          <a:noFill/>
                          <a:ln w="9525" cmpd="sng">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2</w:t>
            </w:r>
          </w:p>
        </w:tc>
        <w:tc>
          <w:tcPr>
            <w:tcW w:w="681"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kern w:val="0"/>
                <w:sz w:val="24"/>
                <w:szCs w:val="24"/>
              </w:rPr>
            </w:pPr>
            <w:r>
              <w:rPr>
                <w:rFonts w:hint="eastAsia" w:cs="仿宋" w:asciiTheme="minorEastAsia" w:hAnsiTheme="minorEastAsia"/>
                <w:kern w:val="0"/>
                <w:sz w:val="24"/>
                <w:szCs w:val="24"/>
              </w:rPr>
              <w:t>学生双层钢 床</w:t>
            </w:r>
          </w:p>
        </w:tc>
        <w:tc>
          <w:tcPr>
            <w:tcW w:w="484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kern w:val="0"/>
                <w:sz w:val="24"/>
                <w:szCs w:val="24"/>
              </w:rPr>
            </w:pPr>
            <w:r>
              <w:rPr>
                <w:rFonts w:hint="eastAsia" w:cs="仿宋" w:asciiTheme="minorEastAsia" w:hAnsiTheme="minorEastAsia"/>
                <w:kern w:val="0"/>
                <w:sz w:val="24"/>
                <w:szCs w:val="24"/>
              </w:rPr>
              <w:t>床体：</w:t>
            </w:r>
          </w:p>
          <w:p>
            <w:pPr>
              <w:rPr>
                <w:rFonts w:cs="仿宋" w:asciiTheme="minorEastAsia" w:hAnsiTheme="minorEastAsia"/>
                <w:kern w:val="0"/>
                <w:sz w:val="24"/>
                <w:szCs w:val="24"/>
              </w:rPr>
            </w:pPr>
            <w:r>
              <w:rPr>
                <w:rFonts w:hint="eastAsia" w:cs="仿宋" w:asciiTheme="minorEastAsia" w:hAnsiTheme="minorEastAsia"/>
                <w:kern w:val="0"/>
                <w:sz w:val="24"/>
                <w:szCs w:val="24"/>
              </w:rPr>
              <w:t>1.外形尺寸：长2000mm×宽900mm×1800mm；</w:t>
            </w:r>
          </w:p>
          <w:p>
            <w:pPr>
              <w:rPr>
                <w:rFonts w:cs="仿宋" w:asciiTheme="minorEastAsia" w:hAnsiTheme="minorEastAsia"/>
                <w:kern w:val="0"/>
                <w:sz w:val="24"/>
                <w:szCs w:val="24"/>
              </w:rPr>
            </w:pPr>
            <w:r>
              <w:rPr>
                <w:rFonts w:hint="eastAsia" w:cs="仿宋" w:asciiTheme="minorEastAsia" w:hAnsiTheme="minorEastAsia"/>
                <w:kern w:val="0"/>
                <w:sz w:val="24"/>
                <w:szCs w:val="24"/>
              </w:rPr>
              <w:t>2.床立柱管：采用50mm×50mmm×1.5mm（≥）方管；</w:t>
            </w:r>
          </w:p>
          <w:p>
            <w:pPr>
              <w:rPr>
                <w:rFonts w:cs="仿宋" w:asciiTheme="minorEastAsia" w:hAnsiTheme="minorEastAsia"/>
                <w:kern w:val="0"/>
                <w:sz w:val="24"/>
                <w:szCs w:val="24"/>
              </w:rPr>
            </w:pPr>
            <w:r>
              <w:rPr>
                <w:rFonts w:hint="eastAsia" w:cs="仿宋" w:asciiTheme="minorEastAsia" w:hAnsiTheme="minorEastAsia"/>
                <w:kern w:val="0"/>
                <w:sz w:val="24"/>
                <w:szCs w:val="24"/>
              </w:rPr>
              <w:t>3.床头横撑：采用30mm×30mm×1.2mm（≥）方管；</w:t>
            </w:r>
          </w:p>
          <w:p>
            <w:pPr>
              <w:rPr>
                <w:rFonts w:cs="仿宋" w:asciiTheme="minorEastAsia" w:hAnsiTheme="minorEastAsia"/>
                <w:kern w:val="0"/>
                <w:sz w:val="24"/>
                <w:szCs w:val="24"/>
              </w:rPr>
            </w:pPr>
            <w:r>
              <w:rPr>
                <w:rFonts w:hint="eastAsia" w:cs="仿宋" w:asciiTheme="minorEastAsia" w:hAnsiTheme="minorEastAsia"/>
                <w:kern w:val="0"/>
                <w:sz w:val="24"/>
                <w:szCs w:val="24"/>
              </w:rPr>
              <w:t>4.床头竖管：采用25mm×25mm×1.2mm（≥）方管；</w:t>
            </w:r>
          </w:p>
          <w:p>
            <w:pPr>
              <w:rPr>
                <w:rFonts w:cs="仿宋" w:asciiTheme="minorEastAsia" w:hAnsiTheme="minorEastAsia"/>
                <w:kern w:val="0"/>
                <w:sz w:val="24"/>
                <w:szCs w:val="24"/>
              </w:rPr>
            </w:pPr>
            <w:r>
              <w:rPr>
                <w:rFonts w:hint="eastAsia" w:cs="仿宋" w:asciiTheme="minorEastAsia" w:hAnsiTheme="minorEastAsia"/>
                <w:kern w:val="0"/>
                <w:sz w:val="24"/>
                <w:szCs w:val="24"/>
              </w:rPr>
              <w:t>5.床框主管：采用30mm×50mm×1.5mm（≥）方管；</w:t>
            </w:r>
          </w:p>
          <w:p>
            <w:pPr>
              <w:rPr>
                <w:rFonts w:cs="仿宋" w:asciiTheme="minorEastAsia" w:hAnsiTheme="minorEastAsia"/>
                <w:kern w:val="0"/>
                <w:sz w:val="24"/>
                <w:szCs w:val="24"/>
              </w:rPr>
            </w:pPr>
            <w:r>
              <w:rPr>
                <w:rFonts w:hint="eastAsia" w:cs="仿宋" w:asciiTheme="minorEastAsia" w:hAnsiTheme="minorEastAsia"/>
                <w:kern w:val="0"/>
                <w:sz w:val="24"/>
                <w:szCs w:val="24"/>
              </w:rPr>
              <w:t>6.床框横撑管：采用25mm×25mm×1.2mm（≥）方管，每个床撑不少于6根，且处于同一水平面；下床框距离地面38cm，上床框与下床框距离900mm。</w:t>
            </w:r>
          </w:p>
          <w:p>
            <w:pPr>
              <w:rPr>
                <w:rFonts w:cs="仿宋" w:asciiTheme="minorEastAsia" w:hAnsiTheme="minorEastAsia"/>
                <w:kern w:val="0"/>
                <w:sz w:val="24"/>
                <w:szCs w:val="24"/>
              </w:rPr>
            </w:pPr>
            <w:r>
              <w:rPr>
                <w:rFonts w:hint="eastAsia" w:cs="仿宋" w:asciiTheme="minorEastAsia" w:hAnsiTheme="minorEastAsia"/>
                <w:kern w:val="0"/>
                <w:sz w:val="24"/>
                <w:szCs w:val="24"/>
              </w:rPr>
              <w:t>7.护栏管：采用20mm×20mm×1.2mm（≥）方管，高度不小于220mm,长度不小于1000mm;护栏需带有工艺造型；</w:t>
            </w:r>
          </w:p>
          <w:p>
            <w:pPr>
              <w:rPr>
                <w:rFonts w:cs="仿宋" w:asciiTheme="minorEastAsia" w:hAnsiTheme="minorEastAsia"/>
                <w:kern w:val="0"/>
                <w:sz w:val="24"/>
                <w:szCs w:val="24"/>
              </w:rPr>
            </w:pPr>
            <w:r>
              <w:rPr>
                <w:rFonts w:hint="eastAsia" w:cs="仿宋" w:asciiTheme="minorEastAsia" w:hAnsiTheme="minorEastAsia"/>
                <w:kern w:val="0"/>
                <w:sz w:val="24"/>
                <w:szCs w:val="24"/>
              </w:rPr>
              <w:t>8.爬梯管：采用25mm×25mm×1.2mm（≥）方管，脚踏板采用规格300mm×50mm×1.2mm（≥）厚优质冷轧钢板一次冲压而成，表面周边需有凸起纹路，可以起到防滑作用，一次冲压防滑踏板；</w:t>
            </w:r>
          </w:p>
          <w:p>
            <w:pPr>
              <w:rPr>
                <w:rFonts w:cs="仿宋" w:asciiTheme="minorEastAsia" w:hAnsiTheme="minorEastAsia"/>
                <w:kern w:val="0"/>
                <w:sz w:val="24"/>
                <w:szCs w:val="24"/>
              </w:rPr>
            </w:pPr>
            <w:r>
              <w:rPr>
                <w:rFonts w:hint="eastAsia" w:cs="仿宋" w:asciiTheme="minorEastAsia" w:hAnsiTheme="minorEastAsia"/>
                <w:kern w:val="0"/>
                <w:sz w:val="24"/>
                <w:szCs w:val="24"/>
              </w:rPr>
              <w:t>9.床头与床框连接片厚度：采用不小于2mm（≥）钢板冲压成型，床头与床框连接螺丝：采用钢制加强螺丝。</w:t>
            </w:r>
          </w:p>
          <w:p>
            <w:pPr>
              <w:rPr>
                <w:rFonts w:cs="仿宋" w:asciiTheme="minorEastAsia" w:hAnsiTheme="minorEastAsia"/>
                <w:kern w:val="0"/>
                <w:sz w:val="24"/>
                <w:szCs w:val="24"/>
              </w:rPr>
            </w:pPr>
            <w:r>
              <w:rPr>
                <w:rFonts w:hint="eastAsia" w:cs="仿宋" w:asciiTheme="minorEastAsia" w:hAnsiTheme="minorEastAsia"/>
                <w:kern w:val="0"/>
                <w:sz w:val="24"/>
                <w:szCs w:val="24"/>
              </w:rPr>
              <w:t>10.床板：采用优质多层实木板，环保结实耐用，表面光洁，厚度≥15mm。</w:t>
            </w:r>
          </w:p>
          <w:p>
            <w:pPr>
              <w:rPr>
                <w:rFonts w:cs="仿宋" w:asciiTheme="minorEastAsia" w:hAnsiTheme="minorEastAsia"/>
                <w:kern w:val="0"/>
                <w:sz w:val="24"/>
                <w:szCs w:val="24"/>
              </w:rPr>
            </w:pPr>
            <w:r>
              <w:rPr>
                <w:rFonts w:hint="eastAsia" w:cs="仿宋" w:asciiTheme="minorEastAsia" w:hAnsiTheme="minorEastAsia"/>
                <w:kern w:val="0"/>
                <w:sz w:val="24"/>
                <w:szCs w:val="24"/>
              </w:rPr>
              <w:t>11.地脚：采用耐磨、韧性高的聚氨脂材料注塑成型。</w:t>
            </w:r>
          </w:p>
          <w:p>
            <w:pPr>
              <w:spacing w:line="276" w:lineRule="auto"/>
              <w:jc w:val="left"/>
              <w:rPr>
                <w:rFonts w:cs="仿宋" w:asciiTheme="minorEastAsia" w:hAnsiTheme="minorEastAsia"/>
                <w:kern w:val="0"/>
                <w:sz w:val="24"/>
                <w:szCs w:val="24"/>
              </w:rPr>
            </w:pPr>
            <w:r>
              <w:rPr>
                <w:rFonts w:hint="eastAsia" w:cs="仿宋" w:asciiTheme="minorEastAsia" w:hAnsiTheme="minorEastAsia"/>
                <w:kern w:val="0"/>
                <w:sz w:val="24"/>
                <w:szCs w:val="24"/>
              </w:rPr>
              <w:t>12.整体要求：用二氧化碳保护焊焊接技术，焊缝平整，牢固结实；外观颜色为灰白色，视觉安静美观。</w:t>
            </w:r>
          </w:p>
        </w:tc>
        <w:tc>
          <w:tcPr>
            <w:tcW w:w="42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张</w:t>
            </w:r>
          </w:p>
        </w:tc>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b/>
                <w:sz w:val="24"/>
                <w:szCs w:val="24"/>
              </w:rPr>
            </w:pPr>
            <w:r>
              <w:rPr>
                <w:rFonts w:hint="eastAsia" w:asciiTheme="minorEastAsia" w:hAnsiTheme="minorEastAsia"/>
                <w:b/>
                <w:sz w:val="24"/>
                <w:szCs w:val="24"/>
              </w:rPr>
              <w:t>470</w:t>
            </w:r>
          </w:p>
        </w:tc>
        <w:tc>
          <w:tcPr>
            <w:tcW w:w="24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asciiTheme="minorEastAsia" w:hAnsiTheme="minorEastAsia"/>
                <w:sz w:val="24"/>
                <w:szCs w:val="24"/>
              </w:rPr>
              <w:drawing>
                <wp:inline distT="0" distB="0" distL="0" distR="0">
                  <wp:extent cx="1390650" cy="1304925"/>
                  <wp:effectExtent l="19050" t="0" r="0" b="0"/>
                  <wp:docPr id="2" name="图片 6"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微信截图_20180604131634.png"/>
                          <pic:cNvPicPr>
                            <a:picLocks noChangeAspect="1" noChangeArrowheads="1"/>
                          </pic:cNvPicPr>
                        </pic:nvPicPr>
                        <pic:blipFill>
                          <a:blip r:embed="rId6"/>
                          <a:srcRect/>
                          <a:stretch>
                            <a:fillRect/>
                          </a:stretch>
                        </pic:blipFill>
                        <pic:spPr>
                          <a:xfrm>
                            <a:off x="0" y="0"/>
                            <a:ext cx="1390650" cy="1304925"/>
                          </a:xfrm>
                          <a:prstGeom prst="rect">
                            <a:avLst/>
                          </a:prstGeom>
                          <a:noFill/>
                          <a:ln w="9525" cmpd="sng">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3</w:t>
            </w:r>
          </w:p>
        </w:tc>
        <w:tc>
          <w:tcPr>
            <w:tcW w:w="681"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kern w:val="0"/>
                <w:sz w:val="24"/>
                <w:szCs w:val="24"/>
              </w:rPr>
            </w:pPr>
            <w:r>
              <w:rPr>
                <w:rFonts w:hint="eastAsia" w:cs="仿宋" w:asciiTheme="minorEastAsia" w:hAnsiTheme="minorEastAsia"/>
                <w:kern w:val="0"/>
                <w:sz w:val="24"/>
                <w:szCs w:val="24"/>
              </w:rPr>
              <w:t>铁皮文件柜</w:t>
            </w:r>
          </w:p>
        </w:tc>
        <w:tc>
          <w:tcPr>
            <w:tcW w:w="484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kern w:val="0"/>
                <w:sz w:val="24"/>
                <w:szCs w:val="24"/>
              </w:rPr>
            </w:pPr>
            <w:r>
              <w:rPr>
                <w:rFonts w:hint="eastAsia" w:cs="仿宋" w:asciiTheme="minorEastAsia" w:hAnsiTheme="minorEastAsia"/>
                <w:kern w:val="0"/>
                <w:sz w:val="24"/>
                <w:szCs w:val="24"/>
              </w:rPr>
              <w:t>整体规格：1800*850*380 mm</w:t>
            </w:r>
          </w:p>
          <w:p>
            <w:pPr>
              <w:rPr>
                <w:rFonts w:cs="仿宋" w:asciiTheme="minorEastAsia" w:hAnsiTheme="minorEastAsia"/>
                <w:kern w:val="0"/>
                <w:sz w:val="24"/>
                <w:szCs w:val="24"/>
              </w:rPr>
            </w:pPr>
            <w:r>
              <w:rPr>
                <w:rFonts w:hint="eastAsia" w:cs="仿宋" w:asciiTheme="minorEastAsia" w:hAnsiTheme="minorEastAsia"/>
                <w:kern w:val="0"/>
                <w:sz w:val="24"/>
                <w:szCs w:val="24"/>
              </w:rPr>
              <w:t>模具化流水线钢板一次冲压成型；采用上海宝钢一级冷轧钢材，厚度0.5mm，全自动九工位（脱脂，纯净水清洗、加温除油磷化、表调、干燥工艺等）喷淋前处理系统，确保表面不含油污及锈蚀；</w:t>
            </w:r>
          </w:p>
          <w:p>
            <w:pPr>
              <w:rPr>
                <w:rFonts w:cs="仿宋" w:asciiTheme="minorEastAsia" w:hAnsiTheme="minorEastAsia"/>
                <w:kern w:val="0"/>
                <w:sz w:val="24"/>
                <w:szCs w:val="24"/>
              </w:rPr>
            </w:pPr>
            <w:r>
              <w:rPr>
                <w:rFonts w:hint="eastAsia" w:cs="仿宋" w:asciiTheme="minorEastAsia" w:hAnsiTheme="minorEastAsia"/>
                <w:kern w:val="0"/>
                <w:sz w:val="24"/>
                <w:szCs w:val="24"/>
              </w:rPr>
              <w:t>焊接采用数码电焊机及二氧化碳保护焊焊接，确保工件的焊接强度及焊接平整光滑；</w:t>
            </w:r>
          </w:p>
          <w:p>
            <w:pPr>
              <w:rPr>
                <w:rFonts w:cs="仿宋" w:asciiTheme="minorEastAsia" w:hAnsiTheme="minorEastAsia"/>
                <w:kern w:val="0"/>
                <w:sz w:val="24"/>
                <w:szCs w:val="24"/>
              </w:rPr>
            </w:pPr>
            <w:r>
              <w:rPr>
                <w:rFonts w:hint="eastAsia" w:cs="仿宋" w:asciiTheme="minorEastAsia" w:hAnsiTheme="minorEastAsia"/>
                <w:kern w:val="0"/>
                <w:sz w:val="24"/>
                <w:szCs w:val="24"/>
              </w:rPr>
              <w:t>配件：锁具,电镀导轨，ABS塑料拉手；</w:t>
            </w:r>
          </w:p>
        </w:tc>
        <w:tc>
          <w:tcPr>
            <w:tcW w:w="42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hint="eastAsia" w:asciiTheme="minorEastAsia" w:hAnsiTheme="minorEastAsia"/>
                <w:sz w:val="24"/>
                <w:szCs w:val="24"/>
              </w:rPr>
              <w:t>个</w:t>
            </w:r>
          </w:p>
        </w:tc>
        <w:tc>
          <w:tcPr>
            <w:tcW w:w="7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b/>
                <w:sz w:val="24"/>
                <w:szCs w:val="24"/>
              </w:rPr>
            </w:pPr>
            <w:r>
              <w:rPr>
                <w:rFonts w:hint="eastAsia" w:asciiTheme="minorEastAsia" w:hAnsiTheme="minorEastAsia"/>
                <w:b/>
                <w:sz w:val="24"/>
                <w:szCs w:val="24"/>
              </w:rPr>
              <w:t>154</w:t>
            </w:r>
          </w:p>
        </w:tc>
        <w:tc>
          <w:tcPr>
            <w:tcW w:w="240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Theme="minorEastAsia" w:hAnsiTheme="minorEastAsia"/>
                <w:sz w:val="24"/>
                <w:szCs w:val="24"/>
              </w:rPr>
            </w:pPr>
            <w:r>
              <w:rPr>
                <w:rFonts w:asciiTheme="minorEastAsia" w:hAnsiTheme="minorEastAsia"/>
                <w:sz w:val="24"/>
                <w:szCs w:val="24"/>
              </w:rPr>
              <w:drawing>
                <wp:inline distT="0" distB="0" distL="0" distR="0">
                  <wp:extent cx="1209675" cy="1257300"/>
                  <wp:effectExtent l="19050" t="0" r="9525" b="0"/>
                  <wp:docPr id="3" name="图片 7" descr="C:\Users\ADMINI~1\AppData\Local\Temp\WeChat Files\8343bd3bd128741d73eacf965006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ADMINI~1\AppData\Local\Temp\WeChat Files\8343bd3bd128741d73eacf965006bfd.jpg"/>
                          <pic:cNvPicPr>
                            <a:picLocks noChangeAspect="1" noChangeArrowheads="1"/>
                          </pic:cNvPicPr>
                        </pic:nvPicPr>
                        <pic:blipFill>
                          <a:blip r:embed="rId7"/>
                          <a:srcRect/>
                          <a:stretch>
                            <a:fillRect/>
                          </a:stretch>
                        </pic:blipFill>
                        <pic:spPr>
                          <a:xfrm>
                            <a:off x="0" y="0"/>
                            <a:ext cx="1209675" cy="1257300"/>
                          </a:xfrm>
                          <a:prstGeom prst="rect">
                            <a:avLst/>
                          </a:prstGeom>
                          <a:noFill/>
                          <a:ln w="9525" cmpd="sng">
                            <a:noFill/>
                            <a:miter lim="800000"/>
                            <a:headEnd/>
                            <a:tailEnd/>
                          </a:ln>
                        </pic:spPr>
                      </pic:pic>
                    </a:graphicData>
                  </a:graphic>
                </wp:inline>
              </w:drawing>
            </w:r>
          </w:p>
        </w:tc>
      </w:tr>
    </w:tbl>
    <w:p>
      <w:pPr>
        <w:widowControl/>
        <w:shd w:val="clear" w:color="auto" w:fill="FFFFFF"/>
        <w:spacing w:line="360" w:lineRule="auto"/>
        <w:ind w:firstLine="482" w:firstLineChars="200"/>
        <w:jc w:val="left"/>
        <w:rPr>
          <w:rFonts w:hint="eastAsia" w:cs="仿宋" w:asciiTheme="minorEastAsia" w:hAnsiTheme="minorEastAsia"/>
          <w:b/>
          <w:sz w:val="24"/>
          <w:szCs w:val="24"/>
        </w:rPr>
      </w:pPr>
      <w:r>
        <w:rPr>
          <w:rFonts w:hint="eastAsia" w:cs="仿宋" w:asciiTheme="minorEastAsia" w:hAnsiTheme="minorEastAsia"/>
          <w:b/>
          <w:sz w:val="24"/>
          <w:szCs w:val="24"/>
        </w:rPr>
        <w:t>注：以上采购清单中的要求为最低要求，投标人不得低于此要求，否则为无效响应文件 。</w:t>
      </w:r>
    </w:p>
    <w:p>
      <w:pPr>
        <w:widowControl/>
        <w:shd w:val="clear" w:color="auto" w:fill="FFFFFF"/>
        <w:spacing w:line="360" w:lineRule="auto"/>
        <w:ind w:firstLine="482" w:firstLineChars="200"/>
        <w:jc w:val="left"/>
        <w:rPr>
          <w:rFonts w:hint="eastAsia" w:cs="仿宋" w:asciiTheme="minorEastAsia" w:hAnsiTheme="minorEastAsia"/>
          <w:sz w:val="24"/>
          <w:szCs w:val="24"/>
        </w:rPr>
      </w:pPr>
      <w:r>
        <w:rPr>
          <w:rFonts w:hint="eastAsia" w:cs="仿宋" w:asciiTheme="minorEastAsia" w:hAnsiTheme="minorEastAsia"/>
          <w:b/>
          <w:sz w:val="24"/>
          <w:szCs w:val="24"/>
        </w:rPr>
        <w:t>（三）采购标的执行标准：</w:t>
      </w:r>
      <w:r>
        <w:rPr>
          <w:rFonts w:hint="eastAsia" w:cs="仿宋" w:asciiTheme="minorEastAsia" w:hAnsiTheme="minorEastAsia"/>
          <w:sz w:val="24"/>
          <w:szCs w:val="24"/>
        </w:rPr>
        <w:t xml:space="preserve">需执行的国家相关标准、规范。 </w:t>
      </w:r>
    </w:p>
    <w:p>
      <w:pPr>
        <w:widowControl/>
        <w:shd w:val="clear" w:color="auto" w:fill="FFFFFF"/>
        <w:spacing w:line="360" w:lineRule="auto"/>
        <w:ind w:firstLine="482" w:firstLineChars="200"/>
        <w:jc w:val="left"/>
        <w:rPr>
          <w:rFonts w:hint="eastAsia" w:cs="仿宋" w:asciiTheme="minorEastAsia" w:hAnsiTheme="minorEastAsia"/>
          <w:b/>
          <w:kern w:val="0"/>
          <w:sz w:val="24"/>
          <w:szCs w:val="24"/>
        </w:rPr>
      </w:pPr>
      <w:r>
        <w:rPr>
          <w:rFonts w:hint="eastAsia" w:cs="仿宋" w:asciiTheme="minorEastAsia" w:hAnsiTheme="minorEastAsia"/>
          <w:b/>
          <w:kern w:val="0"/>
          <w:sz w:val="24"/>
          <w:szCs w:val="24"/>
        </w:rPr>
        <w:t>（四）服务标准、期限、效率等要求：</w:t>
      </w:r>
    </w:p>
    <w:p>
      <w:pPr>
        <w:spacing w:line="360" w:lineRule="auto"/>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1、质保期为设备安装调试验收合格后6年，质保期内发生故障或质量问题，供货方在接到通知后1小时进行响应，4小时到达，24小时内处理问题，否则需提供备用设备直至原设备修好为止；</w:t>
      </w:r>
    </w:p>
    <w:p>
      <w:pPr>
        <w:spacing w:line="360" w:lineRule="auto"/>
        <w:ind w:firstLine="480" w:firstLineChars="200"/>
        <w:rPr>
          <w:rFonts w:hint="eastAsia" w:cs="仿宋" w:asciiTheme="minorEastAsia" w:hAnsiTheme="minorEastAsia"/>
          <w:sz w:val="24"/>
          <w:szCs w:val="24"/>
        </w:rPr>
      </w:pPr>
      <w:r>
        <w:rPr>
          <w:rFonts w:hint="eastAsia" w:cs="仿宋" w:asciiTheme="minorEastAsia" w:hAnsiTheme="minorEastAsia"/>
          <w:sz w:val="24"/>
          <w:szCs w:val="24"/>
        </w:rPr>
        <w:t>2、投标人保证其提供的产品是全新的、未使用过的，并在各个方面符合招标文件规定的质量、规格和性能。</w:t>
      </w:r>
    </w:p>
    <w:p>
      <w:pPr>
        <w:widowControl/>
        <w:shd w:val="clear" w:color="auto" w:fill="FFFFFF"/>
        <w:spacing w:line="560" w:lineRule="exact"/>
        <w:ind w:firstLine="482" w:firstLineChars="200"/>
        <w:jc w:val="left"/>
        <w:rPr>
          <w:rFonts w:hint="eastAsia" w:cs="仿宋" w:asciiTheme="minorEastAsia" w:hAnsiTheme="minorEastAsia"/>
          <w:b/>
          <w:kern w:val="0"/>
          <w:sz w:val="24"/>
          <w:szCs w:val="24"/>
        </w:rPr>
      </w:pPr>
      <w:r>
        <w:rPr>
          <w:rFonts w:hint="eastAsia" w:cs="仿宋" w:asciiTheme="minorEastAsia" w:hAnsiTheme="minorEastAsia"/>
          <w:b/>
          <w:kern w:val="0"/>
          <w:sz w:val="24"/>
          <w:szCs w:val="24"/>
        </w:rPr>
        <w:t>（五）采购标的的其他技术、服务等要求</w:t>
      </w:r>
    </w:p>
    <w:p>
      <w:pPr>
        <w:pStyle w:val="48"/>
        <w:spacing w:line="360" w:lineRule="auto"/>
        <w:ind w:left="420" w:firstLine="0" w:firstLineChars="0"/>
        <w:rPr>
          <w:rFonts w:ascii="新宋体" w:hAnsi="新宋体" w:eastAsia="新宋体" w:cs="新宋体"/>
          <w:szCs w:val="21"/>
          <w:lang w:val="zh-CN"/>
        </w:rPr>
      </w:pPr>
      <w:r>
        <w:rPr>
          <w:rFonts w:hint="eastAsia" w:ascii="新宋体" w:hAnsi="新宋体" w:eastAsia="新宋体" w:cs="新宋体"/>
          <w:color w:val="FF0000"/>
          <w:szCs w:val="21"/>
          <w:lang w:val="zh-CN"/>
        </w:rPr>
        <w:t>1、投标人须明确投标产品的厂家、产地、品牌、型号、等参数，否则为无效响应文件。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3、投标人须有完整的技术方案，</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360" w:firstLineChars="150"/>
        <w:rPr>
          <w:rFonts w:hint="eastAsia" w:cs="仿宋" w:asciiTheme="minorEastAsia" w:hAnsiTheme="minorEastAsia"/>
          <w:kern w:val="0"/>
          <w:sz w:val="24"/>
          <w:szCs w:val="24"/>
        </w:rPr>
      </w:pPr>
      <w:r>
        <w:rPr>
          <w:rFonts w:hint="eastAsia" w:cs="仿宋" w:asciiTheme="minorEastAsia" w:hAnsiTheme="minorEastAsia"/>
          <w:kern w:val="0"/>
          <w:sz w:val="24"/>
          <w:szCs w:val="24"/>
        </w:rPr>
        <w:t xml:space="preserve">4、中标企业于中标后第三日上午09:00向禹州市教育体育局提供（序号1课桌凳，要求样品与参数无偏离），同时提供招标文件中投标人及代理品牌厂家的相关资质原件及检测报告原件。  </w:t>
      </w:r>
    </w:p>
    <w:p>
      <w:pPr>
        <w:spacing w:line="360" w:lineRule="auto"/>
        <w:ind w:firstLine="360" w:firstLineChars="150"/>
        <w:rPr>
          <w:rFonts w:hint="eastAsia" w:cs="仿宋" w:asciiTheme="minorEastAsia" w:hAnsiTheme="minorEastAsia"/>
          <w:kern w:val="0"/>
          <w:sz w:val="24"/>
          <w:szCs w:val="24"/>
        </w:rPr>
      </w:pPr>
      <w:r>
        <w:rPr>
          <w:rFonts w:hint="eastAsia" w:cs="仿宋" w:asciiTheme="minorEastAsia" w:hAnsiTheme="minorEastAsia"/>
          <w:kern w:val="0"/>
          <w:sz w:val="24"/>
          <w:szCs w:val="24"/>
        </w:rPr>
        <w:t xml:space="preserve">5、样品及相关资质及检测报告原件不符合或不能提供，取消其中标资格，并列入不良记录及信用中国。 </w:t>
      </w:r>
    </w:p>
    <w:p>
      <w:pPr>
        <w:widowControl/>
        <w:shd w:val="clear" w:color="auto" w:fill="FFFFFF"/>
        <w:spacing w:line="360" w:lineRule="auto"/>
        <w:ind w:firstLine="482" w:firstLineChars="200"/>
        <w:jc w:val="left"/>
        <w:rPr>
          <w:rFonts w:hint="eastAsia" w:cs="仿宋" w:asciiTheme="minorEastAsia" w:hAnsiTheme="minorEastAsia"/>
          <w:b/>
          <w:kern w:val="0"/>
          <w:sz w:val="24"/>
          <w:szCs w:val="24"/>
        </w:rPr>
      </w:pPr>
      <w:r>
        <w:rPr>
          <w:rFonts w:hint="eastAsia" w:cs="仿宋" w:asciiTheme="minorEastAsia" w:hAnsiTheme="minorEastAsia"/>
          <w:b/>
          <w:kern w:val="0"/>
          <w:sz w:val="24"/>
          <w:szCs w:val="24"/>
        </w:rPr>
        <w:t>（五）验收标准</w:t>
      </w:r>
    </w:p>
    <w:p>
      <w:pPr>
        <w:widowControl/>
        <w:shd w:val="clear" w:color="auto" w:fill="FFFFFF"/>
        <w:spacing w:line="360" w:lineRule="auto"/>
        <w:ind w:firstLine="600"/>
        <w:jc w:val="left"/>
        <w:rPr>
          <w:rFonts w:hint="eastAsia" w:cs="仿宋" w:asciiTheme="minorEastAsia" w:hAnsiTheme="minorEastAsia"/>
          <w:sz w:val="24"/>
          <w:szCs w:val="24"/>
        </w:rPr>
      </w:pPr>
      <w:r>
        <w:rPr>
          <w:rFonts w:hint="eastAsia" w:cs="仿宋" w:asciiTheme="minorEastAsia" w:hAnsiTheme="minor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hint="eastAsia" w:cs="仿宋" w:asciiTheme="minorEastAsia" w:hAnsiTheme="minorEastAsia"/>
          <w:sz w:val="24"/>
          <w:szCs w:val="24"/>
        </w:rPr>
      </w:pPr>
      <w:r>
        <w:rPr>
          <w:rFonts w:hint="eastAsia" w:cs="仿宋" w:asciiTheme="minorEastAsia" w:hAnsiTheme="minorEastAsia"/>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hint="eastAsia" w:cs="仿宋" w:asciiTheme="minorEastAsia" w:hAnsiTheme="minorEastAsia"/>
          <w:sz w:val="24"/>
          <w:szCs w:val="24"/>
        </w:rPr>
      </w:pPr>
      <w:r>
        <w:rPr>
          <w:rFonts w:hint="eastAsia" w:cs="仿宋" w:asciiTheme="minorEastAsia" w:hAnsiTheme="minorEastAsia"/>
          <w:sz w:val="24"/>
          <w:szCs w:val="24"/>
        </w:rPr>
        <w:t>2、按照招标文件要求、投标文件响应和承诺验收；</w:t>
      </w:r>
    </w:p>
    <w:p>
      <w:pPr>
        <w:widowControl/>
        <w:shd w:val="clear" w:color="auto" w:fill="FFFFFF"/>
        <w:spacing w:line="360" w:lineRule="auto"/>
        <w:ind w:firstLine="480" w:firstLineChars="200"/>
        <w:jc w:val="left"/>
        <w:rPr>
          <w:rFonts w:hint="eastAsia" w:cs="仿宋" w:asciiTheme="minorEastAsia" w:hAnsiTheme="minorEastAsia"/>
          <w:sz w:val="24"/>
          <w:szCs w:val="24"/>
        </w:rPr>
      </w:pPr>
      <w:r>
        <w:rPr>
          <w:rFonts w:hint="eastAsia" w:cs="仿宋" w:asciiTheme="minorEastAsia" w:hAnsiTheme="minorEastAsia"/>
          <w:sz w:val="24"/>
          <w:szCs w:val="24"/>
        </w:rPr>
        <w:t>3、项目质量按照国家相关标准及规范,委托第三方进行验收。</w:t>
      </w:r>
    </w:p>
    <w:p>
      <w:pPr>
        <w:widowControl/>
        <w:shd w:val="clear" w:color="auto" w:fill="FFFFFF"/>
        <w:spacing w:line="360" w:lineRule="auto"/>
        <w:ind w:firstLine="482" w:firstLineChars="200"/>
        <w:contextualSpacing/>
        <w:jc w:val="left"/>
        <w:rPr>
          <w:rFonts w:hint="eastAsia" w:cs="仿宋" w:asciiTheme="minorEastAsia" w:hAnsiTheme="minorEastAsia"/>
          <w:b/>
          <w:sz w:val="24"/>
          <w:szCs w:val="24"/>
        </w:rPr>
      </w:pPr>
      <w:r>
        <w:rPr>
          <w:rFonts w:hint="eastAsia" w:cs="仿宋" w:asciiTheme="minorEastAsia" w:hAnsiTheme="minorEastAsia"/>
          <w:b/>
          <w:sz w:val="24"/>
          <w:szCs w:val="24"/>
        </w:rPr>
        <w:t>(六)采购资金支付</w:t>
      </w:r>
    </w:p>
    <w:p>
      <w:pPr>
        <w:widowControl/>
        <w:shd w:val="clear" w:color="auto" w:fill="FFFFFF"/>
        <w:spacing w:line="560" w:lineRule="exact"/>
        <w:ind w:firstLine="600"/>
        <w:jc w:val="left"/>
        <w:rPr>
          <w:rFonts w:hint="eastAsia" w:cs="仿宋" w:asciiTheme="minorEastAsia" w:hAnsiTheme="minorEastAsia"/>
          <w:sz w:val="24"/>
          <w:szCs w:val="24"/>
        </w:rPr>
      </w:pPr>
      <w:r>
        <w:rPr>
          <w:rFonts w:hint="eastAsia" w:cs="仿宋" w:asciiTheme="minorEastAsia" w:hAnsiTheme="minorEastAsia"/>
          <w:sz w:val="24"/>
          <w:szCs w:val="24"/>
        </w:rPr>
        <w:t>（一）支付方式：按照合同约定，经验收合格后申请支付。</w:t>
      </w:r>
    </w:p>
    <w:p>
      <w:pPr>
        <w:widowControl/>
        <w:shd w:val="clear" w:color="auto" w:fill="FFFFFF"/>
        <w:spacing w:line="560" w:lineRule="exact"/>
        <w:ind w:firstLine="600"/>
        <w:jc w:val="left"/>
        <w:rPr>
          <w:rFonts w:hint="eastAsia" w:cs="仿宋" w:asciiTheme="minorEastAsia" w:hAnsiTheme="minorEastAsia"/>
          <w:sz w:val="24"/>
          <w:szCs w:val="24"/>
        </w:rPr>
      </w:pPr>
      <w:r>
        <w:rPr>
          <w:rFonts w:hint="eastAsia" w:cs="仿宋" w:asciiTheme="minorEastAsia" w:hAnsiTheme="minorEastAsia"/>
          <w:sz w:val="24"/>
          <w:szCs w:val="24"/>
        </w:rPr>
        <w:t>（二）支付时间及条件：以合同为准。</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rPr>
                <w:rFonts w:hint="eastAsia" w:cs="仿宋_GB2312" w:asciiTheme="minorEastAsia" w:hAnsiTheme="minorEastAsia"/>
                <w:szCs w:val="21"/>
                <w:lang w:val="zh-CN"/>
              </w:rPr>
            </w:pPr>
            <w:r>
              <w:rPr>
                <w:rFonts w:hint="eastAsia" w:cs="仿宋_GB2312" w:asciiTheme="minorEastAsia" w:hAnsiTheme="minorEastAsia"/>
                <w:szCs w:val="21"/>
                <w:lang w:val="zh-CN"/>
              </w:rPr>
              <w:t>项目名称：禹州市教育体育局课桌凳学生床采购项目(不见面开标)</w:t>
            </w:r>
          </w:p>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lang w:val="zh-CN"/>
              </w:rPr>
              <w:t>采购编号：YZCG-T2022023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rPr>
              <w:t>合同签订后</w:t>
            </w:r>
            <w:r>
              <w:rPr>
                <w:rFonts w:hint="eastAsia" w:cs="仿宋_GB2312" w:asciiTheme="minorEastAsia" w:hAnsiTheme="minorEastAsia"/>
                <w:szCs w:val="21"/>
              </w:rPr>
              <w:t>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b/>
                <w:bCs/>
                <w:szCs w:val="21"/>
              </w:rPr>
              <w:t>1018500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2022</w:t>
            </w:r>
            <w:r>
              <w:rPr>
                <w:rFonts w:hint="eastAsia" w:cs="宋体" w:asciiTheme="minorEastAsia" w:hAnsiTheme="minorEastAsia"/>
                <w:bCs/>
                <w:szCs w:val="21"/>
                <w:lang w:val="zh-CN"/>
              </w:rPr>
              <w:t>年</w:t>
            </w:r>
            <w:r>
              <w:rPr>
                <w:rFonts w:hint="eastAsia" w:cs="宋体" w:asciiTheme="minorEastAsia" w:hAnsiTheme="minorEastAsia"/>
                <w:bCs/>
                <w:szCs w:val="21"/>
              </w:rPr>
              <w:t>8</w:t>
            </w:r>
            <w:r>
              <w:rPr>
                <w:rFonts w:hint="eastAsia" w:cs="宋体" w:asciiTheme="minorEastAsia" w:hAnsiTheme="minorEastAsia"/>
                <w:bCs/>
                <w:szCs w:val="21"/>
                <w:lang w:val="zh-CN"/>
              </w:rPr>
              <w:t>月</w:t>
            </w:r>
            <w:r>
              <w:rPr>
                <w:rFonts w:hint="eastAsia" w:cs="宋体" w:asciiTheme="minorEastAsia" w:hAnsiTheme="minorEastAsia"/>
                <w:bCs/>
                <w:szCs w:val="21"/>
              </w:rPr>
              <w:t>12</w:t>
            </w:r>
            <w:r>
              <w:rPr>
                <w:rFonts w:hint="eastAsia" w:cs="宋体" w:asciiTheme="minorEastAsia" w:hAnsiTheme="minorEastAsia"/>
                <w:bCs/>
                <w:szCs w:val="21"/>
                <w:lang w:val="zh-CN"/>
              </w:rPr>
              <w:t xml:space="preserve">日 </w:t>
            </w:r>
            <w:r>
              <w:rPr>
                <w:rFonts w:hint="eastAsia" w:cs="宋体" w:asciiTheme="minorEastAsia" w:hAnsiTheme="minorEastAsia"/>
                <w:bCs/>
                <w:szCs w:val="21"/>
              </w:rPr>
              <w:t>10</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color w:val="FF0000"/>
              </w:rPr>
            </w:pPr>
            <w:r>
              <w:rPr>
                <w:rFonts w:hint="eastAsia" w:ascii="ˎ̥" w:hAnsi="ˎ̥"/>
                <w:color w:val="FF0000"/>
              </w:rPr>
              <w:t>1、</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41"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8"/>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szCs w:val="21"/>
        </w:rPr>
        <w:t>https://chinanpo.mca.gov.cn</w:t>
      </w:r>
      <w:r>
        <w:rPr>
          <w:rStyle w:val="28"/>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8"/>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8"/>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8"/>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8"/>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8"/>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8"/>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8"/>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8"/>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8"/>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8"/>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8"/>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8"/>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8"/>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8"/>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8"/>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8"/>
        <w:autoSpaceDE w:val="0"/>
        <w:autoSpaceDN w:val="0"/>
        <w:spacing w:line="360" w:lineRule="auto"/>
        <w:ind w:left="420"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8"/>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8"/>
        <w:numPr>
          <w:ilvl w:val="1"/>
          <w:numId w:val="44"/>
        </w:numPr>
        <w:autoSpaceDE w:val="0"/>
        <w:autoSpaceDN w:val="0"/>
        <w:spacing w:line="360" w:lineRule="auto"/>
        <w:ind w:firstLineChars="0"/>
        <w:contextualSpacing/>
        <w:rPr>
          <w:rFonts w:ascii="ˎ̥" w:hAnsi="ˎ̥"/>
          <w:vanish/>
        </w:rPr>
      </w:pP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8"/>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8"/>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8"/>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8"/>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8"/>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8"/>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8"/>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8"/>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8"/>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8"/>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8"/>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8"/>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8"/>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8"/>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8"/>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8"/>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8"/>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8"/>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8"/>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8"/>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8"/>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8"/>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8"/>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8"/>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8"/>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8"/>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8"/>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8"/>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8"/>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8"/>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8"/>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8"/>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8"/>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8"/>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8"/>
        <w:autoSpaceDE w:val="0"/>
        <w:autoSpaceDN w:val="0"/>
        <w:spacing w:line="360" w:lineRule="auto"/>
        <w:ind w:left="964" w:firstLine="0" w:firstLineChars="0"/>
        <w:contextualSpacing/>
        <w:rPr>
          <w:rFonts w:ascii="ˎ̥" w:hAnsi="ˎ̥"/>
        </w:rPr>
      </w:pPr>
    </w:p>
    <w:p>
      <w:pPr>
        <w:pStyle w:val="4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8"/>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8"/>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8"/>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8"/>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8"/>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left="964" w:firstLine="0" w:firstLineChars="0"/>
        <w:contextualSpacing/>
        <w:rPr>
          <w:rFonts w:ascii="ˎ̥" w:hAnsi="ˎ̥"/>
        </w:rPr>
      </w:pPr>
    </w:p>
    <w:p>
      <w:pPr>
        <w:pStyle w:val="48"/>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8"/>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8"/>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8"/>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8"/>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8"/>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8"/>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8"/>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8"/>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8"/>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1"/>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ind w:left="5250"/>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4"/>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0"/>
        <w:spacing w:line="480" w:lineRule="auto"/>
        <w:ind w:firstLine="472" w:firstLineChars="225"/>
        <w:jc w:val="left"/>
        <w:rPr>
          <w:rFonts w:asciiTheme="minorEastAsia" w:hAnsiTheme="minorEastAsia"/>
          <w:sz w:val="21"/>
          <w:szCs w:val="21"/>
        </w:rPr>
      </w:pP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w:t>
      </w:r>
      <w:r>
        <w:rPr>
          <w:rFonts w:hint="eastAsia" w:ascii="宋体" w:hAnsi="宋体"/>
          <w:b/>
          <w:bCs/>
          <w:sz w:val="24"/>
          <w:szCs w:val="24"/>
          <w:lang w:eastAsia="zh-CN"/>
        </w:rPr>
        <w:t>货物</w:t>
      </w:r>
      <w:r>
        <w:rPr>
          <w:rFonts w:hint="eastAsia" w:ascii="宋体" w:hAnsi="宋体"/>
          <w:b/>
          <w:bCs/>
          <w:sz w:val="24"/>
          <w:szCs w:val="24"/>
        </w:rPr>
        <w:t>）</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w:t>
      </w:r>
      <w:r>
        <w:rPr>
          <w:rFonts w:hint="eastAsia"/>
          <w:lang w:eastAsia="zh-CN"/>
        </w:rPr>
        <w:t>货物</w:t>
      </w:r>
      <w:r>
        <w:rPr>
          <w:rFonts w:hint="eastAsia"/>
        </w:rPr>
        <w:t>全部由符合政策要求的中小企业制造。相关企业（含联合体中的中小企业、签订分包意向协议的中小企业）的具体情况如下：</w:t>
      </w:r>
      <w:bookmarkStart w:id="4" w:name="_GoBack"/>
      <w:bookmarkEnd w:id="4"/>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项目名称：</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8"/>
              <w:spacing w:line="360" w:lineRule="auto"/>
              <w:rPr>
                <w:rFonts w:ascii="宋体" w:hAnsi="宋体" w:eastAsia="宋体" w:cs="Times New Roman"/>
                <w:sz w:val="21"/>
                <w:szCs w:val="21"/>
              </w:rPr>
            </w:pPr>
          </w:p>
        </w:tc>
        <w:tc>
          <w:tcPr>
            <w:tcW w:w="827" w:type="pct"/>
            <w:vAlign w:val="center"/>
          </w:tcPr>
          <w:p>
            <w:pPr>
              <w:pStyle w:val="8"/>
              <w:spacing w:line="360" w:lineRule="auto"/>
              <w:rPr>
                <w:rFonts w:ascii="宋体" w:hAnsi="宋体" w:eastAsia="宋体" w:cs="Times New Roman"/>
                <w:sz w:val="21"/>
                <w:szCs w:val="21"/>
              </w:rPr>
            </w:pPr>
          </w:p>
        </w:tc>
        <w:tc>
          <w:tcPr>
            <w:tcW w:w="675" w:type="pct"/>
          </w:tcPr>
          <w:p>
            <w:pPr>
              <w:pStyle w:val="8"/>
              <w:spacing w:line="360" w:lineRule="auto"/>
              <w:rPr>
                <w:rFonts w:ascii="宋体" w:hAnsi="宋体" w:eastAsia="宋体" w:cs="Times New Roman"/>
                <w:sz w:val="21"/>
                <w:szCs w:val="21"/>
              </w:rPr>
            </w:pPr>
          </w:p>
        </w:tc>
        <w:tc>
          <w:tcPr>
            <w:tcW w:w="898" w:type="pct"/>
          </w:tcPr>
          <w:p>
            <w:pPr>
              <w:pStyle w:val="8"/>
              <w:spacing w:line="360" w:lineRule="auto"/>
              <w:rPr>
                <w:rFonts w:ascii="宋体" w:hAnsi="宋体" w:eastAsia="宋体" w:cs="Times New Roman"/>
                <w:sz w:val="21"/>
                <w:szCs w:val="21"/>
              </w:rPr>
            </w:pPr>
          </w:p>
        </w:tc>
        <w:tc>
          <w:tcPr>
            <w:tcW w:w="871" w:type="pct"/>
          </w:tcPr>
          <w:p>
            <w:pPr>
              <w:pStyle w:val="8"/>
              <w:spacing w:line="360" w:lineRule="auto"/>
              <w:rPr>
                <w:rFonts w:ascii="宋体" w:hAnsi="宋体" w:eastAsia="宋体" w:cs="Times New Roman"/>
                <w:sz w:val="21"/>
                <w:szCs w:val="21"/>
              </w:rPr>
            </w:pPr>
          </w:p>
        </w:tc>
        <w:tc>
          <w:tcPr>
            <w:tcW w:w="694"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rPr>
          <w:rFonts w:cs="黑体" w:asciiTheme="minorEastAsia" w:hAnsiTheme="minorEastAsia"/>
          <w:b/>
          <w:bCs/>
          <w:sz w:val="44"/>
          <w:szCs w:val="4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6">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F817E8"/>
    <w:multiLevelType w:val="singleLevel"/>
    <w:tmpl w:val="59F817E8"/>
    <w:lvl w:ilvl="0" w:tentative="0">
      <w:start w:val="1"/>
      <w:numFmt w:val="chineseCounting"/>
      <w:pStyle w:val="58"/>
      <w:suff w:val="nothing"/>
      <w:lvlText w:val="%1、"/>
      <w:lvlJc w:val="left"/>
    </w:lvl>
  </w:abstractNum>
  <w:abstractNum w:abstractNumId="5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817507C"/>
    <w:multiLevelType w:val="singleLevel"/>
    <w:tmpl w:val="6817507C"/>
    <w:lvl w:ilvl="0" w:tentative="0">
      <w:start w:val="2"/>
      <w:numFmt w:val="chineseCounting"/>
      <w:suff w:val="nothing"/>
      <w:lvlText w:val="（%1）"/>
      <w:lvlJc w:val="left"/>
      <w:rPr>
        <w:rFonts w:hint="eastAsia"/>
      </w:rPr>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834EBA"/>
    <w:multiLevelType w:val="multilevel"/>
    <w:tmpl w:val="76834EBA"/>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1"/>
  </w:num>
  <w:num w:numId="4">
    <w:abstractNumId w:val="67"/>
  </w:num>
  <w:num w:numId="5">
    <w:abstractNumId w:val="56"/>
  </w:num>
  <w:num w:numId="6">
    <w:abstractNumId w:val="0"/>
  </w:num>
  <w:num w:numId="7">
    <w:abstractNumId w:val="10"/>
  </w:num>
  <w:num w:numId="8">
    <w:abstractNumId w:val="8"/>
  </w:num>
  <w:num w:numId="9">
    <w:abstractNumId w:val="39"/>
  </w:num>
  <w:num w:numId="10">
    <w:abstractNumId w:val="53"/>
  </w:num>
  <w:num w:numId="11">
    <w:abstractNumId w:val="70"/>
  </w:num>
  <w:num w:numId="12">
    <w:abstractNumId w:val="75"/>
  </w:num>
  <w:num w:numId="13">
    <w:abstractNumId w:val="37"/>
  </w:num>
  <w:num w:numId="14">
    <w:abstractNumId w:val="46"/>
  </w:num>
  <w:num w:numId="15">
    <w:abstractNumId w:val="48"/>
  </w:num>
  <w:num w:numId="16">
    <w:abstractNumId w:val="64"/>
  </w:num>
  <w:num w:numId="17">
    <w:abstractNumId w:val="31"/>
  </w:num>
  <w:num w:numId="18">
    <w:abstractNumId w:val="57"/>
  </w:num>
  <w:num w:numId="19">
    <w:abstractNumId w:val="18"/>
  </w:num>
  <w:num w:numId="20">
    <w:abstractNumId w:val="19"/>
  </w:num>
  <w:num w:numId="21">
    <w:abstractNumId w:val="60"/>
  </w:num>
  <w:num w:numId="22">
    <w:abstractNumId w:val="74"/>
  </w:num>
  <w:num w:numId="23">
    <w:abstractNumId w:val="72"/>
  </w:num>
  <w:num w:numId="24">
    <w:abstractNumId w:val="59"/>
  </w:num>
  <w:num w:numId="25">
    <w:abstractNumId w:val="27"/>
  </w:num>
  <w:num w:numId="26">
    <w:abstractNumId w:val="20"/>
  </w:num>
  <w:num w:numId="27">
    <w:abstractNumId w:val="62"/>
  </w:num>
  <w:num w:numId="28">
    <w:abstractNumId w:val="54"/>
  </w:num>
  <w:num w:numId="29">
    <w:abstractNumId w:val="71"/>
  </w:num>
  <w:num w:numId="30">
    <w:abstractNumId w:val="41"/>
  </w:num>
  <w:num w:numId="31">
    <w:abstractNumId w:val="15"/>
  </w:num>
  <w:num w:numId="32">
    <w:abstractNumId w:val="47"/>
  </w:num>
  <w:num w:numId="33">
    <w:abstractNumId w:val="6"/>
  </w:num>
  <w:num w:numId="34">
    <w:abstractNumId w:val="25"/>
  </w:num>
  <w:num w:numId="35">
    <w:abstractNumId w:val="43"/>
  </w:num>
  <w:num w:numId="36">
    <w:abstractNumId w:val="5"/>
  </w:num>
  <w:num w:numId="37">
    <w:abstractNumId w:val="66"/>
  </w:num>
  <w:num w:numId="38">
    <w:abstractNumId w:val="14"/>
  </w:num>
  <w:num w:numId="39">
    <w:abstractNumId w:val="30"/>
  </w:num>
  <w:num w:numId="40">
    <w:abstractNumId w:val="35"/>
  </w:num>
  <w:num w:numId="41">
    <w:abstractNumId w:val="21"/>
  </w:num>
  <w:num w:numId="42">
    <w:abstractNumId w:val="52"/>
  </w:num>
  <w:num w:numId="43">
    <w:abstractNumId w:val="28"/>
  </w:num>
  <w:num w:numId="44">
    <w:abstractNumId w:val="65"/>
  </w:num>
  <w:num w:numId="45">
    <w:abstractNumId w:val="36"/>
  </w:num>
  <w:num w:numId="46">
    <w:abstractNumId w:val="69"/>
  </w:num>
  <w:num w:numId="47">
    <w:abstractNumId w:val="16"/>
  </w:num>
  <w:num w:numId="48">
    <w:abstractNumId w:val="4"/>
  </w:num>
  <w:num w:numId="49">
    <w:abstractNumId w:val="12"/>
  </w:num>
  <w:num w:numId="50">
    <w:abstractNumId w:val="7"/>
  </w:num>
  <w:num w:numId="51">
    <w:abstractNumId w:val="3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4"/>
  </w:num>
  <w:num w:numId="6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68"/>
  </w:num>
  <w:num w:numId="71">
    <w:abstractNumId w:val="45"/>
  </w:num>
  <w:num w:numId="72">
    <w:abstractNumId w:val="22"/>
  </w:num>
  <w:num w:numId="73">
    <w:abstractNumId w:val="29"/>
  </w:num>
  <w:num w:numId="74">
    <w:abstractNumId w:val="38"/>
  </w:num>
  <w:num w:numId="75">
    <w:abstractNumId w:val="58"/>
  </w:num>
  <w:num w:numId="76">
    <w:abstractNumId w:val="77"/>
  </w:num>
  <w:num w:numId="77">
    <w:abstractNumId w:val="13"/>
  </w:num>
  <w:num w:numId="78">
    <w:abstractNumId w:val="40"/>
  </w:num>
  <w:num w:numId="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MWRkMzM4NWFhY2M5M2FiMzU5ZjM1ZGM2MzZkYmY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408"/>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5FB9"/>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657"/>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4F321F"/>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28A"/>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0EDF"/>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66181"/>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2D74"/>
    <w:rsid w:val="00AB37ED"/>
    <w:rsid w:val="00AC081D"/>
    <w:rsid w:val="00AC5733"/>
    <w:rsid w:val="00AC5A33"/>
    <w:rsid w:val="00AC766D"/>
    <w:rsid w:val="00AC7F46"/>
    <w:rsid w:val="00AD442D"/>
    <w:rsid w:val="00AD77A9"/>
    <w:rsid w:val="00AE3026"/>
    <w:rsid w:val="00AE3F48"/>
    <w:rsid w:val="00AF5056"/>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133"/>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5592B"/>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C01778"/>
    <w:rsid w:val="062126AF"/>
    <w:rsid w:val="09E9787D"/>
    <w:rsid w:val="0A943D39"/>
    <w:rsid w:val="0CA34773"/>
    <w:rsid w:val="14355008"/>
    <w:rsid w:val="150536CC"/>
    <w:rsid w:val="19D41C13"/>
    <w:rsid w:val="1BA26B6D"/>
    <w:rsid w:val="21823BC8"/>
    <w:rsid w:val="259809DB"/>
    <w:rsid w:val="27CB1FDF"/>
    <w:rsid w:val="27D33D9C"/>
    <w:rsid w:val="2A503A48"/>
    <w:rsid w:val="2C423374"/>
    <w:rsid w:val="2E8C0D89"/>
    <w:rsid w:val="307A7AF5"/>
    <w:rsid w:val="31B6148A"/>
    <w:rsid w:val="364C52C5"/>
    <w:rsid w:val="392D778D"/>
    <w:rsid w:val="3D90677F"/>
    <w:rsid w:val="423053ED"/>
    <w:rsid w:val="44894B89"/>
    <w:rsid w:val="4B77599F"/>
    <w:rsid w:val="54A37489"/>
    <w:rsid w:val="586236D9"/>
    <w:rsid w:val="5AF41484"/>
    <w:rsid w:val="5B1F7CA3"/>
    <w:rsid w:val="61DE12AA"/>
    <w:rsid w:val="65F43605"/>
    <w:rsid w:val="669E465B"/>
    <w:rsid w:val="6AEF1B2B"/>
    <w:rsid w:val="6AFE76B8"/>
    <w:rsid w:val="6E484B11"/>
    <w:rsid w:val="78045832"/>
    <w:rsid w:val="784C73F8"/>
    <w:rsid w:val="7B901F91"/>
    <w:rsid w:val="7CE01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3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40"/>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5"/>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rFonts w:eastAsia="宋体"/>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0"/>
    <w:rPr>
      <w:color w:val="0000FF"/>
      <w:u w:val="single"/>
    </w:rPr>
  </w:style>
  <w:style w:type="character" w:customStyle="1" w:styleId="29">
    <w:name w:val="标题 1 Char"/>
    <w:basedOn w:val="25"/>
    <w:link w:val="3"/>
    <w:qFormat/>
    <w:uiPriority w:val="0"/>
    <w:rPr>
      <w:rFonts w:ascii="Calibri" w:hAnsi="Calibri" w:eastAsia="宋体" w:cs="Times New Roman"/>
      <w:b/>
      <w:bCs/>
      <w:kern w:val="44"/>
      <w:sz w:val="44"/>
      <w:szCs w:val="44"/>
    </w:rPr>
  </w:style>
  <w:style w:type="character" w:customStyle="1" w:styleId="30">
    <w:name w:val="标题 2 Char"/>
    <w:basedOn w:val="25"/>
    <w:link w:val="4"/>
    <w:qFormat/>
    <w:uiPriority w:val="0"/>
    <w:rPr>
      <w:rFonts w:ascii="Arial" w:hAnsi="Arial" w:eastAsia="黑体" w:cs="Times New Roman"/>
      <w:b/>
      <w:bCs/>
      <w:sz w:val="32"/>
      <w:szCs w:val="32"/>
    </w:rPr>
  </w:style>
  <w:style w:type="character" w:customStyle="1" w:styleId="31">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6"/>
    <w:qFormat/>
    <w:uiPriority w:val="0"/>
    <w:rPr>
      <w:rFonts w:ascii="Arial" w:hAnsi="Arial" w:eastAsia="黑体" w:cs="Times New Roman"/>
      <w:b/>
      <w:bCs/>
      <w:sz w:val="28"/>
      <w:szCs w:val="28"/>
    </w:rPr>
  </w:style>
  <w:style w:type="character" w:customStyle="1" w:styleId="33">
    <w:name w:val="正文文本 3 Char"/>
    <w:basedOn w:val="25"/>
    <w:link w:val="9"/>
    <w:qFormat/>
    <w:uiPriority w:val="0"/>
    <w:rPr>
      <w:rFonts w:ascii="Times New Roman" w:hAnsi="Times New Roman" w:eastAsia="宋体" w:cs="Times New Roman"/>
      <w:color w:val="FF0000"/>
      <w:sz w:val="24"/>
      <w:szCs w:val="24"/>
    </w:rPr>
  </w:style>
  <w:style w:type="character" w:customStyle="1" w:styleId="34">
    <w:name w:val="正文文本 Char"/>
    <w:basedOn w:val="25"/>
    <w:link w:val="10"/>
    <w:semiHidden/>
    <w:qFormat/>
    <w:uiPriority w:val="99"/>
  </w:style>
  <w:style w:type="character" w:customStyle="1" w:styleId="35">
    <w:name w:val="正文文本缩进 Char"/>
    <w:basedOn w:val="25"/>
    <w:qFormat/>
    <w:uiPriority w:val="0"/>
  </w:style>
  <w:style w:type="character" w:customStyle="1" w:styleId="36">
    <w:name w:val="正文文本缩进 Char1"/>
    <w:basedOn w:val="25"/>
    <w:link w:val="11"/>
    <w:qFormat/>
    <w:uiPriority w:val="0"/>
    <w:rPr>
      <w:kern w:val="0"/>
      <w:sz w:val="24"/>
      <w:szCs w:val="20"/>
    </w:rPr>
  </w:style>
  <w:style w:type="character" w:customStyle="1" w:styleId="37">
    <w:name w:val="纯文本 Char"/>
    <w:basedOn w:val="25"/>
    <w:link w:val="14"/>
    <w:qFormat/>
    <w:uiPriority w:val="0"/>
    <w:rPr>
      <w:rFonts w:eastAsia="宋体"/>
      <w:sz w:val="24"/>
    </w:rPr>
  </w:style>
  <w:style w:type="character" w:customStyle="1" w:styleId="38">
    <w:name w:val="日期 Char"/>
    <w:basedOn w:val="25"/>
    <w:link w:val="15"/>
    <w:qFormat/>
    <w:uiPriority w:val="99"/>
  </w:style>
  <w:style w:type="character" w:customStyle="1" w:styleId="39">
    <w:name w:val="批注框文本 Char"/>
    <w:basedOn w:val="25"/>
    <w:semiHidden/>
    <w:qFormat/>
    <w:uiPriority w:val="99"/>
    <w:rPr>
      <w:sz w:val="18"/>
      <w:szCs w:val="18"/>
    </w:rPr>
  </w:style>
  <w:style w:type="character" w:customStyle="1" w:styleId="40">
    <w:name w:val="批注框文本 Char1"/>
    <w:basedOn w:val="25"/>
    <w:link w:val="16"/>
    <w:semiHidden/>
    <w:qFormat/>
    <w:uiPriority w:val="99"/>
    <w:rPr>
      <w:sz w:val="18"/>
      <w:szCs w:val="18"/>
    </w:rPr>
  </w:style>
  <w:style w:type="character" w:customStyle="1" w:styleId="41">
    <w:name w:val="页脚 Char"/>
    <w:basedOn w:val="25"/>
    <w:link w:val="17"/>
    <w:qFormat/>
    <w:uiPriority w:val="99"/>
    <w:rPr>
      <w:sz w:val="18"/>
      <w:szCs w:val="18"/>
    </w:rPr>
  </w:style>
  <w:style w:type="character" w:customStyle="1" w:styleId="42">
    <w:name w:val="页眉 Char"/>
    <w:basedOn w:val="25"/>
    <w:link w:val="18"/>
    <w:qFormat/>
    <w:uiPriority w:val="99"/>
    <w:rPr>
      <w:sz w:val="18"/>
      <w:szCs w:val="18"/>
    </w:rPr>
  </w:style>
  <w:style w:type="character" w:customStyle="1" w:styleId="43">
    <w:name w:val="HTML 预设格式 Char"/>
    <w:basedOn w:val="25"/>
    <w:semiHidden/>
    <w:qFormat/>
    <w:uiPriority w:val="99"/>
    <w:rPr>
      <w:rFonts w:ascii="宋体" w:hAnsi="宋体" w:eastAsia="宋体" w:cs="宋体"/>
      <w:kern w:val="0"/>
      <w:sz w:val="24"/>
      <w:szCs w:val="24"/>
    </w:rPr>
  </w:style>
  <w:style w:type="character" w:customStyle="1" w:styleId="44">
    <w:name w:val="HTML 预设格式 Char1"/>
    <w:basedOn w:val="25"/>
    <w:link w:val="20"/>
    <w:semiHidden/>
    <w:qFormat/>
    <w:uiPriority w:val="99"/>
    <w:rPr>
      <w:rFonts w:ascii="Courier New" w:hAnsi="Courier New" w:cs="Courier New"/>
      <w:sz w:val="20"/>
      <w:szCs w:val="20"/>
    </w:rPr>
  </w:style>
  <w:style w:type="character" w:customStyle="1" w:styleId="45">
    <w:name w:val="正文首行缩进 Char"/>
    <w:basedOn w:val="34"/>
    <w:link w:val="22"/>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5"/>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30547</Words>
  <Characters>31966</Characters>
  <Lines>248</Lines>
  <Paragraphs>69</Paragraphs>
  <TotalTime>43</TotalTime>
  <ScaleCrop>false</ScaleCrop>
  <LinksUpToDate>false</LinksUpToDate>
  <CharactersWithSpaces>32641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Vast Liu</cp:lastModifiedBy>
  <cp:lastPrinted>2021-05-12T07:15:00Z</cp:lastPrinted>
  <dcterms:modified xsi:type="dcterms:W3CDTF">2022-08-08T07:29:19Z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DE764C726BD2484187EC1A0827B8BAD6</vt:lpwstr>
  </property>
</Properties>
</file>