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禹州市2022年度农业水价综合改革项目</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zh-CN"/>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
          <w:bCs/>
          <w:w w:val="90"/>
          <w:sz w:val="96"/>
        </w:rPr>
      </w:pPr>
      <w:r>
        <w:rPr>
          <w:rFonts w:hint="eastAsia" w:ascii="华文隶书" w:eastAsia="华文隶书"/>
          <w:b/>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采购编号：YZCG-T2022030</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采购单位：禹州市农田水利工程建设管理局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二〇二二年八月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49"/>
        <w:numPr>
          <w:ilvl w:val="0"/>
          <w:numId w:val="4"/>
        </w:numPr>
        <w:ind w:firstLineChars="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禹州市政府采购中心受禹州市农田水利工程建设管理局的委托，就“禹州市2022年度农业水价综合改革项目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”进行竞争性谈判，欢迎合格的投标人前来投标。</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一、项目基本情况</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1、采购人：禹州市农田水利工程建设管理局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2、项目名称：禹州市2022年度农业水价综合改革项目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3、采购编号：YZCG-T2022030</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4、项目需求：虹吸测控一体化装置等一批（详见谈判文件）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5、合同履约期限：合同签订后15日历天内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6、采购预算：707150元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1、响应文件提交截止时间及谈判响应截止时间、谈判时间：2022年8月29日 10：30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1270" w:firstLineChars="6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1270" w:firstLineChars="6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（二）采购单位：</w:t>
      </w:r>
      <w:r>
        <w:rPr>
          <w:rFonts w:hint="eastAsia" w:asciiTheme="majorEastAsia" w:hAnsiTheme="majorEastAsia" w:eastAsiaTheme="majorEastAsia" w:cstheme="majorEastAsia"/>
          <w:szCs w:val="21"/>
        </w:rPr>
        <w:t>禹州市农田水利工程建设管理局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地址：禹州市禹王大道东段</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联系人：李女士  联系电话：0374-6068707</w:t>
      </w:r>
    </w:p>
    <w:p>
      <w:pPr>
        <w:spacing w:line="360" w:lineRule="auto"/>
        <w:rPr>
          <w:rFonts w:ascii="Calibri" w:hAnsi="宋体" w:eastAsia="宋体" w:cs="Times New Roman"/>
          <w:b/>
          <w:sz w:val="28"/>
          <w:szCs w:val="28"/>
        </w:rPr>
      </w:pPr>
    </w:p>
    <w:p>
      <w:pPr>
        <w:pStyle w:val="2"/>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（一）本项目需实现的功能或者目标</w:t>
      </w:r>
    </w:p>
    <w:p>
      <w:pPr>
        <w:widowControl/>
        <w:shd w:val="clear" w:color="auto" w:fill="FFFFFF"/>
        <w:spacing w:line="560" w:lineRule="exact"/>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实现禹州市纸坊灌区内文殊镇、方山镇、顺店镇和方岗镇</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个乡镇</w:t>
      </w:r>
      <w:r>
        <w:rPr>
          <w:rFonts w:hint="eastAsia" w:ascii="仿宋" w:hAnsi="仿宋" w:eastAsia="仿宋" w:cs="仿宋"/>
          <w:kern w:val="0"/>
          <w:sz w:val="28"/>
          <w:szCs w:val="28"/>
          <w:lang w:val="en-US" w:eastAsia="zh-CN"/>
        </w:rPr>
        <w:t>渠灌区的39</w:t>
      </w:r>
      <w:r>
        <w:rPr>
          <w:rFonts w:hint="eastAsia" w:ascii="仿宋" w:hAnsi="仿宋" w:eastAsia="仿宋" w:cs="仿宋"/>
          <w:kern w:val="0"/>
          <w:sz w:val="28"/>
          <w:szCs w:val="28"/>
        </w:rPr>
        <w:t>个行政村水利数据收集及远程控制。</w:t>
      </w:r>
    </w:p>
    <w:p>
      <w:pPr>
        <w:pStyle w:val="2"/>
        <w:numPr>
          <w:ilvl w:val="0"/>
          <w:numId w:val="17"/>
        </w:numPr>
        <w:ind w:firstLine="560"/>
        <w:rPr>
          <w:rFonts w:ascii="仿宋" w:hAnsi="仿宋" w:eastAsia="仿宋" w:cs="仿宋"/>
          <w:kern w:val="0"/>
          <w:sz w:val="28"/>
          <w:szCs w:val="28"/>
        </w:rPr>
      </w:pPr>
      <w:r>
        <w:rPr>
          <w:rFonts w:hint="eastAsia" w:ascii="仿宋" w:hAnsi="仿宋" w:eastAsia="仿宋" w:cs="仿宋"/>
          <w:kern w:val="0"/>
          <w:sz w:val="28"/>
          <w:szCs w:val="28"/>
        </w:rPr>
        <w:t>采购清单</w:t>
      </w:r>
    </w:p>
    <w:tbl>
      <w:tblPr>
        <w:tblStyle w:val="25"/>
        <w:tblW w:w="9030" w:type="dxa"/>
        <w:tblInd w:w="93" w:type="dxa"/>
        <w:tblLayout w:type="autofit"/>
        <w:tblCellMar>
          <w:top w:w="0" w:type="dxa"/>
          <w:left w:w="108" w:type="dxa"/>
          <w:bottom w:w="0" w:type="dxa"/>
          <w:right w:w="108" w:type="dxa"/>
        </w:tblCellMar>
      </w:tblPr>
      <w:tblGrid>
        <w:gridCol w:w="780"/>
        <w:gridCol w:w="2745"/>
        <w:gridCol w:w="2565"/>
        <w:gridCol w:w="1470"/>
        <w:gridCol w:w="1470"/>
      </w:tblGrid>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74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产品型号或名称</w:t>
            </w:r>
          </w:p>
        </w:tc>
        <w:tc>
          <w:tcPr>
            <w:tcW w:w="25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主要技术参数</w:t>
            </w:r>
          </w:p>
        </w:tc>
        <w:tc>
          <w:tcPr>
            <w:tcW w:w="14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147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r>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壹</w:t>
            </w:r>
          </w:p>
        </w:tc>
        <w:tc>
          <w:tcPr>
            <w:tcW w:w="274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渠灌区计量设施建设</w:t>
            </w:r>
          </w:p>
        </w:tc>
        <w:tc>
          <w:tcPr>
            <w:tcW w:w="2565" w:type="dxa"/>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b/>
                <w:bCs/>
                <w:color w:val="000000"/>
                <w:sz w:val="20"/>
                <w:szCs w:val="20"/>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 </w:t>
            </w:r>
          </w:p>
        </w:tc>
        <w:tc>
          <w:tcPr>
            <w:tcW w:w="1470" w:type="dxa"/>
            <w:tcBorders>
              <w:top w:val="nil"/>
              <w:left w:val="nil"/>
              <w:bottom w:val="single" w:color="000000" w:sz="8" w:space="0"/>
              <w:right w:val="single" w:color="000000" w:sz="8" w:space="0"/>
            </w:tcBorders>
            <w:shd w:val="clear" w:color="auto" w:fill="auto"/>
            <w:vAlign w:val="bottom"/>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trPr>
        <w:tc>
          <w:tcPr>
            <w:tcW w:w="7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274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虹吸测控一体化装置（含安装、调试、数据收集传输至省级信息平台）</w:t>
            </w:r>
          </w:p>
        </w:tc>
        <w:tc>
          <w:tcPr>
            <w:tcW w:w="2565" w:type="dxa"/>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470" w:type="dxa"/>
            <w:tcBorders>
              <w:top w:val="nil"/>
              <w:left w:val="nil"/>
              <w:bottom w:val="single" w:color="000000" w:sz="8" w:space="0"/>
              <w:right w:val="single" w:color="000000" w:sz="8" w:space="0"/>
            </w:tcBorders>
            <w:shd w:val="clear" w:color="auto" w:fill="auto"/>
            <w:vAlign w:val="bottom"/>
          </w:tcPr>
          <w:p>
            <w:pPr>
              <w:jc w:val="center"/>
              <w:rPr>
                <w:rFonts w:ascii="宋体" w:hAnsi="宋体" w:eastAsia="宋体" w:cs="宋体"/>
                <w:color w:val="000000"/>
                <w:sz w:val="20"/>
                <w:szCs w:val="20"/>
              </w:rPr>
            </w:pPr>
          </w:p>
        </w:tc>
        <w:tc>
          <w:tcPr>
            <w:tcW w:w="1470" w:type="dxa"/>
            <w:tcBorders>
              <w:top w:val="nil"/>
              <w:left w:val="nil"/>
              <w:bottom w:val="single" w:color="000000" w:sz="8" w:space="0"/>
              <w:right w:val="single" w:color="000000" w:sz="8" w:space="0"/>
            </w:tcBorders>
            <w:shd w:val="clear" w:color="auto" w:fill="auto"/>
            <w:vAlign w:val="bottom"/>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62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Style w:val="60"/>
                <w:rFonts w:hint="default"/>
                <w:lang w:bidi="ar"/>
              </w:rPr>
              <w:t>虹吸测控一体化装置（流量＜0.1m</w:t>
            </w:r>
            <w:r>
              <w:rPr>
                <w:rStyle w:val="61"/>
                <w:rFonts w:hint="default"/>
                <w:lang w:bidi="ar"/>
              </w:rPr>
              <w:t>3</w:t>
            </w:r>
            <w:r>
              <w:rPr>
                <w:rStyle w:val="60"/>
                <w:rFonts w:hint="default"/>
                <w:lang w:bidi="ar"/>
              </w:rPr>
              <w:t>/s)</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引水流量 : 0~0.1m3/s         水位变幅：0~5.5 米          供电电压：24V               通讯方式：4G/5G/LORA         启动时限：≤4.5 分钟          关闭时限：≤1.5 分钟           使用寿命：≥10 年              计量精度：≥95%                          计量电流：&lt;0.2mA</w:t>
            </w:r>
            <w:bookmarkStart w:id="4" w:name="_GoBack"/>
            <w:bookmarkEnd w:id="4"/>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引水方式：虹吸</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启闭方式： 抽排气 </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CellMar>
            <w:top w:w="0" w:type="dxa"/>
            <w:left w:w="108" w:type="dxa"/>
            <w:bottom w:w="0" w:type="dxa"/>
            <w:right w:w="108" w:type="dxa"/>
          </w:tblCellMar>
        </w:tblPrEx>
        <w:trPr>
          <w:trHeight w:val="180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Style w:val="60"/>
                <w:rFonts w:hint="default"/>
                <w:lang w:bidi="ar"/>
              </w:rPr>
              <w:t>虹吸测控一体化装置（流量0.1～0.15m</w:t>
            </w:r>
            <w:r>
              <w:rPr>
                <w:rStyle w:val="61"/>
                <w:rFonts w:hint="default"/>
                <w:lang w:bidi="ar"/>
              </w:rPr>
              <w:t>3</w:t>
            </w:r>
            <w:r>
              <w:rPr>
                <w:rStyle w:val="60"/>
                <w:rFonts w:hint="default"/>
                <w:lang w:bidi="ar"/>
              </w:rPr>
              <w:t>/s)</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引水流量 : 0.1~0.15m3/s         水位变幅：0~5.5 米          供电电压：24V               通讯方式：4G/5G/LORA         启动时限：≤4.5 分钟          关闭时限：≤1.5 分钟           使用寿命：≥10 年              计量精度：≥95%                          计量电流：&lt;0.2mA</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引水方式：虹吸</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启闭方式： 抽排气  </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CellMar>
            <w:top w:w="0" w:type="dxa"/>
            <w:left w:w="108" w:type="dxa"/>
            <w:bottom w:w="0" w:type="dxa"/>
            <w:right w:w="108" w:type="dxa"/>
          </w:tblCellMar>
        </w:tblPrEx>
        <w:trPr>
          <w:trHeight w:val="192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Style w:val="60"/>
                <w:rFonts w:hint="default"/>
                <w:lang w:bidi="ar"/>
              </w:rPr>
              <w:t>虹吸测控一体化装置（流量0.15～0.3m</w:t>
            </w:r>
            <w:r>
              <w:rPr>
                <w:rStyle w:val="61"/>
                <w:rFonts w:hint="default"/>
                <w:lang w:bidi="ar"/>
              </w:rPr>
              <w:t>3</w:t>
            </w:r>
            <w:r>
              <w:rPr>
                <w:rStyle w:val="60"/>
                <w:rFonts w:hint="default"/>
                <w:lang w:bidi="ar"/>
              </w:rPr>
              <w:t>/s)</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引水流量 : 0.15~0.3m3/s         水位变幅：0~5.5 米          供电电压：24V               通讯方式：4G/5G/LORA         启动时限：≤4.5 分钟          关闭时限：≤1.5 分钟           使用寿命：≥10 年              计量精度：≥95%                          计量电流：&lt;0.2mA </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引水方式：虹吸</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启闭方式： 抽排气</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340" w:hRule="atLeast"/>
        </w:trPr>
        <w:tc>
          <w:tcPr>
            <w:tcW w:w="78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单元虹吸测控平台注册</w:t>
            </w:r>
          </w:p>
        </w:tc>
        <w:tc>
          <w:tcPr>
            <w:tcW w:w="2565" w:type="dxa"/>
            <w:tcBorders>
              <w:top w:val="nil"/>
              <w:left w:val="nil"/>
              <w:bottom w:val="single" w:color="000000" w:sz="8" w:space="0"/>
              <w:right w:val="single" w:color="000000" w:sz="8" w:space="0"/>
            </w:tcBorders>
            <w:shd w:val="clear" w:color="auto" w:fill="FFFFFF"/>
            <w:vAlign w:val="center"/>
          </w:tcPr>
          <w:p>
            <w:pPr>
              <w:jc w:val="left"/>
              <w:rPr>
                <w:rFonts w:ascii="宋体" w:hAnsi="宋体" w:eastAsia="宋体" w:cs="宋体"/>
                <w:color w:val="000000"/>
                <w:sz w:val="20"/>
                <w:szCs w:val="20"/>
              </w:rPr>
            </w:pPr>
          </w:p>
        </w:tc>
        <w:tc>
          <w:tcPr>
            <w:tcW w:w="1470" w:type="dxa"/>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1470" w:type="dxa"/>
            <w:tcBorders>
              <w:top w:val="nil"/>
              <w:left w:val="nil"/>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虹吸测控流量卡（5年服务期）</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2G/年</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r>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贰</w:t>
            </w: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智能化闸门及压力罐</w:t>
            </w:r>
          </w:p>
        </w:tc>
        <w:tc>
          <w:tcPr>
            <w:tcW w:w="2565" w:type="dxa"/>
            <w:tcBorders>
              <w:top w:val="nil"/>
              <w:left w:val="nil"/>
              <w:bottom w:val="single" w:color="000000" w:sz="8" w:space="0"/>
              <w:right w:val="single" w:color="000000" w:sz="8" w:space="0"/>
            </w:tcBorders>
            <w:shd w:val="clear" w:color="auto" w:fill="FFFFFF"/>
            <w:vAlign w:val="center"/>
          </w:tcPr>
          <w:p>
            <w:pPr>
              <w:jc w:val="left"/>
              <w:rPr>
                <w:rFonts w:ascii="宋体" w:hAnsi="宋体" w:eastAsia="宋体" w:cs="宋体"/>
                <w:b/>
                <w:bCs/>
                <w:color w:val="000000"/>
                <w:sz w:val="20"/>
                <w:szCs w:val="20"/>
              </w:rPr>
            </w:pPr>
          </w:p>
        </w:tc>
        <w:tc>
          <w:tcPr>
            <w:tcW w:w="1470" w:type="dxa"/>
            <w:tcBorders>
              <w:top w:val="nil"/>
              <w:left w:val="nil"/>
              <w:bottom w:val="single" w:color="000000" w:sz="8" w:space="0"/>
              <w:right w:val="single" w:color="000000" w:sz="8" w:space="0"/>
            </w:tcBorders>
            <w:shd w:val="clear" w:color="auto" w:fill="FFFFFF"/>
            <w:vAlign w:val="bottom"/>
          </w:tcPr>
          <w:p>
            <w:pPr>
              <w:jc w:val="center"/>
              <w:rPr>
                <w:rFonts w:ascii="宋体" w:hAnsi="宋体" w:eastAsia="宋体" w:cs="宋体"/>
                <w:b/>
                <w:bCs/>
                <w:color w:val="000000"/>
                <w:sz w:val="20"/>
                <w:szCs w:val="20"/>
              </w:rPr>
            </w:pPr>
          </w:p>
        </w:tc>
        <w:tc>
          <w:tcPr>
            <w:tcW w:w="0" w:type="auto"/>
            <w:tcBorders>
              <w:top w:val="nil"/>
              <w:left w:val="nil"/>
              <w:bottom w:val="single" w:color="000000" w:sz="8" w:space="0"/>
              <w:right w:val="single" w:color="000000" w:sz="8" w:space="0"/>
            </w:tcBorders>
            <w:shd w:val="clear" w:color="auto" w:fill="FFFFFF"/>
            <w:noWrap/>
            <w:vAlign w:val="bottom"/>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68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PMZ挡水铸铁闸门(1.5×1.5m)</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门叶材质  HT200                 最大挡水高度  4m</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扇</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72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QL-100-SD手电两用螺杆启闭机</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启门力/闭门力 100kN/50kN        工作级别  Q2-轻                 启闭机的启门速度0.2～0.5m/min     螺杆直径φ70</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座</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86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PMZ挡水铸铁闸门(2×1.5m)</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门叶材质  HT200                 最大挡水高度  4m</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扇</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78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QL-120-SD手电两用螺杆启闭机</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启门力/闭门力 120kN/60kN        工作级别  Q2-轻                 启闭机的启门速度0.2～0.5m/min     螺杆直径φ75                    电机防护等级 IP56</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座</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49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限位和荷载保护及远程控制</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开度仪：采用绝对值编码器、测量分辨率达到±1mm，数显开度           机械式上下极限限位器:极限限位精度±2mm                远程功能：可通过监控系统使闸门进行自动启闭操作         荷重仪：其误差值精度为5%.闸门启门力、闭门力超过额定容量时自动停机                                           现地操作 ：可手动操作，也可实现开/关/暂停功能</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78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无线网卡（5年服务期）</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外置天线：无</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频率范围：2.4GHz/5GHz</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642"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10t压力罐（含运输、安装）</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10T*8</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620" w:hRule="atLeast"/>
        </w:trPr>
        <w:tc>
          <w:tcPr>
            <w:tcW w:w="780" w:type="dxa"/>
            <w:tcBorders>
              <w:top w:val="nil"/>
              <w:left w:val="single" w:color="000000" w:sz="8" w:space="0"/>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DN160pe管道采购</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0.6pa</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w:t>
            </w:r>
          </w:p>
        </w:tc>
      </w:tr>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叁</w:t>
            </w: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农业水价改革相关支出</w:t>
            </w:r>
          </w:p>
        </w:tc>
        <w:tc>
          <w:tcPr>
            <w:tcW w:w="2565" w:type="dxa"/>
            <w:tcBorders>
              <w:top w:val="nil"/>
              <w:left w:val="nil"/>
              <w:bottom w:val="single" w:color="000000" w:sz="8" w:space="0"/>
              <w:right w:val="single" w:color="000000" w:sz="8" w:space="0"/>
            </w:tcBorders>
            <w:shd w:val="clear" w:color="auto" w:fill="FFFFFF"/>
            <w:vAlign w:val="center"/>
          </w:tcPr>
          <w:p>
            <w:pPr>
              <w:jc w:val="left"/>
              <w:rPr>
                <w:rFonts w:ascii="宋体" w:hAnsi="宋体" w:eastAsia="宋体" w:cs="宋体"/>
                <w:b/>
                <w:bCs/>
                <w:color w:val="000000"/>
                <w:sz w:val="20"/>
                <w:szCs w:val="20"/>
              </w:rPr>
            </w:pPr>
          </w:p>
        </w:tc>
        <w:tc>
          <w:tcPr>
            <w:tcW w:w="1470" w:type="dxa"/>
            <w:tcBorders>
              <w:top w:val="nil"/>
              <w:left w:val="nil"/>
              <w:bottom w:val="single" w:color="000000" w:sz="8" w:space="0"/>
              <w:right w:val="single" w:color="000000" w:sz="8" w:space="0"/>
            </w:tcBorders>
            <w:shd w:val="clear" w:color="auto" w:fill="FFFFFF"/>
            <w:vAlign w:val="bottom"/>
          </w:tcPr>
          <w:p>
            <w:pPr>
              <w:jc w:val="center"/>
              <w:rPr>
                <w:rFonts w:ascii="宋体" w:hAnsi="宋体" w:eastAsia="宋体" w:cs="宋体"/>
                <w:color w:val="000000"/>
                <w:sz w:val="20"/>
                <w:szCs w:val="20"/>
              </w:rPr>
            </w:pPr>
          </w:p>
        </w:tc>
        <w:tc>
          <w:tcPr>
            <w:tcW w:w="0" w:type="auto"/>
            <w:tcBorders>
              <w:top w:val="nil"/>
              <w:left w:val="nil"/>
              <w:bottom w:val="single" w:color="000000" w:sz="8" w:space="0"/>
              <w:right w:val="single" w:color="000000" w:sz="8" w:space="0"/>
            </w:tcBorders>
            <w:shd w:val="clear" w:color="auto" w:fill="FFFFFF"/>
            <w:noWrap/>
            <w:vAlign w:val="bottom"/>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信息输入终端</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台式电脑</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CPU：i3-12100 </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内存：≥8G </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硬盘：256GSSD+1TB</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操作系统： Win11；</w:t>
            </w:r>
          </w:p>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显示器：21.5寸。</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745" w:hRule="atLeast"/>
        </w:trPr>
        <w:tc>
          <w:tcPr>
            <w:tcW w:w="78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74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信息输出终端</w:t>
            </w:r>
          </w:p>
        </w:tc>
        <w:tc>
          <w:tcPr>
            <w:tcW w:w="2565"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21.5寸显示器</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bl>
    <w:p>
      <w:pPr>
        <w:pStyle w:val="2"/>
      </w:pPr>
    </w:p>
    <w:p>
      <w:pPr>
        <w:widowControl/>
        <w:shd w:val="clear" w:color="auto" w:fill="FFFFFF"/>
        <w:spacing w:line="360" w:lineRule="auto"/>
        <w:ind w:firstLine="482" w:firstLineChars="200"/>
        <w:jc w:val="left"/>
        <w:rPr>
          <w:rFonts w:cs="仿宋" w:asciiTheme="minorEastAsia" w:hAnsiTheme="minorEastAsia"/>
          <w:b/>
          <w:sz w:val="24"/>
          <w:szCs w:val="24"/>
        </w:rPr>
      </w:pPr>
      <w:r>
        <w:rPr>
          <w:rFonts w:hint="eastAsia" w:cs="仿宋" w:asciiTheme="minorEastAsia" w:hAnsiTheme="minorEastAsia"/>
          <w:b/>
          <w:sz w:val="24"/>
          <w:szCs w:val="24"/>
        </w:rPr>
        <w:t>注：以上采购清单中的要求为最低要求，投标人不得低于此要求，否则为无效响应文件 。</w:t>
      </w:r>
    </w:p>
    <w:p>
      <w:pPr>
        <w:numPr>
          <w:ilvl w:val="0"/>
          <w:numId w:val="18"/>
        </w:numPr>
        <w:wordWrap w:val="0"/>
        <w:spacing w:line="360" w:lineRule="auto"/>
        <w:ind w:firstLine="641"/>
        <w:contextualSpacing/>
        <w:rPr>
          <w:rFonts w:cs="仿宋" w:asciiTheme="minorEastAsia" w:hAnsiTheme="minorEastAsia"/>
          <w:sz w:val="24"/>
          <w:szCs w:val="24"/>
        </w:rPr>
      </w:pPr>
      <w:r>
        <w:rPr>
          <w:rFonts w:hint="eastAsia" w:cs="仿宋" w:asciiTheme="minorEastAsia" w:hAnsiTheme="minorEastAsia"/>
          <w:b/>
          <w:sz w:val="24"/>
          <w:szCs w:val="24"/>
        </w:rPr>
        <w:t>采购标的执行标准：</w:t>
      </w:r>
      <w:r>
        <w:rPr>
          <w:rFonts w:hint="eastAsia" w:cs="仿宋" w:asciiTheme="minorEastAsia" w:hAnsiTheme="minorEastAsia"/>
          <w:sz w:val="24"/>
          <w:szCs w:val="24"/>
        </w:rPr>
        <w:t xml:space="preserve">需执行的国家相关标准、规范。 </w:t>
      </w:r>
    </w:p>
    <w:p>
      <w:pPr>
        <w:wordWrap w:val="0"/>
        <w:spacing w:line="360" w:lineRule="auto"/>
        <w:ind w:left="641"/>
        <w:contextualSpacing/>
        <w:rPr>
          <w:rFonts w:cs="仿宋_GB2312" w:asciiTheme="minorEastAsia" w:hAnsiTheme="minorEastAsia"/>
          <w:szCs w:val="21"/>
          <w:lang w:val="zh-CN"/>
        </w:rPr>
      </w:pPr>
      <w:r>
        <w:rPr>
          <w:rFonts w:hint="eastAsia" w:cs="仿宋_GB2312" w:asciiTheme="minorEastAsia" w:hAnsiTheme="minorEastAsia"/>
          <w:szCs w:val="21"/>
          <w:lang w:val="zh-CN"/>
        </w:rPr>
        <w:t>1、强制性产品认证</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2、信息安全产品强制性认证</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 w:asciiTheme="minorEastAsia" w:hAnsiTheme="minorEastAsia"/>
          <w:sz w:val="24"/>
          <w:szCs w:val="24"/>
        </w:rPr>
      </w:pPr>
      <w:r>
        <w:rPr>
          <w:rFonts w:hint="eastAsia" w:cs="仿宋_GB2312" w:asciiTheme="minorEastAsia" w:hAnsiTheme="minorEastAsia"/>
          <w:szCs w:val="21"/>
          <w:lang w:val="zh-CN"/>
        </w:rPr>
        <w:t>注:仅需提供序号（1）~（2）其中之一即可。</w:t>
      </w:r>
    </w:p>
    <w:p>
      <w:pPr>
        <w:widowControl/>
        <w:numPr>
          <w:ilvl w:val="0"/>
          <w:numId w:val="18"/>
        </w:numPr>
        <w:shd w:val="clear" w:color="auto" w:fill="FFFFFF"/>
        <w:spacing w:line="360" w:lineRule="auto"/>
        <w:ind w:firstLine="641"/>
        <w:jc w:val="left"/>
        <w:rPr>
          <w:rFonts w:cs="仿宋" w:asciiTheme="minorEastAsia" w:hAnsiTheme="minorEastAsia"/>
          <w:b/>
          <w:kern w:val="0"/>
          <w:sz w:val="24"/>
          <w:szCs w:val="24"/>
        </w:rPr>
      </w:pPr>
      <w:r>
        <w:rPr>
          <w:rFonts w:hint="eastAsia" w:cs="仿宋" w:asciiTheme="minorEastAsia" w:hAnsiTheme="minorEastAsia"/>
          <w:b/>
          <w:kern w:val="0"/>
          <w:sz w:val="24"/>
          <w:szCs w:val="24"/>
        </w:rPr>
        <w:t>服务标准、期限、效率等要求：</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1、质量：合格；符合国家三包标准。</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质保期：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3、投标人须明确维修点地址、负责人、联系人和联系电话，维修点具备什么样的维修能力等详细资料。</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投标人所投“农田灌溉智能控制系统”设备需与现有“农业水价综合改革平台”实现无缝对接，不接受新建平台，中标人中标后第三个工作日需提供“农田灌溉智能控制系统”设备及软件进行对接测试，如无法实现无缝对接，视为虚假投标，追究中标人相关法律责任。</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5</w:t>
      </w:r>
      <w:r>
        <w:rPr>
          <w:rFonts w:hint="eastAsia" w:cs="仿宋_GB2312" w:asciiTheme="minorEastAsia" w:hAnsiTheme="minorEastAsia"/>
          <w:szCs w:val="21"/>
          <w:lang w:val="zh-CN"/>
        </w:rPr>
        <w:t>、中标企业于中标后第三日提供谈判文件中所有资质原件并按谈判文件的相关要求演示，不符合或不能提供的，取消其中标资格。</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6</w:t>
      </w:r>
      <w:r>
        <w:rPr>
          <w:rFonts w:hint="eastAsia" w:cs="仿宋_GB2312" w:asciiTheme="minorEastAsia" w:hAnsiTheme="minorEastAsia"/>
          <w:szCs w:val="21"/>
          <w:lang w:val="zh-CN"/>
        </w:rPr>
        <w:t>、中标人需按谈判文件约定时间供货，工期：签订合同后</w:t>
      </w:r>
      <w:r>
        <w:rPr>
          <w:rFonts w:hint="eastAsia" w:cs="仿宋_GB2312" w:asciiTheme="minorEastAsia" w:hAnsiTheme="minorEastAsia"/>
          <w:szCs w:val="21"/>
        </w:rPr>
        <w:t>15日历天</w:t>
      </w:r>
      <w:r>
        <w:rPr>
          <w:rFonts w:hint="eastAsia" w:cs="仿宋_GB2312" w:asciiTheme="minorEastAsia" w:hAnsiTheme="minorEastAsia"/>
          <w:szCs w:val="21"/>
          <w:lang w:val="zh-CN"/>
        </w:rPr>
        <w:t>，逾期1天扣除合同额5%，中标人须现场提供技术指导，直至配合完成整个项目的竣工验收等工作。</w:t>
      </w:r>
    </w:p>
    <w:p>
      <w:pPr>
        <w:widowControl/>
        <w:shd w:val="clear" w:color="auto" w:fill="FFFFFF"/>
        <w:spacing w:line="560" w:lineRule="exact"/>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（四）采购标的的其他技术、服务等要求</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1、投标人须明确投标产品的厂家、产地、品牌、型号、等参数，</w:t>
      </w:r>
      <w:r>
        <w:rPr>
          <w:rFonts w:hint="eastAsia" w:ascii="新宋体" w:hAnsi="新宋体" w:eastAsia="新宋体" w:cs="新宋体"/>
          <w:b/>
          <w:bCs/>
          <w:szCs w:val="21"/>
          <w:lang w:val="zh-CN"/>
        </w:rPr>
        <w:t>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spacing w:line="360" w:lineRule="auto"/>
        <w:ind w:firstLine="480" w:firstLineChars="200"/>
        <w:jc w:val="left"/>
        <w:rPr>
          <w:lang w:val="zh-CN"/>
        </w:rPr>
      </w:pPr>
      <w:r>
        <w:rPr>
          <w:rFonts w:hint="eastAsia" w:eastAsia="新宋体" w:cs="仿宋" w:asciiTheme="minorEastAsia" w:hAnsiTheme="minorEastAsia"/>
          <w:sz w:val="24"/>
          <w:szCs w:val="24"/>
        </w:rPr>
        <w:t>3</w:t>
      </w:r>
      <w:r>
        <w:rPr>
          <w:rFonts w:hint="eastAsia" w:ascii="新宋体" w:hAnsi="新宋体" w:eastAsia="新宋体" w:cs="新宋体"/>
          <w:szCs w:val="21"/>
          <w:lang w:val="zh-CN"/>
        </w:rPr>
        <w:t>、所投产品必须符合国家质量标准和本谈判文件规定标准的全新正品现货</w:t>
      </w:r>
      <w:r>
        <w:rPr>
          <w:rFonts w:hint="eastAsia" w:cs="仿宋" w:asciiTheme="minorEastAsia" w:hAnsiTheme="minorEastAsia"/>
          <w:sz w:val="24"/>
          <w:szCs w:val="24"/>
        </w:rPr>
        <w:t>,</w:t>
      </w:r>
      <w:r>
        <w:rPr>
          <w:rFonts w:hint="eastAsia" w:ascii="新宋体" w:hAnsi="新宋体" w:eastAsia="新宋体" w:cs="新宋体"/>
          <w:b/>
          <w:bCs/>
          <w:szCs w:val="21"/>
          <w:lang w:val="zh-CN"/>
        </w:rPr>
        <w:t>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rPr>
        <w:t>4</w:t>
      </w:r>
      <w:r>
        <w:rPr>
          <w:rFonts w:hint="eastAsia" w:ascii="新宋体" w:hAnsi="新宋体" w:eastAsia="新宋体" w:cs="新宋体"/>
          <w:szCs w:val="21"/>
          <w:lang w:val="zh-CN"/>
        </w:rPr>
        <w:t>、投标人须有完整的技术方案，</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（五）验收标准</w:t>
      </w:r>
    </w:p>
    <w:p>
      <w:pPr>
        <w:widowControl/>
        <w:shd w:val="clear" w:color="auto" w:fill="FFFFFF"/>
        <w:spacing w:line="360" w:lineRule="auto"/>
        <w:ind w:firstLine="600"/>
        <w:jc w:val="left"/>
        <w:rPr>
          <w:rFonts w:cs="仿宋" w:asciiTheme="minorEastAsia" w:hAnsiTheme="minorEastAsia"/>
          <w:sz w:val="24"/>
          <w:szCs w:val="24"/>
        </w:rPr>
      </w:pPr>
      <w:r>
        <w:rPr>
          <w:rFonts w:hint="eastAsia" w:cs="仿宋" w:asciiTheme="minorEastAsia" w:hAnsiTheme="minor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1、按照国家相关标准、行业标准、地方标准或其他标准、规范验收。国家相关标准；</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2、按照招标文件要求、投标文件响应和承诺验收；</w:t>
      </w:r>
    </w:p>
    <w:p>
      <w:pPr>
        <w:widowControl/>
        <w:shd w:val="clear" w:color="auto" w:fill="FFFFFF"/>
        <w:spacing w:line="360" w:lineRule="auto"/>
        <w:ind w:firstLine="482" w:firstLineChars="200"/>
        <w:contextualSpacing/>
        <w:jc w:val="left"/>
        <w:rPr>
          <w:rFonts w:cs="仿宋" w:asciiTheme="minorEastAsia" w:hAnsiTheme="minorEastAsia"/>
          <w:b/>
          <w:sz w:val="24"/>
          <w:szCs w:val="24"/>
        </w:rPr>
      </w:pPr>
      <w:r>
        <w:rPr>
          <w:rFonts w:hint="eastAsia" w:cs="仿宋" w:asciiTheme="minorEastAsia" w:hAnsiTheme="minorEastAsia"/>
          <w:b/>
          <w:sz w:val="24"/>
          <w:szCs w:val="24"/>
        </w:rPr>
        <w:t>(六)采购资金支付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（一）支付方式：财政支付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（二）支付时间及条件：</w:t>
      </w:r>
      <w:r>
        <w:rPr>
          <w:rFonts w:hint="eastAsia" w:cs="仿宋" w:asciiTheme="minorEastAsia" w:hAnsiTheme="minorEastAsia"/>
          <w:sz w:val="24"/>
          <w:szCs w:val="24"/>
          <w:lang w:val="zh-CN"/>
        </w:rPr>
        <w:t>以签订合同为准(以财政拨付为准)。</w:t>
      </w:r>
    </w:p>
    <w:p>
      <w:pPr>
        <w:pStyle w:val="2"/>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rPr>
                <w:rFonts w:cs="仿宋_GB2312" w:asciiTheme="minorEastAsia" w:hAnsiTheme="minorEastAsia"/>
                <w:szCs w:val="21"/>
                <w:lang w:val="zh-CN"/>
              </w:rPr>
            </w:pPr>
            <w:r>
              <w:rPr>
                <w:rFonts w:hint="eastAsia" w:cs="仿宋_GB2312" w:asciiTheme="minorEastAsia" w:hAnsiTheme="minorEastAsia"/>
                <w:szCs w:val="21"/>
                <w:lang w:val="zh-CN"/>
              </w:rPr>
              <w:t>项目名称：</w:t>
            </w:r>
            <w:r>
              <w:rPr>
                <w:rFonts w:hint="eastAsia" w:asciiTheme="majorEastAsia" w:hAnsiTheme="majorEastAsia" w:eastAsiaTheme="majorEastAsia" w:cstheme="majorEastAsia"/>
                <w:szCs w:val="21"/>
              </w:rPr>
              <w:t>禹州市2022年度农业水价综合改革项目</w:t>
            </w:r>
            <w:r>
              <w:rPr>
                <w:rFonts w:hint="eastAsia" w:asciiTheme="majorEastAsia" w:hAnsiTheme="majorEastAsia" w:eastAsiaTheme="majorEastAsia" w:cstheme="majorEastAsia"/>
                <w:szCs w:val="21"/>
                <w:lang w:val="zh-CN"/>
              </w:rPr>
              <w:t>（不见面开标）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zh-CN"/>
              </w:rPr>
              <w:t>采购编号：YZCG-T20220</w:t>
            </w:r>
            <w:r>
              <w:rPr>
                <w:rFonts w:hint="eastAsia" w:cs="仿宋_GB2312" w:asciiTheme="minorEastAsia" w:hAnsiTheme="minorEastAsia"/>
                <w:szCs w:val="21"/>
              </w:rPr>
              <w:t>30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rPr>
              <w:t>合同签订后</w:t>
            </w:r>
            <w:r>
              <w:rPr>
                <w:rFonts w:hint="eastAsia" w:cs="仿宋_GB2312" w:asciiTheme="minorEastAsia" w:hAnsiTheme="minorEastAsia"/>
                <w:szCs w:val="21"/>
              </w:rPr>
              <w:t>15日历天内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rPr>
              <w:t>禹州市农田水利工程建设管理局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地址：禹州市禹王大道东段</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联系人：李女士  联系电话：0374-6068707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Theme="majorEastAsia" w:hAnsiTheme="majorEastAsia" w:eastAsiaTheme="majorEastAsia" w:cstheme="majorEastAsia"/>
                <w:b/>
                <w:bCs/>
                <w:szCs w:val="21"/>
              </w:rPr>
              <w:t>707150</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2022</w:t>
            </w:r>
            <w:r>
              <w:rPr>
                <w:rFonts w:hint="eastAsia" w:cs="宋体" w:asciiTheme="minorEastAsia" w:hAnsiTheme="minorEastAsia"/>
                <w:bCs/>
                <w:szCs w:val="21"/>
                <w:lang w:val="zh-CN"/>
              </w:rPr>
              <w:t>年</w:t>
            </w:r>
            <w:r>
              <w:rPr>
                <w:rFonts w:hint="eastAsia" w:cs="宋体" w:asciiTheme="minorEastAsia" w:hAnsiTheme="minorEastAsia"/>
                <w:bCs/>
                <w:szCs w:val="21"/>
              </w:rPr>
              <w:t>8</w:t>
            </w:r>
            <w:r>
              <w:rPr>
                <w:rFonts w:hint="eastAsia" w:cs="宋体" w:asciiTheme="minorEastAsia" w:hAnsiTheme="minorEastAsia"/>
                <w:bCs/>
                <w:szCs w:val="21"/>
                <w:lang w:val="zh-CN"/>
              </w:rPr>
              <w:t>月</w:t>
            </w:r>
            <w:r>
              <w:rPr>
                <w:rFonts w:hint="eastAsia" w:cs="宋体" w:asciiTheme="minorEastAsia" w:hAnsiTheme="minorEastAsia"/>
                <w:bCs/>
                <w:szCs w:val="21"/>
              </w:rPr>
              <w:t xml:space="preserve">29 </w:t>
            </w:r>
            <w:r>
              <w:rPr>
                <w:rFonts w:hint="eastAsia" w:cs="宋体" w:asciiTheme="minorEastAsia" w:hAnsiTheme="minorEastAsia"/>
                <w:bCs/>
                <w:szCs w:val="21"/>
                <w:lang w:val="zh-CN"/>
              </w:rPr>
              <w:t xml:space="preserve">日 </w:t>
            </w:r>
            <w:r>
              <w:rPr>
                <w:rFonts w:hint="eastAsia" w:cs="宋体" w:asciiTheme="minorEastAsia" w:hAnsiTheme="minorEastAsia"/>
                <w:bCs/>
                <w:szCs w:val="21"/>
              </w:rPr>
              <w:t>10</w:t>
            </w:r>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rPr>
                <w:color w:val="FF0000"/>
              </w:rPr>
            </w:pPr>
            <w:r>
              <w:rPr>
                <w:rFonts w:hint="eastAsia" w:ascii="ˎ̥" w:hAnsi="ˎ̥"/>
                <w:color w:val="FF0000"/>
              </w:rPr>
              <w:t>1、</w:t>
            </w:r>
            <w:r>
              <w:rPr>
                <w:rFonts w:hint="eastAsia"/>
                <w:color w:val="FF0000"/>
              </w:rPr>
              <w:t>本项目属于专门面向中小企业采购的项目（不再执行价格评审优惠的扶持政策）；本次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41"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4"/>
        </w:numPr>
        <w:autoSpaceDE w:val="0"/>
        <w:autoSpaceDN w:val="0"/>
        <w:spacing w:line="360" w:lineRule="auto"/>
        <w:ind w:firstLineChars="0"/>
        <w:contextualSpacing/>
        <w:rPr>
          <w:rFonts w:ascii="ˎ̥" w:hAnsi="ˎ̥"/>
          <w:vanish/>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49"/>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ind w:left="5250"/>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中小企业声明函（货物）</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w:t>
      </w:r>
    </w:p>
    <w:p>
      <w:pPr>
        <w:spacing w:line="360" w:lineRule="auto"/>
        <w:ind w:firstLine="707" w:firstLineChars="337"/>
        <w:jc w:val="left"/>
      </w:pPr>
      <w:r>
        <w:rPr>
          <w:rFonts w:hint="eastAsia"/>
        </w:rP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rPr>
          <w:rFonts w:hint="eastAsia"/>
        </w:rPr>
        <w:t>企业名称（盖章）：</w:t>
      </w:r>
    </w:p>
    <w:p>
      <w:pPr>
        <w:spacing w:line="480" w:lineRule="auto"/>
        <w:ind w:firstLine="5957" w:firstLineChars="2837"/>
        <w:jc w:val="left"/>
        <w:rPr>
          <w:rFonts w:cs="Arial" w:asciiTheme="minorEastAsia" w:hAnsiTheme="minorEastAsia"/>
          <w:szCs w:val="21"/>
        </w:rPr>
      </w:pPr>
      <w:r>
        <w:rPr>
          <w:rFonts w:hint="eastAsia"/>
        </w:rP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2、中小企业参加政府采购活动，应当出具</w:t>
      </w:r>
      <w:r>
        <w:rPr>
          <w:rFonts w:hint="eastAsia"/>
        </w:rPr>
        <w:t>《中小企业声明函》，否则不得享受相关中小企业扶持政</w:t>
      </w:r>
      <w:r>
        <w:rPr>
          <w:rFonts w:hint="eastAsia"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rPr>
        <w:t>3.5 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项目名称：</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rPr>
          <w:rFonts w:cs="黑体" w:asciiTheme="minorEastAsia" w:hAnsiTheme="minorEastAsia"/>
          <w:b/>
          <w:bCs/>
          <w:sz w:val="44"/>
          <w:szCs w:val="4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6">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F817E8"/>
    <w:multiLevelType w:val="singleLevel"/>
    <w:tmpl w:val="59F817E8"/>
    <w:lvl w:ilvl="0" w:tentative="0">
      <w:start w:val="1"/>
      <w:numFmt w:val="chineseCounting"/>
      <w:pStyle w:val="59"/>
      <w:suff w:val="nothing"/>
      <w:lvlText w:val="%1、"/>
      <w:lvlJc w:val="left"/>
    </w:lvl>
  </w:abstractNum>
  <w:abstractNum w:abstractNumId="5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54E26F6"/>
    <w:multiLevelType w:val="singleLevel"/>
    <w:tmpl w:val="654E26F6"/>
    <w:lvl w:ilvl="0" w:tentative="0">
      <w:start w:val="1"/>
      <w:numFmt w:val="decimal"/>
      <w:suff w:val="nothing"/>
      <w:lvlText w:val="%1、"/>
      <w:lvlJc w:val="left"/>
    </w:lvl>
  </w:abstractNum>
  <w:abstractNum w:abstractNumId="57">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6834EBA"/>
    <w:multiLevelType w:val="multilevel"/>
    <w:tmpl w:val="76834EBA"/>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992BAE1"/>
    <w:multiLevelType w:val="singleLevel"/>
    <w:tmpl w:val="7992BAE1"/>
    <w:lvl w:ilvl="0" w:tentative="0">
      <w:start w:val="2"/>
      <w:numFmt w:val="chineseCounting"/>
      <w:suff w:val="nothing"/>
      <w:lvlText w:val="（%1）"/>
      <w:lvlJc w:val="left"/>
      <w:rPr>
        <w:rFonts w:hint="eastAsia"/>
      </w:rPr>
    </w:lvl>
  </w:abstractNum>
  <w:abstractNum w:abstractNumId="7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1"/>
  </w:num>
  <w:num w:numId="4">
    <w:abstractNumId w:val="66"/>
  </w:num>
  <w:num w:numId="5">
    <w:abstractNumId w:val="56"/>
  </w:num>
  <w:num w:numId="6">
    <w:abstractNumId w:val="10"/>
  </w:num>
  <w:num w:numId="7">
    <w:abstractNumId w:val="8"/>
  </w:num>
  <w:num w:numId="8">
    <w:abstractNumId w:val="39"/>
  </w:num>
  <w:num w:numId="9">
    <w:abstractNumId w:val="53"/>
  </w:num>
  <w:num w:numId="10">
    <w:abstractNumId w:val="69"/>
  </w:num>
  <w:num w:numId="11">
    <w:abstractNumId w:val="75"/>
  </w:num>
  <w:num w:numId="12">
    <w:abstractNumId w:val="37"/>
  </w:num>
  <w:num w:numId="13">
    <w:abstractNumId w:val="46"/>
  </w:num>
  <w:num w:numId="14">
    <w:abstractNumId w:val="48"/>
  </w:num>
  <w:num w:numId="15">
    <w:abstractNumId w:val="63"/>
  </w:num>
  <w:num w:numId="16">
    <w:abstractNumId w:val="31"/>
  </w:num>
  <w:num w:numId="17">
    <w:abstractNumId w:val="73"/>
  </w:num>
  <w:num w:numId="18">
    <w:abstractNumId w:val="0"/>
  </w:num>
  <w:num w:numId="19">
    <w:abstractNumId w:val="18"/>
  </w:num>
  <w:num w:numId="20">
    <w:abstractNumId w:val="19"/>
  </w:num>
  <w:num w:numId="21">
    <w:abstractNumId w:val="59"/>
  </w:num>
  <w:num w:numId="22">
    <w:abstractNumId w:val="74"/>
  </w:num>
  <w:num w:numId="23">
    <w:abstractNumId w:val="71"/>
  </w:num>
  <w:num w:numId="24">
    <w:abstractNumId w:val="58"/>
  </w:num>
  <w:num w:numId="25">
    <w:abstractNumId w:val="27"/>
  </w:num>
  <w:num w:numId="26">
    <w:abstractNumId w:val="20"/>
  </w:num>
  <w:num w:numId="27">
    <w:abstractNumId w:val="61"/>
  </w:num>
  <w:num w:numId="28">
    <w:abstractNumId w:val="54"/>
  </w:num>
  <w:num w:numId="29">
    <w:abstractNumId w:val="70"/>
  </w:num>
  <w:num w:numId="30">
    <w:abstractNumId w:val="41"/>
  </w:num>
  <w:num w:numId="31">
    <w:abstractNumId w:val="15"/>
  </w:num>
  <w:num w:numId="32">
    <w:abstractNumId w:val="47"/>
  </w:num>
  <w:num w:numId="33">
    <w:abstractNumId w:val="6"/>
  </w:num>
  <w:num w:numId="34">
    <w:abstractNumId w:val="25"/>
  </w:num>
  <w:num w:numId="35">
    <w:abstractNumId w:val="43"/>
  </w:num>
  <w:num w:numId="36">
    <w:abstractNumId w:val="5"/>
  </w:num>
  <w:num w:numId="37">
    <w:abstractNumId w:val="65"/>
  </w:num>
  <w:num w:numId="38">
    <w:abstractNumId w:val="14"/>
  </w:num>
  <w:num w:numId="39">
    <w:abstractNumId w:val="30"/>
  </w:num>
  <w:num w:numId="40">
    <w:abstractNumId w:val="35"/>
  </w:num>
  <w:num w:numId="41">
    <w:abstractNumId w:val="21"/>
  </w:num>
  <w:num w:numId="42">
    <w:abstractNumId w:val="52"/>
  </w:num>
  <w:num w:numId="43">
    <w:abstractNumId w:val="28"/>
  </w:num>
  <w:num w:numId="44">
    <w:abstractNumId w:val="64"/>
  </w:num>
  <w:num w:numId="45">
    <w:abstractNumId w:val="36"/>
  </w:num>
  <w:num w:numId="46">
    <w:abstractNumId w:val="68"/>
  </w:num>
  <w:num w:numId="47">
    <w:abstractNumId w:val="16"/>
  </w:num>
  <w:num w:numId="48">
    <w:abstractNumId w:val="4"/>
  </w:num>
  <w:num w:numId="49">
    <w:abstractNumId w:val="12"/>
  </w:num>
  <w:num w:numId="50">
    <w:abstractNumId w:val="7"/>
  </w:num>
  <w:num w:numId="51">
    <w:abstractNumId w:val="3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44"/>
  </w:num>
  <w:num w:numId="66">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67"/>
  </w:num>
  <w:num w:numId="71">
    <w:abstractNumId w:val="45"/>
  </w:num>
  <w:num w:numId="72">
    <w:abstractNumId w:val="22"/>
  </w:num>
  <w:num w:numId="73">
    <w:abstractNumId w:val="29"/>
  </w:num>
  <w:num w:numId="74">
    <w:abstractNumId w:val="38"/>
  </w:num>
  <w:num w:numId="75">
    <w:abstractNumId w:val="57"/>
  </w:num>
  <w:num w:numId="76">
    <w:abstractNumId w:val="77"/>
  </w:num>
  <w:num w:numId="77">
    <w:abstractNumId w:val="13"/>
  </w:num>
  <w:num w:numId="78">
    <w:abstractNumId w:val="40"/>
  </w:num>
  <w:num w:numId="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jMwM2RiNmQ1Njc1YzE0MmQ2YzZmZWZiZjczZWU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408"/>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36E9"/>
    <w:rsid w:val="001145D4"/>
    <w:rsid w:val="001223EF"/>
    <w:rsid w:val="001236A3"/>
    <w:rsid w:val="001341A1"/>
    <w:rsid w:val="00134561"/>
    <w:rsid w:val="0013796A"/>
    <w:rsid w:val="001408F1"/>
    <w:rsid w:val="001415B4"/>
    <w:rsid w:val="00152541"/>
    <w:rsid w:val="00154EA8"/>
    <w:rsid w:val="0016405F"/>
    <w:rsid w:val="00165E49"/>
    <w:rsid w:val="00165F8E"/>
    <w:rsid w:val="00165FB9"/>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2DE6"/>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1766E"/>
    <w:rsid w:val="00224D01"/>
    <w:rsid w:val="002255A9"/>
    <w:rsid w:val="00225825"/>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657"/>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4F321F"/>
    <w:rsid w:val="00501F13"/>
    <w:rsid w:val="0050316F"/>
    <w:rsid w:val="00506193"/>
    <w:rsid w:val="00510B61"/>
    <w:rsid w:val="00520164"/>
    <w:rsid w:val="005222C3"/>
    <w:rsid w:val="005229DC"/>
    <w:rsid w:val="005254AD"/>
    <w:rsid w:val="00527604"/>
    <w:rsid w:val="00527676"/>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28A"/>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0EDF"/>
    <w:rsid w:val="0069574E"/>
    <w:rsid w:val="00695B12"/>
    <w:rsid w:val="006A1483"/>
    <w:rsid w:val="006A29B6"/>
    <w:rsid w:val="006A4956"/>
    <w:rsid w:val="006A5259"/>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66181"/>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019"/>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39BD"/>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2D74"/>
    <w:rsid w:val="00AB37ED"/>
    <w:rsid w:val="00AC081D"/>
    <w:rsid w:val="00AC5733"/>
    <w:rsid w:val="00AC5A33"/>
    <w:rsid w:val="00AC766D"/>
    <w:rsid w:val="00AC7F46"/>
    <w:rsid w:val="00AD442D"/>
    <w:rsid w:val="00AD77A9"/>
    <w:rsid w:val="00AE3026"/>
    <w:rsid w:val="00AE3F48"/>
    <w:rsid w:val="00AF5056"/>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62AF4"/>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133"/>
    <w:rsid w:val="00D955CB"/>
    <w:rsid w:val="00DA2DBB"/>
    <w:rsid w:val="00DB0E94"/>
    <w:rsid w:val="00DB2FB6"/>
    <w:rsid w:val="00DB3D3C"/>
    <w:rsid w:val="00DB6873"/>
    <w:rsid w:val="00DC1A17"/>
    <w:rsid w:val="00DC2D6F"/>
    <w:rsid w:val="00DC6FFC"/>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5592B"/>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2C01778"/>
    <w:rsid w:val="062126AF"/>
    <w:rsid w:val="09E9787D"/>
    <w:rsid w:val="0A943D39"/>
    <w:rsid w:val="0B955864"/>
    <w:rsid w:val="0CA34773"/>
    <w:rsid w:val="14355008"/>
    <w:rsid w:val="150536CC"/>
    <w:rsid w:val="19D41C13"/>
    <w:rsid w:val="1BA26B6D"/>
    <w:rsid w:val="1D385AB9"/>
    <w:rsid w:val="1E7124A3"/>
    <w:rsid w:val="1E9C5047"/>
    <w:rsid w:val="21823BC8"/>
    <w:rsid w:val="219972A7"/>
    <w:rsid w:val="2418246B"/>
    <w:rsid w:val="259809DB"/>
    <w:rsid w:val="2694362D"/>
    <w:rsid w:val="27CB1FDF"/>
    <w:rsid w:val="27D33D9C"/>
    <w:rsid w:val="2A503A48"/>
    <w:rsid w:val="2BC728D8"/>
    <w:rsid w:val="2C423374"/>
    <w:rsid w:val="2C8368AA"/>
    <w:rsid w:val="2E8C0D89"/>
    <w:rsid w:val="2EEC3FC4"/>
    <w:rsid w:val="307A7AF5"/>
    <w:rsid w:val="31B6148A"/>
    <w:rsid w:val="32D709AE"/>
    <w:rsid w:val="364C52C5"/>
    <w:rsid w:val="373D5FC2"/>
    <w:rsid w:val="375613E7"/>
    <w:rsid w:val="38655EF9"/>
    <w:rsid w:val="392D778D"/>
    <w:rsid w:val="39580E5A"/>
    <w:rsid w:val="396765D2"/>
    <w:rsid w:val="39BF7EE6"/>
    <w:rsid w:val="3A18578A"/>
    <w:rsid w:val="3D90677F"/>
    <w:rsid w:val="3F7C35CC"/>
    <w:rsid w:val="423053ED"/>
    <w:rsid w:val="44894B89"/>
    <w:rsid w:val="4793402F"/>
    <w:rsid w:val="4B77599F"/>
    <w:rsid w:val="4CAB780B"/>
    <w:rsid w:val="4CF136D5"/>
    <w:rsid w:val="4D822EC3"/>
    <w:rsid w:val="54A37489"/>
    <w:rsid w:val="56F50C71"/>
    <w:rsid w:val="586236D9"/>
    <w:rsid w:val="58C3061C"/>
    <w:rsid w:val="5AF41484"/>
    <w:rsid w:val="5AF93DF0"/>
    <w:rsid w:val="5B1F7CA3"/>
    <w:rsid w:val="5E9817EE"/>
    <w:rsid w:val="61DE12AA"/>
    <w:rsid w:val="62704EE6"/>
    <w:rsid w:val="6396270A"/>
    <w:rsid w:val="6594463D"/>
    <w:rsid w:val="669E465B"/>
    <w:rsid w:val="66D34CA2"/>
    <w:rsid w:val="66DC6D4D"/>
    <w:rsid w:val="68EC6F68"/>
    <w:rsid w:val="68EF06C4"/>
    <w:rsid w:val="6AEF1B2B"/>
    <w:rsid w:val="6AFE76B8"/>
    <w:rsid w:val="6E484B11"/>
    <w:rsid w:val="736902D8"/>
    <w:rsid w:val="77161E87"/>
    <w:rsid w:val="77ED700C"/>
    <w:rsid w:val="78045832"/>
    <w:rsid w:val="784C73F8"/>
    <w:rsid w:val="792C7CE5"/>
    <w:rsid w:val="7B901F91"/>
    <w:rsid w:val="7CE01B0D"/>
    <w:rsid w:val="7CEC5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unhideWhenUsed/>
    <w:qFormat/>
    <w:uiPriority w:val="99"/>
    <w:pPr>
      <w:ind w:left="800" w:leftChars="8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w:basedOn w:val="1"/>
    <w:link w:val="35"/>
    <w:semiHidden/>
    <w:unhideWhenUsed/>
    <w:qFormat/>
    <w:uiPriority w:val="99"/>
    <w:pPr>
      <w:spacing w:after="120"/>
    </w:pPr>
  </w:style>
  <w:style w:type="paragraph" w:styleId="12">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qFormat/>
    <w:uiPriority w:val="0"/>
    <w:pPr>
      <w:ind w:firstLine="420" w:firstLineChars="200"/>
    </w:pPr>
    <w:rPr>
      <w:rFonts w:eastAsia="宋体"/>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character" w:customStyle="1" w:styleId="30">
    <w:name w:val="标题 1 Char"/>
    <w:basedOn w:val="26"/>
    <w:link w:val="4"/>
    <w:qFormat/>
    <w:uiPriority w:val="0"/>
    <w:rPr>
      <w:rFonts w:ascii="Calibri" w:hAnsi="Calibri" w:eastAsia="宋体" w:cs="Times New Roman"/>
      <w:b/>
      <w:bCs/>
      <w:kern w:val="44"/>
      <w:sz w:val="44"/>
      <w:szCs w:val="44"/>
    </w:rPr>
  </w:style>
  <w:style w:type="character" w:customStyle="1" w:styleId="31">
    <w:name w:val="标题 2 Char"/>
    <w:basedOn w:val="26"/>
    <w:link w:val="5"/>
    <w:qFormat/>
    <w:uiPriority w:val="0"/>
    <w:rPr>
      <w:rFonts w:ascii="Arial" w:hAnsi="Arial" w:eastAsia="黑体" w:cs="Times New Roman"/>
      <w:b/>
      <w:bCs/>
      <w:sz w:val="32"/>
      <w:szCs w:val="32"/>
    </w:rPr>
  </w:style>
  <w:style w:type="character" w:customStyle="1" w:styleId="32">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7"/>
    <w:qFormat/>
    <w:uiPriority w:val="0"/>
    <w:rPr>
      <w:rFonts w:ascii="Arial" w:hAnsi="Arial" w:eastAsia="黑体" w:cs="Times New Roman"/>
      <w:b/>
      <w:bCs/>
      <w:sz w:val="28"/>
      <w:szCs w:val="28"/>
    </w:rPr>
  </w:style>
  <w:style w:type="character" w:customStyle="1" w:styleId="34">
    <w:name w:val="正文文本 3 Char"/>
    <w:basedOn w:val="26"/>
    <w:link w:val="10"/>
    <w:qFormat/>
    <w:uiPriority w:val="0"/>
    <w:rPr>
      <w:rFonts w:ascii="Times New Roman" w:hAnsi="Times New Roman" w:eastAsia="宋体" w:cs="Times New Roman"/>
      <w:color w:val="FF0000"/>
      <w:sz w:val="24"/>
      <w:szCs w:val="24"/>
    </w:rPr>
  </w:style>
  <w:style w:type="character" w:customStyle="1" w:styleId="35">
    <w:name w:val="正文文本 Char"/>
    <w:basedOn w:val="26"/>
    <w:link w:val="11"/>
    <w:semiHidden/>
    <w:qFormat/>
    <w:uiPriority w:val="99"/>
  </w:style>
  <w:style w:type="character" w:customStyle="1" w:styleId="36">
    <w:name w:val="正文文本缩进 Char"/>
    <w:basedOn w:val="26"/>
    <w:qFormat/>
    <w:uiPriority w:val="0"/>
  </w:style>
  <w:style w:type="character" w:customStyle="1" w:styleId="37">
    <w:name w:val="正文文本缩进 Char1"/>
    <w:basedOn w:val="26"/>
    <w:link w:val="12"/>
    <w:qFormat/>
    <w:uiPriority w:val="0"/>
    <w:rPr>
      <w:kern w:val="0"/>
      <w:sz w:val="24"/>
      <w:szCs w:val="20"/>
    </w:rPr>
  </w:style>
  <w:style w:type="character" w:customStyle="1" w:styleId="38">
    <w:name w:val="纯文本 Char"/>
    <w:basedOn w:val="26"/>
    <w:link w:val="15"/>
    <w:qFormat/>
    <w:uiPriority w:val="0"/>
    <w:rPr>
      <w:rFonts w:eastAsia="宋体"/>
      <w:sz w:val="24"/>
    </w:rPr>
  </w:style>
  <w:style w:type="character" w:customStyle="1" w:styleId="39">
    <w:name w:val="日期 Char"/>
    <w:basedOn w:val="26"/>
    <w:link w:val="16"/>
    <w:qFormat/>
    <w:uiPriority w:val="99"/>
  </w:style>
  <w:style w:type="character" w:customStyle="1" w:styleId="40">
    <w:name w:val="批注框文本 Char"/>
    <w:basedOn w:val="26"/>
    <w:semiHidden/>
    <w:qFormat/>
    <w:uiPriority w:val="99"/>
    <w:rPr>
      <w:sz w:val="18"/>
      <w:szCs w:val="18"/>
    </w:rPr>
  </w:style>
  <w:style w:type="character" w:customStyle="1" w:styleId="41">
    <w:name w:val="批注框文本 Char1"/>
    <w:basedOn w:val="26"/>
    <w:link w:val="17"/>
    <w:semiHidden/>
    <w:qFormat/>
    <w:uiPriority w:val="99"/>
    <w:rPr>
      <w:sz w:val="18"/>
      <w:szCs w:val="18"/>
    </w:rPr>
  </w:style>
  <w:style w:type="character" w:customStyle="1" w:styleId="42">
    <w:name w:val="页脚 Char"/>
    <w:basedOn w:val="26"/>
    <w:link w:val="18"/>
    <w:qFormat/>
    <w:uiPriority w:val="99"/>
    <w:rPr>
      <w:sz w:val="18"/>
      <w:szCs w:val="18"/>
    </w:rPr>
  </w:style>
  <w:style w:type="character" w:customStyle="1" w:styleId="43">
    <w:name w:val="页眉 Char"/>
    <w:basedOn w:val="26"/>
    <w:link w:val="19"/>
    <w:qFormat/>
    <w:uiPriority w:val="99"/>
    <w:rPr>
      <w:sz w:val="18"/>
      <w:szCs w:val="18"/>
    </w:rPr>
  </w:style>
  <w:style w:type="character" w:customStyle="1" w:styleId="44">
    <w:name w:val="HTML 预设格式 Char"/>
    <w:basedOn w:val="26"/>
    <w:semiHidden/>
    <w:qFormat/>
    <w:uiPriority w:val="99"/>
    <w:rPr>
      <w:rFonts w:ascii="宋体" w:hAnsi="宋体" w:eastAsia="宋体" w:cs="宋体"/>
      <w:kern w:val="0"/>
      <w:sz w:val="24"/>
      <w:szCs w:val="24"/>
    </w:rPr>
  </w:style>
  <w:style w:type="character" w:customStyle="1" w:styleId="45">
    <w:name w:val="HTML 预设格式 Char1"/>
    <w:basedOn w:val="26"/>
    <w:link w:val="21"/>
    <w:semiHidden/>
    <w:qFormat/>
    <w:uiPriority w:val="99"/>
    <w:rPr>
      <w:rFonts w:ascii="Courier New" w:hAnsi="Courier New" w:cs="Courier New"/>
      <w:sz w:val="20"/>
      <w:szCs w:val="20"/>
    </w:rPr>
  </w:style>
  <w:style w:type="character" w:customStyle="1" w:styleId="46">
    <w:name w:val="正文首行缩进 Char"/>
    <w:basedOn w:val="35"/>
    <w:link w:val="23"/>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font11"/>
    <w:basedOn w:val="26"/>
    <w:qFormat/>
    <w:uiPriority w:val="0"/>
    <w:rPr>
      <w:rFonts w:hint="eastAsia" w:ascii="宋体" w:hAnsi="宋体" w:eastAsia="宋体" w:cs="宋体"/>
      <w:color w:val="000000"/>
      <w:sz w:val="20"/>
      <w:szCs w:val="20"/>
      <w:u w:val="none"/>
    </w:rPr>
  </w:style>
  <w:style w:type="character" w:customStyle="1" w:styleId="61">
    <w:name w:val="font41"/>
    <w:basedOn w:val="2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CAA54-A7ED-46C3-90A3-D1E4A7D4E88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30214</Words>
  <Characters>31637</Characters>
  <Lines>250</Lines>
  <Paragraphs>70</Paragraphs>
  <TotalTime>44</TotalTime>
  <ScaleCrop>false</ScaleCrop>
  <LinksUpToDate>false</LinksUpToDate>
  <CharactersWithSpaces>32864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2022-08-06T01:43:00Z</dcterms:created>
  <dc:creator>许昌市公共资源交易中心:孟莉</dc:creator>
  <cp:lastModifiedBy>禹州市公共资源交易中心:艾明辉</cp:lastModifiedBy>
  <cp:lastPrinted>2021-05-12T07:15:00Z</cp:lastPrinted>
  <dcterms:modified xsi:type="dcterms:W3CDTF">2022-08-22T01:53:36Z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4497A93963524555AF66FBCB16E8A1D0</vt:lpwstr>
  </property>
</Properties>
</file>